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5265B" w:rsidRPr="00875BEF" w:rsidRDefault="0015265B" w:rsidP="0015265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r w:rsidRPr="00875BEF">
        <w:rPr>
          <w:rFonts w:ascii="Calibri" w:hAnsi="Calibri" w:cs="Calibri"/>
          <w:color w:val="FF0000"/>
          <w:spacing w:val="-4"/>
          <w:sz w:val="16"/>
          <w:szCs w:val="16"/>
          <w:lang w:val="es-CO" w:eastAsia="fr-FR"/>
        </w:rPr>
        <w:t xml:space="preserve">El siguiente </w:t>
      </w:r>
      <w:r>
        <w:rPr>
          <w:rFonts w:ascii="Calibri" w:hAnsi="Calibri" w:cs="Calibri"/>
          <w:color w:val="FF0000"/>
          <w:spacing w:val="-4"/>
          <w:sz w:val="16"/>
          <w:szCs w:val="16"/>
          <w:lang w:val="es-CO" w:eastAsia="fr-FR"/>
        </w:rPr>
        <w:t xml:space="preserve">es el documento presentado por </w:t>
      </w:r>
      <w:r w:rsidRPr="00875BEF">
        <w:rPr>
          <w:rFonts w:ascii="Calibri" w:hAnsi="Calibri" w:cs="Calibri"/>
          <w:color w:val="FF0000"/>
          <w:spacing w:val="-4"/>
          <w:sz w:val="16"/>
          <w:szCs w:val="16"/>
          <w:lang w:val="es-CO" w:eastAsia="fr-FR"/>
        </w:rPr>
        <w:t>l</w:t>
      </w:r>
      <w:r>
        <w:rPr>
          <w:rFonts w:ascii="Calibri" w:hAnsi="Calibri" w:cs="Calibri"/>
          <w:color w:val="FF0000"/>
          <w:spacing w:val="-4"/>
          <w:sz w:val="16"/>
          <w:szCs w:val="16"/>
          <w:lang w:val="es-CO" w:eastAsia="fr-FR"/>
        </w:rPr>
        <w:t>a Magistrada</w:t>
      </w:r>
      <w:r w:rsidRPr="00875BEF">
        <w:rPr>
          <w:rFonts w:ascii="Calibri" w:hAnsi="Calibri" w:cs="Calibri"/>
          <w:color w:val="FF0000"/>
          <w:spacing w:val="-4"/>
          <w:sz w:val="16"/>
          <w:szCs w:val="16"/>
          <w:lang w:val="es-CO" w:eastAsia="fr-FR"/>
        </w:rPr>
        <w:t xml:space="preserve"> Ponente que sirvió de base para proferir la providencia dentro del presente proceso. </w:t>
      </w:r>
    </w:p>
    <w:p w:rsidR="0015265B" w:rsidRPr="0094372D" w:rsidRDefault="0015265B" w:rsidP="0015265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p>
    <w:p w:rsidR="00843940" w:rsidRDefault="00843940" w:rsidP="00A416B0">
      <w:pPr>
        <w:pStyle w:val="Sinespaciado"/>
        <w:rPr>
          <w:rFonts w:ascii="Tahoma" w:hAnsi="Tahoma" w:cs="Tahoma"/>
          <w:b/>
          <w:sz w:val="18"/>
          <w:szCs w:val="18"/>
          <w:lang w:val="es-CO"/>
        </w:rPr>
      </w:pPr>
      <w:bookmarkStart w:id="0" w:name="_GoBack"/>
      <w:bookmarkEnd w:id="0"/>
    </w:p>
    <w:p w:rsidR="00A416B0" w:rsidRPr="00C73708" w:rsidRDefault="00A416B0" w:rsidP="00A416B0">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A53040">
        <w:rPr>
          <w:rFonts w:ascii="Tahoma" w:hAnsi="Tahoma" w:cs="Tahoma"/>
          <w:sz w:val="18"/>
          <w:szCs w:val="18"/>
        </w:rPr>
        <w:tab/>
      </w:r>
      <w:r w:rsidR="00843940">
        <w:rPr>
          <w:rFonts w:ascii="Tahoma" w:hAnsi="Tahoma" w:cs="Tahoma"/>
          <w:sz w:val="18"/>
          <w:szCs w:val="18"/>
        </w:rPr>
        <w:t>Sentencia - 2ª instancia -</w:t>
      </w:r>
      <w:r w:rsidR="00A53040">
        <w:rPr>
          <w:rFonts w:ascii="Tahoma" w:hAnsi="Tahoma" w:cs="Tahoma"/>
          <w:sz w:val="18"/>
          <w:szCs w:val="18"/>
        </w:rPr>
        <w:t xml:space="preserve"> 30</w:t>
      </w:r>
      <w:r>
        <w:rPr>
          <w:rFonts w:ascii="Tahoma" w:hAnsi="Tahoma" w:cs="Tahoma"/>
          <w:sz w:val="18"/>
          <w:szCs w:val="18"/>
        </w:rPr>
        <w:t xml:space="preserve"> de junio de 2017</w:t>
      </w:r>
    </w:p>
    <w:p w:rsidR="00843940" w:rsidRPr="00C73708" w:rsidRDefault="00843940" w:rsidP="00843940">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Pr>
          <w:rFonts w:ascii="Tahoma" w:hAnsi="Tahoma" w:cs="Tahoma"/>
          <w:sz w:val="18"/>
          <w:szCs w:val="18"/>
        </w:rPr>
        <w:tab/>
      </w:r>
      <w:r w:rsidRPr="00C73708">
        <w:rPr>
          <w:rFonts w:ascii="Tahoma" w:hAnsi="Tahoma" w:cs="Tahoma"/>
          <w:sz w:val="18"/>
          <w:szCs w:val="18"/>
        </w:rPr>
        <w:t>Acción de tutela</w:t>
      </w:r>
      <w:r>
        <w:rPr>
          <w:rFonts w:ascii="Tahoma" w:hAnsi="Tahoma" w:cs="Tahoma"/>
          <w:sz w:val="18"/>
          <w:szCs w:val="18"/>
        </w:rPr>
        <w:t xml:space="preserve"> – Confirma amparo concedido</w:t>
      </w:r>
    </w:p>
    <w:p w:rsidR="00A416B0" w:rsidRPr="00C73708" w:rsidRDefault="00A416B0" w:rsidP="00A416B0">
      <w:pPr>
        <w:pStyle w:val="Sinespaciado"/>
        <w:rPr>
          <w:rFonts w:ascii="Tahoma" w:hAnsi="Tahoma" w:cs="Tahoma"/>
          <w:sz w:val="18"/>
          <w:szCs w:val="18"/>
        </w:rPr>
      </w:pPr>
      <w:r w:rsidRPr="00C73708">
        <w:rPr>
          <w:rFonts w:ascii="Tahoma" w:hAnsi="Tahoma" w:cs="Tahoma"/>
          <w:b/>
          <w:sz w:val="18"/>
          <w:szCs w:val="18"/>
        </w:rPr>
        <w:t>Radicación No.:</w:t>
      </w:r>
      <w:r>
        <w:rPr>
          <w:rFonts w:ascii="Tahoma" w:hAnsi="Tahoma" w:cs="Tahoma"/>
          <w:b/>
          <w:sz w:val="18"/>
          <w:szCs w:val="18"/>
        </w:rPr>
        <w:tab/>
      </w:r>
      <w:r w:rsidRPr="00C73708">
        <w:rPr>
          <w:rFonts w:ascii="Tahoma" w:hAnsi="Tahoma" w:cs="Tahoma"/>
          <w:sz w:val="18"/>
          <w:szCs w:val="18"/>
        </w:rPr>
        <w:tab/>
      </w:r>
      <w:r>
        <w:rPr>
          <w:rFonts w:ascii="Tahoma" w:hAnsi="Tahoma" w:cs="Tahoma"/>
          <w:sz w:val="18"/>
          <w:szCs w:val="18"/>
        </w:rPr>
        <w:t>66001-31-05-004-2017-00199</w:t>
      </w:r>
      <w:r w:rsidRPr="00C73708">
        <w:rPr>
          <w:rFonts w:ascii="Tahoma" w:hAnsi="Tahoma" w:cs="Tahoma"/>
          <w:sz w:val="18"/>
          <w:szCs w:val="18"/>
        </w:rPr>
        <w:t>-0</w:t>
      </w:r>
      <w:r>
        <w:rPr>
          <w:rFonts w:ascii="Tahoma" w:hAnsi="Tahoma" w:cs="Tahoma"/>
          <w:sz w:val="18"/>
          <w:szCs w:val="18"/>
        </w:rPr>
        <w:t>1</w:t>
      </w:r>
    </w:p>
    <w:p w:rsidR="00A416B0" w:rsidRPr="00C73708" w:rsidRDefault="00A416B0" w:rsidP="00A416B0">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Pr>
          <w:rFonts w:ascii="Tahoma" w:hAnsi="Tahoma" w:cs="Tahoma"/>
          <w:sz w:val="18"/>
          <w:szCs w:val="18"/>
        </w:rPr>
        <w:tab/>
        <w:t>José Álvaro Monroy Castaño</w:t>
      </w:r>
    </w:p>
    <w:p w:rsidR="00A416B0" w:rsidRPr="00C73708" w:rsidRDefault="00A416B0" w:rsidP="00A416B0">
      <w:pPr>
        <w:pStyle w:val="Sinespaciado"/>
        <w:rPr>
          <w:rFonts w:ascii="Tahoma" w:hAnsi="Tahoma" w:cs="Tahoma"/>
          <w:sz w:val="18"/>
          <w:szCs w:val="18"/>
        </w:rPr>
      </w:pPr>
      <w:bookmarkStart w:id="1" w:name="OLE_LINK1"/>
      <w:r w:rsidRPr="00C73708">
        <w:rPr>
          <w:rFonts w:ascii="Tahoma" w:hAnsi="Tahoma" w:cs="Tahoma"/>
          <w:b/>
          <w:sz w:val="18"/>
          <w:szCs w:val="18"/>
        </w:rPr>
        <w:t>Accionado:</w:t>
      </w:r>
      <w:r w:rsidRPr="00C73708">
        <w:rPr>
          <w:rFonts w:ascii="Tahoma" w:hAnsi="Tahoma" w:cs="Tahoma"/>
          <w:sz w:val="18"/>
          <w:szCs w:val="18"/>
        </w:rPr>
        <w:tab/>
      </w:r>
      <w:bookmarkEnd w:id="1"/>
      <w:r>
        <w:rPr>
          <w:rFonts w:ascii="Tahoma" w:hAnsi="Tahoma" w:cs="Tahoma"/>
          <w:sz w:val="18"/>
          <w:szCs w:val="18"/>
        </w:rPr>
        <w:tab/>
        <w:t>Colpensiones</w:t>
      </w:r>
    </w:p>
    <w:p w:rsidR="00A416B0" w:rsidRPr="00C73708" w:rsidRDefault="00A416B0" w:rsidP="00A416B0">
      <w:pPr>
        <w:pStyle w:val="Sinespaciado"/>
        <w:rPr>
          <w:rFonts w:ascii="Tahoma" w:hAnsi="Tahoma" w:cs="Tahoma"/>
          <w:sz w:val="18"/>
          <w:szCs w:val="18"/>
        </w:rPr>
      </w:pPr>
      <w:r>
        <w:rPr>
          <w:rFonts w:ascii="Tahoma" w:hAnsi="Tahoma" w:cs="Tahoma"/>
          <w:b/>
          <w:sz w:val="18"/>
          <w:szCs w:val="18"/>
        </w:rPr>
        <w:t>Magistrada Ponente</w:t>
      </w:r>
      <w:r w:rsidRPr="00C73708">
        <w:rPr>
          <w:rFonts w:ascii="Tahoma" w:hAnsi="Tahoma" w:cs="Tahoma"/>
          <w:b/>
          <w:sz w:val="18"/>
          <w:szCs w:val="18"/>
        </w:rPr>
        <w:t xml:space="preserve">: </w:t>
      </w:r>
      <w:r>
        <w:rPr>
          <w:rFonts w:ascii="Tahoma" w:hAnsi="Tahoma" w:cs="Tahoma"/>
          <w:b/>
          <w:sz w:val="18"/>
          <w:szCs w:val="18"/>
        </w:rPr>
        <w:tab/>
      </w:r>
      <w:r>
        <w:rPr>
          <w:rFonts w:ascii="Tahoma" w:hAnsi="Tahoma" w:cs="Tahoma"/>
          <w:sz w:val="18"/>
          <w:szCs w:val="18"/>
        </w:rPr>
        <w:t xml:space="preserve">Ana Lucia Caicedo Calderón </w:t>
      </w:r>
    </w:p>
    <w:p w:rsidR="00A416B0" w:rsidRPr="00724E80" w:rsidRDefault="00A416B0" w:rsidP="00A416B0">
      <w:pPr>
        <w:ind w:left="1843" w:hanging="1843"/>
        <w:jc w:val="both"/>
        <w:rPr>
          <w:rFonts w:ascii="Tahoma" w:hAnsi="Tahoma" w:cs="Tahoma"/>
          <w:sz w:val="18"/>
          <w:szCs w:val="18"/>
        </w:rPr>
      </w:pPr>
      <w:r w:rsidRPr="00C73708">
        <w:rPr>
          <w:rFonts w:ascii="Tahoma" w:hAnsi="Tahoma" w:cs="Tahoma"/>
          <w:b/>
          <w:sz w:val="18"/>
          <w:szCs w:val="18"/>
        </w:rPr>
        <w:t>Tema:</w:t>
      </w:r>
      <w:r>
        <w:rPr>
          <w:rFonts w:ascii="Tahoma" w:hAnsi="Tahoma" w:cs="Tahoma"/>
          <w:sz w:val="18"/>
          <w:szCs w:val="18"/>
        </w:rPr>
        <w:tab/>
      </w:r>
    </w:p>
    <w:p w:rsidR="00A416B0" w:rsidRDefault="00A416B0" w:rsidP="00A416B0">
      <w:pPr>
        <w:ind w:left="2127" w:hanging="1843"/>
        <w:jc w:val="both"/>
        <w:rPr>
          <w:rFonts w:ascii="Arial Narrow" w:hAnsi="Arial Narrow" w:cstheme="minorHAnsi"/>
          <w:i/>
          <w:sz w:val="18"/>
          <w:szCs w:val="18"/>
        </w:rPr>
      </w:pPr>
      <w:r w:rsidRPr="00724E80">
        <w:rPr>
          <w:rFonts w:ascii="Tahoma" w:hAnsi="Tahoma" w:cs="Tahoma"/>
          <w:sz w:val="18"/>
          <w:szCs w:val="18"/>
        </w:rPr>
        <w:tab/>
      </w:r>
      <w:r w:rsidRPr="00AF4A58">
        <w:rPr>
          <w:rFonts w:ascii="Tahoma" w:hAnsi="Tahoma" w:cs="Tahoma"/>
          <w:b/>
          <w:sz w:val="18"/>
          <w:szCs w:val="18"/>
          <w:u w:val="single"/>
        </w:rPr>
        <w:t>Pérdida de capacidad laboral</w:t>
      </w:r>
      <w:r w:rsidRPr="00AF4A58">
        <w:rPr>
          <w:rFonts w:ascii="Arial Narrow" w:hAnsi="Arial Narrow" w:cs="Tahoma"/>
          <w:b/>
          <w:sz w:val="18"/>
          <w:szCs w:val="18"/>
          <w:u w:val="single"/>
        </w:rPr>
        <w:t>:</w:t>
      </w:r>
      <w:r w:rsidRPr="00AF4A58">
        <w:rPr>
          <w:rFonts w:ascii="Arial Narrow" w:hAnsi="Arial Narrow" w:cstheme="minorHAnsi"/>
          <w:i/>
          <w:sz w:val="18"/>
          <w:szCs w:val="18"/>
        </w:rPr>
        <w:t xml:space="preserve"> </w:t>
      </w:r>
      <w:r w:rsidRPr="00AF4A58">
        <w:rPr>
          <w:rFonts w:ascii="Tahoma" w:hAnsi="Tahoma" w:cs="Tahoma"/>
          <w:sz w:val="16"/>
          <w:szCs w:val="16"/>
        </w:rPr>
        <w:t>La jurisprudencia constitucional ha sido consistente en sostener que la acción de tutela y las actuaciones</w:t>
      </w:r>
      <w:r w:rsidRPr="00AF4A58">
        <w:rPr>
          <w:rFonts w:ascii="Arial Narrow" w:hAnsi="Arial Narrow" w:cstheme="minorHAnsi"/>
          <w:i/>
          <w:sz w:val="18"/>
          <w:szCs w:val="18"/>
        </w:rPr>
        <w:t xml:space="preserve"> deben estudiarse </w:t>
      </w:r>
      <w:r w:rsidR="00DE121B">
        <w:rPr>
          <w:rFonts w:ascii="Arial Narrow" w:hAnsi="Arial Narrow" w:cstheme="minorHAnsi"/>
          <w:i/>
          <w:sz w:val="18"/>
          <w:szCs w:val="18"/>
        </w:rPr>
        <w:t xml:space="preserve">en </w:t>
      </w:r>
      <w:r w:rsidRPr="00AF4A58">
        <w:rPr>
          <w:rFonts w:ascii="Arial Narrow" w:hAnsi="Arial Narrow" w:cstheme="minorHAnsi"/>
          <w:i/>
          <w:sz w:val="18"/>
          <w:szCs w:val="18"/>
        </w:rPr>
        <w:t>el caso en particular</w:t>
      </w:r>
      <w:r w:rsidR="00643AEA">
        <w:rPr>
          <w:rFonts w:ascii="Arial Narrow" w:hAnsi="Arial Narrow" w:cstheme="minorHAnsi"/>
          <w:i/>
          <w:sz w:val="18"/>
          <w:szCs w:val="18"/>
        </w:rPr>
        <w:t>.</w:t>
      </w:r>
      <w:r w:rsidRPr="00AF4A58">
        <w:rPr>
          <w:rFonts w:ascii="Arial Narrow" w:hAnsi="Arial Narrow" w:cstheme="minorHAnsi"/>
          <w:i/>
          <w:sz w:val="18"/>
          <w:szCs w:val="18"/>
        </w:rPr>
        <w:t xml:space="preserve"> </w:t>
      </w:r>
    </w:p>
    <w:p w:rsidR="00643AEA" w:rsidRPr="00AF4A58" w:rsidRDefault="00643AEA" w:rsidP="00A416B0">
      <w:pPr>
        <w:ind w:left="2127" w:hanging="1843"/>
        <w:jc w:val="both"/>
        <w:rPr>
          <w:rFonts w:ascii="Arial Narrow" w:hAnsi="Arial Narrow" w:cstheme="minorHAnsi"/>
          <w:i/>
          <w:sz w:val="18"/>
          <w:szCs w:val="18"/>
        </w:rPr>
      </w:pPr>
    </w:p>
    <w:p w:rsidR="00A416B0" w:rsidRPr="006F1CD4" w:rsidRDefault="00A416B0" w:rsidP="00A416B0">
      <w:pPr>
        <w:ind w:left="2127" w:hanging="3"/>
        <w:jc w:val="both"/>
        <w:rPr>
          <w:rFonts w:ascii="Tahoma" w:hAnsi="Tahoma" w:cs="Tahoma"/>
          <w:color w:val="FF0000"/>
          <w:sz w:val="18"/>
          <w:szCs w:val="18"/>
        </w:rPr>
      </w:pPr>
      <w:r w:rsidRPr="00AF4A58">
        <w:rPr>
          <w:rFonts w:ascii="Arial Narrow" w:hAnsi="Arial Narrow" w:cstheme="minorHAnsi"/>
          <w:i/>
          <w:sz w:val="18"/>
          <w:szCs w:val="18"/>
        </w:rPr>
        <w:t>“Dentro del derecho a la pensión de invalidez cobra gran importancia el derecho a la valoración de la pérdida de la capacidad laboral, ya que ésta constituye un medio para garantizar los derechos fundamentales a la vida digna, a la seguridad social y al mínimo vital. Lo anterior por cuanto tal evaluación permite determinar si la persona tiene derecho al reconocimiento pensional que asegure su sustento económico, dado el deterioro de su estado de</w:t>
      </w:r>
      <w:r w:rsidRPr="003433FD">
        <w:rPr>
          <w:rFonts w:ascii="Arial Narrow" w:hAnsi="Arial Narrow" w:cstheme="minorHAnsi"/>
          <w:i/>
          <w:sz w:val="18"/>
          <w:szCs w:val="18"/>
        </w:rPr>
        <w:t xml:space="preserve"> su salud y, por tanto, de su capacidad para realizar una actividad laboral que le permita acceder a un sustento.”</w:t>
      </w:r>
      <w:r w:rsidRPr="003433FD">
        <w:rPr>
          <w:rStyle w:val="Refdenotaalpie"/>
          <w:rFonts w:ascii="Arial Narrow" w:hAnsi="Arial Narrow" w:cstheme="minorHAnsi"/>
          <w:i/>
          <w:sz w:val="18"/>
          <w:szCs w:val="18"/>
        </w:rPr>
        <w:footnoteReference w:id="1"/>
      </w:r>
    </w:p>
    <w:p w:rsidR="00A416B0" w:rsidRDefault="00A416B0" w:rsidP="00A416B0">
      <w:pPr>
        <w:pStyle w:val="Sinespaciado"/>
        <w:ind w:left="2832" w:hanging="2832"/>
        <w:jc w:val="both"/>
        <w:rPr>
          <w:rFonts w:ascii="Tahoma" w:eastAsia="Times New Roman" w:hAnsi="Tahoma" w:cs="Tahoma"/>
          <w:color w:val="FF0000"/>
          <w:sz w:val="18"/>
          <w:szCs w:val="18"/>
          <w:lang w:eastAsia="es-CO"/>
        </w:rPr>
      </w:pPr>
    </w:p>
    <w:p w:rsidR="00A416B0" w:rsidRPr="00014769" w:rsidRDefault="00A416B0" w:rsidP="00A416B0">
      <w:pPr>
        <w:pStyle w:val="Sinespaciado"/>
        <w:rPr>
          <w:rFonts w:ascii="Tahoma" w:eastAsia="Calibri" w:hAnsi="Tahoma" w:cs="Tahoma"/>
          <w:sz w:val="24"/>
          <w:szCs w:val="24"/>
        </w:rPr>
      </w:pPr>
      <w:r>
        <w:tab/>
      </w:r>
    </w:p>
    <w:p w:rsidR="00A416B0" w:rsidRPr="00014769" w:rsidRDefault="00A416B0" w:rsidP="00A416B0">
      <w:pPr>
        <w:keepNext/>
        <w:widowControl w:val="0"/>
        <w:autoSpaceDE w:val="0"/>
        <w:autoSpaceDN w:val="0"/>
        <w:adjustRightInd w:val="0"/>
        <w:spacing w:line="276" w:lineRule="auto"/>
        <w:jc w:val="center"/>
        <w:rPr>
          <w:rFonts w:ascii="Tahoma" w:hAnsi="Tahoma" w:cs="Tahoma"/>
          <w:b/>
          <w:bCs/>
        </w:rPr>
      </w:pPr>
      <w:r w:rsidRPr="00014769">
        <w:rPr>
          <w:rFonts w:ascii="Tahoma" w:hAnsi="Tahoma" w:cs="Tahoma"/>
          <w:b/>
          <w:bCs/>
        </w:rPr>
        <w:t>TRIBUNAL SUPERIOR DEL DISTRITO JUDICIAL DE PEREIRA</w:t>
      </w:r>
    </w:p>
    <w:p w:rsidR="00A416B0" w:rsidRPr="00014769" w:rsidRDefault="00A416B0" w:rsidP="00A416B0">
      <w:pPr>
        <w:keepNext/>
        <w:widowControl w:val="0"/>
        <w:autoSpaceDE w:val="0"/>
        <w:autoSpaceDN w:val="0"/>
        <w:adjustRightInd w:val="0"/>
        <w:spacing w:line="276" w:lineRule="auto"/>
        <w:jc w:val="center"/>
        <w:rPr>
          <w:rFonts w:ascii="Tahoma" w:hAnsi="Tahoma" w:cs="Tahoma"/>
          <w:b/>
          <w:bCs/>
        </w:rPr>
      </w:pPr>
      <w:r w:rsidRPr="00014769">
        <w:rPr>
          <w:rFonts w:ascii="Tahoma" w:hAnsi="Tahoma" w:cs="Tahoma"/>
          <w:b/>
          <w:bCs/>
        </w:rPr>
        <w:t>SALA LABORAL</w:t>
      </w:r>
    </w:p>
    <w:p w:rsidR="0098553D" w:rsidRPr="00014769" w:rsidRDefault="0098553D" w:rsidP="00A416B0">
      <w:pPr>
        <w:pStyle w:val="Sinespaciado"/>
        <w:spacing w:line="276" w:lineRule="auto"/>
        <w:rPr>
          <w:sz w:val="24"/>
          <w:szCs w:val="24"/>
        </w:rPr>
      </w:pPr>
    </w:p>
    <w:p w:rsidR="00A416B0" w:rsidRDefault="00A416B0" w:rsidP="00A416B0">
      <w:pPr>
        <w:autoSpaceDE w:val="0"/>
        <w:autoSpaceDN w:val="0"/>
        <w:adjustRightInd w:val="0"/>
        <w:spacing w:line="276" w:lineRule="auto"/>
        <w:jc w:val="center"/>
        <w:rPr>
          <w:rFonts w:ascii="Tahoma" w:hAnsi="Tahoma" w:cs="Tahoma"/>
          <w:b/>
          <w:bCs/>
        </w:rPr>
      </w:pPr>
      <w:r w:rsidRPr="00014769">
        <w:rPr>
          <w:rFonts w:ascii="Tahoma" w:hAnsi="Tahoma" w:cs="Tahoma"/>
        </w:rPr>
        <w:t>Magistrada Ponente:</w:t>
      </w:r>
      <w:r w:rsidRPr="00014769">
        <w:rPr>
          <w:rFonts w:ascii="Tahoma" w:hAnsi="Tahoma" w:cs="Tahoma"/>
          <w:b/>
          <w:bCs/>
        </w:rPr>
        <w:t xml:space="preserve"> Ana Lucía Caicedo Calderón</w:t>
      </w:r>
    </w:p>
    <w:p w:rsidR="00A416B0" w:rsidRPr="00014769" w:rsidRDefault="00A416B0" w:rsidP="00A416B0">
      <w:pPr>
        <w:pStyle w:val="Sinespaciado"/>
      </w:pPr>
    </w:p>
    <w:p w:rsidR="00A416B0" w:rsidRPr="00014769" w:rsidRDefault="00A416B0" w:rsidP="00A416B0">
      <w:pPr>
        <w:spacing w:line="276" w:lineRule="auto"/>
        <w:jc w:val="center"/>
        <w:rPr>
          <w:rFonts w:ascii="Tahoma" w:hAnsi="Tahoma" w:cs="Tahoma"/>
          <w:b/>
        </w:rPr>
      </w:pPr>
      <w:r w:rsidRPr="00014769">
        <w:rPr>
          <w:rFonts w:ascii="Tahoma" w:hAnsi="Tahoma" w:cs="Tahoma"/>
          <w:b/>
        </w:rPr>
        <w:t>Acta No. ___</w:t>
      </w:r>
    </w:p>
    <w:p w:rsidR="00A416B0" w:rsidRPr="00014769" w:rsidRDefault="00A416B0" w:rsidP="00A416B0">
      <w:pPr>
        <w:spacing w:line="276" w:lineRule="auto"/>
        <w:jc w:val="center"/>
        <w:rPr>
          <w:rFonts w:ascii="Tahoma" w:hAnsi="Tahoma" w:cs="Tahoma"/>
        </w:rPr>
      </w:pPr>
      <w:r w:rsidRPr="00014769">
        <w:rPr>
          <w:rFonts w:ascii="Tahoma" w:hAnsi="Tahoma" w:cs="Tahoma"/>
        </w:rPr>
        <w:t>(</w:t>
      </w:r>
      <w:r w:rsidR="00A53040">
        <w:rPr>
          <w:rFonts w:ascii="Tahoma" w:hAnsi="Tahoma" w:cs="Tahoma"/>
          <w:b/>
        </w:rPr>
        <w:t>Junio 30</w:t>
      </w:r>
      <w:r>
        <w:rPr>
          <w:rFonts w:ascii="Tahoma" w:hAnsi="Tahoma" w:cs="Tahoma"/>
          <w:b/>
        </w:rPr>
        <w:t xml:space="preserve"> de 2017</w:t>
      </w:r>
      <w:r w:rsidRPr="00014769">
        <w:rPr>
          <w:rFonts w:ascii="Tahoma" w:hAnsi="Tahoma" w:cs="Tahoma"/>
        </w:rPr>
        <w:t>)</w:t>
      </w:r>
    </w:p>
    <w:p w:rsidR="00A416B0" w:rsidRPr="00BA5A05" w:rsidRDefault="00A416B0" w:rsidP="009E50BE">
      <w:pPr>
        <w:pStyle w:val="Sinespaciado"/>
        <w:spacing w:line="276" w:lineRule="auto"/>
        <w:jc w:val="both"/>
        <w:rPr>
          <w:rFonts w:ascii="Tahoma" w:hAnsi="Tahoma" w:cs="Tahoma"/>
        </w:rPr>
      </w:pPr>
    </w:p>
    <w:p w:rsidR="00A416B0" w:rsidRPr="00E80ED6" w:rsidRDefault="00A416B0" w:rsidP="009E50BE">
      <w:pPr>
        <w:spacing w:line="276" w:lineRule="auto"/>
        <w:ind w:right="3" w:firstLine="708"/>
        <w:jc w:val="both"/>
        <w:rPr>
          <w:rFonts w:ascii="Tahoma" w:hAnsi="Tahoma" w:cs="Tahoma"/>
          <w:bCs/>
          <w:sz w:val="22"/>
          <w:szCs w:val="22"/>
        </w:rPr>
      </w:pPr>
      <w:r w:rsidRPr="00E80ED6">
        <w:rPr>
          <w:rFonts w:ascii="Tahoma" w:hAnsi="Tahoma" w:cs="Tahoma"/>
          <w:iCs/>
          <w:sz w:val="22"/>
          <w:szCs w:val="22"/>
        </w:rPr>
        <w:t>P</w:t>
      </w:r>
      <w:r w:rsidRPr="00E80ED6">
        <w:rPr>
          <w:rFonts w:ascii="Tahoma" w:hAnsi="Tahoma" w:cs="Tahoma"/>
          <w:sz w:val="22"/>
          <w:szCs w:val="22"/>
        </w:rPr>
        <w:t xml:space="preserve">rocede la Judicatura a resolver la impugnación propuesta contra la sentencia proferida el día </w:t>
      </w:r>
      <w:r w:rsidR="00AF4A58" w:rsidRPr="00E80ED6">
        <w:rPr>
          <w:rFonts w:ascii="Tahoma" w:hAnsi="Tahoma" w:cs="Tahoma"/>
          <w:sz w:val="22"/>
          <w:szCs w:val="22"/>
        </w:rPr>
        <w:t>15</w:t>
      </w:r>
      <w:r w:rsidRPr="00E80ED6">
        <w:rPr>
          <w:rFonts w:ascii="Tahoma" w:hAnsi="Tahoma" w:cs="Tahoma"/>
          <w:sz w:val="22"/>
          <w:szCs w:val="22"/>
        </w:rPr>
        <w:t xml:space="preserve"> de </w:t>
      </w:r>
      <w:r w:rsidR="00AF4A58" w:rsidRPr="00E80ED6">
        <w:rPr>
          <w:rFonts w:ascii="Tahoma" w:hAnsi="Tahoma" w:cs="Tahoma"/>
          <w:sz w:val="22"/>
          <w:szCs w:val="22"/>
        </w:rPr>
        <w:t>mayo</w:t>
      </w:r>
      <w:r w:rsidRPr="00E80ED6">
        <w:rPr>
          <w:rFonts w:ascii="Tahoma" w:hAnsi="Tahoma" w:cs="Tahoma"/>
          <w:sz w:val="22"/>
          <w:szCs w:val="22"/>
        </w:rPr>
        <w:t xml:space="preserve"> de 2017 por el Juzgado </w:t>
      </w:r>
      <w:r w:rsidR="00AF4A58" w:rsidRPr="00E80ED6">
        <w:rPr>
          <w:rFonts w:ascii="Tahoma" w:hAnsi="Tahoma" w:cs="Tahoma"/>
          <w:sz w:val="22"/>
          <w:szCs w:val="22"/>
        </w:rPr>
        <w:t>Cuart</w:t>
      </w:r>
      <w:r w:rsidRPr="00E80ED6">
        <w:rPr>
          <w:rFonts w:ascii="Tahoma" w:hAnsi="Tahoma" w:cs="Tahoma"/>
          <w:sz w:val="22"/>
          <w:szCs w:val="22"/>
        </w:rPr>
        <w:t>o Laboral del Circuito de Pereira, dentro de la acción de tutela impetrada por</w:t>
      </w:r>
      <w:r w:rsidRPr="00E80ED6">
        <w:rPr>
          <w:rFonts w:ascii="Tahoma" w:hAnsi="Tahoma" w:cs="Tahoma"/>
          <w:b/>
          <w:sz w:val="22"/>
          <w:szCs w:val="22"/>
        </w:rPr>
        <w:t xml:space="preserve"> José Álvaro Monroy Castaño</w:t>
      </w:r>
      <w:r w:rsidRPr="00E80ED6">
        <w:rPr>
          <w:rFonts w:ascii="Tahoma" w:hAnsi="Tahoma" w:cs="Tahoma"/>
          <w:sz w:val="22"/>
          <w:szCs w:val="22"/>
        </w:rPr>
        <w:t xml:space="preserve">, en </w:t>
      </w:r>
      <w:r w:rsidRPr="00E80ED6">
        <w:rPr>
          <w:rFonts w:ascii="Tahoma" w:hAnsi="Tahoma" w:cs="Tahoma"/>
          <w:bCs/>
          <w:sz w:val="22"/>
          <w:szCs w:val="22"/>
        </w:rPr>
        <w:t xml:space="preserve">contra de la </w:t>
      </w:r>
      <w:r w:rsidRPr="00E80ED6">
        <w:rPr>
          <w:rFonts w:ascii="Tahoma" w:hAnsi="Tahoma" w:cs="Tahoma"/>
          <w:b/>
          <w:bCs/>
          <w:sz w:val="22"/>
          <w:szCs w:val="22"/>
        </w:rPr>
        <w:t>Administradora Colombiana de Pensiones - Colpensiones,</w:t>
      </w:r>
      <w:r w:rsidRPr="00E80ED6">
        <w:rPr>
          <w:rFonts w:ascii="Tahoma" w:hAnsi="Tahoma" w:cs="Tahoma"/>
          <w:bCs/>
          <w:sz w:val="22"/>
          <w:szCs w:val="22"/>
        </w:rPr>
        <w:t xml:space="preserve"> a través de la cual pretende se le amparen los derechos fundamentales a la</w:t>
      </w:r>
      <w:r w:rsidRPr="00E80ED6">
        <w:rPr>
          <w:rFonts w:ascii="Tahoma" w:hAnsi="Tahoma" w:cs="Tahoma"/>
          <w:sz w:val="22"/>
          <w:szCs w:val="22"/>
        </w:rPr>
        <w:t xml:space="preserve"> </w:t>
      </w:r>
      <w:r w:rsidRPr="00E80ED6">
        <w:rPr>
          <w:rFonts w:ascii="Tahoma" w:hAnsi="Tahoma" w:cs="Tahoma"/>
          <w:b/>
          <w:sz w:val="22"/>
          <w:szCs w:val="22"/>
        </w:rPr>
        <w:t>seguridad social y al debido proceso</w:t>
      </w:r>
      <w:r w:rsidRPr="00E80ED6">
        <w:rPr>
          <w:rFonts w:ascii="Tahoma" w:hAnsi="Tahoma" w:cs="Tahoma"/>
          <w:bCs/>
          <w:sz w:val="22"/>
          <w:szCs w:val="22"/>
        </w:rPr>
        <w:t xml:space="preserve">. </w:t>
      </w:r>
    </w:p>
    <w:p w:rsidR="00043660" w:rsidRPr="007E2C08" w:rsidRDefault="00043660" w:rsidP="009E50BE">
      <w:pPr>
        <w:spacing w:line="276" w:lineRule="auto"/>
        <w:ind w:right="3" w:firstLine="708"/>
        <w:jc w:val="both"/>
        <w:rPr>
          <w:rFonts w:ascii="Tahoma" w:hAnsi="Tahoma" w:cs="Tahoma"/>
          <w:bCs/>
        </w:rPr>
      </w:pPr>
    </w:p>
    <w:p w:rsidR="00A416B0" w:rsidRPr="00BA5A05" w:rsidRDefault="00A416B0" w:rsidP="009E50BE">
      <w:pPr>
        <w:pStyle w:val="Ttulo4"/>
        <w:numPr>
          <w:ilvl w:val="0"/>
          <w:numId w:val="2"/>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BA5A05">
        <w:rPr>
          <w:rFonts w:ascii="Tahoma" w:hAnsi="Tahoma" w:cs="Tahoma"/>
          <w:sz w:val="22"/>
          <w:szCs w:val="22"/>
        </w:rPr>
        <w:t>La demanda</w:t>
      </w:r>
    </w:p>
    <w:p w:rsidR="00A416B0" w:rsidRPr="00BA5A05" w:rsidRDefault="00A416B0" w:rsidP="009E50BE">
      <w:pPr>
        <w:pStyle w:val="Sinespaciado"/>
        <w:spacing w:line="276" w:lineRule="auto"/>
        <w:ind w:firstLine="708"/>
        <w:jc w:val="both"/>
        <w:rPr>
          <w:rFonts w:ascii="Tahoma" w:hAnsi="Tahoma" w:cs="Tahoma"/>
        </w:rPr>
      </w:pPr>
    </w:p>
    <w:p w:rsidR="00A416B0" w:rsidRDefault="00BA3E25" w:rsidP="009E50BE">
      <w:pPr>
        <w:pStyle w:val="Sinespaciado"/>
        <w:spacing w:line="276" w:lineRule="auto"/>
        <w:ind w:firstLine="708"/>
        <w:jc w:val="both"/>
        <w:rPr>
          <w:rFonts w:ascii="Tahoma" w:hAnsi="Tahoma" w:cs="Tahoma"/>
        </w:rPr>
      </w:pPr>
      <w:r>
        <w:rPr>
          <w:rFonts w:ascii="Tahoma" w:hAnsi="Tahoma" w:cs="Tahoma"/>
        </w:rPr>
        <w:t xml:space="preserve"> </w:t>
      </w:r>
      <w:r w:rsidR="007A6934">
        <w:rPr>
          <w:rFonts w:ascii="Tahoma" w:hAnsi="Tahoma" w:cs="Tahoma"/>
        </w:rPr>
        <w:t>Manifestó</w:t>
      </w:r>
      <w:r w:rsidR="00A416B0" w:rsidRPr="00BA5A05">
        <w:rPr>
          <w:rFonts w:ascii="Tahoma" w:hAnsi="Tahoma" w:cs="Tahoma"/>
        </w:rPr>
        <w:t xml:space="preserve"> el</w:t>
      </w:r>
      <w:r w:rsidR="00A416B0">
        <w:rPr>
          <w:rFonts w:ascii="Tahoma" w:hAnsi="Tahoma" w:cs="Tahoma"/>
        </w:rPr>
        <w:t xml:space="preserve"> apoderado judicial, </w:t>
      </w:r>
      <w:r w:rsidR="00A416B0" w:rsidRPr="00BA5A05">
        <w:rPr>
          <w:rFonts w:ascii="Tahoma" w:hAnsi="Tahoma" w:cs="Tahoma"/>
        </w:rPr>
        <w:t>que</w:t>
      </w:r>
      <w:r w:rsidR="00A416B0">
        <w:rPr>
          <w:rFonts w:ascii="Tahoma" w:hAnsi="Tahoma" w:cs="Tahoma"/>
        </w:rPr>
        <w:t xml:space="preserve"> el señor José Álvaro Monroy Castaño padece de severos problemas de salud,</w:t>
      </w:r>
      <w:r w:rsidR="00A416B0" w:rsidRPr="00247DE9">
        <w:rPr>
          <w:rFonts w:ascii="Tahoma" w:hAnsi="Tahoma" w:cs="Tahoma"/>
        </w:rPr>
        <w:t xml:space="preserve"> </w:t>
      </w:r>
      <w:r w:rsidR="00A416B0">
        <w:rPr>
          <w:rFonts w:ascii="Tahoma" w:hAnsi="Tahoma" w:cs="Tahoma"/>
        </w:rPr>
        <w:t xml:space="preserve">entre ellos: enfermedad isquémica del corazón, hipertensión arterial esencial y presencia de angioplastia. Por este motivo </w:t>
      </w:r>
      <w:r w:rsidR="005A5800">
        <w:rPr>
          <w:rFonts w:ascii="Tahoma" w:hAnsi="Tahoma" w:cs="Tahoma"/>
        </w:rPr>
        <w:t xml:space="preserve">inició </w:t>
      </w:r>
      <w:r w:rsidR="00A416B0">
        <w:rPr>
          <w:rFonts w:ascii="Tahoma" w:hAnsi="Tahoma" w:cs="Tahoma"/>
        </w:rPr>
        <w:t>proceso de pérdida de capacidad laboral ante Colpensiones</w:t>
      </w:r>
      <w:r>
        <w:rPr>
          <w:rFonts w:ascii="Tahoma" w:hAnsi="Tahoma" w:cs="Tahoma"/>
        </w:rPr>
        <w:t>,</w:t>
      </w:r>
      <w:r w:rsidR="00A416B0">
        <w:rPr>
          <w:rFonts w:ascii="Tahoma" w:hAnsi="Tahoma" w:cs="Tahoma"/>
        </w:rPr>
        <w:t xml:space="preserve"> entidad en la que realizó </w:t>
      </w:r>
      <w:r w:rsidR="0090592C">
        <w:rPr>
          <w:rFonts w:ascii="Tahoma" w:hAnsi="Tahoma" w:cs="Tahoma"/>
        </w:rPr>
        <w:t>las cotizaciones con el</w:t>
      </w:r>
      <w:r w:rsidR="00A416B0">
        <w:rPr>
          <w:rFonts w:ascii="Tahoma" w:hAnsi="Tahoma" w:cs="Tahoma"/>
        </w:rPr>
        <w:t xml:space="preserve"> fin de cubrir los riegos de vejez, invalidez y muerte.</w:t>
      </w:r>
    </w:p>
    <w:p w:rsidR="00A416B0" w:rsidRPr="00BA5A05" w:rsidRDefault="00A416B0" w:rsidP="009E50BE">
      <w:pPr>
        <w:pStyle w:val="Sinespaciado"/>
        <w:spacing w:line="276" w:lineRule="auto"/>
        <w:ind w:firstLine="708"/>
        <w:jc w:val="both"/>
        <w:rPr>
          <w:rFonts w:ascii="Tahoma" w:hAnsi="Tahoma" w:cs="Tahoma"/>
        </w:rPr>
      </w:pPr>
    </w:p>
    <w:p w:rsidR="00A416B0" w:rsidRPr="00BA5A05" w:rsidRDefault="00A416B0" w:rsidP="009E50BE">
      <w:pPr>
        <w:pStyle w:val="Sinespaciado"/>
        <w:spacing w:line="276" w:lineRule="auto"/>
        <w:ind w:firstLine="708"/>
        <w:jc w:val="both"/>
        <w:rPr>
          <w:rFonts w:ascii="Tahoma" w:hAnsi="Tahoma" w:cs="Tahoma"/>
        </w:rPr>
      </w:pPr>
      <w:r w:rsidRPr="00BA5A05">
        <w:rPr>
          <w:rFonts w:ascii="Tahoma" w:hAnsi="Tahoma" w:cs="Tahoma"/>
        </w:rPr>
        <w:t>Indic</w:t>
      </w:r>
      <w:r w:rsidR="007A6934">
        <w:rPr>
          <w:rFonts w:ascii="Tahoma" w:hAnsi="Tahoma" w:cs="Tahoma"/>
        </w:rPr>
        <w:t>ó</w:t>
      </w:r>
      <w:r w:rsidRPr="00BA5A05">
        <w:rPr>
          <w:rFonts w:ascii="Tahoma" w:hAnsi="Tahoma" w:cs="Tahoma"/>
        </w:rPr>
        <w:t xml:space="preserve"> que </w:t>
      </w:r>
      <w:r>
        <w:rPr>
          <w:rFonts w:ascii="Tahoma" w:hAnsi="Tahoma" w:cs="Tahoma"/>
        </w:rPr>
        <w:t>fue calificado el 25 de julio de 2016</w:t>
      </w:r>
      <w:r w:rsidR="007A6934">
        <w:rPr>
          <w:rFonts w:ascii="Tahoma" w:hAnsi="Tahoma" w:cs="Tahoma"/>
        </w:rPr>
        <w:t>,</w:t>
      </w:r>
      <w:r>
        <w:rPr>
          <w:rFonts w:ascii="Tahoma" w:hAnsi="Tahoma" w:cs="Tahoma"/>
        </w:rPr>
        <w:t xml:space="preserve"> por parte de la Junta Regional de Calificación de Invalidez de Risaralda, con pérdida de capacidad laboral del 46.80% estru</w:t>
      </w:r>
      <w:r w:rsidR="007A6934">
        <w:rPr>
          <w:rFonts w:ascii="Tahoma" w:hAnsi="Tahoma" w:cs="Tahoma"/>
        </w:rPr>
        <w:t xml:space="preserve">cturada el 20 de junio de 2012, originada por </w:t>
      </w:r>
      <w:r>
        <w:rPr>
          <w:rFonts w:ascii="Tahoma" w:hAnsi="Tahoma" w:cs="Tahoma"/>
        </w:rPr>
        <w:t>enfermedad de origen común.</w:t>
      </w:r>
    </w:p>
    <w:p w:rsidR="00A416B0" w:rsidRPr="00BA5A05" w:rsidRDefault="00A416B0" w:rsidP="009E50BE">
      <w:pPr>
        <w:pStyle w:val="Sinespaciado"/>
        <w:spacing w:line="276" w:lineRule="auto"/>
        <w:ind w:firstLine="708"/>
        <w:jc w:val="both"/>
        <w:rPr>
          <w:rFonts w:ascii="Tahoma" w:hAnsi="Tahoma" w:cs="Tahoma"/>
        </w:rPr>
      </w:pPr>
    </w:p>
    <w:p w:rsidR="00A416B0" w:rsidRDefault="008C6819" w:rsidP="009E50BE">
      <w:pPr>
        <w:pStyle w:val="Sinespaciado"/>
        <w:spacing w:line="276" w:lineRule="auto"/>
        <w:ind w:firstLine="708"/>
        <w:jc w:val="both"/>
        <w:rPr>
          <w:rFonts w:ascii="Tahoma" w:hAnsi="Tahoma" w:cs="Tahoma"/>
        </w:rPr>
      </w:pPr>
      <w:r>
        <w:rPr>
          <w:rFonts w:ascii="Tahoma" w:hAnsi="Tahoma" w:cs="Tahoma"/>
        </w:rPr>
        <w:t>Refirió</w:t>
      </w:r>
      <w:r w:rsidR="00A416B0" w:rsidRPr="00BA5A05">
        <w:rPr>
          <w:rFonts w:ascii="Tahoma" w:hAnsi="Tahoma" w:cs="Tahoma"/>
        </w:rPr>
        <w:t xml:space="preserve"> que</w:t>
      </w:r>
      <w:r w:rsidR="00A416B0">
        <w:rPr>
          <w:rFonts w:ascii="Tahoma" w:hAnsi="Tahoma" w:cs="Tahoma"/>
        </w:rPr>
        <w:t xml:space="preserve"> posteriormente a dicha calificación</w:t>
      </w:r>
      <w:r w:rsidR="00013200">
        <w:rPr>
          <w:rFonts w:ascii="Tahoma" w:hAnsi="Tahoma" w:cs="Tahoma"/>
        </w:rPr>
        <w:t>,</w:t>
      </w:r>
      <w:r w:rsidR="00A416B0">
        <w:rPr>
          <w:rFonts w:ascii="Tahoma" w:hAnsi="Tahoma" w:cs="Tahoma"/>
        </w:rPr>
        <w:t xml:space="preserve"> le diagnosticaron episodio depresivo grave sin síntomas psicóticos, por lo que solicitó </w:t>
      </w:r>
      <w:r w:rsidR="007A6934">
        <w:rPr>
          <w:rFonts w:ascii="Tahoma" w:hAnsi="Tahoma" w:cs="Tahoma"/>
        </w:rPr>
        <w:t xml:space="preserve">a Colpensiones </w:t>
      </w:r>
      <w:r w:rsidR="00A416B0">
        <w:rPr>
          <w:rFonts w:ascii="Tahoma" w:hAnsi="Tahoma" w:cs="Tahoma"/>
        </w:rPr>
        <w:t xml:space="preserve">el 7 de febrero de 2017 </w:t>
      </w:r>
      <w:r w:rsidR="007A6934">
        <w:rPr>
          <w:rFonts w:ascii="Tahoma" w:hAnsi="Tahoma" w:cs="Tahoma"/>
        </w:rPr>
        <w:t xml:space="preserve">por medio de </w:t>
      </w:r>
      <w:r w:rsidR="00A416B0">
        <w:rPr>
          <w:rFonts w:ascii="Tahoma" w:hAnsi="Tahoma" w:cs="Tahoma"/>
        </w:rPr>
        <w:t>derecho de petición</w:t>
      </w:r>
      <w:r w:rsidR="007A6934">
        <w:rPr>
          <w:rFonts w:ascii="Tahoma" w:hAnsi="Tahoma" w:cs="Tahoma"/>
        </w:rPr>
        <w:t xml:space="preserve">, </w:t>
      </w:r>
      <w:r w:rsidR="00A416B0">
        <w:rPr>
          <w:rFonts w:ascii="Tahoma" w:hAnsi="Tahoma" w:cs="Tahoma"/>
        </w:rPr>
        <w:t xml:space="preserve">que le realizara una nueva calificación de la pérdida de capacidad laboral </w:t>
      </w:r>
      <w:r w:rsidR="00A416B0" w:rsidRPr="00BA5A05">
        <w:rPr>
          <w:rFonts w:ascii="Tahoma" w:hAnsi="Tahoma" w:cs="Tahoma"/>
        </w:rPr>
        <w:t xml:space="preserve"> </w:t>
      </w:r>
      <w:r w:rsidR="00A416B0">
        <w:rPr>
          <w:rFonts w:ascii="Tahoma" w:hAnsi="Tahoma" w:cs="Tahoma"/>
        </w:rPr>
        <w:t>teniendo en cuenta el deterioro de su cuadro patológico. El 20 de f</w:t>
      </w:r>
      <w:r w:rsidR="007A6934">
        <w:rPr>
          <w:rFonts w:ascii="Tahoma" w:hAnsi="Tahoma" w:cs="Tahoma"/>
        </w:rPr>
        <w:t xml:space="preserve">ebrero de 2017 la entidad </w:t>
      </w:r>
      <w:r w:rsidR="00013200">
        <w:rPr>
          <w:rFonts w:ascii="Tahoma" w:hAnsi="Tahoma" w:cs="Tahoma"/>
        </w:rPr>
        <w:t>dio</w:t>
      </w:r>
      <w:r w:rsidR="00A416B0">
        <w:rPr>
          <w:rFonts w:ascii="Tahoma" w:hAnsi="Tahoma" w:cs="Tahoma"/>
        </w:rPr>
        <w:t xml:space="preserve"> respuesta indicándole que por regla general no pueden realizar calificación de pérdida de capacidad laboral hasta que no haya transcurrido un año de</w:t>
      </w:r>
      <w:r w:rsidR="007A6934">
        <w:rPr>
          <w:rFonts w:ascii="Tahoma" w:hAnsi="Tahoma" w:cs="Tahoma"/>
        </w:rPr>
        <w:t>sde el último dictamen proferid</w:t>
      </w:r>
      <w:r w:rsidR="00013200">
        <w:rPr>
          <w:rFonts w:ascii="Tahoma" w:hAnsi="Tahoma" w:cs="Tahoma"/>
        </w:rPr>
        <w:t>o</w:t>
      </w:r>
      <w:r w:rsidR="00A416B0">
        <w:rPr>
          <w:rFonts w:ascii="Tahoma" w:hAnsi="Tahoma" w:cs="Tahoma"/>
        </w:rPr>
        <w:t>, pero que teniendo en cuenta que el accionante había demostrado la existencia de una nueva enfermedad podía soli</w:t>
      </w:r>
      <w:r w:rsidR="00013200">
        <w:rPr>
          <w:rFonts w:ascii="Tahoma" w:hAnsi="Tahoma" w:cs="Tahoma"/>
        </w:rPr>
        <w:t>citar cita c</w:t>
      </w:r>
      <w:r w:rsidR="00FE309C">
        <w:rPr>
          <w:rFonts w:ascii="Tahoma" w:hAnsi="Tahoma" w:cs="Tahoma"/>
        </w:rPr>
        <w:t>on medicina labora;</w:t>
      </w:r>
      <w:r w:rsidR="00013200">
        <w:rPr>
          <w:rFonts w:ascii="Tahoma" w:hAnsi="Tahoma" w:cs="Tahoma"/>
        </w:rPr>
        <w:t xml:space="preserve"> sin embargo a</w:t>
      </w:r>
      <w:r w:rsidR="00A416B0">
        <w:rPr>
          <w:rFonts w:ascii="Tahoma" w:hAnsi="Tahoma" w:cs="Tahoma"/>
        </w:rPr>
        <w:t xml:space="preserve">l momento de acercarse a las instalaciones </w:t>
      </w:r>
      <w:r w:rsidR="00A416B0">
        <w:rPr>
          <w:rFonts w:ascii="Tahoma" w:hAnsi="Tahoma" w:cs="Tahoma"/>
        </w:rPr>
        <w:lastRenderedPageBreak/>
        <w:t xml:space="preserve">de la entidad para solicitar la autorización le </w:t>
      </w:r>
      <w:r w:rsidR="007A6934">
        <w:rPr>
          <w:rFonts w:ascii="Tahoma" w:hAnsi="Tahoma" w:cs="Tahoma"/>
        </w:rPr>
        <w:t>negaron</w:t>
      </w:r>
      <w:r w:rsidR="00A416B0">
        <w:rPr>
          <w:rFonts w:ascii="Tahoma" w:hAnsi="Tahoma" w:cs="Tahoma"/>
        </w:rPr>
        <w:t xml:space="preserve"> el servicio por haber recibido indemnización sustitutiva de pensión de vejez</w:t>
      </w:r>
      <w:r w:rsidR="00FE7120" w:rsidRPr="00FE7120">
        <w:rPr>
          <w:rFonts w:ascii="Tahoma" w:hAnsi="Tahoma" w:cs="Tahoma"/>
        </w:rPr>
        <w:t xml:space="preserve"> </w:t>
      </w:r>
      <w:r w:rsidR="00FE7120">
        <w:rPr>
          <w:rFonts w:ascii="Tahoma" w:hAnsi="Tahoma" w:cs="Tahoma"/>
        </w:rPr>
        <w:t>en el año 2001</w:t>
      </w:r>
      <w:r w:rsidR="00A416B0">
        <w:rPr>
          <w:rFonts w:ascii="Tahoma" w:hAnsi="Tahoma" w:cs="Tahoma"/>
        </w:rPr>
        <w:t>.</w:t>
      </w:r>
    </w:p>
    <w:p w:rsidR="00013200" w:rsidRDefault="00013200" w:rsidP="009E50BE">
      <w:pPr>
        <w:pStyle w:val="Sinespaciado"/>
        <w:spacing w:line="276" w:lineRule="auto"/>
        <w:ind w:firstLine="708"/>
        <w:jc w:val="both"/>
        <w:rPr>
          <w:rFonts w:ascii="Tahoma" w:hAnsi="Tahoma" w:cs="Tahoma"/>
        </w:rPr>
      </w:pPr>
    </w:p>
    <w:p w:rsidR="00A416B0" w:rsidRPr="00BA5A05" w:rsidRDefault="00A416B0" w:rsidP="009E50BE">
      <w:pPr>
        <w:pStyle w:val="Sinespaciado"/>
        <w:spacing w:line="276" w:lineRule="auto"/>
        <w:ind w:firstLine="708"/>
        <w:jc w:val="both"/>
        <w:rPr>
          <w:rFonts w:ascii="Tahoma" w:hAnsi="Tahoma" w:cs="Tahoma"/>
        </w:rPr>
      </w:pPr>
      <w:r>
        <w:rPr>
          <w:rFonts w:ascii="Tahoma" w:hAnsi="Tahoma" w:cs="Tahoma"/>
        </w:rPr>
        <w:t>Manif</w:t>
      </w:r>
      <w:r w:rsidR="000D4CD3">
        <w:rPr>
          <w:rFonts w:ascii="Tahoma" w:hAnsi="Tahoma" w:cs="Tahoma"/>
        </w:rPr>
        <w:t>estó</w:t>
      </w:r>
      <w:r>
        <w:rPr>
          <w:rFonts w:ascii="Tahoma" w:hAnsi="Tahoma" w:cs="Tahoma"/>
        </w:rPr>
        <w:t xml:space="preserve"> que el haber recibido indemnización sustitutiva de pens</w:t>
      </w:r>
      <w:r w:rsidR="005878C5">
        <w:rPr>
          <w:rFonts w:ascii="Tahoma" w:hAnsi="Tahoma" w:cs="Tahoma"/>
        </w:rPr>
        <w:t>ión de vejez, solo ocasionó la</w:t>
      </w:r>
      <w:r>
        <w:rPr>
          <w:rFonts w:ascii="Tahoma" w:hAnsi="Tahoma" w:cs="Tahoma"/>
        </w:rPr>
        <w:t xml:space="preserve"> renuncia a los derechos derivados de este riesgo, quedando incólumes los derechos derivados de la invalidez y la muerte, </w:t>
      </w:r>
      <w:r w:rsidR="00FE309C">
        <w:rPr>
          <w:rFonts w:ascii="Tahoma" w:hAnsi="Tahoma" w:cs="Tahoma"/>
        </w:rPr>
        <w:t>según</w:t>
      </w:r>
      <w:r>
        <w:rPr>
          <w:rFonts w:ascii="Tahoma" w:hAnsi="Tahoma" w:cs="Tahoma"/>
        </w:rPr>
        <w:t xml:space="preserve"> la posición sostenida por la Sala Laboral de la Corte Suprema de Justicia en sentencia del 22 de mayo de 2013, radicado 46315 y la sentencia T 606 de 2014 de la Corte Constitucional.</w:t>
      </w:r>
    </w:p>
    <w:p w:rsidR="00A416B0" w:rsidRPr="00BA5A05" w:rsidRDefault="00A416B0" w:rsidP="009E50BE">
      <w:pPr>
        <w:pStyle w:val="Sinespaciado"/>
        <w:spacing w:line="276" w:lineRule="auto"/>
        <w:ind w:firstLine="708"/>
        <w:jc w:val="both"/>
        <w:rPr>
          <w:rFonts w:ascii="Tahoma" w:hAnsi="Tahoma" w:cs="Tahoma"/>
        </w:rPr>
      </w:pPr>
    </w:p>
    <w:p w:rsidR="00A416B0" w:rsidRDefault="005878C5" w:rsidP="009E50BE">
      <w:pPr>
        <w:pStyle w:val="Sinespaciado"/>
        <w:spacing w:line="276" w:lineRule="auto"/>
        <w:ind w:firstLine="708"/>
        <w:jc w:val="both"/>
        <w:rPr>
          <w:rFonts w:ascii="Tahoma" w:hAnsi="Tahoma" w:cs="Tahoma"/>
        </w:rPr>
      </w:pPr>
      <w:r>
        <w:rPr>
          <w:rFonts w:ascii="Tahoma" w:hAnsi="Tahoma" w:cs="Tahoma"/>
        </w:rPr>
        <w:t>Conforme a los hechos narrados el actor solicita</w:t>
      </w:r>
      <w:r w:rsidR="00A416B0" w:rsidRPr="00BA5A05">
        <w:rPr>
          <w:rFonts w:ascii="Tahoma" w:hAnsi="Tahoma" w:cs="Tahoma"/>
        </w:rPr>
        <w:t xml:space="preserve"> que por medio de la acción constitucional se amparen los derechos fundamentales </w:t>
      </w:r>
      <w:r w:rsidR="00A416B0">
        <w:rPr>
          <w:rFonts w:ascii="Tahoma" w:hAnsi="Tahoma" w:cs="Tahoma"/>
        </w:rPr>
        <w:t xml:space="preserve">a la </w:t>
      </w:r>
      <w:r w:rsidR="00A416B0" w:rsidRPr="00BA5A05">
        <w:rPr>
          <w:rFonts w:ascii="Tahoma" w:hAnsi="Tahoma" w:cs="Tahoma"/>
        </w:rPr>
        <w:t>seguridad social</w:t>
      </w:r>
      <w:r w:rsidR="00A416B0">
        <w:rPr>
          <w:rFonts w:ascii="Tahoma" w:hAnsi="Tahoma" w:cs="Tahoma"/>
        </w:rPr>
        <w:t xml:space="preserve"> y al </w:t>
      </w:r>
      <w:r w:rsidR="00A416B0" w:rsidRPr="00BA5A05">
        <w:rPr>
          <w:rFonts w:ascii="Tahoma" w:hAnsi="Tahoma" w:cs="Tahoma"/>
        </w:rPr>
        <w:t>debido proceso,</w:t>
      </w:r>
      <w:r w:rsidR="00A416B0">
        <w:rPr>
          <w:rFonts w:ascii="Tahoma" w:hAnsi="Tahoma" w:cs="Tahoma"/>
        </w:rPr>
        <w:t xml:space="preserve"> </w:t>
      </w:r>
      <w:r w:rsidR="00E71911">
        <w:rPr>
          <w:rFonts w:ascii="Tahoma" w:hAnsi="Tahoma" w:cs="Tahoma"/>
        </w:rPr>
        <w:t>porque</w:t>
      </w:r>
      <w:r>
        <w:rPr>
          <w:rFonts w:ascii="Tahoma" w:hAnsi="Tahoma" w:cs="Tahoma"/>
        </w:rPr>
        <w:t xml:space="preserve"> la entidad con </w:t>
      </w:r>
      <w:r w:rsidR="008D179C">
        <w:rPr>
          <w:rFonts w:ascii="Tahoma" w:hAnsi="Tahoma" w:cs="Tahoma"/>
        </w:rPr>
        <w:t>dicha</w:t>
      </w:r>
      <w:r>
        <w:rPr>
          <w:rFonts w:ascii="Tahoma" w:hAnsi="Tahoma" w:cs="Tahoma"/>
        </w:rPr>
        <w:t xml:space="preserve"> </w:t>
      </w:r>
      <w:r w:rsidR="00A416B0">
        <w:rPr>
          <w:rFonts w:ascii="Tahoma" w:hAnsi="Tahoma" w:cs="Tahoma"/>
        </w:rPr>
        <w:t>negativa</w:t>
      </w:r>
      <w:r>
        <w:rPr>
          <w:rFonts w:ascii="Tahoma" w:hAnsi="Tahoma" w:cs="Tahoma"/>
        </w:rPr>
        <w:t xml:space="preserve"> impide que pueda definir</w:t>
      </w:r>
      <w:r w:rsidR="00E71911">
        <w:rPr>
          <w:rFonts w:ascii="Tahoma" w:hAnsi="Tahoma" w:cs="Tahoma"/>
        </w:rPr>
        <w:t xml:space="preserve"> su situación pensional.</w:t>
      </w:r>
    </w:p>
    <w:p w:rsidR="00A416B0" w:rsidRPr="00BA5A05" w:rsidRDefault="00A416B0" w:rsidP="009E50BE">
      <w:pPr>
        <w:spacing w:line="276" w:lineRule="auto"/>
        <w:ind w:right="-187"/>
        <w:jc w:val="both"/>
        <w:rPr>
          <w:rFonts w:ascii="Tahoma" w:hAnsi="Tahoma" w:cs="Tahoma"/>
        </w:rPr>
      </w:pPr>
    </w:p>
    <w:p w:rsidR="00A416B0" w:rsidRPr="00D31BEE" w:rsidRDefault="00A416B0" w:rsidP="009E50BE">
      <w:pPr>
        <w:pStyle w:val="Ttulo4"/>
        <w:numPr>
          <w:ilvl w:val="0"/>
          <w:numId w:val="2"/>
        </w:numPr>
        <w:tabs>
          <w:tab w:val="clear" w:pos="0"/>
          <w:tab w:val="clear" w:pos="1080"/>
        </w:tabs>
        <w:overflowPunct/>
        <w:autoSpaceDE/>
        <w:autoSpaceDN/>
        <w:adjustRightInd/>
        <w:spacing w:line="276" w:lineRule="auto"/>
        <w:ind w:left="0" w:firstLine="0"/>
        <w:textAlignment w:val="auto"/>
        <w:rPr>
          <w:rFonts w:ascii="Tahoma" w:hAnsi="Tahoma" w:cs="Tahoma"/>
          <w:sz w:val="22"/>
          <w:szCs w:val="22"/>
        </w:rPr>
      </w:pPr>
      <w:r w:rsidRPr="00D31BEE">
        <w:rPr>
          <w:rFonts w:ascii="Tahoma" w:hAnsi="Tahoma" w:cs="Tahoma"/>
          <w:sz w:val="22"/>
          <w:szCs w:val="22"/>
        </w:rPr>
        <w:t>Contestación de la demanda</w:t>
      </w:r>
    </w:p>
    <w:p w:rsidR="00A416B0" w:rsidRPr="00D31BEE" w:rsidRDefault="00A416B0" w:rsidP="009E50BE">
      <w:pPr>
        <w:spacing w:line="276" w:lineRule="auto"/>
        <w:rPr>
          <w:sz w:val="22"/>
          <w:szCs w:val="22"/>
        </w:rPr>
      </w:pPr>
    </w:p>
    <w:p w:rsidR="00A416B0" w:rsidRPr="00D31BEE" w:rsidRDefault="009A3D6E" w:rsidP="009E50BE">
      <w:pPr>
        <w:spacing w:line="276" w:lineRule="auto"/>
        <w:ind w:right="-187" w:firstLine="708"/>
        <w:jc w:val="both"/>
        <w:rPr>
          <w:rFonts w:ascii="Tahoma" w:hAnsi="Tahoma" w:cs="Tahoma"/>
          <w:sz w:val="22"/>
          <w:szCs w:val="22"/>
        </w:rPr>
      </w:pPr>
      <w:r w:rsidRPr="00D31BEE">
        <w:rPr>
          <w:rFonts w:ascii="Tahoma" w:hAnsi="Tahoma" w:cs="Tahoma"/>
          <w:sz w:val="22"/>
          <w:szCs w:val="22"/>
        </w:rPr>
        <w:t xml:space="preserve">Colpensiones </w:t>
      </w:r>
      <w:r w:rsidR="00A416B0" w:rsidRPr="00D31BEE">
        <w:rPr>
          <w:rFonts w:ascii="Tahoma" w:hAnsi="Tahoma" w:cs="Tahoma"/>
          <w:sz w:val="22"/>
          <w:szCs w:val="22"/>
        </w:rPr>
        <w:t xml:space="preserve">indicó que no es procedente hacer la calificación de pérdida de capacidad laboral porque el accionante recibió indemnización sustitutiva por parte del régimen de prima media, específicamente por el seguro social, mediante resolución 2934 de 2001, por el valor de 1.587.667 pesos, </w:t>
      </w:r>
      <w:r w:rsidRPr="00D31BEE">
        <w:rPr>
          <w:rFonts w:ascii="Tahoma" w:hAnsi="Tahoma" w:cs="Tahoma"/>
          <w:sz w:val="22"/>
          <w:szCs w:val="22"/>
        </w:rPr>
        <w:t>y que al</w:t>
      </w:r>
      <w:r w:rsidR="00A416B0" w:rsidRPr="00D31BEE">
        <w:rPr>
          <w:rFonts w:ascii="Tahoma" w:hAnsi="Tahoma" w:cs="Tahoma"/>
          <w:sz w:val="22"/>
          <w:szCs w:val="22"/>
        </w:rPr>
        <w:t xml:space="preserve"> recib</w:t>
      </w:r>
      <w:r w:rsidRPr="00D31BEE">
        <w:rPr>
          <w:rFonts w:ascii="Tahoma" w:hAnsi="Tahoma" w:cs="Tahoma"/>
          <w:sz w:val="22"/>
          <w:szCs w:val="22"/>
        </w:rPr>
        <w:t>ir dicha indemnización configuró</w:t>
      </w:r>
      <w:r w:rsidR="00A416B0" w:rsidRPr="00D31BEE">
        <w:rPr>
          <w:rFonts w:ascii="Tahoma" w:hAnsi="Tahoma" w:cs="Tahoma"/>
          <w:sz w:val="22"/>
          <w:szCs w:val="22"/>
        </w:rPr>
        <w:t xml:space="preserve"> su retiro del sistema de seguridad social en pensiones, así haya seguido cotizando al sistema de pensiones y se encuentre activo laboralmente. Solicit</w:t>
      </w:r>
      <w:r w:rsidR="00730865">
        <w:rPr>
          <w:rFonts w:ascii="Tahoma" w:hAnsi="Tahoma" w:cs="Tahoma"/>
          <w:sz w:val="22"/>
          <w:szCs w:val="22"/>
        </w:rPr>
        <w:t>a</w:t>
      </w:r>
      <w:r w:rsidR="00A416B0" w:rsidRPr="00D31BEE">
        <w:rPr>
          <w:rFonts w:ascii="Tahoma" w:hAnsi="Tahoma" w:cs="Tahoma"/>
          <w:sz w:val="22"/>
          <w:szCs w:val="22"/>
        </w:rPr>
        <w:t xml:space="preserve"> que se declare improcedente la acción de tutela por carencia actual de objeto por hecho superado. </w:t>
      </w:r>
    </w:p>
    <w:p w:rsidR="00845871" w:rsidRPr="00BA5A05" w:rsidRDefault="00845871" w:rsidP="009E50BE">
      <w:pPr>
        <w:pStyle w:val="Sinespaciado"/>
        <w:spacing w:line="276" w:lineRule="auto"/>
        <w:jc w:val="both"/>
        <w:rPr>
          <w:rFonts w:ascii="Tahoma" w:hAnsi="Tahoma" w:cs="Tahoma"/>
        </w:rPr>
      </w:pPr>
    </w:p>
    <w:p w:rsidR="00A416B0" w:rsidRPr="00BA5A05" w:rsidRDefault="00A416B0" w:rsidP="009E50BE">
      <w:pPr>
        <w:pStyle w:val="Ttulo4"/>
        <w:numPr>
          <w:ilvl w:val="0"/>
          <w:numId w:val="2"/>
        </w:numPr>
        <w:tabs>
          <w:tab w:val="clear" w:pos="0"/>
          <w:tab w:val="clear" w:pos="1080"/>
        </w:tabs>
        <w:overflowPunct/>
        <w:autoSpaceDE/>
        <w:autoSpaceDN/>
        <w:adjustRightInd/>
        <w:spacing w:line="276" w:lineRule="auto"/>
        <w:ind w:left="0" w:firstLine="0"/>
        <w:textAlignment w:val="auto"/>
        <w:rPr>
          <w:rFonts w:ascii="Tahoma" w:hAnsi="Tahoma" w:cs="Tahoma"/>
          <w:sz w:val="22"/>
          <w:szCs w:val="22"/>
        </w:rPr>
      </w:pPr>
      <w:r w:rsidRPr="00BA5A05">
        <w:rPr>
          <w:rFonts w:ascii="Tahoma" w:hAnsi="Tahoma" w:cs="Tahoma"/>
          <w:sz w:val="22"/>
          <w:szCs w:val="22"/>
        </w:rPr>
        <w:t>Providencia impugnada</w:t>
      </w:r>
    </w:p>
    <w:p w:rsidR="00A416B0" w:rsidRPr="00BA5A05" w:rsidRDefault="00A416B0" w:rsidP="009E50BE">
      <w:pPr>
        <w:pStyle w:val="Sinespaciado"/>
        <w:spacing w:line="276" w:lineRule="auto"/>
        <w:ind w:firstLine="708"/>
        <w:jc w:val="both"/>
        <w:rPr>
          <w:rFonts w:ascii="Tahoma" w:hAnsi="Tahoma" w:cs="Tahoma"/>
        </w:rPr>
      </w:pPr>
    </w:p>
    <w:p w:rsidR="00A416B0" w:rsidRPr="00BA5A05" w:rsidRDefault="00A416B0" w:rsidP="009E50BE">
      <w:pPr>
        <w:pStyle w:val="Sinespaciado"/>
        <w:spacing w:line="276" w:lineRule="auto"/>
        <w:ind w:firstLine="708"/>
        <w:jc w:val="both"/>
        <w:rPr>
          <w:rFonts w:ascii="Tahoma" w:hAnsi="Tahoma" w:cs="Tahoma"/>
        </w:rPr>
      </w:pPr>
      <w:r w:rsidRPr="00BA5A05">
        <w:rPr>
          <w:rFonts w:ascii="Tahoma" w:hAnsi="Tahoma" w:cs="Tahoma"/>
        </w:rPr>
        <w:t>La Jueza de primer grado tutel</w:t>
      </w:r>
      <w:r w:rsidR="0098553D">
        <w:rPr>
          <w:rFonts w:ascii="Tahoma" w:hAnsi="Tahoma" w:cs="Tahoma"/>
        </w:rPr>
        <w:t>ó</w:t>
      </w:r>
      <w:r>
        <w:rPr>
          <w:rFonts w:ascii="Tahoma" w:hAnsi="Tahoma" w:cs="Tahoma"/>
        </w:rPr>
        <w:t xml:space="preserve"> el</w:t>
      </w:r>
      <w:r w:rsidRPr="00BA5A05">
        <w:rPr>
          <w:rFonts w:ascii="Tahoma" w:hAnsi="Tahoma" w:cs="Tahoma"/>
        </w:rPr>
        <w:t xml:space="preserve"> derecho fundamental</w:t>
      </w:r>
      <w:r>
        <w:rPr>
          <w:rFonts w:ascii="Tahoma" w:hAnsi="Tahoma" w:cs="Tahoma"/>
        </w:rPr>
        <w:t xml:space="preserve"> a la seguridad social, en lo que atañe a la valoración de la </w:t>
      </w:r>
      <w:r w:rsidR="00B87379">
        <w:rPr>
          <w:rFonts w:ascii="Tahoma" w:hAnsi="Tahoma" w:cs="Tahoma"/>
        </w:rPr>
        <w:t>pérdida</w:t>
      </w:r>
      <w:r>
        <w:rPr>
          <w:rFonts w:ascii="Tahoma" w:hAnsi="Tahoma" w:cs="Tahoma"/>
        </w:rPr>
        <w:t xml:space="preserve"> de capacidad laboral del señor José Álvaro Monroy Cataño</w:t>
      </w:r>
      <w:r w:rsidRPr="00BA5A05">
        <w:rPr>
          <w:rFonts w:ascii="Tahoma" w:hAnsi="Tahoma" w:cs="Tahoma"/>
        </w:rPr>
        <w:t>.</w:t>
      </w:r>
    </w:p>
    <w:p w:rsidR="00A416B0" w:rsidRPr="00BA5A05" w:rsidRDefault="00A416B0" w:rsidP="009E50BE">
      <w:pPr>
        <w:pStyle w:val="Sinespaciado"/>
        <w:spacing w:line="276" w:lineRule="auto"/>
        <w:ind w:firstLine="708"/>
        <w:jc w:val="both"/>
        <w:rPr>
          <w:rFonts w:ascii="Tahoma" w:hAnsi="Tahoma" w:cs="Tahoma"/>
        </w:rPr>
      </w:pPr>
    </w:p>
    <w:p w:rsidR="00A416B0" w:rsidRDefault="00A416B0" w:rsidP="009E50BE">
      <w:pPr>
        <w:pStyle w:val="Sinespaciado"/>
        <w:spacing w:line="276" w:lineRule="auto"/>
        <w:ind w:firstLine="708"/>
        <w:jc w:val="both"/>
        <w:rPr>
          <w:rFonts w:ascii="Tahoma" w:hAnsi="Tahoma" w:cs="Tahoma"/>
        </w:rPr>
      </w:pPr>
      <w:r w:rsidRPr="00BA5A05">
        <w:rPr>
          <w:rFonts w:ascii="Tahoma" w:hAnsi="Tahoma" w:cs="Tahoma"/>
        </w:rPr>
        <w:t xml:space="preserve">Para llegar a tal conclusión </w:t>
      </w:r>
      <w:r>
        <w:rPr>
          <w:rFonts w:ascii="Tahoma" w:hAnsi="Tahoma" w:cs="Tahoma"/>
        </w:rPr>
        <w:t>indic</w:t>
      </w:r>
      <w:r w:rsidRPr="00BA5A05">
        <w:rPr>
          <w:rFonts w:ascii="Tahoma" w:hAnsi="Tahoma" w:cs="Tahoma"/>
        </w:rPr>
        <w:t>ó</w:t>
      </w:r>
      <w:r>
        <w:rPr>
          <w:rFonts w:ascii="Tahoma" w:hAnsi="Tahoma" w:cs="Tahoma"/>
        </w:rPr>
        <w:t>,</w:t>
      </w:r>
      <w:r w:rsidRPr="00BA5A05">
        <w:rPr>
          <w:rFonts w:ascii="Tahoma" w:hAnsi="Tahoma" w:cs="Tahoma"/>
        </w:rPr>
        <w:t xml:space="preserve"> que </w:t>
      </w:r>
      <w:r>
        <w:rPr>
          <w:rFonts w:ascii="Tahoma" w:hAnsi="Tahoma" w:cs="Tahoma"/>
        </w:rPr>
        <w:t>el objeto de la acción de tutela es la protección inmediata de los derechos fundamentales que se vulneren o amenazan por cualquier autoridad pública y aun por los particulares en los casos previstos en el artíc</w:t>
      </w:r>
      <w:r w:rsidR="00D45AD7">
        <w:rPr>
          <w:rFonts w:ascii="Tahoma" w:hAnsi="Tahoma" w:cs="Tahoma"/>
        </w:rPr>
        <w:t>ulo 42 del decreto 2591 de 1991</w:t>
      </w:r>
      <w:r>
        <w:rPr>
          <w:rFonts w:ascii="Tahoma" w:hAnsi="Tahoma" w:cs="Tahoma"/>
        </w:rPr>
        <w:t>.</w:t>
      </w:r>
    </w:p>
    <w:p w:rsidR="00A416B0" w:rsidRDefault="00A416B0" w:rsidP="009E50BE">
      <w:pPr>
        <w:pStyle w:val="Sinespaciado"/>
        <w:spacing w:line="276" w:lineRule="auto"/>
        <w:ind w:firstLine="708"/>
        <w:jc w:val="both"/>
        <w:rPr>
          <w:rFonts w:ascii="Tahoma" w:hAnsi="Tahoma" w:cs="Tahoma"/>
        </w:rPr>
      </w:pPr>
    </w:p>
    <w:p w:rsidR="00A416B0" w:rsidRDefault="00A416B0" w:rsidP="009E50BE">
      <w:pPr>
        <w:pStyle w:val="Sinespaciado"/>
        <w:spacing w:line="276" w:lineRule="auto"/>
        <w:ind w:firstLine="708"/>
        <w:jc w:val="both"/>
        <w:rPr>
          <w:rFonts w:ascii="Tahoma" w:hAnsi="Tahoma" w:cs="Tahoma"/>
        </w:rPr>
      </w:pPr>
      <w:r>
        <w:rPr>
          <w:rFonts w:ascii="Tahoma" w:hAnsi="Tahoma" w:cs="Tahoma"/>
        </w:rPr>
        <w:t xml:space="preserve">Agregó que la Corte Constitucional en casos </w:t>
      </w:r>
      <w:r w:rsidR="001F385F">
        <w:rPr>
          <w:rFonts w:ascii="Tahoma" w:hAnsi="Tahoma" w:cs="Tahoma"/>
        </w:rPr>
        <w:t xml:space="preserve">similares, </w:t>
      </w:r>
      <w:r>
        <w:rPr>
          <w:rFonts w:ascii="Tahoma" w:hAnsi="Tahoma" w:cs="Tahoma"/>
        </w:rPr>
        <w:t xml:space="preserve">ha sostenido que </w:t>
      </w:r>
      <w:r w:rsidR="0098553D">
        <w:rPr>
          <w:rFonts w:ascii="Tahoma" w:hAnsi="Tahoma" w:cs="Tahoma"/>
        </w:rPr>
        <w:t xml:space="preserve">el derecho a la calificación de la perdida de la capacidad laboral </w:t>
      </w:r>
      <w:r w:rsidR="00D45AD7">
        <w:rPr>
          <w:rFonts w:ascii="Tahoma" w:hAnsi="Tahoma" w:cs="Tahoma"/>
        </w:rPr>
        <w:t xml:space="preserve">constituye </w:t>
      </w:r>
      <w:r>
        <w:rPr>
          <w:rFonts w:ascii="Tahoma" w:hAnsi="Tahoma" w:cs="Tahoma"/>
        </w:rPr>
        <w:t>la protección y garantía de otros derechos fundamentales</w:t>
      </w:r>
      <w:r w:rsidR="0098553D">
        <w:rPr>
          <w:rFonts w:ascii="Tahoma" w:hAnsi="Tahoma" w:cs="Tahoma"/>
        </w:rPr>
        <w:t>,</w:t>
      </w:r>
      <w:r>
        <w:rPr>
          <w:rFonts w:ascii="Tahoma" w:hAnsi="Tahoma" w:cs="Tahoma"/>
        </w:rPr>
        <w:t xml:space="preserve"> en la medida que permite establecer qué tipo de prestaciones tiene derecho quien es afectado por una enfermedad o accidente en ocasión de la actividad laboral o por causa de origen común, lo que genera procedencia del amparo debido a que con ello se permite determinar si la persona tiene derecho al reconocimiento pensional que asegura su sustento económico, dado el deterioro de su estado de salud. </w:t>
      </w:r>
      <w:r w:rsidR="0098553D">
        <w:rPr>
          <w:rFonts w:ascii="Tahoma" w:hAnsi="Tahoma" w:cs="Tahoma"/>
        </w:rPr>
        <w:t xml:space="preserve">Indicó que </w:t>
      </w:r>
      <w:r>
        <w:rPr>
          <w:rFonts w:ascii="Tahoma" w:hAnsi="Tahoma" w:cs="Tahoma"/>
        </w:rPr>
        <w:t>La misma Corporación respecto al tiempo para rea</w:t>
      </w:r>
      <w:r w:rsidR="0098553D">
        <w:rPr>
          <w:rFonts w:ascii="Tahoma" w:hAnsi="Tahoma" w:cs="Tahoma"/>
        </w:rPr>
        <w:t>lizar otro examen de PCL, señaló</w:t>
      </w:r>
      <w:r>
        <w:rPr>
          <w:rFonts w:ascii="Tahoma" w:hAnsi="Tahoma" w:cs="Tahoma"/>
        </w:rPr>
        <w:t xml:space="preserve"> que no debe existir un término para su calificación, lo que se debe tener en cuenta son las condiciones salud</w:t>
      </w:r>
      <w:r w:rsidR="00E67777">
        <w:rPr>
          <w:rFonts w:ascii="Tahoma" w:hAnsi="Tahoma" w:cs="Tahoma"/>
        </w:rPr>
        <w:t>.</w:t>
      </w:r>
      <w:r>
        <w:rPr>
          <w:rFonts w:ascii="Tahoma" w:hAnsi="Tahoma" w:cs="Tahoma"/>
        </w:rPr>
        <w:t xml:space="preserve">       </w:t>
      </w:r>
    </w:p>
    <w:p w:rsidR="00A416B0" w:rsidRPr="00BA5A05" w:rsidRDefault="00A416B0" w:rsidP="009E50BE">
      <w:pPr>
        <w:pStyle w:val="Sinespaciado"/>
        <w:spacing w:line="276" w:lineRule="auto"/>
        <w:ind w:firstLine="708"/>
        <w:jc w:val="both"/>
        <w:rPr>
          <w:rFonts w:ascii="Tahoma" w:hAnsi="Tahoma" w:cs="Tahoma"/>
        </w:rPr>
      </w:pPr>
    </w:p>
    <w:p w:rsidR="00A416B0" w:rsidRDefault="00A416B0" w:rsidP="009E50BE">
      <w:pPr>
        <w:pStyle w:val="Sinespaciado"/>
        <w:spacing w:line="276" w:lineRule="auto"/>
        <w:ind w:firstLine="708"/>
        <w:jc w:val="both"/>
        <w:rPr>
          <w:rFonts w:ascii="Tahoma" w:hAnsi="Tahoma" w:cs="Tahoma"/>
        </w:rPr>
      </w:pPr>
      <w:r w:rsidRPr="00BA5A05">
        <w:rPr>
          <w:rFonts w:ascii="Tahoma" w:hAnsi="Tahoma" w:cs="Tahoma"/>
        </w:rPr>
        <w:t xml:space="preserve">Finalmente, manifestó </w:t>
      </w:r>
      <w:r>
        <w:rPr>
          <w:rFonts w:ascii="Tahoma" w:hAnsi="Tahoma" w:cs="Tahoma"/>
        </w:rPr>
        <w:t xml:space="preserve">que con la negativa están poniendo al accionante en condición de indefensión, toda vez que existen nuevas prescripciones médicas en las especialidades de psiquiatría y psicología. </w:t>
      </w:r>
    </w:p>
    <w:p w:rsidR="0098553D" w:rsidRPr="00BA5A05" w:rsidRDefault="0098553D" w:rsidP="009E50BE">
      <w:pPr>
        <w:pStyle w:val="Sinespaciado"/>
        <w:spacing w:line="276" w:lineRule="auto"/>
        <w:ind w:firstLine="708"/>
        <w:jc w:val="both"/>
        <w:rPr>
          <w:rFonts w:ascii="Tahoma" w:hAnsi="Tahoma" w:cs="Tahoma"/>
        </w:rPr>
      </w:pPr>
    </w:p>
    <w:p w:rsidR="00A416B0" w:rsidRDefault="00A416B0" w:rsidP="009E50BE">
      <w:pPr>
        <w:pStyle w:val="Ttulo4"/>
        <w:numPr>
          <w:ilvl w:val="0"/>
          <w:numId w:val="2"/>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BA5A05">
        <w:rPr>
          <w:rFonts w:ascii="Tahoma" w:hAnsi="Tahoma" w:cs="Tahoma"/>
          <w:sz w:val="22"/>
          <w:szCs w:val="22"/>
        </w:rPr>
        <w:t>Impugnación</w:t>
      </w:r>
    </w:p>
    <w:p w:rsidR="0098553D" w:rsidRPr="0098553D" w:rsidRDefault="0098553D" w:rsidP="009E50BE">
      <w:pPr>
        <w:spacing w:line="276" w:lineRule="auto"/>
      </w:pPr>
    </w:p>
    <w:p w:rsidR="00A416B0" w:rsidRPr="00E80ED6" w:rsidRDefault="00A416B0" w:rsidP="009E50BE">
      <w:pPr>
        <w:pStyle w:val="Sinespaciado"/>
        <w:spacing w:line="276" w:lineRule="auto"/>
        <w:ind w:firstLine="708"/>
        <w:jc w:val="both"/>
        <w:rPr>
          <w:rFonts w:ascii="Tahoma" w:hAnsi="Tahoma" w:cs="Tahoma"/>
        </w:rPr>
      </w:pPr>
      <w:r w:rsidRPr="00E80ED6">
        <w:rPr>
          <w:rFonts w:ascii="Tahoma" w:hAnsi="Tahoma" w:cs="Tahoma"/>
        </w:rPr>
        <w:t xml:space="preserve">Colpensiones impugnó la decisión, indicando que el Señor José Álvaro Monroy Castaño, debe agotar los procedimientos administrativos y judiciales existentes y no reclamar por  vía de la acción de tutela, </w:t>
      </w:r>
      <w:r w:rsidR="00D45AD7">
        <w:rPr>
          <w:rFonts w:ascii="Tahoma" w:hAnsi="Tahoma" w:cs="Tahoma"/>
        </w:rPr>
        <w:t xml:space="preserve">pues </w:t>
      </w:r>
      <w:r w:rsidRPr="00E80ED6">
        <w:rPr>
          <w:rFonts w:ascii="Tahoma" w:hAnsi="Tahoma" w:cs="Tahoma"/>
        </w:rPr>
        <w:t xml:space="preserve">en virtud de su naturaleza excepcional y subsidiaria solamente procede ante la inexistencia de otros mecanismos judiciales; además, que no es procedente la calificación de </w:t>
      </w:r>
      <w:r w:rsidRPr="00E80ED6">
        <w:rPr>
          <w:rFonts w:ascii="Tahoma" w:hAnsi="Tahoma" w:cs="Tahoma"/>
        </w:rPr>
        <w:lastRenderedPageBreak/>
        <w:t>pérdida de capacidad laboral así siga cotizando al sistema de pensiones y se encuentre activo laboralmente, ya que recibió indemnización sustitutiva.</w:t>
      </w:r>
    </w:p>
    <w:p w:rsidR="003357D9" w:rsidRPr="00E80ED6" w:rsidRDefault="003357D9" w:rsidP="009E50BE">
      <w:pPr>
        <w:pStyle w:val="Sinespaciado"/>
        <w:spacing w:line="276" w:lineRule="auto"/>
        <w:jc w:val="both"/>
        <w:rPr>
          <w:rFonts w:ascii="Tahoma" w:hAnsi="Tahoma" w:cs="Tahoma"/>
        </w:rPr>
      </w:pPr>
    </w:p>
    <w:p w:rsidR="00A416B0" w:rsidRPr="00E80ED6" w:rsidRDefault="00A416B0" w:rsidP="009E50BE">
      <w:pPr>
        <w:pStyle w:val="Ttulo4"/>
        <w:numPr>
          <w:ilvl w:val="0"/>
          <w:numId w:val="2"/>
        </w:numPr>
        <w:tabs>
          <w:tab w:val="clear" w:pos="0"/>
          <w:tab w:val="clear" w:pos="1080"/>
          <w:tab w:val="left" w:pos="426"/>
        </w:tabs>
        <w:overflowPunct/>
        <w:autoSpaceDE/>
        <w:autoSpaceDN/>
        <w:adjustRightInd/>
        <w:spacing w:line="276" w:lineRule="auto"/>
        <w:ind w:left="0" w:firstLine="0"/>
        <w:textAlignment w:val="auto"/>
        <w:rPr>
          <w:rFonts w:ascii="Tahoma" w:hAnsi="Tahoma" w:cs="Tahoma"/>
          <w:sz w:val="22"/>
          <w:szCs w:val="22"/>
        </w:rPr>
      </w:pPr>
      <w:r w:rsidRPr="00E80ED6">
        <w:rPr>
          <w:rFonts w:ascii="Tahoma" w:hAnsi="Tahoma" w:cs="Tahoma"/>
          <w:sz w:val="22"/>
          <w:szCs w:val="22"/>
        </w:rPr>
        <w:t>Consideraciones</w:t>
      </w:r>
    </w:p>
    <w:p w:rsidR="00A416B0" w:rsidRPr="00E80ED6" w:rsidRDefault="00A416B0" w:rsidP="009E50BE">
      <w:pPr>
        <w:pStyle w:val="Sinespaciado"/>
        <w:spacing w:line="276" w:lineRule="auto"/>
        <w:jc w:val="both"/>
        <w:rPr>
          <w:rFonts w:ascii="Tahoma" w:hAnsi="Tahoma" w:cs="Tahoma"/>
        </w:rPr>
      </w:pPr>
    </w:p>
    <w:p w:rsidR="00A416B0" w:rsidRPr="00E80ED6" w:rsidRDefault="00A416B0" w:rsidP="009E50BE">
      <w:pPr>
        <w:pStyle w:val="Prrafodelista"/>
        <w:numPr>
          <w:ilvl w:val="1"/>
          <w:numId w:val="3"/>
        </w:numPr>
        <w:tabs>
          <w:tab w:val="left" w:pos="1276"/>
        </w:tabs>
        <w:suppressAutoHyphens/>
        <w:spacing w:line="276" w:lineRule="auto"/>
        <w:ind w:hanging="11"/>
        <w:jc w:val="both"/>
        <w:rPr>
          <w:rFonts w:ascii="Tahoma" w:hAnsi="Tahoma" w:cs="Tahoma"/>
          <w:b/>
          <w:spacing w:val="-2"/>
          <w:sz w:val="22"/>
          <w:szCs w:val="22"/>
        </w:rPr>
      </w:pPr>
      <w:r w:rsidRPr="00E80ED6">
        <w:rPr>
          <w:rFonts w:ascii="Tahoma" w:hAnsi="Tahoma" w:cs="Tahoma"/>
          <w:b/>
          <w:spacing w:val="-2"/>
          <w:sz w:val="22"/>
          <w:szCs w:val="22"/>
        </w:rPr>
        <w:t>Problema jurídico por resolver</w:t>
      </w:r>
    </w:p>
    <w:p w:rsidR="00A416B0" w:rsidRPr="00E80ED6" w:rsidRDefault="00A416B0" w:rsidP="009E50BE">
      <w:pPr>
        <w:pStyle w:val="Sinespaciado"/>
        <w:spacing w:line="276" w:lineRule="auto"/>
        <w:jc w:val="both"/>
        <w:rPr>
          <w:rFonts w:ascii="Tahoma" w:hAnsi="Tahoma" w:cs="Tahoma"/>
        </w:rPr>
      </w:pPr>
    </w:p>
    <w:p w:rsidR="00006EBB" w:rsidRDefault="00A416B0" w:rsidP="009E50BE">
      <w:pPr>
        <w:pStyle w:val="Sinespaciado"/>
        <w:spacing w:line="276" w:lineRule="auto"/>
        <w:ind w:firstLine="708"/>
        <w:jc w:val="both"/>
        <w:rPr>
          <w:rFonts w:ascii="Tahoma" w:hAnsi="Tahoma" w:cs="Tahoma"/>
        </w:rPr>
      </w:pPr>
      <w:r w:rsidRPr="00E80ED6">
        <w:rPr>
          <w:rFonts w:ascii="Tahoma" w:hAnsi="Tahoma" w:cs="Tahoma"/>
        </w:rPr>
        <w:t>¿Se presenta en el caso objeto estudio, vulneración a los derechos fundamentales a la s</w:t>
      </w:r>
      <w:r w:rsidR="00FC42C5" w:rsidRPr="00E80ED6">
        <w:rPr>
          <w:rFonts w:ascii="Tahoma" w:hAnsi="Tahoma" w:cs="Tahoma"/>
        </w:rPr>
        <w:t xml:space="preserve">eguridad social </w:t>
      </w:r>
      <w:r w:rsidRPr="00E80ED6">
        <w:rPr>
          <w:rFonts w:ascii="Tahoma" w:hAnsi="Tahoma" w:cs="Tahoma"/>
        </w:rPr>
        <w:t>y</w:t>
      </w:r>
      <w:r w:rsidR="00FC42C5" w:rsidRPr="00E80ED6">
        <w:rPr>
          <w:rFonts w:ascii="Tahoma" w:hAnsi="Tahoma" w:cs="Tahoma"/>
        </w:rPr>
        <w:t xml:space="preserve"> al</w:t>
      </w:r>
      <w:r w:rsidRPr="00E80ED6">
        <w:rPr>
          <w:rFonts w:ascii="Tahoma" w:hAnsi="Tahoma" w:cs="Tahoma"/>
        </w:rPr>
        <w:t xml:space="preserve"> debido proceso </w:t>
      </w:r>
      <w:r w:rsidR="00D5518A" w:rsidRPr="00E80ED6">
        <w:rPr>
          <w:rFonts w:ascii="Tahoma" w:hAnsi="Tahoma" w:cs="Tahoma"/>
        </w:rPr>
        <w:t>con</w:t>
      </w:r>
      <w:r w:rsidRPr="00E80ED6">
        <w:rPr>
          <w:rFonts w:ascii="Tahoma" w:hAnsi="Tahoma" w:cs="Tahoma"/>
        </w:rPr>
        <w:t xml:space="preserve"> la negativa de </w:t>
      </w:r>
      <w:r w:rsidR="00D5518A" w:rsidRPr="00E80ED6">
        <w:rPr>
          <w:rFonts w:ascii="Tahoma" w:hAnsi="Tahoma" w:cs="Tahoma"/>
        </w:rPr>
        <w:t>Colpensiones</w:t>
      </w:r>
      <w:r w:rsidRPr="00E80ED6">
        <w:rPr>
          <w:rFonts w:ascii="Tahoma" w:hAnsi="Tahoma" w:cs="Tahoma"/>
        </w:rPr>
        <w:t xml:space="preserve"> a realizar la </w:t>
      </w:r>
      <w:r w:rsidR="00FC42C5" w:rsidRPr="00E80ED6">
        <w:rPr>
          <w:rFonts w:ascii="Tahoma" w:hAnsi="Tahoma" w:cs="Tahoma"/>
        </w:rPr>
        <w:t>calificación</w:t>
      </w:r>
      <w:r w:rsidRPr="00E80ED6">
        <w:rPr>
          <w:rFonts w:ascii="Tahoma" w:hAnsi="Tahoma" w:cs="Tahoma"/>
        </w:rPr>
        <w:t xml:space="preserve"> </w:t>
      </w:r>
      <w:r w:rsidR="00015B55" w:rsidRPr="00E80ED6">
        <w:rPr>
          <w:rFonts w:ascii="Tahoma" w:hAnsi="Tahoma" w:cs="Tahoma"/>
        </w:rPr>
        <w:t xml:space="preserve">de </w:t>
      </w:r>
      <w:r w:rsidRPr="00E80ED6">
        <w:rPr>
          <w:rFonts w:ascii="Tahoma" w:hAnsi="Tahoma" w:cs="Tahoma"/>
        </w:rPr>
        <w:t>pérdida de capacidad laboral del accionante</w:t>
      </w:r>
      <w:r w:rsidR="00C8102C">
        <w:rPr>
          <w:rFonts w:ascii="Tahoma" w:hAnsi="Tahoma" w:cs="Tahoma"/>
        </w:rPr>
        <w:t>,</w:t>
      </w:r>
      <w:r w:rsidR="00964502">
        <w:rPr>
          <w:rFonts w:ascii="Tahoma" w:hAnsi="Tahoma" w:cs="Tahoma"/>
        </w:rPr>
        <w:t xml:space="preserve"> so pretexto de que el actor recibió la indemnización sustitutiva de vejez?</w:t>
      </w:r>
      <w:r w:rsidR="00006EBB">
        <w:rPr>
          <w:rFonts w:ascii="Tahoma" w:hAnsi="Tahoma" w:cs="Tahoma"/>
        </w:rPr>
        <w:t xml:space="preserve"> </w:t>
      </w:r>
    </w:p>
    <w:p w:rsidR="00006EBB" w:rsidRDefault="00006EBB" w:rsidP="00006EBB">
      <w:pPr>
        <w:pStyle w:val="Sinespaciado"/>
        <w:spacing w:line="276" w:lineRule="auto"/>
        <w:jc w:val="both"/>
        <w:rPr>
          <w:rFonts w:ascii="Tahoma" w:hAnsi="Tahoma" w:cs="Tahoma"/>
        </w:rPr>
      </w:pPr>
    </w:p>
    <w:p w:rsidR="00A416B0" w:rsidRPr="00E80ED6" w:rsidRDefault="00006EBB" w:rsidP="00006EBB">
      <w:pPr>
        <w:pStyle w:val="Sinespaciado"/>
        <w:spacing w:line="276" w:lineRule="auto"/>
        <w:jc w:val="both"/>
        <w:rPr>
          <w:rFonts w:ascii="Tahoma" w:hAnsi="Tahoma" w:cs="Tahoma"/>
        </w:rPr>
      </w:pPr>
      <w:r>
        <w:rPr>
          <w:rFonts w:ascii="Tahoma" w:hAnsi="Tahoma" w:cs="Tahoma"/>
        </w:rPr>
        <w:t xml:space="preserve">¿Tiene derecho Colpensiones </w:t>
      </w:r>
      <w:r w:rsidR="00964502">
        <w:rPr>
          <w:rFonts w:ascii="Tahoma" w:hAnsi="Tahoma" w:cs="Tahoma"/>
        </w:rPr>
        <w:t xml:space="preserve"> </w:t>
      </w:r>
      <w:r>
        <w:rPr>
          <w:rFonts w:ascii="Tahoma" w:hAnsi="Tahoma" w:cs="Tahoma"/>
        </w:rPr>
        <w:t>al afirmar que no hay lugar a una nueva calificación de pérdida de capacidad laboral para quien recibió la indemnización sustitutiva, así siga cotizando y se encuentre activo laboralmente?</w:t>
      </w:r>
    </w:p>
    <w:p w:rsidR="00A416B0" w:rsidRPr="00E80ED6" w:rsidRDefault="00A416B0" w:rsidP="009E50BE">
      <w:pPr>
        <w:pStyle w:val="Prrafodelista"/>
        <w:tabs>
          <w:tab w:val="left" w:pos="1276"/>
        </w:tabs>
        <w:suppressAutoHyphens/>
        <w:spacing w:line="276" w:lineRule="auto"/>
        <w:jc w:val="both"/>
        <w:rPr>
          <w:rFonts w:ascii="Tahoma" w:hAnsi="Tahoma" w:cs="Tahoma"/>
          <w:b/>
          <w:spacing w:val="-2"/>
          <w:sz w:val="22"/>
          <w:szCs w:val="22"/>
        </w:rPr>
      </w:pPr>
    </w:p>
    <w:p w:rsidR="00A416B0" w:rsidRPr="00E80ED6" w:rsidRDefault="00A416B0" w:rsidP="009E50BE">
      <w:pPr>
        <w:pStyle w:val="Prrafodelista"/>
        <w:numPr>
          <w:ilvl w:val="1"/>
          <w:numId w:val="3"/>
        </w:numPr>
        <w:tabs>
          <w:tab w:val="left" w:pos="1276"/>
        </w:tabs>
        <w:suppressAutoHyphens/>
        <w:spacing w:line="276" w:lineRule="auto"/>
        <w:ind w:hanging="11"/>
        <w:jc w:val="both"/>
        <w:rPr>
          <w:rFonts w:ascii="Tahoma" w:hAnsi="Tahoma" w:cs="Tahoma"/>
          <w:b/>
          <w:sz w:val="22"/>
          <w:szCs w:val="22"/>
        </w:rPr>
      </w:pPr>
      <w:r w:rsidRPr="00E80ED6">
        <w:rPr>
          <w:rFonts w:ascii="Tahoma" w:hAnsi="Tahoma" w:cs="Tahoma"/>
          <w:b/>
          <w:spacing w:val="-2"/>
          <w:sz w:val="22"/>
          <w:szCs w:val="22"/>
        </w:rPr>
        <w:t>Derecho a la valoración de la pérdida de capacidad laboral</w:t>
      </w:r>
    </w:p>
    <w:p w:rsidR="00A416B0" w:rsidRPr="00E80ED6" w:rsidRDefault="00A416B0" w:rsidP="009E50BE">
      <w:pPr>
        <w:pStyle w:val="Prrafodelista"/>
        <w:tabs>
          <w:tab w:val="left" w:pos="1276"/>
        </w:tabs>
        <w:suppressAutoHyphens/>
        <w:spacing w:line="276" w:lineRule="auto"/>
        <w:jc w:val="both"/>
        <w:rPr>
          <w:rFonts w:ascii="Tahoma" w:hAnsi="Tahoma" w:cs="Tahoma"/>
          <w:b/>
          <w:sz w:val="22"/>
          <w:szCs w:val="22"/>
        </w:rPr>
      </w:pPr>
    </w:p>
    <w:p w:rsidR="00A416B0" w:rsidRDefault="00A416B0" w:rsidP="009E50BE">
      <w:pPr>
        <w:pStyle w:val="Sinespaciado"/>
        <w:spacing w:line="276" w:lineRule="auto"/>
        <w:ind w:firstLine="708"/>
        <w:jc w:val="both"/>
        <w:rPr>
          <w:rFonts w:ascii="Tahoma" w:hAnsi="Tahoma" w:cs="Tahoma"/>
        </w:rPr>
      </w:pPr>
      <w:r w:rsidRPr="00E80ED6">
        <w:rPr>
          <w:rFonts w:ascii="Tahoma" w:hAnsi="Tahoma" w:cs="Tahoma"/>
        </w:rPr>
        <w:t xml:space="preserve">La acción de tutela, como herramienta con la que cuenta toda persona para proteger </w:t>
      </w:r>
      <w:r w:rsidR="00D62BF8" w:rsidRPr="00E80ED6">
        <w:rPr>
          <w:rFonts w:ascii="Tahoma" w:hAnsi="Tahoma" w:cs="Tahoma"/>
        </w:rPr>
        <w:t>los</w:t>
      </w:r>
      <w:r w:rsidRPr="00E80ED6">
        <w:rPr>
          <w:rFonts w:ascii="Tahoma" w:hAnsi="Tahoma" w:cs="Tahoma"/>
        </w:rPr>
        <w:t xml:space="preserve"> derechos fundamentales, ha sido objeto de estudio por la Corte Constitucional, cuando quiera que lo que se pretende con dicho amp</w:t>
      </w:r>
      <w:r w:rsidR="00D45AD7">
        <w:rPr>
          <w:rFonts w:ascii="Tahoma" w:hAnsi="Tahoma" w:cs="Tahoma"/>
        </w:rPr>
        <w:t>aro es la protección del derecho a la valoración de la pérdida de capacidad laboral</w:t>
      </w:r>
      <w:r w:rsidRPr="00E80ED6">
        <w:rPr>
          <w:rFonts w:ascii="Tahoma" w:hAnsi="Tahoma" w:cs="Tahoma"/>
        </w:rPr>
        <w:t xml:space="preserve">. </w:t>
      </w:r>
      <w:r w:rsidR="00D62BF8" w:rsidRPr="00E80ED6">
        <w:rPr>
          <w:rFonts w:ascii="Tahoma" w:hAnsi="Tahoma" w:cs="Tahoma"/>
        </w:rPr>
        <w:t>Dicha corporación ha e</w:t>
      </w:r>
      <w:r w:rsidRPr="00E80ED6">
        <w:rPr>
          <w:rFonts w:ascii="Tahoma" w:hAnsi="Tahoma" w:cs="Tahoma"/>
        </w:rPr>
        <w:t xml:space="preserve">stablecido </w:t>
      </w:r>
      <w:r w:rsidR="003357D9" w:rsidRPr="00E80ED6">
        <w:rPr>
          <w:rFonts w:ascii="Tahoma" w:hAnsi="Tahoma" w:cs="Tahoma"/>
        </w:rPr>
        <w:t xml:space="preserve">parámetros </w:t>
      </w:r>
      <w:r w:rsidR="008B64E7">
        <w:rPr>
          <w:rFonts w:ascii="Tahoma" w:hAnsi="Tahoma" w:cs="Tahoma"/>
        </w:rPr>
        <w:t xml:space="preserve"> en diferentes sentencia</w:t>
      </w:r>
      <w:r w:rsidR="003771BA">
        <w:rPr>
          <w:rFonts w:ascii="Tahoma" w:hAnsi="Tahoma" w:cs="Tahoma"/>
        </w:rPr>
        <w:t>s</w:t>
      </w:r>
      <w:r w:rsidR="008B64E7">
        <w:rPr>
          <w:rFonts w:ascii="Tahoma" w:hAnsi="Tahoma" w:cs="Tahoma"/>
        </w:rPr>
        <w:t xml:space="preserve"> </w:t>
      </w:r>
      <w:r w:rsidR="003357D9" w:rsidRPr="00E80ED6">
        <w:rPr>
          <w:rFonts w:ascii="Tahoma" w:hAnsi="Tahoma" w:cs="Tahoma"/>
        </w:rPr>
        <w:t xml:space="preserve">para que </w:t>
      </w:r>
      <w:r w:rsidR="008B64E7">
        <w:rPr>
          <w:rFonts w:ascii="Tahoma" w:hAnsi="Tahoma" w:cs="Tahoma"/>
        </w:rPr>
        <w:t>la acción sea</w:t>
      </w:r>
      <w:r w:rsidR="003357D9" w:rsidRPr="00E80ED6">
        <w:rPr>
          <w:rFonts w:ascii="Tahoma" w:hAnsi="Tahoma" w:cs="Tahoma"/>
        </w:rPr>
        <w:t xml:space="preserve"> procedente</w:t>
      </w:r>
      <w:r w:rsidR="008B64E7">
        <w:rPr>
          <w:rFonts w:ascii="Tahoma" w:hAnsi="Tahoma" w:cs="Tahoma"/>
        </w:rPr>
        <w:t>, entes ellas</w:t>
      </w:r>
      <w:r w:rsidRPr="00E80ED6">
        <w:rPr>
          <w:rFonts w:ascii="Tahoma" w:hAnsi="Tahoma" w:cs="Tahoma"/>
        </w:rPr>
        <w:t xml:space="preserve"> la sentencia T 399 De 2015</w:t>
      </w:r>
      <w:r w:rsidRPr="00E80ED6">
        <w:rPr>
          <w:rFonts w:ascii="Tahoma" w:hAnsi="Tahoma" w:cs="Tahoma"/>
          <w:b/>
        </w:rPr>
        <w:t xml:space="preserve"> </w:t>
      </w:r>
      <w:r w:rsidR="003357D9" w:rsidRPr="00E80ED6">
        <w:rPr>
          <w:rFonts w:ascii="Tahoma" w:hAnsi="Tahoma" w:cs="Tahoma"/>
        </w:rPr>
        <w:t xml:space="preserve">M.P </w:t>
      </w:r>
      <w:r w:rsidRPr="00E80ED6">
        <w:rPr>
          <w:rFonts w:ascii="Tahoma" w:hAnsi="Tahoma" w:cs="Tahoma"/>
        </w:rPr>
        <w:t xml:space="preserve"> D</w:t>
      </w:r>
      <w:r w:rsidR="006146F0" w:rsidRPr="00E80ED6">
        <w:rPr>
          <w:rFonts w:ascii="Tahoma" w:hAnsi="Tahoma" w:cs="Tahoma"/>
        </w:rPr>
        <w:t>ra.</w:t>
      </w:r>
      <w:r w:rsidRPr="00E80ED6">
        <w:rPr>
          <w:rFonts w:ascii="Tahoma" w:hAnsi="Tahoma" w:cs="Tahoma"/>
        </w:rPr>
        <w:t xml:space="preserve"> Gloria Stella Ortiz Delgado, la cual establece:</w:t>
      </w:r>
    </w:p>
    <w:p w:rsidR="008A6D45" w:rsidRPr="008A6D45" w:rsidRDefault="008A6D45" w:rsidP="008A6D45">
      <w:pPr>
        <w:pStyle w:val="Sinespaciado"/>
        <w:spacing w:line="276" w:lineRule="auto"/>
        <w:ind w:firstLine="708"/>
        <w:jc w:val="both"/>
        <w:rPr>
          <w:rFonts w:ascii="Tahoma" w:hAnsi="Tahoma" w:cs="Tahoma"/>
          <w:b/>
          <w:color w:val="FBD4B4" w:themeColor="accent6" w:themeTint="66"/>
        </w:rPr>
      </w:pPr>
    </w:p>
    <w:p w:rsidR="00A416B0" w:rsidRDefault="00A416B0" w:rsidP="00070543">
      <w:pPr>
        <w:ind w:left="709"/>
        <w:jc w:val="both"/>
        <w:rPr>
          <w:rFonts w:ascii="Arial Narrow" w:eastAsia="Calibri" w:hAnsi="Arial Narrow" w:cs="Tahoma"/>
          <w:b/>
          <w:i/>
          <w:sz w:val="22"/>
          <w:szCs w:val="22"/>
          <w:lang w:val="es-CO" w:eastAsia="en-US"/>
        </w:rPr>
      </w:pPr>
      <w:r w:rsidRPr="00070543">
        <w:rPr>
          <w:rFonts w:ascii="Arial Narrow" w:eastAsia="Calibri" w:hAnsi="Arial Narrow" w:cs="Tahoma"/>
          <w:i/>
          <w:sz w:val="22"/>
          <w:szCs w:val="22"/>
          <w:lang w:val="es-CO" w:eastAsia="en-US"/>
        </w:rPr>
        <w:t>“</w:t>
      </w:r>
      <w:r w:rsidRPr="00FC2ABF">
        <w:rPr>
          <w:rFonts w:ascii="Arial Narrow" w:eastAsia="Calibri" w:hAnsi="Arial Narrow" w:cs="Tahoma"/>
          <w:b/>
          <w:i/>
          <w:sz w:val="22"/>
          <w:szCs w:val="22"/>
          <w:lang w:val="es-CO" w:eastAsia="en-US"/>
        </w:rPr>
        <w:t>La procedencia de la acción de tutela para proteger el derecho a la valoración de la pérdida de capacidad laboral con el fin de obtener la pensión de invalidez</w:t>
      </w:r>
    </w:p>
    <w:p w:rsidR="00FC2ABF" w:rsidRPr="00FC2ABF" w:rsidRDefault="00FC2ABF" w:rsidP="00070543">
      <w:pPr>
        <w:ind w:left="709"/>
        <w:jc w:val="both"/>
        <w:rPr>
          <w:rFonts w:ascii="Arial Narrow" w:eastAsia="Calibri" w:hAnsi="Arial Narrow" w:cs="Tahoma"/>
          <w:b/>
          <w:i/>
          <w:sz w:val="22"/>
          <w:szCs w:val="22"/>
          <w:lang w:val="es-CO" w:eastAsia="en-US"/>
        </w:rPr>
      </w:pPr>
    </w:p>
    <w:p w:rsidR="00A416B0" w:rsidRPr="00070543" w:rsidRDefault="00A416B0" w:rsidP="00070543">
      <w:pPr>
        <w:ind w:left="709"/>
        <w:jc w:val="both"/>
        <w:rPr>
          <w:rFonts w:ascii="Arial Narrow" w:eastAsia="Calibri" w:hAnsi="Arial Narrow" w:cs="Tahoma"/>
          <w:i/>
          <w:sz w:val="22"/>
          <w:szCs w:val="22"/>
          <w:lang w:val="es-CO" w:eastAsia="en-US"/>
        </w:rPr>
      </w:pPr>
      <w:r w:rsidRPr="00070543">
        <w:rPr>
          <w:rFonts w:ascii="Arial Narrow" w:eastAsia="Calibri" w:hAnsi="Arial Narrow" w:cs="Tahoma"/>
          <w:i/>
          <w:sz w:val="22"/>
          <w:szCs w:val="22"/>
          <w:lang w:val="es-CO" w:eastAsia="en-US"/>
        </w:rPr>
        <w:t>(…)Como regla general, las controversias pensionales tienen como vía principal e idónea la jurisdicción laboral, por lo cual en principio no deben ser debatidas ante la jurisdicción constitucional. Por consiguiente, en primer lugar, los ciudadanos deben acudir a las instancias judiciales ordinarias, antes de pretender la defensa de sus derechos por vía de tutela.</w:t>
      </w:r>
    </w:p>
    <w:p w:rsidR="00A416B0" w:rsidRPr="00070543" w:rsidRDefault="00A416B0" w:rsidP="00070543">
      <w:pPr>
        <w:ind w:left="709"/>
        <w:jc w:val="both"/>
        <w:rPr>
          <w:rFonts w:ascii="Arial Narrow" w:eastAsia="Calibri" w:hAnsi="Arial Narrow" w:cs="Tahoma"/>
          <w:i/>
          <w:sz w:val="22"/>
          <w:szCs w:val="22"/>
          <w:lang w:val="es-CO" w:eastAsia="en-US"/>
        </w:rPr>
      </w:pPr>
      <w:r w:rsidRPr="00070543">
        <w:rPr>
          <w:rFonts w:ascii="Arial Narrow" w:eastAsia="Calibri" w:hAnsi="Arial Narrow" w:cs="Tahoma"/>
          <w:i/>
          <w:sz w:val="22"/>
          <w:szCs w:val="22"/>
          <w:lang w:val="es-CO" w:eastAsia="en-US"/>
        </w:rPr>
        <w:t xml:space="preserve"> </w:t>
      </w:r>
    </w:p>
    <w:p w:rsidR="00A416B0" w:rsidRPr="00070543" w:rsidRDefault="00A416B0" w:rsidP="00070543">
      <w:pPr>
        <w:ind w:left="709"/>
        <w:jc w:val="both"/>
        <w:rPr>
          <w:rFonts w:ascii="Arial Narrow" w:eastAsia="Calibri" w:hAnsi="Arial Narrow" w:cs="Tahoma"/>
          <w:i/>
          <w:sz w:val="22"/>
          <w:szCs w:val="22"/>
          <w:lang w:val="es-CO" w:eastAsia="en-US"/>
        </w:rPr>
      </w:pPr>
      <w:r w:rsidRPr="00070543">
        <w:rPr>
          <w:rFonts w:ascii="Arial Narrow" w:eastAsia="Calibri" w:hAnsi="Arial Narrow" w:cs="Tahoma"/>
          <w:i/>
          <w:sz w:val="22"/>
          <w:szCs w:val="22"/>
          <w:lang w:val="es-CO" w:eastAsia="en-US"/>
        </w:rPr>
        <w:t>En virtud de lo anterior, en principio, el amparo resulta improcedente para reclamar el reconocimiento de derechos de naturaleza pensional, pues el debate sobre estos asuntos corresponde a la jurisdicción laboral. Sin embargo, en determinados casos, la tutela procede con el fin de salvaguardar derechos fundamentales, cuya protección resulta impostergable, cuando los medios ordinarios de defensa judicial existentes carecen de idoneidad o eficacia, o porque se busca evitar la inminente consumación de un perjuicio irremediable.</w:t>
      </w:r>
    </w:p>
    <w:p w:rsidR="00A416B0" w:rsidRPr="00070543" w:rsidRDefault="00A416B0" w:rsidP="00070543">
      <w:pPr>
        <w:ind w:left="709"/>
        <w:jc w:val="both"/>
        <w:rPr>
          <w:rFonts w:ascii="Arial Narrow" w:eastAsia="Calibri" w:hAnsi="Arial Narrow" w:cs="Tahoma"/>
          <w:i/>
          <w:sz w:val="22"/>
          <w:szCs w:val="22"/>
          <w:lang w:val="es-CO" w:eastAsia="en-US"/>
        </w:rPr>
      </w:pPr>
      <w:r w:rsidRPr="00070543">
        <w:rPr>
          <w:rFonts w:ascii="Arial Narrow" w:eastAsia="Calibri" w:hAnsi="Arial Narrow" w:cs="Tahoma"/>
          <w:i/>
          <w:sz w:val="22"/>
          <w:szCs w:val="22"/>
          <w:lang w:val="es-CO" w:eastAsia="en-US"/>
        </w:rPr>
        <w:t xml:space="preserve"> </w:t>
      </w:r>
    </w:p>
    <w:p w:rsidR="00A416B0" w:rsidRPr="00070543" w:rsidRDefault="00A416B0" w:rsidP="00070543">
      <w:pPr>
        <w:ind w:left="709"/>
        <w:jc w:val="both"/>
        <w:rPr>
          <w:rFonts w:ascii="Arial Narrow" w:eastAsia="Calibri" w:hAnsi="Arial Narrow" w:cs="Tahoma"/>
          <w:i/>
          <w:sz w:val="22"/>
          <w:szCs w:val="22"/>
          <w:lang w:val="es-CO" w:eastAsia="en-US"/>
        </w:rPr>
      </w:pPr>
      <w:r w:rsidRPr="00070543">
        <w:rPr>
          <w:rFonts w:ascii="Arial Narrow" w:eastAsia="Calibri" w:hAnsi="Arial Narrow" w:cs="Tahoma"/>
          <w:i/>
          <w:sz w:val="22"/>
          <w:szCs w:val="22"/>
          <w:lang w:val="es-CO" w:eastAsia="en-US"/>
        </w:rPr>
        <w:t>Para determinar la idoneidad de los medios de defensa judicial, es necesario revisar que los mecanismos judiciales tengan la capacidad para proteger de forma efectiva los derechos de la persona. En especial, resulta imperativo verificar si las pretensiones de quien merece especial protección, pueden ser tramitadas y decididas de forma adecuada por esta vía, o si por su situación no puede acudir a dicha instancia.</w:t>
      </w:r>
    </w:p>
    <w:p w:rsidR="00A416B0" w:rsidRPr="00070543" w:rsidRDefault="00A416B0" w:rsidP="00070543">
      <w:pPr>
        <w:ind w:left="709"/>
        <w:jc w:val="both"/>
        <w:rPr>
          <w:rFonts w:ascii="Arial Narrow" w:eastAsia="Calibri" w:hAnsi="Arial Narrow" w:cs="Tahoma"/>
          <w:i/>
          <w:sz w:val="22"/>
          <w:szCs w:val="22"/>
          <w:lang w:val="es-CO" w:eastAsia="en-US"/>
        </w:rPr>
      </w:pPr>
      <w:r w:rsidRPr="00070543">
        <w:rPr>
          <w:rFonts w:ascii="Arial Narrow" w:eastAsia="Calibri" w:hAnsi="Arial Narrow" w:cs="Tahoma"/>
          <w:i/>
          <w:sz w:val="22"/>
          <w:szCs w:val="22"/>
          <w:lang w:val="es-CO" w:eastAsia="en-US"/>
        </w:rPr>
        <w:t xml:space="preserve"> </w:t>
      </w:r>
    </w:p>
    <w:p w:rsidR="00A416B0" w:rsidRPr="00070543" w:rsidRDefault="00A416B0" w:rsidP="00070543">
      <w:pPr>
        <w:ind w:left="709"/>
        <w:jc w:val="both"/>
        <w:rPr>
          <w:rFonts w:ascii="Arial Narrow" w:eastAsia="Calibri" w:hAnsi="Arial Narrow" w:cs="Tahoma"/>
          <w:i/>
          <w:sz w:val="22"/>
          <w:szCs w:val="22"/>
          <w:lang w:val="es-CO" w:eastAsia="en-US"/>
        </w:rPr>
      </w:pPr>
      <w:r w:rsidRPr="00070543">
        <w:rPr>
          <w:rFonts w:ascii="Arial Narrow" w:eastAsia="Calibri" w:hAnsi="Arial Narrow" w:cs="Tahoma"/>
          <w:i/>
          <w:sz w:val="22"/>
          <w:szCs w:val="22"/>
          <w:lang w:val="es-CO" w:eastAsia="en-US"/>
        </w:rPr>
        <w:t>Al respecto, esta Corporación ha precisado que, en muchas ocasiones, la jurisdicción laboral no ofrece los medios adecuados para tramitar las pretensiones de quienes solicitan el reconocimiento de la pensión de invalidez, pues les impone asumir costos económicos por un largo tiempo aunque no puedan soportarlos debido a su situación. La sentencia T-376 de 2011 señaló:</w:t>
      </w:r>
    </w:p>
    <w:p w:rsidR="00A416B0" w:rsidRPr="00070543" w:rsidRDefault="00A416B0" w:rsidP="00070543">
      <w:pPr>
        <w:ind w:left="709"/>
        <w:jc w:val="both"/>
        <w:rPr>
          <w:rFonts w:ascii="Arial Narrow" w:eastAsia="Calibri" w:hAnsi="Arial Narrow" w:cs="Tahoma"/>
          <w:i/>
          <w:sz w:val="22"/>
          <w:szCs w:val="22"/>
          <w:lang w:val="es-CO" w:eastAsia="en-US"/>
        </w:rPr>
      </w:pPr>
      <w:r w:rsidRPr="00070543">
        <w:rPr>
          <w:rFonts w:ascii="Arial Narrow" w:eastAsia="Calibri" w:hAnsi="Arial Narrow" w:cs="Tahoma"/>
          <w:i/>
          <w:sz w:val="22"/>
          <w:szCs w:val="22"/>
          <w:lang w:val="es-CO" w:eastAsia="en-US"/>
        </w:rPr>
        <w:t xml:space="preserve"> </w:t>
      </w:r>
    </w:p>
    <w:p w:rsidR="00C759A8" w:rsidRDefault="00EA1FE9" w:rsidP="00C759A8">
      <w:pPr>
        <w:ind w:left="709"/>
        <w:jc w:val="both"/>
        <w:rPr>
          <w:rFonts w:ascii="Arial Narrow" w:eastAsia="Calibri" w:hAnsi="Arial Narrow" w:cs="Tahoma"/>
          <w:i/>
          <w:sz w:val="22"/>
          <w:szCs w:val="22"/>
          <w:lang w:val="es-CO" w:eastAsia="en-US"/>
        </w:rPr>
      </w:pPr>
      <w:r w:rsidRPr="00070543">
        <w:rPr>
          <w:rFonts w:ascii="Arial Narrow" w:eastAsia="Calibri" w:hAnsi="Arial Narrow" w:cs="Tahoma"/>
          <w:i/>
          <w:sz w:val="22"/>
          <w:szCs w:val="22"/>
          <w:lang w:val="es-CO" w:eastAsia="en-US"/>
        </w:rPr>
        <w:t>“L</w:t>
      </w:r>
      <w:r w:rsidR="00A416B0" w:rsidRPr="00070543">
        <w:rPr>
          <w:rFonts w:ascii="Arial Narrow" w:eastAsia="Calibri" w:hAnsi="Arial Narrow" w:cs="Tahoma"/>
          <w:i/>
          <w:sz w:val="22"/>
          <w:szCs w:val="22"/>
          <w:lang w:val="es-CO" w:eastAsia="en-US"/>
        </w:rPr>
        <w:t>a jurisprudencia constitucional ha manifestado que el proceso ordinario laboral, debido a su 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peticionario”[13]. (…)”</w:t>
      </w:r>
    </w:p>
    <w:p w:rsidR="00C759A8" w:rsidRDefault="00C759A8" w:rsidP="00AF6DB1">
      <w:pPr>
        <w:spacing w:line="276" w:lineRule="auto"/>
        <w:ind w:left="709"/>
        <w:jc w:val="both"/>
        <w:rPr>
          <w:rFonts w:ascii="Arial Narrow" w:eastAsia="Calibri" w:hAnsi="Arial Narrow" w:cs="Tahoma"/>
          <w:i/>
          <w:sz w:val="22"/>
          <w:szCs w:val="22"/>
          <w:lang w:val="es-CO" w:eastAsia="en-US"/>
        </w:rPr>
      </w:pPr>
    </w:p>
    <w:p w:rsidR="00043660" w:rsidRDefault="00077352" w:rsidP="009E50BE">
      <w:pPr>
        <w:spacing w:line="276" w:lineRule="auto"/>
        <w:ind w:firstLine="708"/>
        <w:jc w:val="both"/>
        <w:rPr>
          <w:rFonts w:ascii="Tahoma" w:hAnsi="Tahoma" w:cs="Tahoma"/>
          <w:sz w:val="22"/>
          <w:szCs w:val="22"/>
        </w:rPr>
      </w:pPr>
      <w:r w:rsidRPr="00077352">
        <w:rPr>
          <w:rFonts w:ascii="Tahoma" w:hAnsi="Tahoma" w:cs="Tahoma"/>
          <w:sz w:val="22"/>
          <w:szCs w:val="22"/>
        </w:rPr>
        <w:t xml:space="preserve">La </w:t>
      </w:r>
      <w:r w:rsidR="006146F0">
        <w:rPr>
          <w:rFonts w:ascii="Tahoma" w:hAnsi="Tahoma" w:cs="Tahoma"/>
          <w:sz w:val="22"/>
          <w:szCs w:val="22"/>
        </w:rPr>
        <w:t>C</w:t>
      </w:r>
      <w:r w:rsidRPr="00077352">
        <w:rPr>
          <w:rFonts w:ascii="Tahoma" w:hAnsi="Tahoma" w:cs="Tahoma"/>
          <w:sz w:val="22"/>
          <w:szCs w:val="22"/>
        </w:rPr>
        <w:t xml:space="preserve">orte Constitucional en  sentencia T 606- 2014, MP. </w:t>
      </w:r>
      <w:r w:rsidR="006146F0">
        <w:rPr>
          <w:rFonts w:ascii="Tahoma" w:hAnsi="Tahoma" w:cs="Tahoma"/>
          <w:sz w:val="22"/>
          <w:szCs w:val="22"/>
        </w:rPr>
        <w:t xml:space="preserve">Dra. </w:t>
      </w:r>
      <w:r w:rsidR="00423F00" w:rsidRPr="00077352">
        <w:rPr>
          <w:rFonts w:ascii="Tahoma" w:hAnsi="Tahoma" w:cs="Tahoma"/>
          <w:sz w:val="22"/>
          <w:szCs w:val="22"/>
        </w:rPr>
        <w:t>María Victoria Calle Correa</w:t>
      </w:r>
      <w:r w:rsidRPr="00077352">
        <w:rPr>
          <w:rFonts w:ascii="Tahoma" w:hAnsi="Tahoma" w:cs="Tahoma"/>
          <w:sz w:val="22"/>
          <w:szCs w:val="22"/>
        </w:rPr>
        <w:t>, se refirió al d</w:t>
      </w:r>
      <w:r w:rsidR="00D25C0C" w:rsidRPr="00077352">
        <w:rPr>
          <w:rFonts w:ascii="Tahoma" w:hAnsi="Tahoma" w:cs="Tahoma"/>
          <w:sz w:val="22"/>
          <w:szCs w:val="22"/>
        </w:rPr>
        <w:t xml:space="preserve">erecho </w:t>
      </w:r>
      <w:r w:rsidRPr="00077352">
        <w:rPr>
          <w:rFonts w:ascii="Tahoma" w:hAnsi="Tahoma" w:cs="Tahoma"/>
          <w:sz w:val="22"/>
          <w:szCs w:val="22"/>
        </w:rPr>
        <w:t>que tiene el afiliado que recibió la indemnización sustitutiva de vejez</w:t>
      </w:r>
      <w:r w:rsidR="00934682">
        <w:rPr>
          <w:rFonts w:ascii="Tahoma" w:hAnsi="Tahoma" w:cs="Tahoma"/>
          <w:sz w:val="22"/>
          <w:szCs w:val="22"/>
        </w:rPr>
        <w:t>,</w:t>
      </w:r>
      <w:r w:rsidRPr="00077352">
        <w:rPr>
          <w:rFonts w:ascii="Tahoma" w:hAnsi="Tahoma" w:cs="Tahoma"/>
          <w:sz w:val="22"/>
          <w:szCs w:val="22"/>
        </w:rPr>
        <w:t xml:space="preserve"> </w:t>
      </w:r>
      <w:r w:rsidR="00934682">
        <w:rPr>
          <w:rFonts w:ascii="Tahoma" w:hAnsi="Tahoma" w:cs="Tahoma"/>
          <w:sz w:val="22"/>
          <w:szCs w:val="22"/>
        </w:rPr>
        <w:t xml:space="preserve">a que se le  </w:t>
      </w:r>
      <w:r w:rsidR="00934682">
        <w:rPr>
          <w:rFonts w:ascii="Tahoma" w:hAnsi="Tahoma" w:cs="Tahoma"/>
          <w:sz w:val="22"/>
          <w:szCs w:val="22"/>
        </w:rPr>
        <w:lastRenderedPageBreak/>
        <w:t xml:space="preserve">practique el examen de pérdida de capacidad laboral </w:t>
      </w:r>
      <w:r>
        <w:rPr>
          <w:rFonts w:ascii="Tahoma" w:hAnsi="Tahoma" w:cs="Tahoma"/>
          <w:sz w:val="22"/>
          <w:szCs w:val="22"/>
        </w:rPr>
        <w:t xml:space="preserve"> </w:t>
      </w:r>
      <w:r w:rsidR="00934682">
        <w:rPr>
          <w:rFonts w:ascii="Tahoma" w:hAnsi="Tahoma" w:cs="Tahoma"/>
          <w:sz w:val="22"/>
          <w:szCs w:val="22"/>
        </w:rPr>
        <w:t xml:space="preserve">para evaluar si tiene derecho a la </w:t>
      </w:r>
      <w:r w:rsidR="00423F00">
        <w:rPr>
          <w:rFonts w:ascii="Tahoma" w:hAnsi="Tahoma" w:cs="Tahoma"/>
          <w:sz w:val="22"/>
          <w:szCs w:val="22"/>
        </w:rPr>
        <w:t>pensión</w:t>
      </w:r>
      <w:r w:rsidR="00934682">
        <w:rPr>
          <w:rFonts w:ascii="Tahoma" w:hAnsi="Tahoma" w:cs="Tahoma"/>
          <w:sz w:val="22"/>
          <w:szCs w:val="22"/>
        </w:rPr>
        <w:t xml:space="preserve"> de invalidez.</w:t>
      </w:r>
    </w:p>
    <w:p w:rsidR="008A6D45" w:rsidRDefault="008A6D45" w:rsidP="00043660">
      <w:pPr>
        <w:spacing w:line="276" w:lineRule="auto"/>
        <w:ind w:firstLine="708"/>
        <w:jc w:val="both"/>
        <w:rPr>
          <w:rFonts w:ascii="Tahoma" w:hAnsi="Tahoma" w:cs="Tahoma"/>
          <w:sz w:val="22"/>
          <w:szCs w:val="22"/>
        </w:rPr>
      </w:pPr>
    </w:p>
    <w:p w:rsidR="008B7869" w:rsidRPr="00423F00" w:rsidRDefault="00077352" w:rsidP="00043660">
      <w:pPr>
        <w:spacing w:line="276" w:lineRule="auto"/>
        <w:ind w:firstLine="708"/>
        <w:jc w:val="both"/>
        <w:rPr>
          <w:rFonts w:ascii="Arial Narrow" w:eastAsia="Calibri" w:hAnsi="Arial Narrow" w:cs="Tahoma"/>
          <w:i/>
          <w:sz w:val="22"/>
          <w:szCs w:val="22"/>
          <w:lang w:val="es-CO" w:eastAsia="en-US"/>
        </w:rPr>
      </w:pPr>
      <w:r w:rsidRPr="00423F00">
        <w:rPr>
          <w:rFonts w:ascii="Arial Narrow" w:eastAsia="Calibri" w:hAnsi="Arial Narrow" w:cs="Tahoma"/>
          <w:i/>
          <w:sz w:val="22"/>
          <w:szCs w:val="22"/>
          <w:lang w:val="es-CO" w:eastAsia="en-US"/>
        </w:rPr>
        <w:t>“</w:t>
      </w:r>
      <w:r w:rsidR="008B7869" w:rsidRPr="00423F00">
        <w:rPr>
          <w:rFonts w:ascii="Arial Narrow" w:eastAsia="Calibri" w:hAnsi="Arial Narrow" w:cs="Tahoma"/>
          <w:i/>
          <w:sz w:val="22"/>
          <w:szCs w:val="22"/>
          <w:lang w:val="es-CO" w:eastAsia="en-US"/>
        </w:rPr>
        <w:t>4.3. El hecho de que al accionante le hubieran reconocido la indemnización sustitutiva no impide que pueda evaluarse nuevamente su derecho pensional, y eventualmente reconocerle la pensión de invalidez</w:t>
      </w:r>
    </w:p>
    <w:p w:rsidR="008B7869" w:rsidRPr="00423F00" w:rsidRDefault="008B7869" w:rsidP="00423F00">
      <w:pPr>
        <w:ind w:left="709"/>
        <w:jc w:val="both"/>
        <w:rPr>
          <w:rFonts w:ascii="Arial Narrow" w:eastAsia="Calibri" w:hAnsi="Arial Narrow" w:cs="Tahoma"/>
          <w:i/>
          <w:sz w:val="22"/>
          <w:szCs w:val="22"/>
          <w:lang w:val="es-CO" w:eastAsia="en-US"/>
        </w:rPr>
      </w:pPr>
      <w:r w:rsidRPr="00423F00">
        <w:rPr>
          <w:rFonts w:ascii="Arial Narrow" w:eastAsia="Calibri" w:hAnsi="Arial Narrow" w:cs="Tahoma"/>
          <w:i/>
          <w:sz w:val="22"/>
          <w:szCs w:val="22"/>
          <w:lang w:val="es-CO" w:eastAsia="en-US"/>
        </w:rPr>
        <w:t xml:space="preserve"> </w:t>
      </w:r>
    </w:p>
    <w:p w:rsidR="008B7869" w:rsidRPr="00423F00" w:rsidRDefault="008B7869" w:rsidP="00423F00">
      <w:pPr>
        <w:ind w:left="709"/>
        <w:jc w:val="both"/>
        <w:rPr>
          <w:rFonts w:ascii="Arial Narrow" w:eastAsia="Calibri" w:hAnsi="Arial Narrow" w:cs="Tahoma"/>
          <w:i/>
          <w:sz w:val="22"/>
          <w:szCs w:val="22"/>
          <w:lang w:val="es-CO" w:eastAsia="en-US"/>
        </w:rPr>
      </w:pPr>
      <w:r w:rsidRPr="00423F00">
        <w:rPr>
          <w:rFonts w:ascii="Arial Narrow" w:eastAsia="Calibri" w:hAnsi="Arial Narrow" w:cs="Tahoma"/>
          <w:i/>
          <w:sz w:val="22"/>
          <w:szCs w:val="22"/>
          <w:lang w:val="es-CO" w:eastAsia="en-US"/>
        </w:rPr>
        <w:t>4.3.1. Uno de los argumentos que esgrimió Colpensiones EICE para negarse a revisar la situación pensional del accionante, es que él “tiene reconocida una prestación económica en el Sistema General de Pensiones [la indemnización sustitutiva de la pensión de invalidez] que es incompatible con la que ahora se encuentra en estudio”.[32] Específicamente, señaló que el artículo 6 del Decreto 1730 de 2001[33] establece que “[…] las indemnizaciones sustitutivas de vejez y de invalidez, son incompatibles con las pensiones de vejez y de invalidez”, y que en esa dirección no era posible que a una misma persona se le reconocieran dos prestaciones con cargo al sistema de prima media.</w:t>
      </w:r>
    </w:p>
    <w:p w:rsidR="008B7869" w:rsidRPr="00423F00" w:rsidRDefault="008B7869" w:rsidP="00423F00">
      <w:pPr>
        <w:ind w:left="709"/>
        <w:jc w:val="both"/>
        <w:rPr>
          <w:rFonts w:ascii="Arial Narrow" w:eastAsia="Calibri" w:hAnsi="Arial Narrow" w:cs="Tahoma"/>
          <w:i/>
          <w:sz w:val="22"/>
          <w:szCs w:val="22"/>
          <w:lang w:val="es-CO" w:eastAsia="en-US"/>
        </w:rPr>
      </w:pPr>
      <w:r w:rsidRPr="00423F00">
        <w:rPr>
          <w:rFonts w:ascii="Arial Narrow" w:eastAsia="Calibri" w:hAnsi="Arial Narrow" w:cs="Tahoma"/>
          <w:i/>
          <w:sz w:val="22"/>
          <w:szCs w:val="22"/>
          <w:lang w:val="es-CO" w:eastAsia="en-US"/>
        </w:rPr>
        <w:t xml:space="preserve"> </w:t>
      </w:r>
    </w:p>
    <w:p w:rsidR="008B7869" w:rsidRPr="00423F00" w:rsidRDefault="008B7869" w:rsidP="00423F00">
      <w:pPr>
        <w:ind w:left="709"/>
        <w:jc w:val="both"/>
        <w:rPr>
          <w:rFonts w:ascii="Arial Narrow" w:eastAsia="Calibri" w:hAnsi="Arial Narrow" w:cs="Tahoma"/>
          <w:i/>
          <w:sz w:val="22"/>
          <w:szCs w:val="22"/>
          <w:lang w:val="es-CO" w:eastAsia="en-US"/>
        </w:rPr>
      </w:pPr>
      <w:r w:rsidRPr="00423F00">
        <w:rPr>
          <w:rFonts w:ascii="Arial Narrow" w:eastAsia="Calibri" w:hAnsi="Arial Narrow" w:cs="Tahoma"/>
          <w:i/>
          <w:sz w:val="22"/>
          <w:szCs w:val="22"/>
          <w:lang w:val="es-CO" w:eastAsia="en-US"/>
        </w:rPr>
        <w:t>4.3.2. Al respecto, la Sala considera que el hecho de que al actor le hubieran reconocido la indemnización sustitutiva no impide que pueda examinarse nuevamente la posibilidad de reconocerle la pensión de invalidez, por las siguientes razones:</w:t>
      </w:r>
    </w:p>
    <w:p w:rsidR="008B7869" w:rsidRPr="00423F00" w:rsidRDefault="008B7869" w:rsidP="00423F00">
      <w:pPr>
        <w:ind w:left="709"/>
        <w:jc w:val="both"/>
        <w:rPr>
          <w:rFonts w:ascii="Arial Narrow" w:eastAsia="Calibri" w:hAnsi="Arial Narrow" w:cs="Tahoma"/>
          <w:i/>
          <w:sz w:val="22"/>
          <w:szCs w:val="22"/>
          <w:lang w:val="es-CO" w:eastAsia="en-US"/>
        </w:rPr>
      </w:pPr>
      <w:r w:rsidRPr="00423F00">
        <w:rPr>
          <w:rFonts w:ascii="Arial Narrow" w:eastAsia="Calibri" w:hAnsi="Arial Narrow" w:cs="Tahoma"/>
          <w:i/>
          <w:sz w:val="22"/>
          <w:szCs w:val="22"/>
          <w:lang w:val="es-CO" w:eastAsia="en-US"/>
        </w:rPr>
        <w:t xml:space="preserve"> </w:t>
      </w:r>
    </w:p>
    <w:p w:rsidR="008B7869" w:rsidRPr="00423F00" w:rsidRDefault="008B7869" w:rsidP="00423F00">
      <w:pPr>
        <w:ind w:left="709"/>
        <w:jc w:val="both"/>
        <w:rPr>
          <w:rFonts w:ascii="Arial Narrow" w:eastAsia="Calibri" w:hAnsi="Arial Narrow" w:cs="Tahoma"/>
          <w:i/>
          <w:sz w:val="22"/>
          <w:szCs w:val="22"/>
          <w:lang w:val="es-CO" w:eastAsia="en-US"/>
        </w:rPr>
      </w:pPr>
      <w:r w:rsidRPr="00423F00">
        <w:rPr>
          <w:rFonts w:ascii="Arial Narrow" w:eastAsia="Calibri" w:hAnsi="Arial Narrow" w:cs="Tahoma"/>
          <w:i/>
          <w:sz w:val="22"/>
          <w:szCs w:val="22"/>
          <w:lang w:val="es-CO" w:eastAsia="en-US"/>
        </w:rPr>
        <w:t xml:space="preserve">4.3.2.1. La jurisprudencia constitucional ha interpretado que la incompatibilidad de esas prestaciones no significa que a una persona que ya se le reconoció el derecho a la indemnización sustitutiva de la pensión de invalidez, no pueda volvérsele a examinar el derecho a una pensión, que cubra de manera más amplia las contingencias de la discapacidad. Diversas salas de revisión de la Corte han reconocido la pensión de invalidez en cabeza de personas que ya les había sido otorgada una indemnización sustitutiva, sobre la base de que la incompatibilidad de esas prestaciones no es óbice para reexaminar el asunto, y que desde el primer acto que resolvía la solicitud pensional podía predicarse que la persona interesada tenía el derecho a la pensión,[34] ya sea porque le exigieron un requisito inconstitucional o se aplicó equivocadamente una norma sustantiva.[35] En consecuencia, la incompatibilidad de los beneficios pensionales no es una barrera para evaluar nuevamente los casos, ni efectuar un reconocimiento pensional, sino que debe interpretarse como una imposibilidad de que los aportes al sistema financien dos prestaciones simultáneamente, cuando una de ellas se otorgó con apego a las normas legales y a la Constitución.        </w:t>
      </w:r>
    </w:p>
    <w:p w:rsidR="008B7869" w:rsidRPr="00423F00" w:rsidRDefault="008B7869" w:rsidP="00423F00">
      <w:pPr>
        <w:ind w:left="709"/>
        <w:jc w:val="both"/>
        <w:rPr>
          <w:rFonts w:ascii="Arial Narrow" w:eastAsia="Calibri" w:hAnsi="Arial Narrow" w:cs="Tahoma"/>
          <w:i/>
          <w:sz w:val="22"/>
          <w:szCs w:val="22"/>
          <w:lang w:val="es-CO" w:eastAsia="en-US"/>
        </w:rPr>
      </w:pPr>
      <w:r w:rsidRPr="00423F00">
        <w:rPr>
          <w:rFonts w:ascii="Arial Narrow" w:eastAsia="Calibri" w:hAnsi="Arial Narrow" w:cs="Tahoma"/>
          <w:i/>
          <w:sz w:val="22"/>
          <w:szCs w:val="22"/>
          <w:lang w:val="es-CO" w:eastAsia="en-US"/>
        </w:rPr>
        <w:t xml:space="preserve"> </w:t>
      </w:r>
    </w:p>
    <w:p w:rsidR="00077352" w:rsidRDefault="008B7869" w:rsidP="000360E4">
      <w:pPr>
        <w:ind w:left="709"/>
        <w:jc w:val="both"/>
        <w:rPr>
          <w:rFonts w:ascii="Arial Narrow" w:eastAsia="Calibri" w:hAnsi="Arial Narrow" w:cs="Tahoma"/>
          <w:i/>
          <w:sz w:val="22"/>
          <w:szCs w:val="22"/>
          <w:lang w:val="es-CO" w:eastAsia="en-US"/>
        </w:rPr>
      </w:pPr>
      <w:r w:rsidRPr="00423F00">
        <w:rPr>
          <w:rFonts w:ascii="Arial Narrow" w:eastAsia="Calibri" w:hAnsi="Arial Narrow" w:cs="Tahoma"/>
          <w:i/>
          <w:sz w:val="22"/>
          <w:szCs w:val="22"/>
          <w:lang w:val="es-CO" w:eastAsia="en-US"/>
        </w:rPr>
        <w:t>Esa doctrina constitucional se fundamenta en el carácter irrenunciable e imprescriptible del derecho a la seguridad social (art. 48 CP), en el sentido de que el reconocimiento de una indemnización sustitutiva no puede significar la renuncia a percibir una pensión a la cual se tenía derecho desde el principio. El derecho a determinada prestación nace cuando una persona cumple los presupuestos legales vigentes al momento de causarse el mismo, y ese derecho es irrenunciable. El accionante puede abstenerse de reclamar el pago efectivo de las mesadas, e inclusive puede aceptar otra prestación sustituta, pero no despojarse de la titularidad del derecho, ni de la facultad de reclamar en el futuro el pago periódico de su prestación. En su caso, de encontrarse que tiene derecho a la pensión de invalidez, tendría que decirse que el mismo se perfeccionó desde el momento en qu</w:t>
      </w:r>
      <w:r w:rsidR="00423F00" w:rsidRPr="00423F00">
        <w:rPr>
          <w:rFonts w:ascii="Arial Narrow" w:eastAsia="Calibri" w:hAnsi="Arial Narrow" w:cs="Tahoma"/>
          <w:i/>
          <w:sz w:val="22"/>
          <w:szCs w:val="22"/>
          <w:lang w:val="es-CO" w:eastAsia="en-US"/>
        </w:rPr>
        <w:t>e se estructuró su invalidez.”</w:t>
      </w:r>
    </w:p>
    <w:p w:rsidR="00A9676D" w:rsidRDefault="00A9676D" w:rsidP="00A9676D">
      <w:pPr>
        <w:jc w:val="both"/>
        <w:rPr>
          <w:rFonts w:ascii="Arial Narrow" w:eastAsia="Calibri" w:hAnsi="Arial Narrow" w:cs="Tahoma"/>
          <w:i/>
          <w:sz w:val="22"/>
          <w:szCs w:val="22"/>
          <w:lang w:val="es-CO" w:eastAsia="en-US"/>
        </w:rPr>
      </w:pPr>
    </w:p>
    <w:p w:rsidR="000360E4" w:rsidRPr="00916CE4" w:rsidRDefault="00643AEA" w:rsidP="002A7C22">
      <w:pPr>
        <w:spacing w:line="276" w:lineRule="auto"/>
        <w:ind w:firstLine="708"/>
        <w:jc w:val="both"/>
        <w:rPr>
          <w:rFonts w:ascii="Tahoma" w:eastAsia="Calibri" w:hAnsi="Tahoma" w:cs="Tahoma"/>
          <w:sz w:val="22"/>
          <w:szCs w:val="22"/>
          <w:lang w:val="es-CO" w:eastAsia="en-US"/>
        </w:rPr>
      </w:pPr>
      <w:r>
        <w:rPr>
          <w:rFonts w:ascii="Tahoma" w:eastAsia="Calibri" w:hAnsi="Tahoma" w:cs="Tahoma"/>
          <w:sz w:val="22"/>
          <w:szCs w:val="22"/>
          <w:lang w:val="es-CO" w:eastAsia="en-US"/>
        </w:rPr>
        <w:t>En l</w:t>
      </w:r>
      <w:r w:rsidR="00F70D20">
        <w:rPr>
          <w:rFonts w:ascii="Tahoma" w:eastAsia="Calibri" w:hAnsi="Tahoma" w:cs="Tahoma"/>
          <w:sz w:val="22"/>
          <w:szCs w:val="22"/>
          <w:lang w:val="es-CO" w:eastAsia="en-US"/>
        </w:rPr>
        <w:t xml:space="preserve">a </w:t>
      </w:r>
      <w:r w:rsidR="00A9676D" w:rsidRPr="00916CE4">
        <w:rPr>
          <w:rFonts w:ascii="Tahoma" w:eastAsia="Calibri" w:hAnsi="Tahoma" w:cs="Tahoma"/>
          <w:sz w:val="22"/>
          <w:szCs w:val="22"/>
          <w:lang w:val="es-CO" w:eastAsia="en-US"/>
        </w:rPr>
        <w:t xml:space="preserve">sentencia T 574 de 2015, </w:t>
      </w:r>
      <w:r w:rsidR="00916CE4">
        <w:rPr>
          <w:rFonts w:ascii="Tahoma" w:eastAsia="Calibri" w:hAnsi="Tahoma" w:cs="Tahoma"/>
          <w:sz w:val="22"/>
          <w:szCs w:val="22"/>
          <w:lang w:val="es-CO" w:eastAsia="en-US"/>
        </w:rPr>
        <w:t>M.P Gabriel Eduardo Mendoza Martelo,</w:t>
      </w:r>
      <w:r w:rsidR="00F70D20">
        <w:rPr>
          <w:rFonts w:ascii="Tahoma" w:eastAsia="Calibri" w:hAnsi="Tahoma" w:cs="Tahoma"/>
          <w:sz w:val="22"/>
          <w:szCs w:val="22"/>
          <w:lang w:val="es-CO" w:eastAsia="en-US"/>
        </w:rPr>
        <w:t xml:space="preserve"> </w:t>
      </w:r>
      <w:r>
        <w:rPr>
          <w:rFonts w:ascii="Tahoma" w:eastAsia="Calibri" w:hAnsi="Tahoma" w:cs="Tahoma"/>
          <w:sz w:val="22"/>
          <w:szCs w:val="22"/>
          <w:lang w:val="es-CO" w:eastAsia="en-US"/>
        </w:rPr>
        <w:t xml:space="preserve">dicha Magistratura </w:t>
      </w:r>
      <w:r w:rsidR="00F70D20">
        <w:rPr>
          <w:rFonts w:ascii="Tahoma" w:eastAsia="Calibri" w:hAnsi="Tahoma" w:cs="Tahoma"/>
          <w:sz w:val="22"/>
          <w:szCs w:val="22"/>
          <w:lang w:val="es-CO" w:eastAsia="en-US"/>
        </w:rPr>
        <w:t>estableció</w:t>
      </w:r>
      <w:r w:rsidR="002A7C22">
        <w:rPr>
          <w:rFonts w:ascii="Tahoma" w:eastAsia="Calibri" w:hAnsi="Tahoma" w:cs="Tahoma"/>
          <w:sz w:val="22"/>
          <w:szCs w:val="22"/>
          <w:lang w:val="es-CO" w:eastAsia="en-US"/>
        </w:rPr>
        <w:t xml:space="preserve"> </w:t>
      </w:r>
      <w:r w:rsidR="00F70D20">
        <w:rPr>
          <w:rFonts w:ascii="Tahoma" w:eastAsia="Calibri" w:hAnsi="Tahoma" w:cs="Tahoma"/>
          <w:sz w:val="22"/>
          <w:szCs w:val="22"/>
          <w:lang w:val="es-CO" w:eastAsia="en-US"/>
        </w:rPr>
        <w:t xml:space="preserve">que para </w:t>
      </w:r>
      <w:r w:rsidR="000F39A5">
        <w:rPr>
          <w:rFonts w:ascii="Tahoma" w:eastAsia="Calibri" w:hAnsi="Tahoma" w:cs="Tahoma"/>
          <w:sz w:val="22"/>
          <w:szCs w:val="22"/>
          <w:lang w:val="es-CO" w:eastAsia="en-US"/>
        </w:rPr>
        <w:t>realizar</w:t>
      </w:r>
      <w:r w:rsidR="002A7C22">
        <w:rPr>
          <w:rFonts w:ascii="Tahoma" w:eastAsia="Calibri" w:hAnsi="Tahoma" w:cs="Tahoma"/>
          <w:sz w:val="22"/>
          <w:szCs w:val="22"/>
          <w:lang w:val="es-CO" w:eastAsia="en-US"/>
        </w:rPr>
        <w:t xml:space="preserve"> un nuevo examen de p</w:t>
      </w:r>
      <w:r>
        <w:rPr>
          <w:rFonts w:ascii="Tahoma" w:eastAsia="Calibri" w:hAnsi="Tahoma" w:cs="Tahoma"/>
          <w:sz w:val="22"/>
          <w:szCs w:val="22"/>
          <w:lang w:val="es-CO" w:eastAsia="en-US"/>
        </w:rPr>
        <w:t>é</w:t>
      </w:r>
      <w:r w:rsidR="002A7C22">
        <w:rPr>
          <w:rFonts w:ascii="Tahoma" w:eastAsia="Calibri" w:hAnsi="Tahoma" w:cs="Tahoma"/>
          <w:sz w:val="22"/>
          <w:szCs w:val="22"/>
          <w:lang w:val="es-CO" w:eastAsia="en-US"/>
        </w:rPr>
        <w:t>rdida de capacidad labor</w:t>
      </w:r>
      <w:r w:rsidR="00244E5D">
        <w:rPr>
          <w:rFonts w:ascii="Tahoma" w:eastAsia="Calibri" w:hAnsi="Tahoma" w:cs="Tahoma"/>
          <w:sz w:val="22"/>
          <w:szCs w:val="22"/>
          <w:lang w:val="es-CO" w:eastAsia="en-US"/>
        </w:rPr>
        <w:t>al no se debe tener en cuenta el</w:t>
      </w:r>
      <w:r w:rsidR="002A7C22">
        <w:rPr>
          <w:rFonts w:ascii="Tahoma" w:eastAsia="Calibri" w:hAnsi="Tahoma" w:cs="Tahoma"/>
          <w:sz w:val="22"/>
          <w:szCs w:val="22"/>
          <w:lang w:val="es-CO" w:eastAsia="en-US"/>
        </w:rPr>
        <w:t xml:space="preserve"> tiempo</w:t>
      </w:r>
      <w:r>
        <w:rPr>
          <w:rFonts w:ascii="Tahoma" w:eastAsia="Calibri" w:hAnsi="Tahoma" w:cs="Tahoma"/>
          <w:sz w:val="22"/>
          <w:szCs w:val="22"/>
          <w:lang w:val="es-CO" w:eastAsia="en-US"/>
        </w:rPr>
        <w:t xml:space="preserve"> que haya transcurrido entre uno y otro examen</w:t>
      </w:r>
      <w:r w:rsidR="00244E5D">
        <w:rPr>
          <w:rFonts w:ascii="Tahoma" w:eastAsia="Calibri" w:hAnsi="Tahoma" w:cs="Tahoma"/>
          <w:sz w:val="22"/>
          <w:szCs w:val="22"/>
          <w:lang w:val="es-CO" w:eastAsia="en-US"/>
        </w:rPr>
        <w:t xml:space="preserve">, </w:t>
      </w:r>
      <w:r>
        <w:rPr>
          <w:rFonts w:ascii="Tahoma" w:eastAsia="Calibri" w:hAnsi="Tahoma" w:cs="Tahoma"/>
          <w:sz w:val="22"/>
          <w:szCs w:val="22"/>
          <w:lang w:val="es-CO" w:eastAsia="en-US"/>
        </w:rPr>
        <w:t xml:space="preserve">sino que </w:t>
      </w:r>
      <w:r w:rsidR="00244E5D">
        <w:rPr>
          <w:rFonts w:ascii="Tahoma" w:eastAsia="Calibri" w:hAnsi="Tahoma" w:cs="Tahoma"/>
          <w:sz w:val="22"/>
          <w:szCs w:val="22"/>
          <w:lang w:val="es-CO" w:eastAsia="en-US"/>
        </w:rPr>
        <w:t>se debe</w:t>
      </w:r>
      <w:r>
        <w:rPr>
          <w:rFonts w:ascii="Tahoma" w:eastAsia="Calibri" w:hAnsi="Tahoma" w:cs="Tahoma"/>
          <w:sz w:val="22"/>
          <w:szCs w:val="22"/>
          <w:lang w:val="es-CO" w:eastAsia="en-US"/>
        </w:rPr>
        <w:t>n</w:t>
      </w:r>
      <w:r w:rsidR="00244E5D">
        <w:rPr>
          <w:rFonts w:ascii="Tahoma" w:eastAsia="Calibri" w:hAnsi="Tahoma" w:cs="Tahoma"/>
          <w:sz w:val="22"/>
          <w:szCs w:val="22"/>
          <w:lang w:val="es-CO" w:eastAsia="en-US"/>
        </w:rPr>
        <w:t xml:space="preserve"> considerar </w:t>
      </w:r>
      <w:r w:rsidR="002A7C22">
        <w:rPr>
          <w:rFonts w:ascii="Tahoma" w:eastAsia="Calibri" w:hAnsi="Tahoma" w:cs="Tahoma"/>
          <w:sz w:val="22"/>
          <w:szCs w:val="22"/>
          <w:lang w:val="es-CO" w:eastAsia="en-US"/>
        </w:rPr>
        <w:t xml:space="preserve">las </w:t>
      </w:r>
      <w:r w:rsidR="00F70D20" w:rsidRPr="002A7C22">
        <w:rPr>
          <w:rFonts w:ascii="Tahoma" w:eastAsia="Calibri" w:hAnsi="Tahoma" w:cs="Tahoma"/>
          <w:sz w:val="22"/>
          <w:szCs w:val="22"/>
          <w:lang w:val="es-CO" w:eastAsia="en-US"/>
        </w:rPr>
        <w:t>condiciones particulares de la persona</w:t>
      </w:r>
      <w:r>
        <w:rPr>
          <w:rFonts w:ascii="Tahoma" w:eastAsia="Calibri" w:hAnsi="Tahoma" w:cs="Tahoma"/>
          <w:sz w:val="22"/>
          <w:szCs w:val="22"/>
          <w:lang w:val="es-CO" w:eastAsia="en-US"/>
        </w:rPr>
        <w:t xml:space="preserve">, como </w:t>
      </w:r>
      <w:r w:rsidR="002A7C22" w:rsidRPr="002A7C22">
        <w:rPr>
          <w:rFonts w:ascii="Tahoma" w:eastAsia="Calibri" w:hAnsi="Tahoma" w:cs="Tahoma"/>
          <w:sz w:val="22"/>
          <w:szCs w:val="22"/>
          <w:lang w:val="es-CO" w:eastAsia="en-US"/>
        </w:rPr>
        <w:t>el estado</w:t>
      </w:r>
      <w:r w:rsidR="002A7C22">
        <w:rPr>
          <w:rFonts w:ascii="Tahoma" w:eastAsia="Calibri" w:hAnsi="Tahoma" w:cs="Tahoma"/>
          <w:sz w:val="22"/>
          <w:szCs w:val="22"/>
          <w:lang w:val="es-CO" w:eastAsia="en-US"/>
        </w:rPr>
        <w:t xml:space="preserve"> actual</w:t>
      </w:r>
      <w:r w:rsidR="002A7C22" w:rsidRPr="002A7C22">
        <w:rPr>
          <w:rFonts w:ascii="Tahoma" w:eastAsia="Calibri" w:hAnsi="Tahoma" w:cs="Tahoma"/>
          <w:sz w:val="22"/>
          <w:szCs w:val="22"/>
          <w:lang w:val="es-CO" w:eastAsia="en-US"/>
        </w:rPr>
        <w:t xml:space="preserve"> de salud, el grado de evolución de la enfermedad, el proceso de recuperación y la rehabilitación suministrada.</w:t>
      </w:r>
      <w:r w:rsidR="00F70D20">
        <w:rPr>
          <w:rFonts w:ascii="Tahoma" w:eastAsia="Calibri" w:hAnsi="Tahoma" w:cs="Tahoma"/>
          <w:sz w:val="22"/>
          <w:szCs w:val="22"/>
          <w:lang w:val="es-CO" w:eastAsia="en-US"/>
        </w:rPr>
        <w:t xml:space="preserve">   </w:t>
      </w:r>
    </w:p>
    <w:p w:rsidR="00A9676D" w:rsidRDefault="00A9676D" w:rsidP="00A9676D">
      <w:pPr>
        <w:jc w:val="both"/>
        <w:rPr>
          <w:rFonts w:ascii="Arial Narrow" w:eastAsia="Calibri" w:hAnsi="Arial Narrow" w:cs="Tahoma"/>
          <w:sz w:val="22"/>
          <w:szCs w:val="22"/>
          <w:lang w:val="es-CO" w:eastAsia="en-US"/>
        </w:rPr>
      </w:pPr>
    </w:p>
    <w:p w:rsidR="00A9676D" w:rsidRPr="00EF52E9" w:rsidRDefault="007A0BA3" w:rsidP="00EF52E9">
      <w:pPr>
        <w:ind w:left="709"/>
        <w:jc w:val="both"/>
        <w:rPr>
          <w:rFonts w:ascii="Arial Narrow" w:eastAsia="Calibri" w:hAnsi="Arial Narrow" w:cs="Tahoma"/>
          <w:i/>
          <w:sz w:val="22"/>
          <w:szCs w:val="22"/>
          <w:lang w:val="es-CO" w:eastAsia="en-US"/>
        </w:rPr>
      </w:pPr>
      <w:r>
        <w:rPr>
          <w:rFonts w:ascii="Arial Narrow" w:eastAsia="Calibri" w:hAnsi="Arial Narrow" w:cs="Tahoma"/>
          <w:i/>
          <w:sz w:val="22"/>
          <w:szCs w:val="22"/>
          <w:lang w:val="es-CO" w:eastAsia="en-US"/>
        </w:rPr>
        <w:t>“</w:t>
      </w:r>
      <w:r w:rsidR="00A9676D" w:rsidRPr="00EF52E9">
        <w:rPr>
          <w:rFonts w:ascii="Arial Narrow" w:eastAsia="Calibri" w:hAnsi="Arial Narrow" w:cs="Tahoma"/>
          <w:i/>
          <w:sz w:val="22"/>
          <w:szCs w:val="22"/>
          <w:lang w:val="es-CO" w:eastAsia="en-US"/>
        </w:rPr>
        <w:t>Por otra parte, tal examen debe tener en cuenta las condiciones particulares de la persona, las cuales serán valoradas sistemáticamente, sin que sea posible establecer diferencias en razón al origen de la incapacidad y es, perfectamente viable, que se genere no solamente como consecuencia directa de una enfermedad o accidente de trabajo sino también por las patologías que resulten de la evolución posterior de esta enfermedad o accidente e, incluso, por una situación de salud de origen común.</w:t>
      </w:r>
    </w:p>
    <w:p w:rsidR="00A9676D" w:rsidRPr="00EF52E9" w:rsidRDefault="00A9676D" w:rsidP="00EF52E9">
      <w:pPr>
        <w:ind w:left="709"/>
        <w:jc w:val="both"/>
        <w:rPr>
          <w:rFonts w:ascii="Arial Narrow" w:eastAsia="Calibri" w:hAnsi="Arial Narrow" w:cs="Tahoma"/>
          <w:i/>
          <w:sz w:val="22"/>
          <w:szCs w:val="22"/>
          <w:lang w:val="es-CO" w:eastAsia="en-US"/>
        </w:rPr>
      </w:pPr>
    </w:p>
    <w:p w:rsidR="00A9676D" w:rsidRPr="00EF52E9" w:rsidRDefault="00A9676D" w:rsidP="00EF52E9">
      <w:pPr>
        <w:ind w:left="709"/>
        <w:jc w:val="both"/>
        <w:rPr>
          <w:rFonts w:ascii="Arial Narrow" w:eastAsia="Calibri" w:hAnsi="Arial Narrow" w:cs="Tahoma"/>
          <w:i/>
          <w:sz w:val="22"/>
          <w:szCs w:val="22"/>
          <w:lang w:val="es-CO" w:eastAsia="en-US"/>
        </w:rPr>
      </w:pPr>
      <w:r w:rsidRPr="00EF52E9">
        <w:rPr>
          <w:rFonts w:ascii="Arial Narrow" w:eastAsia="Calibri" w:hAnsi="Arial Narrow" w:cs="Tahoma"/>
          <w:i/>
          <w:sz w:val="22"/>
          <w:szCs w:val="22"/>
          <w:lang w:val="es-CO" w:eastAsia="en-US"/>
        </w:rPr>
        <w:t>Del mismo modo, existen situaciones en las que, aunque inicialmente el suceso no genere incapacidad alguna, lo cierto es que con el transcurso del tiempo, se pueden presentar secuelas que agravan la situación de salud de la persona. En tales casos, se puede dar lugar a la valoración de la pérdida de capacidad laboral, con la intención de establecer las verdaderas causas que originaron la disminución de su capacidad de trabajo o el eventual estado de invalidez.</w:t>
      </w:r>
    </w:p>
    <w:p w:rsidR="00A9676D" w:rsidRPr="00EF52E9" w:rsidRDefault="00A9676D" w:rsidP="00EF52E9">
      <w:pPr>
        <w:ind w:left="709"/>
        <w:jc w:val="both"/>
        <w:rPr>
          <w:rFonts w:ascii="Arial Narrow" w:eastAsia="Calibri" w:hAnsi="Arial Narrow" w:cs="Tahoma"/>
          <w:i/>
          <w:sz w:val="22"/>
          <w:szCs w:val="22"/>
          <w:lang w:val="es-CO" w:eastAsia="en-US"/>
        </w:rPr>
      </w:pPr>
    </w:p>
    <w:p w:rsidR="00A9676D" w:rsidRPr="00EF52E9" w:rsidRDefault="00A9676D" w:rsidP="00EF52E9">
      <w:pPr>
        <w:ind w:left="709"/>
        <w:jc w:val="both"/>
        <w:rPr>
          <w:rFonts w:ascii="Arial Narrow" w:eastAsia="Calibri" w:hAnsi="Arial Narrow" w:cs="Tahoma"/>
          <w:i/>
          <w:sz w:val="22"/>
          <w:szCs w:val="22"/>
          <w:lang w:val="es-CO" w:eastAsia="en-US"/>
        </w:rPr>
      </w:pPr>
      <w:r w:rsidRPr="00EF52E9">
        <w:rPr>
          <w:rFonts w:ascii="Arial Narrow" w:eastAsia="Calibri" w:hAnsi="Arial Narrow" w:cs="Tahoma"/>
          <w:i/>
          <w:sz w:val="22"/>
          <w:szCs w:val="22"/>
          <w:lang w:val="es-CO" w:eastAsia="en-US"/>
        </w:rPr>
        <w:lastRenderedPageBreak/>
        <w:t>Todo lo anterior, permite justificar que la valoración de la pérdida de capacidad laboral no está supeditada a ningún término para realizarla, pues no está sujeta a un determinado espacio de tiempo sino que depende de las condiciones reales y actuales de salud, del grado de evolución de la enfermedad, el proceso de recuperación y la rehabilitación suministrada.</w:t>
      </w:r>
    </w:p>
    <w:p w:rsidR="00A9676D" w:rsidRPr="00EF52E9" w:rsidRDefault="00A9676D" w:rsidP="00EF52E9">
      <w:pPr>
        <w:ind w:left="709"/>
        <w:jc w:val="both"/>
        <w:rPr>
          <w:rFonts w:ascii="Arial Narrow" w:eastAsia="Calibri" w:hAnsi="Arial Narrow" w:cs="Tahoma"/>
          <w:i/>
          <w:sz w:val="22"/>
          <w:szCs w:val="22"/>
          <w:lang w:val="es-CO" w:eastAsia="en-US"/>
        </w:rPr>
      </w:pPr>
    </w:p>
    <w:p w:rsidR="00A9676D" w:rsidRPr="00EF52E9" w:rsidRDefault="00A9676D" w:rsidP="00EF52E9">
      <w:pPr>
        <w:ind w:left="709"/>
        <w:jc w:val="both"/>
        <w:rPr>
          <w:rFonts w:ascii="Arial Narrow" w:eastAsia="Calibri" w:hAnsi="Arial Narrow" w:cs="Tahoma"/>
          <w:i/>
          <w:sz w:val="22"/>
          <w:szCs w:val="22"/>
          <w:lang w:val="es-CO" w:eastAsia="en-US"/>
        </w:rPr>
      </w:pPr>
      <w:r w:rsidRPr="00EF52E9">
        <w:rPr>
          <w:rFonts w:ascii="Arial Narrow" w:eastAsia="Calibri" w:hAnsi="Arial Narrow" w:cs="Tahoma"/>
          <w:i/>
          <w:sz w:val="22"/>
          <w:szCs w:val="22"/>
          <w:lang w:val="es-CO" w:eastAsia="en-US"/>
        </w:rPr>
        <w:t>Por tanto, el transcurso de tiempo no habilita a denegar el ejercicio del derecho del afiliado a obtener un dictamen técnico que le permita acceder a la prestación causada por la consolidación del daño, ello con independencia del origen, pues implicaría socavarle sus prerrogativas fundamentales, entre otras, a la seguridad social, a la salud, a la vida en condiciones dignas y al mínimo vital.</w:t>
      </w:r>
      <w:r w:rsidR="007A0BA3">
        <w:rPr>
          <w:rFonts w:ascii="Arial Narrow" w:eastAsia="Calibri" w:hAnsi="Arial Narrow" w:cs="Tahoma"/>
          <w:i/>
          <w:sz w:val="22"/>
          <w:szCs w:val="22"/>
          <w:lang w:val="es-CO" w:eastAsia="en-US"/>
        </w:rPr>
        <w:t>”</w:t>
      </w:r>
    </w:p>
    <w:p w:rsidR="00643AEA" w:rsidRPr="00C55156" w:rsidRDefault="00A9676D" w:rsidP="00C55156">
      <w:pPr>
        <w:pStyle w:val="Prrafodelista"/>
        <w:tabs>
          <w:tab w:val="left" w:pos="1701"/>
        </w:tabs>
        <w:autoSpaceDN w:val="0"/>
        <w:spacing w:line="276" w:lineRule="auto"/>
        <w:ind w:left="1276"/>
        <w:rPr>
          <w:rFonts w:ascii="Tahoma" w:hAnsi="Tahoma" w:cs="Tahoma"/>
          <w:b/>
          <w:color w:val="FF0000"/>
          <w:sz w:val="22"/>
          <w:szCs w:val="22"/>
        </w:rPr>
      </w:pPr>
      <w:r>
        <w:rPr>
          <w:rFonts w:ascii="Tahoma" w:hAnsi="Tahoma" w:cs="Tahoma"/>
          <w:b/>
          <w:color w:val="FF0000"/>
          <w:sz w:val="22"/>
          <w:szCs w:val="22"/>
        </w:rPr>
        <w:t xml:space="preserve"> </w:t>
      </w:r>
    </w:p>
    <w:p w:rsidR="00A416B0" w:rsidRPr="00E80ED6" w:rsidRDefault="00A416B0" w:rsidP="00A416B0">
      <w:pPr>
        <w:pStyle w:val="Prrafodelista"/>
        <w:numPr>
          <w:ilvl w:val="1"/>
          <w:numId w:val="4"/>
        </w:numPr>
        <w:tabs>
          <w:tab w:val="left" w:pos="1701"/>
        </w:tabs>
        <w:autoSpaceDN w:val="0"/>
        <w:spacing w:line="276" w:lineRule="auto"/>
        <w:ind w:left="1276" w:hanging="556"/>
        <w:rPr>
          <w:rFonts w:ascii="Tahoma" w:hAnsi="Tahoma" w:cs="Tahoma"/>
          <w:b/>
          <w:sz w:val="22"/>
          <w:szCs w:val="22"/>
        </w:rPr>
      </w:pPr>
      <w:r w:rsidRPr="00E80ED6">
        <w:rPr>
          <w:rFonts w:ascii="Tahoma" w:hAnsi="Tahoma" w:cs="Tahoma"/>
          <w:b/>
          <w:sz w:val="22"/>
          <w:szCs w:val="22"/>
        </w:rPr>
        <w:t>Caso en concreto</w:t>
      </w:r>
    </w:p>
    <w:p w:rsidR="00D31BEE" w:rsidRPr="001B0AE3" w:rsidRDefault="00D31BEE" w:rsidP="00D31BEE">
      <w:pPr>
        <w:pStyle w:val="Sinespaciado"/>
        <w:spacing w:line="276" w:lineRule="auto"/>
        <w:jc w:val="both"/>
        <w:rPr>
          <w:rFonts w:ascii="Tahoma" w:hAnsi="Tahoma" w:cs="Tahoma"/>
        </w:rPr>
      </w:pPr>
    </w:p>
    <w:p w:rsidR="00797A12" w:rsidRPr="00C40375" w:rsidRDefault="00D31BEE" w:rsidP="009E50BE">
      <w:pPr>
        <w:pStyle w:val="Sinespaciado"/>
        <w:spacing w:line="276" w:lineRule="auto"/>
        <w:ind w:firstLine="708"/>
        <w:jc w:val="both"/>
        <w:rPr>
          <w:rFonts w:ascii="Tahoma" w:hAnsi="Tahoma" w:cs="Tahoma"/>
        </w:rPr>
      </w:pPr>
      <w:r w:rsidRPr="00C40375">
        <w:rPr>
          <w:rFonts w:ascii="Tahoma" w:hAnsi="Tahoma" w:cs="Tahoma"/>
        </w:rPr>
        <w:t xml:space="preserve">En el caso que ocupa la atención de la Sala, se acude a la vía de tutela con el propósito que se protejan los derechos fundamentales </w:t>
      </w:r>
      <w:r w:rsidRPr="00C40375">
        <w:rPr>
          <w:rFonts w:ascii="Tahoma" w:hAnsi="Tahoma" w:cs="Tahoma"/>
          <w:bCs/>
        </w:rPr>
        <w:t xml:space="preserve">a la seguridad social y al debido proceso </w:t>
      </w:r>
      <w:r w:rsidR="00797A12" w:rsidRPr="00C40375">
        <w:rPr>
          <w:rFonts w:ascii="Tahoma" w:hAnsi="Tahoma" w:cs="Tahoma"/>
          <w:bCs/>
        </w:rPr>
        <w:t>del</w:t>
      </w:r>
      <w:r w:rsidRPr="00C40375">
        <w:rPr>
          <w:rFonts w:ascii="Tahoma" w:hAnsi="Tahoma" w:cs="Tahoma"/>
          <w:bCs/>
        </w:rPr>
        <w:t xml:space="preserve"> señor José Álvaro Monroy Castaño</w:t>
      </w:r>
      <w:r w:rsidRPr="00C40375">
        <w:rPr>
          <w:rFonts w:ascii="Tahoma" w:hAnsi="Tahoma" w:cs="Tahoma"/>
        </w:rPr>
        <w:t xml:space="preserve">, toda vez que </w:t>
      </w:r>
      <w:r w:rsidR="00797A12" w:rsidRPr="00C40375">
        <w:rPr>
          <w:rFonts w:ascii="Tahoma" w:hAnsi="Tahoma" w:cs="Tahoma"/>
        </w:rPr>
        <w:t>considera</w:t>
      </w:r>
      <w:r w:rsidR="00FD7F9B" w:rsidRPr="00C40375">
        <w:rPr>
          <w:rFonts w:ascii="Tahoma" w:hAnsi="Tahoma" w:cs="Tahoma"/>
        </w:rPr>
        <w:t xml:space="preserve"> </w:t>
      </w:r>
      <w:r w:rsidR="008E3778">
        <w:rPr>
          <w:rFonts w:ascii="Tahoma" w:hAnsi="Tahoma" w:cs="Tahoma"/>
        </w:rPr>
        <w:t xml:space="preserve">vulnerados </w:t>
      </w:r>
      <w:r w:rsidR="00797A12" w:rsidRPr="00C40375">
        <w:rPr>
          <w:rFonts w:ascii="Tahoma" w:hAnsi="Tahoma" w:cs="Tahoma"/>
        </w:rPr>
        <w:t xml:space="preserve">con la negativa de Colpensiones a practicar el examen médico con el que  busca </w:t>
      </w:r>
      <w:r w:rsidR="003B690E">
        <w:rPr>
          <w:rFonts w:ascii="Tahoma" w:hAnsi="Tahoma" w:cs="Tahoma"/>
        </w:rPr>
        <w:t>la calificación de la</w:t>
      </w:r>
      <w:r w:rsidR="00750CAA">
        <w:rPr>
          <w:rFonts w:ascii="Tahoma" w:hAnsi="Tahoma" w:cs="Tahoma"/>
        </w:rPr>
        <w:t xml:space="preserve"> pérdida de capacidad laboral para acceder a la pensión de invalidez.</w:t>
      </w:r>
    </w:p>
    <w:p w:rsidR="00A416B0" w:rsidRPr="00C40375" w:rsidRDefault="00A416B0" w:rsidP="009E50BE">
      <w:pPr>
        <w:spacing w:line="276" w:lineRule="auto"/>
        <w:jc w:val="both"/>
        <w:rPr>
          <w:rFonts w:ascii="Tahoma" w:hAnsi="Tahoma" w:cs="Tahoma"/>
          <w:sz w:val="22"/>
          <w:szCs w:val="22"/>
        </w:rPr>
      </w:pPr>
    </w:p>
    <w:p w:rsidR="00CE314D" w:rsidRDefault="00A416B0" w:rsidP="009E50BE">
      <w:pPr>
        <w:spacing w:line="276" w:lineRule="auto"/>
        <w:ind w:firstLine="708"/>
        <w:jc w:val="both"/>
        <w:rPr>
          <w:rFonts w:ascii="Tahoma" w:hAnsi="Tahoma" w:cs="Tahoma"/>
          <w:sz w:val="22"/>
          <w:szCs w:val="22"/>
        </w:rPr>
      </w:pPr>
      <w:r w:rsidRPr="00C40375">
        <w:rPr>
          <w:rFonts w:ascii="Tahoma" w:hAnsi="Tahoma" w:cs="Tahoma"/>
          <w:sz w:val="22"/>
          <w:szCs w:val="22"/>
        </w:rPr>
        <w:t xml:space="preserve">La </w:t>
      </w:r>
      <w:r w:rsidR="007322C7">
        <w:rPr>
          <w:rFonts w:ascii="Tahoma" w:hAnsi="Tahoma" w:cs="Tahoma"/>
          <w:sz w:val="22"/>
          <w:szCs w:val="22"/>
        </w:rPr>
        <w:t>S</w:t>
      </w:r>
      <w:r w:rsidRPr="00C40375">
        <w:rPr>
          <w:rFonts w:ascii="Tahoma" w:hAnsi="Tahoma" w:cs="Tahoma"/>
          <w:sz w:val="22"/>
          <w:szCs w:val="22"/>
        </w:rPr>
        <w:t xml:space="preserve">ala encuentra que, en principio, existen otros mecanismos judiciales idóneos a los que puede </w:t>
      </w:r>
      <w:r w:rsidR="00FB4E3B" w:rsidRPr="00C40375">
        <w:rPr>
          <w:rFonts w:ascii="Tahoma" w:hAnsi="Tahoma" w:cs="Tahoma"/>
          <w:sz w:val="22"/>
          <w:szCs w:val="22"/>
        </w:rPr>
        <w:t>acudir</w:t>
      </w:r>
      <w:r w:rsidRPr="00C40375">
        <w:rPr>
          <w:rFonts w:ascii="Tahoma" w:hAnsi="Tahoma" w:cs="Tahoma"/>
          <w:sz w:val="22"/>
          <w:szCs w:val="22"/>
        </w:rPr>
        <w:t xml:space="preserve"> el accionante para presentar su petición a las entidades accionadas con el fin que califique su pérdida de capacidad laboral. Sin embargo, es indispensable determinar si también son efectivos para proteger los derechos del actor, dada la situación especial que atraviesa en la actualidad, al ser adulto mayor y presentar múltiples afectaciones de salud</w:t>
      </w:r>
      <w:r w:rsidR="007306FE">
        <w:rPr>
          <w:rFonts w:ascii="Tahoma" w:hAnsi="Tahoma" w:cs="Tahoma"/>
          <w:sz w:val="22"/>
          <w:szCs w:val="22"/>
        </w:rPr>
        <w:t>.</w:t>
      </w:r>
    </w:p>
    <w:p w:rsidR="00A342D4" w:rsidRPr="00C40375" w:rsidRDefault="00A342D4" w:rsidP="009E50BE">
      <w:pPr>
        <w:spacing w:line="276" w:lineRule="auto"/>
        <w:ind w:firstLine="708"/>
        <w:jc w:val="both"/>
        <w:rPr>
          <w:rFonts w:ascii="Tahoma" w:hAnsi="Tahoma" w:cs="Tahoma"/>
          <w:sz w:val="22"/>
          <w:szCs w:val="22"/>
        </w:rPr>
      </w:pPr>
    </w:p>
    <w:p w:rsidR="00A342D4" w:rsidRPr="00C40375" w:rsidRDefault="00A342D4" w:rsidP="00A342D4">
      <w:pPr>
        <w:pStyle w:val="Sinespaciado"/>
        <w:spacing w:line="276" w:lineRule="auto"/>
        <w:ind w:firstLine="708"/>
        <w:jc w:val="both"/>
        <w:rPr>
          <w:rFonts w:ascii="Tahoma" w:hAnsi="Tahoma" w:cs="Tahoma"/>
        </w:rPr>
      </w:pPr>
      <w:r w:rsidRPr="00C40375">
        <w:rPr>
          <w:rFonts w:ascii="Tahoma" w:hAnsi="Tahoma" w:cs="Tahoma"/>
        </w:rPr>
        <w:t>Para tales efectos es importante determinar si al accionante, con la negativa de Co</w:t>
      </w:r>
      <w:r w:rsidR="00F92CBC">
        <w:rPr>
          <w:rFonts w:ascii="Tahoma" w:hAnsi="Tahoma" w:cs="Tahoma"/>
        </w:rPr>
        <w:t>lpensiones se le está causand</w:t>
      </w:r>
      <w:r w:rsidRPr="00C40375">
        <w:rPr>
          <w:rFonts w:ascii="Tahoma" w:hAnsi="Tahoma" w:cs="Tahoma"/>
        </w:rPr>
        <w:t xml:space="preserve">o un  “perjuicio irremediable”, para </w:t>
      </w:r>
      <w:r w:rsidR="00F92CBC">
        <w:rPr>
          <w:rFonts w:ascii="Tahoma" w:hAnsi="Tahoma" w:cs="Tahoma"/>
        </w:rPr>
        <w:t>lo cual debe tenerse</w:t>
      </w:r>
      <w:r>
        <w:rPr>
          <w:rFonts w:ascii="Tahoma" w:hAnsi="Tahoma" w:cs="Tahoma"/>
        </w:rPr>
        <w:t xml:space="preserve"> en cuenta el</w:t>
      </w:r>
      <w:r w:rsidRPr="00C40375">
        <w:rPr>
          <w:rFonts w:ascii="Tahoma" w:hAnsi="Tahoma" w:cs="Tahoma"/>
        </w:rPr>
        <w:t xml:space="preserve"> criter</w:t>
      </w:r>
      <w:r>
        <w:rPr>
          <w:rFonts w:ascii="Tahoma" w:hAnsi="Tahoma" w:cs="Tahoma"/>
        </w:rPr>
        <w:t>io de la Corte Constitucional frente al tema, donde indica,</w:t>
      </w:r>
      <w:r w:rsidRPr="00C40375">
        <w:rPr>
          <w:rFonts w:ascii="Tahoma" w:hAnsi="Tahoma" w:cs="Tahoma"/>
        </w:rPr>
        <w:t xml:space="preserve"> que se da cuando se configuren estos elementos: la inminencia, la gravedad, la urgencia y la impostergabilidad de la acción.</w:t>
      </w:r>
      <w:r>
        <w:rPr>
          <w:rFonts w:ascii="Tahoma" w:hAnsi="Tahoma" w:cs="Tahoma"/>
        </w:rPr>
        <w:t xml:space="preserve"> En el presente caso</w:t>
      </w:r>
      <w:r w:rsidRPr="00C40375">
        <w:rPr>
          <w:rFonts w:ascii="Tahoma" w:hAnsi="Tahoma" w:cs="Tahoma"/>
        </w:rPr>
        <w:t xml:space="preserve"> es evidente que esos elementos se </w:t>
      </w:r>
      <w:r>
        <w:rPr>
          <w:rFonts w:ascii="Tahoma" w:hAnsi="Tahoma" w:cs="Tahoma"/>
        </w:rPr>
        <w:t>presentan</w:t>
      </w:r>
      <w:r w:rsidRPr="00C40375">
        <w:rPr>
          <w:rFonts w:ascii="Tahoma" w:hAnsi="Tahoma" w:cs="Tahoma"/>
        </w:rPr>
        <w:t>, pues el accionante ostenta un grave estado de salud</w:t>
      </w:r>
      <w:r w:rsidR="0074684B">
        <w:rPr>
          <w:rFonts w:ascii="Tahoma" w:hAnsi="Tahoma" w:cs="Tahoma"/>
        </w:rPr>
        <w:t>,</w:t>
      </w:r>
      <w:r w:rsidRPr="00C40375">
        <w:rPr>
          <w:rFonts w:ascii="Tahoma" w:hAnsi="Tahoma" w:cs="Tahoma"/>
        </w:rPr>
        <w:t xml:space="preserve"> por lo que se le dificultaría adelantar un proceso por otro mecanismo judicial, </w:t>
      </w:r>
      <w:r w:rsidR="001755F7">
        <w:rPr>
          <w:rFonts w:ascii="Tahoma" w:hAnsi="Tahoma" w:cs="Tahoma"/>
        </w:rPr>
        <w:t>amén que ello implica disponibilidad de r</w:t>
      </w:r>
      <w:r w:rsidRPr="00C40375">
        <w:rPr>
          <w:rFonts w:ascii="Tahoma" w:hAnsi="Tahoma" w:cs="Tahoma"/>
        </w:rPr>
        <w:t xml:space="preserve">ecursos económicos para sufragar </w:t>
      </w:r>
      <w:r w:rsidR="00AD74CE">
        <w:rPr>
          <w:rFonts w:ascii="Tahoma" w:hAnsi="Tahoma" w:cs="Tahoma"/>
        </w:rPr>
        <w:t>l</w:t>
      </w:r>
      <w:r w:rsidR="0074684B">
        <w:rPr>
          <w:rFonts w:ascii="Tahoma" w:hAnsi="Tahoma" w:cs="Tahoma"/>
        </w:rPr>
        <w:t>os</w:t>
      </w:r>
      <w:r w:rsidR="00AD74CE">
        <w:rPr>
          <w:rFonts w:ascii="Tahoma" w:hAnsi="Tahoma" w:cs="Tahoma"/>
        </w:rPr>
        <w:t xml:space="preserve"> cost</w:t>
      </w:r>
      <w:r w:rsidR="0074684B">
        <w:rPr>
          <w:rFonts w:ascii="Tahoma" w:hAnsi="Tahoma" w:cs="Tahoma"/>
        </w:rPr>
        <w:t>o</w:t>
      </w:r>
      <w:r w:rsidR="00AD74CE">
        <w:rPr>
          <w:rFonts w:ascii="Tahoma" w:hAnsi="Tahoma" w:cs="Tahoma"/>
        </w:rPr>
        <w:t>s del proceso</w:t>
      </w:r>
      <w:r w:rsidR="00C8102C">
        <w:rPr>
          <w:rFonts w:ascii="Tahoma" w:hAnsi="Tahoma" w:cs="Tahoma"/>
        </w:rPr>
        <w:t>,</w:t>
      </w:r>
      <w:r w:rsidR="00AD74CE">
        <w:rPr>
          <w:rFonts w:ascii="Tahoma" w:hAnsi="Tahoma" w:cs="Tahoma"/>
        </w:rPr>
        <w:t xml:space="preserve"> </w:t>
      </w:r>
      <w:r w:rsidR="007272B5">
        <w:rPr>
          <w:rFonts w:ascii="Tahoma" w:hAnsi="Tahoma" w:cs="Tahoma"/>
        </w:rPr>
        <w:t>cuestión</w:t>
      </w:r>
      <w:r w:rsidR="00AD74CE">
        <w:rPr>
          <w:rFonts w:ascii="Tahoma" w:hAnsi="Tahoma" w:cs="Tahoma"/>
        </w:rPr>
        <w:t xml:space="preserve"> que el actor no está en condiciones de </w:t>
      </w:r>
      <w:r w:rsidR="00AD74CE" w:rsidRPr="0074684B">
        <w:rPr>
          <w:rFonts w:ascii="Tahoma" w:hAnsi="Tahoma" w:cs="Tahoma"/>
        </w:rPr>
        <w:t>hace</w:t>
      </w:r>
      <w:r w:rsidR="00AD74CE">
        <w:rPr>
          <w:rFonts w:ascii="Tahoma" w:hAnsi="Tahoma" w:cs="Tahoma"/>
        </w:rPr>
        <w:t>r.</w:t>
      </w:r>
      <w:r w:rsidR="007272B5">
        <w:rPr>
          <w:rFonts w:ascii="Tahoma" w:hAnsi="Tahoma" w:cs="Tahoma"/>
        </w:rPr>
        <w:t xml:space="preserve"> En es</w:t>
      </w:r>
      <w:r w:rsidR="0074684B">
        <w:rPr>
          <w:rFonts w:ascii="Tahoma" w:hAnsi="Tahoma" w:cs="Tahoma"/>
        </w:rPr>
        <w:t xml:space="preserve">e </w:t>
      </w:r>
      <w:r w:rsidR="007272B5">
        <w:rPr>
          <w:rFonts w:ascii="Tahoma" w:hAnsi="Tahoma" w:cs="Tahoma"/>
        </w:rPr>
        <w:t>con</w:t>
      </w:r>
      <w:r w:rsidR="0074684B">
        <w:rPr>
          <w:rFonts w:ascii="Tahoma" w:hAnsi="Tahoma" w:cs="Tahoma"/>
        </w:rPr>
        <w:t xml:space="preserve">texto, </w:t>
      </w:r>
      <w:r w:rsidR="007272B5">
        <w:rPr>
          <w:rFonts w:ascii="Tahoma" w:hAnsi="Tahoma" w:cs="Tahoma"/>
        </w:rPr>
        <w:t xml:space="preserve">es evidente que el </w:t>
      </w:r>
      <w:r w:rsidR="0074684B">
        <w:rPr>
          <w:rFonts w:ascii="Tahoma" w:hAnsi="Tahoma" w:cs="Tahoma"/>
        </w:rPr>
        <w:t xml:space="preserve">señor José Álvaro Monroy </w:t>
      </w:r>
      <w:r>
        <w:rPr>
          <w:rFonts w:ascii="Tahoma" w:hAnsi="Tahoma" w:cs="Tahoma"/>
        </w:rPr>
        <w:t>se encuentra en una</w:t>
      </w:r>
      <w:r w:rsidRPr="00C40375">
        <w:rPr>
          <w:rFonts w:ascii="Tahoma" w:hAnsi="Tahoma" w:cs="Tahoma"/>
        </w:rPr>
        <w:t xml:space="preserve"> situación de debilidad e indefensión</w:t>
      </w:r>
      <w:r>
        <w:rPr>
          <w:rFonts w:ascii="Tahoma" w:hAnsi="Tahoma" w:cs="Tahoma"/>
        </w:rPr>
        <w:t xml:space="preserve"> </w:t>
      </w:r>
      <w:r w:rsidR="007272B5">
        <w:rPr>
          <w:rFonts w:ascii="Tahoma" w:hAnsi="Tahoma" w:cs="Tahoma"/>
        </w:rPr>
        <w:t xml:space="preserve">que hacen que la </w:t>
      </w:r>
      <w:r w:rsidRPr="00A342D4">
        <w:rPr>
          <w:rFonts w:ascii="Tahoma" w:hAnsi="Tahoma" w:cs="Tahoma"/>
        </w:rPr>
        <w:t xml:space="preserve">acción de tutela se convierte en la vía idónea y efectiva para amparar los derechos reclamados por </w:t>
      </w:r>
      <w:r w:rsidR="0074684B">
        <w:rPr>
          <w:rFonts w:ascii="Tahoma" w:hAnsi="Tahoma" w:cs="Tahoma"/>
        </w:rPr>
        <w:t>él</w:t>
      </w:r>
      <w:r>
        <w:rPr>
          <w:rFonts w:ascii="Tahoma" w:hAnsi="Tahoma" w:cs="Tahoma"/>
        </w:rPr>
        <w:t>.</w:t>
      </w:r>
    </w:p>
    <w:p w:rsidR="007306FE" w:rsidRPr="00C40375" w:rsidRDefault="007306FE" w:rsidP="009E50BE">
      <w:pPr>
        <w:spacing w:line="276" w:lineRule="auto"/>
        <w:jc w:val="both"/>
        <w:rPr>
          <w:rFonts w:ascii="Tahoma" w:hAnsi="Tahoma" w:cs="Tahoma"/>
          <w:sz w:val="22"/>
          <w:szCs w:val="22"/>
        </w:rPr>
      </w:pPr>
    </w:p>
    <w:p w:rsidR="00EB18B3" w:rsidRDefault="00815ABE" w:rsidP="00EB18B3">
      <w:pPr>
        <w:spacing w:line="276" w:lineRule="auto"/>
        <w:ind w:firstLine="708"/>
        <w:jc w:val="both"/>
        <w:rPr>
          <w:rFonts w:ascii="Tahoma" w:hAnsi="Tahoma" w:cs="Tahoma"/>
          <w:sz w:val="22"/>
          <w:szCs w:val="22"/>
        </w:rPr>
      </w:pPr>
      <w:r w:rsidRPr="00C40375">
        <w:rPr>
          <w:rFonts w:ascii="Tahoma" w:hAnsi="Tahoma" w:cs="Tahoma"/>
          <w:sz w:val="22"/>
          <w:szCs w:val="22"/>
        </w:rPr>
        <w:t xml:space="preserve"> Respecto al </w:t>
      </w:r>
      <w:r w:rsidR="00E82FB2">
        <w:rPr>
          <w:rFonts w:ascii="Tahoma" w:hAnsi="Tahoma" w:cs="Tahoma"/>
          <w:sz w:val="22"/>
          <w:szCs w:val="22"/>
        </w:rPr>
        <w:t>argumento que presenta</w:t>
      </w:r>
      <w:r w:rsidRPr="00C40375">
        <w:rPr>
          <w:rFonts w:ascii="Tahoma" w:hAnsi="Tahoma" w:cs="Tahoma"/>
          <w:sz w:val="22"/>
          <w:szCs w:val="22"/>
        </w:rPr>
        <w:t xml:space="preserve"> </w:t>
      </w:r>
      <w:r w:rsidR="008638C1" w:rsidRPr="00C40375">
        <w:rPr>
          <w:rFonts w:ascii="Tahoma" w:hAnsi="Tahoma" w:cs="Tahoma"/>
          <w:sz w:val="22"/>
          <w:szCs w:val="22"/>
        </w:rPr>
        <w:t>Colpensiones</w:t>
      </w:r>
      <w:r w:rsidR="00E82FB2">
        <w:rPr>
          <w:rFonts w:ascii="Tahoma" w:hAnsi="Tahoma" w:cs="Tahoma"/>
          <w:sz w:val="22"/>
          <w:szCs w:val="22"/>
        </w:rPr>
        <w:t xml:space="preserve"> </w:t>
      </w:r>
      <w:r w:rsidR="00AD74CE">
        <w:rPr>
          <w:rFonts w:ascii="Tahoma" w:hAnsi="Tahoma" w:cs="Tahoma"/>
          <w:sz w:val="22"/>
          <w:szCs w:val="22"/>
        </w:rPr>
        <w:t xml:space="preserve">en su defensa para </w:t>
      </w:r>
      <w:r w:rsidR="0059715F">
        <w:rPr>
          <w:rFonts w:ascii="Tahoma" w:hAnsi="Tahoma" w:cs="Tahoma"/>
          <w:sz w:val="22"/>
          <w:szCs w:val="22"/>
        </w:rPr>
        <w:t>negarse</w:t>
      </w:r>
      <w:r w:rsidR="00AD74CE">
        <w:rPr>
          <w:rFonts w:ascii="Tahoma" w:hAnsi="Tahoma" w:cs="Tahoma"/>
          <w:sz w:val="22"/>
          <w:szCs w:val="22"/>
        </w:rPr>
        <w:t xml:space="preserve"> a</w:t>
      </w:r>
      <w:r w:rsidR="00E82FB2">
        <w:rPr>
          <w:rFonts w:ascii="Tahoma" w:hAnsi="Tahoma" w:cs="Tahoma"/>
          <w:sz w:val="22"/>
          <w:szCs w:val="22"/>
        </w:rPr>
        <w:t xml:space="preserve"> realizar el examen </w:t>
      </w:r>
      <w:r w:rsidR="00AD74CE">
        <w:rPr>
          <w:rFonts w:ascii="Tahoma" w:hAnsi="Tahoma" w:cs="Tahoma"/>
          <w:sz w:val="22"/>
          <w:szCs w:val="22"/>
        </w:rPr>
        <w:t xml:space="preserve">de </w:t>
      </w:r>
      <w:r w:rsidR="00E82FB2" w:rsidRPr="00C40375">
        <w:rPr>
          <w:rFonts w:ascii="Tahoma" w:hAnsi="Tahoma" w:cs="Tahoma"/>
          <w:sz w:val="22"/>
          <w:szCs w:val="22"/>
        </w:rPr>
        <w:t>pérdida</w:t>
      </w:r>
      <w:r w:rsidRPr="00C40375">
        <w:rPr>
          <w:rFonts w:ascii="Tahoma" w:hAnsi="Tahoma" w:cs="Tahoma"/>
          <w:sz w:val="22"/>
          <w:szCs w:val="22"/>
        </w:rPr>
        <w:t xml:space="preserve"> de </w:t>
      </w:r>
      <w:r w:rsidR="008638C1" w:rsidRPr="00C40375">
        <w:rPr>
          <w:rFonts w:ascii="Tahoma" w:hAnsi="Tahoma" w:cs="Tahoma"/>
          <w:sz w:val="22"/>
          <w:szCs w:val="22"/>
        </w:rPr>
        <w:t>capacidad laboral</w:t>
      </w:r>
      <w:r w:rsidR="00AD74CE">
        <w:rPr>
          <w:rFonts w:ascii="Tahoma" w:hAnsi="Tahoma" w:cs="Tahoma"/>
          <w:sz w:val="22"/>
          <w:szCs w:val="22"/>
        </w:rPr>
        <w:t>, so pretexto de que</w:t>
      </w:r>
      <w:r w:rsidR="008638C1" w:rsidRPr="00C40375">
        <w:rPr>
          <w:rFonts w:ascii="Tahoma" w:hAnsi="Tahoma" w:cs="Tahoma"/>
          <w:sz w:val="22"/>
          <w:szCs w:val="22"/>
        </w:rPr>
        <w:t xml:space="preserve"> </w:t>
      </w:r>
      <w:r w:rsidRPr="00C40375">
        <w:rPr>
          <w:rFonts w:ascii="Tahoma" w:hAnsi="Tahoma" w:cs="Tahoma"/>
          <w:sz w:val="22"/>
          <w:szCs w:val="22"/>
        </w:rPr>
        <w:t>e</w:t>
      </w:r>
      <w:r w:rsidR="008638C1" w:rsidRPr="00C40375">
        <w:rPr>
          <w:rFonts w:ascii="Tahoma" w:hAnsi="Tahoma" w:cs="Tahoma"/>
          <w:sz w:val="22"/>
          <w:szCs w:val="22"/>
        </w:rPr>
        <w:t>l</w:t>
      </w:r>
      <w:r w:rsidRPr="00C40375">
        <w:rPr>
          <w:rFonts w:ascii="Tahoma" w:hAnsi="Tahoma" w:cs="Tahoma"/>
          <w:sz w:val="22"/>
          <w:szCs w:val="22"/>
        </w:rPr>
        <w:t xml:space="preserve"> actor recibió indemnización sustitutiva, la </w:t>
      </w:r>
      <w:r w:rsidR="00E82FB2" w:rsidRPr="00C40375">
        <w:rPr>
          <w:rFonts w:ascii="Tahoma" w:hAnsi="Tahoma" w:cs="Tahoma"/>
          <w:sz w:val="22"/>
          <w:szCs w:val="22"/>
        </w:rPr>
        <w:t>Corte Constitucional</w:t>
      </w:r>
      <w:r w:rsidR="00AD74CE">
        <w:rPr>
          <w:rFonts w:ascii="Tahoma" w:hAnsi="Tahoma" w:cs="Tahoma"/>
          <w:sz w:val="22"/>
          <w:szCs w:val="22"/>
        </w:rPr>
        <w:t xml:space="preserve"> ha indicado que no hay </w:t>
      </w:r>
      <w:r w:rsidR="008638C1" w:rsidRPr="00C40375">
        <w:rPr>
          <w:rFonts w:ascii="Tahoma" w:hAnsi="Tahoma" w:cs="Tahoma"/>
          <w:sz w:val="22"/>
          <w:szCs w:val="22"/>
        </w:rPr>
        <w:t>incompatibilidad</w:t>
      </w:r>
      <w:r w:rsidRPr="00C40375">
        <w:rPr>
          <w:rFonts w:ascii="Tahoma" w:hAnsi="Tahoma" w:cs="Tahoma"/>
          <w:sz w:val="22"/>
          <w:szCs w:val="22"/>
        </w:rPr>
        <w:t xml:space="preserve"> </w:t>
      </w:r>
      <w:r w:rsidR="000F49CF">
        <w:rPr>
          <w:rFonts w:ascii="Tahoma" w:hAnsi="Tahoma" w:cs="Tahoma"/>
          <w:sz w:val="22"/>
          <w:szCs w:val="22"/>
        </w:rPr>
        <w:t>entre es</w:t>
      </w:r>
      <w:r w:rsidR="00AD74CE">
        <w:rPr>
          <w:rFonts w:ascii="Tahoma" w:hAnsi="Tahoma" w:cs="Tahoma"/>
          <w:sz w:val="22"/>
          <w:szCs w:val="22"/>
        </w:rPr>
        <w:t xml:space="preserve">a </w:t>
      </w:r>
      <w:r w:rsidRPr="00C40375">
        <w:rPr>
          <w:rFonts w:ascii="Tahoma" w:hAnsi="Tahoma" w:cs="Tahoma"/>
          <w:sz w:val="22"/>
          <w:szCs w:val="22"/>
        </w:rPr>
        <w:t xml:space="preserve"> indemnización y </w:t>
      </w:r>
      <w:r w:rsidR="00AD74CE">
        <w:rPr>
          <w:rFonts w:ascii="Tahoma" w:hAnsi="Tahoma" w:cs="Tahoma"/>
          <w:sz w:val="22"/>
          <w:szCs w:val="22"/>
        </w:rPr>
        <w:t xml:space="preserve">la petición posterior de reconocimiento de la </w:t>
      </w:r>
      <w:r w:rsidR="008638C1" w:rsidRPr="00C40375">
        <w:rPr>
          <w:rFonts w:ascii="Tahoma" w:hAnsi="Tahoma" w:cs="Tahoma"/>
          <w:sz w:val="22"/>
          <w:szCs w:val="22"/>
        </w:rPr>
        <w:t>pensión</w:t>
      </w:r>
      <w:r w:rsidRPr="00C40375">
        <w:rPr>
          <w:rFonts w:ascii="Tahoma" w:hAnsi="Tahoma" w:cs="Tahoma"/>
          <w:sz w:val="22"/>
          <w:szCs w:val="22"/>
        </w:rPr>
        <w:t xml:space="preserve"> de </w:t>
      </w:r>
      <w:r w:rsidR="00E82FB2" w:rsidRPr="00C40375">
        <w:rPr>
          <w:rFonts w:ascii="Tahoma" w:hAnsi="Tahoma" w:cs="Tahoma"/>
          <w:sz w:val="22"/>
          <w:szCs w:val="22"/>
        </w:rPr>
        <w:t>invalidez</w:t>
      </w:r>
      <w:r w:rsidRPr="00C40375">
        <w:rPr>
          <w:rFonts w:ascii="Tahoma" w:hAnsi="Tahoma" w:cs="Tahoma"/>
          <w:sz w:val="22"/>
          <w:szCs w:val="22"/>
        </w:rPr>
        <w:t xml:space="preserve"> o </w:t>
      </w:r>
      <w:r w:rsidR="008638C1" w:rsidRPr="00C40375">
        <w:rPr>
          <w:rFonts w:ascii="Tahoma" w:hAnsi="Tahoma" w:cs="Tahoma"/>
          <w:sz w:val="22"/>
          <w:szCs w:val="22"/>
        </w:rPr>
        <w:t>sobrevivencia</w:t>
      </w:r>
      <w:r w:rsidR="00C0661B">
        <w:rPr>
          <w:rFonts w:ascii="Tahoma" w:hAnsi="Tahoma" w:cs="Tahoma"/>
          <w:sz w:val="22"/>
          <w:szCs w:val="22"/>
        </w:rPr>
        <w:t xml:space="preserve"> mientras se cumpla</w:t>
      </w:r>
      <w:r w:rsidRPr="00C40375">
        <w:rPr>
          <w:rFonts w:ascii="Tahoma" w:hAnsi="Tahoma" w:cs="Tahoma"/>
          <w:sz w:val="22"/>
          <w:szCs w:val="22"/>
        </w:rPr>
        <w:t>n los requisitos establecidos en la ley para el reconocimiento</w:t>
      </w:r>
      <w:r w:rsidR="00AD74CE">
        <w:rPr>
          <w:rFonts w:ascii="Tahoma" w:hAnsi="Tahoma" w:cs="Tahoma"/>
          <w:sz w:val="22"/>
          <w:szCs w:val="22"/>
        </w:rPr>
        <w:t xml:space="preserve">, de modo que tampoco hay tensión entre la indemnización sustitutiva y la solicitud de nueva </w:t>
      </w:r>
      <w:r w:rsidR="007272B5">
        <w:rPr>
          <w:rFonts w:ascii="Tahoma" w:hAnsi="Tahoma" w:cs="Tahoma"/>
          <w:sz w:val="22"/>
          <w:szCs w:val="22"/>
        </w:rPr>
        <w:t>calificación</w:t>
      </w:r>
      <w:r w:rsidR="00AD74CE">
        <w:rPr>
          <w:rFonts w:ascii="Tahoma" w:hAnsi="Tahoma" w:cs="Tahoma"/>
          <w:sz w:val="22"/>
          <w:szCs w:val="22"/>
        </w:rPr>
        <w:t xml:space="preserve"> de </w:t>
      </w:r>
      <w:r w:rsidR="007272B5">
        <w:rPr>
          <w:rFonts w:ascii="Tahoma" w:hAnsi="Tahoma" w:cs="Tahoma"/>
          <w:sz w:val="22"/>
          <w:szCs w:val="22"/>
        </w:rPr>
        <w:t>pérdida de capacidad laboral</w:t>
      </w:r>
      <w:r w:rsidR="00AD74CE">
        <w:rPr>
          <w:rFonts w:ascii="Tahoma" w:hAnsi="Tahoma" w:cs="Tahoma"/>
          <w:sz w:val="22"/>
          <w:szCs w:val="22"/>
        </w:rPr>
        <w:t xml:space="preserve">, </w:t>
      </w:r>
      <w:r w:rsidR="007272B5">
        <w:rPr>
          <w:rFonts w:ascii="Tahoma" w:hAnsi="Tahoma" w:cs="Tahoma"/>
          <w:sz w:val="22"/>
          <w:szCs w:val="22"/>
        </w:rPr>
        <w:t>máxime</w:t>
      </w:r>
      <w:r w:rsidR="00AD74CE">
        <w:rPr>
          <w:rFonts w:ascii="Tahoma" w:hAnsi="Tahoma" w:cs="Tahoma"/>
          <w:sz w:val="22"/>
          <w:szCs w:val="22"/>
        </w:rPr>
        <w:t xml:space="preserve"> </w:t>
      </w:r>
      <w:r w:rsidR="00EB18B3">
        <w:rPr>
          <w:rFonts w:ascii="Tahoma" w:hAnsi="Tahoma" w:cs="Tahoma"/>
          <w:sz w:val="22"/>
          <w:szCs w:val="22"/>
        </w:rPr>
        <w:t>en el caso en los casos en los que el interesado siguió cotizando, situación que aunque no quedó acreditada en este proceso, fue un argumento esgrimido por Colpensiones para justificar su renuencia. Con todo, la posibilidad de tener una nueva calificación de pérdida de capacidad laboral después de haber recibido la indemnización sustitutiva, no requiere que el interesado haya seguido cotizando, conforme se infiere de la tesis de la Corte Constitucional.</w:t>
      </w:r>
    </w:p>
    <w:p w:rsidR="007B2F40" w:rsidRDefault="00307929" w:rsidP="009E50BE">
      <w:pPr>
        <w:spacing w:line="276" w:lineRule="auto"/>
        <w:ind w:firstLine="708"/>
        <w:jc w:val="both"/>
        <w:rPr>
          <w:rFonts w:ascii="Tahoma" w:hAnsi="Tahoma" w:cs="Tahoma"/>
          <w:sz w:val="22"/>
          <w:szCs w:val="22"/>
        </w:rPr>
      </w:pPr>
      <w:r>
        <w:rPr>
          <w:rFonts w:ascii="Tahoma" w:hAnsi="Tahoma" w:cs="Tahoma"/>
          <w:sz w:val="22"/>
          <w:szCs w:val="22"/>
        </w:rPr>
        <w:t xml:space="preserve"> </w:t>
      </w:r>
    </w:p>
    <w:p w:rsidR="007B2F40" w:rsidRPr="007B2F40" w:rsidRDefault="007B2F40" w:rsidP="009E50BE">
      <w:pPr>
        <w:widowControl w:val="0"/>
        <w:autoSpaceDE w:val="0"/>
        <w:autoSpaceDN w:val="0"/>
        <w:adjustRightInd w:val="0"/>
        <w:spacing w:line="276" w:lineRule="auto"/>
        <w:ind w:right="32" w:firstLine="709"/>
        <w:jc w:val="both"/>
        <w:rPr>
          <w:rFonts w:ascii="Tahoma" w:hAnsi="Tahoma" w:cs="Tahoma"/>
          <w:sz w:val="22"/>
          <w:szCs w:val="22"/>
        </w:rPr>
      </w:pPr>
      <w:r w:rsidRPr="007B2F40">
        <w:rPr>
          <w:rFonts w:ascii="Tahoma" w:hAnsi="Tahoma" w:cs="Tahoma"/>
          <w:sz w:val="22"/>
          <w:szCs w:val="22"/>
        </w:rPr>
        <w:t xml:space="preserve">Por lo anterior, </w:t>
      </w:r>
      <w:r w:rsidRPr="007B2F40">
        <w:rPr>
          <w:rFonts w:ascii="Tahoma" w:hAnsi="Tahoma" w:cs="Tahoma"/>
          <w:bCs/>
          <w:sz w:val="22"/>
          <w:szCs w:val="22"/>
        </w:rPr>
        <w:t xml:space="preserve">se confirmará el fallo proferido </w:t>
      </w:r>
      <w:r w:rsidRPr="007B2F40">
        <w:rPr>
          <w:rFonts w:ascii="Tahoma" w:hAnsi="Tahoma" w:cs="Tahoma"/>
          <w:sz w:val="22"/>
          <w:szCs w:val="22"/>
        </w:rPr>
        <w:t xml:space="preserve">por el Juzgado Cuarto </w:t>
      </w:r>
      <w:r w:rsidR="00AD74CE">
        <w:rPr>
          <w:rFonts w:ascii="Tahoma" w:hAnsi="Tahoma" w:cs="Tahoma"/>
          <w:sz w:val="22"/>
          <w:szCs w:val="22"/>
        </w:rPr>
        <w:t xml:space="preserve">Laboral del Circuito de Pereira. </w:t>
      </w:r>
    </w:p>
    <w:p w:rsidR="00C40375" w:rsidRPr="007B2F40" w:rsidRDefault="00C40375" w:rsidP="009E50BE">
      <w:pPr>
        <w:pStyle w:val="Sinespaciado"/>
        <w:spacing w:line="276" w:lineRule="auto"/>
        <w:ind w:firstLine="708"/>
        <w:jc w:val="both"/>
        <w:rPr>
          <w:rFonts w:ascii="Tahoma" w:hAnsi="Tahoma" w:cs="Tahoma"/>
        </w:rPr>
      </w:pPr>
    </w:p>
    <w:p w:rsidR="00A416B0" w:rsidRPr="0063693B" w:rsidRDefault="00A416B0" w:rsidP="009E50BE">
      <w:pPr>
        <w:spacing w:line="276" w:lineRule="auto"/>
        <w:ind w:firstLine="708"/>
        <w:jc w:val="both"/>
        <w:rPr>
          <w:rFonts w:ascii="Tahoma" w:hAnsi="Tahoma" w:cs="Tahoma"/>
          <w:sz w:val="22"/>
          <w:szCs w:val="22"/>
          <w:lang w:eastAsia="es-CO"/>
        </w:rPr>
      </w:pPr>
      <w:r w:rsidRPr="0063693B">
        <w:rPr>
          <w:rFonts w:ascii="Tahoma" w:hAnsi="Tahoma" w:cs="Tahoma"/>
          <w:sz w:val="22"/>
          <w:szCs w:val="22"/>
          <w:lang w:eastAsia="es-CO"/>
        </w:rPr>
        <w:lastRenderedPageBreak/>
        <w:t xml:space="preserve">En mérito de lo expuesto, la </w:t>
      </w:r>
      <w:r w:rsidRPr="0063693B">
        <w:rPr>
          <w:rFonts w:ascii="Tahoma" w:hAnsi="Tahoma" w:cs="Tahoma"/>
          <w:b/>
          <w:sz w:val="22"/>
          <w:szCs w:val="22"/>
          <w:lang w:eastAsia="es-CO"/>
        </w:rPr>
        <w:t>Sala de Decisión Laboral No. 1 del Tribunal Superior del Distrito Judicial de Pereira</w:t>
      </w:r>
      <w:r w:rsidRPr="0063693B">
        <w:rPr>
          <w:rFonts w:ascii="Tahoma" w:hAnsi="Tahoma" w:cs="Tahoma"/>
          <w:sz w:val="22"/>
          <w:szCs w:val="22"/>
          <w:lang w:eastAsia="es-CO"/>
        </w:rPr>
        <w:t>, en nombre del Pueblo y por autoridad de la Constitución y la ley,</w:t>
      </w:r>
    </w:p>
    <w:p w:rsidR="004A468A" w:rsidRDefault="004A468A" w:rsidP="009E50BE">
      <w:pPr>
        <w:pStyle w:val="Sinespaciado"/>
        <w:spacing w:line="276" w:lineRule="auto"/>
        <w:jc w:val="both"/>
        <w:rPr>
          <w:rFonts w:ascii="Tahoma" w:hAnsi="Tahoma" w:cs="Tahoma"/>
          <w:lang w:eastAsia="es-CO"/>
        </w:rPr>
      </w:pPr>
    </w:p>
    <w:p w:rsidR="008E5AFC" w:rsidRPr="0063693B" w:rsidRDefault="008E5AFC" w:rsidP="009E50BE">
      <w:pPr>
        <w:pStyle w:val="Sinespaciado"/>
        <w:spacing w:line="276" w:lineRule="auto"/>
        <w:jc w:val="both"/>
        <w:rPr>
          <w:rFonts w:ascii="Tahoma" w:hAnsi="Tahoma" w:cs="Tahoma"/>
          <w:lang w:eastAsia="es-CO"/>
        </w:rPr>
      </w:pPr>
    </w:p>
    <w:p w:rsidR="00A416B0" w:rsidRPr="0063693B" w:rsidRDefault="00A416B0" w:rsidP="009E50BE">
      <w:pPr>
        <w:pStyle w:val="Ttulo4"/>
        <w:spacing w:line="276" w:lineRule="auto"/>
        <w:rPr>
          <w:rFonts w:ascii="Tahoma" w:hAnsi="Tahoma" w:cs="Tahoma"/>
          <w:sz w:val="22"/>
          <w:szCs w:val="22"/>
        </w:rPr>
      </w:pPr>
      <w:r w:rsidRPr="0063693B">
        <w:rPr>
          <w:rFonts w:ascii="Tahoma" w:hAnsi="Tahoma" w:cs="Tahoma"/>
          <w:sz w:val="22"/>
          <w:szCs w:val="22"/>
        </w:rPr>
        <w:t>RESUELVE</w:t>
      </w:r>
    </w:p>
    <w:p w:rsidR="00A416B0" w:rsidRDefault="00A416B0" w:rsidP="009E50BE">
      <w:pPr>
        <w:pStyle w:val="Sinespaciado"/>
        <w:spacing w:line="276" w:lineRule="auto"/>
        <w:jc w:val="both"/>
        <w:rPr>
          <w:rFonts w:ascii="Tahoma" w:hAnsi="Tahoma" w:cs="Tahoma"/>
        </w:rPr>
      </w:pPr>
    </w:p>
    <w:p w:rsidR="004A468A" w:rsidRPr="0063693B" w:rsidRDefault="004A468A" w:rsidP="009E50BE">
      <w:pPr>
        <w:pStyle w:val="Sinespaciado"/>
        <w:spacing w:line="276" w:lineRule="auto"/>
        <w:jc w:val="both"/>
        <w:rPr>
          <w:rFonts w:ascii="Tahoma" w:hAnsi="Tahoma" w:cs="Tahoma"/>
        </w:rPr>
      </w:pPr>
    </w:p>
    <w:p w:rsidR="00A416B0" w:rsidRPr="0063693B" w:rsidRDefault="00A416B0" w:rsidP="009E50BE">
      <w:pPr>
        <w:spacing w:line="276" w:lineRule="auto"/>
        <w:ind w:right="3" w:firstLine="708"/>
        <w:jc w:val="both"/>
        <w:rPr>
          <w:rFonts w:ascii="Tahoma" w:eastAsia="Calibri" w:hAnsi="Tahoma" w:cs="Tahoma"/>
          <w:bCs/>
          <w:sz w:val="22"/>
          <w:szCs w:val="22"/>
        </w:rPr>
      </w:pPr>
      <w:r w:rsidRPr="0063693B">
        <w:rPr>
          <w:rFonts w:ascii="Tahoma" w:eastAsia="Calibri" w:hAnsi="Tahoma" w:cs="Tahoma"/>
          <w:b/>
          <w:bCs/>
          <w:sz w:val="22"/>
          <w:szCs w:val="22"/>
        </w:rPr>
        <w:t xml:space="preserve">PRIMERO: CONFIRMAR </w:t>
      </w:r>
      <w:r w:rsidRPr="0063693B">
        <w:rPr>
          <w:rFonts w:ascii="Tahoma" w:eastAsia="Calibri" w:hAnsi="Tahoma" w:cs="Tahoma"/>
          <w:bCs/>
          <w:sz w:val="22"/>
          <w:szCs w:val="22"/>
        </w:rPr>
        <w:t>la sentencia proferida por el Juzgado Cuarto Laboral del Circuito de Pereira el 15 de mayo de 2017.</w:t>
      </w:r>
    </w:p>
    <w:p w:rsidR="00A416B0" w:rsidRPr="0063693B" w:rsidRDefault="00A416B0" w:rsidP="009E50BE">
      <w:pPr>
        <w:pStyle w:val="Sinespaciado"/>
        <w:spacing w:line="276" w:lineRule="auto"/>
        <w:jc w:val="both"/>
        <w:rPr>
          <w:rFonts w:ascii="Tahoma" w:hAnsi="Tahoma" w:cs="Tahoma"/>
        </w:rPr>
      </w:pPr>
    </w:p>
    <w:p w:rsidR="00A416B0" w:rsidRPr="0063693B" w:rsidRDefault="00A416B0" w:rsidP="009E50BE">
      <w:pPr>
        <w:spacing w:line="276" w:lineRule="auto"/>
        <w:ind w:right="3" w:firstLine="708"/>
        <w:jc w:val="both"/>
        <w:rPr>
          <w:rFonts w:ascii="Tahoma" w:eastAsia="Calibri" w:hAnsi="Tahoma" w:cs="Tahoma"/>
          <w:b/>
          <w:bCs/>
          <w:sz w:val="22"/>
          <w:szCs w:val="22"/>
        </w:rPr>
      </w:pPr>
      <w:r w:rsidRPr="0063693B">
        <w:rPr>
          <w:rFonts w:ascii="Tahoma" w:eastAsia="Calibri" w:hAnsi="Tahoma" w:cs="Tahoma"/>
          <w:b/>
          <w:bCs/>
          <w:sz w:val="22"/>
          <w:szCs w:val="22"/>
        </w:rPr>
        <w:t xml:space="preserve">SEGUNDO: </w:t>
      </w:r>
      <w:r w:rsidRPr="0063693B">
        <w:rPr>
          <w:rFonts w:ascii="Tahoma" w:eastAsia="Calibri" w:hAnsi="Tahoma" w:cs="Tahoma"/>
          <w:bCs/>
          <w:sz w:val="22"/>
          <w:szCs w:val="22"/>
        </w:rPr>
        <w:t>Notifíquese la decisión por el medio más eficaz</w:t>
      </w:r>
      <w:r w:rsidRPr="0063693B">
        <w:rPr>
          <w:rFonts w:ascii="Tahoma" w:eastAsia="Calibri" w:hAnsi="Tahoma" w:cs="Tahoma"/>
          <w:b/>
          <w:bCs/>
          <w:sz w:val="22"/>
          <w:szCs w:val="22"/>
        </w:rPr>
        <w:t xml:space="preserve">. </w:t>
      </w:r>
    </w:p>
    <w:p w:rsidR="00A416B0" w:rsidRPr="0063693B" w:rsidRDefault="00A416B0" w:rsidP="009E50BE">
      <w:pPr>
        <w:pStyle w:val="Sinespaciado"/>
        <w:spacing w:line="276" w:lineRule="auto"/>
        <w:jc w:val="both"/>
        <w:rPr>
          <w:rFonts w:ascii="Tahoma" w:hAnsi="Tahoma" w:cs="Tahoma"/>
        </w:rPr>
      </w:pPr>
    </w:p>
    <w:p w:rsidR="00A416B0" w:rsidRDefault="00A416B0" w:rsidP="009E50BE">
      <w:pPr>
        <w:spacing w:line="276" w:lineRule="auto"/>
        <w:ind w:right="3" w:firstLine="708"/>
        <w:jc w:val="both"/>
        <w:rPr>
          <w:rFonts w:ascii="Tahoma" w:eastAsia="Calibri" w:hAnsi="Tahoma" w:cs="Tahoma"/>
          <w:bCs/>
          <w:sz w:val="22"/>
          <w:szCs w:val="22"/>
        </w:rPr>
      </w:pPr>
      <w:r w:rsidRPr="0063693B">
        <w:rPr>
          <w:rFonts w:ascii="Tahoma" w:eastAsia="Calibri" w:hAnsi="Tahoma" w:cs="Tahoma"/>
          <w:b/>
          <w:bCs/>
          <w:sz w:val="22"/>
          <w:szCs w:val="22"/>
        </w:rPr>
        <w:t xml:space="preserve">TERCERO: </w:t>
      </w:r>
      <w:r w:rsidRPr="0063693B">
        <w:rPr>
          <w:rFonts w:ascii="Tahoma" w:eastAsia="Calibri" w:hAnsi="Tahoma" w:cs="Tahoma"/>
          <w:bCs/>
          <w:sz w:val="22"/>
          <w:szCs w:val="22"/>
        </w:rPr>
        <w:t>Remítase el expediente a la Corte Constitucional para su eventual revisión, conforme al artículo 31 del Decreto 2591 de 1991.</w:t>
      </w:r>
    </w:p>
    <w:p w:rsidR="005E1840" w:rsidRDefault="005E1840" w:rsidP="009E50BE">
      <w:pPr>
        <w:spacing w:line="276" w:lineRule="auto"/>
        <w:ind w:right="3" w:firstLine="708"/>
        <w:jc w:val="both"/>
        <w:rPr>
          <w:rFonts w:ascii="Tahoma" w:eastAsia="Calibri" w:hAnsi="Tahoma" w:cs="Tahoma"/>
          <w:bCs/>
          <w:sz w:val="22"/>
          <w:szCs w:val="22"/>
        </w:rPr>
      </w:pPr>
    </w:p>
    <w:p w:rsidR="00AF6DB1" w:rsidRPr="0063693B" w:rsidRDefault="00AF6DB1" w:rsidP="009E50BE">
      <w:pPr>
        <w:spacing w:line="276" w:lineRule="auto"/>
        <w:ind w:right="3" w:firstLine="708"/>
        <w:jc w:val="both"/>
        <w:rPr>
          <w:rFonts w:ascii="Tahoma" w:hAnsi="Tahoma" w:cs="Tahoma"/>
          <w:iCs/>
          <w:sz w:val="22"/>
          <w:szCs w:val="22"/>
        </w:rPr>
      </w:pPr>
    </w:p>
    <w:p w:rsidR="00A416B0" w:rsidRDefault="00A416B0" w:rsidP="009E50BE">
      <w:pPr>
        <w:pStyle w:val="Prrafodelista"/>
        <w:suppressAutoHyphens/>
        <w:spacing w:line="276" w:lineRule="auto"/>
        <w:jc w:val="both"/>
        <w:rPr>
          <w:rFonts w:ascii="Tahoma" w:hAnsi="Tahoma" w:cs="Tahoma"/>
          <w:sz w:val="22"/>
          <w:szCs w:val="22"/>
        </w:rPr>
      </w:pPr>
      <w:r w:rsidRPr="0063693B">
        <w:rPr>
          <w:rFonts w:ascii="Tahoma" w:hAnsi="Tahoma" w:cs="Tahoma"/>
          <w:sz w:val="22"/>
          <w:szCs w:val="22"/>
        </w:rPr>
        <w:t xml:space="preserve">Notifíquese y Cúmplase </w:t>
      </w:r>
    </w:p>
    <w:p w:rsidR="008B1FD1" w:rsidRPr="0063693B" w:rsidRDefault="008B1FD1" w:rsidP="009E50BE">
      <w:pPr>
        <w:pStyle w:val="Prrafodelista"/>
        <w:suppressAutoHyphens/>
        <w:spacing w:line="276" w:lineRule="auto"/>
        <w:jc w:val="both"/>
        <w:rPr>
          <w:rFonts w:ascii="Tahoma" w:hAnsi="Tahoma" w:cs="Tahoma"/>
          <w:sz w:val="22"/>
          <w:szCs w:val="22"/>
        </w:rPr>
      </w:pPr>
    </w:p>
    <w:p w:rsidR="00A416B0" w:rsidRPr="0063693B" w:rsidRDefault="00A416B0" w:rsidP="009E50BE">
      <w:pPr>
        <w:pStyle w:val="Sinespaciado"/>
        <w:spacing w:line="276" w:lineRule="auto"/>
        <w:jc w:val="both"/>
      </w:pPr>
    </w:p>
    <w:p w:rsidR="00A416B0" w:rsidRPr="0063693B" w:rsidRDefault="00A416B0" w:rsidP="009E50BE">
      <w:pPr>
        <w:spacing w:line="276" w:lineRule="auto"/>
        <w:ind w:left="785"/>
        <w:jc w:val="both"/>
        <w:rPr>
          <w:rFonts w:ascii="Tahoma" w:hAnsi="Tahoma" w:cs="Tahoma"/>
          <w:sz w:val="22"/>
          <w:szCs w:val="22"/>
        </w:rPr>
      </w:pPr>
      <w:r w:rsidRPr="0063693B">
        <w:rPr>
          <w:rFonts w:ascii="Tahoma" w:hAnsi="Tahoma" w:cs="Tahoma"/>
          <w:sz w:val="22"/>
          <w:szCs w:val="22"/>
        </w:rPr>
        <w:t xml:space="preserve">La Magistrada, </w:t>
      </w:r>
    </w:p>
    <w:p w:rsidR="00A416B0" w:rsidRPr="0063693B" w:rsidRDefault="00A416B0" w:rsidP="009E50BE">
      <w:pPr>
        <w:pStyle w:val="Sinespaciado"/>
        <w:spacing w:line="276" w:lineRule="auto"/>
        <w:jc w:val="both"/>
      </w:pPr>
    </w:p>
    <w:p w:rsidR="00C40375" w:rsidRPr="0063693B" w:rsidRDefault="00C40375" w:rsidP="009E50BE">
      <w:pPr>
        <w:pStyle w:val="Sinespaciado"/>
        <w:spacing w:line="276" w:lineRule="auto"/>
        <w:jc w:val="both"/>
      </w:pPr>
    </w:p>
    <w:p w:rsidR="00C66575" w:rsidRPr="0063693B" w:rsidRDefault="00C66575" w:rsidP="00A416B0">
      <w:pPr>
        <w:pStyle w:val="Sinespaciado"/>
        <w:jc w:val="both"/>
      </w:pPr>
    </w:p>
    <w:p w:rsidR="008645F2" w:rsidRPr="0063693B" w:rsidRDefault="008645F2" w:rsidP="00A416B0">
      <w:pPr>
        <w:pStyle w:val="Sinespaciado"/>
        <w:jc w:val="both"/>
      </w:pPr>
    </w:p>
    <w:p w:rsidR="00C40375" w:rsidRPr="00BA5A05" w:rsidRDefault="00C40375" w:rsidP="00A416B0">
      <w:pPr>
        <w:pStyle w:val="Sinespaciado"/>
        <w:jc w:val="both"/>
        <w:rPr>
          <w:sz w:val="20"/>
          <w:szCs w:val="20"/>
        </w:rPr>
      </w:pPr>
    </w:p>
    <w:p w:rsidR="00A416B0" w:rsidRPr="00BA5A05" w:rsidRDefault="00A416B0" w:rsidP="00A416B0">
      <w:pPr>
        <w:ind w:left="360"/>
        <w:jc w:val="center"/>
        <w:rPr>
          <w:rFonts w:ascii="Tahoma" w:hAnsi="Tahoma" w:cs="Tahoma"/>
          <w:b/>
        </w:rPr>
      </w:pPr>
      <w:r w:rsidRPr="00BA5A05">
        <w:rPr>
          <w:rFonts w:ascii="Tahoma" w:hAnsi="Tahoma" w:cs="Tahoma"/>
          <w:b/>
        </w:rPr>
        <w:t>ANA LUCÍA CAICEDO CALDERÓN</w:t>
      </w:r>
    </w:p>
    <w:p w:rsidR="00A416B0" w:rsidRPr="0063693B" w:rsidRDefault="00A416B0" w:rsidP="00A416B0">
      <w:pPr>
        <w:pStyle w:val="Sinespaciado"/>
        <w:jc w:val="both"/>
      </w:pPr>
    </w:p>
    <w:p w:rsidR="00A416B0" w:rsidRPr="0063693B" w:rsidRDefault="00A416B0" w:rsidP="00A416B0">
      <w:pPr>
        <w:ind w:left="360"/>
        <w:jc w:val="both"/>
        <w:rPr>
          <w:rFonts w:ascii="Tahoma" w:hAnsi="Tahoma" w:cs="Tahoma"/>
          <w:sz w:val="22"/>
          <w:szCs w:val="22"/>
        </w:rPr>
      </w:pPr>
      <w:r w:rsidRPr="0063693B">
        <w:rPr>
          <w:rFonts w:ascii="Tahoma" w:hAnsi="Tahoma" w:cs="Tahoma"/>
          <w:b/>
          <w:sz w:val="22"/>
          <w:szCs w:val="22"/>
        </w:rPr>
        <w:tab/>
      </w:r>
      <w:r w:rsidRPr="0063693B">
        <w:rPr>
          <w:rFonts w:ascii="Tahoma" w:hAnsi="Tahoma" w:cs="Tahoma"/>
          <w:sz w:val="22"/>
          <w:szCs w:val="22"/>
        </w:rPr>
        <w:t>Los Magistrados,</w:t>
      </w:r>
    </w:p>
    <w:p w:rsidR="00A416B0" w:rsidRPr="00BA5A05" w:rsidRDefault="00A416B0" w:rsidP="00A416B0">
      <w:pPr>
        <w:pStyle w:val="Sinespaciado"/>
        <w:jc w:val="both"/>
      </w:pPr>
    </w:p>
    <w:p w:rsidR="00A416B0" w:rsidRPr="00BA5A05" w:rsidRDefault="00A416B0" w:rsidP="00A416B0">
      <w:pPr>
        <w:pStyle w:val="Sinespaciado"/>
        <w:jc w:val="both"/>
        <w:rPr>
          <w:b/>
        </w:rPr>
      </w:pPr>
    </w:p>
    <w:p w:rsidR="008645F2" w:rsidRPr="00BA5A05" w:rsidRDefault="008645F2" w:rsidP="00A416B0">
      <w:pPr>
        <w:pStyle w:val="Sinespaciado"/>
        <w:jc w:val="both"/>
        <w:rPr>
          <w:b/>
        </w:rPr>
      </w:pPr>
    </w:p>
    <w:p w:rsidR="00A416B0" w:rsidRPr="00BA5A05" w:rsidRDefault="00A416B0" w:rsidP="00A416B0">
      <w:pPr>
        <w:pStyle w:val="Sinespaciado"/>
        <w:jc w:val="both"/>
        <w:rPr>
          <w:b/>
        </w:rPr>
      </w:pPr>
    </w:p>
    <w:p w:rsidR="00A416B0" w:rsidRDefault="00A416B0" w:rsidP="00A416B0">
      <w:pPr>
        <w:pStyle w:val="Sinespaciado"/>
        <w:jc w:val="both"/>
        <w:rPr>
          <w:b/>
        </w:rPr>
      </w:pPr>
    </w:p>
    <w:p w:rsidR="00C40375" w:rsidRDefault="00C40375" w:rsidP="00A416B0">
      <w:pPr>
        <w:pStyle w:val="Sinespaciado"/>
        <w:jc w:val="both"/>
        <w:rPr>
          <w:b/>
        </w:rPr>
      </w:pPr>
    </w:p>
    <w:p w:rsidR="00C66575" w:rsidRPr="00BA5A05" w:rsidRDefault="00C66575" w:rsidP="00A416B0">
      <w:pPr>
        <w:pStyle w:val="Sinespaciado"/>
        <w:jc w:val="both"/>
        <w:rPr>
          <w:b/>
        </w:rPr>
      </w:pPr>
    </w:p>
    <w:p w:rsidR="00A416B0" w:rsidRPr="00BA5A05" w:rsidRDefault="00A416B0" w:rsidP="00A416B0">
      <w:pPr>
        <w:pStyle w:val="Sinespaciado"/>
        <w:jc w:val="both"/>
        <w:rPr>
          <w:b/>
        </w:rPr>
      </w:pPr>
    </w:p>
    <w:p w:rsidR="00A416B0" w:rsidRPr="00BA5A05" w:rsidRDefault="00A416B0" w:rsidP="00A416B0">
      <w:pPr>
        <w:tabs>
          <w:tab w:val="left" w:pos="3960"/>
        </w:tabs>
        <w:jc w:val="both"/>
        <w:rPr>
          <w:rFonts w:ascii="Tahoma" w:hAnsi="Tahoma" w:cs="Tahoma"/>
          <w:b/>
        </w:rPr>
      </w:pPr>
      <w:r w:rsidRPr="00BA5A05">
        <w:rPr>
          <w:rFonts w:ascii="Tahoma" w:hAnsi="Tahoma" w:cs="Tahoma"/>
          <w:b/>
        </w:rPr>
        <w:t xml:space="preserve">JULIO CÉSAR SALAZAR MUÑOZ         </w:t>
      </w:r>
      <w:r w:rsidR="00643AEA">
        <w:rPr>
          <w:rFonts w:ascii="Tahoma" w:hAnsi="Tahoma" w:cs="Tahoma"/>
          <w:b/>
        </w:rPr>
        <w:t xml:space="preserve">     </w:t>
      </w:r>
      <w:r w:rsidRPr="00BA5A05">
        <w:rPr>
          <w:rFonts w:ascii="Tahoma" w:hAnsi="Tahoma" w:cs="Tahoma"/>
          <w:b/>
        </w:rPr>
        <w:t xml:space="preserve">   FRANCISCO JAVIER TAMAYO TABARES</w:t>
      </w:r>
    </w:p>
    <w:p w:rsidR="00A416B0" w:rsidRPr="00BA5A05" w:rsidRDefault="00A416B0" w:rsidP="00A416B0">
      <w:pPr>
        <w:pStyle w:val="Sinespaciado"/>
        <w:jc w:val="both"/>
        <w:rPr>
          <w:sz w:val="18"/>
          <w:szCs w:val="18"/>
        </w:rPr>
      </w:pPr>
    </w:p>
    <w:p w:rsidR="00A416B0" w:rsidRPr="00BA5A05" w:rsidRDefault="00A416B0" w:rsidP="00A416B0">
      <w:pPr>
        <w:pStyle w:val="Sinespaciado"/>
        <w:jc w:val="both"/>
        <w:rPr>
          <w:sz w:val="18"/>
          <w:szCs w:val="18"/>
        </w:rPr>
      </w:pPr>
    </w:p>
    <w:p w:rsidR="00A416B0" w:rsidRDefault="00A416B0" w:rsidP="00A416B0">
      <w:pPr>
        <w:pStyle w:val="Sinespaciado"/>
        <w:jc w:val="both"/>
        <w:rPr>
          <w:sz w:val="18"/>
          <w:szCs w:val="18"/>
        </w:rPr>
      </w:pPr>
    </w:p>
    <w:p w:rsidR="008645F2" w:rsidRPr="00BA5A05" w:rsidRDefault="008645F2" w:rsidP="00A416B0">
      <w:pPr>
        <w:pStyle w:val="Sinespaciado"/>
        <w:jc w:val="both"/>
        <w:rPr>
          <w:sz w:val="18"/>
          <w:szCs w:val="18"/>
        </w:rPr>
      </w:pPr>
    </w:p>
    <w:p w:rsidR="00A416B0" w:rsidRPr="00BA5A05" w:rsidRDefault="00A416B0" w:rsidP="00A416B0">
      <w:pPr>
        <w:pStyle w:val="Sinespaciado"/>
        <w:jc w:val="both"/>
        <w:rPr>
          <w:sz w:val="18"/>
          <w:szCs w:val="18"/>
        </w:rPr>
      </w:pPr>
    </w:p>
    <w:p w:rsidR="00A416B0" w:rsidRPr="00BA5A05" w:rsidRDefault="00A416B0" w:rsidP="00A416B0">
      <w:pPr>
        <w:pStyle w:val="Sinespaciado"/>
        <w:jc w:val="both"/>
        <w:rPr>
          <w:sz w:val="18"/>
          <w:szCs w:val="18"/>
        </w:rPr>
      </w:pPr>
    </w:p>
    <w:p w:rsidR="00A416B0" w:rsidRPr="00BA5A05" w:rsidRDefault="00A416B0" w:rsidP="00A416B0">
      <w:pPr>
        <w:pStyle w:val="Sinespaciado"/>
        <w:jc w:val="both"/>
        <w:rPr>
          <w:sz w:val="18"/>
          <w:szCs w:val="18"/>
        </w:rPr>
      </w:pPr>
    </w:p>
    <w:p w:rsidR="00A416B0" w:rsidRDefault="00A416B0" w:rsidP="00A416B0">
      <w:pPr>
        <w:pStyle w:val="Sinespaciado"/>
        <w:jc w:val="both"/>
        <w:rPr>
          <w:sz w:val="18"/>
          <w:szCs w:val="18"/>
        </w:rPr>
      </w:pPr>
    </w:p>
    <w:p w:rsidR="00C66575" w:rsidRPr="00BA5A05" w:rsidRDefault="00C66575" w:rsidP="00A416B0">
      <w:pPr>
        <w:pStyle w:val="Sinespaciado"/>
        <w:jc w:val="both"/>
        <w:rPr>
          <w:sz w:val="18"/>
          <w:szCs w:val="18"/>
        </w:rPr>
      </w:pPr>
    </w:p>
    <w:p w:rsidR="00A416B0" w:rsidRPr="00BA5A05" w:rsidRDefault="00A416B0" w:rsidP="00A416B0">
      <w:pPr>
        <w:pStyle w:val="Sinespaciado"/>
        <w:jc w:val="both"/>
        <w:rPr>
          <w:sz w:val="18"/>
          <w:szCs w:val="18"/>
        </w:rPr>
      </w:pPr>
    </w:p>
    <w:p w:rsidR="00A416B0" w:rsidRPr="00BA5A05" w:rsidRDefault="00A416B0" w:rsidP="00A416B0">
      <w:pPr>
        <w:jc w:val="center"/>
        <w:rPr>
          <w:rFonts w:ascii="Tahoma" w:hAnsi="Tahoma" w:cs="Tahoma"/>
          <w:b/>
        </w:rPr>
      </w:pPr>
      <w:r w:rsidRPr="00BA5A05">
        <w:rPr>
          <w:rFonts w:ascii="Tahoma" w:hAnsi="Tahoma" w:cs="Tahoma"/>
          <w:b/>
        </w:rPr>
        <w:t>ALONSO GAVIRIA OCAMPO</w:t>
      </w:r>
    </w:p>
    <w:p w:rsidR="00443B8F" w:rsidRPr="00225353" w:rsidRDefault="00A416B0" w:rsidP="00225353">
      <w:pPr>
        <w:jc w:val="center"/>
        <w:rPr>
          <w:rFonts w:ascii="Tahoma" w:hAnsi="Tahoma" w:cs="Tahoma"/>
          <w:b/>
        </w:rPr>
      </w:pPr>
      <w:r w:rsidRPr="00BA5A05">
        <w:rPr>
          <w:rFonts w:ascii="Tahoma" w:hAnsi="Tahoma" w:cs="Tahoma"/>
          <w:b/>
        </w:rPr>
        <w:t>Secretario</w:t>
      </w:r>
    </w:p>
    <w:sectPr w:rsidR="00443B8F" w:rsidRPr="00225353" w:rsidSect="002F1953">
      <w:headerReference w:type="even" r:id="rId8"/>
      <w:headerReference w:type="default" r:id="rId9"/>
      <w:footerReference w:type="default" r:id="rId10"/>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DA" w:rsidRDefault="00F735DA" w:rsidP="00A416B0">
      <w:r>
        <w:separator/>
      </w:r>
    </w:p>
  </w:endnote>
  <w:endnote w:type="continuationSeparator" w:id="0">
    <w:p w:rsidR="00F735DA" w:rsidRDefault="00F735DA" w:rsidP="00A4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1D76D3" w:rsidRDefault="00CE5C06">
        <w:pPr>
          <w:pStyle w:val="Piedepgina"/>
          <w:jc w:val="right"/>
        </w:pPr>
        <w:r>
          <w:fldChar w:fldCharType="begin"/>
        </w:r>
        <w:r>
          <w:instrText>PAGE   \* MERGEFORMAT</w:instrText>
        </w:r>
        <w:r>
          <w:fldChar w:fldCharType="separate"/>
        </w:r>
        <w:r w:rsidR="0015265B">
          <w:rPr>
            <w:noProof/>
          </w:rPr>
          <w:t>4</w:t>
        </w:r>
        <w:r>
          <w:rPr>
            <w:noProof/>
          </w:rPr>
          <w:fldChar w:fldCharType="end"/>
        </w:r>
      </w:p>
    </w:sdtContent>
  </w:sdt>
  <w:p w:rsidR="001D76D3" w:rsidRDefault="00F735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DA" w:rsidRDefault="00F735DA" w:rsidP="00A416B0">
      <w:r>
        <w:separator/>
      </w:r>
    </w:p>
  </w:footnote>
  <w:footnote w:type="continuationSeparator" w:id="0">
    <w:p w:rsidR="00F735DA" w:rsidRDefault="00F735DA" w:rsidP="00A416B0">
      <w:r>
        <w:continuationSeparator/>
      </w:r>
    </w:p>
  </w:footnote>
  <w:footnote w:id="1">
    <w:p w:rsidR="00A416B0" w:rsidRPr="0040507B" w:rsidRDefault="00A416B0" w:rsidP="00A416B0">
      <w:pPr>
        <w:pStyle w:val="Prrafodelista"/>
        <w:spacing w:line="276" w:lineRule="auto"/>
        <w:ind w:right="618"/>
        <w:jc w:val="both"/>
        <w:rPr>
          <w:rFonts w:ascii="Tahoma" w:hAnsi="Tahoma" w:cs="Tahoma"/>
          <w:color w:val="FBD4B4" w:themeColor="accent6" w:themeTint="66"/>
        </w:rPr>
      </w:pPr>
      <w:r w:rsidRPr="0040507B">
        <w:rPr>
          <w:rStyle w:val="Refdenotaalpie"/>
        </w:rPr>
        <w:footnoteRef/>
      </w:r>
      <w:r w:rsidRPr="0040507B">
        <w:t xml:space="preserve"> </w:t>
      </w:r>
      <w:r w:rsidRPr="0040507B">
        <w:rPr>
          <w:sz w:val="16"/>
          <w:szCs w:val="16"/>
        </w:rPr>
        <w:t>Sentencia T 399 De 2015- M.P. Gloria Stella Ortiz Delgado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D3" w:rsidRDefault="00CE5C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D76D3" w:rsidRDefault="00F735D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D3" w:rsidRDefault="00CE5C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5265B">
      <w:rPr>
        <w:rStyle w:val="Nmerodepgina"/>
        <w:noProof/>
      </w:rPr>
      <w:t>4</w:t>
    </w:r>
    <w:r>
      <w:rPr>
        <w:rStyle w:val="Nmerodepgina"/>
      </w:rPr>
      <w:fldChar w:fldCharType="end"/>
    </w:r>
  </w:p>
  <w:p w:rsidR="001D76D3" w:rsidRPr="003D0AE9" w:rsidRDefault="00CE5C06" w:rsidP="00DE54B3">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Pr>
        <w:rFonts w:ascii="Times New Roman" w:hAnsi="Times New Roman" w:cs="Times New Roman"/>
        <w:sz w:val="14"/>
        <w:szCs w:val="14"/>
      </w:rPr>
      <w:t>4-2017</w:t>
    </w:r>
    <w:r w:rsidRPr="003D0AE9">
      <w:rPr>
        <w:rFonts w:ascii="Times New Roman" w:hAnsi="Times New Roman" w:cs="Times New Roman"/>
        <w:sz w:val="14"/>
        <w:szCs w:val="14"/>
      </w:rPr>
      <w:t>-00</w:t>
    </w:r>
    <w:r w:rsidR="00DE54B3">
      <w:rPr>
        <w:rFonts w:ascii="Times New Roman" w:hAnsi="Times New Roman" w:cs="Times New Roman"/>
        <w:sz w:val="14"/>
        <w:szCs w:val="14"/>
      </w:rPr>
      <w:t>199-0z</w:t>
    </w:r>
  </w:p>
  <w:p w:rsidR="001D76D3" w:rsidRPr="003D0AE9" w:rsidRDefault="00CE5C06" w:rsidP="00DE54B3">
    <w:pPr>
      <w:pStyle w:val="Sinespaciado"/>
      <w:rPr>
        <w:rFonts w:ascii="Times New Roman" w:hAnsi="Times New Roman" w:cs="Times New Roman"/>
        <w:sz w:val="14"/>
        <w:szCs w:val="14"/>
      </w:rPr>
    </w:pPr>
    <w:r>
      <w:rPr>
        <w:rFonts w:ascii="Times New Roman" w:hAnsi="Times New Roman" w:cs="Times New Roman"/>
        <w:sz w:val="14"/>
        <w:szCs w:val="14"/>
      </w:rPr>
      <w:t>Accionantes: José Álvaro Monroy  Castaño</w:t>
    </w:r>
  </w:p>
  <w:p w:rsidR="001D76D3" w:rsidRPr="003D0AE9" w:rsidRDefault="00CE5C06" w:rsidP="00DE54B3">
    <w:pPr>
      <w:pStyle w:val="Sinespaciado"/>
      <w:rPr>
        <w:rFonts w:ascii="Times New Roman" w:hAnsi="Times New Roman" w:cs="Times New Roman"/>
        <w:sz w:val="14"/>
        <w:szCs w:val="14"/>
      </w:rPr>
    </w:pPr>
    <w:r>
      <w:rPr>
        <w:rFonts w:ascii="Times New Roman" w:hAnsi="Times New Roman" w:cs="Times New Roman"/>
        <w:sz w:val="14"/>
        <w:szCs w:val="14"/>
      </w:rPr>
      <w:t>Accionados: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A557D2"/>
    <w:multiLevelType w:val="hybridMultilevel"/>
    <w:tmpl w:val="CEB6944C"/>
    <w:lvl w:ilvl="0" w:tplc="8BACBD98">
      <w:start w:val="1"/>
      <w:numFmt w:val="decimal"/>
      <w:lvlText w:val="%1."/>
      <w:lvlJc w:val="left"/>
      <w:pPr>
        <w:ind w:left="1080" w:hanging="720"/>
      </w:pPr>
      <w:rPr>
        <w:rFonts w:ascii="Tahoma" w:eastAsia="Times New Roman" w:hAnsi="Tahoma" w:cs="Tahoma"/>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69B2"/>
    <w:rsid w:val="00006EBB"/>
    <w:rsid w:val="00013200"/>
    <w:rsid w:val="00015B55"/>
    <w:rsid w:val="000360E4"/>
    <w:rsid w:val="00043660"/>
    <w:rsid w:val="00043B69"/>
    <w:rsid w:val="00067031"/>
    <w:rsid w:val="00070543"/>
    <w:rsid w:val="00072EB1"/>
    <w:rsid w:val="00077352"/>
    <w:rsid w:val="00093A36"/>
    <w:rsid w:val="000A0E28"/>
    <w:rsid w:val="000A2B4D"/>
    <w:rsid w:val="000B00CC"/>
    <w:rsid w:val="000D2BB4"/>
    <w:rsid w:val="000D4CD3"/>
    <w:rsid w:val="000F39A5"/>
    <w:rsid w:val="000F49CF"/>
    <w:rsid w:val="000F69B2"/>
    <w:rsid w:val="001027D5"/>
    <w:rsid w:val="00122DFE"/>
    <w:rsid w:val="0015167A"/>
    <w:rsid w:val="0015265B"/>
    <w:rsid w:val="001755F7"/>
    <w:rsid w:val="001B0AE3"/>
    <w:rsid w:val="001E193A"/>
    <w:rsid w:val="001F385F"/>
    <w:rsid w:val="00203ED7"/>
    <w:rsid w:val="00225353"/>
    <w:rsid w:val="00244E5D"/>
    <w:rsid w:val="002526DF"/>
    <w:rsid w:val="00283A14"/>
    <w:rsid w:val="00295EE3"/>
    <w:rsid w:val="002A7C22"/>
    <w:rsid w:val="002D00A6"/>
    <w:rsid w:val="002E09E5"/>
    <w:rsid w:val="002F1953"/>
    <w:rsid w:val="00307929"/>
    <w:rsid w:val="003110F2"/>
    <w:rsid w:val="003311BB"/>
    <w:rsid w:val="00332BFD"/>
    <w:rsid w:val="003357D9"/>
    <w:rsid w:val="003771BA"/>
    <w:rsid w:val="003B0110"/>
    <w:rsid w:val="003B690E"/>
    <w:rsid w:val="003C477D"/>
    <w:rsid w:val="003D0885"/>
    <w:rsid w:val="00423F00"/>
    <w:rsid w:val="00437E7A"/>
    <w:rsid w:val="00464683"/>
    <w:rsid w:val="004A468A"/>
    <w:rsid w:val="004B58F1"/>
    <w:rsid w:val="00502826"/>
    <w:rsid w:val="005141FE"/>
    <w:rsid w:val="00525A19"/>
    <w:rsid w:val="005322E4"/>
    <w:rsid w:val="00536AF9"/>
    <w:rsid w:val="00561AAE"/>
    <w:rsid w:val="005878C5"/>
    <w:rsid w:val="0059715F"/>
    <w:rsid w:val="005A0DD9"/>
    <w:rsid w:val="005A5800"/>
    <w:rsid w:val="005A7643"/>
    <w:rsid w:val="005D3258"/>
    <w:rsid w:val="005D7F59"/>
    <w:rsid w:val="005E1840"/>
    <w:rsid w:val="006146F0"/>
    <w:rsid w:val="00625D0F"/>
    <w:rsid w:val="0063693B"/>
    <w:rsid w:val="00642340"/>
    <w:rsid w:val="00643AEA"/>
    <w:rsid w:val="00656708"/>
    <w:rsid w:val="00691210"/>
    <w:rsid w:val="006C46CD"/>
    <w:rsid w:val="006E5DCC"/>
    <w:rsid w:val="00714402"/>
    <w:rsid w:val="0072417C"/>
    <w:rsid w:val="007272B5"/>
    <w:rsid w:val="007306FE"/>
    <w:rsid w:val="00730865"/>
    <w:rsid w:val="007322C7"/>
    <w:rsid w:val="00744067"/>
    <w:rsid w:val="0074684B"/>
    <w:rsid w:val="00750CAA"/>
    <w:rsid w:val="007621F4"/>
    <w:rsid w:val="00767BAF"/>
    <w:rsid w:val="00772B72"/>
    <w:rsid w:val="007937A0"/>
    <w:rsid w:val="00797A12"/>
    <w:rsid w:val="007A0BA3"/>
    <w:rsid w:val="007A6934"/>
    <w:rsid w:val="007B2F40"/>
    <w:rsid w:val="007D0D4C"/>
    <w:rsid w:val="007D12EB"/>
    <w:rsid w:val="00815ABE"/>
    <w:rsid w:val="00843940"/>
    <w:rsid w:val="00845871"/>
    <w:rsid w:val="008549EE"/>
    <w:rsid w:val="008638C1"/>
    <w:rsid w:val="008645F2"/>
    <w:rsid w:val="00875FD8"/>
    <w:rsid w:val="008A6D45"/>
    <w:rsid w:val="008B1FD1"/>
    <w:rsid w:val="008B64E7"/>
    <w:rsid w:val="008B7869"/>
    <w:rsid w:val="008C6819"/>
    <w:rsid w:val="008D179C"/>
    <w:rsid w:val="008D6008"/>
    <w:rsid w:val="008E3778"/>
    <w:rsid w:val="008E3911"/>
    <w:rsid w:val="008E49B4"/>
    <w:rsid w:val="008E527B"/>
    <w:rsid w:val="008E5AFC"/>
    <w:rsid w:val="0090592C"/>
    <w:rsid w:val="00916CE4"/>
    <w:rsid w:val="00934682"/>
    <w:rsid w:val="00964502"/>
    <w:rsid w:val="0098553D"/>
    <w:rsid w:val="009A3D6E"/>
    <w:rsid w:val="009E50BE"/>
    <w:rsid w:val="00A20FE0"/>
    <w:rsid w:val="00A342D4"/>
    <w:rsid w:val="00A416B0"/>
    <w:rsid w:val="00A53040"/>
    <w:rsid w:val="00A65921"/>
    <w:rsid w:val="00A73630"/>
    <w:rsid w:val="00A82EE2"/>
    <w:rsid w:val="00A901CC"/>
    <w:rsid w:val="00A947C7"/>
    <w:rsid w:val="00A9676D"/>
    <w:rsid w:val="00AA1F50"/>
    <w:rsid w:val="00AD74CE"/>
    <w:rsid w:val="00AE6228"/>
    <w:rsid w:val="00AF434C"/>
    <w:rsid w:val="00AF4A58"/>
    <w:rsid w:val="00AF6DB1"/>
    <w:rsid w:val="00B2534A"/>
    <w:rsid w:val="00B500CA"/>
    <w:rsid w:val="00B87379"/>
    <w:rsid w:val="00BA3E25"/>
    <w:rsid w:val="00BC73B7"/>
    <w:rsid w:val="00BD4722"/>
    <w:rsid w:val="00BE57F8"/>
    <w:rsid w:val="00C0661B"/>
    <w:rsid w:val="00C40375"/>
    <w:rsid w:val="00C55156"/>
    <w:rsid w:val="00C66575"/>
    <w:rsid w:val="00C74EDB"/>
    <w:rsid w:val="00C759A8"/>
    <w:rsid w:val="00C8102C"/>
    <w:rsid w:val="00C8189C"/>
    <w:rsid w:val="00CC0E66"/>
    <w:rsid w:val="00CE314D"/>
    <w:rsid w:val="00CE5C06"/>
    <w:rsid w:val="00CE69AB"/>
    <w:rsid w:val="00D25C0C"/>
    <w:rsid w:val="00D31BEE"/>
    <w:rsid w:val="00D45AD7"/>
    <w:rsid w:val="00D52B1B"/>
    <w:rsid w:val="00D5518A"/>
    <w:rsid w:val="00D62BF8"/>
    <w:rsid w:val="00D67083"/>
    <w:rsid w:val="00D81344"/>
    <w:rsid w:val="00D96EA3"/>
    <w:rsid w:val="00DA7C94"/>
    <w:rsid w:val="00DE121B"/>
    <w:rsid w:val="00DE54B3"/>
    <w:rsid w:val="00DF6113"/>
    <w:rsid w:val="00DF6B19"/>
    <w:rsid w:val="00E35BD2"/>
    <w:rsid w:val="00E5715F"/>
    <w:rsid w:val="00E67777"/>
    <w:rsid w:val="00E71911"/>
    <w:rsid w:val="00E731E4"/>
    <w:rsid w:val="00E80ED6"/>
    <w:rsid w:val="00E82681"/>
    <w:rsid w:val="00E82FB2"/>
    <w:rsid w:val="00EA1FE9"/>
    <w:rsid w:val="00EB18B3"/>
    <w:rsid w:val="00EC3F01"/>
    <w:rsid w:val="00EE250E"/>
    <w:rsid w:val="00EE444F"/>
    <w:rsid w:val="00EF3C55"/>
    <w:rsid w:val="00EF52E9"/>
    <w:rsid w:val="00F70D20"/>
    <w:rsid w:val="00F735DA"/>
    <w:rsid w:val="00F87E25"/>
    <w:rsid w:val="00F92CBC"/>
    <w:rsid w:val="00FB483B"/>
    <w:rsid w:val="00FB4E3B"/>
    <w:rsid w:val="00FC2ABF"/>
    <w:rsid w:val="00FC42C5"/>
    <w:rsid w:val="00FD7F9B"/>
    <w:rsid w:val="00FE309C"/>
    <w:rsid w:val="00FE71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C9CF16-BCC1-4C57-A9B2-96D4D97A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kern w:val="28"/>
        <w:sz w:val="24"/>
        <w:szCs w:val="24"/>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B2"/>
    <w:pPr>
      <w:spacing w:line="240" w:lineRule="auto"/>
      <w:jc w:val="left"/>
    </w:pPr>
    <w:rPr>
      <w:rFonts w:ascii="Times New Roman" w:eastAsia="Times New Roman" w:hAnsi="Times New Roman" w:cs="Times New Roman"/>
      <w:kern w:val="0"/>
      <w:lang w:eastAsia="es-ES"/>
    </w:rPr>
  </w:style>
  <w:style w:type="paragraph" w:styleId="Ttulo4">
    <w:name w:val="heading 4"/>
    <w:basedOn w:val="Normal"/>
    <w:next w:val="Normal"/>
    <w:link w:val="Ttulo4Car"/>
    <w:qFormat/>
    <w:rsid w:val="000F69B2"/>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F69B2"/>
    <w:rPr>
      <w:rFonts w:ascii="Times New Roman" w:eastAsia="Times New Roman" w:hAnsi="Times New Roman" w:cs="Times New Roman"/>
      <w:b/>
      <w:kern w:val="0"/>
      <w:szCs w:val="20"/>
      <w:lang w:eastAsia="es-ES"/>
    </w:rPr>
  </w:style>
  <w:style w:type="paragraph" w:styleId="Puesto">
    <w:name w:val="Title"/>
    <w:basedOn w:val="Normal"/>
    <w:link w:val="PuestoCar"/>
    <w:qFormat/>
    <w:rsid w:val="000F69B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0F69B2"/>
    <w:rPr>
      <w:rFonts w:eastAsia="Times New Roman"/>
      <w:b/>
      <w:kern w:val="0"/>
      <w:lang w:eastAsia="es-ES"/>
    </w:rPr>
  </w:style>
  <w:style w:type="paragraph" w:styleId="Prrafodelista">
    <w:name w:val="List Paragraph"/>
    <w:basedOn w:val="Normal"/>
    <w:qFormat/>
    <w:rsid w:val="005322E4"/>
    <w:pPr>
      <w:ind w:left="720"/>
      <w:contextualSpacing/>
    </w:pPr>
  </w:style>
  <w:style w:type="paragraph" w:styleId="Textodeglobo">
    <w:name w:val="Balloon Text"/>
    <w:basedOn w:val="Normal"/>
    <w:link w:val="TextodegloboCar"/>
    <w:uiPriority w:val="99"/>
    <w:semiHidden/>
    <w:unhideWhenUsed/>
    <w:rsid w:val="00EE44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444F"/>
    <w:rPr>
      <w:rFonts w:ascii="Segoe UI" w:eastAsia="Times New Roman" w:hAnsi="Segoe UI" w:cs="Segoe UI"/>
      <w:kern w:val="0"/>
      <w:sz w:val="18"/>
      <w:szCs w:val="18"/>
      <w:lang w:eastAsia="es-ES"/>
    </w:rPr>
  </w:style>
  <w:style w:type="character" w:styleId="Refdenotaalpie">
    <w:name w:val="footnote reference"/>
    <w:aliases w:val="Texto de nota al pie,Footnotes refss,Appel note de bas de page,Footnote number,f,BVI fnr"/>
    <w:basedOn w:val="Fuentedeprrafopredeter"/>
    <w:uiPriority w:val="99"/>
    <w:rsid w:val="00A416B0"/>
    <w:rPr>
      <w:vertAlign w:val="superscript"/>
    </w:rPr>
  </w:style>
  <w:style w:type="paragraph" w:styleId="Encabezado">
    <w:name w:val="header"/>
    <w:basedOn w:val="Normal"/>
    <w:link w:val="EncabezadoCar"/>
    <w:rsid w:val="00A416B0"/>
    <w:pPr>
      <w:tabs>
        <w:tab w:val="center" w:pos="4252"/>
        <w:tab w:val="right" w:pos="8504"/>
      </w:tabs>
    </w:pPr>
  </w:style>
  <w:style w:type="character" w:customStyle="1" w:styleId="EncabezadoCar">
    <w:name w:val="Encabezado Car"/>
    <w:basedOn w:val="Fuentedeprrafopredeter"/>
    <w:link w:val="Encabezado"/>
    <w:rsid w:val="00A416B0"/>
    <w:rPr>
      <w:rFonts w:ascii="Times New Roman" w:eastAsia="Times New Roman" w:hAnsi="Times New Roman" w:cs="Times New Roman"/>
      <w:kern w:val="0"/>
      <w:lang w:eastAsia="es-ES"/>
    </w:rPr>
  </w:style>
  <w:style w:type="character" w:styleId="Nmerodepgina">
    <w:name w:val="page number"/>
    <w:basedOn w:val="Fuentedeprrafopredeter"/>
    <w:rsid w:val="00A416B0"/>
  </w:style>
  <w:style w:type="paragraph" w:styleId="Sinespaciado">
    <w:name w:val="No Spacing"/>
    <w:uiPriority w:val="1"/>
    <w:qFormat/>
    <w:rsid w:val="00A416B0"/>
    <w:pPr>
      <w:spacing w:line="240" w:lineRule="auto"/>
      <w:jc w:val="left"/>
    </w:pPr>
    <w:rPr>
      <w:rFonts w:asciiTheme="minorHAnsi" w:hAnsiTheme="minorHAnsi" w:cstheme="minorBidi"/>
      <w:kern w:val="0"/>
      <w:sz w:val="22"/>
      <w:szCs w:val="22"/>
    </w:rPr>
  </w:style>
  <w:style w:type="paragraph" w:styleId="Piedepgina">
    <w:name w:val="footer"/>
    <w:basedOn w:val="Normal"/>
    <w:link w:val="PiedepginaCar"/>
    <w:uiPriority w:val="99"/>
    <w:unhideWhenUsed/>
    <w:rsid w:val="00A416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A416B0"/>
    <w:rPr>
      <w:rFonts w:ascii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B040C-F79F-470B-B460-ABD06AC2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6</Pages>
  <Words>3045</Words>
  <Characters>16753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Henry Lora Rodriguez</cp:lastModifiedBy>
  <cp:revision>139</cp:revision>
  <cp:lastPrinted>2017-06-29T14:45:00Z</cp:lastPrinted>
  <dcterms:created xsi:type="dcterms:W3CDTF">2017-05-17T20:23:00Z</dcterms:created>
  <dcterms:modified xsi:type="dcterms:W3CDTF">2017-09-11T20:15:00Z</dcterms:modified>
</cp:coreProperties>
</file>