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8C411A" w:rsidRPr="00875BEF" w:rsidRDefault="008C411A" w:rsidP="008C411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8C411A" w:rsidRPr="0094372D" w:rsidRDefault="008C411A" w:rsidP="008C411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722B20" w:rsidRPr="00D85E04" w:rsidRDefault="00722B20" w:rsidP="00722B20">
      <w:pPr>
        <w:rPr>
          <w:rFonts w:ascii="Tahoma" w:hAnsi="Tahoma" w:cs="Tahoma"/>
          <w:b/>
          <w:sz w:val="18"/>
          <w:szCs w:val="18"/>
          <w:lang w:val="es-CO"/>
        </w:rPr>
      </w:pPr>
      <w:bookmarkStart w:id="0" w:name="_GoBack"/>
      <w:bookmarkEnd w:id="0"/>
    </w:p>
    <w:p w:rsidR="008B7665" w:rsidRPr="00B77D00" w:rsidRDefault="008B7665" w:rsidP="00D8195A">
      <w:pPr>
        <w:pStyle w:val="Puesto"/>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00CA7577">
        <w:rPr>
          <w:rFonts w:ascii="Tahoma" w:hAnsi="Tahoma" w:cs="Tahoma"/>
          <w:b w:val="0"/>
          <w:bCs/>
          <w:sz w:val="18"/>
          <w:szCs w:val="18"/>
        </w:rPr>
        <w:t>S</w:t>
      </w:r>
      <w:r w:rsidRPr="00BF4F59">
        <w:rPr>
          <w:rFonts w:ascii="Tahoma" w:hAnsi="Tahoma" w:cs="Tahoma"/>
          <w:b w:val="0"/>
          <w:bCs/>
          <w:sz w:val="18"/>
          <w:szCs w:val="18"/>
        </w:rPr>
        <w:t>ente</w:t>
      </w:r>
      <w:r w:rsidRPr="00B77D00">
        <w:rPr>
          <w:rFonts w:ascii="Tahoma" w:hAnsi="Tahoma" w:cs="Tahoma"/>
          <w:b w:val="0"/>
          <w:bCs/>
          <w:color w:val="000000" w:themeColor="text1"/>
          <w:sz w:val="18"/>
          <w:szCs w:val="18"/>
        </w:rPr>
        <w:t xml:space="preserve">ncia </w:t>
      </w:r>
      <w:r w:rsidR="00722B20">
        <w:rPr>
          <w:rFonts w:ascii="Tahoma" w:hAnsi="Tahoma" w:cs="Tahoma"/>
          <w:b w:val="0"/>
          <w:bCs/>
          <w:color w:val="000000" w:themeColor="text1"/>
          <w:sz w:val="18"/>
          <w:szCs w:val="18"/>
        </w:rPr>
        <w:t>- 2ª instancia -</w:t>
      </w:r>
      <w:r w:rsidRPr="00B77D00">
        <w:rPr>
          <w:rFonts w:ascii="Tahoma" w:hAnsi="Tahoma" w:cs="Tahoma"/>
          <w:b w:val="0"/>
          <w:bCs/>
          <w:color w:val="000000" w:themeColor="text1"/>
          <w:sz w:val="18"/>
          <w:szCs w:val="18"/>
        </w:rPr>
        <w:t xml:space="preserve"> </w:t>
      </w:r>
      <w:r w:rsidR="001B1337">
        <w:rPr>
          <w:rFonts w:ascii="Tahoma" w:hAnsi="Tahoma" w:cs="Tahoma"/>
          <w:b w:val="0"/>
          <w:bCs/>
          <w:color w:val="000000" w:themeColor="text1"/>
          <w:sz w:val="18"/>
          <w:szCs w:val="18"/>
        </w:rPr>
        <w:t>12</w:t>
      </w:r>
      <w:r w:rsidR="00DC4895">
        <w:rPr>
          <w:rFonts w:ascii="Tahoma" w:hAnsi="Tahoma" w:cs="Tahoma"/>
          <w:b w:val="0"/>
          <w:bCs/>
          <w:color w:val="000000" w:themeColor="text1"/>
          <w:sz w:val="18"/>
          <w:szCs w:val="18"/>
        </w:rPr>
        <w:t xml:space="preserve"> de junio</w:t>
      </w:r>
      <w:r w:rsidR="006A1A7A" w:rsidRPr="00B77D00">
        <w:rPr>
          <w:rFonts w:ascii="Tahoma" w:hAnsi="Tahoma" w:cs="Tahoma"/>
          <w:b w:val="0"/>
          <w:bCs/>
          <w:color w:val="000000" w:themeColor="text1"/>
          <w:sz w:val="18"/>
          <w:szCs w:val="18"/>
        </w:rPr>
        <w:t xml:space="preserve"> del 2017</w:t>
      </w:r>
    </w:p>
    <w:p w:rsidR="00722B20" w:rsidRPr="00B77D00" w:rsidRDefault="00722B20" w:rsidP="00722B20">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Pr>
          <w:rFonts w:ascii="Tahoma" w:hAnsi="Tahoma" w:cs="Tahoma"/>
          <w:b w:val="0"/>
          <w:color w:val="000000" w:themeColor="text1"/>
          <w:sz w:val="18"/>
          <w:szCs w:val="18"/>
        </w:rPr>
        <w:t>– Modifica sentencia que accedió a las pretensiones</w:t>
      </w:r>
    </w:p>
    <w:p w:rsidR="008B7665" w:rsidRPr="00B77D00" w:rsidRDefault="008B7665" w:rsidP="00D8195A">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1B1337">
        <w:rPr>
          <w:rFonts w:ascii="Tahoma" w:hAnsi="Tahoma" w:cs="Tahoma"/>
          <w:b w:val="0"/>
          <w:color w:val="000000" w:themeColor="text1"/>
          <w:sz w:val="18"/>
          <w:szCs w:val="18"/>
        </w:rPr>
        <w:t>2</w:t>
      </w:r>
      <w:r w:rsidRPr="00B77D00">
        <w:rPr>
          <w:rFonts w:ascii="Tahoma" w:hAnsi="Tahoma" w:cs="Tahoma"/>
          <w:b w:val="0"/>
          <w:color w:val="000000" w:themeColor="text1"/>
          <w:sz w:val="18"/>
          <w:szCs w:val="18"/>
        </w:rPr>
        <w:t>-2014-00</w:t>
      </w:r>
      <w:r w:rsidR="008023EA">
        <w:rPr>
          <w:rFonts w:ascii="Tahoma" w:hAnsi="Tahoma" w:cs="Tahoma"/>
          <w:b w:val="0"/>
          <w:color w:val="000000" w:themeColor="text1"/>
          <w:sz w:val="18"/>
          <w:szCs w:val="18"/>
        </w:rPr>
        <w:t>335</w:t>
      </w:r>
      <w:r w:rsidRPr="00B77D00">
        <w:rPr>
          <w:rFonts w:ascii="Tahoma" w:hAnsi="Tahoma" w:cs="Tahoma"/>
          <w:b w:val="0"/>
          <w:color w:val="000000" w:themeColor="text1"/>
          <w:sz w:val="18"/>
          <w:szCs w:val="18"/>
        </w:rPr>
        <w:t>-0</w:t>
      </w:r>
      <w:r w:rsidR="006A1A7A" w:rsidRPr="00B77D00">
        <w:rPr>
          <w:rFonts w:ascii="Tahoma" w:hAnsi="Tahoma" w:cs="Tahoma"/>
          <w:b w:val="0"/>
          <w:color w:val="000000" w:themeColor="text1"/>
          <w:sz w:val="18"/>
          <w:szCs w:val="18"/>
        </w:rPr>
        <w:t>0</w:t>
      </w:r>
    </w:p>
    <w:p w:rsidR="008B7665" w:rsidRPr="00B77D00" w:rsidRDefault="008B7665" w:rsidP="00D8195A">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8023EA">
        <w:rPr>
          <w:rFonts w:ascii="Tahoma" w:hAnsi="Tahoma" w:cs="Tahoma"/>
          <w:b w:val="0"/>
          <w:color w:val="000000" w:themeColor="text1"/>
          <w:sz w:val="18"/>
          <w:szCs w:val="18"/>
        </w:rPr>
        <w:t>Luis Horacio Pulgar</w:t>
      </w:r>
      <w:r w:rsidR="001B1337">
        <w:rPr>
          <w:rFonts w:ascii="Tahoma" w:hAnsi="Tahoma" w:cs="Tahoma"/>
          <w:b w:val="0"/>
          <w:color w:val="000000" w:themeColor="text1"/>
          <w:sz w:val="18"/>
          <w:szCs w:val="18"/>
        </w:rPr>
        <w:t>í</w:t>
      </w:r>
      <w:r w:rsidR="008023EA">
        <w:rPr>
          <w:rFonts w:ascii="Tahoma" w:hAnsi="Tahoma" w:cs="Tahoma"/>
          <w:b w:val="0"/>
          <w:color w:val="000000" w:themeColor="text1"/>
          <w:sz w:val="18"/>
          <w:szCs w:val="18"/>
        </w:rPr>
        <w:t xml:space="preserve">n Giraldo </w:t>
      </w:r>
    </w:p>
    <w:p w:rsidR="008B7665" w:rsidRPr="00B77D00" w:rsidRDefault="008B7665" w:rsidP="00D8195A">
      <w:pPr>
        <w:pStyle w:val="Puesto"/>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Colpensiones  </w:t>
      </w:r>
    </w:p>
    <w:p w:rsidR="008B7665" w:rsidRPr="00B77D00" w:rsidRDefault="008B7665" w:rsidP="00D8195A">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8023EA">
        <w:rPr>
          <w:rFonts w:ascii="Tahoma" w:hAnsi="Tahoma" w:cs="Tahoma"/>
          <w:b w:val="0"/>
          <w:color w:val="000000" w:themeColor="text1"/>
          <w:sz w:val="18"/>
          <w:szCs w:val="18"/>
        </w:rPr>
        <w:t xml:space="preserve">Segundo </w:t>
      </w:r>
      <w:r w:rsidRPr="00B77D00">
        <w:rPr>
          <w:rFonts w:ascii="Tahoma" w:hAnsi="Tahoma" w:cs="Tahoma"/>
          <w:b w:val="0"/>
          <w:color w:val="000000" w:themeColor="text1"/>
          <w:sz w:val="18"/>
          <w:szCs w:val="18"/>
        </w:rPr>
        <w:t>Laboral del Circuito de Pereira</w:t>
      </w:r>
    </w:p>
    <w:p w:rsidR="008B7665" w:rsidRPr="00B77D00" w:rsidRDefault="008B7665" w:rsidP="00D8195A">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rsidR="00080145" w:rsidRPr="00BF4F59" w:rsidRDefault="008B7665" w:rsidP="00D8195A">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rsidR="00850A79" w:rsidRPr="002F3A73" w:rsidRDefault="00D8195A" w:rsidP="00D8195A">
      <w:pPr>
        <w:pStyle w:val="Puesto"/>
        <w:spacing w:line="240" w:lineRule="auto"/>
        <w:ind w:left="2126" w:hanging="2"/>
        <w:jc w:val="both"/>
        <w:rPr>
          <w:rFonts w:ascii="Tahoma" w:hAnsi="Tahoma" w:cs="Tahoma"/>
          <w:sz w:val="18"/>
          <w:szCs w:val="18"/>
        </w:rPr>
      </w:pPr>
      <w:r>
        <w:rPr>
          <w:rFonts w:ascii="Tahoma" w:hAnsi="Tahoma" w:cs="Tahoma"/>
          <w:sz w:val="18"/>
          <w:szCs w:val="18"/>
        </w:rPr>
        <w:t>Intereses moratorios artículo 141 Ley 100 de 1993</w:t>
      </w:r>
      <w:r w:rsidR="00850A79" w:rsidRPr="002F3A73">
        <w:rPr>
          <w:rFonts w:ascii="Tahoma" w:hAnsi="Tahoma" w:cs="Tahoma"/>
          <w:sz w:val="18"/>
          <w:szCs w:val="18"/>
        </w:rPr>
        <w:t xml:space="preserve">: </w:t>
      </w:r>
      <w:r w:rsidRPr="00D8195A">
        <w:rPr>
          <w:rFonts w:ascii="Tahoma" w:hAnsi="Tahoma" w:cs="Tahoma"/>
          <w:b w:val="0"/>
          <w:sz w:val="18"/>
          <w:szCs w:val="18"/>
        </w:rPr>
        <w:t xml:space="preserve">También se comparte la condena que por concepto de intereses moratorios se hiciera en la sentencia objeto de </w:t>
      </w:r>
      <w:r>
        <w:rPr>
          <w:rFonts w:ascii="Tahoma" w:hAnsi="Tahoma" w:cs="Tahoma"/>
          <w:b w:val="0"/>
          <w:sz w:val="18"/>
          <w:szCs w:val="18"/>
        </w:rPr>
        <w:t>revisión</w:t>
      </w:r>
      <w:r w:rsidRPr="00D8195A">
        <w:rPr>
          <w:rFonts w:ascii="Tahoma" w:hAnsi="Tahoma" w:cs="Tahoma"/>
          <w:b w:val="0"/>
          <w:sz w:val="18"/>
          <w:szCs w:val="18"/>
        </w:rPr>
        <w:t>, pues los 6 meses con los que contaba la demandada para reconocer y pagar la prestación solicitada el 26 de julio de 2013 se superaron ampliamente, empezando a contabilizarse dichos emolumentos desde el 27 de enero de 2014. Ahora, una vez efectuada la liquidación en esta sede se obtuvo un valor superior al calculado en primera instancia, lo cual obedece, básicamente, a que la A-quo tomó como fecha de pago aquella en la que se incluyó en nómina de pensionados al actor –julio de 2014-, más no cuando se  hizo el pago efectivo de la obligación</w:t>
      </w:r>
      <w:r>
        <w:rPr>
          <w:rFonts w:ascii="Tahoma" w:hAnsi="Tahoma" w:cs="Tahoma"/>
          <w:b w:val="0"/>
          <w:sz w:val="18"/>
          <w:szCs w:val="18"/>
        </w:rPr>
        <w:t>;</w:t>
      </w:r>
      <w:r w:rsidRPr="00D8195A">
        <w:rPr>
          <w:rFonts w:ascii="Tahoma" w:hAnsi="Tahoma" w:cs="Tahoma"/>
          <w:b w:val="0"/>
          <w:sz w:val="18"/>
          <w:szCs w:val="18"/>
        </w:rPr>
        <w:t xml:space="preserve"> </w:t>
      </w:r>
      <w:r>
        <w:rPr>
          <w:rFonts w:ascii="Tahoma" w:hAnsi="Tahoma" w:cs="Tahoma"/>
          <w:b w:val="0"/>
          <w:sz w:val="18"/>
          <w:szCs w:val="18"/>
        </w:rPr>
        <w:t>n</w:t>
      </w:r>
      <w:r w:rsidRPr="00D8195A">
        <w:rPr>
          <w:rFonts w:ascii="Tahoma" w:hAnsi="Tahoma" w:cs="Tahoma"/>
          <w:b w:val="0"/>
          <w:sz w:val="18"/>
          <w:szCs w:val="18"/>
        </w:rPr>
        <w:t>o obstante lo anterior, se mantendrá incólume la condena de primer grado por conocerse el presente asunto en virtud del grado jurisdiccional de consulta a favor de Colpensiones.</w:t>
      </w:r>
    </w:p>
    <w:p w:rsidR="003E491B" w:rsidRDefault="003E491B" w:rsidP="00D8195A">
      <w:pPr>
        <w:pStyle w:val="Ttulo4"/>
        <w:widowControl w:val="0"/>
        <w:tabs>
          <w:tab w:val="clear" w:pos="0"/>
        </w:tabs>
        <w:spacing w:line="276" w:lineRule="auto"/>
        <w:rPr>
          <w:rFonts w:ascii="Tahoma" w:hAnsi="Tahoma" w:cs="Tahoma"/>
          <w:bCs/>
          <w:szCs w:val="24"/>
          <w:lang w:eastAsia="es-MX"/>
        </w:rPr>
      </w:pPr>
    </w:p>
    <w:p w:rsidR="009627EF" w:rsidRPr="009627EF" w:rsidRDefault="009627EF" w:rsidP="00D8195A">
      <w:pPr>
        <w:rPr>
          <w:lang w:eastAsia="es-MX"/>
        </w:rPr>
      </w:pPr>
    </w:p>
    <w:p w:rsidR="008B7665" w:rsidRPr="004B5DE4" w:rsidRDefault="008B7665" w:rsidP="00D8195A">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8B7665" w:rsidRPr="004B5DE4" w:rsidRDefault="008B7665" w:rsidP="00D8195A">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8B7665" w:rsidRPr="007834F9" w:rsidRDefault="008B7665" w:rsidP="00D8195A">
      <w:pPr>
        <w:jc w:val="center"/>
        <w:rPr>
          <w:rFonts w:ascii="Tahoma" w:hAnsi="Tahoma" w:cs="Tahoma"/>
          <w:bCs/>
          <w:sz w:val="22"/>
          <w:szCs w:val="22"/>
        </w:rPr>
      </w:pPr>
    </w:p>
    <w:p w:rsidR="008B7665" w:rsidRDefault="008B7665" w:rsidP="00D8195A">
      <w:pPr>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8B7665" w:rsidRPr="004B5DE4" w:rsidRDefault="008B7665" w:rsidP="00D8195A">
      <w:pPr>
        <w:jc w:val="center"/>
        <w:rPr>
          <w:rFonts w:ascii="Tahoma" w:hAnsi="Tahoma" w:cs="Tahoma"/>
          <w:b/>
          <w:bCs/>
          <w:sz w:val="22"/>
          <w:szCs w:val="22"/>
        </w:rPr>
      </w:pPr>
    </w:p>
    <w:p w:rsidR="008B7665" w:rsidRPr="00B77D00" w:rsidRDefault="008B7665" w:rsidP="00D8195A">
      <w:pPr>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rsidR="008B7665" w:rsidRPr="00B77D00" w:rsidRDefault="008B7665" w:rsidP="00D8195A">
      <w:pPr>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075077">
        <w:rPr>
          <w:rFonts w:ascii="Tahoma" w:hAnsi="Tahoma" w:cs="Tahoma"/>
          <w:b/>
          <w:color w:val="000000" w:themeColor="text1"/>
          <w:sz w:val="22"/>
          <w:szCs w:val="22"/>
        </w:rPr>
        <w:t xml:space="preserve">Junio </w:t>
      </w:r>
      <w:r w:rsidR="001B1337">
        <w:rPr>
          <w:rFonts w:ascii="Tahoma" w:hAnsi="Tahoma" w:cs="Tahoma"/>
          <w:b/>
          <w:color w:val="000000" w:themeColor="text1"/>
          <w:sz w:val="22"/>
          <w:szCs w:val="22"/>
        </w:rPr>
        <w:t>12</w:t>
      </w:r>
      <w:r w:rsidR="004E4E43" w:rsidRPr="00B77D00">
        <w:rPr>
          <w:rFonts w:ascii="Tahoma" w:hAnsi="Tahoma" w:cs="Tahoma"/>
          <w:b/>
          <w:color w:val="000000" w:themeColor="text1"/>
          <w:sz w:val="22"/>
          <w:szCs w:val="22"/>
        </w:rPr>
        <w:t xml:space="preserve"> de 2017</w:t>
      </w:r>
      <w:r w:rsidRPr="00B77D00">
        <w:rPr>
          <w:rFonts w:ascii="Tahoma" w:hAnsi="Tahoma" w:cs="Tahoma"/>
          <w:b/>
          <w:color w:val="000000" w:themeColor="text1"/>
          <w:sz w:val="22"/>
          <w:szCs w:val="22"/>
        </w:rPr>
        <w:t>)</w:t>
      </w:r>
    </w:p>
    <w:p w:rsidR="008B7665" w:rsidRPr="00870A6F" w:rsidRDefault="008B7665" w:rsidP="00D8195A">
      <w:pPr>
        <w:jc w:val="center"/>
        <w:rPr>
          <w:rFonts w:ascii="Tahoma" w:hAnsi="Tahoma" w:cs="Tahoma"/>
          <w:b/>
          <w:sz w:val="22"/>
          <w:szCs w:val="22"/>
        </w:rPr>
      </w:pPr>
    </w:p>
    <w:p w:rsidR="008B7665" w:rsidRPr="004B5DE4" w:rsidRDefault="008B7665" w:rsidP="00D8195A">
      <w:pPr>
        <w:pStyle w:val="Ttulo5"/>
        <w:spacing w:line="240"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8B7665" w:rsidRPr="007834F9" w:rsidRDefault="008B7665" w:rsidP="00D8195A">
      <w:pPr>
        <w:jc w:val="both"/>
        <w:rPr>
          <w:rFonts w:ascii="Tahoma" w:hAnsi="Tahoma" w:cs="Tahoma"/>
          <w:sz w:val="22"/>
          <w:szCs w:val="22"/>
          <w:lang w:val="es-ES_tradnl"/>
        </w:rPr>
      </w:pPr>
      <w:r w:rsidRPr="007834F9">
        <w:rPr>
          <w:rFonts w:ascii="Tahoma" w:hAnsi="Tahoma" w:cs="Tahoma"/>
          <w:b/>
          <w:sz w:val="22"/>
          <w:szCs w:val="22"/>
        </w:rPr>
        <w:tab/>
      </w:r>
    </w:p>
    <w:p w:rsidR="008B7665" w:rsidRPr="00540C5F" w:rsidRDefault="008B7665" w:rsidP="00D8195A">
      <w:pPr>
        <w:spacing w:line="276" w:lineRule="auto"/>
        <w:ind w:firstLine="708"/>
        <w:jc w:val="both"/>
        <w:rPr>
          <w:rFonts w:ascii="Tahoma" w:hAnsi="Tahoma" w:cs="Tahoma"/>
          <w:sz w:val="22"/>
          <w:szCs w:val="22"/>
        </w:rPr>
      </w:pPr>
      <w:r w:rsidRPr="00976E72">
        <w:rPr>
          <w:rFonts w:ascii="Tahoma" w:hAnsi="Tahoma" w:cs="Tahoma"/>
          <w:color w:val="000000" w:themeColor="text1"/>
          <w:sz w:val="22"/>
          <w:szCs w:val="22"/>
          <w:lang w:val="es-ES_tradnl"/>
        </w:rPr>
        <w:t xml:space="preserve">Siendo </w:t>
      </w:r>
      <w:r w:rsidRPr="00C1542B">
        <w:rPr>
          <w:rFonts w:ascii="Tahoma" w:hAnsi="Tahoma" w:cs="Tahoma"/>
          <w:color w:val="000000" w:themeColor="text1"/>
          <w:sz w:val="22"/>
          <w:szCs w:val="22"/>
          <w:lang w:val="es-ES_tradnl"/>
        </w:rPr>
        <w:t>las</w:t>
      </w:r>
      <w:r w:rsidR="00414ADA">
        <w:rPr>
          <w:rFonts w:ascii="Tahoma" w:hAnsi="Tahoma" w:cs="Tahoma"/>
          <w:color w:val="000000" w:themeColor="text1"/>
          <w:sz w:val="22"/>
          <w:szCs w:val="22"/>
          <w:lang w:val="es-ES_tradnl"/>
        </w:rPr>
        <w:t xml:space="preserve"> </w:t>
      </w:r>
      <w:r w:rsidR="001B1337">
        <w:rPr>
          <w:rFonts w:ascii="Tahoma" w:hAnsi="Tahoma" w:cs="Tahoma"/>
          <w:color w:val="000000" w:themeColor="text1"/>
          <w:sz w:val="22"/>
          <w:szCs w:val="22"/>
          <w:lang w:val="es-ES_tradnl"/>
        </w:rPr>
        <w:t>7:30</w:t>
      </w:r>
      <w:r w:rsidR="005B066A" w:rsidRPr="00C1542B">
        <w:rPr>
          <w:rFonts w:ascii="Tahoma" w:hAnsi="Tahoma" w:cs="Tahoma"/>
          <w:color w:val="000000" w:themeColor="text1"/>
          <w:sz w:val="22"/>
          <w:szCs w:val="22"/>
          <w:lang w:val="es-ES_tradnl"/>
        </w:rPr>
        <w:t xml:space="preserve"> </w:t>
      </w:r>
      <w:r w:rsidR="004E4E43" w:rsidRPr="00C1542B">
        <w:rPr>
          <w:rFonts w:ascii="Tahoma" w:hAnsi="Tahoma" w:cs="Tahoma"/>
          <w:color w:val="000000" w:themeColor="text1"/>
          <w:sz w:val="22"/>
          <w:szCs w:val="22"/>
          <w:lang w:val="es-ES_tradnl"/>
        </w:rPr>
        <w:t>a</w:t>
      </w:r>
      <w:r w:rsidR="0072543C" w:rsidRPr="00C1542B">
        <w:rPr>
          <w:rFonts w:ascii="Tahoma" w:hAnsi="Tahoma" w:cs="Tahoma"/>
          <w:color w:val="000000" w:themeColor="text1"/>
          <w:sz w:val="22"/>
          <w:szCs w:val="22"/>
          <w:lang w:val="es-ES_tradnl"/>
        </w:rPr>
        <w:t>.m</w:t>
      </w:r>
      <w:r w:rsidR="0072543C" w:rsidRPr="00976E72">
        <w:rPr>
          <w:rFonts w:ascii="Tahoma" w:hAnsi="Tahoma" w:cs="Tahoma"/>
          <w:color w:val="000000" w:themeColor="text1"/>
          <w:sz w:val="22"/>
          <w:szCs w:val="22"/>
          <w:lang w:val="es-ES_tradnl"/>
        </w:rPr>
        <w:t xml:space="preserve"> </w:t>
      </w:r>
      <w:r w:rsidRPr="00976E72">
        <w:rPr>
          <w:rFonts w:ascii="Tahoma" w:hAnsi="Tahoma" w:cs="Tahoma"/>
          <w:color w:val="000000" w:themeColor="text1"/>
          <w:sz w:val="22"/>
          <w:szCs w:val="22"/>
          <w:lang w:val="es-ES_tradnl"/>
        </w:rPr>
        <w:t xml:space="preserve">de </w:t>
      </w:r>
      <w:r w:rsidRPr="00540C5F">
        <w:rPr>
          <w:rFonts w:ascii="Tahoma" w:hAnsi="Tahoma" w:cs="Tahoma"/>
          <w:sz w:val="22"/>
          <w:szCs w:val="22"/>
          <w:lang w:val="es-ES_tradnl"/>
        </w:rPr>
        <w:t xml:space="preserve">hoy, </w:t>
      </w:r>
      <w:r w:rsidR="00414593">
        <w:rPr>
          <w:rFonts w:ascii="Tahoma" w:hAnsi="Tahoma" w:cs="Tahoma"/>
          <w:sz w:val="22"/>
          <w:szCs w:val="22"/>
          <w:lang w:val="es-ES_tradnl"/>
        </w:rPr>
        <w:t>12</w:t>
      </w:r>
      <w:r w:rsidR="00976E72" w:rsidRPr="00540C5F">
        <w:rPr>
          <w:rFonts w:ascii="Tahoma" w:hAnsi="Tahoma" w:cs="Tahoma"/>
          <w:sz w:val="22"/>
          <w:szCs w:val="22"/>
          <w:lang w:val="es-ES_tradnl"/>
        </w:rPr>
        <w:t xml:space="preserve"> de </w:t>
      </w:r>
      <w:r w:rsidR="00075077">
        <w:rPr>
          <w:rFonts w:ascii="Tahoma" w:hAnsi="Tahoma" w:cs="Tahoma"/>
          <w:sz w:val="22"/>
          <w:szCs w:val="22"/>
          <w:lang w:val="es-ES_tradnl"/>
        </w:rPr>
        <w:t>junio</w:t>
      </w:r>
      <w:r w:rsidR="004E4E43" w:rsidRPr="00540C5F">
        <w:rPr>
          <w:rFonts w:ascii="Tahoma" w:hAnsi="Tahoma" w:cs="Tahoma"/>
          <w:sz w:val="22"/>
          <w:szCs w:val="22"/>
          <w:lang w:val="es-ES_tradnl"/>
        </w:rPr>
        <w:t xml:space="preserve"> de 2017</w:t>
      </w:r>
      <w:r w:rsidRPr="00540C5F">
        <w:rPr>
          <w:rFonts w:ascii="Tahoma" w:hAnsi="Tahoma" w:cs="Tahoma"/>
          <w:sz w:val="22"/>
          <w:szCs w:val="22"/>
          <w:lang w:val="es-ES_tradnl"/>
        </w:rPr>
        <w:t>, la Sala de Decisión Laboral No. 1 del Tribunal Superior de Pereira se constituye en audiencia pública de juzgamiento en el proceso ordinario laboral instaurado por</w:t>
      </w:r>
      <w:r w:rsidR="000C130A">
        <w:rPr>
          <w:rFonts w:ascii="Tahoma" w:hAnsi="Tahoma" w:cs="Tahoma"/>
          <w:sz w:val="22"/>
          <w:szCs w:val="22"/>
          <w:lang w:val="es-ES_tradnl"/>
        </w:rPr>
        <w:t xml:space="preserve"> </w:t>
      </w:r>
      <w:r w:rsidR="000C130A" w:rsidRPr="00CB765D">
        <w:rPr>
          <w:rFonts w:ascii="Tahoma" w:hAnsi="Tahoma" w:cs="Tahoma"/>
          <w:b/>
          <w:sz w:val="22"/>
          <w:szCs w:val="22"/>
          <w:lang w:val="es-ES_tradnl"/>
        </w:rPr>
        <w:t>Lu</w:t>
      </w:r>
      <w:r w:rsidR="00CB765D">
        <w:rPr>
          <w:rFonts w:ascii="Tahoma" w:hAnsi="Tahoma" w:cs="Tahoma"/>
          <w:b/>
          <w:sz w:val="22"/>
          <w:szCs w:val="22"/>
          <w:lang w:val="es-ES_tradnl"/>
        </w:rPr>
        <w:t>í</w:t>
      </w:r>
      <w:r w:rsidR="000C130A" w:rsidRPr="00CB765D">
        <w:rPr>
          <w:rFonts w:ascii="Tahoma" w:hAnsi="Tahoma" w:cs="Tahoma"/>
          <w:b/>
          <w:sz w:val="22"/>
          <w:szCs w:val="22"/>
          <w:lang w:val="es-ES_tradnl"/>
        </w:rPr>
        <w:t>s Horacio Pulgarín Giraldo</w:t>
      </w:r>
      <w:r w:rsidR="000C130A">
        <w:rPr>
          <w:rFonts w:ascii="Tahoma" w:hAnsi="Tahoma" w:cs="Tahoma"/>
          <w:sz w:val="22"/>
          <w:szCs w:val="22"/>
          <w:lang w:val="es-ES_tradnl"/>
        </w:rPr>
        <w:t xml:space="preserve"> </w:t>
      </w:r>
      <w:r w:rsidR="000F0E76" w:rsidRPr="00540C5F">
        <w:rPr>
          <w:rFonts w:ascii="Tahoma" w:hAnsi="Tahoma" w:cs="Tahoma"/>
          <w:sz w:val="22"/>
          <w:szCs w:val="22"/>
          <w:lang w:val="es-ES_tradnl"/>
        </w:rPr>
        <w:t>en</w:t>
      </w:r>
      <w:r w:rsidR="00446A47">
        <w:rPr>
          <w:rFonts w:ascii="Tahoma" w:hAnsi="Tahoma" w:cs="Tahoma"/>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Administradora Colombiana de Pensiones –</w:t>
      </w:r>
      <w:r w:rsidR="00CB765D">
        <w:rPr>
          <w:rFonts w:ascii="Tahoma" w:hAnsi="Tahoma" w:cs="Tahoma"/>
          <w:b/>
          <w:sz w:val="22"/>
          <w:szCs w:val="22"/>
          <w:lang w:val="es-ES_tradnl"/>
        </w:rPr>
        <w:t xml:space="preserve"> </w:t>
      </w:r>
      <w:r w:rsidR="00B56BEF" w:rsidRPr="00540C5F">
        <w:rPr>
          <w:rFonts w:ascii="Tahoma" w:hAnsi="Tahoma" w:cs="Tahoma"/>
          <w:b/>
          <w:sz w:val="22"/>
          <w:szCs w:val="22"/>
          <w:lang w:val="es-ES_tradnl"/>
        </w:rPr>
        <w:t>Colpensiones</w:t>
      </w:r>
      <w:r w:rsidR="00F21123" w:rsidRPr="00540C5F">
        <w:rPr>
          <w:rFonts w:ascii="Tahoma" w:hAnsi="Tahoma" w:cs="Tahoma"/>
          <w:b/>
          <w:sz w:val="22"/>
          <w:szCs w:val="22"/>
          <w:lang w:val="es-ES_tradnl"/>
        </w:rPr>
        <w:t>.</w:t>
      </w:r>
    </w:p>
    <w:p w:rsidR="008B7665" w:rsidRPr="00540C5F" w:rsidRDefault="008B7665" w:rsidP="00D8195A">
      <w:pPr>
        <w:ind w:firstLine="708"/>
        <w:jc w:val="both"/>
        <w:rPr>
          <w:rFonts w:ascii="Tahoma" w:hAnsi="Tahoma" w:cs="Tahoma"/>
          <w:sz w:val="22"/>
          <w:szCs w:val="22"/>
        </w:rPr>
      </w:pPr>
    </w:p>
    <w:p w:rsidR="008B7665" w:rsidRPr="00540C5F" w:rsidRDefault="008B7665" w:rsidP="00D8195A">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rsidR="008B7665" w:rsidRPr="00C75CBF" w:rsidRDefault="008B7665" w:rsidP="00D8195A">
      <w:pPr>
        <w:ind w:firstLine="1122"/>
        <w:jc w:val="both"/>
        <w:rPr>
          <w:rFonts w:ascii="Tahoma" w:hAnsi="Tahoma" w:cs="Tahoma"/>
          <w:caps/>
          <w:sz w:val="22"/>
          <w:szCs w:val="22"/>
          <w:lang w:val="es-ES_tradnl"/>
        </w:rPr>
      </w:pPr>
    </w:p>
    <w:p w:rsidR="008B7665" w:rsidRPr="00C75CBF" w:rsidRDefault="00581FD6" w:rsidP="00D8195A">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8B7665" w:rsidRPr="007834F9" w:rsidRDefault="008B7665" w:rsidP="00D8195A">
      <w:pPr>
        <w:widowControl w:val="0"/>
        <w:autoSpaceDE w:val="0"/>
        <w:autoSpaceDN w:val="0"/>
        <w:adjustRightInd w:val="0"/>
        <w:jc w:val="both"/>
        <w:rPr>
          <w:rFonts w:ascii="Tahoma" w:hAnsi="Tahoma" w:cs="Tahoma"/>
          <w:sz w:val="22"/>
          <w:szCs w:val="22"/>
        </w:rPr>
      </w:pPr>
    </w:p>
    <w:p w:rsidR="008B7665" w:rsidRPr="007834F9" w:rsidRDefault="008B7665" w:rsidP="00D8195A">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8B7665" w:rsidRPr="007834F9" w:rsidRDefault="008B7665" w:rsidP="00D8195A">
      <w:pPr>
        <w:ind w:firstLine="708"/>
        <w:jc w:val="both"/>
        <w:rPr>
          <w:rFonts w:ascii="Tahoma" w:hAnsi="Tahoma" w:cs="Tahoma"/>
          <w:sz w:val="22"/>
          <w:szCs w:val="22"/>
          <w:lang w:val="es-ES_tradnl"/>
        </w:rPr>
      </w:pPr>
    </w:p>
    <w:p w:rsidR="008B7665" w:rsidRPr="007834F9" w:rsidRDefault="008B7665" w:rsidP="00D8195A">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8B7665" w:rsidRPr="007834F9" w:rsidRDefault="008B7665" w:rsidP="00D8195A">
      <w:pPr>
        <w:widowControl w:val="0"/>
        <w:autoSpaceDE w:val="0"/>
        <w:autoSpaceDN w:val="0"/>
        <w:adjustRightInd w:val="0"/>
        <w:jc w:val="center"/>
        <w:rPr>
          <w:rFonts w:ascii="Tahoma" w:hAnsi="Tahoma" w:cs="Tahoma"/>
          <w:b/>
          <w:sz w:val="22"/>
          <w:szCs w:val="22"/>
        </w:rPr>
      </w:pPr>
    </w:p>
    <w:p w:rsidR="00B56BEF" w:rsidRPr="00540C5F" w:rsidRDefault="008B7665" w:rsidP="00D8195A">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yecto, procede la Sala a resolver el grado jurisdiccional de consulta</w:t>
      </w:r>
      <w:r w:rsidR="00B56BEF" w:rsidRPr="00540C5F">
        <w:rPr>
          <w:rFonts w:ascii="Tahoma" w:hAnsi="Tahoma" w:cs="Tahoma"/>
          <w:sz w:val="22"/>
          <w:szCs w:val="22"/>
        </w:rPr>
        <w:t xml:space="preserve"> de la </w:t>
      </w:r>
      <w:r w:rsidRPr="00540C5F">
        <w:rPr>
          <w:rFonts w:ascii="Tahoma" w:hAnsi="Tahoma" w:cs="Tahoma"/>
          <w:sz w:val="22"/>
          <w:szCs w:val="22"/>
        </w:rPr>
        <w:t xml:space="preserve">sentencia emitida por el Juzgado </w:t>
      </w:r>
      <w:r w:rsidR="00BA36DA">
        <w:rPr>
          <w:rFonts w:ascii="Tahoma" w:hAnsi="Tahoma" w:cs="Tahoma"/>
          <w:sz w:val="22"/>
          <w:szCs w:val="22"/>
        </w:rPr>
        <w:t>Segundo</w:t>
      </w:r>
      <w:r w:rsidRPr="00540C5F">
        <w:rPr>
          <w:rFonts w:ascii="Tahoma" w:hAnsi="Tahoma" w:cs="Tahoma"/>
          <w:sz w:val="22"/>
          <w:szCs w:val="22"/>
        </w:rPr>
        <w:t xml:space="preserve"> Laboral del Circuito de Pereira el </w:t>
      </w:r>
      <w:r w:rsidR="00BA36DA">
        <w:rPr>
          <w:rFonts w:ascii="Tahoma" w:hAnsi="Tahoma" w:cs="Tahoma"/>
          <w:sz w:val="22"/>
          <w:szCs w:val="22"/>
        </w:rPr>
        <w:t>21 de abril</w:t>
      </w:r>
      <w:r w:rsidR="006E6687" w:rsidRPr="00540C5F">
        <w:rPr>
          <w:rFonts w:ascii="Tahoma" w:hAnsi="Tahoma" w:cs="Tahoma"/>
          <w:sz w:val="22"/>
          <w:szCs w:val="22"/>
        </w:rPr>
        <w:t xml:space="preserve"> </w:t>
      </w:r>
      <w:r w:rsidR="004E4E43" w:rsidRPr="00540C5F">
        <w:rPr>
          <w:rFonts w:ascii="Tahoma" w:hAnsi="Tahoma" w:cs="Tahoma"/>
          <w:sz w:val="22"/>
          <w:szCs w:val="22"/>
        </w:rPr>
        <w:t>de</w:t>
      </w:r>
      <w:r w:rsidR="00F63478">
        <w:rPr>
          <w:rFonts w:ascii="Tahoma" w:hAnsi="Tahoma" w:cs="Tahoma"/>
          <w:sz w:val="22"/>
          <w:szCs w:val="22"/>
        </w:rPr>
        <w:t>l</w:t>
      </w:r>
      <w:r w:rsidR="004E4E43" w:rsidRPr="00540C5F">
        <w:rPr>
          <w:rFonts w:ascii="Tahoma" w:hAnsi="Tahoma" w:cs="Tahoma"/>
          <w:sz w:val="22"/>
          <w:szCs w:val="22"/>
        </w:rPr>
        <w:t xml:space="preserve"> 20</w:t>
      </w:r>
      <w:r w:rsidR="00AF3379">
        <w:rPr>
          <w:rFonts w:ascii="Tahoma" w:hAnsi="Tahoma" w:cs="Tahoma"/>
          <w:sz w:val="22"/>
          <w:szCs w:val="22"/>
        </w:rPr>
        <w:t>16</w:t>
      </w:r>
      <w:r w:rsidRPr="00540C5F">
        <w:rPr>
          <w:rFonts w:ascii="Tahoma" w:hAnsi="Tahoma" w:cs="Tahoma"/>
          <w:sz w:val="22"/>
          <w:szCs w:val="22"/>
        </w:rPr>
        <w:t xml:space="preserve">, que </w:t>
      </w:r>
      <w:r w:rsidRPr="00F63478">
        <w:rPr>
          <w:rFonts w:ascii="Tahoma" w:hAnsi="Tahoma" w:cs="Tahoma"/>
          <w:color w:val="000000" w:themeColor="text1"/>
          <w:sz w:val="22"/>
          <w:szCs w:val="22"/>
        </w:rPr>
        <w:t>resultara desfavorable</w:t>
      </w:r>
      <w:r w:rsidR="00A010A9">
        <w:rPr>
          <w:rFonts w:ascii="Tahoma" w:hAnsi="Tahoma" w:cs="Tahoma"/>
          <w:color w:val="000000" w:themeColor="text1"/>
          <w:sz w:val="22"/>
          <w:szCs w:val="22"/>
        </w:rPr>
        <w:t xml:space="preserve"> a </w:t>
      </w:r>
      <w:r w:rsidR="00F63478" w:rsidRPr="00F63478">
        <w:rPr>
          <w:rFonts w:ascii="Tahoma" w:hAnsi="Tahoma" w:cs="Tahoma"/>
          <w:color w:val="000000" w:themeColor="text1"/>
          <w:sz w:val="22"/>
          <w:szCs w:val="22"/>
        </w:rPr>
        <w:t>Colpensiones</w:t>
      </w:r>
      <w:r w:rsidR="00A010A9">
        <w:rPr>
          <w:rFonts w:ascii="Tahoma" w:hAnsi="Tahoma" w:cs="Tahoma"/>
          <w:color w:val="000000" w:themeColor="text1"/>
          <w:sz w:val="22"/>
          <w:szCs w:val="22"/>
        </w:rPr>
        <w:t>,</w:t>
      </w:r>
      <w:r w:rsidRPr="00540C5F">
        <w:rPr>
          <w:rFonts w:ascii="Tahoma" w:hAnsi="Tahoma" w:cs="Tahoma"/>
          <w:sz w:val="22"/>
          <w:szCs w:val="22"/>
        </w:rPr>
        <w:t xml:space="preserve"> dentro del proceso ordinario laboral reseñado con anterioridad. </w:t>
      </w:r>
    </w:p>
    <w:p w:rsidR="003E491B" w:rsidRPr="00540C5F" w:rsidRDefault="003E491B" w:rsidP="00D8195A">
      <w:pPr>
        <w:widowControl w:val="0"/>
        <w:autoSpaceDE w:val="0"/>
        <w:autoSpaceDN w:val="0"/>
        <w:adjustRightInd w:val="0"/>
        <w:spacing w:line="276" w:lineRule="auto"/>
        <w:ind w:firstLine="708"/>
        <w:jc w:val="both"/>
        <w:rPr>
          <w:rFonts w:ascii="Tahoma" w:hAnsi="Tahoma" w:cs="Tahoma"/>
          <w:caps/>
          <w:sz w:val="22"/>
          <w:szCs w:val="22"/>
        </w:rPr>
      </w:pPr>
    </w:p>
    <w:p w:rsidR="008B7665" w:rsidRPr="00540C5F" w:rsidRDefault="00581FD6" w:rsidP="00D8195A">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rsidR="008B7665" w:rsidRPr="00540C5F" w:rsidRDefault="008B7665" w:rsidP="00D8195A">
      <w:pPr>
        <w:widowControl w:val="0"/>
        <w:tabs>
          <w:tab w:val="left" w:pos="748"/>
        </w:tabs>
        <w:autoSpaceDE w:val="0"/>
        <w:autoSpaceDN w:val="0"/>
        <w:adjustRightInd w:val="0"/>
        <w:ind w:left="748"/>
        <w:jc w:val="center"/>
        <w:rPr>
          <w:rFonts w:ascii="Tahoma" w:hAnsi="Tahoma" w:cs="Tahoma"/>
          <w:b/>
          <w:bCs/>
          <w:sz w:val="22"/>
          <w:szCs w:val="22"/>
        </w:rPr>
      </w:pPr>
    </w:p>
    <w:p w:rsidR="00CB765D" w:rsidRDefault="008B7665" w:rsidP="00D8195A">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r>
      <w:r w:rsidR="004F45E8" w:rsidRPr="007834F9">
        <w:rPr>
          <w:rFonts w:ascii="Tahoma" w:hAnsi="Tahoma" w:cs="Tahoma"/>
          <w:sz w:val="22"/>
          <w:szCs w:val="22"/>
        </w:rPr>
        <w:t>De acuerdo a lo expuesto en la</w:t>
      </w:r>
      <w:r w:rsidR="004F45E8">
        <w:rPr>
          <w:rFonts w:ascii="Tahoma" w:hAnsi="Tahoma" w:cs="Tahoma"/>
          <w:sz w:val="22"/>
          <w:szCs w:val="22"/>
        </w:rPr>
        <w:t xml:space="preserve"> sentencia de primera instancia</w:t>
      </w:r>
      <w:r w:rsidR="004F45E8" w:rsidRPr="007834F9">
        <w:rPr>
          <w:rFonts w:ascii="Tahoma" w:hAnsi="Tahoma" w:cs="Tahoma"/>
          <w:sz w:val="22"/>
          <w:szCs w:val="22"/>
        </w:rPr>
        <w:t xml:space="preserve">, le </w:t>
      </w:r>
      <w:r w:rsidR="004F45E8" w:rsidRPr="00581FD6">
        <w:rPr>
          <w:rFonts w:ascii="Tahoma" w:hAnsi="Tahoma" w:cs="Tahoma"/>
          <w:sz w:val="22"/>
          <w:szCs w:val="22"/>
        </w:rPr>
        <w:t>corresponde a la Sala determinar</w:t>
      </w:r>
      <w:r w:rsidR="00CB765D">
        <w:rPr>
          <w:rFonts w:ascii="Tahoma" w:hAnsi="Tahoma" w:cs="Tahoma"/>
          <w:sz w:val="22"/>
          <w:szCs w:val="22"/>
        </w:rPr>
        <w:t>: i) el monto del IBL a que tiene derecho el señor Luís Horacio Pulgarín; ii)</w:t>
      </w:r>
      <w:r w:rsidR="0092603C">
        <w:rPr>
          <w:rFonts w:ascii="Tahoma" w:hAnsi="Tahoma" w:cs="Tahoma"/>
          <w:sz w:val="22"/>
          <w:szCs w:val="22"/>
        </w:rPr>
        <w:t xml:space="preserve"> en caso de ser superior al reconocido por Colpensiones, a cuánto ascienden las diferencias dejadas de cancelar por dicha entidad y, iii) si hay lugar al reconocimiento de los intereses moratorios consagrados en el artículo 141 de la Ley 100 de 1993.</w:t>
      </w:r>
    </w:p>
    <w:p w:rsidR="004F45E8" w:rsidRDefault="004F45E8" w:rsidP="00D8195A">
      <w:pPr>
        <w:tabs>
          <w:tab w:val="left" w:pos="567"/>
        </w:tabs>
        <w:spacing w:line="276" w:lineRule="auto"/>
        <w:jc w:val="both"/>
        <w:rPr>
          <w:rFonts w:ascii="Tahoma" w:hAnsi="Tahoma" w:cs="Tahoma"/>
          <w:sz w:val="22"/>
          <w:szCs w:val="22"/>
        </w:rPr>
      </w:pPr>
    </w:p>
    <w:p w:rsidR="008B7665" w:rsidRPr="00540C5F" w:rsidRDefault="00581FD6" w:rsidP="00D8195A">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rsidR="008B7665" w:rsidRPr="00540C5F" w:rsidRDefault="008B7665" w:rsidP="00D8195A">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3F6ACE" w:rsidRDefault="00084EAD"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626649">
        <w:rPr>
          <w:rFonts w:ascii="Tahoma" w:hAnsi="Tahoma" w:cs="Tahoma"/>
          <w:sz w:val="22"/>
          <w:szCs w:val="22"/>
        </w:rPr>
        <w:t>El</w:t>
      </w:r>
      <w:r>
        <w:rPr>
          <w:rFonts w:ascii="Tahoma" w:hAnsi="Tahoma" w:cs="Tahoma"/>
          <w:sz w:val="22"/>
          <w:szCs w:val="22"/>
        </w:rPr>
        <w:t xml:space="preserve"> </w:t>
      </w:r>
      <w:r w:rsidRPr="00626649">
        <w:rPr>
          <w:rFonts w:ascii="Tahoma" w:hAnsi="Tahoma" w:cs="Tahoma"/>
          <w:sz w:val="22"/>
          <w:szCs w:val="22"/>
        </w:rPr>
        <w:t>citado demandante solicit</w:t>
      </w:r>
      <w:r w:rsidR="00A617AE">
        <w:rPr>
          <w:rFonts w:ascii="Tahoma" w:hAnsi="Tahoma" w:cs="Tahoma"/>
          <w:sz w:val="22"/>
          <w:szCs w:val="22"/>
        </w:rPr>
        <w:t>ó</w:t>
      </w:r>
      <w:r>
        <w:rPr>
          <w:rFonts w:ascii="Tahoma" w:hAnsi="Tahoma" w:cs="Tahoma"/>
          <w:sz w:val="22"/>
          <w:szCs w:val="22"/>
        </w:rPr>
        <w:t xml:space="preserve"> </w:t>
      </w:r>
      <w:r w:rsidR="00A617AE">
        <w:rPr>
          <w:rFonts w:ascii="Tahoma" w:hAnsi="Tahoma" w:cs="Tahoma"/>
          <w:sz w:val="22"/>
          <w:szCs w:val="22"/>
        </w:rPr>
        <w:t xml:space="preserve">inicialmente </w:t>
      </w:r>
      <w:r w:rsidRPr="00626649">
        <w:rPr>
          <w:rFonts w:ascii="Tahoma" w:hAnsi="Tahoma" w:cs="Tahoma"/>
          <w:sz w:val="22"/>
          <w:szCs w:val="22"/>
        </w:rPr>
        <w:t>que se</w:t>
      </w:r>
      <w:r w:rsidR="00F14FCB">
        <w:rPr>
          <w:rFonts w:ascii="Tahoma" w:hAnsi="Tahoma" w:cs="Tahoma"/>
          <w:sz w:val="22"/>
          <w:szCs w:val="22"/>
        </w:rPr>
        <w:t xml:space="preserve"> </w:t>
      </w:r>
      <w:r w:rsidR="003F6ACE">
        <w:rPr>
          <w:rFonts w:ascii="Tahoma" w:hAnsi="Tahoma" w:cs="Tahoma"/>
          <w:sz w:val="22"/>
          <w:szCs w:val="22"/>
        </w:rPr>
        <w:t xml:space="preserve">condenara a Colpensiones </w:t>
      </w:r>
      <w:r w:rsidR="003F6ACE">
        <w:rPr>
          <w:rFonts w:ascii="Tahoma" w:hAnsi="Tahoma" w:cs="Tahoma"/>
          <w:color w:val="000000" w:themeColor="text1"/>
          <w:sz w:val="22"/>
          <w:szCs w:val="22"/>
        </w:rPr>
        <w:t>a</w:t>
      </w:r>
      <w:r w:rsidR="003F6ACE" w:rsidRPr="00D7670C">
        <w:rPr>
          <w:rFonts w:ascii="Tahoma" w:hAnsi="Tahoma" w:cs="Tahoma"/>
          <w:color w:val="000000" w:themeColor="text1"/>
          <w:sz w:val="22"/>
          <w:szCs w:val="22"/>
        </w:rPr>
        <w:t xml:space="preserve"> reconocer y pagar</w:t>
      </w:r>
      <w:r w:rsidR="003F6ACE" w:rsidRPr="003F6ACE">
        <w:rPr>
          <w:rFonts w:ascii="Tahoma" w:hAnsi="Tahoma" w:cs="Tahoma"/>
          <w:sz w:val="22"/>
          <w:szCs w:val="22"/>
        </w:rPr>
        <w:t xml:space="preserve"> </w:t>
      </w:r>
      <w:r w:rsidR="003F6ACE">
        <w:rPr>
          <w:rFonts w:ascii="Tahoma" w:hAnsi="Tahoma" w:cs="Tahoma"/>
          <w:sz w:val="22"/>
          <w:szCs w:val="22"/>
        </w:rPr>
        <w:t>la pensión de vejez</w:t>
      </w:r>
      <w:r w:rsidR="003F6ACE" w:rsidRPr="003F6ACE">
        <w:rPr>
          <w:rFonts w:ascii="Tahoma" w:hAnsi="Tahoma" w:cs="Tahoma"/>
          <w:color w:val="000000" w:themeColor="text1"/>
          <w:sz w:val="22"/>
          <w:szCs w:val="22"/>
        </w:rPr>
        <w:t xml:space="preserve"> </w:t>
      </w:r>
      <w:r w:rsidR="003F6ACE">
        <w:rPr>
          <w:rFonts w:ascii="Tahoma" w:hAnsi="Tahoma" w:cs="Tahoma"/>
          <w:color w:val="000000" w:themeColor="text1"/>
          <w:sz w:val="22"/>
          <w:szCs w:val="22"/>
        </w:rPr>
        <w:t xml:space="preserve">consagrada en el </w:t>
      </w:r>
      <w:r w:rsidR="003F6ACE" w:rsidRPr="00D7670C">
        <w:rPr>
          <w:rFonts w:ascii="Tahoma" w:hAnsi="Tahoma" w:cs="Tahoma"/>
          <w:color w:val="000000" w:themeColor="text1"/>
          <w:sz w:val="22"/>
          <w:szCs w:val="22"/>
        </w:rPr>
        <w:t>Acuerdo 049 de 1990</w:t>
      </w:r>
      <w:r w:rsidR="003F6ACE">
        <w:rPr>
          <w:rFonts w:ascii="Tahoma" w:hAnsi="Tahoma" w:cs="Tahoma"/>
          <w:color w:val="000000" w:themeColor="text1"/>
          <w:sz w:val="22"/>
          <w:szCs w:val="22"/>
        </w:rPr>
        <w:t xml:space="preserve">, en su calidad de beneficiario del régimen de transición, </w:t>
      </w:r>
      <w:r w:rsidR="00C361D2">
        <w:rPr>
          <w:rFonts w:ascii="Tahoma" w:hAnsi="Tahoma" w:cs="Tahoma"/>
          <w:sz w:val="22"/>
          <w:szCs w:val="22"/>
        </w:rPr>
        <w:t>a partir del 12 de enero de 2012,</w:t>
      </w:r>
      <w:r w:rsidR="00C361D2" w:rsidRPr="00C361D2">
        <w:rPr>
          <w:rFonts w:ascii="Tahoma" w:hAnsi="Tahoma" w:cs="Tahoma"/>
          <w:color w:val="000000" w:themeColor="text1"/>
          <w:sz w:val="22"/>
          <w:szCs w:val="22"/>
        </w:rPr>
        <w:t xml:space="preserve"> </w:t>
      </w:r>
      <w:r w:rsidR="00C361D2" w:rsidRPr="00D7670C">
        <w:rPr>
          <w:rFonts w:ascii="Tahoma" w:hAnsi="Tahoma" w:cs="Tahoma"/>
          <w:color w:val="000000" w:themeColor="text1"/>
          <w:sz w:val="22"/>
          <w:szCs w:val="22"/>
        </w:rPr>
        <w:t>más los intereses moratorios a partir del 26 de noviembre de 2013 y las costas del proceso.</w:t>
      </w:r>
      <w:r w:rsidR="00C361D2">
        <w:rPr>
          <w:rFonts w:ascii="Tahoma" w:hAnsi="Tahoma" w:cs="Tahoma"/>
          <w:color w:val="000000" w:themeColor="text1"/>
          <w:sz w:val="22"/>
          <w:szCs w:val="22"/>
        </w:rPr>
        <w:t xml:space="preserve"> No </w:t>
      </w:r>
      <w:r w:rsidR="00073AB3">
        <w:rPr>
          <w:rFonts w:ascii="Tahoma" w:hAnsi="Tahoma" w:cs="Tahoma"/>
          <w:color w:val="000000" w:themeColor="text1"/>
          <w:sz w:val="22"/>
          <w:szCs w:val="22"/>
        </w:rPr>
        <w:t xml:space="preserve">obstante, con la contestación de la demanda Colpensiones allegó la Resolución </w:t>
      </w:r>
      <w:r w:rsidR="001E2AC3">
        <w:rPr>
          <w:rFonts w:ascii="Tahoma" w:hAnsi="Tahoma" w:cs="Tahoma"/>
          <w:color w:val="000000" w:themeColor="text1"/>
          <w:sz w:val="22"/>
          <w:szCs w:val="22"/>
        </w:rPr>
        <w:t>252</w:t>
      </w:r>
      <w:r w:rsidR="000D4A0A">
        <w:rPr>
          <w:rFonts w:ascii="Tahoma" w:hAnsi="Tahoma" w:cs="Tahoma"/>
          <w:color w:val="000000" w:themeColor="text1"/>
          <w:sz w:val="22"/>
          <w:szCs w:val="22"/>
        </w:rPr>
        <w:t>.</w:t>
      </w:r>
      <w:r w:rsidR="001E2AC3">
        <w:rPr>
          <w:rFonts w:ascii="Tahoma" w:hAnsi="Tahoma" w:cs="Tahoma"/>
          <w:color w:val="000000" w:themeColor="text1"/>
          <w:sz w:val="22"/>
          <w:szCs w:val="22"/>
        </w:rPr>
        <w:t xml:space="preserve">233 del 11 de julio de 2014, por medio de la cual reconoció la </w:t>
      </w:r>
      <w:r w:rsidR="00312056">
        <w:rPr>
          <w:rFonts w:ascii="Tahoma" w:hAnsi="Tahoma" w:cs="Tahoma"/>
          <w:color w:val="000000" w:themeColor="text1"/>
          <w:sz w:val="22"/>
          <w:szCs w:val="22"/>
        </w:rPr>
        <w:t>aludida prestación a partir de la fecha pretendida, con una mesada de $1.137.166 para el año 2012</w:t>
      </w:r>
      <w:r w:rsidR="00CF0AE8">
        <w:rPr>
          <w:rFonts w:ascii="Tahoma" w:hAnsi="Tahoma" w:cs="Tahoma"/>
          <w:color w:val="000000" w:themeColor="text1"/>
          <w:sz w:val="22"/>
          <w:szCs w:val="22"/>
        </w:rPr>
        <w:t xml:space="preserve"> y un retroactivo de $32.515.138</w:t>
      </w:r>
    </w:p>
    <w:p w:rsidR="00312056" w:rsidRDefault="00312056"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5E40E1" w:rsidRDefault="00312056"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En virtud de lo anterior, la parte actora presentó reforma de la demanda solicitando que se</w:t>
      </w:r>
      <w:r w:rsidR="005E40E1">
        <w:rPr>
          <w:rFonts w:ascii="Tahoma" w:hAnsi="Tahoma" w:cs="Tahoma"/>
          <w:color w:val="000000" w:themeColor="text1"/>
          <w:sz w:val="22"/>
          <w:szCs w:val="22"/>
        </w:rPr>
        <w:t xml:space="preserve"> condene a la demandada a cancelar la suma de $</w:t>
      </w:r>
      <w:r w:rsidR="00432E99">
        <w:rPr>
          <w:rFonts w:ascii="Tahoma" w:hAnsi="Tahoma" w:cs="Tahoma"/>
          <w:color w:val="000000" w:themeColor="text1"/>
          <w:sz w:val="22"/>
          <w:szCs w:val="22"/>
        </w:rPr>
        <w:t>22</w:t>
      </w:r>
      <w:r w:rsidR="005E40E1">
        <w:rPr>
          <w:rFonts w:ascii="Tahoma" w:hAnsi="Tahoma" w:cs="Tahoma"/>
          <w:color w:val="000000" w:themeColor="text1"/>
          <w:sz w:val="22"/>
          <w:szCs w:val="22"/>
        </w:rPr>
        <w:t>.</w:t>
      </w:r>
      <w:r w:rsidR="00432E99">
        <w:rPr>
          <w:rFonts w:ascii="Tahoma" w:hAnsi="Tahoma" w:cs="Tahoma"/>
          <w:color w:val="000000" w:themeColor="text1"/>
          <w:sz w:val="22"/>
          <w:szCs w:val="22"/>
        </w:rPr>
        <w:t>474</w:t>
      </w:r>
      <w:r w:rsidR="005E40E1">
        <w:rPr>
          <w:rFonts w:ascii="Tahoma" w:hAnsi="Tahoma" w:cs="Tahoma"/>
          <w:color w:val="000000" w:themeColor="text1"/>
          <w:sz w:val="22"/>
          <w:szCs w:val="22"/>
        </w:rPr>
        <w:t>.</w:t>
      </w:r>
      <w:r w:rsidR="00432E99">
        <w:rPr>
          <w:rFonts w:ascii="Tahoma" w:hAnsi="Tahoma" w:cs="Tahoma"/>
          <w:color w:val="000000" w:themeColor="text1"/>
          <w:sz w:val="22"/>
          <w:szCs w:val="22"/>
        </w:rPr>
        <w:t>784</w:t>
      </w:r>
      <w:r w:rsidR="00613C3B">
        <w:rPr>
          <w:rFonts w:ascii="Tahoma" w:hAnsi="Tahoma" w:cs="Tahoma"/>
          <w:color w:val="000000" w:themeColor="text1"/>
          <w:sz w:val="22"/>
          <w:szCs w:val="22"/>
        </w:rPr>
        <w:t>, por las d</w:t>
      </w:r>
      <w:r w:rsidR="005E40E1">
        <w:rPr>
          <w:rFonts w:ascii="Tahoma" w:hAnsi="Tahoma" w:cs="Tahoma"/>
          <w:color w:val="000000" w:themeColor="text1"/>
          <w:sz w:val="22"/>
          <w:szCs w:val="22"/>
        </w:rPr>
        <w:t xml:space="preserve">iferencias </w:t>
      </w:r>
      <w:r w:rsidR="00613C3B">
        <w:rPr>
          <w:rFonts w:ascii="Tahoma" w:hAnsi="Tahoma" w:cs="Tahoma"/>
          <w:color w:val="000000" w:themeColor="text1"/>
          <w:sz w:val="22"/>
          <w:szCs w:val="22"/>
        </w:rPr>
        <w:t xml:space="preserve">dejadas de cancelar </w:t>
      </w:r>
      <w:r w:rsidR="005E40E1">
        <w:rPr>
          <w:rFonts w:ascii="Tahoma" w:hAnsi="Tahoma" w:cs="Tahoma"/>
          <w:color w:val="000000" w:themeColor="text1"/>
          <w:sz w:val="22"/>
          <w:szCs w:val="22"/>
        </w:rPr>
        <w:t xml:space="preserve"> retroactivamente desde el</w:t>
      </w:r>
      <w:r w:rsidR="00613C3B">
        <w:rPr>
          <w:rFonts w:ascii="Tahoma" w:hAnsi="Tahoma" w:cs="Tahoma"/>
          <w:color w:val="000000" w:themeColor="text1"/>
          <w:sz w:val="22"/>
          <w:szCs w:val="22"/>
        </w:rPr>
        <w:t xml:space="preserve"> año</w:t>
      </w:r>
      <w:r w:rsidR="005E40E1">
        <w:rPr>
          <w:rFonts w:ascii="Tahoma" w:hAnsi="Tahoma" w:cs="Tahoma"/>
          <w:color w:val="000000" w:themeColor="text1"/>
          <w:sz w:val="22"/>
          <w:szCs w:val="22"/>
        </w:rPr>
        <w:t xml:space="preserve"> 2012</w:t>
      </w:r>
      <w:r w:rsidR="008213D6">
        <w:rPr>
          <w:rFonts w:ascii="Tahoma" w:hAnsi="Tahoma" w:cs="Tahoma"/>
          <w:color w:val="000000" w:themeColor="text1"/>
          <w:sz w:val="22"/>
          <w:szCs w:val="22"/>
        </w:rPr>
        <w:t>,</w:t>
      </w:r>
      <w:r w:rsidR="0024148C">
        <w:rPr>
          <w:rFonts w:ascii="Tahoma" w:hAnsi="Tahoma" w:cs="Tahoma"/>
          <w:color w:val="000000" w:themeColor="text1"/>
          <w:sz w:val="22"/>
          <w:szCs w:val="22"/>
        </w:rPr>
        <w:t xml:space="preserve"> más los intereses moratorios en los términos del artículo 141 de la Ley 100 de 1993 y las costas procesales.</w:t>
      </w:r>
    </w:p>
    <w:p w:rsidR="00613C3B" w:rsidRDefault="00613C3B"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p>
    <w:p w:rsidR="00613C3B" w:rsidRDefault="00613C3B"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Para fundar dicha pretensión manifiesta que realizó su última cotización en el año 2003, razón por la cual la mesada reconocida por Colpensiones</w:t>
      </w:r>
      <w:r w:rsidR="00432E99">
        <w:rPr>
          <w:rFonts w:ascii="Tahoma" w:hAnsi="Tahoma" w:cs="Tahoma"/>
          <w:color w:val="000000" w:themeColor="text1"/>
          <w:sz w:val="22"/>
          <w:szCs w:val="22"/>
        </w:rPr>
        <w:t xml:space="preserve">, </w:t>
      </w:r>
      <w:r>
        <w:rPr>
          <w:rFonts w:ascii="Tahoma" w:hAnsi="Tahoma" w:cs="Tahoma"/>
          <w:color w:val="000000" w:themeColor="text1"/>
          <w:sz w:val="22"/>
          <w:szCs w:val="22"/>
        </w:rPr>
        <w:t>por valor de $1.137.166</w:t>
      </w:r>
      <w:r w:rsidR="00432E99">
        <w:rPr>
          <w:rFonts w:ascii="Tahoma" w:hAnsi="Tahoma" w:cs="Tahoma"/>
          <w:color w:val="000000" w:themeColor="text1"/>
          <w:sz w:val="22"/>
          <w:szCs w:val="22"/>
        </w:rPr>
        <w:t>, debía indexarse desde esa fecha hasta el año 2012, cuando se concedió su prestación, para una primera mesada de $1.739.637</w:t>
      </w:r>
      <w:r w:rsidR="003C2837">
        <w:rPr>
          <w:rFonts w:ascii="Tahoma" w:hAnsi="Tahoma" w:cs="Tahoma"/>
          <w:color w:val="000000" w:themeColor="text1"/>
          <w:sz w:val="22"/>
          <w:szCs w:val="22"/>
        </w:rPr>
        <w:t>. De esta manera,</w:t>
      </w:r>
      <w:r w:rsidR="000D4A0A">
        <w:rPr>
          <w:rFonts w:ascii="Tahoma" w:hAnsi="Tahoma" w:cs="Tahoma"/>
          <w:color w:val="000000" w:themeColor="text1"/>
          <w:sz w:val="22"/>
          <w:szCs w:val="22"/>
        </w:rPr>
        <w:t xml:space="preserve"> se le adeudaría un retroactivo de $54.939.922, al cual debe descontársele la suma de $32.515.138 </w:t>
      </w:r>
      <w:r w:rsidR="008213D6">
        <w:rPr>
          <w:rFonts w:ascii="Tahoma" w:hAnsi="Tahoma" w:cs="Tahoma"/>
          <w:color w:val="000000" w:themeColor="text1"/>
          <w:sz w:val="22"/>
          <w:szCs w:val="22"/>
        </w:rPr>
        <w:t xml:space="preserve">pagada </w:t>
      </w:r>
      <w:r w:rsidR="000D4A0A">
        <w:rPr>
          <w:rFonts w:ascii="Tahoma" w:hAnsi="Tahoma" w:cs="Tahoma"/>
          <w:color w:val="000000" w:themeColor="text1"/>
          <w:sz w:val="22"/>
          <w:szCs w:val="22"/>
        </w:rPr>
        <w:t>a través de la Resolución 252.233 del 11 de julio de 2014</w:t>
      </w:r>
      <w:r w:rsidR="0024148C">
        <w:rPr>
          <w:rFonts w:ascii="Tahoma" w:hAnsi="Tahoma" w:cs="Tahoma"/>
          <w:color w:val="000000" w:themeColor="text1"/>
          <w:sz w:val="22"/>
          <w:szCs w:val="22"/>
        </w:rPr>
        <w:t>, para un saldo adeudado de $22.474.784</w:t>
      </w:r>
      <w:r w:rsidR="00A52EE1">
        <w:rPr>
          <w:rFonts w:ascii="Tahoma" w:hAnsi="Tahoma" w:cs="Tahoma"/>
          <w:color w:val="000000" w:themeColor="text1"/>
          <w:sz w:val="22"/>
          <w:szCs w:val="22"/>
        </w:rPr>
        <w:t>.</w:t>
      </w:r>
    </w:p>
    <w:p w:rsidR="00280529" w:rsidRPr="0094032B" w:rsidRDefault="00280529" w:rsidP="00D8195A">
      <w:pPr>
        <w:widowControl w:val="0"/>
        <w:autoSpaceDE w:val="0"/>
        <w:autoSpaceDN w:val="0"/>
        <w:adjustRightInd w:val="0"/>
        <w:spacing w:line="276" w:lineRule="auto"/>
        <w:ind w:firstLine="708"/>
        <w:jc w:val="both"/>
        <w:rPr>
          <w:rFonts w:ascii="Tahoma" w:hAnsi="Tahoma" w:cs="Tahoma"/>
          <w:color w:val="FF0000"/>
          <w:sz w:val="22"/>
          <w:szCs w:val="22"/>
        </w:rPr>
      </w:pPr>
    </w:p>
    <w:p w:rsidR="00A52EE1" w:rsidRDefault="001250D7" w:rsidP="00D8195A">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C55122">
        <w:rPr>
          <w:rFonts w:ascii="Tahoma" w:hAnsi="Tahoma" w:cs="Tahoma"/>
          <w:color w:val="000000" w:themeColor="text1"/>
          <w:sz w:val="22"/>
          <w:szCs w:val="22"/>
        </w:rPr>
        <w:t>Colpensiones</w:t>
      </w:r>
      <w:r w:rsidR="00522F0D" w:rsidRPr="00C55122">
        <w:rPr>
          <w:rFonts w:ascii="Tahoma" w:hAnsi="Tahoma" w:cs="Tahoma"/>
          <w:color w:val="000000" w:themeColor="text1"/>
          <w:sz w:val="22"/>
          <w:szCs w:val="22"/>
        </w:rPr>
        <w:t xml:space="preserve"> </w:t>
      </w:r>
      <w:r w:rsidR="00A52EE1">
        <w:rPr>
          <w:rFonts w:ascii="Tahoma" w:hAnsi="Tahoma" w:cs="Tahoma"/>
          <w:color w:val="000000" w:themeColor="text1"/>
          <w:sz w:val="22"/>
          <w:szCs w:val="22"/>
        </w:rPr>
        <w:t xml:space="preserve">negó que el actor hubiera efectuado cotizaciones hasta el año 2003 e indicó que no le constaba que la mesada a que tenía derecho </w:t>
      </w:r>
      <w:r w:rsidR="00982737">
        <w:rPr>
          <w:rFonts w:ascii="Tahoma" w:hAnsi="Tahoma" w:cs="Tahoma"/>
          <w:color w:val="000000" w:themeColor="text1"/>
          <w:sz w:val="22"/>
          <w:szCs w:val="22"/>
        </w:rPr>
        <w:t>para el año 2012 fuera de $1.739.637; frente a los demás hechos manifestó que e</w:t>
      </w:r>
      <w:r w:rsidR="003F16DE">
        <w:rPr>
          <w:rFonts w:ascii="Tahoma" w:hAnsi="Tahoma" w:cs="Tahoma"/>
          <w:color w:val="000000" w:themeColor="text1"/>
          <w:sz w:val="22"/>
          <w:szCs w:val="22"/>
        </w:rPr>
        <w:t>ran ciertos</w:t>
      </w:r>
      <w:r w:rsidR="008213D6">
        <w:rPr>
          <w:rFonts w:ascii="Tahoma" w:hAnsi="Tahoma" w:cs="Tahoma"/>
          <w:color w:val="000000" w:themeColor="text1"/>
          <w:sz w:val="22"/>
          <w:szCs w:val="22"/>
        </w:rPr>
        <w:t>. Seguidamente</w:t>
      </w:r>
      <w:r w:rsidR="003F16DE">
        <w:rPr>
          <w:rFonts w:ascii="Tahoma" w:hAnsi="Tahoma" w:cs="Tahoma"/>
          <w:color w:val="000000" w:themeColor="text1"/>
          <w:sz w:val="22"/>
          <w:szCs w:val="22"/>
        </w:rPr>
        <w:t xml:space="preserve"> se opuso a la totalidad de las pretensiones. </w:t>
      </w:r>
    </w:p>
    <w:p w:rsidR="008C7E33" w:rsidRDefault="008C7E33" w:rsidP="00D8195A">
      <w:pPr>
        <w:widowControl w:val="0"/>
        <w:autoSpaceDE w:val="0"/>
        <w:autoSpaceDN w:val="0"/>
        <w:adjustRightInd w:val="0"/>
        <w:spacing w:line="276" w:lineRule="auto"/>
        <w:ind w:firstLine="708"/>
        <w:jc w:val="both"/>
        <w:rPr>
          <w:rFonts w:ascii="Tahoma" w:hAnsi="Tahoma" w:cs="Tahoma"/>
          <w:sz w:val="22"/>
          <w:szCs w:val="22"/>
        </w:rPr>
      </w:pPr>
    </w:p>
    <w:p w:rsidR="008B7665" w:rsidRPr="00C75CBF" w:rsidRDefault="00581FD6" w:rsidP="00D8195A">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8B7665" w:rsidRPr="007834F9" w:rsidRDefault="008B7665" w:rsidP="00D8195A">
      <w:pPr>
        <w:widowControl w:val="0"/>
        <w:autoSpaceDE w:val="0"/>
        <w:autoSpaceDN w:val="0"/>
        <w:adjustRightInd w:val="0"/>
        <w:jc w:val="center"/>
        <w:rPr>
          <w:rFonts w:ascii="Tahoma" w:hAnsi="Tahoma" w:cs="Tahoma"/>
          <w:b/>
          <w:sz w:val="22"/>
          <w:szCs w:val="22"/>
        </w:rPr>
      </w:pPr>
    </w:p>
    <w:p w:rsidR="0085361F" w:rsidRDefault="008B7665" w:rsidP="00D8195A">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Pr="008E6C63">
        <w:rPr>
          <w:rFonts w:ascii="Tahoma" w:hAnsi="Tahoma" w:cs="Tahoma"/>
          <w:color w:val="000000" w:themeColor="text1"/>
          <w:sz w:val="22"/>
          <w:szCs w:val="22"/>
        </w:rPr>
        <w:t xml:space="preserve">La Jueza de conocimiento </w:t>
      </w:r>
      <w:r w:rsidR="004F6899">
        <w:rPr>
          <w:rFonts w:ascii="Tahoma" w:hAnsi="Tahoma" w:cs="Tahoma"/>
          <w:color w:val="000000" w:themeColor="text1"/>
          <w:sz w:val="22"/>
          <w:szCs w:val="22"/>
        </w:rPr>
        <w:t>condenó a Colpensiones a reconocer y pagar la pensión de vejez al señor Luis Horacio Pulgarín desde el 12 de enero de 2012, en cuantía de $1.147.806</w:t>
      </w:r>
      <w:r w:rsidR="00434F48">
        <w:rPr>
          <w:rFonts w:ascii="Tahoma" w:hAnsi="Tahoma" w:cs="Tahoma"/>
          <w:color w:val="000000" w:themeColor="text1"/>
          <w:sz w:val="22"/>
          <w:szCs w:val="22"/>
        </w:rPr>
        <w:t>, así como el retroactivo</w:t>
      </w:r>
      <w:r w:rsidR="0092472D">
        <w:rPr>
          <w:rFonts w:ascii="Tahoma" w:hAnsi="Tahoma" w:cs="Tahoma"/>
          <w:color w:val="000000" w:themeColor="text1"/>
          <w:sz w:val="22"/>
          <w:szCs w:val="22"/>
        </w:rPr>
        <w:t>, indexado, d</w:t>
      </w:r>
      <w:r w:rsidR="00434F48">
        <w:rPr>
          <w:rFonts w:ascii="Tahoma" w:hAnsi="Tahoma" w:cs="Tahoma"/>
          <w:color w:val="000000" w:themeColor="text1"/>
          <w:sz w:val="22"/>
          <w:szCs w:val="22"/>
        </w:rPr>
        <w:t xml:space="preserve">e las diferencias dejadas de cancelar, el cual estimó en la suma de </w:t>
      </w:r>
      <w:r w:rsidR="0092472D">
        <w:rPr>
          <w:rFonts w:ascii="Tahoma" w:hAnsi="Tahoma" w:cs="Tahoma"/>
          <w:color w:val="000000" w:themeColor="text1"/>
          <w:sz w:val="22"/>
          <w:szCs w:val="22"/>
        </w:rPr>
        <w:t>$269.340.</w:t>
      </w:r>
      <w:r w:rsidR="00ED0372">
        <w:rPr>
          <w:rFonts w:ascii="Tahoma" w:hAnsi="Tahoma" w:cs="Tahoma"/>
          <w:color w:val="000000" w:themeColor="text1"/>
          <w:sz w:val="22"/>
          <w:szCs w:val="22"/>
        </w:rPr>
        <w:t xml:space="preserve"> </w:t>
      </w:r>
      <w:r w:rsidR="00823C99">
        <w:rPr>
          <w:rFonts w:ascii="Tahoma" w:hAnsi="Tahoma" w:cs="Tahoma"/>
          <w:color w:val="000000" w:themeColor="text1"/>
          <w:sz w:val="22"/>
          <w:szCs w:val="22"/>
        </w:rPr>
        <w:t>Asimismo</w:t>
      </w:r>
      <w:r w:rsidR="0085361F">
        <w:rPr>
          <w:rFonts w:ascii="Tahoma" w:hAnsi="Tahoma" w:cs="Tahoma"/>
          <w:color w:val="000000" w:themeColor="text1"/>
          <w:sz w:val="22"/>
          <w:szCs w:val="22"/>
        </w:rPr>
        <w:t xml:space="preserve">, condenó a la demandada a pagar los intereses moratorios en los términos del artículo 141 de la ley 100 de 1993, desde el 26 de enero de 2014 y en cuantía de </w:t>
      </w:r>
      <w:r w:rsidR="00FF3E40">
        <w:rPr>
          <w:rFonts w:ascii="Tahoma" w:hAnsi="Tahoma" w:cs="Tahoma"/>
          <w:color w:val="000000" w:themeColor="text1"/>
          <w:sz w:val="22"/>
          <w:szCs w:val="22"/>
        </w:rPr>
        <w:t>$</w:t>
      </w:r>
      <w:r w:rsidR="0085361F">
        <w:rPr>
          <w:rFonts w:ascii="Tahoma" w:hAnsi="Tahoma" w:cs="Tahoma"/>
          <w:color w:val="000000" w:themeColor="text1"/>
          <w:sz w:val="22"/>
          <w:szCs w:val="22"/>
        </w:rPr>
        <w:t xml:space="preserve">4.059.981 </w:t>
      </w:r>
    </w:p>
    <w:p w:rsidR="00E82C03" w:rsidRPr="00414ADA" w:rsidRDefault="00E82C03" w:rsidP="00D8195A">
      <w:pPr>
        <w:tabs>
          <w:tab w:val="left" w:pos="748"/>
        </w:tabs>
        <w:spacing w:line="276" w:lineRule="auto"/>
        <w:jc w:val="both"/>
        <w:rPr>
          <w:rFonts w:ascii="Tahoma" w:hAnsi="Tahoma" w:cs="Tahoma"/>
          <w:color w:val="000000" w:themeColor="text1"/>
          <w:sz w:val="22"/>
          <w:szCs w:val="22"/>
        </w:rPr>
      </w:pPr>
    </w:p>
    <w:p w:rsidR="0010399D" w:rsidRDefault="008B7665" w:rsidP="00D8195A">
      <w:pPr>
        <w:tabs>
          <w:tab w:val="left" w:pos="0"/>
        </w:tabs>
        <w:spacing w:line="276" w:lineRule="auto"/>
        <w:jc w:val="both"/>
        <w:rPr>
          <w:rFonts w:ascii="Tahoma" w:hAnsi="Tahoma" w:cs="Tahoma"/>
          <w:sz w:val="22"/>
          <w:szCs w:val="22"/>
        </w:rPr>
      </w:pPr>
      <w:r w:rsidRPr="007834F9">
        <w:rPr>
          <w:rFonts w:ascii="Tahoma" w:hAnsi="Tahoma" w:cs="Tahoma"/>
          <w:sz w:val="22"/>
          <w:szCs w:val="22"/>
        </w:rPr>
        <w:tab/>
        <w:t>Para llegar a tal determinación</w:t>
      </w:r>
      <w:r w:rsidR="001F4FC5">
        <w:rPr>
          <w:rFonts w:ascii="Tahoma" w:hAnsi="Tahoma" w:cs="Tahoma"/>
          <w:sz w:val="22"/>
          <w:szCs w:val="22"/>
        </w:rPr>
        <w:t xml:space="preserve"> la A-quo consideró</w:t>
      </w:r>
      <w:r w:rsidR="001F4FC5" w:rsidRPr="00216D70">
        <w:rPr>
          <w:rFonts w:ascii="Tahoma" w:hAnsi="Tahoma" w:cs="Tahoma"/>
          <w:sz w:val="22"/>
          <w:szCs w:val="22"/>
        </w:rPr>
        <w:t xml:space="preserve">, en </w:t>
      </w:r>
      <w:r w:rsidR="00A25406" w:rsidRPr="00216D70">
        <w:rPr>
          <w:rFonts w:ascii="Tahoma" w:hAnsi="Tahoma" w:cs="Tahoma"/>
          <w:sz w:val="22"/>
          <w:szCs w:val="22"/>
        </w:rPr>
        <w:t>síntesis</w:t>
      </w:r>
      <w:r w:rsidR="00A25406">
        <w:rPr>
          <w:rFonts w:ascii="Tahoma" w:hAnsi="Tahoma" w:cs="Tahoma"/>
          <w:sz w:val="22"/>
          <w:szCs w:val="22"/>
        </w:rPr>
        <w:t>,</w:t>
      </w:r>
      <w:r w:rsidR="00A25406" w:rsidRPr="00A24570">
        <w:rPr>
          <w:rFonts w:ascii="Tahoma" w:hAnsi="Tahoma" w:cs="Tahoma"/>
          <w:color w:val="000000" w:themeColor="text1"/>
          <w:sz w:val="22"/>
          <w:szCs w:val="22"/>
        </w:rPr>
        <w:t xml:space="preserve"> </w:t>
      </w:r>
      <w:r w:rsidR="00EE5595" w:rsidRPr="00250567">
        <w:rPr>
          <w:rFonts w:ascii="Tahoma" w:hAnsi="Tahoma" w:cs="Tahoma"/>
          <w:sz w:val="22"/>
          <w:szCs w:val="22"/>
        </w:rPr>
        <w:t>que</w:t>
      </w:r>
      <w:r w:rsidR="0010399D">
        <w:rPr>
          <w:rFonts w:ascii="Tahoma" w:hAnsi="Tahoma" w:cs="Tahoma"/>
          <w:sz w:val="22"/>
          <w:szCs w:val="22"/>
        </w:rPr>
        <w:t xml:space="preserve"> quedó demostrado en el proceso que</w:t>
      </w:r>
      <w:r w:rsidR="000726BD">
        <w:rPr>
          <w:rFonts w:ascii="Tahoma" w:hAnsi="Tahoma" w:cs="Tahoma"/>
          <w:sz w:val="22"/>
          <w:szCs w:val="22"/>
        </w:rPr>
        <w:t xml:space="preserve"> </w:t>
      </w:r>
      <w:r w:rsidR="0010399D">
        <w:rPr>
          <w:rFonts w:ascii="Tahoma" w:hAnsi="Tahoma" w:cs="Tahoma"/>
          <w:sz w:val="22"/>
          <w:szCs w:val="22"/>
        </w:rPr>
        <w:t xml:space="preserve">la cuantía de la pensión de vejez reconocida al actor a través de la Resolución  GNR 252223 del 11 de julio de 2014, fue modificada </w:t>
      </w:r>
      <w:r w:rsidR="000726BD">
        <w:rPr>
          <w:rFonts w:ascii="Tahoma" w:hAnsi="Tahoma" w:cs="Tahoma"/>
          <w:sz w:val="22"/>
          <w:szCs w:val="22"/>
        </w:rPr>
        <w:t xml:space="preserve">a través de la </w:t>
      </w:r>
      <w:r w:rsidR="0085361F">
        <w:rPr>
          <w:rFonts w:ascii="Tahoma" w:hAnsi="Tahoma" w:cs="Tahoma"/>
          <w:sz w:val="22"/>
          <w:szCs w:val="22"/>
        </w:rPr>
        <w:t>Resolución VPB 21855 del 24 de noviembre de</w:t>
      </w:r>
      <w:r w:rsidR="0010399D">
        <w:rPr>
          <w:rFonts w:ascii="Tahoma" w:hAnsi="Tahoma" w:cs="Tahoma"/>
          <w:sz w:val="22"/>
          <w:szCs w:val="22"/>
        </w:rPr>
        <w:t>l mismo año</w:t>
      </w:r>
      <w:r w:rsidR="0085361F">
        <w:rPr>
          <w:rFonts w:ascii="Tahoma" w:hAnsi="Tahoma" w:cs="Tahoma"/>
          <w:sz w:val="22"/>
          <w:szCs w:val="22"/>
        </w:rPr>
        <w:t xml:space="preserve">, </w:t>
      </w:r>
      <w:r w:rsidR="0010399D">
        <w:rPr>
          <w:rFonts w:ascii="Tahoma" w:hAnsi="Tahoma" w:cs="Tahoma"/>
          <w:sz w:val="22"/>
          <w:szCs w:val="22"/>
        </w:rPr>
        <w:t xml:space="preserve">en la que se </w:t>
      </w:r>
      <w:r w:rsidR="000726BD">
        <w:rPr>
          <w:rFonts w:ascii="Tahoma" w:hAnsi="Tahoma" w:cs="Tahoma"/>
          <w:sz w:val="22"/>
          <w:szCs w:val="22"/>
        </w:rPr>
        <w:t>otorg</w:t>
      </w:r>
      <w:r w:rsidR="0010399D">
        <w:rPr>
          <w:rFonts w:ascii="Tahoma" w:hAnsi="Tahoma" w:cs="Tahoma"/>
          <w:sz w:val="22"/>
          <w:szCs w:val="22"/>
        </w:rPr>
        <w:t xml:space="preserve">ó </w:t>
      </w:r>
      <w:r w:rsidR="000726BD">
        <w:rPr>
          <w:rFonts w:ascii="Tahoma" w:hAnsi="Tahoma" w:cs="Tahoma"/>
          <w:sz w:val="22"/>
          <w:szCs w:val="22"/>
        </w:rPr>
        <w:t>una por valor de $1.142.194</w:t>
      </w:r>
      <w:r w:rsidR="0010399D">
        <w:rPr>
          <w:rFonts w:ascii="Tahoma" w:hAnsi="Tahoma" w:cs="Tahoma"/>
          <w:sz w:val="22"/>
          <w:szCs w:val="22"/>
        </w:rPr>
        <w:t xml:space="preserve"> para el año 2012</w:t>
      </w:r>
      <w:r w:rsidR="000726BD">
        <w:rPr>
          <w:rFonts w:ascii="Tahoma" w:hAnsi="Tahoma" w:cs="Tahoma"/>
          <w:sz w:val="22"/>
          <w:szCs w:val="22"/>
        </w:rPr>
        <w:t>,</w:t>
      </w:r>
      <w:r w:rsidR="002A2280">
        <w:rPr>
          <w:rFonts w:ascii="Tahoma" w:hAnsi="Tahoma" w:cs="Tahoma"/>
          <w:sz w:val="22"/>
          <w:szCs w:val="22"/>
        </w:rPr>
        <w:t xml:space="preserve"> suma que ya estaba indexada al momento de concederse, </w:t>
      </w:r>
      <w:r w:rsidR="0010399D">
        <w:rPr>
          <w:rFonts w:ascii="Tahoma" w:hAnsi="Tahoma" w:cs="Tahoma"/>
          <w:sz w:val="22"/>
          <w:szCs w:val="22"/>
        </w:rPr>
        <w:t xml:space="preserve">por lo que era </w:t>
      </w:r>
      <w:r w:rsidR="002A2280">
        <w:rPr>
          <w:rFonts w:ascii="Tahoma" w:hAnsi="Tahoma" w:cs="Tahoma"/>
          <w:sz w:val="22"/>
          <w:szCs w:val="22"/>
        </w:rPr>
        <w:t>desatina</w:t>
      </w:r>
      <w:r w:rsidR="0010399D">
        <w:rPr>
          <w:rFonts w:ascii="Tahoma" w:hAnsi="Tahoma" w:cs="Tahoma"/>
          <w:sz w:val="22"/>
          <w:szCs w:val="22"/>
        </w:rPr>
        <w:t xml:space="preserve">da la interpretación del demandante al pretender que ese valor fuera actualizado desde el 2003, cuando efectuó su última cotización. </w:t>
      </w:r>
    </w:p>
    <w:p w:rsidR="0010399D" w:rsidRDefault="0010399D" w:rsidP="00D8195A">
      <w:pPr>
        <w:tabs>
          <w:tab w:val="left" w:pos="0"/>
        </w:tabs>
        <w:spacing w:line="276" w:lineRule="auto"/>
        <w:jc w:val="both"/>
        <w:rPr>
          <w:rFonts w:ascii="Tahoma" w:hAnsi="Tahoma" w:cs="Tahoma"/>
          <w:sz w:val="22"/>
          <w:szCs w:val="22"/>
        </w:rPr>
      </w:pPr>
    </w:p>
    <w:p w:rsidR="0085361F" w:rsidRDefault="0010399D" w:rsidP="00D8195A">
      <w:pPr>
        <w:tabs>
          <w:tab w:val="left" w:pos="0"/>
        </w:tabs>
        <w:spacing w:line="276" w:lineRule="auto"/>
        <w:jc w:val="both"/>
        <w:rPr>
          <w:rFonts w:ascii="Tahoma" w:hAnsi="Tahoma" w:cs="Tahoma"/>
          <w:sz w:val="22"/>
          <w:szCs w:val="22"/>
        </w:rPr>
      </w:pPr>
      <w:r>
        <w:rPr>
          <w:rFonts w:ascii="Tahoma" w:hAnsi="Tahoma" w:cs="Tahoma"/>
          <w:sz w:val="22"/>
          <w:szCs w:val="22"/>
        </w:rPr>
        <w:tab/>
        <w:t xml:space="preserve">Seguidamente, </w:t>
      </w:r>
      <w:r w:rsidR="00A74A6C">
        <w:rPr>
          <w:rFonts w:ascii="Tahoma" w:hAnsi="Tahoma" w:cs="Tahoma"/>
          <w:sz w:val="22"/>
          <w:szCs w:val="22"/>
        </w:rPr>
        <w:t xml:space="preserve">procedió a calcular el IBL </w:t>
      </w:r>
      <w:r w:rsidR="00FF3E40">
        <w:rPr>
          <w:rFonts w:ascii="Tahoma" w:hAnsi="Tahoma" w:cs="Tahoma"/>
          <w:sz w:val="22"/>
          <w:szCs w:val="22"/>
        </w:rPr>
        <w:t xml:space="preserve">con base en los salarios devengados </w:t>
      </w:r>
      <w:r w:rsidR="00DC0618">
        <w:rPr>
          <w:rFonts w:ascii="Tahoma" w:hAnsi="Tahoma" w:cs="Tahoma"/>
          <w:sz w:val="22"/>
          <w:szCs w:val="22"/>
        </w:rPr>
        <w:t xml:space="preserve">por el señor Pulgarín </w:t>
      </w:r>
      <w:r w:rsidR="00FF3E40">
        <w:rPr>
          <w:rFonts w:ascii="Tahoma" w:hAnsi="Tahoma" w:cs="Tahoma"/>
          <w:sz w:val="22"/>
          <w:szCs w:val="22"/>
        </w:rPr>
        <w:t>en los 10 años anteriores al reconocimiento de la prestación</w:t>
      </w:r>
      <w:r w:rsidR="00117822">
        <w:rPr>
          <w:rFonts w:ascii="Tahoma" w:hAnsi="Tahoma" w:cs="Tahoma"/>
          <w:sz w:val="22"/>
          <w:szCs w:val="22"/>
        </w:rPr>
        <w:t xml:space="preserve"> y de conformidad con los lineamientos trazados por la Sala de Casación Laboral de la Corte Suprema de Justicia</w:t>
      </w:r>
      <w:r w:rsidR="00FF3E40">
        <w:rPr>
          <w:rFonts w:ascii="Tahoma" w:hAnsi="Tahoma" w:cs="Tahoma"/>
          <w:sz w:val="22"/>
          <w:szCs w:val="22"/>
        </w:rPr>
        <w:t>, encontrando que el mismo equivale a $1.275.340</w:t>
      </w:r>
      <w:r w:rsidR="00DC0618">
        <w:rPr>
          <w:rFonts w:ascii="Tahoma" w:hAnsi="Tahoma" w:cs="Tahoma"/>
          <w:sz w:val="22"/>
          <w:szCs w:val="22"/>
        </w:rPr>
        <w:t>,</w:t>
      </w:r>
      <w:r w:rsidR="00FF3E40">
        <w:rPr>
          <w:rFonts w:ascii="Tahoma" w:hAnsi="Tahoma" w:cs="Tahoma"/>
          <w:sz w:val="22"/>
          <w:szCs w:val="22"/>
        </w:rPr>
        <w:t xml:space="preserve"> que al aplicársele la tasa de remplazo de 90% arroja un valor de la mesada pensional de </w:t>
      </w:r>
      <w:r w:rsidR="00242CB0">
        <w:rPr>
          <w:rFonts w:ascii="Tahoma" w:hAnsi="Tahoma" w:cs="Tahoma"/>
          <w:sz w:val="22"/>
          <w:szCs w:val="22"/>
        </w:rPr>
        <w:t>$</w:t>
      </w:r>
      <w:r w:rsidR="00FF3E40">
        <w:rPr>
          <w:rFonts w:ascii="Tahoma" w:hAnsi="Tahoma" w:cs="Tahoma"/>
          <w:sz w:val="22"/>
          <w:szCs w:val="22"/>
        </w:rPr>
        <w:t>1.147.806,</w:t>
      </w:r>
      <w:r w:rsidR="00242CB0">
        <w:rPr>
          <w:rFonts w:ascii="Tahoma" w:hAnsi="Tahoma" w:cs="Tahoma"/>
          <w:sz w:val="22"/>
          <w:szCs w:val="22"/>
        </w:rPr>
        <w:t xml:space="preserve"> </w:t>
      </w:r>
      <w:r w:rsidR="00FF3E40">
        <w:rPr>
          <w:rFonts w:ascii="Tahoma" w:hAnsi="Tahoma" w:cs="Tahoma"/>
          <w:sz w:val="22"/>
          <w:szCs w:val="22"/>
        </w:rPr>
        <w:t xml:space="preserve">suma superior </w:t>
      </w:r>
      <w:r w:rsidR="00242CB0">
        <w:rPr>
          <w:rFonts w:ascii="Tahoma" w:hAnsi="Tahoma" w:cs="Tahoma"/>
          <w:sz w:val="22"/>
          <w:szCs w:val="22"/>
        </w:rPr>
        <w:t xml:space="preserve">en $5612 </w:t>
      </w:r>
      <w:r w:rsidR="00FF3E40">
        <w:rPr>
          <w:rFonts w:ascii="Tahoma" w:hAnsi="Tahoma" w:cs="Tahoma"/>
          <w:sz w:val="22"/>
          <w:szCs w:val="22"/>
        </w:rPr>
        <w:t>a la obtenida por Colpensiones</w:t>
      </w:r>
      <w:r w:rsidR="00242CB0">
        <w:rPr>
          <w:rFonts w:ascii="Tahoma" w:hAnsi="Tahoma" w:cs="Tahoma"/>
          <w:sz w:val="22"/>
          <w:szCs w:val="22"/>
        </w:rPr>
        <w:t xml:space="preserve">, por lo que había lugar a reconocer </w:t>
      </w:r>
      <w:r w:rsidR="00DC0618">
        <w:rPr>
          <w:rFonts w:ascii="Tahoma" w:hAnsi="Tahoma" w:cs="Tahoma"/>
          <w:sz w:val="22"/>
          <w:szCs w:val="22"/>
        </w:rPr>
        <w:t xml:space="preserve">las diferencias causadas </w:t>
      </w:r>
      <w:r w:rsidR="00242CB0">
        <w:rPr>
          <w:rFonts w:ascii="Tahoma" w:hAnsi="Tahoma" w:cs="Tahoma"/>
          <w:sz w:val="22"/>
          <w:szCs w:val="22"/>
        </w:rPr>
        <w:t>desde el 12 de enero de 2012</w:t>
      </w:r>
      <w:r w:rsidR="00DC0618">
        <w:rPr>
          <w:rFonts w:ascii="Tahoma" w:hAnsi="Tahoma" w:cs="Tahoma"/>
          <w:sz w:val="22"/>
          <w:szCs w:val="22"/>
        </w:rPr>
        <w:t>, las cuales ascendían a</w:t>
      </w:r>
      <w:r w:rsidR="00242CB0">
        <w:rPr>
          <w:rFonts w:ascii="Tahoma" w:hAnsi="Tahoma" w:cs="Tahoma"/>
          <w:sz w:val="22"/>
          <w:szCs w:val="22"/>
        </w:rPr>
        <w:t xml:space="preserve"> $239.450, </w:t>
      </w:r>
      <w:r w:rsidR="00DC0618">
        <w:rPr>
          <w:rFonts w:ascii="Tahoma" w:hAnsi="Tahoma" w:cs="Tahoma"/>
          <w:sz w:val="22"/>
          <w:szCs w:val="22"/>
        </w:rPr>
        <w:t xml:space="preserve">monto </w:t>
      </w:r>
      <w:r w:rsidR="00242CB0">
        <w:rPr>
          <w:rFonts w:ascii="Tahoma" w:hAnsi="Tahoma" w:cs="Tahoma"/>
          <w:sz w:val="22"/>
          <w:szCs w:val="22"/>
        </w:rPr>
        <w:t>cuya indexación correspondía a</w:t>
      </w:r>
      <w:r w:rsidR="00483113">
        <w:rPr>
          <w:rFonts w:ascii="Tahoma" w:hAnsi="Tahoma" w:cs="Tahoma"/>
          <w:sz w:val="22"/>
          <w:szCs w:val="22"/>
        </w:rPr>
        <w:t xml:space="preserve"> $29.890, para un total de </w:t>
      </w:r>
      <w:r w:rsidR="00FF3E40">
        <w:rPr>
          <w:rFonts w:ascii="Tahoma" w:hAnsi="Tahoma" w:cs="Tahoma"/>
          <w:sz w:val="22"/>
          <w:szCs w:val="22"/>
        </w:rPr>
        <w:t>$269.340.</w:t>
      </w:r>
    </w:p>
    <w:p w:rsidR="00D36C18" w:rsidRDefault="00D36C18" w:rsidP="00D8195A">
      <w:pPr>
        <w:tabs>
          <w:tab w:val="left" w:pos="0"/>
        </w:tabs>
        <w:spacing w:line="276" w:lineRule="auto"/>
        <w:jc w:val="both"/>
        <w:rPr>
          <w:rFonts w:ascii="Tahoma" w:hAnsi="Tahoma" w:cs="Tahoma"/>
          <w:sz w:val="22"/>
          <w:szCs w:val="22"/>
        </w:rPr>
      </w:pPr>
    </w:p>
    <w:p w:rsidR="003B6F0E" w:rsidRDefault="00D36C18" w:rsidP="00D8195A">
      <w:pPr>
        <w:tabs>
          <w:tab w:val="left" w:pos="0"/>
        </w:tabs>
        <w:spacing w:line="276" w:lineRule="auto"/>
        <w:jc w:val="both"/>
        <w:rPr>
          <w:rFonts w:ascii="Tahoma" w:hAnsi="Tahoma" w:cs="Tahoma"/>
          <w:sz w:val="22"/>
          <w:szCs w:val="22"/>
        </w:rPr>
      </w:pPr>
      <w:r>
        <w:rPr>
          <w:rFonts w:ascii="Tahoma" w:hAnsi="Tahoma" w:cs="Tahoma"/>
          <w:sz w:val="22"/>
          <w:szCs w:val="22"/>
        </w:rPr>
        <w:lastRenderedPageBreak/>
        <w:tab/>
        <w:t>Respecto a los inter</w:t>
      </w:r>
      <w:r w:rsidR="00EC69BE">
        <w:rPr>
          <w:rFonts w:ascii="Tahoma" w:hAnsi="Tahoma" w:cs="Tahoma"/>
          <w:sz w:val="22"/>
          <w:szCs w:val="22"/>
        </w:rPr>
        <w:t xml:space="preserve">eses </w:t>
      </w:r>
      <w:r>
        <w:rPr>
          <w:rFonts w:ascii="Tahoma" w:hAnsi="Tahoma" w:cs="Tahoma"/>
          <w:sz w:val="22"/>
          <w:szCs w:val="22"/>
        </w:rPr>
        <w:t>moratorios</w:t>
      </w:r>
      <w:r w:rsidR="003B6F0E">
        <w:rPr>
          <w:rFonts w:ascii="Tahoma" w:hAnsi="Tahoma" w:cs="Tahoma"/>
          <w:sz w:val="22"/>
          <w:szCs w:val="22"/>
        </w:rPr>
        <w:t xml:space="preserve">, </w:t>
      </w:r>
      <w:r w:rsidR="00F44265">
        <w:rPr>
          <w:rFonts w:ascii="Tahoma" w:hAnsi="Tahoma" w:cs="Tahoma"/>
          <w:sz w:val="22"/>
          <w:szCs w:val="22"/>
        </w:rPr>
        <w:t>indicó</w:t>
      </w:r>
      <w:r>
        <w:rPr>
          <w:rFonts w:ascii="Tahoma" w:hAnsi="Tahoma" w:cs="Tahoma"/>
          <w:sz w:val="22"/>
          <w:szCs w:val="22"/>
        </w:rPr>
        <w:t xml:space="preserve"> </w:t>
      </w:r>
      <w:r w:rsidR="00FA1E9D">
        <w:rPr>
          <w:rFonts w:ascii="Tahoma" w:hAnsi="Tahoma" w:cs="Tahoma"/>
          <w:sz w:val="22"/>
          <w:szCs w:val="22"/>
        </w:rPr>
        <w:t xml:space="preserve">que </w:t>
      </w:r>
      <w:r w:rsidR="003B6F0E">
        <w:rPr>
          <w:rFonts w:ascii="Tahoma" w:hAnsi="Tahoma" w:cs="Tahoma"/>
          <w:sz w:val="22"/>
          <w:szCs w:val="22"/>
        </w:rPr>
        <w:t>como la solicitud pensional se presentó el 26 de julio de 2013</w:t>
      </w:r>
      <w:r w:rsidR="00EC69BE">
        <w:rPr>
          <w:rFonts w:ascii="Tahoma" w:hAnsi="Tahoma" w:cs="Tahoma"/>
          <w:sz w:val="22"/>
          <w:szCs w:val="22"/>
        </w:rPr>
        <w:t>, los mismos empezaría a correr desde el 27 de enero de 2014, día siguiente a aquel en el que vencieron los 6 meses con los que contaba la entidad demandada para el reconocimiento de la pensión, y hasta el 30 de junio del mismo año, día anterior a aquel en el que le fue reconocida la pensión, lo que arrojó una suma de $4.059.981.</w:t>
      </w:r>
    </w:p>
    <w:p w:rsidR="00CB3598" w:rsidRDefault="00CB3598" w:rsidP="00D8195A">
      <w:pPr>
        <w:tabs>
          <w:tab w:val="left" w:pos="0"/>
        </w:tabs>
        <w:spacing w:line="276" w:lineRule="auto"/>
        <w:jc w:val="both"/>
        <w:rPr>
          <w:rFonts w:ascii="Tahoma" w:hAnsi="Tahoma" w:cs="Tahoma"/>
          <w:sz w:val="22"/>
          <w:szCs w:val="22"/>
        </w:rPr>
      </w:pPr>
    </w:p>
    <w:p w:rsidR="00BF4F59" w:rsidRPr="00BF4F59" w:rsidRDefault="00BF4F59" w:rsidP="00D8195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F4F59">
        <w:rPr>
          <w:rFonts w:ascii="Tahoma" w:hAnsi="Tahoma" w:cs="Tahoma"/>
          <w:b/>
          <w:sz w:val="22"/>
          <w:szCs w:val="22"/>
        </w:rPr>
        <w:t>Procedencia de la consulta</w:t>
      </w:r>
    </w:p>
    <w:p w:rsidR="00BF4F59" w:rsidRPr="00C616B6" w:rsidRDefault="00BF4F59" w:rsidP="00D8195A">
      <w:pPr>
        <w:pStyle w:val="Sinespaciado"/>
        <w:rPr>
          <w:color w:val="000000" w:themeColor="text1"/>
          <w:sz w:val="22"/>
          <w:szCs w:val="22"/>
        </w:rPr>
      </w:pPr>
    </w:p>
    <w:p w:rsidR="00BF4F59" w:rsidRPr="00C616B6" w:rsidRDefault="00BF4F59" w:rsidP="00D8195A">
      <w:pPr>
        <w:pStyle w:val="Sangradetextonormal"/>
        <w:spacing w:line="276" w:lineRule="auto"/>
        <w:ind w:firstLine="561"/>
        <w:rPr>
          <w:color w:val="000000" w:themeColor="text1"/>
          <w:sz w:val="22"/>
          <w:szCs w:val="22"/>
        </w:rPr>
      </w:pPr>
      <w:r w:rsidRPr="00C616B6">
        <w:rPr>
          <w:color w:val="000000" w:themeColor="text1"/>
          <w:sz w:val="22"/>
          <w:szCs w:val="22"/>
        </w:rPr>
        <w:t xml:space="preserve">Como quiera que la sentencia fue totalmente desfavorable para </w:t>
      </w:r>
      <w:r w:rsidR="00BD6138">
        <w:rPr>
          <w:color w:val="000000" w:themeColor="text1"/>
          <w:sz w:val="22"/>
          <w:szCs w:val="22"/>
        </w:rPr>
        <w:t>Colpensiones</w:t>
      </w:r>
      <w:r w:rsidRPr="00C616B6">
        <w:rPr>
          <w:color w:val="000000" w:themeColor="text1"/>
          <w:sz w:val="22"/>
          <w:szCs w:val="22"/>
        </w:rPr>
        <w:t>, se dispuso el grado jurisdiccional de consulta.</w:t>
      </w:r>
    </w:p>
    <w:p w:rsidR="00B6315C" w:rsidRPr="00BF4F59" w:rsidRDefault="00B6315C" w:rsidP="00D8195A">
      <w:pPr>
        <w:spacing w:line="276" w:lineRule="auto"/>
        <w:jc w:val="both"/>
        <w:rPr>
          <w:rFonts w:ascii="Tahoma" w:hAnsi="Tahoma" w:cs="Tahoma"/>
          <w:sz w:val="22"/>
          <w:szCs w:val="22"/>
        </w:rPr>
      </w:pPr>
    </w:p>
    <w:p w:rsidR="008B7665" w:rsidRPr="00C45B9E" w:rsidRDefault="00BF4F59" w:rsidP="00D8195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F4F59">
        <w:rPr>
          <w:rFonts w:ascii="Tahoma" w:hAnsi="Tahoma" w:cs="Tahoma"/>
          <w:b/>
          <w:sz w:val="22"/>
          <w:szCs w:val="22"/>
        </w:rPr>
        <w:t>Consideraciones</w:t>
      </w:r>
      <w:r w:rsidR="008B7665" w:rsidRPr="00BF4F59">
        <w:rPr>
          <w:rFonts w:ascii="Tahoma" w:hAnsi="Tahoma" w:cs="Tahoma"/>
          <w:caps/>
          <w:sz w:val="22"/>
          <w:szCs w:val="22"/>
        </w:rPr>
        <w:tab/>
      </w:r>
    </w:p>
    <w:p w:rsidR="00CB3FC9" w:rsidRPr="00CB3FC9" w:rsidRDefault="00CB3FC9" w:rsidP="00D8195A">
      <w:pPr>
        <w:tabs>
          <w:tab w:val="left" w:pos="748"/>
        </w:tabs>
        <w:spacing w:line="276" w:lineRule="auto"/>
        <w:jc w:val="both"/>
        <w:rPr>
          <w:rFonts w:ascii="Tahoma" w:hAnsi="Tahoma" w:cs="Tahoma"/>
          <w:b/>
          <w:sz w:val="22"/>
          <w:szCs w:val="22"/>
        </w:rPr>
      </w:pPr>
    </w:p>
    <w:p w:rsidR="00C45B9E" w:rsidRPr="002F3A73" w:rsidRDefault="00C45B9E" w:rsidP="00D8195A">
      <w:pPr>
        <w:pStyle w:val="Prrafodelista"/>
        <w:numPr>
          <w:ilvl w:val="1"/>
          <w:numId w:val="1"/>
        </w:numPr>
        <w:tabs>
          <w:tab w:val="left" w:pos="748"/>
          <w:tab w:val="num" w:pos="1122"/>
        </w:tabs>
        <w:spacing w:line="276" w:lineRule="auto"/>
        <w:ind w:hanging="371"/>
        <w:jc w:val="both"/>
        <w:rPr>
          <w:rFonts w:ascii="Tahoma" w:hAnsi="Tahoma" w:cs="Tahoma"/>
          <w:b/>
          <w:sz w:val="22"/>
          <w:szCs w:val="22"/>
        </w:rPr>
      </w:pPr>
      <w:r w:rsidRPr="002F3A73">
        <w:rPr>
          <w:rFonts w:ascii="Tahoma" w:hAnsi="Tahoma" w:cs="Tahoma"/>
          <w:b/>
          <w:sz w:val="22"/>
          <w:szCs w:val="22"/>
        </w:rPr>
        <w:t xml:space="preserve">Supuestos fácticos probados </w:t>
      </w:r>
    </w:p>
    <w:p w:rsidR="00C45B9E" w:rsidRPr="002F3A73" w:rsidRDefault="00C45B9E" w:rsidP="00D8195A">
      <w:pPr>
        <w:pStyle w:val="Sinespaciado"/>
        <w:rPr>
          <w:sz w:val="22"/>
          <w:szCs w:val="22"/>
        </w:rPr>
      </w:pPr>
    </w:p>
    <w:p w:rsidR="00543030" w:rsidRDefault="00C45B9E" w:rsidP="00D8195A">
      <w:pPr>
        <w:widowControl w:val="0"/>
        <w:autoSpaceDE w:val="0"/>
        <w:autoSpaceDN w:val="0"/>
        <w:adjustRightInd w:val="0"/>
        <w:spacing w:line="276" w:lineRule="auto"/>
        <w:ind w:firstLine="708"/>
        <w:jc w:val="both"/>
        <w:rPr>
          <w:rFonts w:ascii="Tahoma" w:hAnsi="Tahoma" w:cs="Tahoma"/>
          <w:sz w:val="22"/>
          <w:szCs w:val="22"/>
        </w:rPr>
      </w:pPr>
      <w:r w:rsidRPr="002F3A73">
        <w:rPr>
          <w:rFonts w:ascii="Tahoma" w:hAnsi="Tahoma" w:cs="Tahoma"/>
          <w:sz w:val="22"/>
          <w:szCs w:val="22"/>
        </w:rPr>
        <w:t xml:space="preserve">No existe discusión alguna en el caso de marras respecto a los siguientes supuestos fácticos: </w:t>
      </w:r>
    </w:p>
    <w:p w:rsidR="00543030" w:rsidRDefault="00543030" w:rsidP="00D8195A">
      <w:pPr>
        <w:widowControl w:val="0"/>
        <w:autoSpaceDE w:val="0"/>
        <w:autoSpaceDN w:val="0"/>
        <w:adjustRightInd w:val="0"/>
        <w:spacing w:line="276" w:lineRule="auto"/>
        <w:ind w:firstLine="708"/>
        <w:jc w:val="both"/>
        <w:rPr>
          <w:rFonts w:ascii="Tahoma" w:hAnsi="Tahoma" w:cs="Tahoma"/>
          <w:sz w:val="22"/>
          <w:szCs w:val="22"/>
        </w:rPr>
      </w:pPr>
    </w:p>
    <w:p w:rsidR="00543030" w:rsidRPr="00543030" w:rsidRDefault="00A97624" w:rsidP="00D8195A">
      <w:pPr>
        <w:pStyle w:val="Prrafodelista"/>
        <w:widowControl w:val="0"/>
        <w:numPr>
          <w:ilvl w:val="0"/>
          <w:numId w:val="5"/>
        </w:numPr>
        <w:autoSpaceDE w:val="0"/>
        <w:autoSpaceDN w:val="0"/>
        <w:adjustRightInd w:val="0"/>
        <w:spacing w:line="276" w:lineRule="auto"/>
        <w:ind w:left="993" w:hanging="284"/>
        <w:jc w:val="both"/>
        <w:rPr>
          <w:rFonts w:ascii="Tahoma" w:hAnsi="Tahoma" w:cs="Tahoma"/>
          <w:sz w:val="22"/>
          <w:szCs w:val="22"/>
        </w:rPr>
      </w:pPr>
      <w:r w:rsidRPr="00543030">
        <w:rPr>
          <w:rFonts w:ascii="Tahoma" w:hAnsi="Tahoma" w:cs="Tahoma"/>
          <w:sz w:val="22"/>
          <w:szCs w:val="22"/>
        </w:rPr>
        <w:t xml:space="preserve">Que </w:t>
      </w:r>
      <w:r w:rsidR="00A54D3E" w:rsidRPr="00543030">
        <w:rPr>
          <w:rFonts w:ascii="Tahoma" w:hAnsi="Tahoma" w:cs="Tahoma"/>
          <w:sz w:val="22"/>
          <w:szCs w:val="22"/>
        </w:rPr>
        <w:t xml:space="preserve">a través de la Resolución GNR 252233 del 11 de julio de 2014 Colpensiones reconoció la pensión de vejez </w:t>
      </w:r>
      <w:r w:rsidR="003B3570" w:rsidRPr="00543030">
        <w:rPr>
          <w:rFonts w:ascii="Tahoma" w:hAnsi="Tahoma" w:cs="Tahoma"/>
          <w:sz w:val="22"/>
          <w:szCs w:val="22"/>
        </w:rPr>
        <w:t>consagrada en el Acuerdo 049 de 1990 a</w:t>
      </w:r>
      <w:r w:rsidR="00A54D3E" w:rsidRPr="00543030">
        <w:rPr>
          <w:rFonts w:ascii="Tahoma" w:hAnsi="Tahoma" w:cs="Tahoma"/>
          <w:sz w:val="22"/>
          <w:szCs w:val="22"/>
        </w:rPr>
        <w:t>l señor Luís Horacio Pulgarín, en su calidad de beneficiario del régimen de transición</w:t>
      </w:r>
      <w:r w:rsidR="003B3570" w:rsidRPr="00543030">
        <w:rPr>
          <w:rFonts w:ascii="Tahoma" w:hAnsi="Tahoma" w:cs="Tahoma"/>
          <w:sz w:val="22"/>
          <w:szCs w:val="22"/>
        </w:rPr>
        <w:t>,</w:t>
      </w:r>
      <w:r w:rsidR="00117822" w:rsidRPr="00543030">
        <w:rPr>
          <w:rFonts w:ascii="Tahoma" w:hAnsi="Tahoma" w:cs="Tahoma"/>
          <w:sz w:val="22"/>
          <w:szCs w:val="22"/>
        </w:rPr>
        <w:t xml:space="preserve"> a partir del 12 de enero de 2012 y en cuantía de $1.137.166, resultado de aplicar una tasa de reemplazo del 90%</w:t>
      </w:r>
      <w:r w:rsidR="00AB7B3F" w:rsidRPr="00543030">
        <w:rPr>
          <w:rFonts w:ascii="Tahoma" w:hAnsi="Tahoma" w:cs="Tahoma"/>
          <w:sz w:val="22"/>
          <w:szCs w:val="22"/>
        </w:rPr>
        <w:t xml:space="preserve"> a un IBL de $1.263.518; ordenando el pago de un retroactivo de $34.333.059 (fl. 197 y s.s.)</w:t>
      </w:r>
      <w:r w:rsidR="00E40A32">
        <w:rPr>
          <w:rFonts w:ascii="Tahoma" w:hAnsi="Tahoma" w:cs="Tahoma"/>
          <w:sz w:val="22"/>
          <w:szCs w:val="22"/>
        </w:rPr>
        <w:t xml:space="preserve"> y,</w:t>
      </w:r>
      <w:r w:rsidR="00AB7B3F" w:rsidRPr="00543030">
        <w:rPr>
          <w:rFonts w:ascii="Tahoma" w:hAnsi="Tahoma" w:cs="Tahoma"/>
          <w:sz w:val="22"/>
          <w:szCs w:val="22"/>
        </w:rPr>
        <w:t xml:space="preserve"> </w:t>
      </w:r>
    </w:p>
    <w:p w:rsidR="00543030" w:rsidRDefault="00543030" w:rsidP="00D8195A">
      <w:pPr>
        <w:pStyle w:val="Prrafodelista"/>
        <w:widowControl w:val="0"/>
        <w:autoSpaceDE w:val="0"/>
        <w:autoSpaceDN w:val="0"/>
        <w:adjustRightInd w:val="0"/>
        <w:spacing w:line="276" w:lineRule="auto"/>
        <w:ind w:left="1428"/>
        <w:jc w:val="both"/>
        <w:rPr>
          <w:rFonts w:ascii="Tahoma" w:hAnsi="Tahoma" w:cs="Tahoma"/>
          <w:sz w:val="22"/>
          <w:szCs w:val="22"/>
        </w:rPr>
      </w:pPr>
    </w:p>
    <w:p w:rsidR="00061C49" w:rsidRDefault="00A97624" w:rsidP="00D8195A">
      <w:pPr>
        <w:pStyle w:val="Prrafodelista"/>
        <w:widowControl w:val="0"/>
        <w:numPr>
          <w:ilvl w:val="0"/>
          <w:numId w:val="5"/>
        </w:numPr>
        <w:autoSpaceDE w:val="0"/>
        <w:autoSpaceDN w:val="0"/>
        <w:adjustRightInd w:val="0"/>
        <w:spacing w:line="276" w:lineRule="auto"/>
        <w:ind w:left="993" w:hanging="284"/>
        <w:jc w:val="both"/>
        <w:rPr>
          <w:rFonts w:ascii="Tahoma" w:hAnsi="Tahoma" w:cs="Tahoma"/>
          <w:sz w:val="22"/>
          <w:szCs w:val="22"/>
        </w:rPr>
      </w:pPr>
      <w:r w:rsidRPr="00543030">
        <w:rPr>
          <w:rFonts w:ascii="Tahoma" w:hAnsi="Tahoma" w:cs="Tahoma"/>
          <w:sz w:val="22"/>
          <w:szCs w:val="22"/>
        </w:rPr>
        <w:t xml:space="preserve">Que </w:t>
      </w:r>
      <w:r w:rsidR="00AB7B3F" w:rsidRPr="00543030">
        <w:rPr>
          <w:rFonts w:ascii="Tahoma" w:hAnsi="Tahoma" w:cs="Tahoma"/>
          <w:sz w:val="22"/>
          <w:szCs w:val="22"/>
        </w:rPr>
        <w:t>mediante la Resolución VPB 21855 del 24 de noviembre de 2014, la demandada resolvió el recurso de apelación propuesto en contra del acto en mención</w:t>
      </w:r>
      <w:r>
        <w:rPr>
          <w:rFonts w:ascii="Tahoma" w:hAnsi="Tahoma" w:cs="Tahoma"/>
          <w:sz w:val="22"/>
          <w:szCs w:val="22"/>
        </w:rPr>
        <w:t xml:space="preserve">, reliquidando </w:t>
      </w:r>
      <w:r w:rsidR="00061C49">
        <w:rPr>
          <w:rFonts w:ascii="Tahoma" w:hAnsi="Tahoma" w:cs="Tahoma"/>
          <w:sz w:val="22"/>
          <w:szCs w:val="22"/>
        </w:rPr>
        <w:t>el IBL en cuantía de $1.269.104, guarismo al que le aplicó la tasa de reemplazo del 90%</w:t>
      </w:r>
      <w:r w:rsidR="00255E2E">
        <w:rPr>
          <w:rFonts w:ascii="Tahoma" w:hAnsi="Tahoma" w:cs="Tahoma"/>
          <w:sz w:val="22"/>
          <w:szCs w:val="22"/>
        </w:rPr>
        <w:t>, por las 146</w:t>
      </w:r>
      <w:r w:rsidR="00E40A32">
        <w:rPr>
          <w:rFonts w:ascii="Tahoma" w:hAnsi="Tahoma" w:cs="Tahoma"/>
          <w:sz w:val="22"/>
          <w:szCs w:val="22"/>
        </w:rPr>
        <w:t xml:space="preserve">2 semanas cotizadas, </w:t>
      </w:r>
      <w:r w:rsidR="00473844">
        <w:rPr>
          <w:rFonts w:ascii="Tahoma" w:hAnsi="Tahoma" w:cs="Tahoma"/>
          <w:sz w:val="22"/>
          <w:szCs w:val="22"/>
        </w:rPr>
        <w:t>obteniendo</w:t>
      </w:r>
      <w:r w:rsidR="00255E2E">
        <w:rPr>
          <w:rFonts w:ascii="Tahoma" w:hAnsi="Tahoma" w:cs="Tahoma"/>
          <w:sz w:val="22"/>
          <w:szCs w:val="22"/>
        </w:rPr>
        <w:t xml:space="preserve"> una mesada de $1.142.194</w:t>
      </w:r>
      <w:r w:rsidR="00D96DDF">
        <w:rPr>
          <w:rFonts w:ascii="Tahoma" w:hAnsi="Tahoma" w:cs="Tahoma"/>
          <w:sz w:val="22"/>
          <w:szCs w:val="22"/>
        </w:rPr>
        <w:t>. Así las cosas</w:t>
      </w:r>
      <w:r w:rsidR="003D6543">
        <w:rPr>
          <w:rFonts w:ascii="Tahoma" w:hAnsi="Tahoma" w:cs="Tahoma"/>
          <w:sz w:val="22"/>
          <w:szCs w:val="22"/>
        </w:rPr>
        <w:t>, ordenó el pago retroactivo de las diferencias</w:t>
      </w:r>
      <w:r w:rsidR="000C444E">
        <w:rPr>
          <w:rFonts w:ascii="Tahoma" w:hAnsi="Tahoma" w:cs="Tahoma"/>
          <w:sz w:val="22"/>
          <w:szCs w:val="22"/>
        </w:rPr>
        <w:t xml:space="preserve"> generadas desde el 12 de enero de 2012</w:t>
      </w:r>
      <w:r w:rsidR="009C232F">
        <w:rPr>
          <w:rFonts w:ascii="Tahoma" w:hAnsi="Tahoma" w:cs="Tahoma"/>
          <w:sz w:val="22"/>
          <w:szCs w:val="22"/>
        </w:rPr>
        <w:t>, el cual estimó en las suma de $178.066.</w:t>
      </w:r>
    </w:p>
    <w:p w:rsidR="009C232F" w:rsidRPr="009C232F" w:rsidRDefault="009C232F" w:rsidP="00D8195A">
      <w:pPr>
        <w:pStyle w:val="Prrafodelista"/>
        <w:rPr>
          <w:rFonts w:ascii="Tahoma" w:hAnsi="Tahoma" w:cs="Tahoma"/>
          <w:sz w:val="22"/>
          <w:szCs w:val="22"/>
        </w:rPr>
      </w:pPr>
    </w:p>
    <w:p w:rsidR="007259C0" w:rsidRPr="002F3A73" w:rsidRDefault="007259C0" w:rsidP="00D8195A">
      <w:pPr>
        <w:pStyle w:val="Prrafodelista"/>
        <w:numPr>
          <w:ilvl w:val="1"/>
          <w:numId w:val="3"/>
        </w:numPr>
        <w:tabs>
          <w:tab w:val="left" w:pos="748"/>
        </w:tabs>
        <w:spacing w:line="276" w:lineRule="auto"/>
        <w:jc w:val="both"/>
        <w:rPr>
          <w:rFonts w:ascii="Tahoma" w:hAnsi="Tahoma" w:cs="Tahoma"/>
          <w:b/>
          <w:sz w:val="22"/>
          <w:szCs w:val="22"/>
        </w:rPr>
      </w:pPr>
      <w:r w:rsidRPr="002F3A73">
        <w:rPr>
          <w:rFonts w:ascii="Tahoma" w:hAnsi="Tahoma" w:cs="Tahoma"/>
          <w:b/>
          <w:sz w:val="22"/>
          <w:szCs w:val="22"/>
        </w:rPr>
        <w:t>Caso concreto</w:t>
      </w:r>
    </w:p>
    <w:p w:rsidR="007259C0" w:rsidRPr="002F3A73" w:rsidRDefault="007259C0" w:rsidP="00D8195A">
      <w:pPr>
        <w:pStyle w:val="Prrafodelista"/>
        <w:tabs>
          <w:tab w:val="left" w:pos="748"/>
        </w:tabs>
        <w:ind w:left="1468"/>
        <w:jc w:val="both"/>
        <w:rPr>
          <w:rFonts w:ascii="Tahoma" w:hAnsi="Tahoma" w:cs="Tahoma"/>
          <w:b/>
          <w:sz w:val="22"/>
          <w:szCs w:val="22"/>
        </w:rPr>
      </w:pPr>
    </w:p>
    <w:p w:rsidR="009C232F" w:rsidRDefault="009C232F" w:rsidP="00D8195A">
      <w:pPr>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Conociéndose el presente asunto en esta instancia en virtud del grado jurisdiccional de </w:t>
      </w:r>
      <w:r w:rsidR="00CE5A45">
        <w:rPr>
          <w:rFonts w:ascii="Tahoma" w:hAnsi="Tahoma" w:cs="Tahoma"/>
          <w:sz w:val="22"/>
          <w:szCs w:val="22"/>
        </w:rPr>
        <w:t xml:space="preserve">consulta ordenado a favor de Colpensiones, corresponde a esta </w:t>
      </w:r>
      <w:r w:rsidR="00DE6159">
        <w:rPr>
          <w:rFonts w:ascii="Tahoma" w:hAnsi="Tahoma" w:cs="Tahoma"/>
          <w:sz w:val="22"/>
          <w:szCs w:val="22"/>
        </w:rPr>
        <w:t xml:space="preserve">Judicatura </w:t>
      </w:r>
      <w:r w:rsidR="00CE5A45">
        <w:rPr>
          <w:rFonts w:ascii="Tahoma" w:hAnsi="Tahoma" w:cs="Tahoma"/>
          <w:sz w:val="22"/>
          <w:szCs w:val="22"/>
        </w:rPr>
        <w:t>determinar si los montos reconocidos en primera instancia por concepto de retroactivo d</w:t>
      </w:r>
      <w:r w:rsidR="00DE6159">
        <w:rPr>
          <w:rFonts w:ascii="Tahoma" w:hAnsi="Tahoma" w:cs="Tahoma"/>
          <w:sz w:val="22"/>
          <w:szCs w:val="22"/>
        </w:rPr>
        <w:t>e la</w:t>
      </w:r>
      <w:r w:rsidR="00CE5A45">
        <w:rPr>
          <w:rFonts w:ascii="Tahoma" w:hAnsi="Tahoma" w:cs="Tahoma"/>
          <w:sz w:val="22"/>
          <w:szCs w:val="22"/>
        </w:rPr>
        <w:t>s diferencias dejadas de pagar al demandante, así como el de los intereses moratorios</w:t>
      </w:r>
      <w:r w:rsidR="00CA15D9">
        <w:rPr>
          <w:rFonts w:ascii="Tahoma" w:hAnsi="Tahoma" w:cs="Tahoma"/>
          <w:sz w:val="22"/>
          <w:szCs w:val="22"/>
        </w:rPr>
        <w:t xml:space="preserve">, se </w:t>
      </w:r>
      <w:r w:rsidR="001A50FD">
        <w:rPr>
          <w:rFonts w:ascii="Tahoma" w:hAnsi="Tahoma" w:cs="Tahoma"/>
          <w:sz w:val="22"/>
          <w:szCs w:val="22"/>
        </w:rPr>
        <w:t>encuentra</w:t>
      </w:r>
      <w:r w:rsidR="00F50A81">
        <w:rPr>
          <w:rFonts w:ascii="Tahoma" w:hAnsi="Tahoma" w:cs="Tahoma"/>
          <w:sz w:val="22"/>
          <w:szCs w:val="22"/>
        </w:rPr>
        <w:t>n</w:t>
      </w:r>
      <w:r w:rsidR="00CA15D9">
        <w:rPr>
          <w:rFonts w:ascii="Tahoma" w:hAnsi="Tahoma" w:cs="Tahoma"/>
          <w:sz w:val="22"/>
          <w:szCs w:val="22"/>
        </w:rPr>
        <w:t xml:space="preserve"> ajustad</w:t>
      </w:r>
      <w:r w:rsidR="00F50A81">
        <w:rPr>
          <w:rFonts w:ascii="Tahoma" w:hAnsi="Tahoma" w:cs="Tahoma"/>
          <w:sz w:val="22"/>
          <w:szCs w:val="22"/>
        </w:rPr>
        <w:t>os</w:t>
      </w:r>
      <w:r w:rsidR="00CA15D9">
        <w:rPr>
          <w:rFonts w:ascii="Tahoma" w:hAnsi="Tahoma" w:cs="Tahoma"/>
          <w:sz w:val="22"/>
          <w:szCs w:val="22"/>
        </w:rPr>
        <w:t xml:space="preserve"> a derecho.</w:t>
      </w:r>
    </w:p>
    <w:p w:rsidR="00CA15D9" w:rsidRDefault="00CA15D9" w:rsidP="00D8195A">
      <w:pPr>
        <w:autoSpaceDE w:val="0"/>
        <w:autoSpaceDN w:val="0"/>
        <w:adjustRightInd w:val="0"/>
        <w:spacing w:line="276" w:lineRule="auto"/>
        <w:ind w:firstLine="708"/>
        <w:jc w:val="both"/>
        <w:rPr>
          <w:rFonts w:ascii="Tahoma" w:hAnsi="Tahoma" w:cs="Tahoma"/>
          <w:sz w:val="22"/>
          <w:szCs w:val="22"/>
        </w:rPr>
      </w:pPr>
    </w:p>
    <w:p w:rsidR="001A50FD" w:rsidRPr="00DE6159" w:rsidRDefault="00CA15D9" w:rsidP="00D8195A">
      <w:pPr>
        <w:spacing w:line="276" w:lineRule="auto"/>
        <w:ind w:firstLine="708"/>
        <w:jc w:val="both"/>
        <w:rPr>
          <w:rFonts w:ascii="Tahoma" w:hAnsi="Tahoma" w:cs="Tahoma"/>
          <w:sz w:val="22"/>
          <w:szCs w:val="22"/>
        </w:rPr>
      </w:pPr>
      <w:r>
        <w:rPr>
          <w:rFonts w:ascii="Tahoma" w:hAnsi="Tahoma" w:cs="Tahoma"/>
          <w:sz w:val="22"/>
          <w:szCs w:val="22"/>
        </w:rPr>
        <w:t xml:space="preserve">Para ello, </w:t>
      </w:r>
      <w:r w:rsidR="00DE6159">
        <w:rPr>
          <w:rFonts w:ascii="Tahoma" w:hAnsi="Tahoma" w:cs="Tahoma"/>
          <w:sz w:val="22"/>
          <w:szCs w:val="22"/>
        </w:rPr>
        <w:t xml:space="preserve">se procedió a calcular </w:t>
      </w:r>
      <w:r>
        <w:rPr>
          <w:rFonts w:ascii="Tahoma" w:hAnsi="Tahoma" w:cs="Tahoma"/>
          <w:sz w:val="22"/>
          <w:szCs w:val="22"/>
        </w:rPr>
        <w:t>el IBL del actor con base en los salarios devengados en los 10 años anteriores al reconocimiento de la prestación, tal como lo hiciera la A-quo,</w:t>
      </w:r>
      <w:r w:rsidR="00DE6159">
        <w:rPr>
          <w:rFonts w:ascii="Tahoma" w:hAnsi="Tahoma" w:cs="Tahoma"/>
          <w:sz w:val="22"/>
          <w:szCs w:val="22"/>
        </w:rPr>
        <w:t xml:space="preserve"> </w:t>
      </w:r>
      <w:r w:rsidR="00F50A81">
        <w:rPr>
          <w:rFonts w:ascii="Tahoma" w:hAnsi="Tahoma" w:cs="Tahoma"/>
          <w:sz w:val="22"/>
          <w:szCs w:val="22"/>
        </w:rPr>
        <w:t xml:space="preserve">obteniéndose una suma de $1.273.050, la cual se encuentra actualizada para el 2012, pues se toma el IPC vigente para ese año al momento de realizarse el respectivo cálculo, y no el de la última cotización –como lo sugiere la togada del actor-. A dicho valor, </w:t>
      </w:r>
      <w:r w:rsidR="00DE6159">
        <w:rPr>
          <w:rFonts w:ascii="Tahoma" w:hAnsi="Tahoma" w:cs="Tahoma"/>
          <w:sz w:val="22"/>
          <w:szCs w:val="22"/>
        </w:rPr>
        <w:t xml:space="preserve">se le aplicó </w:t>
      </w:r>
      <w:r w:rsidR="00B76F96">
        <w:rPr>
          <w:rFonts w:ascii="Tahoma" w:hAnsi="Tahoma" w:cs="Tahoma"/>
          <w:sz w:val="22"/>
          <w:szCs w:val="22"/>
        </w:rPr>
        <w:t>un</w:t>
      </w:r>
      <w:r w:rsidR="0026768E">
        <w:rPr>
          <w:rFonts w:ascii="Tahoma" w:hAnsi="Tahoma" w:cs="Tahoma"/>
          <w:sz w:val="22"/>
          <w:szCs w:val="22"/>
        </w:rPr>
        <w:t xml:space="preserve"> 90% de </w:t>
      </w:r>
      <w:r w:rsidR="00DE6159">
        <w:rPr>
          <w:rFonts w:ascii="Tahoma" w:hAnsi="Tahoma" w:cs="Tahoma"/>
          <w:sz w:val="22"/>
          <w:szCs w:val="22"/>
        </w:rPr>
        <w:t xml:space="preserve">tasa de reemplazo </w:t>
      </w:r>
      <w:r w:rsidR="00B76F96">
        <w:rPr>
          <w:rFonts w:ascii="Tahoma" w:hAnsi="Tahoma" w:cs="Tahoma"/>
          <w:sz w:val="22"/>
          <w:szCs w:val="22"/>
        </w:rPr>
        <w:t xml:space="preserve">por las más de 1400 semanas cotizadas, </w:t>
      </w:r>
      <w:r w:rsidR="00F50A81">
        <w:rPr>
          <w:rFonts w:ascii="Tahoma" w:hAnsi="Tahoma" w:cs="Tahoma"/>
          <w:sz w:val="22"/>
          <w:szCs w:val="22"/>
        </w:rPr>
        <w:t>obteniéndose</w:t>
      </w:r>
      <w:r w:rsidR="00DE6159">
        <w:rPr>
          <w:rFonts w:ascii="Tahoma" w:hAnsi="Tahoma" w:cs="Tahoma"/>
          <w:sz w:val="22"/>
          <w:szCs w:val="22"/>
        </w:rPr>
        <w:t xml:space="preserve"> </w:t>
      </w:r>
      <w:r>
        <w:rPr>
          <w:rFonts w:ascii="Tahoma" w:hAnsi="Tahoma" w:cs="Tahoma"/>
          <w:sz w:val="22"/>
          <w:szCs w:val="22"/>
        </w:rPr>
        <w:t xml:space="preserve">una </w:t>
      </w:r>
      <w:r w:rsidR="00DE6159">
        <w:rPr>
          <w:rFonts w:ascii="Tahoma" w:hAnsi="Tahoma" w:cs="Tahoma"/>
          <w:sz w:val="22"/>
          <w:szCs w:val="22"/>
        </w:rPr>
        <w:t>primera mesada de $</w:t>
      </w:r>
      <w:r w:rsidR="001A50FD" w:rsidRPr="00DE6159">
        <w:rPr>
          <w:rFonts w:ascii="Tahoma" w:hAnsi="Tahoma" w:cs="Tahoma"/>
          <w:sz w:val="22"/>
          <w:szCs w:val="22"/>
        </w:rPr>
        <w:t>1.145.745</w:t>
      </w:r>
      <w:r w:rsidR="00B76F96">
        <w:rPr>
          <w:rFonts w:ascii="Tahoma" w:hAnsi="Tahoma" w:cs="Tahoma"/>
          <w:sz w:val="22"/>
          <w:szCs w:val="22"/>
        </w:rPr>
        <w:t xml:space="preserve"> para el año 2012</w:t>
      </w:r>
      <w:r w:rsidR="001A50FD" w:rsidRPr="00DE6159">
        <w:rPr>
          <w:rFonts w:ascii="Tahoma" w:hAnsi="Tahoma" w:cs="Tahoma"/>
          <w:sz w:val="22"/>
          <w:szCs w:val="22"/>
        </w:rPr>
        <w:t xml:space="preserve">, monto </w:t>
      </w:r>
      <w:r w:rsidR="00B76F96">
        <w:rPr>
          <w:rFonts w:ascii="Tahoma" w:hAnsi="Tahoma" w:cs="Tahoma"/>
          <w:sz w:val="22"/>
          <w:szCs w:val="22"/>
        </w:rPr>
        <w:t>i</w:t>
      </w:r>
      <w:r w:rsidR="001A50FD" w:rsidRPr="00DE6159">
        <w:rPr>
          <w:rFonts w:ascii="Tahoma" w:hAnsi="Tahoma" w:cs="Tahoma"/>
          <w:sz w:val="22"/>
          <w:szCs w:val="22"/>
        </w:rPr>
        <w:t xml:space="preserve">nferior </w:t>
      </w:r>
      <w:r w:rsidR="00DE6159">
        <w:rPr>
          <w:rFonts w:ascii="Tahoma" w:hAnsi="Tahoma" w:cs="Tahoma"/>
          <w:sz w:val="22"/>
          <w:szCs w:val="22"/>
        </w:rPr>
        <w:t xml:space="preserve">en $2.061 </w:t>
      </w:r>
      <w:r w:rsidR="001A50FD" w:rsidRPr="00DE6159">
        <w:rPr>
          <w:rFonts w:ascii="Tahoma" w:hAnsi="Tahoma" w:cs="Tahoma"/>
          <w:sz w:val="22"/>
          <w:szCs w:val="22"/>
        </w:rPr>
        <w:t>al reconocido en primera instancia pero aún superior por $3551 al concedido por Colpensiones, tal como se observa en la liquidación que se pone de presente a los asistentes y que hará parte del acta que se levante con ocasión de la presente diligencia.</w:t>
      </w:r>
    </w:p>
    <w:p w:rsidR="001A50FD" w:rsidRPr="00DE6159" w:rsidRDefault="001A50FD" w:rsidP="00D8195A">
      <w:pPr>
        <w:spacing w:line="276" w:lineRule="auto"/>
        <w:jc w:val="both"/>
        <w:rPr>
          <w:rFonts w:ascii="Tahoma" w:hAnsi="Tahoma" w:cs="Tahoma"/>
          <w:sz w:val="22"/>
          <w:szCs w:val="22"/>
        </w:rPr>
      </w:pPr>
    </w:p>
    <w:p w:rsidR="00B76F96" w:rsidRDefault="001A50FD" w:rsidP="00D8195A">
      <w:pPr>
        <w:spacing w:line="276" w:lineRule="auto"/>
        <w:jc w:val="both"/>
        <w:rPr>
          <w:rFonts w:ascii="Tahoma" w:hAnsi="Tahoma" w:cs="Tahoma"/>
          <w:sz w:val="22"/>
          <w:szCs w:val="22"/>
        </w:rPr>
      </w:pPr>
      <w:r w:rsidRPr="00DE6159">
        <w:rPr>
          <w:rFonts w:ascii="Tahoma" w:hAnsi="Tahoma" w:cs="Tahoma"/>
          <w:sz w:val="22"/>
          <w:szCs w:val="22"/>
        </w:rPr>
        <w:tab/>
      </w:r>
      <w:r w:rsidR="00F34452" w:rsidRPr="00DE6159">
        <w:rPr>
          <w:rFonts w:ascii="Tahoma" w:hAnsi="Tahoma" w:cs="Tahoma"/>
          <w:sz w:val="22"/>
          <w:szCs w:val="22"/>
        </w:rPr>
        <w:t xml:space="preserve">Así las cosas, </w:t>
      </w:r>
      <w:r w:rsidR="0026768E">
        <w:rPr>
          <w:rFonts w:ascii="Tahoma" w:hAnsi="Tahoma" w:cs="Tahoma"/>
          <w:sz w:val="22"/>
          <w:szCs w:val="22"/>
        </w:rPr>
        <w:t xml:space="preserve">es menester identificar el valor real adeudado al promotor del litigio y, </w:t>
      </w:r>
      <w:r w:rsidR="00B76F96">
        <w:rPr>
          <w:rFonts w:ascii="Tahoma" w:hAnsi="Tahoma" w:cs="Tahoma"/>
          <w:sz w:val="22"/>
          <w:szCs w:val="22"/>
        </w:rPr>
        <w:t>a efectos de la celeridad en el cumplimiento efec</w:t>
      </w:r>
      <w:r w:rsidR="00B76F96" w:rsidRPr="00D8195A">
        <w:rPr>
          <w:rFonts w:ascii="Tahoma" w:hAnsi="Tahoma" w:cs="Tahoma"/>
          <w:sz w:val="22"/>
          <w:szCs w:val="22"/>
        </w:rPr>
        <w:t xml:space="preserve">tivo de la presente decisión, se calcularon las diferencias generadas </w:t>
      </w:r>
      <w:r w:rsidR="0026768E" w:rsidRPr="00D8195A">
        <w:rPr>
          <w:rFonts w:ascii="Tahoma" w:hAnsi="Tahoma" w:cs="Tahoma"/>
          <w:sz w:val="22"/>
          <w:szCs w:val="22"/>
        </w:rPr>
        <w:t>hasta e</w:t>
      </w:r>
      <w:r w:rsidR="00B76F96" w:rsidRPr="00D8195A">
        <w:rPr>
          <w:rFonts w:ascii="Tahoma" w:hAnsi="Tahoma" w:cs="Tahoma"/>
          <w:sz w:val="22"/>
          <w:szCs w:val="22"/>
        </w:rPr>
        <w:t xml:space="preserve">l 31 de mayo de 2017, encontrando que las mismas </w:t>
      </w:r>
      <w:r w:rsidR="00F50A81" w:rsidRPr="00D8195A">
        <w:rPr>
          <w:rFonts w:ascii="Tahoma" w:hAnsi="Tahoma" w:cs="Tahoma"/>
          <w:sz w:val="22"/>
          <w:szCs w:val="22"/>
        </w:rPr>
        <w:t xml:space="preserve">equivalen </w:t>
      </w:r>
      <w:r w:rsidR="00B76F96" w:rsidRPr="00D8195A">
        <w:rPr>
          <w:rFonts w:ascii="Tahoma" w:hAnsi="Tahoma" w:cs="Tahoma"/>
          <w:sz w:val="22"/>
          <w:szCs w:val="22"/>
        </w:rPr>
        <w:t>a $2</w:t>
      </w:r>
      <w:r w:rsidR="000F2CB5">
        <w:rPr>
          <w:rFonts w:ascii="Tahoma" w:hAnsi="Tahoma" w:cs="Tahoma"/>
          <w:sz w:val="22"/>
          <w:szCs w:val="22"/>
        </w:rPr>
        <w:t>61</w:t>
      </w:r>
      <w:r w:rsidR="00B76F96" w:rsidRPr="00D8195A">
        <w:rPr>
          <w:rFonts w:ascii="Tahoma" w:hAnsi="Tahoma" w:cs="Tahoma"/>
          <w:sz w:val="22"/>
          <w:szCs w:val="22"/>
        </w:rPr>
        <w:t>.</w:t>
      </w:r>
      <w:r w:rsidR="000F2CB5">
        <w:rPr>
          <w:rFonts w:ascii="Tahoma" w:hAnsi="Tahoma" w:cs="Tahoma"/>
          <w:sz w:val="22"/>
          <w:szCs w:val="22"/>
        </w:rPr>
        <w:t>528</w:t>
      </w:r>
      <w:r w:rsidR="00B76F96" w:rsidRPr="00D8195A">
        <w:rPr>
          <w:rFonts w:ascii="Tahoma" w:hAnsi="Tahoma" w:cs="Tahoma"/>
          <w:sz w:val="22"/>
          <w:szCs w:val="22"/>
        </w:rPr>
        <w:t xml:space="preserve">, </w:t>
      </w:r>
      <w:r w:rsidR="00F50A81" w:rsidRPr="00D8195A">
        <w:rPr>
          <w:rFonts w:ascii="Tahoma" w:hAnsi="Tahoma" w:cs="Tahoma"/>
          <w:sz w:val="22"/>
          <w:szCs w:val="22"/>
        </w:rPr>
        <w:t xml:space="preserve">guarismo </w:t>
      </w:r>
      <w:r w:rsidR="00B76F96" w:rsidRPr="00D8195A">
        <w:rPr>
          <w:rFonts w:ascii="Tahoma" w:hAnsi="Tahoma" w:cs="Tahoma"/>
          <w:sz w:val="22"/>
          <w:szCs w:val="22"/>
        </w:rPr>
        <w:t xml:space="preserve">cuya indexación </w:t>
      </w:r>
      <w:r w:rsidR="00F50A81" w:rsidRPr="00D8195A">
        <w:rPr>
          <w:rFonts w:ascii="Tahoma" w:hAnsi="Tahoma" w:cs="Tahoma"/>
          <w:sz w:val="22"/>
          <w:szCs w:val="22"/>
        </w:rPr>
        <w:t xml:space="preserve">es de </w:t>
      </w:r>
      <w:r w:rsidR="00B76F96" w:rsidRPr="00D8195A">
        <w:rPr>
          <w:rFonts w:ascii="Tahoma" w:hAnsi="Tahoma" w:cs="Tahoma"/>
          <w:sz w:val="22"/>
          <w:szCs w:val="22"/>
        </w:rPr>
        <w:t>$3</w:t>
      </w:r>
      <w:r w:rsidR="000F2CB5">
        <w:rPr>
          <w:rFonts w:ascii="Tahoma" w:hAnsi="Tahoma" w:cs="Tahoma"/>
          <w:sz w:val="22"/>
          <w:szCs w:val="22"/>
        </w:rPr>
        <w:t>6</w:t>
      </w:r>
      <w:r w:rsidR="00B76F96" w:rsidRPr="00D8195A">
        <w:rPr>
          <w:rFonts w:ascii="Tahoma" w:hAnsi="Tahoma" w:cs="Tahoma"/>
          <w:sz w:val="22"/>
          <w:szCs w:val="22"/>
        </w:rPr>
        <w:t>.</w:t>
      </w:r>
      <w:r w:rsidR="000F2CB5">
        <w:rPr>
          <w:rFonts w:ascii="Tahoma" w:hAnsi="Tahoma" w:cs="Tahoma"/>
          <w:sz w:val="22"/>
          <w:szCs w:val="22"/>
        </w:rPr>
        <w:t>936</w:t>
      </w:r>
      <w:r w:rsidR="008D577D">
        <w:rPr>
          <w:rFonts w:ascii="Tahoma" w:hAnsi="Tahoma" w:cs="Tahoma"/>
          <w:sz w:val="22"/>
          <w:szCs w:val="22"/>
        </w:rPr>
        <w:t xml:space="preserve"> </w:t>
      </w:r>
      <w:r w:rsidR="008D577D" w:rsidRPr="008D577D">
        <w:rPr>
          <w:rFonts w:ascii="Arial Narrow" w:hAnsi="Arial Narrow" w:cs="Tahoma"/>
          <w:i/>
          <w:sz w:val="22"/>
          <w:szCs w:val="22"/>
        </w:rPr>
        <w:t>-de conformidad con el cambio de precedente adoptado por esta Corporación el pasado 8 de junio, dentro del proceso radicado con el número 2014-00667, M.P. Francisco Javier Tamayo Tabares-</w:t>
      </w:r>
      <w:r w:rsidR="00B76F96" w:rsidRPr="00D8195A">
        <w:rPr>
          <w:rFonts w:ascii="Tahoma" w:hAnsi="Tahoma" w:cs="Tahoma"/>
          <w:sz w:val="22"/>
          <w:szCs w:val="22"/>
        </w:rPr>
        <w:t xml:space="preserve">, para un total de </w:t>
      </w:r>
      <w:r w:rsidR="00752C0D" w:rsidRPr="00D8195A">
        <w:rPr>
          <w:rFonts w:ascii="Tahoma" w:hAnsi="Tahoma" w:cs="Tahoma"/>
          <w:sz w:val="22"/>
          <w:szCs w:val="22"/>
        </w:rPr>
        <w:t>$</w:t>
      </w:r>
      <w:r w:rsidR="000F2CB5">
        <w:rPr>
          <w:rFonts w:ascii="Tahoma" w:hAnsi="Tahoma" w:cs="Tahoma"/>
          <w:sz w:val="22"/>
          <w:szCs w:val="22"/>
        </w:rPr>
        <w:t>298</w:t>
      </w:r>
      <w:r w:rsidR="00B76F96" w:rsidRPr="00D8195A">
        <w:rPr>
          <w:rFonts w:ascii="Tahoma" w:hAnsi="Tahoma" w:cs="Tahoma"/>
          <w:sz w:val="22"/>
          <w:szCs w:val="22"/>
        </w:rPr>
        <w:t>.</w:t>
      </w:r>
      <w:r w:rsidR="000F2CB5">
        <w:rPr>
          <w:rFonts w:ascii="Tahoma" w:hAnsi="Tahoma" w:cs="Tahoma"/>
          <w:sz w:val="22"/>
          <w:szCs w:val="22"/>
        </w:rPr>
        <w:t>463</w:t>
      </w:r>
      <w:r w:rsidR="0026768E" w:rsidRPr="00D8195A">
        <w:rPr>
          <w:rFonts w:ascii="Tahoma" w:hAnsi="Tahoma" w:cs="Tahoma"/>
          <w:sz w:val="22"/>
          <w:szCs w:val="22"/>
        </w:rPr>
        <w:t>;</w:t>
      </w:r>
      <w:r w:rsidR="00752C0D" w:rsidRPr="00D8195A">
        <w:rPr>
          <w:rFonts w:ascii="Tahoma" w:hAnsi="Tahoma" w:cs="Tahoma"/>
          <w:sz w:val="22"/>
          <w:szCs w:val="22"/>
        </w:rPr>
        <w:t xml:space="preserve"> sin perjuicio de las que se causen con posterioridad y los </w:t>
      </w:r>
      <w:r w:rsidR="00752C0D" w:rsidRPr="00D8195A">
        <w:rPr>
          <w:rFonts w:ascii="Tahoma" w:hAnsi="Tahoma" w:cs="Tahoma"/>
          <w:sz w:val="22"/>
          <w:szCs w:val="22"/>
        </w:rPr>
        <w:lastRenderedPageBreak/>
        <w:t>descuentos de ley; razón por la cual se modificará</w:t>
      </w:r>
      <w:r w:rsidR="001D5CDC" w:rsidRPr="00D8195A">
        <w:rPr>
          <w:rFonts w:ascii="Tahoma" w:hAnsi="Tahoma" w:cs="Tahoma"/>
          <w:sz w:val="22"/>
          <w:szCs w:val="22"/>
        </w:rPr>
        <w:t>n</w:t>
      </w:r>
      <w:r w:rsidR="00752C0D" w:rsidRPr="00D8195A">
        <w:rPr>
          <w:rFonts w:ascii="Tahoma" w:hAnsi="Tahoma" w:cs="Tahoma"/>
          <w:sz w:val="22"/>
          <w:szCs w:val="22"/>
        </w:rPr>
        <w:t xml:space="preserve"> </w:t>
      </w:r>
      <w:r w:rsidR="001D5CDC" w:rsidRPr="00D8195A">
        <w:rPr>
          <w:rFonts w:ascii="Tahoma" w:hAnsi="Tahoma" w:cs="Tahoma"/>
          <w:sz w:val="22"/>
          <w:szCs w:val="22"/>
        </w:rPr>
        <w:t>los</w:t>
      </w:r>
      <w:r w:rsidR="00752C0D" w:rsidRPr="00D8195A">
        <w:rPr>
          <w:rFonts w:ascii="Tahoma" w:hAnsi="Tahoma" w:cs="Tahoma"/>
          <w:sz w:val="22"/>
          <w:szCs w:val="22"/>
        </w:rPr>
        <w:t xml:space="preserve"> ordinal</w:t>
      </w:r>
      <w:r w:rsidR="001D5CDC" w:rsidRPr="00D8195A">
        <w:rPr>
          <w:rFonts w:ascii="Tahoma" w:hAnsi="Tahoma" w:cs="Tahoma"/>
          <w:sz w:val="22"/>
          <w:szCs w:val="22"/>
        </w:rPr>
        <w:t>es segundo y</w:t>
      </w:r>
      <w:r w:rsidR="00752C0D" w:rsidRPr="00D8195A">
        <w:rPr>
          <w:rFonts w:ascii="Tahoma" w:hAnsi="Tahoma" w:cs="Tahoma"/>
          <w:sz w:val="22"/>
          <w:szCs w:val="22"/>
        </w:rPr>
        <w:t xml:space="preserve"> </w:t>
      </w:r>
      <w:r w:rsidR="00F50A81" w:rsidRPr="00D8195A">
        <w:rPr>
          <w:rFonts w:ascii="Tahoma" w:hAnsi="Tahoma" w:cs="Tahoma"/>
          <w:sz w:val="22"/>
          <w:szCs w:val="22"/>
        </w:rPr>
        <w:t>tercero</w:t>
      </w:r>
      <w:r w:rsidR="00752C0D" w:rsidRPr="00D8195A">
        <w:rPr>
          <w:rFonts w:ascii="Tahoma" w:hAnsi="Tahoma" w:cs="Tahoma"/>
          <w:sz w:val="22"/>
          <w:szCs w:val="22"/>
        </w:rPr>
        <w:t xml:space="preserve"> de la parte resolutiva de la sentencia de primera instancia.</w:t>
      </w:r>
    </w:p>
    <w:p w:rsidR="00D8195A" w:rsidRPr="00D8195A" w:rsidRDefault="00D8195A" w:rsidP="00D8195A">
      <w:pPr>
        <w:spacing w:line="276" w:lineRule="auto"/>
        <w:jc w:val="both"/>
        <w:rPr>
          <w:rFonts w:ascii="Tahoma" w:hAnsi="Tahoma" w:cs="Tahoma"/>
          <w:sz w:val="22"/>
          <w:szCs w:val="22"/>
        </w:rPr>
      </w:pPr>
    </w:p>
    <w:p w:rsidR="00414593" w:rsidRDefault="00F34452" w:rsidP="00D8195A">
      <w:pPr>
        <w:spacing w:line="276" w:lineRule="auto"/>
        <w:jc w:val="both"/>
        <w:rPr>
          <w:rFonts w:ascii="Tahoma" w:hAnsi="Tahoma" w:cs="Tahoma"/>
          <w:sz w:val="22"/>
          <w:szCs w:val="22"/>
        </w:rPr>
      </w:pPr>
      <w:r w:rsidRPr="00D8195A">
        <w:rPr>
          <w:rFonts w:ascii="Tahoma" w:hAnsi="Tahoma" w:cs="Tahoma"/>
          <w:sz w:val="22"/>
          <w:szCs w:val="22"/>
        </w:rPr>
        <w:tab/>
        <w:t xml:space="preserve">Por otra parte, </w:t>
      </w:r>
      <w:r w:rsidR="00D8195A" w:rsidRPr="00D8195A">
        <w:rPr>
          <w:rFonts w:ascii="Tahoma" w:hAnsi="Tahoma" w:cs="Tahoma"/>
          <w:sz w:val="22"/>
          <w:szCs w:val="22"/>
        </w:rPr>
        <w:t xml:space="preserve">también se comparte la condena que por concepto de intereses moratorios se hiciera en la sentencia objeto de revisión, pues los 6 meses con los que contaba la demandada para  pagar la prestación </w:t>
      </w:r>
      <w:r w:rsidR="00F803B2" w:rsidRPr="00F803B2">
        <w:rPr>
          <w:rFonts w:ascii="Tahoma" w:hAnsi="Tahoma" w:cs="Tahoma"/>
          <w:i/>
          <w:sz w:val="22"/>
          <w:szCs w:val="22"/>
        </w:rPr>
        <w:t>-</w:t>
      </w:r>
      <w:r w:rsidR="00F803B2" w:rsidRPr="00F803B2">
        <w:rPr>
          <w:rFonts w:ascii="Tahoma" w:hAnsi="Tahoma" w:cs="Tahoma"/>
          <w:b/>
          <w:i/>
          <w:sz w:val="22"/>
          <w:szCs w:val="22"/>
        </w:rPr>
        <w:t>de conformidad con el artículo 4º de la Ley 700 de 2001-</w:t>
      </w:r>
      <w:r w:rsidR="00D8195A" w:rsidRPr="00D8195A">
        <w:rPr>
          <w:rFonts w:ascii="Tahoma" w:hAnsi="Tahoma" w:cs="Tahoma"/>
          <w:sz w:val="22"/>
          <w:szCs w:val="22"/>
        </w:rPr>
        <w:t xml:space="preserve"> se superaron ampliamente, empezando a contabilizarse dichos emolumentos desde el 27 de enero de 2014</w:t>
      </w:r>
      <w:r w:rsidR="00451454">
        <w:rPr>
          <w:rFonts w:ascii="Tahoma" w:hAnsi="Tahoma" w:cs="Tahoma"/>
          <w:sz w:val="22"/>
          <w:szCs w:val="22"/>
        </w:rPr>
        <w:t xml:space="preserve">, pues la pensión se solicitó </w:t>
      </w:r>
      <w:r w:rsidR="00451454" w:rsidRPr="00D8195A">
        <w:rPr>
          <w:rFonts w:ascii="Tahoma" w:hAnsi="Tahoma" w:cs="Tahoma"/>
          <w:sz w:val="22"/>
          <w:szCs w:val="22"/>
        </w:rPr>
        <w:t>el 26 de julio de 2013</w:t>
      </w:r>
      <w:r w:rsidR="00D8195A" w:rsidRPr="00D8195A">
        <w:rPr>
          <w:rFonts w:ascii="Tahoma" w:hAnsi="Tahoma" w:cs="Tahoma"/>
          <w:sz w:val="22"/>
          <w:szCs w:val="22"/>
        </w:rPr>
        <w:t>. Ahora, una vez efectuada la liquidación en esta sede se obtuvo un valor superior al calculado en primera instancia, lo cual obedece, básicamente, a que la A-quo tomó como fecha de pago aquella en la que se incluyó en nómina de pensionados al actor –julio de 2014-, más no cuando se  hizo el pago efectivo de la obligación; no obstante lo anterior, se mantendrá incólume la condena de primer grado por conocerse el presente asunto en virtud del grado jurisdiccional de consulta a favor de Colpensiones.</w:t>
      </w:r>
    </w:p>
    <w:p w:rsidR="00451454" w:rsidRPr="00D8195A" w:rsidRDefault="00451454" w:rsidP="00D8195A">
      <w:pPr>
        <w:spacing w:line="276" w:lineRule="auto"/>
        <w:jc w:val="both"/>
        <w:rPr>
          <w:rFonts w:ascii="Tahoma" w:hAnsi="Tahoma" w:cs="Tahoma"/>
          <w:sz w:val="22"/>
          <w:szCs w:val="22"/>
        </w:rPr>
      </w:pPr>
    </w:p>
    <w:p w:rsidR="00BF4F59" w:rsidRPr="00BF4F59" w:rsidRDefault="00BF4F59" w:rsidP="00D8195A">
      <w:pPr>
        <w:pStyle w:val="Sangradetextonormal"/>
        <w:spacing w:line="276" w:lineRule="auto"/>
        <w:rPr>
          <w:sz w:val="22"/>
          <w:szCs w:val="22"/>
        </w:rPr>
      </w:pPr>
      <w:r w:rsidRPr="00D8195A">
        <w:rPr>
          <w:sz w:val="22"/>
          <w:szCs w:val="22"/>
        </w:rPr>
        <w:t xml:space="preserve">En mérito de lo expuesto, el </w:t>
      </w:r>
      <w:r w:rsidRPr="00D8195A">
        <w:rPr>
          <w:b/>
          <w:sz w:val="22"/>
          <w:szCs w:val="22"/>
        </w:rPr>
        <w:t>Tribunal Superior del Distrito Judicial de Pereira (Risaralda)</w:t>
      </w:r>
      <w:r w:rsidRPr="00D8195A">
        <w:rPr>
          <w:sz w:val="22"/>
          <w:szCs w:val="22"/>
        </w:rPr>
        <w:t xml:space="preserve">, </w:t>
      </w:r>
      <w:r w:rsidRPr="00D8195A">
        <w:rPr>
          <w:b/>
          <w:sz w:val="22"/>
          <w:szCs w:val="22"/>
        </w:rPr>
        <w:t>Sala</w:t>
      </w:r>
      <w:r w:rsidR="00A51E5C" w:rsidRPr="00D8195A">
        <w:rPr>
          <w:b/>
          <w:sz w:val="22"/>
          <w:szCs w:val="22"/>
        </w:rPr>
        <w:t xml:space="preserve"> de Decisión </w:t>
      </w:r>
      <w:r w:rsidRPr="00D8195A">
        <w:rPr>
          <w:b/>
          <w:sz w:val="22"/>
          <w:szCs w:val="22"/>
        </w:rPr>
        <w:t>Laboral</w:t>
      </w:r>
      <w:r w:rsidR="00A51E5C" w:rsidRPr="00D8195A">
        <w:rPr>
          <w:b/>
          <w:sz w:val="22"/>
          <w:szCs w:val="22"/>
        </w:rPr>
        <w:t xml:space="preserve"> No. 1</w:t>
      </w:r>
      <w:r w:rsidRPr="00D8195A">
        <w:rPr>
          <w:sz w:val="22"/>
          <w:szCs w:val="22"/>
        </w:rPr>
        <w:t>, administrando</w:t>
      </w:r>
      <w:r w:rsidRPr="00BF4F59">
        <w:rPr>
          <w:sz w:val="22"/>
          <w:szCs w:val="22"/>
        </w:rPr>
        <w:t xml:space="preserve"> justicia en nombre de la República y por autoridad de la Ley,</w:t>
      </w:r>
    </w:p>
    <w:p w:rsidR="008B7665" w:rsidRPr="00BF4F59" w:rsidRDefault="008B7665" w:rsidP="00D8195A">
      <w:pPr>
        <w:tabs>
          <w:tab w:val="left" w:pos="748"/>
        </w:tabs>
        <w:spacing w:line="276" w:lineRule="auto"/>
        <w:jc w:val="both"/>
        <w:rPr>
          <w:sz w:val="22"/>
          <w:szCs w:val="22"/>
        </w:rPr>
      </w:pPr>
      <w:r w:rsidRPr="00BF4F59">
        <w:rPr>
          <w:rFonts w:ascii="Tahoma" w:hAnsi="Tahoma" w:cs="Tahoma"/>
          <w:sz w:val="22"/>
          <w:szCs w:val="22"/>
        </w:rPr>
        <w:tab/>
      </w:r>
    </w:p>
    <w:p w:rsidR="008B7665" w:rsidRPr="00BF4F59" w:rsidRDefault="008B7665" w:rsidP="00D8195A">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8B7665" w:rsidRPr="00BF4F59" w:rsidRDefault="008B7665" w:rsidP="00D8195A">
      <w:pPr>
        <w:widowControl w:val="0"/>
        <w:autoSpaceDE w:val="0"/>
        <w:autoSpaceDN w:val="0"/>
        <w:adjustRightInd w:val="0"/>
        <w:spacing w:line="276" w:lineRule="auto"/>
        <w:jc w:val="both"/>
        <w:rPr>
          <w:rFonts w:ascii="Tahoma" w:hAnsi="Tahoma" w:cs="Tahoma"/>
          <w:sz w:val="22"/>
          <w:szCs w:val="22"/>
        </w:rPr>
      </w:pPr>
    </w:p>
    <w:p w:rsidR="00FC5EFF" w:rsidRDefault="008B7665" w:rsidP="00D8195A">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1D5CDC" w:rsidRPr="001D5CDC">
        <w:rPr>
          <w:rFonts w:ascii="Tahoma" w:hAnsi="Tahoma" w:cs="Tahoma"/>
          <w:b/>
          <w:sz w:val="22"/>
          <w:szCs w:val="22"/>
        </w:rPr>
        <w:t>MODIFICAR</w:t>
      </w:r>
      <w:r w:rsidR="00B5378D">
        <w:rPr>
          <w:rFonts w:ascii="Tahoma" w:hAnsi="Tahoma" w:cs="Tahoma"/>
          <w:sz w:val="22"/>
          <w:szCs w:val="22"/>
        </w:rPr>
        <w:t xml:space="preserve"> </w:t>
      </w:r>
      <w:r w:rsidR="001D5CDC">
        <w:rPr>
          <w:rFonts w:ascii="Tahoma" w:hAnsi="Tahoma" w:cs="Tahoma"/>
          <w:sz w:val="22"/>
          <w:szCs w:val="22"/>
        </w:rPr>
        <w:t xml:space="preserve">el ordinal tercero de la parte resolutiva de </w:t>
      </w:r>
      <w:r w:rsidR="00B5378D">
        <w:rPr>
          <w:rFonts w:ascii="Tahoma" w:hAnsi="Tahoma" w:cs="Tahoma"/>
          <w:sz w:val="22"/>
          <w:szCs w:val="22"/>
        </w:rPr>
        <w:t xml:space="preserve">la sentencia proferida </w:t>
      </w:r>
      <w:r w:rsidR="00B5378D" w:rsidRPr="00BF4F59">
        <w:rPr>
          <w:rFonts w:ascii="Tahoma" w:hAnsi="Tahoma" w:cs="Tahoma"/>
          <w:sz w:val="22"/>
          <w:szCs w:val="22"/>
        </w:rPr>
        <w:t xml:space="preserve">por el Juzgado </w:t>
      </w:r>
      <w:r w:rsidR="001D5CDC">
        <w:rPr>
          <w:rFonts w:ascii="Tahoma" w:hAnsi="Tahoma" w:cs="Tahoma"/>
          <w:sz w:val="22"/>
          <w:szCs w:val="22"/>
        </w:rPr>
        <w:t xml:space="preserve">Tercero </w:t>
      </w:r>
      <w:r w:rsidR="00B5378D" w:rsidRPr="00BF4F59">
        <w:rPr>
          <w:rFonts w:ascii="Tahoma" w:hAnsi="Tahoma" w:cs="Tahoma"/>
          <w:sz w:val="22"/>
          <w:szCs w:val="22"/>
        </w:rPr>
        <w:t>Laboral del Circuito de Pereira</w:t>
      </w:r>
      <w:r w:rsidR="00B5378D">
        <w:rPr>
          <w:rFonts w:ascii="Tahoma" w:hAnsi="Tahoma" w:cs="Tahoma"/>
          <w:sz w:val="22"/>
          <w:szCs w:val="22"/>
        </w:rPr>
        <w:t xml:space="preserve">, </w:t>
      </w:r>
      <w:r w:rsidR="00B5378D" w:rsidRPr="00BF4F59">
        <w:rPr>
          <w:rFonts w:ascii="Tahoma" w:hAnsi="Tahoma" w:cs="Tahoma"/>
          <w:sz w:val="22"/>
          <w:szCs w:val="22"/>
        </w:rPr>
        <w:t xml:space="preserve">dentro del proceso iniciado por </w:t>
      </w:r>
      <w:r w:rsidR="001D5CDC" w:rsidRPr="001D5CDC">
        <w:rPr>
          <w:rFonts w:ascii="Tahoma" w:hAnsi="Tahoma" w:cs="Tahoma"/>
          <w:b/>
          <w:sz w:val="22"/>
          <w:szCs w:val="22"/>
        </w:rPr>
        <w:t>Luís Horacio Pulgarín</w:t>
      </w:r>
      <w:r w:rsidR="001D5CDC">
        <w:rPr>
          <w:rFonts w:ascii="Tahoma" w:hAnsi="Tahoma" w:cs="Tahoma"/>
          <w:sz w:val="22"/>
          <w:szCs w:val="22"/>
        </w:rPr>
        <w:t xml:space="preserve"> </w:t>
      </w:r>
      <w:r w:rsidR="00B5378D" w:rsidRPr="007834F9">
        <w:rPr>
          <w:rFonts w:ascii="Tahoma" w:hAnsi="Tahoma" w:cs="Tahoma"/>
          <w:sz w:val="22"/>
          <w:szCs w:val="22"/>
          <w:lang w:val="es-ES_tradnl"/>
        </w:rPr>
        <w:t xml:space="preserve">en contra de la </w:t>
      </w:r>
      <w:r w:rsidR="00B5378D" w:rsidRPr="007834F9">
        <w:rPr>
          <w:rFonts w:ascii="Tahoma" w:hAnsi="Tahoma" w:cs="Tahoma"/>
          <w:b/>
          <w:sz w:val="22"/>
          <w:szCs w:val="22"/>
          <w:lang w:val="es-ES_tradnl"/>
        </w:rPr>
        <w:t>Administradora Colombiana de Pensiones –Colpensiones</w:t>
      </w:r>
      <w:r w:rsidR="00B5378D" w:rsidRPr="00B5378D">
        <w:rPr>
          <w:rFonts w:ascii="Tahoma" w:hAnsi="Tahoma" w:cs="Tahoma"/>
          <w:sz w:val="22"/>
          <w:szCs w:val="22"/>
          <w:lang w:val="es-ES_tradnl"/>
        </w:rPr>
        <w:t>,</w:t>
      </w:r>
      <w:r w:rsidR="001D5CDC">
        <w:rPr>
          <w:rFonts w:ascii="Tahoma" w:hAnsi="Tahoma" w:cs="Tahoma"/>
          <w:sz w:val="22"/>
          <w:szCs w:val="22"/>
          <w:lang w:val="es-ES_tradnl"/>
        </w:rPr>
        <w:t xml:space="preserve"> en el sentido de que el valor de la mesada a que tiene derecho al demandante para el 12 de enero de</w:t>
      </w:r>
      <w:r w:rsidR="00E1185B">
        <w:rPr>
          <w:rFonts w:ascii="Tahoma" w:hAnsi="Tahoma" w:cs="Tahoma"/>
          <w:sz w:val="22"/>
          <w:szCs w:val="22"/>
          <w:lang w:val="es-ES_tradnl"/>
        </w:rPr>
        <w:t xml:space="preserve"> 20</w:t>
      </w:r>
      <w:r w:rsidR="001D5CDC">
        <w:rPr>
          <w:rFonts w:ascii="Tahoma" w:hAnsi="Tahoma" w:cs="Tahoma"/>
          <w:sz w:val="22"/>
          <w:szCs w:val="22"/>
          <w:lang w:val="es-ES_tradnl"/>
        </w:rPr>
        <w:t xml:space="preserve">12 es de </w:t>
      </w:r>
      <w:r w:rsidR="001D5CDC">
        <w:rPr>
          <w:rFonts w:ascii="Tahoma" w:hAnsi="Tahoma" w:cs="Tahoma"/>
          <w:sz w:val="22"/>
          <w:szCs w:val="22"/>
        </w:rPr>
        <w:t>$</w:t>
      </w:r>
      <w:r w:rsidR="001D5CDC" w:rsidRPr="00DE6159">
        <w:rPr>
          <w:rFonts w:ascii="Tahoma" w:hAnsi="Tahoma" w:cs="Tahoma"/>
          <w:sz w:val="22"/>
          <w:szCs w:val="22"/>
        </w:rPr>
        <w:t>1.145.745</w:t>
      </w:r>
      <w:r w:rsidR="001D5CDC">
        <w:rPr>
          <w:rFonts w:ascii="Tahoma" w:hAnsi="Tahoma" w:cs="Tahoma"/>
          <w:sz w:val="22"/>
          <w:szCs w:val="22"/>
        </w:rPr>
        <w:t>, y que el retroactivo de las diferencias dejadas de pagar causado desde esa calenda hasta el 31 de mayo de 201</w:t>
      </w:r>
      <w:r w:rsidR="001A028D">
        <w:rPr>
          <w:rFonts w:ascii="Tahoma" w:hAnsi="Tahoma" w:cs="Tahoma"/>
          <w:sz w:val="22"/>
          <w:szCs w:val="22"/>
        </w:rPr>
        <w:t>7</w:t>
      </w:r>
      <w:r w:rsidR="001D5CDC">
        <w:rPr>
          <w:rFonts w:ascii="Tahoma" w:hAnsi="Tahoma" w:cs="Tahoma"/>
          <w:sz w:val="22"/>
          <w:szCs w:val="22"/>
        </w:rPr>
        <w:t xml:space="preserve"> asciende a </w:t>
      </w:r>
      <w:r w:rsidR="001D5CDC" w:rsidRPr="00DE6159">
        <w:rPr>
          <w:rFonts w:ascii="Tahoma" w:hAnsi="Tahoma" w:cs="Tahoma"/>
          <w:sz w:val="22"/>
          <w:szCs w:val="22"/>
        </w:rPr>
        <w:t>$2</w:t>
      </w:r>
      <w:r w:rsidR="001A028D">
        <w:rPr>
          <w:rFonts w:ascii="Tahoma" w:hAnsi="Tahoma" w:cs="Tahoma"/>
          <w:sz w:val="22"/>
          <w:szCs w:val="22"/>
        </w:rPr>
        <w:t>61</w:t>
      </w:r>
      <w:r w:rsidR="001D5CDC" w:rsidRPr="00DE6159">
        <w:rPr>
          <w:rFonts w:ascii="Tahoma" w:hAnsi="Tahoma" w:cs="Tahoma"/>
          <w:sz w:val="22"/>
          <w:szCs w:val="22"/>
        </w:rPr>
        <w:t>.</w:t>
      </w:r>
      <w:r w:rsidR="001A028D">
        <w:rPr>
          <w:rFonts w:ascii="Tahoma" w:hAnsi="Tahoma" w:cs="Tahoma"/>
          <w:sz w:val="22"/>
          <w:szCs w:val="22"/>
        </w:rPr>
        <w:t>528</w:t>
      </w:r>
      <w:r w:rsidR="001D5CDC">
        <w:rPr>
          <w:rFonts w:ascii="Tahoma" w:hAnsi="Tahoma" w:cs="Tahoma"/>
          <w:sz w:val="22"/>
          <w:szCs w:val="22"/>
        </w:rPr>
        <w:t>, monto cuya indexación es de $</w:t>
      </w:r>
      <w:r w:rsidR="001D5CDC" w:rsidRPr="00DE6159">
        <w:rPr>
          <w:rFonts w:ascii="Tahoma" w:hAnsi="Tahoma" w:cs="Tahoma"/>
          <w:sz w:val="22"/>
          <w:szCs w:val="22"/>
        </w:rPr>
        <w:t>36</w:t>
      </w:r>
      <w:r w:rsidR="001D5CDC">
        <w:rPr>
          <w:rFonts w:ascii="Tahoma" w:hAnsi="Tahoma" w:cs="Tahoma"/>
          <w:sz w:val="22"/>
          <w:szCs w:val="22"/>
        </w:rPr>
        <w:t>.</w:t>
      </w:r>
      <w:r w:rsidR="001A028D">
        <w:rPr>
          <w:rFonts w:ascii="Tahoma" w:hAnsi="Tahoma" w:cs="Tahoma"/>
          <w:sz w:val="22"/>
          <w:szCs w:val="22"/>
        </w:rPr>
        <w:t>936</w:t>
      </w:r>
      <w:r w:rsidR="001D5CDC" w:rsidRPr="00DE6159">
        <w:rPr>
          <w:rFonts w:ascii="Tahoma" w:hAnsi="Tahoma" w:cs="Tahoma"/>
          <w:sz w:val="22"/>
          <w:szCs w:val="22"/>
        </w:rPr>
        <w:t xml:space="preserve">, para un total de </w:t>
      </w:r>
      <w:r w:rsidR="001D5CDC">
        <w:rPr>
          <w:rFonts w:ascii="Tahoma" w:hAnsi="Tahoma" w:cs="Tahoma"/>
          <w:sz w:val="22"/>
          <w:szCs w:val="22"/>
        </w:rPr>
        <w:t>$</w:t>
      </w:r>
      <w:r w:rsidR="001A028D">
        <w:rPr>
          <w:rFonts w:ascii="Tahoma" w:hAnsi="Tahoma" w:cs="Tahoma"/>
          <w:sz w:val="22"/>
          <w:szCs w:val="22"/>
        </w:rPr>
        <w:t>298</w:t>
      </w:r>
      <w:r w:rsidR="001D5CDC" w:rsidRPr="00DE6159">
        <w:rPr>
          <w:rFonts w:ascii="Tahoma" w:hAnsi="Tahoma" w:cs="Tahoma"/>
          <w:sz w:val="22"/>
          <w:szCs w:val="22"/>
        </w:rPr>
        <w:t>.</w:t>
      </w:r>
      <w:r w:rsidR="001A028D">
        <w:rPr>
          <w:rFonts w:ascii="Tahoma" w:hAnsi="Tahoma" w:cs="Tahoma"/>
          <w:sz w:val="22"/>
          <w:szCs w:val="22"/>
        </w:rPr>
        <w:t>463</w:t>
      </w:r>
      <w:r w:rsidR="001D5CDC">
        <w:rPr>
          <w:rFonts w:ascii="Tahoma" w:hAnsi="Tahoma" w:cs="Tahoma"/>
          <w:sz w:val="22"/>
          <w:szCs w:val="22"/>
        </w:rPr>
        <w:t>; sin perjuicio de las que se causen con posterioridad y los descuentos de ley.</w:t>
      </w:r>
    </w:p>
    <w:p w:rsidR="00FC5EFF" w:rsidRDefault="00FC5EFF" w:rsidP="00D8195A">
      <w:pPr>
        <w:spacing w:line="276" w:lineRule="auto"/>
        <w:ind w:firstLine="708"/>
        <w:jc w:val="both"/>
        <w:rPr>
          <w:rFonts w:ascii="Tahoma" w:hAnsi="Tahoma" w:cs="Tahoma"/>
          <w:sz w:val="22"/>
          <w:szCs w:val="22"/>
        </w:rPr>
      </w:pPr>
    </w:p>
    <w:p w:rsidR="00E351B6" w:rsidRPr="001D5CDC" w:rsidRDefault="00FC5EFF" w:rsidP="00D8195A">
      <w:pPr>
        <w:spacing w:line="276" w:lineRule="auto"/>
        <w:ind w:firstLine="708"/>
        <w:jc w:val="both"/>
        <w:rPr>
          <w:rFonts w:ascii="Tahoma" w:hAnsi="Tahoma" w:cs="Tahoma"/>
          <w:sz w:val="22"/>
          <w:szCs w:val="22"/>
        </w:rPr>
      </w:pPr>
      <w:r w:rsidRPr="00FC5EFF">
        <w:rPr>
          <w:rFonts w:ascii="Tahoma" w:hAnsi="Tahoma" w:cs="Tahoma"/>
          <w:b/>
          <w:sz w:val="22"/>
          <w:szCs w:val="22"/>
          <w:u w:val="single"/>
        </w:rPr>
        <w:t>SEGUNDO</w:t>
      </w:r>
      <w:r w:rsidRPr="00FC5EFF">
        <w:rPr>
          <w:rFonts w:ascii="Tahoma" w:hAnsi="Tahoma" w:cs="Tahoma"/>
          <w:b/>
          <w:sz w:val="22"/>
          <w:szCs w:val="22"/>
        </w:rPr>
        <w:t>.-</w:t>
      </w:r>
      <w:r w:rsidR="001D5CDC">
        <w:rPr>
          <w:rFonts w:ascii="Tahoma" w:hAnsi="Tahoma" w:cs="Tahoma"/>
          <w:b/>
          <w:sz w:val="22"/>
          <w:szCs w:val="22"/>
        </w:rPr>
        <w:t xml:space="preserve"> CONFIRMAR </w:t>
      </w:r>
      <w:r w:rsidR="001D5CDC" w:rsidRPr="001D5CDC">
        <w:rPr>
          <w:rFonts w:ascii="Tahoma" w:hAnsi="Tahoma" w:cs="Tahoma"/>
          <w:sz w:val="22"/>
          <w:szCs w:val="22"/>
        </w:rPr>
        <w:t>en todo lo demás la sentencia de primera instancia.</w:t>
      </w:r>
    </w:p>
    <w:p w:rsidR="00E351B6" w:rsidRDefault="00E351B6" w:rsidP="00D8195A">
      <w:pPr>
        <w:spacing w:line="276" w:lineRule="auto"/>
        <w:ind w:firstLine="708"/>
        <w:jc w:val="both"/>
        <w:rPr>
          <w:rFonts w:ascii="Tahoma" w:hAnsi="Tahoma" w:cs="Tahoma"/>
          <w:sz w:val="22"/>
          <w:szCs w:val="22"/>
        </w:rPr>
      </w:pPr>
    </w:p>
    <w:p w:rsidR="00E351B6" w:rsidRDefault="00E351B6" w:rsidP="00D8195A">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 xml:space="preserve">.- </w:t>
      </w:r>
      <w:r w:rsidRPr="006D5A9B">
        <w:rPr>
          <w:rFonts w:ascii="Tahoma" w:hAnsi="Tahoma" w:cs="Tahoma"/>
          <w:sz w:val="22"/>
          <w:szCs w:val="22"/>
        </w:rPr>
        <w:t>Sin condena en costas en este grado jurisdiccional</w:t>
      </w:r>
      <w:r>
        <w:rPr>
          <w:rFonts w:ascii="Tahoma" w:hAnsi="Tahoma" w:cs="Tahoma"/>
          <w:sz w:val="22"/>
          <w:szCs w:val="22"/>
        </w:rPr>
        <w:t>.</w:t>
      </w:r>
    </w:p>
    <w:p w:rsidR="00E351B6" w:rsidRDefault="00E351B6" w:rsidP="00D8195A">
      <w:pPr>
        <w:spacing w:line="276" w:lineRule="auto"/>
        <w:ind w:firstLine="708"/>
        <w:jc w:val="both"/>
        <w:rPr>
          <w:rFonts w:ascii="Tahoma" w:hAnsi="Tahoma" w:cs="Tahoma"/>
          <w:sz w:val="22"/>
          <w:szCs w:val="22"/>
        </w:rPr>
      </w:pPr>
    </w:p>
    <w:p w:rsidR="008B7665" w:rsidRPr="00BF4F59" w:rsidRDefault="008B7665" w:rsidP="00D8195A">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8B7665" w:rsidRPr="00BF4F59" w:rsidRDefault="008B7665" w:rsidP="00D8195A">
      <w:pPr>
        <w:widowControl w:val="0"/>
        <w:autoSpaceDE w:val="0"/>
        <w:autoSpaceDN w:val="0"/>
        <w:adjustRightInd w:val="0"/>
        <w:jc w:val="both"/>
        <w:rPr>
          <w:rFonts w:ascii="Tahoma" w:hAnsi="Tahoma" w:cs="Tahoma"/>
          <w:b/>
          <w:bCs/>
          <w:sz w:val="22"/>
          <w:szCs w:val="22"/>
        </w:rPr>
      </w:pPr>
    </w:p>
    <w:p w:rsidR="008B7665" w:rsidRDefault="008B7665" w:rsidP="00D8195A">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B97C62" w:rsidRPr="00BF4F59" w:rsidRDefault="00B97C62" w:rsidP="00D8195A">
      <w:pPr>
        <w:widowControl w:val="0"/>
        <w:autoSpaceDE w:val="0"/>
        <w:autoSpaceDN w:val="0"/>
        <w:adjustRightInd w:val="0"/>
        <w:spacing w:line="276" w:lineRule="auto"/>
        <w:ind w:firstLine="708"/>
        <w:jc w:val="both"/>
        <w:rPr>
          <w:rFonts w:ascii="Tahoma" w:hAnsi="Tahoma" w:cs="Tahoma"/>
          <w:sz w:val="22"/>
          <w:szCs w:val="22"/>
        </w:rPr>
      </w:pPr>
    </w:p>
    <w:p w:rsidR="008B7665" w:rsidRPr="007834F9" w:rsidRDefault="008B7665" w:rsidP="00D8195A">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3E491B" w:rsidRPr="007834F9" w:rsidRDefault="003E491B" w:rsidP="00D8195A">
      <w:pPr>
        <w:spacing w:line="276" w:lineRule="auto"/>
        <w:rPr>
          <w:rFonts w:ascii="Tahoma" w:hAnsi="Tahoma" w:cs="Tahoma"/>
          <w:sz w:val="22"/>
          <w:szCs w:val="22"/>
        </w:rPr>
      </w:pPr>
    </w:p>
    <w:p w:rsidR="008B7665" w:rsidRDefault="008B7665" w:rsidP="00D8195A">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D8195A" w:rsidRPr="00D8195A" w:rsidRDefault="00D8195A" w:rsidP="00D8195A"/>
    <w:p w:rsidR="008B7665" w:rsidRPr="007834F9" w:rsidRDefault="008B7665" w:rsidP="00D8195A">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8B7665" w:rsidRPr="007834F9" w:rsidRDefault="008B7665" w:rsidP="00D8195A">
      <w:pPr>
        <w:spacing w:line="276" w:lineRule="auto"/>
        <w:ind w:firstLine="708"/>
        <w:jc w:val="both"/>
        <w:rPr>
          <w:rFonts w:ascii="Tahoma" w:hAnsi="Tahoma" w:cs="Tahoma"/>
          <w:sz w:val="22"/>
          <w:szCs w:val="22"/>
        </w:rPr>
      </w:pPr>
    </w:p>
    <w:p w:rsidR="008B7665" w:rsidRPr="007834F9" w:rsidRDefault="008B7665" w:rsidP="00D8195A">
      <w:pPr>
        <w:spacing w:line="276" w:lineRule="auto"/>
        <w:rPr>
          <w:rFonts w:ascii="Tahoma" w:hAnsi="Tahoma" w:cs="Tahoma"/>
          <w:b/>
          <w:sz w:val="22"/>
          <w:szCs w:val="22"/>
        </w:rPr>
      </w:pPr>
    </w:p>
    <w:p w:rsidR="008B7665" w:rsidRPr="007834F9" w:rsidRDefault="008B7665" w:rsidP="00D8195A">
      <w:pPr>
        <w:spacing w:line="276" w:lineRule="auto"/>
        <w:jc w:val="both"/>
        <w:rPr>
          <w:rFonts w:ascii="Tahoma" w:hAnsi="Tahoma" w:cs="Tahoma"/>
          <w:b/>
          <w:sz w:val="22"/>
          <w:szCs w:val="22"/>
        </w:rPr>
      </w:pPr>
      <w:r w:rsidRPr="007834F9">
        <w:rPr>
          <w:rFonts w:ascii="Tahoma" w:hAnsi="Tahoma" w:cs="Tahoma"/>
          <w:b/>
          <w:sz w:val="22"/>
          <w:szCs w:val="22"/>
        </w:rPr>
        <w:t>JULIO CÉSAR SALAZAR MUÑOZ</w:t>
      </w:r>
      <w:r w:rsidR="00A55EDA">
        <w:rPr>
          <w:rFonts w:ascii="Tahoma" w:hAnsi="Tahoma" w:cs="Tahoma"/>
          <w:b/>
          <w:sz w:val="22"/>
          <w:szCs w:val="22"/>
        </w:rPr>
        <w:t xml:space="preserve">           </w:t>
      </w:r>
      <w:r w:rsidR="001D5CDC">
        <w:rPr>
          <w:rFonts w:ascii="Tahoma" w:hAnsi="Tahoma" w:cs="Tahoma"/>
          <w:b/>
          <w:sz w:val="22"/>
          <w:szCs w:val="22"/>
        </w:rPr>
        <w:t xml:space="preserve">                      </w:t>
      </w:r>
      <w:r w:rsidR="00A55EDA">
        <w:rPr>
          <w:rFonts w:ascii="Tahoma" w:hAnsi="Tahoma" w:cs="Tahoma"/>
          <w:b/>
          <w:sz w:val="22"/>
          <w:szCs w:val="22"/>
        </w:rPr>
        <w:t xml:space="preserve"> FRANCISCO JAVIER TAMAYO TABARES</w:t>
      </w:r>
    </w:p>
    <w:p w:rsidR="0078349E" w:rsidRDefault="0078349E" w:rsidP="00D8195A"/>
    <w:tbl>
      <w:tblPr>
        <w:tblW w:w="0" w:type="auto"/>
        <w:tblInd w:w="70" w:type="dxa"/>
        <w:tblCellMar>
          <w:left w:w="70" w:type="dxa"/>
          <w:right w:w="70" w:type="dxa"/>
        </w:tblCellMar>
        <w:tblLook w:val="04A0" w:firstRow="1" w:lastRow="0" w:firstColumn="1" w:lastColumn="0" w:noHBand="0" w:noVBand="1"/>
      </w:tblPr>
      <w:tblGrid>
        <w:gridCol w:w="949"/>
        <w:gridCol w:w="949"/>
        <w:gridCol w:w="1332"/>
        <w:gridCol w:w="1797"/>
        <w:gridCol w:w="1143"/>
        <w:gridCol w:w="1264"/>
        <w:gridCol w:w="2457"/>
      </w:tblGrid>
      <w:tr w:rsidR="0078349E" w:rsidRPr="0078349E" w:rsidTr="00284604">
        <w:trPr>
          <w:trHeight w:val="20"/>
        </w:trPr>
        <w:tc>
          <w:tcPr>
            <w:tcW w:w="9161" w:type="dxa"/>
            <w:gridSpan w:val="7"/>
            <w:tcBorders>
              <w:top w:val="single" w:sz="8" w:space="0" w:color="auto"/>
              <w:left w:val="single" w:sz="8" w:space="0" w:color="auto"/>
              <w:bottom w:val="single" w:sz="8"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LUIS HORACIO PULGARIN GIRALDO</w:t>
            </w:r>
            <w:r w:rsidR="00D8195A">
              <w:rPr>
                <w:rFonts w:asciiTheme="minorHAnsi" w:hAnsiTheme="minorHAnsi"/>
                <w:b/>
                <w:bCs/>
                <w:i/>
                <w:iCs/>
                <w:color w:val="000000"/>
                <w:sz w:val="16"/>
                <w:szCs w:val="16"/>
              </w:rPr>
              <w:t xml:space="preserve"> – IBL 10 AÑOS</w:t>
            </w:r>
          </w:p>
        </w:tc>
      </w:tr>
      <w:tr w:rsidR="0078349E" w:rsidRPr="0078349E" w:rsidTr="0078349E">
        <w:trPr>
          <w:trHeight w:val="20"/>
        </w:trPr>
        <w:tc>
          <w:tcPr>
            <w:tcW w:w="0" w:type="auto"/>
            <w:gridSpan w:val="3"/>
            <w:tcBorders>
              <w:top w:val="single" w:sz="8" w:space="0" w:color="auto"/>
              <w:left w:val="single" w:sz="4" w:space="0" w:color="auto"/>
              <w:bottom w:val="single" w:sz="4" w:space="0" w:color="auto"/>
              <w:right w:val="nil"/>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r w:rsidRPr="0078349E">
              <w:rPr>
                <w:rFonts w:asciiTheme="minorHAnsi" w:hAnsiTheme="minorHAnsi"/>
                <w:b/>
                <w:bCs/>
                <w:i/>
                <w:iCs/>
                <w:color w:val="000000"/>
                <w:sz w:val="16"/>
                <w:szCs w:val="16"/>
              </w:rPr>
              <w:t>Fecha de nacimiento:</w:t>
            </w:r>
          </w:p>
        </w:tc>
        <w:tc>
          <w:tcPr>
            <w:tcW w:w="1597" w:type="dxa"/>
            <w:tcBorders>
              <w:top w:val="nil"/>
              <w:left w:val="nil"/>
              <w:bottom w:val="single" w:sz="4" w:space="0" w:color="auto"/>
              <w:right w:val="single" w:sz="8"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12-ene-52</w:t>
            </w:r>
          </w:p>
        </w:tc>
        <w:tc>
          <w:tcPr>
            <w:tcW w:w="0" w:type="auto"/>
            <w:gridSpan w:val="2"/>
            <w:tcBorders>
              <w:top w:val="single" w:sz="8" w:space="0" w:color="auto"/>
              <w:left w:val="nil"/>
              <w:bottom w:val="single" w:sz="4" w:space="0" w:color="auto"/>
              <w:right w:val="nil"/>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r w:rsidRPr="0078349E">
              <w:rPr>
                <w:rFonts w:asciiTheme="minorHAnsi" w:hAnsiTheme="minorHAnsi"/>
                <w:b/>
                <w:bCs/>
                <w:i/>
                <w:iCs/>
                <w:color w:val="000000"/>
                <w:sz w:val="16"/>
                <w:szCs w:val="16"/>
              </w:rPr>
              <w:t>Fecha reconocimiento pensión:</w:t>
            </w:r>
          </w:p>
        </w:tc>
        <w:tc>
          <w:tcPr>
            <w:tcW w:w="2183" w:type="dxa"/>
            <w:tcBorders>
              <w:top w:val="nil"/>
              <w:left w:val="nil"/>
              <w:bottom w:val="single" w:sz="4" w:space="0" w:color="auto"/>
              <w:right w:val="single" w:sz="8"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12/01/2012</w:t>
            </w:r>
          </w:p>
        </w:tc>
      </w:tr>
      <w:tr w:rsidR="0078349E" w:rsidRPr="0078349E" w:rsidTr="00284604">
        <w:trPr>
          <w:trHeight w:val="20"/>
        </w:trPr>
        <w:tc>
          <w:tcPr>
            <w:tcW w:w="0" w:type="auto"/>
            <w:gridSpan w:val="3"/>
            <w:tcBorders>
              <w:top w:val="single" w:sz="4" w:space="0" w:color="auto"/>
              <w:left w:val="single" w:sz="4" w:space="0" w:color="auto"/>
              <w:bottom w:val="single" w:sz="8" w:space="0" w:color="auto"/>
              <w:right w:val="nil"/>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r w:rsidRPr="0078349E">
              <w:rPr>
                <w:rFonts w:asciiTheme="minorHAnsi" w:hAnsiTheme="minorHAnsi"/>
                <w:b/>
                <w:bCs/>
                <w:i/>
                <w:iCs/>
                <w:color w:val="000000"/>
                <w:sz w:val="16"/>
                <w:szCs w:val="16"/>
              </w:rPr>
              <w:t>Total semanas cotizadas:</w:t>
            </w:r>
          </w:p>
        </w:tc>
        <w:tc>
          <w:tcPr>
            <w:tcW w:w="1597" w:type="dxa"/>
            <w:tcBorders>
              <w:top w:val="nil"/>
              <w:left w:val="nil"/>
              <w:bottom w:val="single" w:sz="8" w:space="0" w:color="auto"/>
              <w:right w:val="single" w:sz="8" w:space="0" w:color="auto"/>
            </w:tcBorders>
            <w:shd w:val="clear" w:color="auto" w:fill="auto"/>
            <w:noWrap/>
            <w:vAlign w:val="center"/>
            <w:hideMark/>
          </w:tcPr>
          <w:p w:rsidR="0078349E" w:rsidRPr="0078349E" w:rsidRDefault="0078349E" w:rsidP="00D8195A">
            <w:pPr>
              <w:rPr>
                <w:rFonts w:asciiTheme="minorHAnsi" w:hAnsiTheme="minorHAnsi"/>
                <w:color w:val="000000"/>
                <w:sz w:val="16"/>
                <w:szCs w:val="16"/>
              </w:rPr>
            </w:pPr>
            <w:r w:rsidRPr="0078349E">
              <w:rPr>
                <w:rFonts w:asciiTheme="minorHAnsi" w:hAnsiTheme="minorHAnsi"/>
                <w:color w:val="000000"/>
                <w:sz w:val="16"/>
                <w:szCs w:val="16"/>
              </w:rPr>
              <w:t>514,29</w:t>
            </w:r>
          </w:p>
        </w:tc>
        <w:tc>
          <w:tcPr>
            <w:tcW w:w="0" w:type="auto"/>
            <w:tcBorders>
              <w:top w:val="nil"/>
              <w:left w:val="nil"/>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
                <w:bCs/>
                <w:color w:val="000000"/>
                <w:sz w:val="16"/>
                <w:szCs w:val="16"/>
              </w:rPr>
            </w:pPr>
            <w:r>
              <w:rPr>
                <w:rFonts w:asciiTheme="minorHAnsi" w:hAnsiTheme="minorHAnsi"/>
                <w:b/>
                <w:bCs/>
                <w:color w:val="000000"/>
                <w:sz w:val="16"/>
                <w:szCs w:val="16"/>
              </w:rPr>
              <w:t>TR</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90,00%</w:t>
            </w:r>
          </w:p>
        </w:tc>
        <w:tc>
          <w:tcPr>
            <w:tcW w:w="2183" w:type="dxa"/>
            <w:tcBorders>
              <w:top w:val="nil"/>
              <w:left w:val="single" w:sz="4" w:space="0" w:color="auto"/>
              <w:bottom w:val="single" w:sz="4" w:space="0" w:color="auto"/>
              <w:right w:val="single" w:sz="8" w:space="0" w:color="auto"/>
            </w:tcBorders>
            <w:shd w:val="clear" w:color="auto" w:fill="auto"/>
            <w:noWrap/>
            <w:vAlign w:val="bottom"/>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w:t>
            </w:r>
          </w:p>
        </w:tc>
      </w:tr>
      <w:tr w:rsidR="0078349E" w:rsidRPr="0078349E" w:rsidTr="0078349E">
        <w:trPr>
          <w:trHeight w:val="20"/>
        </w:trPr>
        <w:tc>
          <w:tcPr>
            <w:tcW w:w="4678" w:type="dxa"/>
            <w:gridSpan w:val="4"/>
            <w:tcBorders>
              <w:top w:val="single" w:sz="8" w:space="0" w:color="auto"/>
              <w:left w:val="single" w:sz="4" w:space="0" w:color="auto"/>
              <w:bottom w:val="single" w:sz="4" w:space="0" w:color="808000"/>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HISTORIA LABORAL DEL AFILIADO</w:t>
            </w:r>
          </w:p>
        </w:tc>
        <w:tc>
          <w:tcPr>
            <w:tcW w:w="0" w:type="auto"/>
            <w:gridSpan w:val="2"/>
            <w:tcBorders>
              <w:top w:val="single" w:sz="4" w:space="0" w:color="auto"/>
              <w:left w:val="single" w:sz="4" w:space="0" w:color="auto"/>
              <w:bottom w:val="single" w:sz="4" w:space="0" w:color="808000"/>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Pr>
                <w:rFonts w:asciiTheme="minorHAnsi" w:hAnsiTheme="minorHAnsi"/>
                <w:b/>
                <w:bCs/>
                <w:i/>
                <w:iCs/>
                <w:color w:val="000000"/>
                <w:sz w:val="16"/>
                <w:szCs w:val="16"/>
              </w:rPr>
              <w:t xml:space="preserve">IPC Dane </w:t>
            </w:r>
            <w:r w:rsidRPr="0078349E">
              <w:rPr>
                <w:rFonts w:asciiTheme="minorHAnsi" w:hAnsiTheme="minorHAnsi"/>
                <w:b/>
                <w:bCs/>
                <w:i/>
                <w:iCs/>
                <w:color w:val="000000"/>
                <w:sz w:val="16"/>
                <w:szCs w:val="16"/>
              </w:rPr>
              <w:t xml:space="preserve">          (serie de empalme)</w:t>
            </w:r>
          </w:p>
        </w:tc>
        <w:tc>
          <w:tcPr>
            <w:tcW w:w="2183"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Promedio Salarial        (Dias x IBC actualizado/total dias)</w:t>
            </w:r>
          </w:p>
        </w:tc>
      </w:tr>
      <w:tr w:rsidR="0078349E" w:rsidRPr="0078349E" w:rsidTr="00284604">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Fechas de aporte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Número de días</w:t>
            </w:r>
          </w:p>
        </w:tc>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Ingreso Base de Cotización</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IPC Final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IPC Inicial</w:t>
            </w:r>
          </w:p>
        </w:tc>
        <w:tc>
          <w:tcPr>
            <w:tcW w:w="2183"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r>
      <w:tr w:rsidR="00284604" w:rsidRPr="0078349E" w:rsidTr="0028460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Hasta</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c>
          <w:tcPr>
            <w:tcW w:w="15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c>
          <w:tcPr>
            <w:tcW w:w="2183"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78349E" w:rsidRPr="0078349E" w:rsidRDefault="0078349E" w:rsidP="00D8195A">
            <w:pPr>
              <w:rPr>
                <w:rFonts w:asciiTheme="minorHAnsi" w:hAnsiTheme="minorHAnsi"/>
                <w:b/>
                <w:bCs/>
                <w:i/>
                <w:iCs/>
                <w:color w:val="000000"/>
                <w:sz w:val="16"/>
                <w:szCs w:val="16"/>
              </w:rPr>
            </w:pP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01-nov-90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111.000,00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8,28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12.194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01-dic-90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150.270,00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8,28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17.058</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31-ene-92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150.270,00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13,90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10.161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01-feb-92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335</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181.050,00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13,90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132.298</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365</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254.730,00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17,40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162.072</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lastRenderedPageBreak/>
              <w:t>01-ene-94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31-ene-94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254.730,00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21,33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11.227</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01-feb-94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31-ago-94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212</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314.661,00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21,33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94.841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122</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332.815,00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21,33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57.727</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31-mar-95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90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328.000,00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34.234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01-abr-95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30-abr-95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782.000,00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27.206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01-may-95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328.000,00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11.411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01-jun-95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821.000,00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28.563</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01-jul-95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31-jul-95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328.000,00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11.411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31-ago-95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413.000,00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14.369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90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385.000,00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40.183</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963.000,00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26,15</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33.503</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31-ene-96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385.000,00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11.212</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01-feb-96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29-feb-96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740.000,00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20.831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01-mar-96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90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464.000,00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40.537</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01-jun-96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1.160.000,00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33.781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01-jul-96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31-jul-96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1.746.000,00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50.846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464.000,00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54.049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01-dic-96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1.388.000,00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31,24</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40.420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150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555.000,00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66.436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01-jun-97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21</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2.283.000,00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38.260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31-ago-97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144.000,00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3.447</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172.000,00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16.471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31-ene-98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172.000,00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3.499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01-feb-98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204.000,00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8.300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01-abr-98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30-abr-98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204.444,00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4.159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01-may-98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203.829,00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4.147</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01-jun-98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203.822,00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4.146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01-jul-98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31-jul-98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206.667,00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4.204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30-nov-98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90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203.826,00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44,72</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12.439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01-feb-99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30-abr-99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236.460,00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10.854</w:t>
            </w:r>
          </w:p>
        </w:tc>
      </w:tr>
      <w:tr w:rsidR="0078349E" w:rsidRPr="00284604"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Cs/>
                <w:i/>
                <w:iCs/>
                <w:color w:val="000000"/>
                <w:sz w:val="16"/>
                <w:szCs w:val="16"/>
              </w:rPr>
            </w:pPr>
            <w:r w:rsidRPr="0078349E">
              <w:rPr>
                <w:rFonts w:asciiTheme="minorHAnsi" w:hAnsiTheme="minorHAnsi"/>
                <w:bCs/>
                <w:i/>
                <w:iCs/>
                <w:color w:val="000000"/>
                <w:sz w:val="16"/>
                <w:szCs w:val="16"/>
              </w:rPr>
              <w:t>01-jun-99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bCs/>
                <w:i/>
                <w:iCs/>
                <w:color w:val="000000"/>
                <w:sz w:val="16"/>
                <w:szCs w:val="16"/>
              </w:rPr>
            </w:pPr>
            <w:r w:rsidRPr="0078349E">
              <w:rPr>
                <w:rFonts w:asciiTheme="minorHAnsi" w:hAnsiTheme="minorHAnsi"/>
                <w:bCs/>
                <w:i/>
                <w:iCs/>
                <w:color w:val="000000"/>
                <w:sz w:val="16"/>
                <w:szCs w:val="16"/>
              </w:rPr>
              <w:t>30-jun-99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Cs/>
                <w:i/>
                <w:iCs/>
                <w:color w:val="000000"/>
                <w:sz w:val="16"/>
                <w:szCs w:val="16"/>
              </w:rPr>
            </w:pPr>
            <w:r w:rsidRPr="0078349E">
              <w:rPr>
                <w:rFonts w:asciiTheme="minorHAnsi" w:hAnsiTheme="minorHAnsi"/>
                <w:bCs/>
                <w:i/>
                <w:iCs/>
                <w:color w:val="000000"/>
                <w:sz w:val="16"/>
                <w:szCs w:val="16"/>
              </w:rPr>
              <w:t>27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bCs/>
                <w:i/>
                <w:iCs/>
                <w:color w:val="000000"/>
                <w:sz w:val="16"/>
                <w:szCs w:val="16"/>
              </w:rPr>
            </w:pPr>
            <w:r w:rsidRPr="0078349E">
              <w:rPr>
                <w:rFonts w:asciiTheme="minorHAnsi" w:hAnsiTheme="minorHAnsi"/>
                <w:bCs/>
                <w:i/>
                <w:iCs/>
                <w:color w:val="000000"/>
                <w:sz w:val="16"/>
                <w:szCs w:val="16"/>
              </w:rPr>
              <w:t xml:space="preserve">        472.920,00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7.419</w:t>
            </w:r>
          </w:p>
        </w:tc>
      </w:tr>
      <w:tr w:rsidR="0078349E" w:rsidRPr="00284604"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31-ago-99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bCs/>
                <w:i/>
                <w:iCs/>
                <w:color w:val="000000"/>
                <w:sz w:val="16"/>
                <w:szCs w:val="16"/>
              </w:rPr>
            </w:pPr>
            <w:r w:rsidRPr="0078349E">
              <w:rPr>
                <w:rFonts w:asciiTheme="minorHAnsi" w:hAnsiTheme="minorHAnsi"/>
                <w:bCs/>
                <w:i/>
                <w:iCs/>
                <w:color w:val="000000"/>
                <w:sz w:val="16"/>
                <w:szCs w:val="16"/>
              </w:rPr>
              <w:t xml:space="preserve">        236.460,00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3.710</w:t>
            </w:r>
          </w:p>
        </w:tc>
      </w:tr>
      <w:tr w:rsidR="0078349E" w:rsidRPr="00284604"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30-sep-99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bCs/>
                <w:i/>
                <w:iCs/>
                <w:color w:val="000000"/>
                <w:sz w:val="16"/>
                <w:szCs w:val="16"/>
              </w:rPr>
            </w:pPr>
            <w:r w:rsidRPr="0078349E">
              <w:rPr>
                <w:rFonts w:asciiTheme="minorHAnsi" w:hAnsiTheme="minorHAnsi"/>
                <w:bCs/>
                <w:i/>
                <w:iCs/>
                <w:color w:val="000000"/>
                <w:sz w:val="16"/>
                <w:szCs w:val="16"/>
              </w:rPr>
              <w:t xml:space="preserve">        236.460,00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3.710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01-oct-99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31-oct-99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237.000,00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4.131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01-nov-99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237.000,00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4.131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01-dic-99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236.460,00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52,18</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4.122</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01-may-00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3.736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01-jun-00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260.110,00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3.874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01-jul-00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31-jul-00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3.874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31-ago-00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3.874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30-sep-00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260.110,00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3.874</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01-oct-00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55</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260.110,00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7.610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01-dic-00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260.100,00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57,00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3.736</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01-mar-01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30-jun-01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103</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286.000,00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61,99</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14.410</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01-sep-01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112</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286.000,00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61,99</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15.669</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01-ene-02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28-feb-02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309.000,00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66,73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7.301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01-abr-02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52</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309.000,00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66,73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7.301</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30-nov-02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108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309.000,00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66,73</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15.165</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01-abr-03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31-may-03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58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332.000,00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71,40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8.178</w:t>
            </w:r>
          </w:p>
        </w:tc>
      </w:tr>
      <w:tr w:rsidR="0078349E" w:rsidRPr="0078349E" w:rsidTr="0078349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01-ago-03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right"/>
              <w:rPr>
                <w:rFonts w:asciiTheme="minorHAnsi" w:hAnsiTheme="minorHAnsi"/>
                <w:i/>
                <w:iCs/>
                <w:color w:val="000000"/>
                <w:sz w:val="16"/>
                <w:szCs w:val="16"/>
              </w:rPr>
            </w:pPr>
            <w:r w:rsidRPr="0078349E">
              <w:rPr>
                <w:rFonts w:asciiTheme="minorHAnsi" w:hAnsiTheme="minorHAnsi"/>
                <w:i/>
                <w:iCs/>
                <w:color w:val="000000"/>
                <w:sz w:val="16"/>
                <w:szCs w:val="16"/>
              </w:rPr>
              <w:t>31-dic-03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147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r w:rsidRPr="0078349E">
              <w:rPr>
                <w:rFonts w:asciiTheme="minorHAnsi" w:hAnsiTheme="minorHAnsi"/>
                <w:i/>
                <w:iCs/>
                <w:color w:val="000000"/>
                <w:sz w:val="16"/>
                <w:szCs w:val="16"/>
              </w:rPr>
              <w:t xml:space="preserve">        332.000,00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 xml:space="preserve"> 109,16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71,40</w:t>
            </w:r>
          </w:p>
        </w:tc>
        <w:tc>
          <w:tcPr>
            <w:tcW w:w="21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i/>
                <w:iCs/>
                <w:color w:val="000000"/>
                <w:sz w:val="16"/>
                <w:szCs w:val="16"/>
              </w:rPr>
            </w:pPr>
            <w:r w:rsidRPr="0078349E">
              <w:rPr>
                <w:rFonts w:asciiTheme="minorHAnsi" w:hAnsiTheme="minorHAnsi"/>
                <w:i/>
                <w:iCs/>
                <w:color w:val="000000"/>
                <w:sz w:val="16"/>
                <w:szCs w:val="16"/>
              </w:rPr>
              <w:t>20.728</w:t>
            </w:r>
          </w:p>
        </w:tc>
      </w:tr>
      <w:tr w:rsidR="0078349E" w:rsidRPr="0078349E" w:rsidTr="00284604">
        <w:trPr>
          <w:trHeight w:val="20"/>
        </w:trPr>
        <w:tc>
          <w:tcPr>
            <w:tcW w:w="0" w:type="auto"/>
            <w:tcBorders>
              <w:top w:val="single" w:sz="4" w:space="0" w:color="auto"/>
              <w:left w:val="nil"/>
              <w:bottom w:val="single" w:sz="4" w:space="0" w:color="auto"/>
              <w:right w:val="nil"/>
            </w:tcBorders>
            <w:shd w:val="clear" w:color="auto" w:fill="auto"/>
            <w:noWrap/>
            <w:vAlign w:val="center"/>
            <w:hideMark/>
          </w:tcPr>
          <w:p w:rsidR="0078349E" w:rsidRPr="0078349E" w:rsidRDefault="0078349E" w:rsidP="00D8195A">
            <w:pPr>
              <w:rPr>
                <w:rFonts w:asciiTheme="minorHAnsi" w:hAnsiTheme="minorHAnsi"/>
                <w:i/>
                <w:iCs/>
                <w:color w:val="000000"/>
                <w:sz w:val="16"/>
                <w:szCs w:val="16"/>
              </w:rPr>
            </w:pPr>
          </w:p>
        </w:tc>
        <w:tc>
          <w:tcPr>
            <w:tcW w:w="0" w:type="auto"/>
            <w:tcBorders>
              <w:top w:val="single" w:sz="4" w:space="0" w:color="auto"/>
              <w:left w:val="nil"/>
              <w:bottom w:val="single" w:sz="4" w:space="0" w:color="auto"/>
              <w:right w:val="nil"/>
            </w:tcBorders>
            <w:shd w:val="clear" w:color="auto" w:fill="auto"/>
            <w:noWrap/>
            <w:vAlign w:val="center"/>
            <w:hideMark/>
          </w:tcPr>
          <w:p w:rsidR="0078349E" w:rsidRPr="0078349E" w:rsidRDefault="0078349E" w:rsidP="00D8195A">
            <w:pPr>
              <w:jc w:val="cente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center"/>
            <w:hideMark/>
          </w:tcPr>
          <w:p w:rsidR="0078349E" w:rsidRPr="0078349E" w:rsidRDefault="0078349E" w:rsidP="00D8195A">
            <w:pPr>
              <w:rPr>
                <w:rFonts w:asciiTheme="minorHAnsi" w:hAnsiTheme="minorHAnsi"/>
                <w:sz w:val="16"/>
                <w:szCs w:val="16"/>
              </w:rPr>
            </w:pPr>
          </w:p>
        </w:tc>
        <w:tc>
          <w:tcPr>
            <w:tcW w:w="1597" w:type="dxa"/>
            <w:tcBorders>
              <w:top w:val="single" w:sz="4" w:space="0" w:color="auto"/>
              <w:left w:val="nil"/>
              <w:bottom w:val="nil"/>
              <w:right w:val="nil"/>
            </w:tcBorders>
            <w:shd w:val="clear" w:color="auto" w:fill="auto"/>
            <w:noWrap/>
            <w:vAlign w:val="center"/>
            <w:hideMark/>
          </w:tcPr>
          <w:p w:rsidR="0078349E" w:rsidRPr="0078349E" w:rsidRDefault="0078349E" w:rsidP="00D8195A">
            <w:pPr>
              <w:jc w:val="cente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center"/>
            <w:hideMark/>
          </w:tcPr>
          <w:p w:rsidR="0078349E" w:rsidRPr="0078349E" w:rsidRDefault="0078349E" w:rsidP="00D8195A">
            <w:pPr>
              <w:rPr>
                <w:rFonts w:asciiTheme="minorHAnsi" w:hAnsiTheme="minorHAnsi"/>
                <w:sz w:val="16"/>
                <w:szCs w:val="16"/>
              </w:rPr>
            </w:pPr>
          </w:p>
        </w:tc>
        <w:tc>
          <w:tcPr>
            <w:tcW w:w="0" w:type="auto"/>
            <w:tcBorders>
              <w:top w:val="single" w:sz="4" w:space="0" w:color="auto"/>
              <w:left w:val="nil"/>
              <w:bottom w:val="nil"/>
              <w:right w:val="nil"/>
            </w:tcBorders>
            <w:shd w:val="clear" w:color="auto" w:fill="auto"/>
            <w:noWrap/>
            <w:vAlign w:val="center"/>
            <w:hideMark/>
          </w:tcPr>
          <w:p w:rsidR="0078349E" w:rsidRPr="0078349E" w:rsidRDefault="0078349E" w:rsidP="00D8195A">
            <w:pPr>
              <w:jc w:val="center"/>
              <w:rPr>
                <w:rFonts w:asciiTheme="minorHAnsi" w:hAnsiTheme="minorHAnsi"/>
                <w:sz w:val="16"/>
                <w:szCs w:val="16"/>
              </w:rPr>
            </w:pPr>
          </w:p>
        </w:tc>
        <w:tc>
          <w:tcPr>
            <w:tcW w:w="2183" w:type="dxa"/>
            <w:tcBorders>
              <w:top w:val="single" w:sz="4" w:space="0" w:color="auto"/>
              <w:left w:val="nil"/>
              <w:bottom w:val="nil"/>
              <w:right w:val="nil"/>
            </w:tcBorders>
            <w:shd w:val="clear" w:color="auto" w:fill="auto"/>
            <w:noWrap/>
            <w:vAlign w:val="center"/>
            <w:hideMark/>
          </w:tcPr>
          <w:p w:rsidR="0078349E" w:rsidRPr="0078349E" w:rsidRDefault="0078349E" w:rsidP="00D8195A">
            <w:pPr>
              <w:jc w:val="center"/>
              <w:rPr>
                <w:rFonts w:asciiTheme="minorHAnsi" w:hAnsiTheme="minorHAnsi"/>
                <w:sz w:val="16"/>
                <w:szCs w:val="16"/>
              </w:rPr>
            </w:pPr>
          </w:p>
        </w:tc>
      </w:tr>
      <w:tr w:rsidR="0078349E" w:rsidRPr="0078349E" w:rsidTr="00284604">
        <w:trPr>
          <w:trHeight w:val="20"/>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TOTAL DIAS</w:t>
            </w:r>
          </w:p>
        </w:tc>
        <w:tc>
          <w:tcPr>
            <w:tcW w:w="0" w:type="auto"/>
            <w:tcBorders>
              <w:top w:val="single" w:sz="4" w:space="0" w:color="333300"/>
              <w:left w:val="single" w:sz="4" w:space="0" w:color="auto"/>
              <w:bottom w:val="single" w:sz="4" w:space="0" w:color="333300"/>
              <w:right w:val="single" w:sz="4" w:space="0" w:color="333300"/>
            </w:tcBorders>
            <w:shd w:val="clear" w:color="auto" w:fill="auto"/>
            <w:noWrap/>
            <w:vAlign w:val="center"/>
            <w:hideMark/>
          </w:tcPr>
          <w:p w:rsidR="0078349E" w:rsidRPr="0078349E" w:rsidRDefault="0078349E" w:rsidP="00D8195A">
            <w:pPr>
              <w:jc w:val="center"/>
              <w:rPr>
                <w:rFonts w:asciiTheme="minorHAnsi" w:hAnsiTheme="minorHAnsi"/>
                <w:color w:val="000000"/>
                <w:sz w:val="16"/>
                <w:szCs w:val="16"/>
              </w:rPr>
            </w:pPr>
            <w:r w:rsidRPr="0078349E">
              <w:rPr>
                <w:rFonts w:asciiTheme="minorHAnsi" w:hAnsiTheme="minorHAnsi"/>
                <w:color w:val="000000"/>
                <w:sz w:val="16"/>
                <w:szCs w:val="16"/>
              </w:rPr>
              <w:t>3.600</w:t>
            </w:r>
          </w:p>
        </w:tc>
        <w:tc>
          <w:tcPr>
            <w:tcW w:w="1597" w:type="dxa"/>
            <w:tcBorders>
              <w:top w:val="nil"/>
              <w:left w:val="nil"/>
              <w:bottom w:val="nil"/>
              <w:right w:val="nil"/>
            </w:tcBorders>
            <w:shd w:val="clear" w:color="auto" w:fill="auto"/>
            <w:noWrap/>
            <w:vAlign w:val="bottom"/>
            <w:hideMark/>
          </w:tcPr>
          <w:p w:rsidR="0078349E" w:rsidRPr="0078349E" w:rsidRDefault="0078349E" w:rsidP="00D8195A">
            <w:pPr>
              <w:jc w:val="center"/>
              <w:rPr>
                <w:rFonts w:asciiTheme="minorHAnsi" w:hAnsiTheme="minorHAnsi"/>
                <w:color w:val="000000"/>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IBL</w:t>
            </w:r>
          </w:p>
        </w:tc>
        <w:tc>
          <w:tcPr>
            <w:tcW w:w="2183" w:type="dxa"/>
            <w:tcBorders>
              <w:top w:val="single" w:sz="4" w:space="0" w:color="333300"/>
              <w:left w:val="nil"/>
              <w:bottom w:val="single" w:sz="4" w:space="0" w:color="333300"/>
              <w:right w:val="single" w:sz="4" w:space="0" w:color="333300"/>
            </w:tcBorders>
            <w:shd w:val="clear" w:color="auto" w:fill="auto"/>
            <w:noWrap/>
            <w:vAlign w:val="center"/>
            <w:hideMark/>
          </w:tcPr>
          <w:p w:rsidR="0078349E" w:rsidRPr="0078349E" w:rsidRDefault="0078349E" w:rsidP="00D8195A">
            <w:pPr>
              <w:jc w:val="center"/>
              <w:rPr>
                <w:rFonts w:asciiTheme="minorHAnsi" w:hAnsiTheme="minorHAnsi"/>
                <w:color w:val="000000"/>
                <w:sz w:val="16"/>
                <w:szCs w:val="16"/>
              </w:rPr>
            </w:pPr>
            <w:r w:rsidRPr="0078349E">
              <w:rPr>
                <w:rFonts w:asciiTheme="minorHAnsi" w:hAnsiTheme="minorHAnsi"/>
                <w:color w:val="000000"/>
                <w:sz w:val="16"/>
                <w:szCs w:val="16"/>
              </w:rPr>
              <w:t xml:space="preserve">         1.273.050 </w:t>
            </w:r>
          </w:p>
        </w:tc>
      </w:tr>
      <w:tr w:rsidR="0078349E" w:rsidRPr="0078349E" w:rsidTr="00284604">
        <w:trPr>
          <w:trHeight w:val="20"/>
        </w:trPr>
        <w:tc>
          <w:tcPr>
            <w:tcW w:w="0" w:type="auto"/>
            <w:tcBorders>
              <w:top w:val="single" w:sz="4" w:space="0" w:color="auto"/>
              <w:left w:val="nil"/>
              <w:bottom w:val="nil"/>
              <w:right w:val="nil"/>
            </w:tcBorders>
            <w:shd w:val="clear" w:color="auto" w:fill="auto"/>
            <w:noWrap/>
            <w:vAlign w:val="bottom"/>
            <w:hideMark/>
          </w:tcPr>
          <w:p w:rsidR="0078349E" w:rsidRPr="0078349E" w:rsidRDefault="0078349E" w:rsidP="00D8195A">
            <w:pPr>
              <w:jc w:val="center"/>
              <w:rPr>
                <w:rFonts w:asciiTheme="minorHAnsi" w:hAnsiTheme="minorHAnsi"/>
                <w:color w:val="000000"/>
                <w:sz w:val="16"/>
                <w:szCs w:val="16"/>
              </w:rPr>
            </w:pPr>
          </w:p>
        </w:tc>
        <w:tc>
          <w:tcPr>
            <w:tcW w:w="0" w:type="auto"/>
            <w:tcBorders>
              <w:top w:val="single" w:sz="4" w:space="0" w:color="auto"/>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1597" w:type="dxa"/>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2183" w:type="dxa"/>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r>
      <w:tr w:rsidR="0078349E" w:rsidRPr="0078349E" w:rsidTr="0078349E">
        <w:trPr>
          <w:trHeight w:val="20"/>
        </w:trPr>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1597" w:type="dxa"/>
            <w:tcBorders>
              <w:top w:val="nil"/>
              <w:left w:val="nil"/>
              <w:bottom w:val="nil"/>
              <w:right w:val="nil"/>
            </w:tcBorders>
            <w:shd w:val="clear" w:color="auto" w:fill="auto"/>
            <w:noWrap/>
            <w:vAlign w:val="bottom"/>
            <w:hideMark/>
          </w:tcPr>
          <w:p w:rsidR="0078349E" w:rsidRPr="0078349E" w:rsidRDefault="0078349E" w:rsidP="00D8195A">
            <w:pPr>
              <w:rPr>
                <w:rFonts w:asciiTheme="minorHAnsi" w:hAnsiTheme="minorHAnsi"/>
                <w:sz w:val="16"/>
                <w:szCs w:val="16"/>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Mesada</w:t>
            </w:r>
          </w:p>
        </w:tc>
        <w:tc>
          <w:tcPr>
            <w:tcW w:w="2183" w:type="dxa"/>
            <w:tcBorders>
              <w:top w:val="single" w:sz="4" w:space="0" w:color="333300"/>
              <w:left w:val="nil"/>
              <w:bottom w:val="single" w:sz="4" w:space="0" w:color="333300"/>
              <w:right w:val="single" w:sz="4" w:space="0" w:color="333300"/>
            </w:tcBorders>
            <w:shd w:val="clear" w:color="auto" w:fill="auto"/>
            <w:noWrap/>
            <w:vAlign w:val="center"/>
            <w:hideMark/>
          </w:tcPr>
          <w:p w:rsidR="0078349E" w:rsidRPr="0078349E" w:rsidRDefault="0078349E" w:rsidP="00D8195A">
            <w:pPr>
              <w:jc w:val="center"/>
              <w:rPr>
                <w:rFonts w:asciiTheme="minorHAnsi" w:hAnsiTheme="minorHAnsi"/>
                <w:b/>
                <w:bCs/>
                <w:i/>
                <w:iCs/>
                <w:color w:val="000000"/>
                <w:sz w:val="16"/>
                <w:szCs w:val="16"/>
              </w:rPr>
            </w:pPr>
            <w:r w:rsidRPr="0078349E">
              <w:rPr>
                <w:rFonts w:asciiTheme="minorHAnsi" w:hAnsiTheme="minorHAnsi"/>
                <w:b/>
                <w:bCs/>
                <w:i/>
                <w:iCs/>
                <w:color w:val="000000"/>
                <w:sz w:val="16"/>
                <w:szCs w:val="16"/>
              </w:rPr>
              <w:t xml:space="preserve">         1.145.745 </w:t>
            </w:r>
          </w:p>
        </w:tc>
      </w:tr>
    </w:tbl>
    <w:p w:rsidR="00284604" w:rsidRDefault="00284604" w:rsidP="00D8195A">
      <w:r>
        <w:tab/>
      </w:r>
    </w:p>
    <w:p w:rsidR="001A028D" w:rsidRDefault="001A028D" w:rsidP="00D8195A"/>
    <w:tbl>
      <w:tblPr>
        <w:tblW w:w="0" w:type="auto"/>
        <w:jc w:val="center"/>
        <w:tblCellMar>
          <w:left w:w="70" w:type="dxa"/>
          <w:right w:w="70" w:type="dxa"/>
        </w:tblCellMar>
        <w:tblLook w:val="04A0" w:firstRow="1" w:lastRow="0" w:firstColumn="1" w:lastColumn="0" w:noHBand="0" w:noVBand="1"/>
      </w:tblPr>
      <w:tblGrid>
        <w:gridCol w:w="562"/>
        <w:gridCol w:w="1216"/>
        <w:gridCol w:w="1075"/>
        <w:gridCol w:w="1665"/>
        <w:gridCol w:w="1696"/>
        <w:gridCol w:w="933"/>
        <w:gridCol w:w="1922"/>
      </w:tblGrid>
      <w:tr w:rsidR="001A028D" w:rsidRPr="001A028D" w:rsidTr="001A028D">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 xml:space="preserve">AÑO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IPC año anterior</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 xml:space="preserve">No. MESADAS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MESADA RECONOCIDA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MESADA RELIQUIDADA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right"/>
              <w:rPr>
                <w:rFonts w:asciiTheme="minorHAnsi" w:hAnsiTheme="minorHAnsi"/>
                <w:b/>
                <w:bCs/>
                <w:color w:val="000000"/>
                <w:sz w:val="16"/>
                <w:szCs w:val="16"/>
              </w:rPr>
            </w:pPr>
            <w:r w:rsidRPr="001A028D">
              <w:rPr>
                <w:rFonts w:asciiTheme="minorHAnsi" w:hAnsiTheme="minorHAnsi"/>
                <w:b/>
                <w:bCs/>
                <w:color w:val="000000"/>
                <w:sz w:val="16"/>
                <w:szCs w:val="16"/>
              </w:rPr>
              <w:t>DIFERENCIA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b/>
                <w:bCs/>
                <w:color w:val="000000"/>
                <w:sz w:val="16"/>
                <w:szCs w:val="16"/>
              </w:rPr>
            </w:pPr>
            <w:r w:rsidRPr="001A028D">
              <w:rPr>
                <w:rFonts w:asciiTheme="minorHAnsi" w:hAnsiTheme="minorHAnsi"/>
                <w:b/>
                <w:bCs/>
                <w:color w:val="000000"/>
                <w:sz w:val="16"/>
                <w:szCs w:val="16"/>
              </w:rPr>
              <w:t>INDEXACIÓN ACUMULADA</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2012</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2,44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12,63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$1.142.194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$1.145.745</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$44.849</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$10.519</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1,94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$1.170.064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$1.173.701</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$47.289</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$9.961</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3,66</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$1.192.763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$1.196.471</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$48.207</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$8.481</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2015</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6,77</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$1.236.418</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$1.240.262</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$46.127</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$5.595</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2016</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5,75</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$1.320.123</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$1.324.228</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$53.354</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$2.232</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2017</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5</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$1.396.030</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$1.400.371</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$21.701</w:t>
            </w:r>
          </w:p>
        </w:tc>
        <w:tc>
          <w:tcPr>
            <w:tcW w:w="0" w:type="auto"/>
            <w:tcBorders>
              <w:top w:val="nil"/>
              <w:left w:val="nil"/>
              <w:bottom w:val="single" w:sz="4" w:space="0" w:color="auto"/>
              <w:right w:val="single" w:sz="4" w:space="0" w:color="auto"/>
            </w:tcBorders>
            <w:shd w:val="clear" w:color="000000" w:fill="FFFFFF"/>
            <w:vAlign w:val="center"/>
            <w:hideMark/>
          </w:tcPr>
          <w:p w:rsidR="001A028D" w:rsidRPr="001A028D" w:rsidRDefault="001A028D" w:rsidP="001A028D">
            <w:pPr>
              <w:jc w:val="right"/>
              <w:rPr>
                <w:rFonts w:asciiTheme="minorHAnsi" w:hAnsiTheme="minorHAnsi"/>
                <w:color w:val="000000"/>
                <w:sz w:val="16"/>
                <w:szCs w:val="16"/>
              </w:rPr>
            </w:pPr>
            <w:r w:rsidRPr="001A028D">
              <w:rPr>
                <w:rFonts w:asciiTheme="minorHAnsi" w:hAnsiTheme="minorHAnsi"/>
                <w:color w:val="000000"/>
                <w:sz w:val="16"/>
                <w:szCs w:val="16"/>
              </w:rPr>
              <w:t>$147</w:t>
            </w:r>
          </w:p>
        </w:tc>
      </w:tr>
      <w:tr w:rsidR="001A028D" w:rsidRPr="001A028D" w:rsidTr="001A028D">
        <w:trPr>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xml:space="preserve">TOTAL </w:t>
            </w:r>
          </w:p>
        </w:tc>
        <w:tc>
          <w:tcPr>
            <w:tcW w:w="0" w:type="auto"/>
            <w:tcBorders>
              <w:top w:val="nil"/>
              <w:left w:val="nil"/>
              <w:bottom w:val="single" w:sz="4" w:space="0" w:color="auto"/>
              <w:right w:val="single" w:sz="4" w:space="0" w:color="auto"/>
            </w:tcBorders>
            <w:shd w:val="clear" w:color="auto" w:fill="auto"/>
            <w:noWrap/>
            <w:vAlign w:val="bottom"/>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1A028D" w:rsidRPr="001A028D" w:rsidRDefault="001A028D" w:rsidP="001A028D">
            <w:pPr>
              <w:jc w:val="center"/>
              <w:rPr>
                <w:rFonts w:asciiTheme="minorHAnsi" w:hAnsiTheme="minorHAnsi"/>
                <w:color w:val="000000"/>
                <w:sz w:val="16"/>
                <w:szCs w:val="16"/>
              </w:rPr>
            </w:pPr>
            <w:r w:rsidRPr="001A028D">
              <w:rPr>
                <w:rFonts w:asciiTheme="minorHAnsi" w:hAnsiTheme="minorHAnsi"/>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center"/>
            <w:hideMark/>
          </w:tcPr>
          <w:p w:rsidR="001A028D" w:rsidRPr="001A028D" w:rsidRDefault="001A028D" w:rsidP="001A028D">
            <w:pPr>
              <w:jc w:val="right"/>
              <w:rPr>
                <w:rFonts w:asciiTheme="minorHAnsi" w:hAnsiTheme="minorHAnsi"/>
                <w:b/>
                <w:bCs/>
                <w:color w:val="000000"/>
                <w:sz w:val="16"/>
                <w:szCs w:val="16"/>
                <w:u w:val="single"/>
              </w:rPr>
            </w:pPr>
            <w:r w:rsidRPr="001A028D">
              <w:rPr>
                <w:rFonts w:asciiTheme="minorHAnsi" w:hAnsiTheme="minorHAnsi"/>
                <w:b/>
                <w:bCs/>
                <w:color w:val="000000"/>
                <w:sz w:val="16"/>
                <w:szCs w:val="16"/>
                <w:u w:val="single"/>
              </w:rPr>
              <w:t>$261.528</w:t>
            </w:r>
          </w:p>
        </w:tc>
        <w:tc>
          <w:tcPr>
            <w:tcW w:w="0" w:type="auto"/>
            <w:tcBorders>
              <w:top w:val="nil"/>
              <w:left w:val="nil"/>
              <w:bottom w:val="single" w:sz="4" w:space="0" w:color="auto"/>
              <w:right w:val="single" w:sz="4" w:space="0" w:color="auto"/>
            </w:tcBorders>
            <w:shd w:val="clear" w:color="auto" w:fill="auto"/>
            <w:noWrap/>
            <w:vAlign w:val="center"/>
            <w:hideMark/>
          </w:tcPr>
          <w:p w:rsidR="001A028D" w:rsidRPr="001A028D" w:rsidRDefault="001A028D" w:rsidP="001A028D">
            <w:pPr>
              <w:jc w:val="center"/>
              <w:rPr>
                <w:rFonts w:asciiTheme="minorHAnsi" w:hAnsiTheme="minorHAnsi"/>
                <w:b/>
                <w:bCs/>
                <w:color w:val="000000"/>
                <w:sz w:val="16"/>
                <w:szCs w:val="16"/>
                <w:u w:val="single"/>
              </w:rPr>
            </w:pPr>
            <w:r w:rsidRPr="001A028D">
              <w:rPr>
                <w:rFonts w:asciiTheme="minorHAnsi" w:hAnsiTheme="minorHAnsi"/>
                <w:b/>
                <w:bCs/>
                <w:color w:val="000000"/>
                <w:sz w:val="16"/>
                <w:szCs w:val="16"/>
                <w:u w:val="single"/>
              </w:rPr>
              <w:t>$36.936</w:t>
            </w:r>
          </w:p>
        </w:tc>
      </w:tr>
    </w:tbl>
    <w:p w:rsidR="00284604" w:rsidRDefault="00284604" w:rsidP="00D8195A"/>
    <w:p w:rsidR="00F803B2" w:rsidRDefault="00F803B2" w:rsidP="00D8195A"/>
    <w:tbl>
      <w:tblPr>
        <w:tblW w:w="0" w:type="auto"/>
        <w:jc w:val="center"/>
        <w:tblCellMar>
          <w:left w:w="70" w:type="dxa"/>
          <w:right w:w="70" w:type="dxa"/>
        </w:tblCellMar>
        <w:tblLook w:val="04A0" w:firstRow="1" w:lastRow="0" w:firstColumn="1" w:lastColumn="0" w:noHBand="0" w:noVBand="1"/>
      </w:tblPr>
      <w:tblGrid>
        <w:gridCol w:w="1997"/>
        <w:gridCol w:w="927"/>
        <w:gridCol w:w="1240"/>
        <w:gridCol w:w="1197"/>
        <w:gridCol w:w="694"/>
        <w:gridCol w:w="1512"/>
      </w:tblGrid>
      <w:tr w:rsidR="00F803B2" w:rsidRPr="00F803B2" w:rsidTr="00F803B2">
        <w:trPr>
          <w:trHeight w:val="20"/>
          <w:jc w:val="center"/>
        </w:trPr>
        <w:tc>
          <w:tcPr>
            <w:tcW w:w="0" w:type="auto"/>
            <w:gridSpan w:val="6"/>
            <w:tcBorders>
              <w:top w:val="single" w:sz="8" w:space="0" w:color="auto"/>
              <w:left w:val="single" w:sz="8" w:space="0" w:color="auto"/>
              <w:bottom w:val="single" w:sz="8" w:space="0" w:color="000000"/>
              <w:right w:val="nil"/>
            </w:tcBorders>
            <w:shd w:val="clear" w:color="auto" w:fill="auto"/>
            <w:noWrap/>
            <w:vAlign w:val="bottom"/>
            <w:hideMark/>
          </w:tcPr>
          <w:p w:rsidR="00F803B2" w:rsidRPr="00F803B2" w:rsidRDefault="00F803B2" w:rsidP="00F803B2">
            <w:pPr>
              <w:jc w:val="center"/>
              <w:rPr>
                <w:rFonts w:asciiTheme="minorHAnsi" w:hAnsiTheme="minorHAnsi" w:cs="Arial"/>
                <w:b/>
                <w:bCs/>
                <w:sz w:val="16"/>
                <w:szCs w:val="16"/>
              </w:rPr>
            </w:pPr>
            <w:r w:rsidRPr="00F803B2">
              <w:rPr>
                <w:rFonts w:asciiTheme="minorHAnsi" w:hAnsiTheme="minorHAnsi" w:cs="Arial"/>
                <w:b/>
                <w:bCs/>
                <w:sz w:val="16"/>
                <w:szCs w:val="16"/>
              </w:rPr>
              <w:t>LIQUIDACION INTERESES MORATORIOS A PARTIR DEL 27 DE ENERO DE 2014</w:t>
            </w:r>
          </w:p>
        </w:tc>
      </w:tr>
      <w:tr w:rsidR="00F803B2" w:rsidRPr="00F803B2" w:rsidTr="00F803B2">
        <w:trPr>
          <w:trHeight w:val="2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Periodo</w:t>
            </w:r>
          </w:p>
        </w:tc>
        <w:tc>
          <w:tcPr>
            <w:tcW w:w="0" w:type="auto"/>
            <w:tcBorders>
              <w:top w:val="nil"/>
              <w:left w:val="nil"/>
              <w:bottom w:val="single" w:sz="8"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 xml:space="preserve">Exigible </w:t>
            </w:r>
          </w:p>
        </w:tc>
        <w:tc>
          <w:tcPr>
            <w:tcW w:w="0" w:type="auto"/>
            <w:tcBorders>
              <w:top w:val="nil"/>
              <w:left w:val="nil"/>
              <w:bottom w:val="single" w:sz="8" w:space="0" w:color="auto"/>
              <w:right w:val="single" w:sz="4" w:space="0" w:color="auto"/>
            </w:tcBorders>
            <w:shd w:val="clear" w:color="auto" w:fill="auto"/>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Mesada</w:t>
            </w:r>
          </w:p>
        </w:tc>
        <w:tc>
          <w:tcPr>
            <w:tcW w:w="0" w:type="auto"/>
            <w:tcBorders>
              <w:top w:val="nil"/>
              <w:left w:val="nil"/>
              <w:bottom w:val="single" w:sz="8" w:space="0" w:color="auto"/>
              <w:right w:val="single" w:sz="4" w:space="0" w:color="auto"/>
            </w:tcBorders>
            <w:shd w:val="clear" w:color="auto" w:fill="auto"/>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 Interes Diario</w:t>
            </w:r>
          </w:p>
        </w:tc>
        <w:tc>
          <w:tcPr>
            <w:tcW w:w="0" w:type="auto"/>
            <w:tcBorders>
              <w:top w:val="nil"/>
              <w:left w:val="nil"/>
              <w:bottom w:val="single" w:sz="8" w:space="0" w:color="auto"/>
              <w:right w:val="single" w:sz="4" w:space="0" w:color="auto"/>
            </w:tcBorders>
            <w:shd w:val="clear" w:color="auto" w:fill="auto"/>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No. Días</w:t>
            </w:r>
          </w:p>
        </w:tc>
        <w:tc>
          <w:tcPr>
            <w:tcW w:w="0" w:type="auto"/>
            <w:tcBorders>
              <w:top w:val="nil"/>
              <w:left w:val="nil"/>
              <w:bottom w:val="single" w:sz="8" w:space="0" w:color="auto"/>
              <w:right w:val="single" w:sz="8"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Valor Intereses</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12 ene 2012 - 31/12/13</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01/01/2014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29.561.369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184</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3.796.625,74 </w:t>
            </w:r>
          </w:p>
        </w:tc>
      </w:tr>
      <w:tr w:rsidR="00F803B2" w:rsidRPr="00F803B2" w:rsidTr="00F803B2">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olor w:val="000000"/>
                <w:sz w:val="16"/>
                <w:szCs w:val="16"/>
              </w:rPr>
            </w:pPr>
            <w:r w:rsidRPr="00F803B2">
              <w:rPr>
                <w:rFonts w:asciiTheme="minorHAnsi" w:hAnsiTheme="minorHAnsi"/>
                <w:color w:val="000000"/>
                <w:sz w:val="16"/>
                <w:szCs w:val="16"/>
              </w:rPr>
              <w:t>31</w:t>
            </w:r>
            <w:r>
              <w:rPr>
                <w:rFonts w:asciiTheme="minorHAnsi" w:hAnsiTheme="minorHAnsi"/>
                <w:color w:val="000000"/>
                <w:sz w:val="16"/>
                <w:szCs w:val="16"/>
              </w:rPr>
              <w:t>-ene-</w:t>
            </w:r>
            <w:r w:rsidRPr="00F803B2">
              <w:rPr>
                <w:rFonts w:asciiTheme="minorHAnsi" w:hAnsiTheme="minorHAnsi"/>
                <w:color w:val="000000"/>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01/02/2014</w:t>
            </w:r>
          </w:p>
        </w:tc>
        <w:tc>
          <w:tcPr>
            <w:tcW w:w="0" w:type="auto"/>
            <w:tcBorders>
              <w:top w:val="nil"/>
              <w:left w:val="nil"/>
              <w:bottom w:val="nil"/>
              <w:right w:val="nil"/>
            </w:tcBorders>
            <w:shd w:val="clear" w:color="auto" w:fill="auto"/>
            <w:noWrap/>
            <w:vAlign w:val="bottom"/>
            <w:hideMark/>
          </w:tcPr>
          <w:p w:rsidR="00F803B2" w:rsidRPr="00F803B2" w:rsidRDefault="00F803B2" w:rsidP="00F803B2">
            <w:pPr>
              <w:rPr>
                <w:rFonts w:asciiTheme="minorHAnsi" w:hAnsiTheme="minorHAnsi"/>
                <w:color w:val="000000"/>
                <w:sz w:val="16"/>
                <w:szCs w:val="16"/>
              </w:rPr>
            </w:pPr>
            <w:r w:rsidRPr="00F803B2">
              <w:rPr>
                <w:rFonts w:asciiTheme="minorHAnsi" w:hAnsiTheme="minorHAnsi"/>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180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150.324,62 </w:t>
            </w:r>
          </w:p>
        </w:tc>
      </w:tr>
      <w:tr w:rsidR="00F803B2" w:rsidRPr="00F803B2" w:rsidTr="00F803B2">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28-feb-14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01/03/2014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150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125.270,51 </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31-mar-14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01/04/2014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120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100.216,41 </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30-abr-14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01/05/2014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90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75.162,31 </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31-may-14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01/06/2014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60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50.108,21 </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30-jun-14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01/07/2014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30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25.054,10 </w:t>
            </w:r>
          </w:p>
        </w:tc>
      </w:tr>
      <w:tr w:rsidR="00F803B2" w:rsidRPr="00F803B2" w:rsidTr="00F803B2">
        <w:trPr>
          <w:trHeight w:val="20"/>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31-jul-14</w:t>
            </w:r>
          </w:p>
        </w:tc>
        <w:tc>
          <w:tcPr>
            <w:tcW w:w="0" w:type="auto"/>
            <w:tcBorders>
              <w:top w:val="nil"/>
              <w:left w:val="nil"/>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01/08/2014</w:t>
            </w:r>
          </w:p>
        </w:tc>
        <w:tc>
          <w:tcPr>
            <w:tcW w:w="0" w:type="auto"/>
            <w:tcBorders>
              <w:top w:val="nil"/>
              <w:left w:val="nil"/>
              <w:bottom w:val="single" w:sz="4" w:space="0" w:color="auto"/>
              <w:right w:val="single" w:sz="4" w:space="0" w:color="auto"/>
            </w:tcBorders>
            <w:shd w:val="clear" w:color="auto" w:fill="auto"/>
            <w:vAlign w:val="center"/>
            <w:hideMark/>
          </w:tcPr>
          <w:p w:rsidR="00F803B2" w:rsidRPr="00F803B2" w:rsidRDefault="00F803B2" w:rsidP="00F803B2">
            <w:pPr>
              <w:jc w:val="center"/>
              <w:rPr>
                <w:rFonts w:asciiTheme="minorHAnsi" w:hAnsiTheme="minorHAnsi" w:cs="Arial"/>
                <w:color w:val="000000"/>
                <w:sz w:val="16"/>
                <w:szCs w:val="16"/>
              </w:rPr>
            </w:pPr>
            <w:r w:rsidRPr="00F803B2">
              <w:rPr>
                <w:rFonts w:asciiTheme="minorHAnsi" w:hAnsiTheme="minorHAnsi" w:cs="Arial"/>
                <w:color w:val="000000"/>
                <w:sz w:val="16"/>
                <w:szCs w:val="16"/>
              </w:rPr>
              <w:t xml:space="preserve"> $         1.196.471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000000"/>
                <w:sz w:val="16"/>
                <w:szCs w:val="16"/>
              </w:rPr>
            </w:pPr>
            <w:r w:rsidRPr="00F803B2">
              <w:rPr>
                <w:rFonts w:asciiTheme="minorHAnsi" w:hAnsiTheme="minorHAnsi"/>
                <w:color w:val="000000"/>
                <w:sz w:val="16"/>
                <w:szCs w:val="16"/>
              </w:rPr>
              <w:t>0,06980%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0</w:t>
            </w:r>
          </w:p>
        </w:tc>
        <w:tc>
          <w:tcPr>
            <w:tcW w:w="0" w:type="auto"/>
            <w:tcBorders>
              <w:top w:val="nil"/>
              <w:left w:val="single" w:sz="4" w:space="0" w:color="auto"/>
              <w:bottom w:val="single" w:sz="4"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color w:val="000000"/>
                <w:sz w:val="16"/>
                <w:szCs w:val="16"/>
              </w:rPr>
            </w:pPr>
            <w:r w:rsidRPr="00F803B2">
              <w:rPr>
                <w:rFonts w:asciiTheme="minorHAnsi" w:hAnsiTheme="minorHAnsi" w:cs="Arial"/>
                <w:color w:val="000000"/>
                <w:sz w:val="16"/>
                <w:szCs w:val="16"/>
              </w:rPr>
              <w:t xml:space="preserve"> $                               -   </w:t>
            </w:r>
          </w:p>
        </w:tc>
      </w:tr>
      <w:tr w:rsidR="00F803B2" w:rsidRPr="00F803B2" w:rsidTr="00F803B2">
        <w:trPr>
          <w:trHeight w:val="20"/>
          <w:jc w:val="center"/>
        </w:trPr>
        <w:tc>
          <w:tcPr>
            <w:tcW w:w="0" w:type="auto"/>
            <w:tcBorders>
              <w:top w:val="nil"/>
              <w:left w:val="single" w:sz="8" w:space="0" w:color="auto"/>
              <w:bottom w:val="single" w:sz="8" w:space="0" w:color="auto"/>
              <w:right w:val="nil"/>
            </w:tcBorders>
            <w:shd w:val="clear" w:color="auto" w:fill="auto"/>
            <w:noWrap/>
            <w:vAlign w:val="bottom"/>
            <w:hideMark/>
          </w:tcPr>
          <w:p w:rsidR="00F803B2" w:rsidRPr="00F803B2" w:rsidRDefault="00F803B2" w:rsidP="00F803B2">
            <w:pPr>
              <w:rPr>
                <w:rFonts w:asciiTheme="minorHAnsi" w:hAnsiTheme="minorHAnsi" w:cs="Arial"/>
                <w:b/>
                <w:bCs/>
                <w:color w:val="000000"/>
                <w:sz w:val="16"/>
                <w:szCs w:val="16"/>
              </w:rPr>
            </w:pPr>
            <w:r w:rsidRPr="00F803B2">
              <w:rPr>
                <w:rFonts w:asciiTheme="minorHAnsi" w:hAnsiTheme="minorHAnsi" w:cs="Arial"/>
                <w:b/>
                <w:bCs/>
                <w:color w:val="000000"/>
                <w:sz w:val="16"/>
                <w:szCs w:val="16"/>
              </w:rPr>
              <w:lastRenderedPageBreak/>
              <w:t>TOTAL INTERESES DE MORA</w:t>
            </w:r>
          </w:p>
        </w:tc>
        <w:tc>
          <w:tcPr>
            <w:tcW w:w="0" w:type="auto"/>
            <w:tcBorders>
              <w:top w:val="nil"/>
              <w:left w:val="nil"/>
              <w:bottom w:val="single" w:sz="8" w:space="0" w:color="auto"/>
              <w:right w:val="nil"/>
            </w:tcBorders>
            <w:shd w:val="clear" w:color="auto" w:fill="auto"/>
            <w:noWrap/>
            <w:vAlign w:val="bottom"/>
            <w:hideMark/>
          </w:tcPr>
          <w:p w:rsidR="00F803B2" w:rsidRPr="00F803B2" w:rsidRDefault="00F803B2" w:rsidP="00F803B2">
            <w:pPr>
              <w:rPr>
                <w:rFonts w:asciiTheme="minorHAnsi" w:hAnsiTheme="minorHAnsi" w:cs="Arial"/>
                <w:b/>
                <w:bCs/>
                <w:color w:val="000000"/>
                <w:sz w:val="16"/>
                <w:szCs w:val="16"/>
              </w:rPr>
            </w:pPr>
            <w:r w:rsidRPr="00F803B2">
              <w:rPr>
                <w:rFonts w:asciiTheme="minorHAnsi" w:hAnsiTheme="minorHAnsi" w:cs="Arial"/>
                <w:b/>
                <w:bCs/>
                <w:color w:val="000000"/>
                <w:sz w:val="16"/>
                <w:szCs w:val="16"/>
              </w:rPr>
              <w:t> </w:t>
            </w:r>
          </w:p>
        </w:tc>
        <w:tc>
          <w:tcPr>
            <w:tcW w:w="0" w:type="auto"/>
            <w:tcBorders>
              <w:top w:val="nil"/>
              <w:left w:val="nil"/>
              <w:bottom w:val="single" w:sz="8" w:space="0" w:color="auto"/>
              <w:right w:val="nil"/>
            </w:tcBorders>
            <w:shd w:val="clear" w:color="auto" w:fill="auto"/>
            <w:noWrap/>
            <w:vAlign w:val="bottom"/>
            <w:hideMark/>
          </w:tcPr>
          <w:p w:rsidR="00F803B2" w:rsidRPr="00F803B2" w:rsidRDefault="00F803B2" w:rsidP="00F803B2">
            <w:pPr>
              <w:rPr>
                <w:rFonts w:asciiTheme="minorHAnsi" w:hAnsiTheme="minorHAnsi" w:cs="Arial"/>
                <w:b/>
                <w:bCs/>
                <w:color w:val="000000"/>
                <w:sz w:val="16"/>
                <w:szCs w:val="16"/>
              </w:rPr>
            </w:pPr>
            <w:r w:rsidRPr="00F803B2">
              <w:rPr>
                <w:rFonts w:asciiTheme="minorHAnsi" w:hAnsiTheme="minorHAnsi" w:cs="Arial"/>
                <w:b/>
                <w:bCs/>
                <w:color w:val="000000"/>
                <w:sz w:val="16"/>
                <w:szCs w:val="16"/>
              </w:rPr>
              <w:t> </w:t>
            </w:r>
          </w:p>
        </w:tc>
        <w:tc>
          <w:tcPr>
            <w:tcW w:w="0" w:type="auto"/>
            <w:tcBorders>
              <w:top w:val="nil"/>
              <w:left w:val="single" w:sz="4" w:space="0" w:color="auto"/>
              <w:bottom w:val="single" w:sz="4" w:space="0" w:color="auto"/>
              <w:right w:val="single" w:sz="4" w:space="0" w:color="auto"/>
            </w:tcBorders>
            <w:shd w:val="pct50" w:color="FFFFFF" w:fill="FFFFFF"/>
            <w:noWrap/>
            <w:vAlign w:val="bottom"/>
            <w:hideMark/>
          </w:tcPr>
          <w:p w:rsidR="00F803B2" w:rsidRPr="00F803B2" w:rsidRDefault="00F803B2" w:rsidP="00F803B2">
            <w:pPr>
              <w:jc w:val="right"/>
              <w:rPr>
                <w:rFonts w:asciiTheme="minorHAnsi" w:hAnsiTheme="minorHAnsi"/>
                <w:color w:val="FFFFFF"/>
                <w:sz w:val="16"/>
                <w:szCs w:val="16"/>
              </w:rPr>
            </w:pPr>
            <w:r w:rsidRPr="00F803B2">
              <w:rPr>
                <w:rFonts w:asciiTheme="minorHAnsi" w:hAnsiTheme="minorHAnsi"/>
                <w:color w:val="FFFFFF"/>
                <w:sz w:val="16"/>
                <w:szCs w:val="16"/>
              </w:rPr>
              <w:t>0,07140%</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F803B2" w:rsidRPr="00F803B2" w:rsidRDefault="00F803B2" w:rsidP="00F803B2">
            <w:pPr>
              <w:jc w:val="center"/>
              <w:rPr>
                <w:rFonts w:asciiTheme="minorHAnsi" w:hAnsiTheme="minorHAnsi" w:cs="Arial"/>
                <w:b/>
                <w:bCs/>
                <w:color w:val="000000"/>
                <w:sz w:val="16"/>
                <w:szCs w:val="16"/>
              </w:rPr>
            </w:pPr>
            <w:r w:rsidRPr="00F803B2">
              <w:rPr>
                <w:rFonts w:asciiTheme="minorHAnsi" w:hAnsiTheme="minorHAnsi" w:cs="Arial"/>
                <w:b/>
                <w:bCs/>
                <w:color w:val="000000"/>
                <w:sz w:val="16"/>
                <w:szCs w:val="16"/>
              </w:rPr>
              <w:t> </w:t>
            </w:r>
          </w:p>
        </w:tc>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F803B2" w:rsidRPr="00F803B2" w:rsidRDefault="00F803B2" w:rsidP="00F803B2">
            <w:pPr>
              <w:rPr>
                <w:rFonts w:asciiTheme="minorHAnsi" w:hAnsiTheme="minorHAnsi" w:cs="Arial"/>
                <w:b/>
                <w:bCs/>
                <w:color w:val="000000"/>
                <w:sz w:val="16"/>
                <w:szCs w:val="16"/>
              </w:rPr>
            </w:pPr>
            <w:r w:rsidRPr="00F803B2">
              <w:rPr>
                <w:rFonts w:asciiTheme="minorHAnsi" w:hAnsiTheme="minorHAnsi" w:cs="Arial"/>
                <w:b/>
                <w:bCs/>
                <w:color w:val="000000"/>
                <w:sz w:val="16"/>
                <w:szCs w:val="16"/>
              </w:rPr>
              <w:t xml:space="preserve"> $           4.322.761,90 </w:t>
            </w:r>
          </w:p>
        </w:tc>
      </w:tr>
    </w:tbl>
    <w:p w:rsidR="00F803B2" w:rsidRDefault="00F803B2" w:rsidP="00D8195A"/>
    <w:p w:rsidR="00F803B2" w:rsidRDefault="00F803B2" w:rsidP="00D8195A"/>
    <w:p w:rsidR="00473844" w:rsidRPr="007834F9" w:rsidRDefault="00473844" w:rsidP="00D8195A">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473844" w:rsidRDefault="00473844" w:rsidP="00D8195A">
      <w:pPr>
        <w:jc w:val="center"/>
      </w:pPr>
      <w:r w:rsidRPr="007834F9">
        <w:rPr>
          <w:rFonts w:ascii="Tahoma" w:hAnsi="Tahoma" w:cs="Tahoma"/>
          <w:sz w:val="22"/>
          <w:szCs w:val="22"/>
        </w:rPr>
        <w:t>Magistrada</w:t>
      </w:r>
    </w:p>
    <w:sectPr w:rsidR="00473844" w:rsidSect="00D8195A">
      <w:headerReference w:type="default" r:id="rId8"/>
      <w:footerReference w:type="default" r:id="rId9"/>
      <w:footerReference w:type="first" r:id="rId10"/>
      <w:pgSz w:w="12242" w:h="18722" w:code="14"/>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D9A" w:rsidRDefault="00C30D9A" w:rsidP="00080145">
      <w:r>
        <w:separator/>
      </w:r>
    </w:p>
  </w:endnote>
  <w:endnote w:type="continuationSeparator" w:id="0">
    <w:p w:rsidR="00C30D9A" w:rsidRDefault="00C30D9A"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977360"/>
      <w:docPartObj>
        <w:docPartGallery w:val="Page Numbers (Bottom of Page)"/>
        <w:docPartUnique/>
      </w:docPartObj>
    </w:sdtPr>
    <w:sdtEndPr/>
    <w:sdtContent>
      <w:p w:rsidR="003D0F57" w:rsidRDefault="003D0F57">
        <w:pPr>
          <w:pStyle w:val="Piedepgina"/>
          <w:jc w:val="right"/>
        </w:pPr>
        <w:r>
          <w:fldChar w:fldCharType="begin"/>
        </w:r>
        <w:r>
          <w:instrText>PAGE   \* MERGEFORMAT</w:instrText>
        </w:r>
        <w:r>
          <w:fldChar w:fldCharType="separate"/>
        </w:r>
        <w:r w:rsidR="008C411A">
          <w:rPr>
            <w:noProof/>
          </w:rPr>
          <w:t>4</w:t>
        </w:r>
        <w:r>
          <w:fldChar w:fldCharType="end"/>
        </w:r>
      </w:p>
    </w:sdtContent>
  </w:sdt>
  <w:p w:rsidR="003D0F57" w:rsidRDefault="003D0F5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0693"/>
      <w:docPartObj>
        <w:docPartGallery w:val="Page Numbers (Bottom of Page)"/>
        <w:docPartUnique/>
      </w:docPartObj>
    </w:sdtPr>
    <w:sdtEndPr/>
    <w:sdtContent>
      <w:p w:rsidR="00451454" w:rsidRDefault="00451454">
        <w:pPr>
          <w:pStyle w:val="Piedepgina"/>
          <w:jc w:val="right"/>
        </w:pPr>
        <w:r>
          <w:fldChar w:fldCharType="begin"/>
        </w:r>
        <w:r>
          <w:instrText>PAGE   \* MERGEFORMAT</w:instrText>
        </w:r>
        <w:r>
          <w:fldChar w:fldCharType="separate"/>
        </w:r>
        <w:r w:rsidR="008C411A">
          <w:rPr>
            <w:noProof/>
          </w:rPr>
          <w:t>1</w:t>
        </w:r>
        <w:r>
          <w:rPr>
            <w:noProof/>
          </w:rPr>
          <w:fldChar w:fldCharType="end"/>
        </w:r>
      </w:p>
    </w:sdtContent>
  </w:sdt>
  <w:p w:rsidR="00451454" w:rsidRDefault="0045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D9A" w:rsidRDefault="00C30D9A" w:rsidP="00080145">
      <w:r>
        <w:separator/>
      </w:r>
    </w:p>
  </w:footnote>
  <w:footnote w:type="continuationSeparator" w:id="0">
    <w:p w:rsidR="00C30D9A" w:rsidRDefault="00C30D9A"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454" w:rsidRPr="00C616B6" w:rsidRDefault="00451454" w:rsidP="004A6CA2">
    <w:pPr>
      <w:pStyle w:val="Puesto"/>
      <w:spacing w:line="240" w:lineRule="auto"/>
      <w:jc w:val="both"/>
      <w:rPr>
        <w:rFonts w:ascii="Times New Roman" w:hAnsi="Times New Roman" w:cs="Times New Roman"/>
        <w:b w:val="0"/>
        <w:color w:val="000000" w:themeColor="text1"/>
        <w:sz w:val="16"/>
        <w:szCs w:val="16"/>
      </w:rPr>
    </w:pPr>
    <w:r>
      <w:rPr>
        <w:rFonts w:ascii="Times New Roman" w:hAnsi="Times New Roman" w:cs="Times New Roman"/>
        <w:b w:val="0"/>
        <w:color w:val="000000" w:themeColor="text1"/>
        <w:sz w:val="16"/>
        <w:szCs w:val="16"/>
      </w:rPr>
      <w:t>Radicación No.: 66001-31-05-002</w:t>
    </w:r>
    <w:r w:rsidRPr="00C616B6">
      <w:rPr>
        <w:rFonts w:ascii="Times New Roman" w:hAnsi="Times New Roman" w:cs="Times New Roman"/>
        <w:b w:val="0"/>
        <w:color w:val="000000" w:themeColor="text1"/>
        <w:sz w:val="16"/>
        <w:szCs w:val="16"/>
      </w:rPr>
      <w:t>-201</w:t>
    </w:r>
    <w:r>
      <w:rPr>
        <w:rFonts w:ascii="Times New Roman" w:hAnsi="Times New Roman" w:cs="Times New Roman"/>
        <w:b w:val="0"/>
        <w:color w:val="000000" w:themeColor="text1"/>
        <w:sz w:val="16"/>
        <w:szCs w:val="16"/>
      </w:rPr>
      <w:t>4</w:t>
    </w:r>
    <w:r w:rsidRPr="00C616B6">
      <w:rPr>
        <w:rFonts w:ascii="Times New Roman" w:hAnsi="Times New Roman" w:cs="Times New Roman"/>
        <w:b w:val="0"/>
        <w:color w:val="000000" w:themeColor="text1"/>
        <w:sz w:val="16"/>
        <w:szCs w:val="16"/>
      </w:rPr>
      <w:t>-00</w:t>
    </w:r>
    <w:r>
      <w:rPr>
        <w:rFonts w:ascii="Times New Roman" w:hAnsi="Times New Roman" w:cs="Times New Roman"/>
        <w:b w:val="0"/>
        <w:color w:val="000000" w:themeColor="text1"/>
        <w:sz w:val="16"/>
        <w:szCs w:val="16"/>
      </w:rPr>
      <w:t>335</w:t>
    </w:r>
    <w:r w:rsidRPr="00C616B6">
      <w:rPr>
        <w:rFonts w:ascii="Times New Roman" w:hAnsi="Times New Roman" w:cs="Times New Roman"/>
        <w:b w:val="0"/>
        <w:color w:val="000000" w:themeColor="text1"/>
        <w:sz w:val="16"/>
        <w:szCs w:val="16"/>
      </w:rPr>
      <w:t>-00</w:t>
    </w:r>
  </w:p>
  <w:p w:rsidR="00451454" w:rsidRPr="00C616B6" w:rsidRDefault="00451454" w:rsidP="004A6CA2">
    <w:pPr>
      <w:pStyle w:val="Puesto"/>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Demandantes: </w:t>
    </w:r>
    <w:r>
      <w:rPr>
        <w:rFonts w:ascii="Times New Roman" w:hAnsi="Times New Roman" w:cs="Times New Roman"/>
        <w:b w:val="0"/>
        <w:color w:val="000000" w:themeColor="text1"/>
        <w:sz w:val="16"/>
        <w:szCs w:val="16"/>
      </w:rPr>
      <w:t xml:space="preserve">Luis Horacio Pulgarín Giraldo </w:t>
    </w:r>
  </w:p>
  <w:p w:rsidR="00451454" w:rsidRPr="00C616B6" w:rsidRDefault="00451454" w:rsidP="004A6CA2">
    <w:pPr>
      <w:pStyle w:val="Puesto"/>
      <w:spacing w:line="240" w:lineRule="auto"/>
      <w:ind w:left="708" w:hanging="708"/>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Demandado: Colpensiones  </w:t>
    </w:r>
  </w:p>
  <w:p w:rsidR="00451454" w:rsidRPr="00480896" w:rsidRDefault="00451454" w:rsidP="00480896">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726"/>
    <w:multiLevelType w:val="hybridMultilevel"/>
    <w:tmpl w:val="2C6ED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5B285A56"/>
    <w:multiLevelType w:val="hybridMultilevel"/>
    <w:tmpl w:val="98CC74AC"/>
    <w:lvl w:ilvl="0" w:tplc="2A905BE4">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7665"/>
    <w:rsid w:val="000012A6"/>
    <w:rsid w:val="000014B2"/>
    <w:rsid w:val="00003960"/>
    <w:rsid w:val="00003A5D"/>
    <w:rsid w:val="00011E8C"/>
    <w:rsid w:val="00013229"/>
    <w:rsid w:val="00017838"/>
    <w:rsid w:val="00022AEA"/>
    <w:rsid w:val="00025E17"/>
    <w:rsid w:val="00030CEC"/>
    <w:rsid w:val="00034FE3"/>
    <w:rsid w:val="0004263C"/>
    <w:rsid w:val="000451E1"/>
    <w:rsid w:val="00047FE5"/>
    <w:rsid w:val="00053CEB"/>
    <w:rsid w:val="00056DAE"/>
    <w:rsid w:val="00057B0B"/>
    <w:rsid w:val="00060436"/>
    <w:rsid w:val="00060F84"/>
    <w:rsid w:val="0006107C"/>
    <w:rsid w:val="00061C49"/>
    <w:rsid w:val="0006204B"/>
    <w:rsid w:val="000660F6"/>
    <w:rsid w:val="00066D65"/>
    <w:rsid w:val="000725A9"/>
    <w:rsid w:val="000726BD"/>
    <w:rsid w:val="00072C0D"/>
    <w:rsid w:val="0007315B"/>
    <w:rsid w:val="00073AB3"/>
    <w:rsid w:val="00074E8C"/>
    <w:rsid w:val="00075077"/>
    <w:rsid w:val="00075FAF"/>
    <w:rsid w:val="00077B1E"/>
    <w:rsid w:val="00080145"/>
    <w:rsid w:val="000814E1"/>
    <w:rsid w:val="00081E3D"/>
    <w:rsid w:val="00084EAD"/>
    <w:rsid w:val="00085655"/>
    <w:rsid w:val="0009795D"/>
    <w:rsid w:val="000A4FDA"/>
    <w:rsid w:val="000B27B6"/>
    <w:rsid w:val="000B350E"/>
    <w:rsid w:val="000C130A"/>
    <w:rsid w:val="000C444E"/>
    <w:rsid w:val="000D3694"/>
    <w:rsid w:val="000D4A0A"/>
    <w:rsid w:val="000D57E1"/>
    <w:rsid w:val="000D7484"/>
    <w:rsid w:val="000E7249"/>
    <w:rsid w:val="000F0E76"/>
    <w:rsid w:val="000F2CB5"/>
    <w:rsid w:val="001004C8"/>
    <w:rsid w:val="00100A95"/>
    <w:rsid w:val="001013F3"/>
    <w:rsid w:val="0010278F"/>
    <w:rsid w:val="0010399D"/>
    <w:rsid w:val="00105493"/>
    <w:rsid w:val="00106257"/>
    <w:rsid w:val="0010686C"/>
    <w:rsid w:val="00110A0D"/>
    <w:rsid w:val="00117097"/>
    <w:rsid w:val="00117822"/>
    <w:rsid w:val="001179D7"/>
    <w:rsid w:val="001250D7"/>
    <w:rsid w:val="00125C7B"/>
    <w:rsid w:val="00126DBE"/>
    <w:rsid w:val="00127A91"/>
    <w:rsid w:val="00135725"/>
    <w:rsid w:val="001369B5"/>
    <w:rsid w:val="00141D03"/>
    <w:rsid w:val="001423C7"/>
    <w:rsid w:val="00146A1B"/>
    <w:rsid w:val="00153D63"/>
    <w:rsid w:val="00154973"/>
    <w:rsid w:val="00155398"/>
    <w:rsid w:val="00162539"/>
    <w:rsid w:val="0016363D"/>
    <w:rsid w:val="00165355"/>
    <w:rsid w:val="00166F08"/>
    <w:rsid w:val="001748A3"/>
    <w:rsid w:val="0017796D"/>
    <w:rsid w:val="00182977"/>
    <w:rsid w:val="001A028D"/>
    <w:rsid w:val="001A50FD"/>
    <w:rsid w:val="001B1337"/>
    <w:rsid w:val="001B2F71"/>
    <w:rsid w:val="001B5C19"/>
    <w:rsid w:val="001C02EF"/>
    <w:rsid w:val="001D5CDC"/>
    <w:rsid w:val="001D5D50"/>
    <w:rsid w:val="001E16C1"/>
    <w:rsid w:val="001E2AC3"/>
    <w:rsid w:val="001E3DA2"/>
    <w:rsid w:val="001E71E0"/>
    <w:rsid w:val="001E79CD"/>
    <w:rsid w:val="001E7D67"/>
    <w:rsid w:val="001F4FC5"/>
    <w:rsid w:val="002012EE"/>
    <w:rsid w:val="002028DF"/>
    <w:rsid w:val="002029A4"/>
    <w:rsid w:val="002056AF"/>
    <w:rsid w:val="00210653"/>
    <w:rsid w:val="002110D4"/>
    <w:rsid w:val="002115CB"/>
    <w:rsid w:val="00211ED8"/>
    <w:rsid w:val="00212051"/>
    <w:rsid w:val="0021319E"/>
    <w:rsid w:val="00216D70"/>
    <w:rsid w:val="00221D95"/>
    <w:rsid w:val="002257D3"/>
    <w:rsid w:val="0022654E"/>
    <w:rsid w:val="0024148C"/>
    <w:rsid w:val="00241B58"/>
    <w:rsid w:val="00242CB0"/>
    <w:rsid w:val="002438EE"/>
    <w:rsid w:val="00243EAC"/>
    <w:rsid w:val="002514CA"/>
    <w:rsid w:val="00254425"/>
    <w:rsid w:val="00255E2E"/>
    <w:rsid w:val="002611BD"/>
    <w:rsid w:val="00264351"/>
    <w:rsid w:val="0026647A"/>
    <w:rsid w:val="0026768E"/>
    <w:rsid w:val="00276B24"/>
    <w:rsid w:val="00280529"/>
    <w:rsid w:val="00283EDB"/>
    <w:rsid w:val="00284604"/>
    <w:rsid w:val="00285033"/>
    <w:rsid w:val="00291DA9"/>
    <w:rsid w:val="002926BB"/>
    <w:rsid w:val="00292A04"/>
    <w:rsid w:val="002A0816"/>
    <w:rsid w:val="002A2280"/>
    <w:rsid w:val="002A7962"/>
    <w:rsid w:val="002B17FD"/>
    <w:rsid w:val="002B1AB0"/>
    <w:rsid w:val="002C58FB"/>
    <w:rsid w:val="002D382F"/>
    <w:rsid w:val="002D54F6"/>
    <w:rsid w:val="002E0D7D"/>
    <w:rsid w:val="002E0EBC"/>
    <w:rsid w:val="002E13C2"/>
    <w:rsid w:val="002E145E"/>
    <w:rsid w:val="002E3413"/>
    <w:rsid w:val="002F0437"/>
    <w:rsid w:val="002F1C32"/>
    <w:rsid w:val="002F2112"/>
    <w:rsid w:val="00306E24"/>
    <w:rsid w:val="00312056"/>
    <w:rsid w:val="003264AC"/>
    <w:rsid w:val="00327566"/>
    <w:rsid w:val="00335C8D"/>
    <w:rsid w:val="00340095"/>
    <w:rsid w:val="003421B6"/>
    <w:rsid w:val="00343E6F"/>
    <w:rsid w:val="00350C18"/>
    <w:rsid w:val="003510A5"/>
    <w:rsid w:val="00353596"/>
    <w:rsid w:val="0035456B"/>
    <w:rsid w:val="00361575"/>
    <w:rsid w:val="00367580"/>
    <w:rsid w:val="00371FFB"/>
    <w:rsid w:val="00372F1D"/>
    <w:rsid w:val="00381B9C"/>
    <w:rsid w:val="00382FAF"/>
    <w:rsid w:val="003841BE"/>
    <w:rsid w:val="00384592"/>
    <w:rsid w:val="00386188"/>
    <w:rsid w:val="003874E9"/>
    <w:rsid w:val="00393B45"/>
    <w:rsid w:val="00395310"/>
    <w:rsid w:val="003A3E8D"/>
    <w:rsid w:val="003A6539"/>
    <w:rsid w:val="003B0574"/>
    <w:rsid w:val="003B3570"/>
    <w:rsid w:val="003B3D13"/>
    <w:rsid w:val="003B47EA"/>
    <w:rsid w:val="003B6F0E"/>
    <w:rsid w:val="003B77AE"/>
    <w:rsid w:val="003C2837"/>
    <w:rsid w:val="003C4FDE"/>
    <w:rsid w:val="003D00D7"/>
    <w:rsid w:val="003D0F57"/>
    <w:rsid w:val="003D3465"/>
    <w:rsid w:val="003D5678"/>
    <w:rsid w:val="003D6543"/>
    <w:rsid w:val="003D71B6"/>
    <w:rsid w:val="003E195A"/>
    <w:rsid w:val="003E491B"/>
    <w:rsid w:val="003F0875"/>
    <w:rsid w:val="003F16DE"/>
    <w:rsid w:val="003F2CB7"/>
    <w:rsid w:val="003F6ACE"/>
    <w:rsid w:val="00403B7A"/>
    <w:rsid w:val="004041F3"/>
    <w:rsid w:val="00410245"/>
    <w:rsid w:val="00412E5B"/>
    <w:rsid w:val="00414593"/>
    <w:rsid w:val="00414ADA"/>
    <w:rsid w:val="00414DE2"/>
    <w:rsid w:val="00415346"/>
    <w:rsid w:val="00424158"/>
    <w:rsid w:val="004255EA"/>
    <w:rsid w:val="0042655E"/>
    <w:rsid w:val="00432E99"/>
    <w:rsid w:val="00434F48"/>
    <w:rsid w:val="004447F5"/>
    <w:rsid w:val="00446A47"/>
    <w:rsid w:val="00451454"/>
    <w:rsid w:val="00454E44"/>
    <w:rsid w:val="004564C7"/>
    <w:rsid w:val="0047107A"/>
    <w:rsid w:val="00472F8C"/>
    <w:rsid w:val="00473844"/>
    <w:rsid w:val="00480896"/>
    <w:rsid w:val="00480F2F"/>
    <w:rsid w:val="00483113"/>
    <w:rsid w:val="00483579"/>
    <w:rsid w:val="00486F11"/>
    <w:rsid w:val="004966E4"/>
    <w:rsid w:val="004A60C7"/>
    <w:rsid w:val="004A6747"/>
    <w:rsid w:val="004A6CA2"/>
    <w:rsid w:val="004B1ECB"/>
    <w:rsid w:val="004B3A8C"/>
    <w:rsid w:val="004B78E4"/>
    <w:rsid w:val="004C5723"/>
    <w:rsid w:val="004C7163"/>
    <w:rsid w:val="004C72F3"/>
    <w:rsid w:val="004D0261"/>
    <w:rsid w:val="004D0735"/>
    <w:rsid w:val="004D7051"/>
    <w:rsid w:val="004E4E43"/>
    <w:rsid w:val="004E6E4F"/>
    <w:rsid w:val="004F45E8"/>
    <w:rsid w:val="004F4A7B"/>
    <w:rsid w:val="004F6899"/>
    <w:rsid w:val="005056FE"/>
    <w:rsid w:val="00517600"/>
    <w:rsid w:val="00517916"/>
    <w:rsid w:val="00522887"/>
    <w:rsid w:val="00522F0D"/>
    <w:rsid w:val="005273C2"/>
    <w:rsid w:val="005318DD"/>
    <w:rsid w:val="005318E8"/>
    <w:rsid w:val="00540C5F"/>
    <w:rsid w:val="00542AC9"/>
    <w:rsid w:val="00543030"/>
    <w:rsid w:val="00545784"/>
    <w:rsid w:val="0056364D"/>
    <w:rsid w:val="0056444E"/>
    <w:rsid w:val="0057194E"/>
    <w:rsid w:val="00575499"/>
    <w:rsid w:val="00577F06"/>
    <w:rsid w:val="00581FD6"/>
    <w:rsid w:val="0058462F"/>
    <w:rsid w:val="0059063E"/>
    <w:rsid w:val="005942AE"/>
    <w:rsid w:val="00595690"/>
    <w:rsid w:val="00595A2C"/>
    <w:rsid w:val="00597BAC"/>
    <w:rsid w:val="005A17EF"/>
    <w:rsid w:val="005A31EA"/>
    <w:rsid w:val="005A59B9"/>
    <w:rsid w:val="005B066A"/>
    <w:rsid w:val="005B687D"/>
    <w:rsid w:val="005B6C50"/>
    <w:rsid w:val="005D0964"/>
    <w:rsid w:val="005D1E51"/>
    <w:rsid w:val="005D4B79"/>
    <w:rsid w:val="005D517A"/>
    <w:rsid w:val="005D699A"/>
    <w:rsid w:val="005D71EE"/>
    <w:rsid w:val="005E40E1"/>
    <w:rsid w:val="005E51B6"/>
    <w:rsid w:val="005F0682"/>
    <w:rsid w:val="005F0E90"/>
    <w:rsid w:val="005F36A1"/>
    <w:rsid w:val="005F6A03"/>
    <w:rsid w:val="006028E5"/>
    <w:rsid w:val="006036A6"/>
    <w:rsid w:val="006109F7"/>
    <w:rsid w:val="00612331"/>
    <w:rsid w:val="00613C3B"/>
    <w:rsid w:val="0061536C"/>
    <w:rsid w:val="00620EBE"/>
    <w:rsid w:val="00621AB8"/>
    <w:rsid w:val="00624510"/>
    <w:rsid w:val="00632418"/>
    <w:rsid w:val="00636E06"/>
    <w:rsid w:val="006373E6"/>
    <w:rsid w:val="006412D3"/>
    <w:rsid w:val="006423D8"/>
    <w:rsid w:val="00645881"/>
    <w:rsid w:val="00653901"/>
    <w:rsid w:val="00655FAC"/>
    <w:rsid w:val="00660FD6"/>
    <w:rsid w:val="006614B5"/>
    <w:rsid w:val="00661D3C"/>
    <w:rsid w:val="00664E53"/>
    <w:rsid w:val="006669E2"/>
    <w:rsid w:val="006704E9"/>
    <w:rsid w:val="00673499"/>
    <w:rsid w:val="006756C5"/>
    <w:rsid w:val="00683396"/>
    <w:rsid w:val="006922D3"/>
    <w:rsid w:val="006A1A7A"/>
    <w:rsid w:val="006B252C"/>
    <w:rsid w:val="006C261E"/>
    <w:rsid w:val="006C5161"/>
    <w:rsid w:val="006D5A9B"/>
    <w:rsid w:val="006D7A94"/>
    <w:rsid w:val="006E6687"/>
    <w:rsid w:val="006F2A3E"/>
    <w:rsid w:val="006F7941"/>
    <w:rsid w:val="00703642"/>
    <w:rsid w:val="007062F1"/>
    <w:rsid w:val="007118CF"/>
    <w:rsid w:val="007162F8"/>
    <w:rsid w:val="00722B20"/>
    <w:rsid w:val="0072543C"/>
    <w:rsid w:val="007259C0"/>
    <w:rsid w:val="00727652"/>
    <w:rsid w:val="00730F6D"/>
    <w:rsid w:val="0073519B"/>
    <w:rsid w:val="00736729"/>
    <w:rsid w:val="0074507C"/>
    <w:rsid w:val="0074776B"/>
    <w:rsid w:val="00752C0D"/>
    <w:rsid w:val="0075556D"/>
    <w:rsid w:val="00756A9C"/>
    <w:rsid w:val="00761152"/>
    <w:rsid w:val="00766923"/>
    <w:rsid w:val="00766B68"/>
    <w:rsid w:val="00767F15"/>
    <w:rsid w:val="007731C4"/>
    <w:rsid w:val="00774121"/>
    <w:rsid w:val="0078349E"/>
    <w:rsid w:val="007A25CC"/>
    <w:rsid w:val="007B3B93"/>
    <w:rsid w:val="007B5FEF"/>
    <w:rsid w:val="007B634B"/>
    <w:rsid w:val="007B6916"/>
    <w:rsid w:val="007B7820"/>
    <w:rsid w:val="007B79FF"/>
    <w:rsid w:val="007B7AF2"/>
    <w:rsid w:val="007C2A15"/>
    <w:rsid w:val="007C56A2"/>
    <w:rsid w:val="007D04C8"/>
    <w:rsid w:val="007D4C51"/>
    <w:rsid w:val="007E72ED"/>
    <w:rsid w:val="008023EA"/>
    <w:rsid w:val="00804EDA"/>
    <w:rsid w:val="008050A8"/>
    <w:rsid w:val="00805EE8"/>
    <w:rsid w:val="00811FC8"/>
    <w:rsid w:val="00815051"/>
    <w:rsid w:val="0081532D"/>
    <w:rsid w:val="008213D6"/>
    <w:rsid w:val="00823C99"/>
    <w:rsid w:val="0082661A"/>
    <w:rsid w:val="00830874"/>
    <w:rsid w:val="00832CF6"/>
    <w:rsid w:val="0084096A"/>
    <w:rsid w:val="008508CB"/>
    <w:rsid w:val="00850A79"/>
    <w:rsid w:val="008519E1"/>
    <w:rsid w:val="0085361F"/>
    <w:rsid w:val="00860414"/>
    <w:rsid w:val="008770C4"/>
    <w:rsid w:val="008779AE"/>
    <w:rsid w:val="0088229C"/>
    <w:rsid w:val="00884674"/>
    <w:rsid w:val="00885AA6"/>
    <w:rsid w:val="00893C3F"/>
    <w:rsid w:val="008B09D7"/>
    <w:rsid w:val="008B7665"/>
    <w:rsid w:val="008C306F"/>
    <w:rsid w:val="008C411A"/>
    <w:rsid w:val="008C55DD"/>
    <w:rsid w:val="008C7E33"/>
    <w:rsid w:val="008D577D"/>
    <w:rsid w:val="008E097E"/>
    <w:rsid w:val="008E1A25"/>
    <w:rsid w:val="008E466A"/>
    <w:rsid w:val="008E6C63"/>
    <w:rsid w:val="008F5E43"/>
    <w:rsid w:val="00906C3F"/>
    <w:rsid w:val="0090707F"/>
    <w:rsid w:val="00912847"/>
    <w:rsid w:val="00912B76"/>
    <w:rsid w:val="00917A25"/>
    <w:rsid w:val="009241B2"/>
    <w:rsid w:val="00924720"/>
    <w:rsid w:val="0092472D"/>
    <w:rsid w:val="009259D6"/>
    <w:rsid w:val="0092603C"/>
    <w:rsid w:val="0093488A"/>
    <w:rsid w:val="00934D50"/>
    <w:rsid w:val="00934E3E"/>
    <w:rsid w:val="009375EA"/>
    <w:rsid w:val="0094032B"/>
    <w:rsid w:val="009409C1"/>
    <w:rsid w:val="0094596E"/>
    <w:rsid w:val="00945A89"/>
    <w:rsid w:val="00947BFB"/>
    <w:rsid w:val="00952161"/>
    <w:rsid w:val="00954BF3"/>
    <w:rsid w:val="00961176"/>
    <w:rsid w:val="009627EF"/>
    <w:rsid w:val="00967694"/>
    <w:rsid w:val="00976160"/>
    <w:rsid w:val="00976E72"/>
    <w:rsid w:val="009772D8"/>
    <w:rsid w:val="00981576"/>
    <w:rsid w:val="0098272B"/>
    <w:rsid w:val="00982737"/>
    <w:rsid w:val="0098274F"/>
    <w:rsid w:val="00991C48"/>
    <w:rsid w:val="00996756"/>
    <w:rsid w:val="00996E7B"/>
    <w:rsid w:val="009A0B27"/>
    <w:rsid w:val="009A0C37"/>
    <w:rsid w:val="009A1027"/>
    <w:rsid w:val="009B686A"/>
    <w:rsid w:val="009B6C6D"/>
    <w:rsid w:val="009B6F38"/>
    <w:rsid w:val="009B7B96"/>
    <w:rsid w:val="009C219F"/>
    <w:rsid w:val="009C232F"/>
    <w:rsid w:val="009C579E"/>
    <w:rsid w:val="009C5BE8"/>
    <w:rsid w:val="009E4548"/>
    <w:rsid w:val="009E4C3E"/>
    <w:rsid w:val="009E6BEC"/>
    <w:rsid w:val="009F10F4"/>
    <w:rsid w:val="009F3CEB"/>
    <w:rsid w:val="009F4B69"/>
    <w:rsid w:val="009F7FFA"/>
    <w:rsid w:val="00A010A9"/>
    <w:rsid w:val="00A044FF"/>
    <w:rsid w:val="00A07C80"/>
    <w:rsid w:val="00A111CD"/>
    <w:rsid w:val="00A12110"/>
    <w:rsid w:val="00A1377C"/>
    <w:rsid w:val="00A14521"/>
    <w:rsid w:val="00A24570"/>
    <w:rsid w:val="00A25406"/>
    <w:rsid w:val="00A25950"/>
    <w:rsid w:val="00A25CC1"/>
    <w:rsid w:val="00A26073"/>
    <w:rsid w:val="00A260C2"/>
    <w:rsid w:val="00A27AF3"/>
    <w:rsid w:val="00A30F6B"/>
    <w:rsid w:val="00A32E7E"/>
    <w:rsid w:val="00A34EE0"/>
    <w:rsid w:val="00A35130"/>
    <w:rsid w:val="00A353F7"/>
    <w:rsid w:val="00A36202"/>
    <w:rsid w:val="00A365C8"/>
    <w:rsid w:val="00A441F2"/>
    <w:rsid w:val="00A51E5C"/>
    <w:rsid w:val="00A52EE1"/>
    <w:rsid w:val="00A532DB"/>
    <w:rsid w:val="00A54D3E"/>
    <w:rsid w:val="00A559AC"/>
    <w:rsid w:val="00A55EDA"/>
    <w:rsid w:val="00A617AE"/>
    <w:rsid w:val="00A64CF4"/>
    <w:rsid w:val="00A665BB"/>
    <w:rsid w:val="00A66F90"/>
    <w:rsid w:val="00A701F2"/>
    <w:rsid w:val="00A74A6C"/>
    <w:rsid w:val="00A80001"/>
    <w:rsid w:val="00A80244"/>
    <w:rsid w:val="00A829BB"/>
    <w:rsid w:val="00A85908"/>
    <w:rsid w:val="00A9042A"/>
    <w:rsid w:val="00A92855"/>
    <w:rsid w:val="00A95837"/>
    <w:rsid w:val="00A97020"/>
    <w:rsid w:val="00A97624"/>
    <w:rsid w:val="00AA59D5"/>
    <w:rsid w:val="00AB02FC"/>
    <w:rsid w:val="00AB17EB"/>
    <w:rsid w:val="00AB4158"/>
    <w:rsid w:val="00AB57F0"/>
    <w:rsid w:val="00AB7AB8"/>
    <w:rsid w:val="00AB7B3F"/>
    <w:rsid w:val="00AC0866"/>
    <w:rsid w:val="00AC17D4"/>
    <w:rsid w:val="00AC20EC"/>
    <w:rsid w:val="00AD1523"/>
    <w:rsid w:val="00AD15CD"/>
    <w:rsid w:val="00AD5F12"/>
    <w:rsid w:val="00AE0A4C"/>
    <w:rsid w:val="00AE1BC3"/>
    <w:rsid w:val="00AE307B"/>
    <w:rsid w:val="00AE32F9"/>
    <w:rsid w:val="00AE390D"/>
    <w:rsid w:val="00AE588A"/>
    <w:rsid w:val="00AE67A8"/>
    <w:rsid w:val="00AF00CF"/>
    <w:rsid w:val="00AF3379"/>
    <w:rsid w:val="00AF35C5"/>
    <w:rsid w:val="00B06C1C"/>
    <w:rsid w:val="00B219C5"/>
    <w:rsid w:val="00B22B42"/>
    <w:rsid w:val="00B24840"/>
    <w:rsid w:val="00B3777D"/>
    <w:rsid w:val="00B44B42"/>
    <w:rsid w:val="00B5378D"/>
    <w:rsid w:val="00B55A47"/>
    <w:rsid w:val="00B56BEF"/>
    <w:rsid w:val="00B56F3C"/>
    <w:rsid w:val="00B61BC5"/>
    <w:rsid w:val="00B62982"/>
    <w:rsid w:val="00B6315C"/>
    <w:rsid w:val="00B63D6B"/>
    <w:rsid w:val="00B64302"/>
    <w:rsid w:val="00B670FD"/>
    <w:rsid w:val="00B673B7"/>
    <w:rsid w:val="00B727F7"/>
    <w:rsid w:val="00B75CE8"/>
    <w:rsid w:val="00B76F96"/>
    <w:rsid w:val="00B77D00"/>
    <w:rsid w:val="00B85D72"/>
    <w:rsid w:val="00B86836"/>
    <w:rsid w:val="00B9542F"/>
    <w:rsid w:val="00B97C62"/>
    <w:rsid w:val="00BA0096"/>
    <w:rsid w:val="00BA36DA"/>
    <w:rsid w:val="00BA4E0E"/>
    <w:rsid w:val="00BA4E75"/>
    <w:rsid w:val="00BA5AC2"/>
    <w:rsid w:val="00BB1DB6"/>
    <w:rsid w:val="00BB24E2"/>
    <w:rsid w:val="00BB2D0E"/>
    <w:rsid w:val="00BB3F97"/>
    <w:rsid w:val="00BB6DFD"/>
    <w:rsid w:val="00BC4E6A"/>
    <w:rsid w:val="00BD31B9"/>
    <w:rsid w:val="00BD4511"/>
    <w:rsid w:val="00BD6138"/>
    <w:rsid w:val="00BD7223"/>
    <w:rsid w:val="00BE0890"/>
    <w:rsid w:val="00BE6037"/>
    <w:rsid w:val="00BE6D09"/>
    <w:rsid w:val="00BE7553"/>
    <w:rsid w:val="00BF234F"/>
    <w:rsid w:val="00BF4F59"/>
    <w:rsid w:val="00BF7875"/>
    <w:rsid w:val="00C000C6"/>
    <w:rsid w:val="00C001B2"/>
    <w:rsid w:val="00C00C16"/>
    <w:rsid w:val="00C01C1E"/>
    <w:rsid w:val="00C0410E"/>
    <w:rsid w:val="00C0544C"/>
    <w:rsid w:val="00C07CB3"/>
    <w:rsid w:val="00C12964"/>
    <w:rsid w:val="00C13723"/>
    <w:rsid w:val="00C1542B"/>
    <w:rsid w:val="00C16D06"/>
    <w:rsid w:val="00C2443F"/>
    <w:rsid w:val="00C30D9A"/>
    <w:rsid w:val="00C32225"/>
    <w:rsid w:val="00C33FA1"/>
    <w:rsid w:val="00C361D2"/>
    <w:rsid w:val="00C36552"/>
    <w:rsid w:val="00C449DD"/>
    <w:rsid w:val="00C44F29"/>
    <w:rsid w:val="00C45B9E"/>
    <w:rsid w:val="00C523B8"/>
    <w:rsid w:val="00C55122"/>
    <w:rsid w:val="00C55EE2"/>
    <w:rsid w:val="00C55F16"/>
    <w:rsid w:val="00C5659C"/>
    <w:rsid w:val="00C57020"/>
    <w:rsid w:val="00C57505"/>
    <w:rsid w:val="00C60290"/>
    <w:rsid w:val="00C616B6"/>
    <w:rsid w:val="00C62EF8"/>
    <w:rsid w:val="00C64156"/>
    <w:rsid w:val="00C712AF"/>
    <w:rsid w:val="00C727C9"/>
    <w:rsid w:val="00C810AF"/>
    <w:rsid w:val="00C81AB1"/>
    <w:rsid w:val="00C86519"/>
    <w:rsid w:val="00C91701"/>
    <w:rsid w:val="00C95FFA"/>
    <w:rsid w:val="00CA144F"/>
    <w:rsid w:val="00CA15D9"/>
    <w:rsid w:val="00CA195B"/>
    <w:rsid w:val="00CA22DD"/>
    <w:rsid w:val="00CA7577"/>
    <w:rsid w:val="00CB3598"/>
    <w:rsid w:val="00CB3670"/>
    <w:rsid w:val="00CB3FC9"/>
    <w:rsid w:val="00CB4379"/>
    <w:rsid w:val="00CB4EC7"/>
    <w:rsid w:val="00CB5DC9"/>
    <w:rsid w:val="00CB765D"/>
    <w:rsid w:val="00CC366F"/>
    <w:rsid w:val="00CC44B7"/>
    <w:rsid w:val="00CC592A"/>
    <w:rsid w:val="00CC77A6"/>
    <w:rsid w:val="00CC7EC1"/>
    <w:rsid w:val="00CD1958"/>
    <w:rsid w:val="00CD72D0"/>
    <w:rsid w:val="00CE0DFE"/>
    <w:rsid w:val="00CE1D4E"/>
    <w:rsid w:val="00CE5A45"/>
    <w:rsid w:val="00CE7289"/>
    <w:rsid w:val="00CE7CA6"/>
    <w:rsid w:val="00CF0AE8"/>
    <w:rsid w:val="00CF4E5F"/>
    <w:rsid w:val="00CF5190"/>
    <w:rsid w:val="00CF63F9"/>
    <w:rsid w:val="00D1091B"/>
    <w:rsid w:val="00D12842"/>
    <w:rsid w:val="00D1335E"/>
    <w:rsid w:val="00D16432"/>
    <w:rsid w:val="00D164FA"/>
    <w:rsid w:val="00D32A95"/>
    <w:rsid w:val="00D36C18"/>
    <w:rsid w:val="00D376CC"/>
    <w:rsid w:val="00D417D3"/>
    <w:rsid w:val="00D41F69"/>
    <w:rsid w:val="00D43B66"/>
    <w:rsid w:val="00D469B9"/>
    <w:rsid w:val="00D5133C"/>
    <w:rsid w:val="00D56CA9"/>
    <w:rsid w:val="00D63FA6"/>
    <w:rsid w:val="00D64432"/>
    <w:rsid w:val="00D67E0E"/>
    <w:rsid w:val="00D70D99"/>
    <w:rsid w:val="00D7234C"/>
    <w:rsid w:val="00D7306A"/>
    <w:rsid w:val="00D7670C"/>
    <w:rsid w:val="00D767E6"/>
    <w:rsid w:val="00D8147F"/>
    <w:rsid w:val="00D8195A"/>
    <w:rsid w:val="00D87CFC"/>
    <w:rsid w:val="00D93A87"/>
    <w:rsid w:val="00D93FBA"/>
    <w:rsid w:val="00D943C3"/>
    <w:rsid w:val="00D9652A"/>
    <w:rsid w:val="00D96DDF"/>
    <w:rsid w:val="00DA180F"/>
    <w:rsid w:val="00DA227A"/>
    <w:rsid w:val="00DB1C00"/>
    <w:rsid w:val="00DC0618"/>
    <w:rsid w:val="00DC0652"/>
    <w:rsid w:val="00DC2E6D"/>
    <w:rsid w:val="00DC4895"/>
    <w:rsid w:val="00DC5402"/>
    <w:rsid w:val="00DC5648"/>
    <w:rsid w:val="00DC7BCD"/>
    <w:rsid w:val="00DD16F4"/>
    <w:rsid w:val="00DE1B0C"/>
    <w:rsid w:val="00DE6159"/>
    <w:rsid w:val="00DE7E8F"/>
    <w:rsid w:val="00DF5C00"/>
    <w:rsid w:val="00DF6731"/>
    <w:rsid w:val="00E00631"/>
    <w:rsid w:val="00E0254E"/>
    <w:rsid w:val="00E06452"/>
    <w:rsid w:val="00E06C81"/>
    <w:rsid w:val="00E103DC"/>
    <w:rsid w:val="00E1185B"/>
    <w:rsid w:val="00E1634B"/>
    <w:rsid w:val="00E204EA"/>
    <w:rsid w:val="00E20A3B"/>
    <w:rsid w:val="00E20C2A"/>
    <w:rsid w:val="00E21361"/>
    <w:rsid w:val="00E22A4A"/>
    <w:rsid w:val="00E25C88"/>
    <w:rsid w:val="00E30886"/>
    <w:rsid w:val="00E351B6"/>
    <w:rsid w:val="00E37277"/>
    <w:rsid w:val="00E37953"/>
    <w:rsid w:val="00E40A32"/>
    <w:rsid w:val="00E51EDF"/>
    <w:rsid w:val="00E567E9"/>
    <w:rsid w:val="00E56DBB"/>
    <w:rsid w:val="00E61285"/>
    <w:rsid w:val="00E70AD0"/>
    <w:rsid w:val="00E82C03"/>
    <w:rsid w:val="00E85764"/>
    <w:rsid w:val="00E91EB7"/>
    <w:rsid w:val="00E923BA"/>
    <w:rsid w:val="00E97428"/>
    <w:rsid w:val="00EA37D5"/>
    <w:rsid w:val="00EA50CD"/>
    <w:rsid w:val="00EA7C1D"/>
    <w:rsid w:val="00EB512F"/>
    <w:rsid w:val="00EB7F60"/>
    <w:rsid w:val="00EC1502"/>
    <w:rsid w:val="00EC3C2C"/>
    <w:rsid w:val="00EC69BE"/>
    <w:rsid w:val="00ED0372"/>
    <w:rsid w:val="00ED05AE"/>
    <w:rsid w:val="00ED21FB"/>
    <w:rsid w:val="00ED316D"/>
    <w:rsid w:val="00ED34E5"/>
    <w:rsid w:val="00ED6F5B"/>
    <w:rsid w:val="00EE00BD"/>
    <w:rsid w:val="00EE2191"/>
    <w:rsid w:val="00EE2C88"/>
    <w:rsid w:val="00EE5595"/>
    <w:rsid w:val="00EF04B2"/>
    <w:rsid w:val="00F004CE"/>
    <w:rsid w:val="00F010F0"/>
    <w:rsid w:val="00F01BB5"/>
    <w:rsid w:val="00F02CEE"/>
    <w:rsid w:val="00F14FCB"/>
    <w:rsid w:val="00F21123"/>
    <w:rsid w:val="00F21E9C"/>
    <w:rsid w:val="00F248EB"/>
    <w:rsid w:val="00F34452"/>
    <w:rsid w:val="00F42050"/>
    <w:rsid w:val="00F44265"/>
    <w:rsid w:val="00F50A81"/>
    <w:rsid w:val="00F51824"/>
    <w:rsid w:val="00F52D6A"/>
    <w:rsid w:val="00F536A8"/>
    <w:rsid w:val="00F56EF9"/>
    <w:rsid w:val="00F62E0F"/>
    <w:rsid w:val="00F62E18"/>
    <w:rsid w:val="00F63478"/>
    <w:rsid w:val="00F7005C"/>
    <w:rsid w:val="00F75E3A"/>
    <w:rsid w:val="00F803B2"/>
    <w:rsid w:val="00F83DA1"/>
    <w:rsid w:val="00F86666"/>
    <w:rsid w:val="00F91A22"/>
    <w:rsid w:val="00F93822"/>
    <w:rsid w:val="00F9592C"/>
    <w:rsid w:val="00FA1E9D"/>
    <w:rsid w:val="00FA288D"/>
    <w:rsid w:val="00FA3A67"/>
    <w:rsid w:val="00FA4FEA"/>
    <w:rsid w:val="00FB1EDA"/>
    <w:rsid w:val="00FB289E"/>
    <w:rsid w:val="00FB6095"/>
    <w:rsid w:val="00FC03B4"/>
    <w:rsid w:val="00FC2C84"/>
    <w:rsid w:val="00FC5EFF"/>
    <w:rsid w:val="00FD2724"/>
    <w:rsid w:val="00FD5BC2"/>
    <w:rsid w:val="00FE04B8"/>
    <w:rsid w:val="00FE2C87"/>
    <w:rsid w:val="00FE53E8"/>
    <w:rsid w:val="00FE7690"/>
    <w:rsid w:val="00FF22BE"/>
    <w:rsid w:val="00FF3E40"/>
    <w:rsid w:val="00FF5F2E"/>
    <w:rsid w:val="00FF6DA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6887-0BBC-47FE-ADAE-3B3DF83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uiPriority w:val="99"/>
    <w:rsid w:val="00BF4F5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BF4F5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 w:type="character" w:styleId="Hipervnculo">
    <w:name w:val="Hyperlink"/>
    <w:basedOn w:val="Fuentedeprrafopredeter"/>
    <w:uiPriority w:val="99"/>
    <w:semiHidden/>
    <w:unhideWhenUsed/>
    <w:rsid w:val="00C2443F"/>
    <w:rPr>
      <w:color w:val="0563C1"/>
      <w:u w:val="single"/>
    </w:rPr>
  </w:style>
  <w:style w:type="character" w:styleId="Hipervnculovisitado">
    <w:name w:val="FollowedHyperlink"/>
    <w:basedOn w:val="Fuentedeprrafopredeter"/>
    <w:uiPriority w:val="99"/>
    <w:semiHidden/>
    <w:unhideWhenUsed/>
    <w:rsid w:val="00C2443F"/>
    <w:rPr>
      <w:color w:val="954F72"/>
      <w:u w:val="single"/>
    </w:rPr>
  </w:style>
  <w:style w:type="paragraph" w:customStyle="1" w:styleId="font5">
    <w:name w:val="font5"/>
    <w:basedOn w:val="Normal"/>
    <w:rsid w:val="00C2443F"/>
    <w:pPr>
      <w:spacing w:before="100" w:beforeAutospacing="1" w:after="100" w:afterAutospacing="1"/>
    </w:pPr>
    <w:rPr>
      <w:rFonts w:ascii="Calibri" w:hAnsi="Calibri"/>
      <w:b/>
      <w:bCs/>
      <w:sz w:val="16"/>
      <w:szCs w:val="16"/>
    </w:rPr>
  </w:style>
  <w:style w:type="paragraph" w:customStyle="1" w:styleId="font6">
    <w:name w:val="font6"/>
    <w:basedOn w:val="Normal"/>
    <w:rsid w:val="00C2443F"/>
    <w:pPr>
      <w:spacing w:before="100" w:beforeAutospacing="1" w:after="100" w:afterAutospacing="1"/>
    </w:pPr>
    <w:rPr>
      <w:rFonts w:ascii="Tahoma" w:hAnsi="Tahoma" w:cs="Tahoma"/>
      <w:b/>
      <w:bCs/>
      <w:color w:val="000000"/>
      <w:sz w:val="16"/>
      <w:szCs w:val="16"/>
    </w:rPr>
  </w:style>
  <w:style w:type="paragraph" w:customStyle="1" w:styleId="xl71">
    <w:name w:val="xl71"/>
    <w:basedOn w:val="Normal"/>
    <w:rsid w:val="00C2443F"/>
    <w:pPr>
      <w:spacing w:before="100" w:beforeAutospacing="1" w:after="100" w:afterAutospacing="1"/>
    </w:pPr>
    <w:rPr>
      <w:i/>
      <w:iCs/>
      <w:color w:val="000000"/>
    </w:rPr>
  </w:style>
  <w:style w:type="paragraph" w:customStyle="1" w:styleId="xl72">
    <w:name w:val="xl72"/>
    <w:basedOn w:val="Normal"/>
    <w:rsid w:val="00C2443F"/>
    <w:pPr>
      <w:pBdr>
        <w:top w:val="single" w:sz="4" w:space="0" w:color="auto"/>
        <w:left w:val="single" w:sz="4" w:space="0" w:color="808000"/>
        <w:bottom w:val="single" w:sz="4" w:space="0" w:color="auto"/>
        <w:right w:val="single" w:sz="4" w:space="0" w:color="808000"/>
      </w:pBdr>
      <w:spacing w:before="100" w:beforeAutospacing="1" w:after="100" w:afterAutospacing="1"/>
      <w:textAlignment w:val="center"/>
    </w:pPr>
    <w:rPr>
      <w:color w:val="000000"/>
      <w:sz w:val="20"/>
      <w:szCs w:val="20"/>
    </w:rPr>
  </w:style>
  <w:style w:type="paragraph" w:customStyle="1" w:styleId="xl73">
    <w:name w:val="xl73"/>
    <w:basedOn w:val="Normal"/>
    <w:rsid w:val="00C2443F"/>
    <w:pPr>
      <w:pBdr>
        <w:top w:val="single" w:sz="4" w:space="0" w:color="auto"/>
        <w:left w:val="single" w:sz="4" w:space="0" w:color="808000"/>
        <w:bottom w:val="single" w:sz="4" w:space="0" w:color="auto"/>
        <w:right w:val="single" w:sz="4" w:space="0" w:color="808000"/>
      </w:pBdr>
      <w:shd w:val="clear" w:color="000000" w:fill="FFFFCC"/>
      <w:spacing w:before="100" w:beforeAutospacing="1" w:after="100" w:afterAutospacing="1"/>
      <w:jc w:val="center"/>
      <w:textAlignment w:val="center"/>
    </w:pPr>
    <w:rPr>
      <w:b/>
      <w:bCs/>
      <w:color w:val="000000"/>
      <w:sz w:val="18"/>
      <w:szCs w:val="18"/>
    </w:rPr>
  </w:style>
  <w:style w:type="paragraph" w:customStyle="1" w:styleId="xl74">
    <w:name w:val="xl74"/>
    <w:basedOn w:val="Normal"/>
    <w:rsid w:val="00C2443F"/>
    <w:pPr>
      <w:shd w:val="clear" w:color="FFFFFF" w:fill="33CCCC"/>
      <w:spacing w:before="100" w:beforeAutospacing="1" w:after="100" w:afterAutospacing="1"/>
      <w:jc w:val="center"/>
      <w:textAlignment w:val="center"/>
    </w:pPr>
    <w:rPr>
      <w:sz w:val="20"/>
      <w:szCs w:val="20"/>
    </w:rPr>
  </w:style>
  <w:style w:type="paragraph" w:customStyle="1" w:styleId="xl75">
    <w:name w:val="xl75"/>
    <w:basedOn w:val="Normal"/>
    <w:rsid w:val="00C2443F"/>
    <w:pPr>
      <w:spacing w:before="100" w:beforeAutospacing="1" w:after="100" w:afterAutospacing="1"/>
    </w:pPr>
    <w:rPr>
      <w:sz w:val="20"/>
      <w:szCs w:val="20"/>
    </w:rPr>
  </w:style>
  <w:style w:type="paragraph" w:customStyle="1" w:styleId="xl76">
    <w:name w:val="xl76"/>
    <w:basedOn w:val="Normal"/>
    <w:rsid w:val="00C2443F"/>
    <w:pPr>
      <w:spacing w:before="100" w:beforeAutospacing="1" w:after="100" w:afterAutospacing="1"/>
    </w:pPr>
    <w:rPr>
      <w:color w:val="FFFFFF"/>
      <w:sz w:val="20"/>
      <w:szCs w:val="20"/>
    </w:rPr>
  </w:style>
  <w:style w:type="paragraph" w:customStyle="1" w:styleId="xl77">
    <w:name w:val="xl77"/>
    <w:basedOn w:val="Normal"/>
    <w:rsid w:val="00C2443F"/>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jc w:val="center"/>
    </w:pPr>
    <w:rPr>
      <w:sz w:val="20"/>
      <w:szCs w:val="20"/>
    </w:rPr>
  </w:style>
  <w:style w:type="paragraph" w:customStyle="1" w:styleId="xl78">
    <w:name w:val="xl78"/>
    <w:basedOn w:val="Normal"/>
    <w:rsid w:val="00C2443F"/>
    <w:pPr>
      <w:pBdr>
        <w:top w:val="single" w:sz="4" w:space="0" w:color="808000"/>
        <w:left w:val="single" w:sz="4" w:space="0" w:color="808000"/>
        <w:bottom w:val="single" w:sz="4" w:space="0" w:color="808000"/>
        <w:right w:val="single" w:sz="4" w:space="0" w:color="808000"/>
      </w:pBdr>
      <w:spacing w:before="100" w:beforeAutospacing="1" w:after="100" w:afterAutospacing="1"/>
      <w:textAlignment w:val="center"/>
    </w:pPr>
    <w:rPr>
      <w:color w:val="000000"/>
      <w:sz w:val="20"/>
      <w:szCs w:val="20"/>
    </w:rPr>
  </w:style>
  <w:style w:type="paragraph" w:customStyle="1" w:styleId="xl79">
    <w:name w:val="xl79"/>
    <w:basedOn w:val="Normal"/>
    <w:rsid w:val="00C2443F"/>
    <w:pPr>
      <w:pBdr>
        <w:top w:val="single" w:sz="4" w:space="0" w:color="003366"/>
        <w:left w:val="single" w:sz="4" w:space="0" w:color="003366"/>
        <w:bottom w:val="single" w:sz="4" w:space="0" w:color="003366"/>
        <w:right w:val="single" w:sz="4" w:space="0" w:color="003366"/>
      </w:pBdr>
      <w:shd w:val="clear" w:color="000000" w:fill="FFFFCC"/>
      <w:spacing w:before="100" w:beforeAutospacing="1" w:after="100" w:afterAutospacing="1"/>
    </w:pPr>
    <w:rPr>
      <w:sz w:val="20"/>
      <w:szCs w:val="20"/>
    </w:rPr>
  </w:style>
  <w:style w:type="paragraph" w:customStyle="1" w:styleId="xl80">
    <w:name w:val="xl80"/>
    <w:basedOn w:val="Normal"/>
    <w:rsid w:val="00C2443F"/>
    <w:pPr>
      <w:pBdr>
        <w:top w:val="single" w:sz="4" w:space="0" w:color="808000"/>
        <w:left w:val="single" w:sz="4" w:space="0" w:color="808000"/>
        <w:bottom w:val="single" w:sz="4" w:space="0" w:color="808000"/>
        <w:right w:val="single" w:sz="4" w:space="0" w:color="808000"/>
      </w:pBdr>
      <w:shd w:val="clear" w:color="000000" w:fill="FFFFCC"/>
      <w:spacing w:before="100" w:beforeAutospacing="1" w:after="100" w:afterAutospacing="1"/>
      <w:textAlignment w:val="center"/>
    </w:pPr>
    <w:rPr>
      <w:color w:val="000000"/>
      <w:sz w:val="20"/>
      <w:szCs w:val="20"/>
    </w:rPr>
  </w:style>
  <w:style w:type="paragraph" w:customStyle="1" w:styleId="xl81">
    <w:name w:val="xl81"/>
    <w:basedOn w:val="Normal"/>
    <w:rsid w:val="00C2443F"/>
    <w:pPr>
      <w:pBdr>
        <w:top w:val="single" w:sz="8" w:space="0" w:color="auto"/>
      </w:pBdr>
      <w:spacing w:before="100" w:beforeAutospacing="1" w:after="100" w:afterAutospacing="1"/>
    </w:pPr>
    <w:rPr>
      <w:i/>
      <w:iCs/>
      <w:color w:val="000000"/>
    </w:rPr>
  </w:style>
  <w:style w:type="paragraph" w:customStyle="1" w:styleId="xl82">
    <w:name w:val="xl82"/>
    <w:basedOn w:val="Normal"/>
    <w:rsid w:val="00C2443F"/>
    <w:pPr>
      <w:pBdr>
        <w:top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83">
    <w:name w:val="xl83"/>
    <w:basedOn w:val="Normal"/>
    <w:rsid w:val="00C2443F"/>
    <w:pPr>
      <w:pBdr>
        <w:left w:val="single" w:sz="8" w:space="0" w:color="auto"/>
        <w:bottom w:val="single" w:sz="8" w:space="0" w:color="auto"/>
      </w:pBdr>
      <w:spacing w:before="100" w:beforeAutospacing="1" w:after="100" w:afterAutospacing="1"/>
    </w:pPr>
    <w:rPr>
      <w:i/>
      <w:iCs/>
      <w:color w:val="000000"/>
    </w:rPr>
  </w:style>
  <w:style w:type="paragraph" w:customStyle="1" w:styleId="xl84">
    <w:name w:val="xl84"/>
    <w:basedOn w:val="Normal"/>
    <w:rsid w:val="00C2443F"/>
    <w:pPr>
      <w:pBdr>
        <w:bottom w:val="single" w:sz="8" w:space="0" w:color="auto"/>
      </w:pBdr>
      <w:shd w:val="clear" w:color="000000" w:fill="FFFF99"/>
      <w:spacing w:before="100" w:beforeAutospacing="1" w:after="100" w:afterAutospacing="1"/>
      <w:textAlignment w:val="center"/>
    </w:pPr>
    <w:rPr>
      <w:b/>
      <w:bCs/>
      <w:sz w:val="20"/>
      <w:szCs w:val="20"/>
    </w:rPr>
  </w:style>
  <w:style w:type="paragraph" w:customStyle="1" w:styleId="xl85">
    <w:name w:val="xl85"/>
    <w:basedOn w:val="Normal"/>
    <w:rsid w:val="00C2443F"/>
    <w:pPr>
      <w:spacing w:before="100" w:beforeAutospacing="1" w:after="100" w:afterAutospacing="1"/>
      <w:jc w:val="right"/>
    </w:pPr>
    <w:rPr>
      <w:sz w:val="20"/>
      <w:szCs w:val="20"/>
    </w:rPr>
  </w:style>
  <w:style w:type="paragraph" w:customStyle="1" w:styleId="xl86">
    <w:name w:val="xl86"/>
    <w:basedOn w:val="Normal"/>
    <w:rsid w:val="00C2443F"/>
    <w:pPr>
      <w:pBdr>
        <w:top w:val="single" w:sz="4" w:space="0" w:color="003366"/>
        <w:left w:val="single" w:sz="4" w:space="0" w:color="003366"/>
        <w:bottom w:val="single" w:sz="4" w:space="0" w:color="003366"/>
        <w:right w:val="single" w:sz="4" w:space="0" w:color="003366"/>
      </w:pBdr>
      <w:shd w:val="clear" w:color="000000" w:fill="FFFFFF"/>
      <w:spacing w:before="100" w:beforeAutospacing="1" w:after="100" w:afterAutospacing="1"/>
      <w:jc w:val="right"/>
    </w:pPr>
    <w:rPr>
      <w:sz w:val="20"/>
      <w:szCs w:val="20"/>
    </w:rPr>
  </w:style>
  <w:style w:type="paragraph" w:customStyle="1" w:styleId="xl87">
    <w:name w:val="xl87"/>
    <w:basedOn w:val="Normal"/>
    <w:rsid w:val="00C2443F"/>
    <w:pPr>
      <w:pBdr>
        <w:top w:val="single" w:sz="8" w:space="0" w:color="auto"/>
      </w:pBdr>
      <w:spacing w:before="100" w:beforeAutospacing="1" w:after="100" w:afterAutospacing="1"/>
      <w:jc w:val="right"/>
    </w:pPr>
    <w:rPr>
      <w:i/>
      <w:iCs/>
      <w:color w:val="000000"/>
    </w:rPr>
  </w:style>
  <w:style w:type="paragraph" w:customStyle="1" w:styleId="xl88">
    <w:name w:val="xl88"/>
    <w:basedOn w:val="Normal"/>
    <w:rsid w:val="00C2443F"/>
    <w:pPr>
      <w:spacing w:before="100" w:beforeAutospacing="1" w:after="100" w:afterAutospacing="1"/>
      <w:jc w:val="right"/>
    </w:pPr>
  </w:style>
  <w:style w:type="paragraph" w:customStyle="1" w:styleId="xl89">
    <w:name w:val="xl89"/>
    <w:basedOn w:val="Normal"/>
    <w:rsid w:val="00C2443F"/>
    <w:pPr>
      <w:pBdr>
        <w:top w:val="single" w:sz="8" w:space="0" w:color="auto"/>
        <w:left w:val="single" w:sz="8" w:space="0" w:color="auto"/>
        <w:right w:val="single" w:sz="4" w:space="0" w:color="808000"/>
      </w:pBdr>
      <w:shd w:val="clear" w:color="000000" w:fill="FFFF99"/>
      <w:spacing w:before="100" w:beforeAutospacing="1" w:after="100" w:afterAutospacing="1"/>
      <w:jc w:val="center"/>
      <w:textAlignment w:val="center"/>
    </w:pPr>
    <w:rPr>
      <w:b/>
      <w:bCs/>
      <w:color w:val="000000"/>
      <w:sz w:val="16"/>
      <w:szCs w:val="16"/>
    </w:rPr>
  </w:style>
  <w:style w:type="paragraph" w:customStyle="1" w:styleId="xl90">
    <w:name w:val="xl90"/>
    <w:basedOn w:val="Normal"/>
    <w:rsid w:val="00C2443F"/>
    <w:pPr>
      <w:pBdr>
        <w:top w:val="single" w:sz="8" w:space="0" w:color="auto"/>
        <w:left w:val="single" w:sz="4" w:space="0" w:color="808000"/>
        <w:right w:val="single" w:sz="4" w:space="0" w:color="808000"/>
      </w:pBdr>
      <w:shd w:val="clear" w:color="000000" w:fill="FFFF99"/>
      <w:spacing w:before="100" w:beforeAutospacing="1" w:after="100" w:afterAutospacing="1"/>
      <w:jc w:val="center"/>
      <w:textAlignment w:val="center"/>
    </w:pPr>
    <w:rPr>
      <w:b/>
      <w:bCs/>
      <w:color w:val="000000"/>
      <w:sz w:val="16"/>
      <w:szCs w:val="16"/>
    </w:rPr>
  </w:style>
  <w:style w:type="paragraph" w:customStyle="1" w:styleId="xl91">
    <w:name w:val="xl91"/>
    <w:basedOn w:val="Normal"/>
    <w:rsid w:val="00C2443F"/>
    <w:pPr>
      <w:pBdr>
        <w:top w:val="single" w:sz="8" w:space="0" w:color="auto"/>
        <w:left w:val="single" w:sz="4" w:space="0" w:color="808000"/>
        <w:right w:val="single" w:sz="4" w:space="0" w:color="808000"/>
      </w:pBdr>
      <w:shd w:val="clear" w:color="000000" w:fill="FFFF99"/>
      <w:spacing w:before="100" w:beforeAutospacing="1" w:after="100" w:afterAutospacing="1"/>
      <w:jc w:val="right"/>
      <w:textAlignment w:val="center"/>
    </w:pPr>
    <w:rPr>
      <w:b/>
      <w:bCs/>
      <w:color w:val="000000"/>
      <w:sz w:val="16"/>
      <w:szCs w:val="16"/>
    </w:rPr>
  </w:style>
  <w:style w:type="paragraph" w:customStyle="1" w:styleId="xl92">
    <w:name w:val="xl92"/>
    <w:basedOn w:val="Normal"/>
    <w:rsid w:val="00C2443F"/>
    <w:pPr>
      <w:pBdr>
        <w:top w:val="single" w:sz="8" w:space="0" w:color="auto"/>
        <w:left w:val="single" w:sz="4" w:space="0" w:color="808000"/>
        <w:right w:val="single" w:sz="4" w:space="0" w:color="808000"/>
      </w:pBdr>
      <w:shd w:val="clear" w:color="000000" w:fill="FFFF99"/>
      <w:spacing w:before="100" w:beforeAutospacing="1" w:after="100" w:afterAutospacing="1"/>
      <w:jc w:val="center"/>
      <w:textAlignment w:val="center"/>
    </w:pPr>
    <w:rPr>
      <w:b/>
      <w:bCs/>
      <w:color w:val="000000"/>
      <w:sz w:val="16"/>
      <w:szCs w:val="16"/>
    </w:rPr>
  </w:style>
  <w:style w:type="paragraph" w:customStyle="1" w:styleId="xl93">
    <w:name w:val="xl93"/>
    <w:basedOn w:val="Normal"/>
    <w:rsid w:val="00C2443F"/>
    <w:pPr>
      <w:pBdr>
        <w:top w:val="single" w:sz="8" w:space="0" w:color="auto"/>
        <w:left w:val="single" w:sz="4" w:space="0" w:color="808000"/>
        <w:right w:val="single" w:sz="8" w:space="0" w:color="auto"/>
      </w:pBdr>
      <w:shd w:val="clear" w:color="000000" w:fill="FFFF99"/>
      <w:spacing w:before="100" w:beforeAutospacing="1" w:after="100" w:afterAutospacing="1"/>
      <w:jc w:val="center"/>
      <w:textAlignment w:val="center"/>
    </w:pPr>
    <w:rPr>
      <w:b/>
      <w:bCs/>
      <w:color w:val="000000"/>
      <w:sz w:val="16"/>
      <w:szCs w:val="16"/>
    </w:rPr>
  </w:style>
  <w:style w:type="paragraph" w:customStyle="1" w:styleId="xl94">
    <w:name w:val="xl94"/>
    <w:basedOn w:val="Normal"/>
    <w:rsid w:val="00C2443F"/>
    <w:pPr>
      <w:pBdr>
        <w:top w:val="single" w:sz="4" w:space="0" w:color="003366"/>
        <w:left w:val="single" w:sz="8" w:space="0" w:color="auto"/>
        <w:bottom w:val="single" w:sz="4" w:space="0" w:color="003366"/>
        <w:right w:val="single" w:sz="4" w:space="0" w:color="003366"/>
      </w:pBdr>
      <w:shd w:val="clear" w:color="000000" w:fill="FFFFCC"/>
      <w:spacing w:before="100" w:beforeAutospacing="1" w:after="100" w:afterAutospacing="1"/>
      <w:jc w:val="center"/>
    </w:pPr>
    <w:rPr>
      <w:sz w:val="20"/>
      <w:szCs w:val="20"/>
    </w:rPr>
  </w:style>
  <w:style w:type="paragraph" w:customStyle="1" w:styleId="xl95">
    <w:name w:val="xl95"/>
    <w:basedOn w:val="Normal"/>
    <w:rsid w:val="00C2443F"/>
    <w:pPr>
      <w:pBdr>
        <w:top w:val="single" w:sz="4" w:space="0" w:color="003366"/>
        <w:left w:val="single" w:sz="4" w:space="0" w:color="003366"/>
        <w:bottom w:val="single" w:sz="4" w:space="0" w:color="003366"/>
        <w:right w:val="single" w:sz="8" w:space="0" w:color="auto"/>
      </w:pBdr>
      <w:shd w:val="clear" w:color="000000" w:fill="FFFFCC"/>
      <w:spacing w:before="100" w:beforeAutospacing="1" w:after="100" w:afterAutospacing="1"/>
      <w:jc w:val="right"/>
    </w:pPr>
    <w:rPr>
      <w:sz w:val="20"/>
      <w:szCs w:val="20"/>
    </w:rPr>
  </w:style>
  <w:style w:type="paragraph" w:customStyle="1" w:styleId="xl96">
    <w:name w:val="xl96"/>
    <w:basedOn w:val="Normal"/>
    <w:rsid w:val="00C2443F"/>
    <w:pPr>
      <w:pBdr>
        <w:top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97">
    <w:name w:val="xl97"/>
    <w:basedOn w:val="Normal"/>
    <w:rsid w:val="00C2443F"/>
    <w:pPr>
      <w:pBdr>
        <w:top w:val="single" w:sz="4" w:space="0" w:color="003366"/>
        <w:left w:val="single" w:sz="4" w:space="0" w:color="003366"/>
        <w:bottom w:val="single" w:sz="4" w:space="0" w:color="003366"/>
        <w:right w:val="single" w:sz="8" w:space="0" w:color="auto"/>
      </w:pBdr>
      <w:shd w:val="clear" w:color="000000" w:fill="FFFFCC"/>
      <w:spacing w:before="100" w:beforeAutospacing="1" w:after="100" w:afterAutospacing="1"/>
      <w:jc w:val="right"/>
    </w:pPr>
    <w:rPr>
      <w:sz w:val="20"/>
      <w:szCs w:val="20"/>
    </w:rPr>
  </w:style>
  <w:style w:type="paragraph" w:customStyle="1" w:styleId="xl98">
    <w:name w:val="xl98"/>
    <w:basedOn w:val="Normal"/>
    <w:rsid w:val="00C2443F"/>
    <w:pPr>
      <w:pBdr>
        <w:top w:val="single" w:sz="8" w:space="0" w:color="auto"/>
        <w:left w:val="single" w:sz="8" w:space="0" w:color="auto"/>
      </w:pBdr>
      <w:shd w:val="clear" w:color="000000" w:fill="FFFFCC"/>
      <w:spacing w:before="100" w:beforeAutospacing="1" w:after="100" w:afterAutospacing="1"/>
      <w:jc w:val="center"/>
    </w:pPr>
    <w:rPr>
      <w:sz w:val="20"/>
      <w:szCs w:val="20"/>
    </w:rPr>
  </w:style>
  <w:style w:type="paragraph" w:customStyle="1" w:styleId="xl99">
    <w:name w:val="xl99"/>
    <w:basedOn w:val="Normal"/>
    <w:rsid w:val="00C2443F"/>
    <w:pPr>
      <w:pBdr>
        <w:top w:val="single" w:sz="8" w:space="0" w:color="auto"/>
      </w:pBdr>
      <w:shd w:val="clear" w:color="000000" w:fill="FFFFCC"/>
      <w:spacing w:before="100" w:beforeAutospacing="1" w:after="100" w:afterAutospacing="1"/>
      <w:jc w:val="center"/>
    </w:pPr>
    <w:rPr>
      <w:sz w:val="20"/>
      <w:szCs w:val="20"/>
    </w:rPr>
  </w:style>
  <w:style w:type="paragraph" w:customStyle="1" w:styleId="xl100">
    <w:name w:val="xl100"/>
    <w:basedOn w:val="Normal"/>
    <w:rsid w:val="00C2443F"/>
    <w:pPr>
      <w:pBdr>
        <w:top w:val="single" w:sz="8" w:space="0" w:color="auto"/>
        <w:right w:val="single" w:sz="4" w:space="0" w:color="003366"/>
      </w:pBdr>
      <w:shd w:val="clear" w:color="000000" w:fill="FFFFCC"/>
      <w:spacing w:before="100" w:beforeAutospacing="1" w:after="100" w:afterAutospacing="1"/>
      <w:jc w:val="center"/>
    </w:pPr>
    <w:rPr>
      <w:sz w:val="20"/>
      <w:szCs w:val="20"/>
    </w:rPr>
  </w:style>
  <w:style w:type="paragraph" w:customStyle="1" w:styleId="xl101">
    <w:name w:val="xl101"/>
    <w:basedOn w:val="Normal"/>
    <w:rsid w:val="00C2443F"/>
    <w:pPr>
      <w:pBdr>
        <w:bottom w:val="single" w:sz="8" w:space="0" w:color="auto"/>
      </w:pBdr>
      <w:shd w:val="clear" w:color="000000" w:fill="FFFF99"/>
      <w:spacing w:before="100" w:beforeAutospacing="1" w:after="100" w:afterAutospacing="1"/>
      <w:jc w:val="center"/>
      <w:textAlignment w:val="center"/>
    </w:pPr>
    <w:rPr>
      <w:b/>
      <w:bCs/>
    </w:rPr>
  </w:style>
  <w:style w:type="paragraph" w:customStyle="1" w:styleId="xl102">
    <w:name w:val="xl102"/>
    <w:basedOn w:val="Normal"/>
    <w:rsid w:val="00C2443F"/>
    <w:pPr>
      <w:pBdr>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103">
    <w:name w:val="xl103"/>
    <w:basedOn w:val="Normal"/>
    <w:rsid w:val="00C2443F"/>
    <w:pPr>
      <w:shd w:val="clear" w:color="000000" w:fill="FFFFCC"/>
      <w:spacing w:before="100" w:beforeAutospacing="1" w:after="100" w:afterAutospacing="1"/>
      <w:jc w:val="center"/>
      <w:textAlignment w:val="center"/>
    </w:pPr>
    <w:rPr>
      <w:b/>
      <w:bCs/>
      <w:color w:val="000000"/>
      <w:sz w:val="18"/>
      <w:szCs w:val="18"/>
    </w:rPr>
  </w:style>
  <w:style w:type="paragraph" w:customStyle="1" w:styleId="xl104">
    <w:name w:val="xl104"/>
    <w:basedOn w:val="Normal"/>
    <w:rsid w:val="00C2443F"/>
    <w:pPr>
      <w:pBdr>
        <w:right w:val="single" w:sz="4" w:space="0" w:color="808000"/>
      </w:pBdr>
      <w:shd w:val="clear" w:color="000000" w:fill="FFFFCC"/>
      <w:spacing w:before="100" w:beforeAutospacing="1" w:after="100" w:afterAutospacing="1"/>
      <w:jc w:val="center"/>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91631752">
      <w:bodyDiv w:val="1"/>
      <w:marLeft w:val="0"/>
      <w:marRight w:val="0"/>
      <w:marTop w:val="0"/>
      <w:marBottom w:val="0"/>
      <w:divBdr>
        <w:top w:val="none" w:sz="0" w:space="0" w:color="auto"/>
        <w:left w:val="none" w:sz="0" w:space="0" w:color="auto"/>
        <w:bottom w:val="none" w:sz="0" w:space="0" w:color="auto"/>
        <w:right w:val="none" w:sz="0" w:space="0" w:color="auto"/>
      </w:divBdr>
    </w:div>
    <w:div w:id="186217363">
      <w:bodyDiv w:val="1"/>
      <w:marLeft w:val="0"/>
      <w:marRight w:val="0"/>
      <w:marTop w:val="0"/>
      <w:marBottom w:val="0"/>
      <w:divBdr>
        <w:top w:val="none" w:sz="0" w:space="0" w:color="auto"/>
        <w:left w:val="none" w:sz="0" w:space="0" w:color="auto"/>
        <w:bottom w:val="none" w:sz="0" w:space="0" w:color="auto"/>
        <w:right w:val="none" w:sz="0" w:space="0" w:color="auto"/>
      </w:divBdr>
    </w:div>
    <w:div w:id="266428149">
      <w:bodyDiv w:val="1"/>
      <w:marLeft w:val="0"/>
      <w:marRight w:val="0"/>
      <w:marTop w:val="0"/>
      <w:marBottom w:val="0"/>
      <w:divBdr>
        <w:top w:val="none" w:sz="0" w:space="0" w:color="auto"/>
        <w:left w:val="none" w:sz="0" w:space="0" w:color="auto"/>
        <w:bottom w:val="none" w:sz="0" w:space="0" w:color="auto"/>
        <w:right w:val="none" w:sz="0" w:space="0" w:color="auto"/>
      </w:divBdr>
    </w:div>
    <w:div w:id="433326949">
      <w:bodyDiv w:val="1"/>
      <w:marLeft w:val="0"/>
      <w:marRight w:val="0"/>
      <w:marTop w:val="0"/>
      <w:marBottom w:val="0"/>
      <w:divBdr>
        <w:top w:val="none" w:sz="0" w:space="0" w:color="auto"/>
        <w:left w:val="none" w:sz="0" w:space="0" w:color="auto"/>
        <w:bottom w:val="none" w:sz="0" w:space="0" w:color="auto"/>
        <w:right w:val="none" w:sz="0" w:space="0" w:color="auto"/>
      </w:divBdr>
    </w:div>
    <w:div w:id="466971316">
      <w:bodyDiv w:val="1"/>
      <w:marLeft w:val="0"/>
      <w:marRight w:val="0"/>
      <w:marTop w:val="0"/>
      <w:marBottom w:val="0"/>
      <w:divBdr>
        <w:top w:val="none" w:sz="0" w:space="0" w:color="auto"/>
        <w:left w:val="none" w:sz="0" w:space="0" w:color="auto"/>
        <w:bottom w:val="none" w:sz="0" w:space="0" w:color="auto"/>
        <w:right w:val="none" w:sz="0" w:space="0" w:color="auto"/>
      </w:divBdr>
    </w:div>
    <w:div w:id="537863295">
      <w:bodyDiv w:val="1"/>
      <w:marLeft w:val="0"/>
      <w:marRight w:val="0"/>
      <w:marTop w:val="0"/>
      <w:marBottom w:val="0"/>
      <w:divBdr>
        <w:top w:val="none" w:sz="0" w:space="0" w:color="auto"/>
        <w:left w:val="none" w:sz="0" w:space="0" w:color="auto"/>
        <w:bottom w:val="none" w:sz="0" w:space="0" w:color="auto"/>
        <w:right w:val="none" w:sz="0" w:space="0" w:color="auto"/>
      </w:divBdr>
    </w:div>
    <w:div w:id="848103908">
      <w:bodyDiv w:val="1"/>
      <w:marLeft w:val="0"/>
      <w:marRight w:val="0"/>
      <w:marTop w:val="0"/>
      <w:marBottom w:val="0"/>
      <w:divBdr>
        <w:top w:val="none" w:sz="0" w:space="0" w:color="auto"/>
        <w:left w:val="none" w:sz="0" w:space="0" w:color="auto"/>
        <w:bottom w:val="none" w:sz="0" w:space="0" w:color="auto"/>
        <w:right w:val="none" w:sz="0" w:space="0" w:color="auto"/>
      </w:divBdr>
    </w:div>
    <w:div w:id="903561003">
      <w:bodyDiv w:val="1"/>
      <w:marLeft w:val="0"/>
      <w:marRight w:val="0"/>
      <w:marTop w:val="0"/>
      <w:marBottom w:val="0"/>
      <w:divBdr>
        <w:top w:val="none" w:sz="0" w:space="0" w:color="auto"/>
        <w:left w:val="none" w:sz="0" w:space="0" w:color="auto"/>
        <w:bottom w:val="none" w:sz="0" w:space="0" w:color="auto"/>
        <w:right w:val="none" w:sz="0" w:space="0" w:color="auto"/>
      </w:divBdr>
    </w:div>
    <w:div w:id="952058247">
      <w:bodyDiv w:val="1"/>
      <w:marLeft w:val="0"/>
      <w:marRight w:val="0"/>
      <w:marTop w:val="0"/>
      <w:marBottom w:val="0"/>
      <w:divBdr>
        <w:top w:val="none" w:sz="0" w:space="0" w:color="auto"/>
        <w:left w:val="none" w:sz="0" w:space="0" w:color="auto"/>
        <w:bottom w:val="none" w:sz="0" w:space="0" w:color="auto"/>
        <w:right w:val="none" w:sz="0" w:space="0" w:color="auto"/>
      </w:divBdr>
    </w:div>
    <w:div w:id="1418017739">
      <w:bodyDiv w:val="1"/>
      <w:marLeft w:val="0"/>
      <w:marRight w:val="0"/>
      <w:marTop w:val="0"/>
      <w:marBottom w:val="0"/>
      <w:divBdr>
        <w:top w:val="none" w:sz="0" w:space="0" w:color="auto"/>
        <w:left w:val="none" w:sz="0" w:space="0" w:color="auto"/>
        <w:bottom w:val="none" w:sz="0" w:space="0" w:color="auto"/>
        <w:right w:val="none" w:sz="0" w:space="0" w:color="auto"/>
      </w:divBdr>
    </w:div>
    <w:div w:id="1599216150">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8223-54E3-41AE-8729-6D0BC0B95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6</Pages>
  <Words>2797</Words>
  <Characters>15384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Henry Lora Rodriguez</cp:lastModifiedBy>
  <cp:revision>83</cp:revision>
  <cp:lastPrinted>2017-06-09T20:49:00Z</cp:lastPrinted>
  <dcterms:created xsi:type="dcterms:W3CDTF">2017-05-30T18:12:00Z</dcterms:created>
  <dcterms:modified xsi:type="dcterms:W3CDTF">2017-09-11T20:18:00Z</dcterms:modified>
</cp:coreProperties>
</file>