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71E77" w:rsidRPr="002979DE" w:rsidRDefault="00671E77" w:rsidP="002979DE">
      <w:pPr>
        <w:pStyle w:val="Puesto"/>
        <w:spacing w:line="240" w:lineRule="auto"/>
        <w:jc w:val="both"/>
        <w:rPr>
          <w:rFonts w:ascii="Tahoma" w:hAnsi="Tahoma" w:cs="Tahoma"/>
          <w:b w:val="0"/>
          <w:bCs/>
          <w:sz w:val="18"/>
          <w:szCs w:val="18"/>
        </w:rPr>
      </w:pPr>
      <w:bookmarkStart w:id="0" w:name="_GoBack"/>
      <w:bookmarkEnd w:id="0"/>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511B48">
        <w:rPr>
          <w:rFonts w:ascii="Tahoma" w:hAnsi="Tahoma" w:cs="Tahoma"/>
          <w:b w:val="0"/>
          <w:bCs/>
          <w:sz w:val="18"/>
          <w:szCs w:val="18"/>
        </w:rPr>
        <w:t>14 de julio</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346EA7">
        <w:rPr>
          <w:rFonts w:ascii="Tahoma" w:hAnsi="Tahoma" w:cs="Tahoma"/>
          <w:b w:val="0"/>
          <w:sz w:val="18"/>
          <w:szCs w:val="18"/>
        </w:rPr>
        <w:t>003-2010-00844-02</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sidR="002979DE">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346EA7">
        <w:rPr>
          <w:rFonts w:ascii="Tahoma" w:hAnsi="Tahoma" w:cs="Tahoma"/>
          <w:b w:val="0"/>
          <w:sz w:val="18"/>
          <w:szCs w:val="18"/>
        </w:rPr>
        <w:t>RUBIELA TORO MUÑOZ</w:t>
      </w:r>
    </w:p>
    <w:p w:rsidR="00953B58" w:rsidRDefault="009D0A19" w:rsidP="002B0D72">
      <w:pPr>
        <w:pStyle w:val="Puesto"/>
        <w:spacing w:line="240" w:lineRule="auto"/>
        <w:ind w:left="2130" w:hanging="2130"/>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346EA7">
        <w:rPr>
          <w:rFonts w:ascii="Tahoma" w:hAnsi="Tahoma" w:cs="Tahoma"/>
          <w:b w:val="0"/>
          <w:sz w:val="18"/>
          <w:szCs w:val="18"/>
        </w:rPr>
        <w:t>UNIDAD ADMINISTRATIVA ESPECIAL DE GESTIÓN PENSIONAL Y</w:t>
      </w:r>
    </w:p>
    <w:p w:rsidR="00D3635B" w:rsidRPr="002979DE" w:rsidRDefault="00346EA7" w:rsidP="00953B58">
      <w:pPr>
        <w:pStyle w:val="Puesto"/>
        <w:spacing w:line="240" w:lineRule="auto"/>
        <w:ind w:left="4966" w:hanging="2130"/>
        <w:jc w:val="both"/>
        <w:rPr>
          <w:rFonts w:ascii="Tahoma" w:hAnsi="Tahoma" w:cs="Tahoma"/>
          <w:b w:val="0"/>
          <w:sz w:val="18"/>
          <w:szCs w:val="18"/>
        </w:rPr>
      </w:pPr>
      <w:r>
        <w:rPr>
          <w:rFonts w:ascii="Tahoma" w:hAnsi="Tahoma" w:cs="Tahoma"/>
          <w:b w:val="0"/>
          <w:sz w:val="18"/>
          <w:szCs w:val="18"/>
        </w:rPr>
        <w:t xml:space="preserve">CONTRIBUCIONES PARAFISCALES DE LA PROTECCIÓN SOCIAL -UGPP- </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346EA7">
        <w:rPr>
          <w:rFonts w:ascii="Tahoma" w:hAnsi="Tahoma" w:cs="Tahoma"/>
          <w:b w:val="0"/>
          <w:sz w:val="18"/>
          <w:szCs w:val="18"/>
        </w:rPr>
        <w:t>Tercero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417E0B" w:rsidRDefault="009E3100" w:rsidP="00417E0B">
      <w:pPr>
        <w:pStyle w:val="Puesto"/>
        <w:spacing w:line="240" w:lineRule="auto"/>
        <w:jc w:val="both"/>
        <w:rPr>
          <w:rFonts w:ascii="Tahoma" w:hAnsi="Tahoma" w:cs="Tahoma"/>
          <w:sz w:val="18"/>
          <w:szCs w:val="18"/>
        </w:rPr>
      </w:pPr>
      <w:r>
        <w:rPr>
          <w:rFonts w:ascii="Tahoma" w:hAnsi="Tahoma" w:cs="Tahoma"/>
          <w:b w:val="0"/>
          <w:sz w:val="18"/>
          <w:szCs w:val="18"/>
        </w:rPr>
        <w:t>Tema</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w:t>
      </w:r>
      <w:r>
        <w:rPr>
          <w:rFonts w:ascii="Tahoma" w:hAnsi="Tahoma" w:cs="Tahoma"/>
          <w:b w:val="0"/>
          <w:sz w:val="18"/>
          <w:szCs w:val="18"/>
        </w:rPr>
        <w:tab/>
      </w:r>
      <w:r>
        <w:rPr>
          <w:rFonts w:ascii="Tahoma" w:hAnsi="Tahoma" w:cs="Tahoma"/>
          <w:sz w:val="18"/>
          <w:szCs w:val="18"/>
        </w:rPr>
        <w:t>DIFERENCIA ENTRE INDEXACI</w:t>
      </w:r>
      <w:r w:rsidR="00953B58">
        <w:rPr>
          <w:rFonts w:ascii="Tahoma" w:hAnsi="Tahoma" w:cs="Tahoma"/>
          <w:sz w:val="18"/>
          <w:szCs w:val="18"/>
        </w:rPr>
        <w:t>ÓN Y ACTUALIZACIÓ</w:t>
      </w:r>
      <w:r>
        <w:rPr>
          <w:rFonts w:ascii="Tahoma" w:hAnsi="Tahoma" w:cs="Tahoma"/>
          <w:sz w:val="18"/>
          <w:szCs w:val="18"/>
        </w:rPr>
        <w:t>N DE MESADAS:</w:t>
      </w:r>
    </w:p>
    <w:p w:rsidR="0025538B" w:rsidRDefault="00953B58" w:rsidP="00417E0B">
      <w:pPr>
        <w:pStyle w:val="Puesto"/>
        <w:spacing w:line="240" w:lineRule="auto"/>
        <w:ind w:left="2836"/>
        <w:jc w:val="both"/>
        <w:rPr>
          <w:rFonts w:ascii="Tahoma" w:hAnsi="Tahoma" w:cs="Tahoma"/>
          <w:b w:val="0"/>
          <w:sz w:val="18"/>
          <w:szCs w:val="18"/>
        </w:rPr>
      </w:pPr>
      <w:r w:rsidRPr="00953B58">
        <w:rPr>
          <w:rFonts w:ascii="Tahoma" w:hAnsi="Tahoma" w:cs="Tahoma"/>
          <w:b w:val="0"/>
          <w:sz w:val="18"/>
          <w:szCs w:val="18"/>
        </w:rPr>
        <w:t>Con relación al tema de la indexación tanto el juzgado de primera instancia como la ejecutante confunden dicho tema con la actualización de la mesada pensional, pues cuando se utiliza el índice de precios al consumidor, como lo hicieron tanto la una como la otra, lo que se está haciendo es actualizar el valor y no indexándole, toda vez que la indexación no se hace con el IPC</w:t>
      </w:r>
      <w:r w:rsidR="0025538B">
        <w:rPr>
          <w:rFonts w:ascii="Tahoma" w:hAnsi="Tahoma" w:cs="Tahoma"/>
          <w:b w:val="0"/>
          <w:sz w:val="18"/>
          <w:szCs w:val="18"/>
        </w:rPr>
        <w:t xml:space="preserve"> anual</w:t>
      </w:r>
      <w:r w:rsidRPr="00953B58">
        <w:rPr>
          <w:rFonts w:ascii="Tahoma" w:hAnsi="Tahoma" w:cs="Tahoma"/>
          <w:b w:val="0"/>
          <w:sz w:val="18"/>
          <w:szCs w:val="18"/>
        </w:rPr>
        <w:t xml:space="preserve"> sino con la siguiente fórmula financiera:</w:t>
      </w:r>
      <w:r w:rsidR="00417E0B">
        <w:rPr>
          <w:rFonts w:ascii="Tahoma" w:hAnsi="Tahoma" w:cs="Tahoma"/>
          <w:b w:val="0"/>
          <w:sz w:val="18"/>
          <w:szCs w:val="18"/>
        </w:rPr>
        <w:t xml:space="preserve"> </w:t>
      </w:r>
    </w:p>
    <w:p w:rsidR="0025538B" w:rsidRDefault="0025538B" w:rsidP="0025538B">
      <w:pPr>
        <w:pStyle w:val="Puesto"/>
        <w:spacing w:line="240" w:lineRule="auto"/>
        <w:ind w:left="3196"/>
        <w:jc w:val="both"/>
        <w:rPr>
          <w:rFonts w:ascii="Tahoma" w:hAnsi="Tahoma" w:cs="Tahoma"/>
          <w:b w:val="0"/>
          <w:sz w:val="18"/>
          <w:szCs w:val="18"/>
        </w:rPr>
      </w:pPr>
    </w:p>
    <w:p w:rsidR="00417E0B" w:rsidRPr="00417E0B" w:rsidRDefault="00417E0B" w:rsidP="0025538B">
      <w:pPr>
        <w:pStyle w:val="Puesto"/>
        <w:spacing w:line="240" w:lineRule="auto"/>
        <w:ind w:left="3196"/>
        <w:jc w:val="both"/>
        <w:rPr>
          <w:rFonts w:ascii="Tahoma" w:hAnsi="Tahoma" w:cs="Tahoma"/>
          <w:b w:val="0"/>
          <w:sz w:val="18"/>
          <w:szCs w:val="18"/>
        </w:rPr>
      </w:pPr>
      <w:r w:rsidRPr="00417E0B">
        <w:rPr>
          <w:rFonts w:ascii="Tahoma" w:hAnsi="Tahoma" w:cs="Tahoma"/>
          <w:b w:val="0"/>
          <w:sz w:val="18"/>
          <w:szCs w:val="18"/>
        </w:rPr>
        <w:t>VR = VH x (IPC actual/IPC inicial)</w:t>
      </w:r>
    </w:p>
    <w:p w:rsidR="00417E0B" w:rsidRPr="00417E0B" w:rsidRDefault="00417E0B" w:rsidP="00417E0B">
      <w:pPr>
        <w:numPr>
          <w:ilvl w:val="0"/>
          <w:numId w:val="20"/>
        </w:numPr>
        <w:shd w:val="clear" w:color="auto" w:fill="FFFFFF"/>
        <w:tabs>
          <w:tab w:val="clear" w:pos="720"/>
          <w:tab w:val="num" w:pos="3556"/>
        </w:tabs>
        <w:spacing w:before="100" w:beforeAutospacing="1" w:after="100" w:afterAutospacing="1"/>
        <w:ind w:left="3556"/>
        <w:jc w:val="both"/>
        <w:rPr>
          <w:rFonts w:ascii="Tahoma" w:hAnsi="Tahoma" w:cs="Tahoma"/>
          <w:bCs/>
          <w:sz w:val="18"/>
          <w:szCs w:val="18"/>
        </w:rPr>
      </w:pPr>
      <w:r w:rsidRPr="00417E0B">
        <w:rPr>
          <w:rFonts w:ascii="Tahoma" w:hAnsi="Tahoma" w:cs="Tahoma"/>
          <w:bCs/>
          <w:sz w:val="18"/>
          <w:szCs w:val="18"/>
        </w:rPr>
        <w:t>VR: corresponde al valor a reintegrar.</w:t>
      </w:r>
    </w:p>
    <w:p w:rsidR="00417E0B" w:rsidRPr="00417E0B" w:rsidRDefault="00417E0B" w:rsidP="00417E0B">
      <w:pPr>
        <w:numPr>
          <w:ilvl w:val="0"/>
          <w:numId w:val="20"/>
        </w:numPr>
        <w:shd w:val="clear" w:color="auto" w:fill="FFFFFF"/>
        <w:tabs>
          <w:tab w:val="clear" w:pos="720"/>
          <w:tab w:val="num" w:pos="3556"/>
        </w:tabs>
        <w:spacing w:before="100" w:beforeAutospacing="1" w:after="100" w:afterAutospacing="1"/>
        <w:ind w:left="3556"/>
        <w:jc w:val="both"/>
        <w:rPr>
          <w:rFonts w:ascii="Tahoma" w:hAnsi="Tahoma" w:cs="Tahoma"/>
          <w:bCs/>
          <w:sz w:val="18"/>
          <w:szCs w:val="18"/>
        </w:rPr>
      </w:pPr>
      <w:r w:rsidRPr="00417E0B">
        <w:rPr>
          <w:rFonts w:ascii="Tahoma" w:hAnsi="Tahoma" w:cs="Tahoma"/>
          <w:bCs/>
          <w:sz w:val="18"/>
          <w:szCs w:val="18"/>
        </w:rPr>
        <w:t>VH: monto cuya devolución se ordenó inicialmente.</w:t>
      </w:r>
    </w:p>
    <w:p w:rsidR="00417E0B" w:rsidRPr="00417E0B" w:rsidRDefault="00417E0B" w:rsidP="00417E0B">
      <w:pPr>
        <w:numPr>
          <w:ilvl w:val="0"/>
          <w:numId w:val="20"/>
        </w:numPr>
        <w:shd w:val="clear" w:color="auto" w:fill="FFFFFF"/>
        <w:tabs>
          <w:tab w:val="clear" w:pos="720"/>
          <w:tab w:val="num" w:pos="3556"/>
        </w:tabs>
        <w:spacing w:before="100" w:beforeAutospacing="1" w:after="100" w:afterAutospacing="1"/>
        <w:ind w:left="3556"/>
        <w:jc w:val="both"/>
        <w:rPr>
          <w:rFonts w:ascii="Tahoma" w:hAnsi="Tahoma" w:cs="Tahoma"/>
          <w:bCs/>
          <w:sz w:val="18"/>
          <w:szCs w:val="18"/>
        </w:rPr>
      </w:pPr>
      <w:r w:rsidRPr="00417E0B">
        <w:rPr>
          <w:rFonts w:ascii="Tahoma" w:hAnsi="Tahoma" w:cs="Tahoma"/>
          <w:bCs/>
          <w:sz w:val="18"/>
          <w:szCs w:val="18"/>
        </w:rPr>
        <w:t>IPC: Índice de Precios al Consumidor (serie de empalme)</w:t>
      </w:r>
    </w:p>
    <w:p w:rsidR="00595E53" w:rsidRPr="003F6675" w:rsidRDefault="00595E53" w:rsidP="003F6675">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540C45">
      <w:pPr>
        <w:pStyle w:val="Ttulo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540C45">
      <w:pPr>
        <w:pStyle w:val="Ttulo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540C45">
      <w:pPr>
        <w:jc w:val="center"/>
        <w:rPr>
          <w:rFonts w:ascii="Tahoma" w:hAnsi="Tahoma" w:cs="Tahoma"/>
          <w:bCs/>
          <w:sz w:val="22"/>
          <w:szCs w:val="22"/>
        </w:rPr>
      </w:pPr>
    </w:p>
    <w:p w:rsidR="00D3635B" w:rsidRPr="003F6675" w:rsidRDefault="00D3635B" w:rsidP="00540C45">
      <w:pPr>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540C45">
      <w:pPr>
        <w:jc w:val="center"/>
        <w:rPr>
          <w:rFonts w:ascii="Tahoma" w:hAnsi="Tahoma" w:cs="Tahoma"/>
          <w:b/>
          <w:sz w:val="22"/>
          <w:szCs w:val="22"/>
        </w:rPr>
      </w:pPr>
    </w:p>
    <w:p w:rsidR="00FB2D4B" w:rsidRPr="003F6675" w:rsidRDefault="00540C45" w:rsidP="00540C45">
      <w:pPr>
        <w:jc w:val="center"/>
        <w:rPr>
          <w:rFonts w:ascii="Tahoma" w:hAnsi="Tahoma" w:cs="Tahoma"/>
          <w:b/>
          <w:sz w:val="22"/>
          <w:szCs w:val="22"/>
        </w:rPr>
      </w:pPr>
      <w:r w:rsidRPr="003F6675">
        <w:rPr>
          <w:rFonts w:ascii="Tahoma" w:hAnsi="Tahoma" w:cs="Tahoma"/>
          <w:b/>
          <w:sz w:val="22"/>
          <w:szCs w:val="22"/>
        </w:rPr>
        <w:t xml:space="preserve">Acta </w:t>
      </w:r>
      <w:r w:rsidR="00FB2D4B" w:rsidRPr="003F6675">
        <w:rPr>
          <w:rFonts w:ascii="Tahoma" w:hAnsi="Tahoma" w:cs="Tahoma"/>
          <w:b/>
          <w:sz w:val="22"/>
          <w:szCs w:val="22"/>
        </w:rPr>
        <w:t>No.____</w:t>
      </w:r>
    </w:p>
    <w:p w:rsidR="00D628A4" w:rsidRPr="003F6675" w:rsidRDefault="00D628A4" w:rsidP="00540C45">
      <w:pPr>
        <w:jc w:val="center"/>
        <w:rPr>
          <w:rFonts w:ascii="Tahoma" w:hAnsi="Tahoma" w:cs="Tahoma"/>
          <w:b/>
          <w:sz w:val="22"/>
          <w:szCs w:val="22"/>
        </w:rPr>
      </w:pPr>
    </w:p>
    <w:p w:rsidR="001F5F54" w:rsidRPr="003F6675" w:rsidRDefault="001F5F54" w:rsidP="00540C45">
      <w:pPr>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511B48">
        <w:rPr>
          <w:rFonts w:ascii="Tahoma" w:hAnsi="Tahoma" w:cs="Tahoma"/>
          <w:sz w:val="22"/>
          <w:szCs w:val="22"/>
          <w:lang w:val="es-ES_tradnl"/>
        </w:rPr>
        <w:t>14 de julio</w:t>
      </w:r>
      <w:r w:rsidR="00FF6D3B">
        <w:rPr>
          <w:rFonts w:ascii="Tahoma" w:hAnsi="Tahoma" w:cs="Tahoma"/>
          <w:sz w:val="22"/>
          <w:szCs w:val="22"/>
          <w:lang w:val="es-ES_tradnl"/>
        </w:rPr>
        <w:t xml:space="preserve">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540C45">
      <w:pPr>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540C45">
      <w:pPr>
        <w:pStyle w:val="Prrafodelista"/>
        <w:numPr>
          <w:ilvl w:val="0"/>
          <w:numId w:val="15"/>
        </w:numPr>
        <w:tabs>
          <w:tab w:val="left" w:pos="142"/>
        </w:tabs>
        <w:spacing w:line="276" w:lineRule="auto"/>
        <w:ind w:left="0" w:firstLine="0"/>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EC52F4"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w:t>
      </w:r>
      <w:r w:rsidR="00097318">
        <w:rPr>
          <w:rFonts w:ascii="Tahoma" w:hAnsi="Tahoma" w:cs="Tahoma"/>
          <w:sz w:val="22"/>
          <w:szCs w:val="22"/>
        </w:rPr>
        <w:t>2</w:t>
      </w:r>
      <w:r w:rsidR="002B0D72">
        <w:rPr>
          <w:rFonts w:ascii="Tahoma" w:hAnsi="Tahoma" w:cs="Tahoma"/>
          <w:sz w:val="22"/>
          <w:szCs w:val="22"/>
        </w:rPr>
        <w:t>0</w:t>
      </w:r>
      <w:r w:rsidR="0042151A">
        <w:rPr>
          <w:rFonts w:ascii="Tahoma" w:hAnsi="Tahoma" w:cs="Tahoma"/>
          <w:sz w:val="22"/>
          <w:szCs w:val="22"/>
        </w:rPr>
        <w:t xml:space="preserve"> de septiembre de 201</w:t>
      </w:r>
      <w:r w:rsidR="002B0D72">
        <w:rPr>
          <w:rFonts w:ascii="Tahoma" w:hAnsi="Tahoma" w:cs="Tahoma"/>
          <w:sz w:val="22"/>
          <w:szCs w:val="22"/>
        </w:rPr>
        <w:t>1</w:t>
      </w:r>
      <w:r w:rsidR="00097318">
        <w:rPr>
          <w:rFonts w:ascii="Tahoma" w:hAnsi="Tahoma" w:cs="Tahoma"/>
          <w:sz w:val="22"/>
          <w:szCs w:val="22"/>
        </w:rPr>
        <w:t xml:space="preserve"> </w:t>
      </w:r>
      <w:r w:rsidR="00EF0DAB">
        <w:rPr>
          <w:rFonts w:ascii="Tahoma" w:hAnsi="Tahoma" w:cs="Tahoma"/>
          <w:sz w:val="22"/>
          <w:szCs w:val="22"/>
        </w:rPr>
        <w:t xml:space="preserve">proferida por el Juzgado </w:t>
      </w:r>
      <w:r w:rsidR="00346EA7">
        <w:rPr>
          <w:rFonts w:ascii="Tahoma" w:hAnsi="Tahoma" w:cs="Tahoma"/>
          <w:sz w:val="22"/>
          <w:szCs w:val="22"/>
        </w:rPr>
        <w:t>Tercero Laboral</w:t>
      </w:r>
      <w:r w:rsidR="00EF0DAB">
        <w:rPr>
          <w:rFonts w:ascii="Tahoma" w:hAnsi="Tahoma" w:cs="Tahoma"/>
          <w:sz w:val="22"/>
          <w:szCs w:val="22"/>
        </w:rPr>
        <w:t xml:space="preserve"> del Circuito </w:t>
      </w:r>
      <w:r w:rsidR="002B0D72">
        <w:rPr>
          <w:rFonts w:ascii="Tahoma" w:hAnsi="Tahoma" w:cs="Tahoma"/>
          <w:sz w:val="22"/>
          <w:szCs w:val="22"/>
        </w:rPr>
        <w:t xml:space="preserve">Adjunto No. 1 </w:t>
      </w:r>
      <w:r w:rsidR="00EF0DAB">
        <w:rPr>
          <w:rFonts w:ascii="Tahoma" w:hAnsi="Tahoma" w:cs="Tahoma"/>
          <w:sz w:val="22"/>
          <w:szCs w:val="22"/>
        </w:rPr>
        <w:t>de Pereira</w:t>
      </w:r>
      <w:r w:rsidR="00802EF6">
        <w:rPr>
          <w:rFonts w:ascii="Tahoma" w:hAnsi="Tahoma" w:cs="Tahoma"/>
          <w:sz w:val="22"/>
          <w:szCs w:val="22"/>
        </w:rPr>
        <w:t xml:space="preserve"> (</w:t>
      </w:r>
      <w:r w:rsidR="002B0D72">
        <w:rPr>
          <w:rFonts w:ascii="Tahoma" w:hAnsi="Tahoma" w:cs="Tahoma"/>
          <w:sz w:val="22"/>
          <w:szCs w:val="22"/>
        </w:rPr>
        <w:t xml:space="preserve">copias </w:t>
      </w:r>
      <w:r w:rsidR="00802EF6">
        <w:rPr>
          <w:rFonts w:ascii="Tahoma" w:hAnsi="Tahoma" w:cs="Tahoma"/>
          <w:sz w:val="22"/>
          <w:szCs w:val="22"/>
        </w:rPr>
        <w:t xml:space="preserve">folios </w:t>
      </w:r>
      <w:r w:rsidR="002B0D72">
        <w:rPr>
          <w:rFonts w:ascii="Tahoma" w:hAnsi="Tahoma" w:cs="Tahoma"/>
          <w:sz w:val="22"/>
          <w:szCs w:val="22"/>
        </w:rPr>
        <w:t>718 a 732</w:t>
      </w:r>
      <w:r w:rsidR="00802EF6">
        <w:rPr>
          <w:rFonts w:ascii="Tahoma" w:hAnsi="Tahoma" w:cs="Tahoma"/>
          <w:sz w:val="22"/>
          <w:szCs w:val="22"/>
        </w:rPr>
        <w:t xml:space="preserve">), </w:t>
      </w:r>
      <w:r w:rsidR="002B0D72">
        <w:rPr>
          <w:rFonts w:ascii="Tahoma" w:hAnsi="Tahoma" w:cs="Tahoma"/>
          <w:sz w:val="22"/>
          <w:szCs w:val="22"/>
        </w:rPr>
        <w:t xml:space="preserve">modificada </w:t>
      </w:r>
      <w:r w:rsidR="00097318">
        <w:rPr>
          <w:rFonts w:ascii="Tahoma" w:hAnsi="Tahoma" w:cs="Tahoma"/>
          <w:sz w:val="22"/>
          <w:szCs w:val="22"/>
        </w:rPr>
        <w:t xml:space="preserve">por esta </w:t>
      </w:r>
      <w:r w:rsidR="000836EB">
        <w:rPr>
          <w:rFonts w:ascii="Tahoma" w:hAnsi="Tahoma" w:cs="Tahoma"/>
          <w:sz w:val="22"/>
          <w:szCs w:val="22"/>
        </w:rPr>
        <w:t>Corporación</w:t>
      </w:r>
      <w:r w:rsidR="00097318">
        <w:rPr>
          <w:rFonts w:ascii="Tahoma" w:hAnsi="Tahoma" w:cs="Tahoma"/>
          <w:sz w:val="22"/>
          <w:szCs w:val="22"/>
        </w:rPr>
        <w:t xml:space="preserve"> </w:t>
      </w:r>
      <w:r w:rsidR="00EF0DAB">
        <w:rPr>
          <w:rFonts w:ascii="Tahoma" w:hAnsi="Tahoma" w:cs="Tahoma"/>
          <w:sz w:val="22"/>
          <w:szCs w:val="22"/>
        </w:rPr>
        <w:t xml:space="preserve">mediante </w:t>
      </w:r>
      <w:r w:rsidR="00802EF6">
        <w:rPr>
          <w:rFonts w:ascii="Tahoma" w:hAnsi="Tahoma" w:cs="Tahoma"/>
          <w:sz w:val="22"/>
          <w:szCs w:val="22"/>
        </w:rPr>
        <w:t xml:space="preserve">fallo de segunda instancia del </w:t>
      </w:r>
      <w:r w:rsidR="002B0D72">
        <w:rPr>
          <w:rFonts w:ascii="Tahoma" w:hAnsi="Tahoma" w:cs="Tahoma"/>
          <w:sz w:val="22"/>
          <w:szCs w:val="22"/>
        </w:rPr>
        <w:t>1</w:t>
      </w:r>
      <w:r w:rsidR="007A7879">
        <w:rPr>
          <w:rFonts w:ascii="Tahoma" w:hAnsi="Tahoma" w:cs="Tahoma"/>
          <w:sz w:val="22"/>
          <w:szCs w:val="22"/>
        </w:rPr>
        <w:t xml:space="preserve">9 de </w:t>
      </w:r>
      <w:r w:rsidR="002B0D72">
        <w:rPr>
          <w:rFonts w:ascii="Tahoma" w:hAnsi="Tahoma" w:cs="Tahoma"/>
          <w:sz w:val="22"/>
          <w:szCs w:val="22"/>
        </w:rPr>
        <w:t>junio de 2012</w:t>
      </w:r>
      <w:r w:rsidR="007A7879">
        <w:rPr>
          <w:rFonts w:ascii="Tahoma" w:hAnsi="Tahoma" w:cs="Tahoma"/>
          <w:sz w:val="22"/>
          <w:szCs w:val="22"/>
        </w:rPr>
        <w:t xml:space="preserve"> </w:t>
      </w:r>
      <w:r w:rsidR="00802EF6">
        <w:rPr>
          <w:rFonts w:ascii="Tahoma" w:hAnsi="Tahoma" w:cs="Tahoma"/>
          <w:sz w:val="22"/>
          <w:szCs w:val="22"/>
        </w:rPr>
        <w:t>(</w:t>
      </w:r>
      <w:r w:rsidR="002B0D72">
        <w:rPr>
          <w:rFonts w:ascii="Tahoma" w:hAnsi="Tahoma" w:cs="Tahoma"/>
          <w:sz w:val="22"/>
          <w:szCs w:val="22"/>
        </w:rPr>
        <w:t xml:space="preserve">copias </w:t>
      </w:r>
      <w:r w:rsidR="00802EF6">
        <w:rPr>
          <w:rFonts w:ascii="Tahoma" w:hAnsi="Tahoma" w:cs="Tahoma"/>
          <w:sz w:val="22"/>
          <w:szCs w:val="22"/>
        </w:rPr>
        <w:t>folio</w:t>
      </w:r>
      <w:r w:rsidR="002B0D72">
        <w:rPr>
          <w:rFonts w:ascii="Tahoma" w:hAnsi="Tahoma" w:cs="Tahoma"/>
          <w:sz w:val="22"/>
          <w:szCs w:val="22"/>
        </w:rPr>
        <w:t>s 733 a 751</w:t>
      </w:r>
      <w:r w:rsidR="00802EF6">
        <w:rPr>
          <w:rFonts w:ascii="Tahoma" w:hAnsi="Tahoma" w:cs="Tahoma"/>
          <w:sz w:val="22"/>
          <w:szCs w:val="22"/>
        </w:rPr>
        <w:t xml:space="preserve">),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condenó a</w:t>
      </w:r>
      <w:r w:rsidR="002B0D72">
        <w:rPr>
          <w:rFonts w:ascii="Tahoma" w:hAnsi="Tahoma" w:cs="Tahoma"/>
          <w:sz w:val="22"/>
          <w:szCs w:val="22"/>
        </w:rPr>
        <w:t xml:space="preserve">l INSTITUTO DE SEGUROS SOCIALES (sucedido procesalmente por la </w:t>
      </w:r>
      <w:r w:rsidR="002B0D72" w:rsidRPr="002B0D72">
        <w:rPr>
          <w:rFonts w:ascii="Tahoma" w:hAnsi="Tahoma" w:cs="Tahoma"/>
          <w:sz w:val="22"/>
          <w:szCs w:val="22"/>
        </w:rPr>
        <w:t>UNIDAD ADMINISTRATIVA ESPECIAL DE GESTIÓN PENSIONAL Y  CONTRIBUCIONES PARAFISCALES DE LA PROTECCIÓN SOCIAL</w:t>
      </w:r>
      <w:r w:rsidR="002B0D72">
        <w:rPr>
          <w:rFonts w:ascii="Tahoma" w:hAnsi="Tahoma" w:cs="Tahoma"/>
          <w:sz w:val="22"/>
          <w:szCs w:val="22"/>
        </w:rPr>
        <w:t xml:space="preserve">, en adelante </w:t>
      </w:r>
      <w:r w:rsidR="002B0D72" w:rsidRPr="002B0D72">
        <w:rPr>
          <w:rFonts w:ascii="Tahoma" w:hAnsi="Tahoma" w:cs="Tahoma"/>
          <w:sz w:val="22"/>
          <w:szCs w:val="22"/>
        </w:rPr>
        <w:t>UGPP</w:t>
      </w:r>
      <w:r w:rsidR="002B0D72">
        <w:rPr>
          <w:rFonts w:ascii="Tahoma" w:hAnsi="Tahoma" w:cs="Tahoma"/>
          <w:sz w:val="22"/>
          <w:szCs w:val="22"/>
        </w:rPr>
        <w:t>)</w:t>
      </w:r>
      <w:r w:rsidR="00097318">
        <w:rPr>
          <w:rFonts w:ascii="Tahoma" w:hAnsi="Tahoma" w:cs="Tahoma"/>
          <w:sz w:val="22"/>
          <w:szCs w:val="22"/>
        </w:rPr>
        <w:t xml:space="preserve"> a pagar la pensión de </w:t>
      </w:r>
      <w:r w:rsidR="005824B1">
        <w:rPr>
          <w:rFonts w:ascii="Tahoma" w:hAnsi="Tahoma" w:cs="Tahoma"/>
          <w:sz w:val="22"/>
          <w:szCs w:val="22"/>
        </w:rPr>
        <w:t xml:space="preserve">jubilación convencional a favor de </w:t>
      </w:r>
      <w:r w:rsidR="00346EA7">
        <w:rPr>
          <w:rFonts w:ascii="Tahoma" w:hAnsi="Tahoma" w:cs="Tahoma"/>
          <w:sz w:val="22"/>
          <w:szCs w:val="22"/>
        </w:rPr>
        <w:t>RUBIELA TORO MUÑOZ</w:t>
      </w:r>
      <w:r w:rsidR="00BF54A9" w:rsidRPr="003F6675">
        <w:rPr>
          <w:rFonts w:ascii="Tahoma" w:hAnsi="Tahoma" w:cs="Tahoma"/>
          <w:sz w:val="22"/>
          <w:szCs w:val="22"/>
        </w:rPr>
        <w:t xml:space="preserve"> </w:t>
      </w:r>
      <w:r w:rsidR="005824B1">
        <w:rPr>
          <w:rFonts w:ascii="Tahoma" w:hAnsi="Tahoma" w:cs="Tahoma"/>
          <w:sz w:val="22"/>
          <w:szCs w:val="22"/>
        </w:rPr>
        <w:t xml:space="preserve">en cuantía del 100% de lo que debió devengar en los últimos tres años en dicha entidad, de conformidad con el artículo 98 de la Convención Colectiva de Trabajo y de acuerdo a la declaratoria previa de existencia del contrato de trabajo. </w:t>
      </w:r>
    </w:p>
    <w:p w:rsidR="005824B1" w:rsidRDefault="005824B1" w:rsidP="003F6675">
      <w:pPr>
        <w:spacing w:line="276" w:lineRule="auto"/>
        <w:ind w:firstLine="708"/>
        <w:jc w:val="both"/>
        <w:rPr>
          <w:rFonts w:ascii="Tahoma" w:hAnsi="Tahoma" w:cs="Tahoma"/>
          <w:sz w:val="22"/>
          <w:szCs w:val="22"/>
        </w:rPr>
      </w:pPr>
    </w:p>
    <w:p w:rsidR="00E6230F" w:rsidRDefault="005824B1" w:rsidP="003F6675">
      <w:pPr>
        <w:spacing w:line="276" w:lineRule="auto"/>
        <w:ind w:firstLine="708"/>
        <w:jc w:val="both"/>
        <w:rPr>
          <w:rFonts w:ascii="Tahoma" w:hAnsi="Tahoma" w:cs="Tahoma"/>
          <w:sz w:val="22"/>
          <w:szCs w:val="22"/>
        </w:rPr>
      </w:pPr>
      <w:r>
        <w:rPr>
          <w:rFonts w:ascii="Tahoma" w:hAnsi="Tahoma" w:cs="Tahoma"/>
          <w:sz w:val="22"/>
          <w:szCs w:val="22"/>
        </w:rPr>
        <w:t xml:space="preserve">De acuerdo a lo dicho en la demanda ejecutiva (folios 696 a 717) la entidad ejecutada cumplió parcialmente la obligación, razón por la cual mandamiento de pago </w:t>
      </w:r>
      <w:r w:rsidR="00165D41">
        <w:rPr>
          <w:rFonts w:ascii="Tahoma" w:hAnsi="Tahoma" w:cs="Tahoma"/>
          <w:sz w:val="22"/>
          <w:szCs w:val="22"/>
        </w:rPr>
        <w:t xml:space="preserve">se </w:t>
      </w:r>
      <w:r w:rsidR="000746A2">
        <w:rPr>
          <w:rFonts w:ascii="Tahoma" w:hAnsi="Tahoma" w:cs="Tahoma"/>
          <w:sz w:val="22"/>
          <w:szCs w:val="22"/>
        </w:rPr>
        <w:t>solicita</w:t>
      </w:r>
      <w:r w:rsidR="00165D41">
        <w:rPr>
          <w:rFonts w:ascii="Tahoma" w:hAnsi="Tahoma" w:cs="Tahoma"/>
          <w:sz w:val="22"/>
          <w:szCs w:val="22"/>
        </w:rPr>
        <w:t xml:space="preserve"> </w:t>
      </w:r>
      <w:r>
        <w:rPr>
          <w:rFonts w:ascii="Tahoma" w:hAnsi="Tahoma" w:cs="Tahoma"/>
          <w:sz w:val="22"/>
          <w:szCs w:val="22"/>
        </w:rPr>
        <w:t xml:space="preserve">por las siguientes sumas: </w:t>
      </w:r>
      <w:r>
        <w:rPr>
          <w:rFonts w:ascii="Tahoma" w:hAnsi="Tahoma" w:cs="Tahoma"/>
          <w:i/>
          <w:sz w:val="22"/>
          <w:szCs w:val="22"/>
        </w:rPr>
        <w:t xml:space="preserve">i) </w:t>
      </w:r>
      <w:r>
        <w:rPr>
          <w:rFonts w:ascii="Tahoma" w:hAnsi="Tahoma" w:cs="Tahoma"/>
          <w:sz w:val="22"/>
          <w:szCs w:val="22"/>
        </w:rPr>
        <w:t xml:space="preserve">Por la suma de </w:t>
      </w:r>
      <w:r w:rsidR="00742EB6">
        <w:rPr>
          <w:rFonts w:ascii="Tahoma" w:hAnsi="Tahoma" w:cs="Tahoma"/>
          <w:sz w:val="22"/>
          <w:szCs w:val="22"/>
        </w:rPr>
        <w:t xml:space="preserve">$33.723.464 por </w:t>
      </w:r>
      <w:r w:rsidR="005322D3">
        <w:rPr>
          <w:rFonts w:ascii="Tahoma" w:hAnsi="Tahoma" w:cs="Tahoma"/>
          <w:sz w:val="22"/>
          <w:szCs w:val="22"/>
        </w:rPr>
        <w:t>concepto</w:t>
      </w:r>
      <w:r w:rsidR="00742EB6">
        <w:rPr>
          <w:rFonts w:ascii="Tahoma" w:hAnsi="Tahoma" w:cs="Tahoma"/>
          <w:sz w:val="22"/>
          <w:szCs w:val="22"/>
        </w:rPr>
        <w:t xml:space="preserve"> de la diferencia de las mesadas </w:t>
      </w:r>
      <w:r w:rsidR="005322D3">
        <w:rPr>
          <w:rFonts w:ascii="Tahoma" w:hAnsi="Tahoma" w:cs="Tahoma"/>
          <w:sz w:val="22"/>
          <w:szCs w:val="22"/>
        </w:rPr>
        <w:t>reconocidas</w:t>
      </w:r>
      <w:r w:rsidR="00742EB6">
        <w:rPr>
          <w:rFonts w:ascii="Tahoma" w:hAnsi="Tahoma" w:cs="Tahoma"/>
          <w:sz w:val="22"/>
          <w:szCs w:val="22"/>
        </w:rPr>
        <w:t xml:space="preserve"> en </w:t>
      </w:r>
      <w:r w:rsidR="00742EB6">
        <w:rPr>
          <w:rFonts w:ascii="Tahoma" w:hAnsi="Tahoma" w:cs="Tahoma"/>
          <w:sz w:val="22"/>
          <w:szCs w:val="22"/>
        </w:rPr>
        <w:lastRenderedPageBreak/>
        <w:t xml:space="preserve">sentencia y las pagadas por la UGPP desde el 31 de diciembre de 2009 y el 31 de octubre de 2016. </w:t>
      </w:r>
      <w:r w:rsidR="00742EB6">
        <w:rPr>
          <w:rFonts w:ascii="Tahoma" w:hAnsi="Tahoma" w:cs="Tahoma"/>
          <w:i/>
          <w:sz w:val="22"/>
          <w:szCs w:val="22"/>
        </w:rPr>
        <w:t xml:space="preserve">ii) </w:t>
      </w:r>
      <w:r w:rsidR="00742EB6">
        <w:rPr>
          <w:rFonts w:ascii="Tahoma" w:hAnsi="Tahoma" w:cs="Tahoma"/>
          <w:sz w:val="22"/>
          <w:szCs w:val="22"/>
        </w:rPr>
        <w:t xml:space="preserve">Por los intereses moratorios causados desde el 1º de octubre de 2016. </w:t>
      </w:r>
      <w:r w:rsidR="00742EB6">
        <w:rPr>
          <w:rFonts w:ascii="Tahoma" w:hAnsi="Tahoma" w:cs="Tahoma"/>
          <w:i/>
          <w:sz w:val="22"/>
          <w:szCs w:val="22"/>
        </w:rPr>
        <w:t xml:space="preserve">iii) </w:t>
      </w:r>
      <w:r w:rsidR="00E6230F">
        <w:rPr>
          <w:rFonts w:ascii="Tahoma" w:hAnsi="Tahoma" w:cs="Tahoma"/>
          <w:sz w:val="22"/>
          <w:szCs w:val="22"/>
        </w:rPr>
        <w:t xml:space="preserve">Por la suma de $404.815 mensuales por concepto de diferencia pensional que se cause a partir del 1º de octubre 2016. </w:t>
      </w:r>
    </w:p>
    <w:p w:rsidR="00385094" w:rsidRDefault="00385094" w:rsidP="00540C45">
      <w:pPr>
        <w:ind w:firstLine="708"/>
        <w:jc w:val="both"/>
        <w:rPr>
          <w:rFonts w:ascii="Tahoma" w:hAnsi="Tahoma" w:cs="Tahoma"/>
          <w:sz w:val="22"/>
          <w:szCs w:val="22"/>
        </w:rPr>
      </w:pPr>
    </w:p>
    <w:p w:rsidR="000F780E" w:rsidRPr="003F6675" w:rsidRDefault="000F780E" w:rsidP="00540C45">
      <w:pPr>
        <w:pStyle w:val="Prrafodelista"/>
        <w:numPr>
          <w:ilvl w:val="0"/>
          <w:numId w:val="15"/>
        </w:numPr>
        <w:tabs>
          <w:tab w:val="left" w:pos="142"/>
        </w:tabs>
        <w:spacing w:line="276" w:lineRule="auto"/>
        <w:ind w:left="0" w:firstLine="0"/>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B14960" w:rsidRDefault="00803E0B" w:rsidP="00B14960">
      <w:pPr>
        <w:spacing w:line="276" w:lineRule="auto"/>
        <w:ind w:firstLine="708"/>
        <w:jc w:val="both"/>
        <w:rPr>
          <w:rFonts w:ascii="Tahoma" w:hAnsi="Tahoma" w:cs="Tahoma"/>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w:t>
      </w:r>
      <w:r w:rsidR="00E6230F">
        <w:rPr>
          <w:rFonts w:ascii="Tahoma" w:hAnsi="Tahoma" w:cs="Tahoma"/>
          <w:sz w:val="22"/>
          <w:szCs w:val="22"/>
        </w:rPr>
        <w:t>28 de noviembre de 2016</w:t>
      </w:r>
      <w:r w:rsidR="00667E32">
        <w:rPr>
          <w:rFonts w:ascii="Tahoma" w:hAnsi="Tahoma" w:cs="Tahoma"/>
          <w:sz w:val="22"/>
          <w:szCs w:val="22"/>
        </w:rPr>
        <w:t xml:space="preserve"> (folio</w:t>
      </w:r>
      <w:r w:rsidR="00D34888">
        <w:rPr>
          <w:rFonts w:ascii="Tahoma" w:hAnsi="Tahoma" w:cs="Tahoma"/>
          <w:sz w:val="22"/>
          <w:szCs w:val="22"/>
        </w:rPr>
        <w:t xml:space="preserve"> </w:t>
      </w:r>
      <w:r w:rsidR="00E6230F">
        <w:rPr>
          <w:rFonts w:ascii="Tahoma" w:hAnsi="Tahoma" w:cs="Tahoma"/>
          <w:sz w:val="22"/>
          <w:szCs w:val="22"/>
        </w:rPr>
        <w:t>860 a 862</w:t>
      </w:r>
      <w:r w:rsidR="00667E32">
        <w:rPr>
          <w:rFonts w:ascii="Tahoma" w:hAnsi="Tahoma" w:cs="Tahoma"/>
          <w:sz w:val="22"/>
          <w:szCs w:val="22"/>
        </w:rPr>
        <w:t>)</w:t>
      </w:r>
      <w:r w:rsidR="00B14960">
        <w:rPr>
          <w:rFonts w:ascii="Tahoma" w:hAnsi="Tahoma" w:cs="Tahoma"/>
          <w:sz w:val="22"/>
          <w:szCs w:val="22"/>
        </w:rPr>
        <w:t xml:space="preserve"> y luego de hacer la respectiva liquidación de la obligación, libró mandamiento de pago por los siguientes ítems: </w:t>
      </w:r>
      <w:r w:rsidR="00B14960">
        <w:rPr>
          <w:rFonts w:ascii="Tahoma" w:hAnsi="Tahoma" w:cs="Tahoma"/>
          <w:i/>
          <w:sz w:val="22"/>
          <w:szCs w:val="22"/>
        </w:rPr>
        <w:t xml:space="preserve">i) </w:t>
      </w:r>
      <w:r w:rsidR="00B14960">
        <w:rPr>
          <w:rFonts w:ascii="Tahoma" w:hAnsi="Tahoma" w:cs="Tahoma"/>
          <w:sz w:val="22"/>
          <w:szCs w:val="22"/>
        </w:rPr>
        <w:t xml:space="preserve">Por la suma de </w:t>
      </w:r>
      <w:r w:rsidR="00B14960">
        <w:rPr>
          <w:rFonts w:ascii="Tahoma" w:hAnsi="Tahoma" w:cs="Tahoma"/>
          <w:b/>
          <w:sz w:val="22"/>
          <w:szCs w:val="22"/>
        </w:rPr>
        <w:t>$15.969.620</w:t>
      </w:r>
      <w:r w:rsidR="00B14960">
        <w:rPr>
          <w:rFonts w:ascii="Tahoma" w:hAnsi="Tahoma" w:cs="Tahoma"/>
          <w:sz w:val="22"/>
          <w:szCs w:val="22"/>
        </w:rPr>
        <w:t xml:space="preserve"> por </w:t>
      </w:r>
      <w:r w:rsidR="005322D3">
        <w:rPr>
          <w:rFonts w:ascii="Tahoma" w:hAnsi="Tahoma" w:cs="Tahoma"/>
          <w:sz w:val="22"/>
          <w:szCs w:val="22"/>
        </w:rPr>
        <w:t>concepto</w:t>
      </w:r>
      <w:r w:rsidR="00B14960">
        <w:rPr>
          <w:rFonts w:ascii="Tahoma" w:hAnsi="Tahoma" w:cs="Tahoma"/>
          <w:sz w:val="22"/>
          <w:szCs w:val="22"/>
        </w:rPr>
        <w:t xml:space="preserve"> de la diferencia pensional causada desde el 31 de diciembre de 2009 hasta el 31 de octubre de 2016. </w:t>
      </w:r>
      <w:r w:rsidR="00B14960">
        <w:rPr>
          <w:rFonts w:ascii="Tahoma" w:hAnsi="Tahoma" w:cs="Tahoma"/>
          <w:i/>
          <w:sz w:val="22"/>
          <w:szCs w:val="22"/>
        </w:rPr>
        <w:t xml:space="preserve">ii) </w:t>
      </w:r>
      <w:r w:rsidR="00B14960">
        <w:rPr>
          <w:rFonts w:ascii="Tahoma" w:hAnsi="Tahoma" w:cs="Tahoma"/>
          <w:sz w:val="22"/>
          <w:szCs w:val="22"/>
        </w:rPr>
        <w:t xml:space="preserve">Por la diferencia pensional que se cause desde el 1º de noviembre de 2016 hasta el pago efectivo de la obligación. </w:t>
      </w:r>
    </w:p>
    <w:p w:rsidR="00B14960" w:rsidRDefault="00B14960" w:rsidP="00B14960">
      <w:pPr>
        <w:spacing w:line="276" w:lineRule="auto"/>
        <w:ind w:firstLine="708"/>
        <w:jc w:val="both"/>
        <w:rPr>
          <w:rFonts w:ascii="Tahoma" w:hAnsi="Tahoma" w:cs="Tahoma"/>
          <w:sz w:val="22"/>
          <w:szCs w:val="22"/>
        </w:rPr>
      </w:pPr>
    </w:p>
    <w:p w:rsidR="00B14960" w:rsidRDefault="00B14960" w:rsidP="00B14960">
      <w:pPr>
        <w:spacing w:line="276" w:lineRule="auto"/>
        <w:ind w:firstLine="708"/>
        <w:jc w:val="both"/>
        <w:rPr>
          <w:rFonts w:ascii="Tahoma" w:hAnsi="Tahoma" w:cs="Tahoma"/>
          <w:sz w:val="22"/>
          <w:szCs w:val="22"/>
        </w:rPr>
      </w:pPr>
      <w:r>
        <w:rPr>
          <w:rFonts w:ascii="Tahoma" w:hAnsi="Tahoma" w:cs="Tahoma"/>
          <w:sz w:val="22"/>
          <w:szCs w:val="22"/>
        </w:rPr>
        <w:t xml:space="preserve">Negó la orden de pago por concepto de los intereses moratorios y la indexación arguyendo que no fueron reconocidos en la sentencia base de ejecución. </w:t>
      </w:r>
    </w:p>
    <w:p w:rsidR="00385094" w:rsidRDefault="00385094" w:rsidP="00540C45">
      <w:pPr>
        <w:ind w:firstLine="709"/>
        <w:jc w:val="both"/>
        <w:rPr>
          <w:rFonts w:ascii="Tahoma" w:hAnsi="Tahoma" w:cs="Tahoma"/>
          <w:sz w:val="22"/>
          <w:szCs w:val="22"/>
        </w:rPr>
      </w:pPr>
      <w:r>
        <w:rPr>
          <w:rFonts w:ascii="Tahoma" w:hAnsi="Tahoma" w:cs="Tahoma"/>
          <w:sz w:val="22"/>
          <w:szCs w:val="22"/>
        </w:rPr>
        <w:t xml:space="preserve"> </w:t>
      </w:r>
    </w:p>
    <w:p w:rsidR="00F37868" w:rsidRPr="003F6675" w:rsidRDefault="00F37868" w:rsidP="00540C45">
      <w:pPr>
        <w:pStyle w:val="Prrafodelista"/>
        <w:numPr>
          <w:ilvl w:val="0"/>
          <w:numId w:val="15"/>
        </w:numPr>
        <w:tabs>
          <w:tab w:val="left" w:pos="142"/>
        </w:tabs>
        <w:spacing w:line="276" w:lineRule="auto"/>
        <w:ind w:left="0" w:firstLine="0"/>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9A129D" w:rsidRDefault="00F37868" w:rsidP="00822D96">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w:t>
      </w:r>
      <w:r w:rsidR="00875846">
        <w:rPr>
          <w:rFonts w:ascii="Tahoma" w:hAnsi="Tahoma" w:cs="Tahoma"/>
          <w:sz w:val="22"/>
          <w:szCs w:val="22"/>
        </w:rPr>
        <w:t xml:space="preserve">reposición y en subsidio apelación argumentando básicamente </w:t>
      </w:r>
      <w:r w:rsidR="00A111BB">
        <w:rPr>
          <w:rFonts w:ascii="Tahoma" w:hAnsi="Tahoma" w:cs="Tahoma"/>
          <w:sz w:val="22"/>
          <w:szCs w:val="22"/>
        </w:rPr>
        <w:t xml:space="preserve">que la liquidación efectuada por el Despacho </w:t>
      </w:r>
      <w:r w:rsidR="00CB3933" w:rsidRPr="003F6675">
        <w:rPr>
          <w:rFonts w:ascii="Tahoma" w:hAnsi="Tahoma" w:cs="Tahoma"/>
          <w:sz w:val="22"/>
          <w:szCs w:val="22"/>
        </w:rPr>
        <w:t xml:space="preserve"> </w:t>
      </w:r>
      <w:r w:rsidR="00B62CF5">
        <w:rPr>
          <w:rFonts w:ascii="Tahoma" w:hAnsi="Tahoma" w:cs="Tahoma"/>
          <w:sz w:val="22"/>
          <w:szCs w:val="22"/>
        </w:rPr>
        <w:t xml:space="preserve">tiene dos errores: a) No se indexó el valor del promedio </w:t>
      </w:r>
      <w:r w:rsidR="003A6C20">
        <w:rPr>
          <w:rFonts w:ascii="Tahoma" w:hAnsi="Tahoma" w:cs="Tahoma"/>
          <w:sz w:val="22"/>
          <w:szCs w:val="22"/>
        </w:rPr>
        <w:t>de lo devengado por la actora en los últimos 3 años de servicios conforme la convención colectiva</w:t>
      </w:r>
      <w:r w:rsidR="000746A2">
        <w:rPr>
          <w:rFonts w:ascii="Tahoma" w:hAnsi="Tahoma" w:cs="Tahoma"/>
          <w:sz w:val="22"/>
          <w:szCs w:val="22"/>
        </w:rPr>
        <w:t xml:space="preserve"> (</w:t>
      </w:r>
      <w:r w:rsidR="003416CC">
        <w:rPr>
          <w:rFonts w:ascii="Tahoma" w:hAnsi="Tahoma" w:cs="Tahoma"/>
          <w:sz w:val="22"/>
          <w:szCs w:val="22"/>
        </w:rPr>
        <w:t xml:space="preserve">liquidados </w:t>
      </w:r>
      <w:r w:rsidR="000746A2">
        <w:rPr>
          <w:rFonts w:ascii="Tahoma" w:hAnsi="Tahoma" w:cs="Tahoma"/>
          <w:sz w:val="22"/>
          <w:szCs w:val="22"/>
        </w:rPr>
        <w:t>entre el 1º de septiembre de 2001</w:t>
      </w:r>
      <w:r w:rsidR="003416CC">
        <w:rPr>
          <w:rFonts w:ascii="Tahoma" w:hAnsi="Tahoma" w:cs="Tahoma"/>
          <w:sz w:val="22"/>
          <w:szCs w:val="22"/>
        </w:rPr>
        <w:t xml:space="preserve"> </w:t>
      </w:r>
      <w:r w:rsidR="000746A2">
        <w:rPr>
          <w:rFonts w:ascii="Tahoma" w:hAnsi="Tahoma" w:cs="Tahoma"/>
          <w:sz w:val="22"/>
          <w:szCs w:val="22"/>
        </w:rPr>
        <w:t>al 30 de noviembre de 2004</w:t>
      </w:r>
      <w:r w:rsidR="003416CC">
        <w:rPr>
          <w:rFonts w:ascii="Tahoma" w:hAnsi="Tahoma" w:cs="Tahoma"/>
          <w:sz w:val="22"/>
          <w:szCs w:val="22"/>
        </w:rPr>
        <w:t xml:space="preserve">) </w:t>
      </w:r>
      <w:r w:rsidR="003A6C20">
        <w:rPr>
          <w:rFonts w:ascii="Tahoma" w:hAnsi="Tahoma" w:cs="Tahoma"/>
          <w:sz w:val="22"/>
          <w:szCs w:val="22"/>
        </w:rPr>
        <w:t xml:space="preserve">al 31 de diciembre de 2009, fecha de efectos fiscales. b) </w:t>
      </w:r>
      <w:r w:rsidR="009A129D">
        <w:rPr>
          <w:rFonts w:ascii="Tahoma" w:hAnsi="Tahoma" w:cs="Tahoma"/>
          <w:sz w:val="22"/>
          <w:szCs w:val="22"/>
        </w:rPr>
        <w:t xml:space="preserve">No se tuvieron en cuenta todos los factores salariales previstos en el artículo 98 de la Convención colectiva para obtener el valor de la respectiva mesada pensional. Para el efecto hace una pormenorizada liquidación de lo que la UGPP debió pagar conforme lo señalado en la sentencia ejecutada.  </w:t>
      </w:r>
    </w:p>
    <w:p w:rsidR="00CE27EA" w:rsidRDefault="00CE27EA" w:rsidP="00CE27EA">
      <w:pPr>
        <w:widowControl w:val="0"/>
        <w:autoSpaceDE w:val="0"/>
        <w:autoSpaceDN w:val="0"/>
        <w:adjustRightInd w:val="0"/>
        <w:spacing w:line="276" w:lineRule="auto"/>
        <w:ind w:firstLine="708"/>
        <w:jc w:val="both"/>
        <w:rPr>
          <w:rFonts w:ascii="Tahoma" w:hAnsi="Tahoma" w:cs="Tahoma"/>
          <w:sz w:val="22"/>
          <w:szCs w:val="22"/>
        </w:rPr>
      </w:pPr>
    </w:p>
    <w:p w:rsidR="00E93046" w:rsidRDefault="009A129D" w:rsidP="00CE27E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de instancia al resolver el recurso de reposición, curiosamente dice que se mantiene en su decisión pero en realidad modificó el mandamiento de pago, incrementando la orden de pago a la suma de </w:t>
      </w:r>
      <w:r>
        <w:rPr>
          <w:rFonts w:ascii="Tahoma" w:hAnsi="Tahoma" w:cs="Tahoma"/>
          <w:b/>
          <w:sz w:val="22"/>
          <w:szCs w:val="22"/>
        </w:rPr>
        <w:t xml:space="preserve">$27.387.867 </w:t>
      </w:r>
      <w:r>
        <w:rPr>
          <w:rFonts w:ascii="Tahoma" w:hAnsi="Tahoma" w:cs="Tahoma"/>
          <w:sz w:val="22"/>
          <w:szCs w:val="22"/>
        </w:rPr>
        <w:t xml:space="preserve">cuando en una primera oportunidad lo libró por </w:t>
      </w:r>
      <w:r w:rsidRPr="009A129D">
        <w:rPr>
          <w:rFonts w:ascii="Tahoma" w:hAnsi="Tahoma" w:cs="Tahoma"/>
          <w:sz w:val="22"/>
          <w:szCs w:val="22"/>
        </w:rPr>
        <w:t>$15.969.620</w:t>
      </w:r>
      <w:r w:rsidR="00E93046">
        <w:rPr>
          <w:rFonts w:ascii="Tahoma" w:hAnsi="Tahoma" w:cs="Tahoma"/>
          <w:sz w:val="22"/>
          <w:szCs w:val="22"/>
        </w:rPr>
        <w:t>.</w:t>
      </w:r>
      <w:r>
        <w:rPr>
          <w:rFonts w:ascii="Tahoma" w:hAnsi="Tahoma" w:cs="Tahoma"/>
          <w:sz w:val="22"/>
          <w:szCs w:val="22"/>
        </w:rPr>
        <w:t xml:space="preserve"> Sustentó dicho aumento en el reconocimiento de que en efecto se incurrió en un error al no tener en cuenta para el año 2001 el total de la prima de servicios y de vacaciones y se tomó como salario del mes de septiembre de 2001 un</w:t>
      </w:r>
      <w:r w:rsidR="00E93046">
        <w:rPr>
          <w:rFonts w:ascii="Tahoma" w:hAnsi="Tahoma" w:cs="Tahoma"/>
          <w:sz w:val="22"/>
          <w:szCs w:val="22"/>
        </w:rPr>
        <w:t>o muy inferior al real, razón por la cual procedió a hacer la respectiva reliquidación. Con relación a la indexación dice que ella se tuvo en cuenta de tal manera que el resultado del promedio del salario de 2004 se actualizó hasta el año 2009.</w:t>
      </w:r>
      <w:r w:rsidR="00493201">
        <w:rPr>
          <w:rFonts w:ascii="Tahoma" w:hAnsi="Tahoma" w:cs="Tahoma"/>
          <w:sz w:val="22"/>
          <w:szCs w:val="22"/>
        </w:rPr>
        <w:t xml:space="preserve"> En vista de lo anterior concedió el recurso de alzada.</w:t>
      </w:r>
    </w:p>
    <w:p w:rsidR="00493201" w:rsidRDefault="00493201" w:rsidP="00CE27EA">
      <w:pPr>
        <w:widowControl w:val="0"/>
        <w:autoSpaceDE w:val="0"/>
        <w:autoSpaceDN w:val="0"/>
        <w:adjustRightInd w:val="0"/>
        <w:spacing w:line="276" w:lineRule="auto"/>
        <w:ind w:firstLine="708"/>
        <w:jc w:val="both"/>
        <w:rPr>
          <w:rFonts w:ascii="Tahoma" w:hAnsi="Tahoma" w:cs="Tahoma"/>
          <w:sz w:val="22"/>
          <w:szCs w:val="22"/>
        </w:rPr>
      </w:pPr>
    </w:p>
    <w:p w:rsidR="00493201" w:rsidRDefault="00493201" w:rsidP="00CE27E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quiera que se modificó el mandamiento de pago apelado pero subsiste una diferencia entre lo pedido por la parte ejecutante y lo ordenado en la primera instancia, esta Sala entrará a revisar la liquidación realizada por la A-quo en el auto que repuso parcialmente el auto apelado.</w:t>
      </w:r>
    </w:p>
    <w:p w:rsidR="00E93046" w:rsidRDefault="00E93046"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9A129D">
        <w:rPr>
          <w:rFonts w:ascii="Tahoma" w:hAnsi="Tahoma" w:cs="Tahoma"/>
          <w:sz w:val="22"/>
          <w:szCs w:val="22"/>
        </w:rPr>
        <w:t xml:space="preserve">  </w:t>
      </w:r>
    </w:p>
    <w:p w:rsidR="00D3635B" w:rsidRPr="00667E32" w:rsidRDefault="00D3635B" w:rsidP="00540C45">
      <w:pPr>
        <w:pStyle w:val="Prrafodelista"/>
        <w:numPr>
          <w:ilvl w:val="0"/>
          <w:numId w:val="15"/>
        </w:numPr>
        <w:tabs>
          <w:tab w:val="left" w:pos="142"/>
        </w:tabs>
        <w:spacing w:line="276" w:lineRule="auto"/>
        <w:ind w:left="0" w:firstLine="0"/>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984FE4" w:rsidRDefault="00665C86" w:rsidP="006321BE">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w:t>
      </w:r>
      <w:r w:rsidR="00984FE4">
        <w:rPr>
          <w:rFonts w:ascii="Tahoma" w:hAnsi="Tahoma" w:cs="Tahoma"/>
          <w:sz w:val="22"/>
          <w:szCs w:val="22"/>
          <w:lang w:val="es-MX"/>
        </w:rPr>
        <w:t xml:space="preserve">Para efectos de calcular las mesadas pensionales adeudadas, el Juzgado tuvo en cuenta todos los factores salariales señalados en la sentencia ejecutada? </w:t>
      </w:r>
    </w:p>
    <w:p w:rsidR="00540C45" w:rsidRDefault="00540C45" w:rsidP="00540C45">
      <w:pPr>
        <w:spacing w:line="276" w:lineRule="auto"/>
        <w:ind w:left="720"/>
        <w:jc w:val="both"/>
        <w:rPr>
          <w:rFonts w:ascii="Tahoma" w:hAnsi="Tahoma" w:cs="Tahoma"/>
          <w:sz w:val="22"/>
          <w:szCs w:val="22"/>
          <w:lang w:val="es-MX"/>
        </w:rPr>
      </w:pPr>
    </w:p>
    <w:p w:rsidR="00492717" w:rsidRDefault="00492717" w:rsidP="006321BE">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¿Revisada la liquidación de la obligación realizada por la parte ejecutante, puede afirmarse que se está solicitando la indexación de la condena, o la actualizació</w:t>
      </w:r>
      <w:r w:rsidR="00F75123">
        <w:rPr>
          <w:rFonts w:ascii="Tahoma" w:hAnsi="Tahoma" w:cs="Tahoma"/>
          <w:sz w:val="22"/>
          <w:szCs w:val="22"/>
          <w:lang w:val="es-MX"/>
        </w:rPr>
        <w:t>n del valor de las respectivas m</w:t>
      </w:r>
      <w:r>
        <w:rPr>
          <w:rFonts w:ascii="Tahoma" w:hAnsi="Tahoma" w:cs="Tahoma"/>
          <w:sz w:val="22"/>
          <w:szCs w:val="22"/>
          <w:lang w:val="es-MX"/>
        </w:rPr>
        <w:t>esadas pensionales adeudadas?</w:t>
      </w:r>
    </w:p>
    <w:p w:rsidR="00540C45" w:rsidRDefault="00540C45" w:rsidP="00540C45">
      <w:pPr>
        <w:pStyle w:val="Prrafodelista"/>
        <w:rPr>
          <w:rFonts w:ascii="Tahoma" w:hAnsi="Tahoma" w:cs="Tahoma"/>
          <w:sz w:val="22"/>
          <w:szCs w:val="22"/>
          <w:lang w:val="es-MX"/>
        </w:rPr>
      </w:pPr>
    </w:p>
    <w:p w:rsidR="00852E96" w:rsidRDefault="00984FE4" w:rsidP="00540C45">
      <w:pPr>
        <w:pStyle w:val="Prrafodelista"/>
        <w:numPr>
          <w:ilvl w:val="1"/>
          <w:numId w:val="13"/>
        </w:numPr>
        <w:spacing w:line="276" w:lineRule="auto"/>
        <w:ind w:left="1418"/>
        <w:jc w:val="both"/>
        <w:rPr>
          <w:rFonts w:ascii="Tahoma" w:hAnsi="Tahoma" w:cs="Tahoma"/>
          <w:b/>
          <w:bCs/>
          <w:spacing w:val="2"/>
          <w:sz w:val="22"/>
          <w:szCs w:val="22"/>
        </w:rPr>
      </w:pPr>
      <w:r>
        <w:rPr>
          <w:rFonts w:ascii="Tahoma" w:hAnsi="Tahoma" w:cs="Tahoma"/>
          <w:b/>
          <w:bCs/>
          <w:spacing w:val="2"/>
          <w:sz w:val="22"/>
          <w:szCs w:val="22"/>
        </w:rPr>
        <w:lastRenderedPageBreak/>
        <w:t>Factores salariales que se deben tener en cuenta para liquidar la mesada pensional</w:t>
      </w:r>
      <w:r w:rsidR="00852E96">
        <w:rPr>
          <w:rFonts w:ascii="Tahoma" w:hAnsi="Tahoma" w:cs="Tahoma"/>
          <w:b/>
          <w:bCs/>
          <w:spacing w:val="2"/>
          <w:sz w:val="22"/>
          <w:szCs w:val="22"/>
        </w:rPr>
        <w:t>:</w:t>
      </w:r>
    </w:p>
    <w:p w:rsidR="00852E96" w:rsidRDefault="00852E96" w:rsidP="00852E96">
      <w:pPr>
        <w:spacing w:line="276" w:lineRule="auto"/>
        <w:jc w:val="both"/>
        <w:rPr>
          <w:rFonts w:ascii="Tahoma" w:hAnsi="Tahoma" w:cs="Tahoma"/>
          <w:b/>
          <w:bCs/>
          <w:spacing w:val="2"/>
          <w:sz w:val="22"/>
          <w:szCs w:val="22"/>
        </w:rPr>
      </w:pPr>
    </w:p>
    <w:p w:rsidR="002561E2" w:rsidRDefault="00852E96" w:rsidP="00852E96">
      <w:pPr>
        <w:spacing w:line="276" w:lineRule="auto"/>
        <w:ind w:firstLine="709"/>
        <w:jc w:val="both"/>
        <w:rPr>
          <w:rFonts w:ascii="Tahoma" w:hAnsi="Tahoma" w:cs="Tahoma"/>
          <w:bCs/>
          <w:spacing w:val="2"/>
          <w:sz w:val="22"/>
          <w:szCs w:val="22"/>
        </w:rPr>
      </w:pPr>
      <w:r w:rsidRPr="00AC2656">
        <w:rPr>
          <w:rFonts w:ascii="Tahoma" w:hAnsi="Tahoma" w:cs="Tahoma"/>
          <w:bCs/>
          <w:spacing w:val="2"/>
          <w:sz w:val="22"/>
          <w:szCs w:val="22"/>
        </w:rPr>
        <w:t>Teniendo en cuenta</w:t>
      </w:r>
      <w:r w:rsidR="002561E2">
        <w:rPr>
          <w:rFonts w:ascii="Tahoma" w:hAnsi="Tahoma" w:cs="Tahoma"/>
          <w:bCs/>
          <w:spacing w:val="2"/>
          <w:sz w:val="22"/>
          <w:szCs w:val="22"/>
        </w:rPr>
        <w:t xml:space="preserve"> que la A quo afirma que en la liquidación se tuvieron en cuenta todos los factores salariales y se indexaron las sumas adeudadas, le corresponde a la Sala verificar si los cálculos de primera instancia se hicieron conforme a la sentencia ejecutada y se indexaron en debida forma. </w:t>
      </w:r>
    </w:p>
    <w:p w:rsidR="002561E2" w:rsidRDefault="002561E2" w:rsidP="00852E96">
      <w:pPr>
        <w:spacing w:line="276" w:lineRule="auto"/>
        <w:ind w:firstLine="709"/>
        <w:jc w:val="both"/>
        <w:rPr>
          <w:rFonts w:ascii="Tahoma" w:hAnsi="Tahoma" w:cs="Tahoma"/>
          <w:bCs/>
          <w:spacing w:val="2"/>
          <w:sz w:val="22"/>
          <w:szCs w:val="22"/>
        </w:rPr>
      </w:pPr>
    </w:p>
    <w:p w:rsidR="00CE036B" w:rsidRDefault="002561E2" w:rsidP="00852E96">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Con relación al primer punto, basta remitirnos a la sentencia objeto de ejecución a efectos de establecer cuáles eran los factores salariales que componían la mesada pensional, encontrando que en el numeral 4º </w:t>
      </w:r>
      <w:r w:rsidR="00CE036B">
        <w:rPr>
          <w:rFonts w:ascii="Tahoma" w:hAnsi="Tahoma" w:cs="Tahoma"/>
          <w:bCs/>
          <w:spacing w:val="2"/>
          <w:sz w:val="22"/>
          <w:szCs w:val="22"/>
        </w:rPr>
        <w:t xml:space="preserve">del fallo de segundo grado se dice que corresponden a los </w:t>
      </w:r>
      <w:r w:rsidR="005322D3">
        <w:rPr>
          <w:rFonts w:ascii="Tahoma" w:hAnsi="Tahoma" w:cs="Tahoma"/>
          <w:bCs/>
          <w:spacing w:val="2"/>
          <w:sz w:val="22"/>
          <w:szCs w:val="22"/>
        </w:rPr>
        <w:t>enumerados</w:t>
      </w:r>
      <w:r w:rsidR="00CE036B">
        <w:rPr>
          <w:rFonts w:ascii="Tahoma" w:hAnsi="Tahoma" w:cs="Tahoma"/>
          <w:bCs/>
          <w:spacing w:val="2"/>
          <w:sz w:val="22"/>
          <w:szCs w:val="22"/>
        </w:rPr>
        <w:t xml:space="preserve"> en el artículo 98 de la Convención Colectiva, norma que a su vez enlista los siguientes: </w:t>
      </w:r>
    </w:p>
    <w:p w:rsidR="00CE036B" w:rsidRDefault="00CE036B" w:rsidP="00852E96">
      <w:pPr>
        <w:spacing w:line="276" w:lineRule="auto"/>
        <w:ind w:firstLine="709"/>
        <w:jc w:val="both"/>
        <w:rPr>
          <w:rFonts w:ascii="Tahoma" w:hAnsi="Tahoma" w:cs="Tahoma"/>
          <w:bCs/>
          <w:spacing w:val="2"/>
          <w:sz w:val="22"/>
          <w:szCs w:val="22"/>
        </w:rPr>
      </w:pPr>
    </w:p>
    <w:p w:rsidR="00CE036B" w:rsidRPr="00CE036B" w:rsidRDefault="00CE036B" w:rsidP="00540C45">
      <w:pPr>
        <w:pStyle w:val="Prrafodelista"/>
        <w:numPr>
          <w:ilvl w:val="0"/>
          <w:numId w:val="16"/>
        </w:numPr>
        <w:jc w:val="both"/>
        <w:rPr>
          <w:rFonts w:ascii="Tahoma" w:hAnsi="Tahoma" w:cs="Tahoma"/>
          <w:sz w:val="22"/>
          <w:szCs w:val="22"/>
        </w:rPr>
      </w:pPr>
      <w:r>
        <w:rPr>
          <w:rFonts w:ascii="Tahoma" w:hAnsi="Tahoma" w:cs="Tahoma"/>
          <w:bCs/>
          <w:spacing w:val="2"/>
          <w:sz w:val="22"/>
          <w:szCs w:val="22"/>
        </w:rPr>
        <w:t>Asignación básica mensual</w:t>
      </w:r>
    </w:p>
    <w:p w:rsidR="00CE036B" w:rsidRPr="00CE036B" w:rsidRDefault="00CE036B" w:rsidP="00540C45">
      <w:pPr>
        <w:pStyle w:val="Prrafodelista"/>
        <w:numPr>
          <w:ilvl w:val="0"/>
          <w:numId w:val="16"/>
        </w:numPr>
        <w:jc w:val="both"/>
        <w:rPr>
          <w:rFonts w:ascii="Tahoma" w:hAnsi="Tahoma" w:cs="Tahoma"/>
          <w:sz w:val="22"/>
          <w:szCs w:val="22"/>
        </w:rPr>
      </w:pPr>
      <w:r>
        <w:rPr>
          <w:rFonts w:ascii="Tahoma" w:hAnsi="Tahoma" w:cs="Tahoma"/>
          <w:bCs/>
          <w:spacing w:val="2"/>
          <w:sz w:val="22"/>
          <w:szCs w:val="22"/>
        </w:rPr>
        <w:t xml:space="preserve">Prima de servicios y </w:t>
      </w:r>
      <w:r w:rsidR="0021404E">
        <w:rPr>
          <w:rFonts w:ascii="Tahoma" w:hAnsi="Tahoma" w:cs="Tahoma"/>
          <w:bCs/>
          <w:spacing w:val="2"/>
          <w:sz w:val="22"/>
          <w:szCs w:val="22"/>
        </w:rPr>
        <w:t xml:space="preserve">prima de </w:t>
      </w:r>
      <w:r>
        <w:rPr>
          <w:rFonts w:ascii="Tahoma" w:hAnsi="Tahoma" w:cs="Tahoma"/>
          <w:bCs/>
          <w:spacing w:val="2"/>
          <w:sz w:val="22"/>
          <w:szCs w:val="22"/>
        </w:rPr>
        <w:t>vacaciones</w:t>
      </w:r>
    </w:p>
    <w:p w:rsidR="00CE036B" w:rsidRPr="00CE036B" w:rsidRDefault="00CE036B" w:rsidP="00540C45">
      <w:pPr>
        <w:pStyle w:val="Prrafodelista"/>
        <w:numPr>
          <w:ilvl w:val="0"/>
          <w:numId w:val="16"/>
        </w:numPr>
        <w:jc w:val="both"/>
        <w:rPr>
          <w:rFonts w:ascii="Tahoma" w:hAnsi="Tahoma" w:cs="Tahoma"/>
          <w:sz w:val="22"/>
          <w:szCs w:val="22"/>
        </w:rPr>
      </w:pPr>
      <w:r>
        <w:rPr>
          <w:rFonts w:ascii="Tahoma" w:hAnsi="Tahoma" w:cs="Tahoma"/>
          <w:bCs/>
          <w:spacing w:val="2"/>
          <w:sz w:val="22"/>
          <w:szCs w:val="22"/>
        </w:rPr>
        <w:t>Auxilio de alimentación y transporte</w:t>
      </w:r>
    </w:p>
    <w:p w:rsidR="00CE036B" w:rsidRPr="00CE036B" w:rsidRDefault="00CE036B" w:rsidP="00540C45">
      <w:pPr>
        <w:pStyle w:val="Prrafodelista"/>
        <w:numPr>
          <w:ilvl w:val="0"/>
          <w:numId w:val="16"/>
        </w:numPr>
        <w:jc w:val="both"/>
        <w:rPr>
          <w:rFonts w:ascii="Tahoma" w:hAnsi="Tahoma" w:cs="Tahoma"/>
          <w:sz w:val="22"/>
          <w:szCs w:val="22"/>
        </w:rPr>
      </w:pPr>
      <w:r>
        <w:rPr>
          <w:rFonts w:ascii="Tahoma" w:hAnsi="Tahoma" w:cs="Tahoma"/>
          <w:bCs/>
          <w:spacing w:val="2"/>
          <w:sz w:val="22"/>
          <w:szCs w:val="22"/>
        </w:rPr>
        <w:t>Valor trabajo nocturno, suplementario y de horas extras</w:t>
      </w:r>
    </w:p>
    <w:p w:rsidR="00CE036B" w:rsidRPr="00CE036B" w:rsidRDefault="00CE036B" w:rsidP="00540C45">
      <w:pPr>
        <w:pStyle w:val="Prrafodelista"/>
        <w:numPr>
          <w:ilvl w:val="0"/>
          <w:numId w:val="16"/>
        </w:numPr>
        <w:jc w:val="both"/>
        <w:rPr>
          <w:rFonts w:ascii="Tahoma" w:hAnsi="Tahoma" w:cs="Tahoma"/>
          <w:sz w:val="22"/>
          <w:szCs w:val="22"/>
        </w:rPr>
      </w:pPr>
      <w:r>
        <w:rPr>
          <w:rFonts w:ascii="Tahoma" w:hAnsi="Tahoma" w:cs="Tahoma"/>
          <w:bCs/>
          <w:spacing w:val="2"/>
          <w:sz w:val="22"/>
          <w:szCs w:val="22"/>
        </w:rPr>
        <w:t>Valor del trabajo en días dominicales y feriados</w:t>
      </w:r>
    </w:p>
    <w:p w:rsidR="00CE036B" w:rsidRDefault="00CE036B" w:rsidP="00CE036B">
      <w:pPr>
        <w:spacing w:line="276" w:lineRule="auto"/>
        <w:jc w:val="both"/>
        <w:rPr>
          <w:rFonts w:ascii="Tahoma" w:hAnsi="Tahoma" w:cs="Tahoma"/>
          <w:bCs/>
          <w:spacing w:val="2"/>
          <w:sz w:val="22"/>
          <w:szCs w:val="22"/>
        </w:rPr>
      </w:pPr>
    </w:p>
    <w:p w:rsidR="008B5775" w:rsidRDefault="00CE036B" w:rsidP="00CE036B">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Revisada la liquidación efectuada por el juzgado de instancia </w:t>
      </w:r>
      <w:r w:rsidR="00B93FE4">
        <w:rPr>
          <w:rFonts w:ascii="Tahoma" w:hAnsi="Tahoma" w:cs="Tahoma"/>
          <w:bCs/>
          <w:spacing w:val="2"/>
          <w:sz w:val="22"/>
          <w:szCs w:val="22"/>
        </w:rPr>
        <w:t xml:space="preserve">en el auto que resolvió el recurso de reposición </w:t>
      </w:r>
      <w:r>
        <w:rPr>
          <w:rFonts w:ascii="Tahoma" w:hAnsi="Tahoma" w:cs="Tahoma"/>
          <w:bCs/>
          <w:spacing w:val="2"/>
          <w:sz w:val="22"/>
          <w:szCs w:val="22"/>
        </w:rPr>
        <w:t>(folio 874 reverso)</w:t>
      </w:r>
      <w:r w:rsidR="00493201">
        <w:rPr>
          <w:rFonts w:ascii="Tahoma" w:hAnsi="Tahoma" w:cs="Tahoma"/>
          <w:bCs/>
          <w:spacing w:val="2"/>
          <w:sz w:val="22"/>
          <w:szCs w:val="22"/>
        </w:rPr>
        <w:t>,</w:t>
      </w:r>
      <w:r>
        <w:rPr>
          <w:rFonts w:ascii="Tahoma" w:hAnsi="Tahoma" w:cs="Tahoma"/>
          <w:bCs/>
          <w:spacing w:val="2"/>
          <w:sz w:val="22"/>
          <w:szCs w:val="22"/>
        </w:rPr>
        <w:t xml:space="preserve"> se observa que se tuvieron en cuenta todos esos factores, salvo aquellos que no devengó la ejecutante entre el interregno que va desde el 1º de septiembre de 2001 al 30 de noviembre de 2004</w:t>
      </w:r>
      <w:r w:rsidR="00265043">
        <w:rPr>
          <w:rFonts w:ascii="Tahoma" w:hAnsi="Tahoma" w:cs="Tahoma"/>
          <w:bCs/>
          <w:spacing w:val="2"/>
          <w:sz w:val="22"/>
          <w:szCs w:val="22"/>
        </w:rPr>
        <w:t xml:space="preserve"> (que corresponden a los de trabajo nocturno, suplementario, dominicales y feriados), según se evidencia en la respectiva relación de salarios visible a folios 857 y 858. </w:t>
      </w:r>
      <w:r w:rsidR="0021404E">
        <w:rPr>
          <w:rFonts w:ascii="Tahoma" w:hAnsi="Tahoma" w:cs="Tahoma"/>
          <w:bCs/>
          <w:spacing w:val="2"/>
          <w:sz w:val="22"/>
          <w:szCs w:val="22"/>
        </w:rPr>
        <w:t>Sin embargo adolece de los siguientes errores: Toma como factor salarial las vacaciones del artículo 49 de la Convención Colectiva, cuando dicho factor no fue considerado por el artículo 9</w:t>
      </w:r>
      <w:r w:rsidR="008B5775">
        <w:rPr>
          <w:rFonts w:ascii="Tahoma" w:hAnsi="Tahoma" w:cs="Tahoma"/>
          <w:bCs/>
          <w:spacing w:val="2"/>
          <w:sz w:val="22"/>
          <w:szCs w:val="22"/>
        </w:rPr>
        <w:t>8</w:t>
      </w:r>
      <w:r w:rsidR="0021404E">
        <w:rPr>
          <w:rFonts w:ascii="Tahoma" w:hAnsi="Tahoma" w:cs="Tahoma"/>
          <w:bCs/>
          <w:spacing w:val="2"/>
          <w:sz w:val="22"/>
          <w:szCs w:val="22"/>
        </w:rPr>
        <w:t xml:space="preserve"> ibídem</w:t>
      </w:r>
      <w:r w:rsidR="008B5775">
        <w:rPr>
          <w:rFonts w:ascii="Tahoma" w:hAnsi="Tahoma" w:cs="Tahoma"/>
          <w:bCs/>
          <w:spacing w:val="2"/>
          <w:sz w:val="22"/>
          <w:szCs w:val="22"/>
        </w:rPr>
        <w:t xml:space="preserve"> para liquidar la pensión de jubilación, pero en cambio dejó de considerar la prima de vacaciones, incluida como factor salarial en el mentado artículo. </w:t>
      </w:r>
    </w:p>
    <w:p w:rsidR="008B5775" w:rsidRDefault="008B5775" w:rsidP="00CE036B">
      <w:pPr>
        <w:spacing w:line="276" w:lineRule="auto"/>
        <w:ind w:firstLine="709"/>
        <w:jc w:val="both"/>
        <w:rPr>
          <w:rFonts w:ascii="Tahoma" w:hAnsi="Tahoma" w:cs="Tahoma"/>
          <w:bCs/>
          <w:spacing w:val="2"/>
          <w:sz w:val="22"/>
          <w:szCs w:val="22"/>
        </w:rPr>
      </w:pPr>
    </w:p>
    <w:p w:rsidR="00540C45" w:rsidRDefault="008B5775" w:rsidP="00CE036B">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Por su parte, en la liquidación que presenta la parte ejecutante también se observa </w:t>
      </w:r>
      <w:r w:rsidR="00F118A6">
        <w:rPr>
          <w:rFonts w:ascii="Tahoma" w:hAnsi="Tahoma" w:cs="Tahoma"/>
          <w:bCs/>
          <w:spacing w:val="2"/>
          <w:sz w:val="22"/>
          <w:szCs w:val="22"/>
        </w:rPr>
        <w:t>dos</w:t>
      </w:r>
      <w:r>
        <w:rPr>
          <w:rFonts w:ascii="Tahoma" w:hAnsi="Tahoma" w:cs="Tahoma"/>
          <w:bCs/>
          <w:spacing w:val="2"/>
          <w:sz w:val="22"/>
          <w:szCs w:val="22"/>
        </w:rPr>
        <w:t xml:space="preserve"> error</w:t>
      </w:r>
      <w:r w:rsidR="00F118A6">
        <w:rPr>
          <w:rFonts w:ascii="Tahoma" w:hAnsi="Tahoma" w:cs="Tahoma"/>
          <w:bCs/>
          <w:spacing w:val="2"/>
          <w:sz w:val="22"/>
          <w:szCs w:val="22"/>
        </w:rPr>
        <w:t>es</w:t>
      </w:r>
      <w:r>
        <w:rPr>
          <w:rFonts w:ascii="Tahoma" w:hAnsi="Tahoma" w:cs="Tahoma"/>
          <w:bCs/>
          <w:spacing w:val="2"/>
          <w:sz w:val="22"/>
          <w:szCs w:val="22"/>
        </w:rPr>
        <w:t xml:space="preserve"> por cuanto para el año 2001 toma en cuenta la prima de </w:t>
      </w:r>
      <w:r w:rsidR="00F118A6">
        <w:rPr>
          <w:rFonts w:ascii="Tahoma" w:hAnsi="Tahoma" w:cs="Tahoma"/>
          <w:bCs/>
          <w:spacing w:val="2"/>
          <w:sz w:val="22"/>
          <w:szCs w:val="22"/>
        </w:rPr>
        <w:t>servicios</w:t>
      </w:r>
      <w:r>
        <w:rPr>
          <w:rFonts w:ascii="Tahoma" w:hAnsi="Tahoma" w:cs="Tahoma"/>
          <w:bCs/>
          <w:spacing w:val="2"/>
          <w:sz w:val="22"/>
          <w:szCs w:val="22"/>
        </w:rPr>
        <w:t xml:space="preserve"> de junio cuando los factores promedios a tener en cuenta comenzaban en septiembre de ese año</w:t>
      </w:r>
      <w:r w:rsidR="00F118A6">
        <w:rPr>
          <w:rFonts w:ascii="Tahoma" w:hAnsi="Tahoma" w:cs="Tahoma"/>
          <w:bCs/>
          <w:spacing w:val="2"/>
          <w:sz w:val="22"/>
          <w:szCs w:val="22"/>
        </w:rPr>
        <w:t xml:space="preserve">, y para el año 2004 </w:t>
      </w:r>
      <w:r w:rsidR="009A011B">
        <w:rPr>
          <w:rFonts w:ascii="Tahoma" w:hAnsi="Tahoma" w:cs="Tahoma"/>
          <w:bCs/>
          <w:spacing w:val="2"/>
          <w:sz w:val="22"/>
          <w:szCs w:val="22"/>
        </w:rPr>
        <w:t xml:space="preserve">los valores de las primas de servicios legal y extralegal </w:t>
      </w:r>
      <w:r w:rsidR="00DD1830">
        <w:rPr>
          <w:rFonts w:ascii="Tahoma" w:hAnsi="Tahoma" w:cs="Tahoma"/>
          <w:bCs/>
          <w:spacing w:val="2"/>
          <w:sz w:val="22"/>
          <w:szCs w:val="22"/>
        </w:rPr>
        <w:t xml:space="preserve">que incluye en su liquidación </w:t>
      </w:r>
      <w:r w:rsidR="009A011B">
        <w:rPr>
          <w:rFonts w:ascii="Tahoma" w:hAnsi="Tahoma" w:cs="Tahoma"/>
          <w:bCs/>
          <w:spacing w:val="2"/>
          <w:sz w:val="22"/>
          <w:szCs w:val="22"/>
        </w:rPr>
        <w:t xml:space="preserve">es superior al establecido en el reporte de salarios de la demandante visible a folio 858. </w:t>
      </w:r>
    </w:p>
    <w:p w:rsidR="00540C45" w:rsidRDefault="00540C45" w:rsidP="00CE036B">
      <w:pPr>
        <w:spacing w:line="276" w:lineRule="auto"/>
        <w:ind w:firstLine="709"/>
        <w:jc w:val="both"/>
        <w:rPr>
          <w:rFonts w:ascii="Tahoma" w:hAnsi="Tahoma" w:cs="Tahoma"/>
          <w:bCs/>
          <w:spacing w:val="2"/>
          <w:sz w:val="22"/>
          <w:szCs w:val="22"/>
        </w:rPr>
      </w:pPr>
    </w:p>
    <w:p w:rsidR="00265043" w:rsidRDefault="00540C45" w:rsidP="00CE036B">
      <w:pPr>
        <w:spacing w:line="276" w:lineRule="auto"/>
        <w:ind w:firstLine="709"/>
        <w:jc w:val="both"/>
        <w:rPr>
          <w:rFonts w:ascii="Tahoma" w:hAnsi="Tahoma" w:cs="Tahoma"/>
          <w:bCs/>
          <w:spacing w:val="2"/>
          <w:sz w:val="22"/>
          <w:szCs w:val="22"/>
        </w:rPr>
      </w:pPr>
      <w:r>
        <w:rPr>
          <w:rFonts w:ascii="Tahoma" w:hAnsi="Tahoma" w:cs="Tahoma"/>
          <w:bCs/>
          <w:spacing w:val="2"/>
          <w:sz w:val="22"/>
          <w:szCs w:val="22"/>
        </w:rPr>
        <w:t>En consecuencia la liquidación del promedio de lo devengado por la ejecutante durante el periodo comprendido entre el 1º de septiembre de 2001 al 30 de noviembre de 2004, es la siguiente:</w:t>
      </w:r>
    </w:p>
    <w:p w:rsidR="009A011B" w:rsidRDefault="009A011B" w:rsidP="00540C45">
      <w:pPr>
        <w:spacing w:line="276" w:lineRule="auto"/>
        <w:jc w:val="both"/>
        <w:rPr>
          <w:rFonts w:ascii="Tahoma" w:hAnsi="Tahoma" w:cs="Tahoma"/>
          <w:bCs/>
          <w:spacing w:val="2"/>
          <w:sz w:val="22"/>
          <w:szCs w:val="22"/>
        </w:rPr>
      </w:pPr>
      <w:r w:rsidRPr="009A011B">
        <w:rPr>
          <w:noProof/>
        </w:rPr>
        <w:drawing>
          <wp:anchor distT="0" distB="0" distL="114300" distR="114300" simplePos="0" relativeHeight="251658240" behindDoc="0" locked="0" layoutInCell="1" allowOverlap="1" wp14:anchorId="7F72E6F2" wp14:editId="7612D5DC">
            <wp:simplePos x="0" y="0"/>
            <wp:positionH relativeFrom="column">
              <wp:posOffset>244475</wp:posOffset>
            </wp:positionH>
            <wp:positionV relativeFrom="paragraph">
              <wp:posOffset>657860</wp:posOffset>
            </wp:positionV>
            <wp:extent cx="5410200" cy="2571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Cs/>
          <w:spacing w:val="2"/>
          <w:sz w:val="22"/>
          <w:szCs w:val="22"/>
        </w:rPr>
        <w:t xml:space="preserve"> </w:t>
      </w:r>
    </w:p>
    <w:p w:rsidR="00DD1830" w:rsidRDefault="00DD1830" w:rsidP="00CE036B">
      <w:pPr>
        <w:spacing w:line="276" w:lineRule="auto"/>
        <w:ind w:firstLine="709"/>
        <w:jc w:val="both"/>
        <w:rPr>
          <w:rFonts w:ascii="Tahoma" w:hAnsi="Tahoma" w:cs="Tahoma"/>
          <w:bCs/>
          <w:spacing w:val="2"/>
          <w:sz w:val="22"/>
          <w:szCs w:val="22"/>
        </w:rPr>
      </w:pPr>
      <w:r>
        <w:rPr>
          <w:rFonts w:ascii="Tahoma" w:hAnsi="Tahoma" w:cs="Tahoma"/>
          <w:bCs/>
          <w:spacing w:val="2"/>
          <w:sz w:val="22"/>
          <w:szCs w:val="22"/>
        </w:rPr>
        <w:lastRenderedPageBreak/>
        <w:t xml:space="preserve">Fíjese que el valor del promedio de lo devengado por la ejecutada en el referido interregno (1º de septiembre de 2001 al 30 de noviembre de 2004) es superior al liquidado por la primera instancia e inferior al calculado por la parte ejecutante, lo cual se explica por los errores que la Sala encontró y que se explicaron líneas atrás. </w:t>
      </w:r>
    </w:p>
    <w:p w:rsidR="00523D5D" w:rsidRDefault="00523D5D" w:rsidP="00CE036B">
      <w:pPr>
        <w:spacing w:line="276" w:lineRule="auto"/>
        <w:ind w:firstLine="709"/>
        <w:jc w:val="both"/>
        <w:rPr>
          <w:rFonts w:ascii="Tahoma" w:hAnsi="Tahoma" w:cs="Tahoma"/>
          <w:bCs/>
          <w:spacing w:val="2"/>
          <w:sz w:val="22"/>
          <w:szCs w:val="22"/>
        </w:rPr>
      </w:pPr>
    </w:p>
    <w:p w:rsidR="00DD1830" w:rsidRDefault="00DD1830" w:rsidP="00CE036B">
      <w:pPr>
        <w:spacing w:line="276" w:lineRule="auto"/>
        <w:ind w:firstLine="709"/>
        <w:jc w:val="both"/>
        <w:rPr>
          <w:rFonts w:ascii="Tahoma" w:hAnsi="Tahoma" w:cs="Tahoma"/>
          <w:bCs/>
          <w:spacing w:val="2"/>
          <w:sz w:val="22"/>
          <w:szCs w:val="22"/>
        </w:rPr>
      </w:pPr>
    </w:p>
    <w:p w:rsidR="00DD1830" w:rsidRDefault="00DD1830" w:rsidP="00CE036B">
      <w:pPr>
        <w:spacing w:line="276" w:lineRule="auto"/>
        <w:ind w:firstLine="709"/>
        <w:jc w:val="both"/>
        <w:rPr>
          <w:rFonts w:ascii="Tahoma" w:hAnsi="Tahoma" w:cs="Tahoma"/>
          <w:bCs/>
          <w:spacing w:val="2"/>
          <w:sz w:val="22"/>
          <w:szCs w:val="22"/>
        </w:rPr>
      </w:pPr>
      <w:r>
        <w:rPr>
          <w:rFonts w:ascii="Tahoma" w:hAnsi="Tahoma" w:cs="Tahoma"/>
          <w:bCs/>
          <w:spacing w:val="2"/>
          <w:sz w:val="22"/>
          <w:szCs w:val="22"/>
        </w:rPr>
        <w:t xml:space="preserve">  </w:t>
      </w:r>
    </w:p>
    <w:p w:rsidR="00953B58" w:rsidRPr="00953B58" w:rsidRDefault="00953B58" w:rsidP="00C020C1">
      <w:pPr>
        <w:pStyle w:val="Prrafodelista"/>
        <w:numPr>
          <w:ilvl w:val="1"/>
          <w:numId w:val="13"/>
        </w:numPr>
        <w:spacing w:line="276" w:lineRule="auto"/>
        <w:jc w:val="both"/>
        <w:rPr>
          <w:rFonts w:ascii="Tahoma" w:hAnsi="Tahoma" w:cs="Tahoma"/>
          <w:b/>
          <w:bCs/>
          <w:spacing w:val="2"/>
          <w:sz w:val="22"/>
          <w:szCs w:val="22"/>
        </w:rPr>
      </w:pPr>
      <w:r w:rsidRPr="00953B58">
        <w:rPr>
          <w:rFonts w:ascii="Tahoma" w:hAnsi="Tahoma" w:cs="Tahoma"/>
          <w:b/>
          <w:bCs/>
          <w:spacing w:val="2"/>
          <w:sz w:val="22"/>
          <w:szCs w:val="22"/>
        </w:rPr>
        <w:t xml:space="preserve">Diferencia entre la indexación y la actualización de las mesadas pensionales adeudadas: </w:t>
      </w:r>
    </w:p>
    <w:p w:rsidR="00953B58" w:rsidRDefault="00953B58" w:rsidP="0069710D">
      <w:pPr>
        <w:widowControl w:val="0"/>
        <w:autoSpaceDE w:val="0"/>
        <w:autoSpaceDN w:val="0"/>
        <w:adjustRightInd w:val="0"/>
        <w:spacing w:line="276" w:lineRule="auto"/>
        <w:ind w:firstLine="1080"/>
        <w:jc w:val="both"/>
        <w:rPr>
          <w:rFonts w:ascii="Tahoma" w:hAnsi="Tahoma" w:cs="Tahoma"/>
          <w:sz w:val="22"/>
          <w:szCs w:val="22"/>
        </w:rPr>
      </w:pPr>
    </w:p>
    <w:p w:rsidR="00690BF7" w:rsidRDefault="00690BF7"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Con relación al tema de la indexación tanto el juzgado de primera instancia como la ejecutante confunden dicho tema con la actualización de la mesada pensional, pues cuando se utiliza el índice de precios al consumidor, como lo hicieron tanto la una como la otra, lo que se está haciendo es actualizar el valor y no indexándole, toda vez que la indexación no se hace con el IPC</w:t>
      </w:r>
      <w:r w:rsidR="00805623">
        <w:rPr>
          <w:rFonts w:ascii="Tahoma" w:hAnsi="Tahoma" w:cs="Tahoma"/>
          <w:sz w:val="22"/>
          <w:szCs w:val="22"/>
        </w:rPr>
        <w:t xml:space="preserve"> anual</w:t>
      </w:r>
      <w:r>
        <w:rPr>
          <w:rFonts w:ascii="Tahoma" w:hAnsi="Tahoma" w:cs="Tahoma"/>
          <w:sz w:val="22"/>
          <w:szCs w:val="22"/>
        </w:rPr>
        <w:t xml:space="preserve"> sino con la siguiente fórmula financiera: </w:t>
      </w:r>
    </w:p>
    <w:p w:rsidR="00417E0B" w:rsidRPr="00417E0B" w:rsidRDefault="00417E0B" w:rsidP="00417E0B">
      <w:pPr>
        <w:pStyle w:val="Ttulo3"/>
        <w:shd w:val="clear" w:color="auto" w:fill="FFFFFF"/>
        <w:spacing w:before="300" w:after="300"/>
        <w:jc w:val="center"/>
        <w:rPr>
          <w:rFonts w:ascii="Tahoma" w:hAnsi="Tahoma" w:cs="Tahoma"/>
          <w:b w:val="0"/>
          <w:bCs w:val="0"/>
          <w:sz w:val="22"/>
          <w:szCs w:val="22"/>
        </w:rPr>
      </w:pPr>
      <w:r w:rsidRPr="00417E0B">
        <w:rPr>
          <w:rFonts w:ascii="Tahoma" w:hAnsi="Tahoma" w:cs="Tahoma"/>
          <w:b w:val="0"/>
          <w:bCs w:val="0"/>
          <w:sz w:val="22"/>
          <w:szCs w:val="22"/>
        </w:rPr>
        <w:t>VR = VH x (IPC actual/IPC inicial)</w:t>
      </w:r>
    </w:p>
    <w:p w:rsidR="00417E0B" w:rsidRPr="00417E0B" w:rsidRDefault="00417E0B" w:rsidP="00417E0B">
      <w:pPr>
        <w:numPr>
          <w:ilvl w:val="0"/>
          <w:numId w:val="20"/>
        </w:numPr>
        <w:shd w:val="clear" w:color="auto" w:fill="FFFFFF"/>
        <w:spacing w:before="100" w:beforeAutospacing="1" w:after="100" w:afterAutospacing="1"/>
        <w:rPr>
          <w:rFonts w:ascii="Tahoma" w:hAnsi="Tahoma" w:cs="Tahoma"/>
          <w:sz w:val="22"/>
          <w:szCs w:val="22"/>
        </w:rPr>
      </w:pPr>
      <w:r w:rsidRPr="00417E0B">
        <w:rPr>
          <w:rFonts w:ascii="Tahoma" w:hAnsi="Tahoma" w:cs="Tahoma"/>
          <w:sz w:val="22"/>
          <w:szCs w:val="22"/>
        </w:rPr>
        <w:t>VR: corresponde al valor a reintegrar.</w:t>
      </w:r>
    </w:p>
    <w:p w:rsidR="00417E0B" w:rsidRPr="00417E0B" w:rsidRDefault="00417E0B" w:rsidP="00417E0B">
      <w:pPr>
        <w:numPr>
          <w:ilvl w:val="0"/>
          <w:numId w:val="20"/>
        </w:numPr>
        <w:shd w:val="clear" w:color="auto" w:fill="FFFFFF"/>
        <w:spacing w:before="100" w:beforeAutospacing="1" w:after="100" w:afterAutospacing="1"/>
        <w:rPr>
          <w:rFonts w:ascii="Tahoma" w:hAnsi="Tahoma" w:cs="Tahoma"/>
          <w:sz w:val="22"/>
          <w:szCs w:val="22"/>
        </w:rPr>
      </w:pPr>
      <w:r w:rsidRPr="00417E0B">
        <w:rPr>
          <w:rFonts w:ascii="Tahoma" w:hAnsi="Tahoma" w:cs="Tahoma"/>
          <w:sz w:val="22"/>
          <w:szCs w:val="22"/>
        </w:rPr>
        <w:t>VH: monto cuya devolución se ordenó inicialmente.</w:t>
      </w:r>
    </w:p>
    <w:p w:rsidR="00417E0B" w:rsidRPr="00417E0B" w:rsidRDefault="00417E0B" w:rsidP="00417E0B">
      <w:pPr>
        <w:numPr>
          <w:ilvl w:val="0"/>
          <w:numId w:val="20"/>
        </w:numPr>
        <w:shd w:val="clear" w:color="auto" w:fill="FFFFFF"/>
        <w:spacing w:before="100" w:beforeAutospacing="1" w:after="100" w:afterAutospacing="1"/>
        <w:rPr>
          <w:rFonts w:ascii="Tahoma" w:hAnsi="Tahoma" w:cs="Tahoma"/>
          <w:sz w:val="22"/>
          <w:szCs w:val="22"/>
        </w:rPr>
      </w:pPr>
      <w:r w:rsidRPr="00417E0B">
        <w:rPr>
          <w:rFonts w:ascii="Tahoma" w:hAnsi="Tahoma" w:cs="Tahoma"/>
          <w:sz w:val="22"/>
          <w:szCs w:val="22"/>
        </w:rPr>
        <w:t>IPC: Índice de Precios al Consumidor</w:t>
      </w:r>
      <w:r>
        <w:rPr>
          <w:rFonts w:ascii="Tahoma" w:hAnsi="Tahoma" w:cs="Tahoma"/>
          <w:sz w:val="22"/>
          <w:szCs w:val="22"/>
        </w:rPr>
        <w:t xml:space="preserve"> (serie de empalme)</w:t>
      </w:r>
    </w:p>
    <w:p w:rsidR="00690BF7" w:rsidRDefault="00690BF7" w:rsidP="0069710D">
      <w:pPr>
        <w:widowControl w:val="0"/>
        <w:autoSpaceDE w:val="0"/>
        <w:autoSpaceDN w:val="0"/>
        <w:adjustRightInd w:val="0"/>
        <w:spacing w:line="276" w:lineRule="auto"/>
        <w:ind w:firstLine="1080"/>
        <w:jc w:val="both"/>
        <w:rPr>
          <w:rFonts w:ascii="Tahoma" w:hAnsi="Tahoma" w:cs="Tahoma"/>
          <w:sz w:val="22"/>
          <w:szCs w:val="22"/>
        </w:rPr>
      </w:pPr>
    </w:p>
    <w:p w:rsidR="003416CC" w:rsidRDefault="00690BF7"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Con todo, </w:t>
      </w:r>
      <w:r w:rsidR="003416CC">
        <w:rPr>
          <w:rFonts w:ascii="Tahoma" w:hAnsi="Tahoma" w:cs="Tahoma"/>
          <w:sz w:val="22"/>
          <w:szCs w:val="22"/>
        </w:rPr>
        <w:t>y a pesar de que</w:t>
      </w:r>
      <w:r w:rsidR="00A64357">
        <w:rPr>
          <w:rFonts w:ascii="Tahoma" w:hAnsi="Tahoma" w:cs="Tahoma"/>
          <w:sz w:val="22"/>
          <w:szCs w:val="22"/>
        </w:rPr>
        <w:t xml:space="preserve"> en</w:t>
      </w:r>
      <w:r w:rsidR="003416CC">
        <w:rPr>
          <w:rFonts w:ascii="Tahoma" w:hAnsi="Tahoma" w:cs="Tahoma"/>
          <w:sz w:val="22"/>
          <w:szCs w:val="22"/>
        </w:rPr>
        <w:t xml:space="preserve"> </w:t>
      </w:r>
      <w:r>
        <w:rPr>
          <w:rFonts w:ascii="Tahoma" w:hAnsi="Tahoma" w:cs="Tahoma"/>
          <w:sz w:val="22"/>
          <w:szCs w:val="22"/>
        </w:rPr>
        <w:t xml:space="preserve">la </w:t>
      </w:r>
      <w:r w:rsidR="00CC33B3">
        <w:rPr>
          <w:rFonts w:ascii="Tahoma" w:hAnsi="Tahoma" w:cs="Tahoma"/>
          <w:sz w:val="22"/>
          <w:szCs w:val="22"/>
        </w:rPr>
        <w:t xml:space="preserve">liquidación de la obligación que se hizo tanto en la </w:t>
      </w:r>
      <w:r>
        <w:rPr>
          <w:rFonts w:ascii="Tahoma" w:hAnsi="Tahoma" w:cs="Tahoma"/>
          <w:sz w:val="22"/>
          <w:szCs w:val="22"/>
        </w:rPr>
        <w:t>demanda ejecutiva</w:t>
      </w:r>
      <w:r w:rsidR="00CC33B3">
        <w:rPr>
          <w:rFonts w:ascii="Tahoma" w:hAnsi="Tahoma" w:cs="Tahoma"/>
          <w:sz w:val="22"/>
          <w:szCs w:val="22"/>
        </w:rPr>
        <w:t xml:space="preserve"> como en el </w:t>
      </w:r>
      <w:r>
        <w:rPr>
          <w:rFonts w:ascii="Tahoma" w:hAnsi="Tahoma" w:cs="Tahoma"/>
          <w:sz w:val="22"/>
          <w:szCs w:val="22"/>
        </w:rPr>
        <w:t>recurso de apelación</w:t>
      </w:r>
      <w:r w:rsidR="00CC33B3">
        <w:rPr>
          <w:rFonts w:ascii="Tahoma" w:hAnsi="Tahoma" w:cs="Tahoma"/>
          <w:sz w:val="22"/>
          <w:szCs w:val="22"/>
        </w:rPr>
        <w:t xml:space="preserve">, </w:t>
      </w:r>
      <w:r w:rsidR="003416CC">
        <w:rPr>
          <w:rFonts w:ascii="Tahoma" w:hAnsi="Tahoma" w:cs="Tahoma"/>
          <w:sz w:val="22"/>
          <w:szCs w:val="22"/>
        </w:rPr>
        <w:t xml:space="preserve">no se indexó </w:t>
      </w:r>
      <w:r w:rsidR="00457BE7">
        <w:rPr>
          <w:rFonts w:ascii="Tahoma" w:hAnsi="Tahoma" w:cs="Tahoma"/>
          <w:sz w:val="22"/>
          <w:szCs w:val="22"/>
        </w:rPr>
        <w:t xml:space="preserve">la mesada pensional </w:t>
      </w:r>
      <w:r w:rsidR="003416CC">
        <w:rPr>
          <w:rFonts w:ascii="Tahoma" w:hAnsi="Tahoma" w:cs="Tahoma"/>
          <w:sz w:val="22"/>
          <w:szCs w:val="22"/>
        </w:rPr>
        <w:t>sino que se actualizó</w:t>
      </w:r>
      <w:r>
        <w:rPr>
          <w:rFonts w:ascii="Tahoma" w:hAnsi="Tahoma" w:cs="Tahoma"/>
          <w:sz w:val="22"/>
          <w:szCs w:val="22"/>
        </w:rPr>
        <w:t>,</w:t>
      </w:r>
      <w:r w:rsidR="0013287F">
        <w:rPr>
          <w:rFonts w:ascii="Tahoma" w:hAnsi="Tahoma" w:cs="Tahoma"/>
          <w:sz w:val="22"/>
          <w:szCs w:val="22"/>
        </w:rPr>
        <w:t xml:space="preserve"> la Sala procederá a corregir dicho yerro, </w:t>
      </w:r>
      <w:r>
        <w:rPr>
          <w:rFonts w:ascii="Tahoma" w:hAnsi="Tahoma" w:cs="Tahoma"/>
          <w:sz w:val="22"/>
          <w:szCs w:val="22"/>
        </w:rPr>
        <w:t xml:space="preserve"> </w:t>
      </w:r>
      <w:r w:rsidR="0013287F">
        <w:rPr>
          <w:rFonts w:ascii="Tahoma" w:hAnsi="Tahoma" w:cs="Tahoma"/>
          <w:sz w:val="22"/>
          <w:szCs w:val="22"/>
        </w:rPr>
        <w:t xml:space="preserve">haciendo la respectiva indexación, </w:t>
      </w:r>
      <w:r w:rsidR="003416CC">
        <w:rPr>
          <w:rFonts w:ascii="Tahoma" w:hAnsi="Tahoma" w:cs="Tahoma"/>
          <w:sz w:val="22"/>
          <w:szCs w:val="22"/>
        </w:rPr>
        <w:t xml:space="preserve">de conformidad con la Sentencia SU-168 de 2017 de la Corte Constitucional, </w:t>
      </w:r>
      <w:r w:rsidR="0013287F">
        <w:rPr>
          <w:rFonts w:ascii="Tahoma" w:hAnsi="Tahoma" w:cs="Tahoma"/>
          <w:sz w:val="22"/>
          <w:szCs w:val="22"/>
        </w:rPr>
        <w:t xml:space="preserve">en virtud de la cual </w:t>
      </w:r>
      <w:r w:rsidR="003416CC">
        <w:rPr>
          <w:rFonts w:ascii="Tahoma" w:hAnsi="Tahoma" w:cs="Tahoma"/>
          <w:sz w:val="22"/>
          <w:szCs w:val="22"/>
        </w:rPr>
        <w:t xml:space="preserve">hay lugar a indexar </w:t>
      </w:r>
      <w:r w:rsidR="00A64357">
        <w:rPr>
          <w:rFonts w:ascii="Tahoma" w:hAnsi="Tahoma" w:cs="Tahoma"/>
          <w:sz w:val="22"/>
          <w:szCs w:val="22"/>
        </w:rPr>
        <w:t>la primera mesada pensional</w:t>
      </w:r>
      <w:r w:rsidR="00AA34F0">
        <w:rPr>
          <w:rFonts w:ascii="Tahoma" w:hAnsi="Tahoma" w:cs="Tahoma"/>
          <w:sz w:val="22"/>
          <w:szCs w:val="22"/>
        </w:rPr>
        <w:t xml:space="preserve"> incluida</w:t>
      </w:r>
      <w:r w:rsidR="003416CC">
        <w:rPr>
          <w:rFonts w:ascii="Tahoma" w:hAnsi="Tahoma" w:cs="Tahoma"/>
          <w:sz w:val="22"/>
          <w:szCs w:val="22"/>
        </w:rPr>
        <w:t xml:space="preserve"> la convencional. </w:t>
      </w:r>
    </w:p>
    <w:p w:rsidR="003416CC" w:rsidRDefault="003416CC" w:rsidP="0069710D">
      <w:pPr>
        <w:widowControl w:val="0"/>
        <w:autoSpaceDE w:val="0"/>
        <w:autoSpaceDN w:val="0"/>
        <w:adjustRightInd w:val="0"/>
        <w:spacing w:line="276" w:lineRule="auto"/>
        <w:ind w:firstLine="1080"/>
        <w:jc w:val="both"/>
        <w:rPr>
          <w:rFonts w:ascii="Tahoma" w:hAnsi="Tahoma" w:cs="Tahoma"/>
          <w:sz w:val="22"/>
          <w:szCs w:val="22"/>
        </w:rPr>
      </w:pPr>
    </w:p>
    <w:p w:rsidR="003416CC" w:rsidRDefault="003416CC" w:rsidP="003416CC">
      <w:pPr>
        <w:widowControl w:val="0"/>
        <w:autoSpaceDE w:val="0"/>
        <w:autoSpaceDN w:val="0"/>
        <w:adjustRightInd w:val="0"/>
        <w:spacing w:line="276" w:lineRule="auto"/>
        <w:ind w:firstLine="1080"/>
        <w:jc w:val="both"/>
        <w:rPr>
          <w:rFonts w:ascii="Tahoma" w:hAnsi="Tahoma" w:cs="Tahoma"/>
          <w:bCs/>
          <w:spacing w:val="2"/>
          <w:sz w:val="22"/>
          <w:szCs w:val="22"/>
        </w:rPr>
      </w:pPr>
      <w:r>
        <w:rPr>
          <w:rFonts w:ascii="Tahoma" w:hAnsi="Tahoma" w:cs="Tahoma"/>
          <w:sz w:val="22"/>
          <w:szCs w:val="22"/>
        </w:rPr>
        <w:t xml:space="preserve">Así las cosas, </w:t>
      </w:r>
      <w:r>
        <w:rPr>
          <w:rFonts w:ascii="Tahoma" w:hAnsi="Tahoma" w:cs="Tahoma"/>
          <w:bCs/>
          <w:spacing w:val="2"/>
          <w:sz w:val="22"/>
          <w:szCs w:val="22"/>
        </w:rPr>
        <w:t xml:space="preserve">si indexamos la mesada pensional promedio del año 2004 hasta el 31 de diciembre de 2009 </w:t>
      </w:r>
      <w:r>
        <w:rPr>
          <w:rFonts w:ascii="Tahoma" w:hAnsi="Tahoma" w:cs="Tahoma"/>
          <w:bCs/>
          <w:i/>
          <w:spacing w:val="2"/>
          <w:sz w:val="22"/>
          <w:szCs w:val="22"/>
        </w:rPr>
        <w:t>–</w:t>
      </w:r>
      <w:r w:rsidR="0013287F">
        <w:rPr>
          <w:rFonts w:ascii="Tahoma" w:hAnsi="Tahoma" w:cs="Tahoma"/>
          <w:bCs/>
          <w:i/>
          <w:spacing w:val="2"/>
          <w:sz w:val="22"/>
          <w:szCs w:val="22"/>
        </w:rPr>
        <w:t>fecha de reconocimiento del derecho</w:t>
      </w:r>
      <w:r>
        <w:rPr>
          <w:rFonts w:ascii="Tahoma" w:hAnsi="Tahoma" w:cs="Tahoma"/>
          <w:bCs/>
          <w:i/>
          <w:spacing w:val="2"/>
          <w:sz w:val="22"/>
          <w:szCs w:val="22"/>
        </w:rPr>
        <w:t xml:space="preserve">- </w:t>
      </w:r>
      <w:r>
        <w:rPr>
          <w:rFonts w:ascii="Tahoma" w:hAnsi="Tahoma" w:cs="Tahoma"/>
          <w:bCs/>
          <w:spacing w:val="2"/>
          <w:sz w:val="22"/>
          <w:szCs w:val="22"/>
        </w:rPr>
        <w:t xml:space="preserve"> aquella asciende a la suma de</w:t>
      </w:r>
      <w:r w:rsidR="00AA34F0">
        <w:rPr>
          <w:rFonts w:ascii="Tahoma" w:hAnsi="Tahoma" w:cs="Tahoma"/>
          <w:bCs/>
          <w:spacing w:val="2"/>
          <w:sz w:val="22"/>
          <w:szCs w:val="22"/>
        </w:rPr>
        <w:t xml:space="preserve"> </w:t>
      </w:r>
      <w:r>
        <w:rPr>
          <w:rFonts w:ascii="Tahoma" w:hAnsi="Tahoma" w:cs="Tahoma"/>
          <w:bCs/>
          <w:spacing w:val="2"/>
          <w:sz w:val="22"/>
          <w:szCs w:val="22"/>
        </w:rPr>
        <w:t xml:space="preserve">$1.395.432, valor superior a la </w:t>
      </w:r>
      <w:r w:rsidR="0013287F">
        <w:rPr>
          <w:rFonts w:ascii="Tahoma" w:hAnsi="Tahoma" w:cs="Tahoma"/>
          <w:bCs/>
          <w:spacing w:val="2"/>
          <w:sz w:val="22"/>
          <w:szCs w:val="22"/>
        </w:rPr>
        <w:t xml:space="preserve">liquidada en primera instancia </w:t>
      </w:r>
      <w:r>
        <w:rPr>
          <w:rFonts w:ascii="Tahoma" w:hAnsi="Tahoma" w:cs="Tahoma"/>
          <w:bCs/>
          <w:spacing w:val="2"/>
          <w:sz w:val="22"/>
          <w:szCs w:val="22"/>
        </w:rPr>
        <w:t>en la misma calenda que lo fue por $1.166.</w:t>
      </w:r>
      <w:r w:rsidR="0013287F">
        <w:rPr>
          <w:rFonts w:ascii="Tahoma" w:hAnsi="Tahoma" w:cs="Tahoma"/>
          <w:bCs/>
          <w:spacing w:val="2"/>
          <w:sz w:val="22"/>
          <w:szCs w:val="22"/>
        </w:rPr>
        <w:t>5</w:t>
      </w:r>
      <w:r>
        <w:rPr>
          <w:rFonts w:ascii="Tahoma" w:hAnsi="Tahoma" w:cs="Tahoma"/>
          <w:bCs/>
          <w:spacing w:val="2"/>
          <w:sz w:val="22"/>
          <w:szCs w:val="22"/>
        </w:rPr>
        <w:t xml:space="preserve">58, tal como se puede apreciar en el siguiente cuadro: </w:t>
      </w:r>
    </w:p>
    <w:p w:rsidR="003416CC" w:rsidRDefault="003416CC" w:rsidP="003416CC">
      <w:pPr>
        <w:spacing w:line="276" w:lineRule="auto"/>
        <w:ind w:firstLine="709"/>
        <w:jc w:val="both"/>
        <w:rPr>
          <w:rFonts w:ascii="Tahoma" w:hAnsi="Tahoma" w:cs="Tahoma"/>
          <w:bCs/>
          <w:spacing w:val="2"/>
          <w:sz w:val="22"/>
          <w:szCs w:val="22"/>
        </w:rPr>
      </w:pPr>
    </w:p>
    <w:p w:rsidR="00811DB8" w:rsidRDefault="00811DB8" w:rsidP="003416CC">
      <w:pPr>
        <w:spacing w:line="276" w:lineRule="auto"/>
        <w:ind w:firstLine="709"/>
        <w:jc w:val="both"/>
        <w:rPr>
          <w:rFonts w:ascii="Tahoma" w:hAnsi="Tahoma" w:cs="Tahoma"/>
          <w:bCs/>
          <w:spacing w:val="2"/>
          <w:sz w:val="22"/>
          <w:szCs w:val="22"/>
        </w:rPr>
      </w:pPr>
    </w:p>
    <w:tbl>
      <w:tblPr>
        <w:tblW w:w="9722" w:type="dxa"/>
        <w:tblCellMar>
          <w:left w:w="70" w:type="dxa"/>
          <w:right w:w="70" w:type="dxa"/>
        </w:tblCellMar>
        <w:tblLook w:val="04A0" w:firstRow="1" w:lastRow="0" w:firstColumn="1" w:lastColumn="0" w:noHBand="0" w:noVBand="1"/>
      </w:tblPr>
      <w:tblGrid>
        <w:gridCol w:w="190"/>
        <w:gridCol w:w="3322"/>
        <w:gridCol w:w="1452"/>
        <w:gridCol w:w="1264"/>
        <w:gridCol w:w="1705"/>
        <w:gridCol w:w="1801"/>
        <w:gridCol w:w="190"/>
      </w:tblGrid>
      <w:tr w:rsidR="003416CC" w:rsidTr="00BF0E22">
        <w:trPr>
          <w:trHeight w:val="315"/>
        </w:trPr>
        <w:tc>
          <w:tcPr>
            <w:tcW w:w="972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3416CC" w:rsidRDefault="003416CC" w:rsidP="00BF0E22">
            <w:pPr>
              <w:jc w:val="center"/>
              <w:rPr>
                <w:rFonts w:ascii="Calibri" w:hAnsi="Calibri"/>
                <w:b/>
                <w:bCs/>
                <w:color w:val="000000"/>
                <w:sz w:val="22"/>
                <w:szCs w:val="22"/>
              </w:rPr>
            </w:pPr>
            <w:r>
              <w:rPr>
                <w:rFonts w:ascii="Calibri" w:hAnsi="Calibri"/>
                <w:b/>
                <w:bCs/>
                <w:color w:val="000000"/>
                <w:sz w:val="22"/>
                <w:szCs w:val="22"/>
              </w:rPr>
              <w:t>INDEXACION MESADA PENSIONAL</w:t>
            </w:r>
          </w:p>
        </w:tc>
      </w:tr>
      <w:tr w:rsidR="003416CC" w:rsidTr="00BF0E22">
        <w:trPr>
          <w:trHeight w:val="315"/>
        </w:trPr>
        <w:tc>
          <w:tcPr>
            <w:tcW w:w="972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SERIES DE EMPALME</w:t>
            </w:r>
          </w:p>
        </w:tc>
      </w:tr>
      <w:tr w:rsidR="003416CC" w:rsidTr="00BF0E22">
        <w:trPr>
          <w:trHeight w:val="315"/>
        </w:trPr>
        <w:tc>
          <w:tcPr>
            <w:tcW w:w="89" w:type="dxa"/>
            <w:tcBorders>
              <w:top w:val="nil"/>
              <w:left w:val="single" w:sz="8" w:space="0" w:color="auto"/>
              <w:bottom w:val="single" w:sz="8" w:space="0" w:color="auto"/>
              <w:right w:val="nil"/>
            </w:tcBorders>
            <w:shd w:val="clear" w:color="auto" w:fill="auto"/>
            <w:noWrap/>
            <w:vAlign w:val="bottom"/>
            <w:hideMark/>
          </w:tcPr>
          <w:p w:rsidR="003416CC" w:rsidRDefault="003416CC" w:rsidP="00BF0E22">
            <w:pPr>
              <w:rPr>
                <w:rFonts w:ascii="Calibri" w:hAnsi="Calibri"/>
                <w:color w:val="000000"/>
                <w:sz w:val="22"/>
                <w:szCs w:val="22"/>
              </w:rPr>
            </w:pPr>
            <w:r>
              <w:rPr>
                <w:rFonts w:ascii="Calibri" w:hAnsi="Calibri"/>
                <w:color w:val="000000"/>
                <w:sz w:val="22"/>
                <w:szCs w:val="22"/>
              </w:rPr>
              <w:t> </w:t>
            </w:r>
          </w:p>
        </w:tc>
        <w:tc>
          <w:tcPr>
            <w:tcW w:w="3322" w:type="dxa"/>
            <w:tcBorders>
              <w:top w:val="nil"/>
              <w:left w:val="nil"/>
              <w:bottom w:val="single" w:sz="8" w:space="0" w:color="auto"/>
              <w:right w:val="nil"/>
            </w:tcBorders>
            <w:shd w:val="clear" w:color="auto" w:fill="auto"/>
            <w:noWrap/>
            <w:vAlign w:val="bottom"/>
            <w:hideMark/>
          </w:tcPr>
          <w:p w:rsidR="003416CC" w:rsidRPr="00F155A1" w:rsidRDefault="003416CC" w:rsidP="00BF0E22">
            <w:pPr>
              <w:jc w:val="center"/>
              <w:rPr>
                <w:rFonts w:ascii="Calibri" w:hAnsi="Calibri"/>
                <w:b/>
                <w:color w:val="000000"/>
                <w:sz w:val="22"/>
                <w:szCs w:val="22"/>
              </w:rPr>
            </w:pPr>
            <w:r w:rsidRPr="00F155A1">
              <w:rPr>
                <w:rFonts w:ascii="Calibri" w:hAnsi="Calibri"/>
                <w:b/>
                <w:color w:val="000000"/>
                <w:sz w:val="22"/>
                <w:szCs w:val="22"/>
              </w:rPr>
              <w:t>VALOR MESADA</w:t>
            </w:r>
          </w:p>
        </w:tc>
        <w:tc>
          <w:tcPr>
            <w:tcW w:w="1452" w:type="dxa"/>
            <w:tcBorders>
              <w:top w:val="nil"/>
              <w:left w:val="nil"/>
              <w:bottom w:val="single" w:sz="8" w:space="0" w:color="auto"/>
              <w:right w:val="nil"/>
            </w:tcBorders>
            <w:shd w:val="clear" w:color="auto" w:fill="auto"/>
            <w:noWrap/>
            <w:vAlign w:val="bottom"/>
            <w:hideMark/>
          </w:tcPr>
          <w:p w:rsidR="003416CC" w:rsidRPr="00F155A1" w:rsidRDefault="003416CC" w:rsidP="00BF0E22">
            <w:pPr>
              <w:jc w:val="center"/>
              <w:rPr>
                <w:rFonts w:ascii="Calibri" w:hAnsi="Calibri"/>
                <w:b/>
                <w:color w:val="000000"/>
                <w:sz w:val="22"/>
                <w:szCs w:val="22"/>
              </w:rPr>
            </w:pPr>
            <w:r w:rsidRPr="00F155A1">
              <w:rPr>
                <w:rFonts w:ascii="Calibri" w:hAnsi="Calibri"/>
                <w:b/>
                <w:color w:val="000000"/>
                <w:sz w:val="22"/>
                <w:szCs w:val="22"/>
              </w:rPr>
              <w:t>IPC INICIAL</w:t>
            </w:r>
          </w:p>
        </w:tc>
        <w:tc>
          <w:tcPr>
            <w:tcW w:w="1264" w:type="dxa"/>
            <w:tcBorders>
              <w:top w:val="nil"/>
              <w:left w:val="nil"/>
              <w:bottom w:val="single" w:sz="8" w:space="0" w:color="auto"/>
              <w:right w:val="nil"/>
            </w:tcBorders>
            <w:shd w:val="clear" w:color="auto" w:fill="auto"/>
            <w:noWrap/>
            <w:vAlign w:val="bottom"/>
            <w:hideMark/>
          </w:tcPr>
          <w:p w:rsidR="003416CC" w:rsidRPr="00F155A1" w:rsidRDefault="003416CC" w:rsidP="00BF0E22">
            <w:pPr>
              <w:jc w:val="center"/>
              <w:rPr>
                <w:rFonts w:ascii="Calibri" w:hAnsi="Calibri"/>
                <w:b/>
                <w:color w:val="000000"/>
                <w:sz w:val="22"/>
                <w:szCs w:val="22"/>
              </w:rPr>
            </w:pPr>
            <w:r w:rsidRPr="00F155A1">
              <w:rPr>
                <w:rFonts w:ascii="Calibri" w:hAnsi="Calibri"/>
                <w:b/>
                <w:color w:val="000000"/>
                <w:sz w:val="22"/>
                <w:szCs w:val="22"/>
              </w:rPr>
              <w:t>IPC FINAL</w:t>
            </w:r>
          </w:p>
        </w:tc>
        <w:tc>
          <w:tcPr>
            <w:tcW w:w="1705" w:type="dxa"/>
            <w:tcBorders>
              <w:top w:val="nil"/>
              <w:left w:val="nil"/>
              <w:bottom w:val="single" w:sz="8" w:space="0" w:color="auto"/>
              <w:right w:val="nil"/>
            </w:tcBorders>
            <w:shd w:val="clear" w:color="auto" w:fill="auto"/>
            <w:noWrap/>
            <w:vAlign w:val="bottom"/>
            <w:hideMark/>
          </w:tcPr>
          <w:p w:rsidR="003416CC" w:rsidRPr="00F155A1" w:rsidRDefault="003416CC" w:rsidP="00BF0E22">
            <w:pPr>
              <w:jc w:val="center"/>
              <w:rPr>
                <w:rFonts w:ascii="Calibri" w:hAnsi="Calibri"/>
                <w:b/>
                <w:color w:val="000000"/>
                <w:sz w:val="22"/>
                <w:szCs w:val="22"/>
              </w:rPr>
            </w:pPr>
            <w:r w:rsidRPr="00F155A1">
              <w:rPr>
                <w:rFonts w:ascii="Calibri" w:hAnsi="Calibri"/>
                <w:b/>
                <w:color w:val="000000"/>
                <w:sz w:val="22"/>
                <w:szCs w:val="22"/>
              </w:rPr>
              <w:t>MESADA</w:t>
            </w:r>
          </w:p>
        </w:tc>
        <w:tc>
          <w:tcPr>
            <w:tcW w:w="1801" w:type="dxa"/>
            <w:tcBorders>
              <w:top w:val="nil"/>
              <w:left w:val="nil"/>
              <w:bottom w:val="single" w:sz="8" w:space="0" w:color="auto"/>
              <w:right w:val="nil"/>
            </w:tcBorders>
            <w:shd w:val="clear" w:color="auto" w:fill="auto"/>
            <w:noWrap/>
            <w:vAlign w:val="bottom"/>
            <w:hideMark/>
          </w:tcPr>
          <w:p w:rsidR="003416CC" w:rsidRPr="00F155A1" w:rsidRDefault="003416CC" w:rsidP="00BF0E22">
            <w:pPr>
              <w:jc w:val="center"/>
              <w:rPr>
                <w:rFonts w:ascii="Calibri" w:hAnsi="Calibri"/>
                <w:b/>
                <w:color w:val="000000"/>
                <w:sz w:val="22"/>
                <w:szCs w:val="22"/>
              </w:rPr>
            </w:pPr>
            <w:r w:rsidRPr="00F155A1">
              <w:rPr>
                <w:rFonts w:ascii="Calibri" w:hAnsi="Calibri"/>
                <w:b/>
                <w:color w:val="000000"/>
                <w:sz w:val="22"/>
                <w:szCs w:val="22"/>
              </w:rPr>
              <w:t>FORMULA</w:t>
            </w:r>
          </w:p>
        </w:tc>
        <w:tc>
          <w:tcPr>
            <w:tcW w:w="89" w:type="dxa"/>
            <w:tcBorders>
              <w:top w:val="nil"/>
              <w:left w:val="nil"/>
              <w:bottom w:val="single" w:sz="8" w:space="0" w:color="auto"/>
              <w:right w:val="single" w:sz="8" w:space="0" w:color="auto"/>
            </w:tcBorders>
            <w:shd w:val="clear" w:color="auto" w:fill="auto"/>
            <w:noWrap/>
            <w:vAlign w:val="bottom"/>
            <w:hideMark/>
          </w:tcPr>
          <w:p w:rsidR="003416CC" w:rsidRDefault="003416CC" w:rsidP="00BF0E22">
            <w:pPr>
              <w:rPr>
                <w:rFonts w:ascii="Calibri" w:hAnsi="Calibri"/>
                <w:color w:val="000000"/>
                <w:sz w:val="22"/>
                <w:szCs w:val="22"/>
              </w:rPr>
            </w:pPr>
            <w:r>
              <w:rPr>
                <w:rFonts w:ascii="Calibri" w:hAnsi="Calibri"/>
                <w:color w:val="000000"/>
                <w:sz w:val="22"/>
                <w:szCs w:val="22"/>
              </w:rPr>
              <w:t> </w:t>
            </w:r>
          </w:p>
        </w:tc>
      </w:tr>
      <w:tr w:rsidR="003416CC" w:rsidTr="00BF0E22">
        <w:trPr>
          <w:trHeight w:val="300"/>
        </w:trPr>
        <w:tc>
          <w:tcPr>
            <w:tcW w:w="89" w:type="dxa"/>
            <w:tcBorders>
              <w:top w:val="nil"/>
              <w:left w:val="single" w:sz="8" w:space="0" w:color="auto"/>
              <w:bottom w:val="nil"/>
              <w:right w:val="nil"/>
            </w:tcBorders>
            <w:shd w:val="clear" w:color="auto" w:fill="auto"/>
            <w:noWrap/>
            <w:vAlign w:val="bottom"/>
            <w:hideMark/>
          </w:tcPr>
          <w:p w:rsidR="003416CC" w:rsidRDefault="003416CC" w:rsidP="00BF0E22">
            <w:pPr>
              <w:rPr>
                <w:rFonts w:ascii="Calibri" w:hAnsi="Calibri"/>
                <w:color w:val="000000"/>
                <w:sz w:val="22"/>
                <w:szCs w:val="22"/>
              </w:rPr>
            </w:pPr>
            <w:r>
              <w:rPr>
                <w:rFonts w:ascii="Calibri" w:hAnsi="Calibri"/>
                <w:color w:val="000000"/>
                <w:sz w:val="22"/>
                <w:szCs w:val="22"/>
              </w:rPr>
              <w:t> </w:t>
            </w:r>
          </w:p>
        </w:tc>
        <w:tc>
          <w:tcPr>
            <w:tcW w:w="3322" w:type="dxa"/>
            <w:tcBorders>
              <w:top w:val="nil"/>
              <w:left w:val="nil"/>
              <w:bottom w:val="nil"/>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2004</w:t>
            </w:r>
          </w:p>
        </w:tc>
        <w:tc>
          <w:tcPr>
            <w:tcW w:w="1452" w:type="dxa"/>
            <w:tcBorders>
              <w:top w:val="nil"/>
              <w:left w:val="nil"/>
              <w:bottom w:val="nil"/>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dic-04</w:t>
            </w:r>
          </w:p>
        </w:tc>
        <w:tc>
          <w:tcPr>
            <w:tcW w:w="1264" w:type="dxa"/>
            <w:tcBorders>
              <w:top w:val="nil"/>
              <w:left w:val="nil"/>
              <w:bottom w:val="nil"/>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dic-09</w:t>
            </w:r>
          </w:p>
        </w:tc>
        <w:tc>
          <w:tcPr>
            <w:tcW w:w="1705" w:type="dxa"/>
            <w:tcBorders>
              <w:top w:val="nil"/>
              <w:left w:val="nil"/>
              <w:bottom w:val="nil"/>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2009</w:t>
            </w:r>
          </w:p>
        </w:tc>
        <w:tc>
          <w:tcPr>
            <w:tcW w:w="1801" w:type="dxa"/>
            <w:tcBorders>
              <w:top w:val="nil"/>
              <w:left w:val="nil"/>
              <w:bottom w:val="nil"/>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VR* IPCF/IPCI</w:t>
            </w:r>
          </w:p>
        </w:tc>
        <w:tc>
          <w:tcPr>
            <w:tcW w:w="89" w:type="dxa"/>
            <w:tcBorders>
              <w:top w:val="nil"/>
              <w:left w:val="nil"/>
              <w:bottom w:val="nil"/>
              <w:right w:val="single" w:sz="8" w:space="0" w:color="auto"/>
            </w:tcBorders>
            <w:shd w:val="clear" w:color="auto" w:fill="auto"/>
            <w:noWrap/>
            <w:vAlign w:val="bottom"/>
            <w:hideMark/>
          </w:tcPr>
          <w:p w:rsidR="003416CC" w:rsidRDefault="003416CC" w:rsidP="00BF0E22">
            <w:pPr>
              <w:rPr>
                <w:rFonts w:ascii="Calibri" w:hAnsi="Calibri"/>
                <w:color w:val="000000"/>
                <w:sz w:val="22"/>
                <w:szCs w:val="22"/>
              </w:rPr>
            </w:pPr>
            <w:r>
              <w:rPr>
                <w:rFonts w:ascii="Calibri" w:hAnsi="Calibri"/>
                <w:color w:val="000000"/>
                <w:sz w:val="22"/>
                <w:szCs w:val="22"/>
              </w:rPr>
              <w:t> </w:t>
            </w:r>
          </w:p>
        </w:tc>
      </w:tr>
      <w:tr w:rsidR="003416CC" w:rsidTr="00BF0E22">
        <w:trPr>
          <w:trHeight w:val="315"/>
        </w:trPr>
        <w:tc>
          <w:tcPr>
            <w:tcW w:w="89" w:type="dxa"/>
            <w:tcBorders>
              <w:top w:val="nil"/>
              <w:left w:val="single" w:sz="8" w:space="0" w:color="auto"/>
              <w:bottom w:val="single" w:sz="8" w:space="0" w:color="auto"/>
              <w:right w:val="nil"/>
            </w:tcBorders>
            <w:shd w:val="clear" w:color="auto" w:fill="auto"/>
            <w:noWrap/>
            <w:vAlign w:val="bottom"/>
            <w:hideMark/>
          </w:tcPr>
          <w:p w:rsidR="003416CC" w:rsidRDefault="003416CC" w:rsidP="00BF0E22">
            <w:pPr>
              <w:rPr>
                <w:rFonts w:ascii="Calibri" w:hAnsi="Calibri"/>
                <w:color w:val="000000"/>
                <w:sz w:val="22"/>
                <w:szCs w:val="22"/>
              </w:rPr>
            </w:pPr>
            <w:r>
              <w:rPr>
                <w:rFonts w:ascii="Calibri" w:hAnsi="Calibri"/>
                <w:color w:val="000000"/>
                <w:sz w:val="22"/>
                <w:szCs w:val="22"/>
              </w:rPr>
              <w:t> </w:t>
            </w:r>
          </w:p>
        </w:tc>
        <w:tc>
          <w:tcPr>
            <w:tcW w:w="3322" w:type="dxa"/>
            <w:tcBorders>
              <w:top w:val="nil"/>
              <w:left w:val="nil"/>
              <w:bottom w:val="single" w:sz="8" w:space="0" w:color="auto"/>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  1.112.711</w:t>
            </w:r>
          </w:p>
        </w:tc>
        <w:tc>
          <w:tcPr>
            <w:tcW w:w="1452" w:type="dxa"/>
            <w:tcBorders>
              <w:top w:val="nil"/>
              <w:left w:val="nil"/>
              <w:bottom w:val="single" w:sz="8" w:space="0" w:color="auto"/>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80,21</w:t>
            </w:r>
          </w:p>
        </w:tc>
        <w:tc>
          <w:tcPr>
            <w:tcW w:w="1264" w:type="dxa"/>
            <w:tcBorders>
              <w:top w:val="nil"/>
              <w:left w:val="nil"/>
              <w:bottom w:val="single" w:sz="8" w:space="0" w:color="auto"/>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100,59</w:t>
            </w:r>
          </w:p>
        </w:tc>
        <w:tc>
          <w:tcPr>
            <w:tcW w:w="1705" w:type="dxa"/>
            <w:tcBorders>
              <w:top w:val="nil"/>
              <w:left w:val="nil"/>
              <w:bottom w:val="single" w:sz="8" w:space="0" w:color="auto"/>
              <w:right w:val="nil"/>
            </w:tcBorders>
            <w:shd w:val="clear" w:color="auto" w:fill="auto"/>
            <w:noWrap/>
            <w:vAlign w:val="bottom"/>
            <w:hideMark/>
          </w:tcPr>
          <w:p w:rsidR="003416CC" w:rsidRDefault="003416CC" w:rsidP="00BF0E22">
            <w:pPr>
              <w:jc w:val="center"/>
              <w:rPr>
                <w:rFonts w:ascii="Calibri" w:hAnsi="Calibri"/>
                <w:color w:val="000000"/>
                <w:sz w:val="22"/>
                <w:szCs w:val="22"/>
              </w:rPr>
            </w:pPr>
            <w:r>
              <w:rPr>
                <w:rFonts w:ascii="Calibri" w:hAnsi="Calibri"/>
                <w:color w:val="000000"/>
                <w:sz w:val="22"/>
                <w:szCs w:val="22"/>
              </w:rPr>
              <w:t>$  1.395.432</w:t>
            </w:r>
          </w:p>
        </w:tc>
        <w:tc>
          <w:tcPr>
            <w:tcW w:w="1801" w:type="dxa"/>
            <w:tcBorders>
              <w:top w:val="nil"/>
              <w:left w:val="nil"/>
              <w:bottom w:val="single" w:sz="8" w:space="0" w:color="auto"/>
              <w:right w:val="nil"/>
            </w:tcBorders>
            <w:shd w:val="clear" w:color="auto" w:fill="auto"/>
            <w:noWrap/>
            <w:vAlign w:val="bottom"/>
            <w:hideMark/>
          </w:tcPr>
          <w:p w:rsidR="003416CC" w:rsidRDefault="003416CC" w:rsidP="00BF0E22">
            <w:pPr>
              <w:jc w:val="center"/>
              <w:rPr>
                <w:rFonts w:ascii="Calibri" w:hAnsi="Calibri"/>
                <w:color w:val="000000"/>
                <w:sz w:val="22"/>
                <w:szCs w:val="22"/>
              </w:rPr>
            </w:pPr>
          </w:p>
        </w:tc>
        <w:tc>
          <w:tcPr>
            <w:tcW w:w="89" w:type="dxa"/>
            <w:tcBorders>
              <w:top w:val="nil"/>
              <w:left w:val="nil"/>
              <w:bottom w:val="single" w:sz="8" w:space="0" w:color="auto"/>
              <w:right w:val="single" w:sz="8" w:space="0" w:color="auto"/>
            </w:tcBorders>
            <w:shd w:val="clear" w:color="auto" w:fill="auto"/>
            <w:noWrap/>
            <w:vAlign w:val="bottom"/>
            <w:hideMark/>
          </w:tcPr>
          <w:p w:rsidR="003416CC" w:rsidRDefault="003416CC" w:rsidP="00BF0E22">
            <w:pPr>
              <w:rPr>
                <w:rFonts w:ascii="Calibri" w:hAnsi="Calibri"/>
                <w:color w:val="000000"/>
                <w:sz w:val="22"/>
                <w:szCs w:val="22"/>
              </w:rPr>
            </w:pPr>
            <w:r>
              <w:rPr>
                <w:rFonts w:ascii="Calibri" w:hAnsi="Calibri"/>
                <w:color w:val="000000"/>
                <w:sz w:val="22"/>
                <w:szCs w:val="22"/>
              </w:rPr>
              <w:t> </w:t>
            </w:r>
          </w:p>
        </w:tc>
      </w:tr>
    </w:tbl>
    <w:p w:rsidR="003416CC" w:rsidRDefault="003416CC" w:rsidP="003416CC">
      <w:pPr>
        <w:spacing w:line="276" w:lineRule="auto"/>
        <w:ind w:firstLine="709"/>
        <w:jc w:val="both"/>
        <w:rPr>
          <w:rFonts w:ascii="Tahoma" w:hAnsi="Tahoma" w:cs="Tahoma"/>
          <w:bCs/>
          <w:spacing w:val="2"/>
          <w:sz w:val="22"/>
          <w:szCs w:val="22"/>
        </w:rPr>
      </w:pPr>
    </w:p>
    <w:p w:rsidR="00811DB8" w:rsidRDefault="00811DB8" w:rsidP="003416CC">
      <w:pPr>
        <w:spacing w:line="276" w:lineRule="auto"/>
        <w:ind w:firstLine="709"/>
        <w:jc w:val="both"/>
        <w:rPr>
          <w:rFonts w:ascii="Tahoma" w:hAnsi="Tahoma" w:cs="Tahoma"/>
          <w:bCs/>
          <w:spacing w:val="2"/>
          <w:sz w:val="22"/>
          <w:szCs w:val="22"/>
        </w:rPr>
      </w:pPr>
    </w:p>
    <w:p w:rsidR="003416CC" w:rsidRDefault="003416CC" w:rsidP="003416CC">
      <w:pPr>
        <w:spacing w:line="276" w:lineRule="auto"/>
        <w:ind w:firstLine="708"/>
        <w:jc w:val="both"/>
        <w:rPr>
          <w:rFonts w:ascii="Tahoma" w:hAnsi="Tahoma" w:cs="Tahoma"/>
          <w:bCs/>
          <w:spacing w:val="2"/>
          <w:sz w:val="22"/>
          <w:szCs w:val="22"/>
        </w:rPr>
      </w:pPr>
    </w:p>
    <w:p w:rsidR="00A64357" w:rsidRDefault="003416CC" w:rsidP="003416CC">
      <w:pPr>
        <w:spacing w:line="276" w:lineRule="auto"/>
        <w:ind w:firstLine="708"/>
        <w:jc w:val="both"/>
        <w:rPr>
          <w:rFonts w:ascii="Tahoma" w:hAnsi="Tahoma" w:cs="Tahoma"/>
          <w:sz w:val="22"/>
          <w:szCs w:val="22"/>
        </w:rPr>
      </w:pPr>
      <w:r>
        <w:rPr>
          <w:rFonts w:ascii="Tahoma" w:hAnsi="Tahoma" w:cs="Tahoma"/>
          <w:bCs/>
          <w:spacing w:val="2"/>
          <w:sz w:val="22"/>
          <w:szCs w:val="22"/>
        </w:rPr>
        <w:t>A partir del 31 de diciembre de 2009 hay lugar a la actualización de la mesada pensional con el incremento anual, actualización que llevada hasta el 3</w:t>
      </w:r>
      <w:r w:rsidR="00A64357">
        <w:rPr>
          <w:rFonts w:ascii="Tahoma" w:hAnsi="Tahoma" w:cs="Tahoma"/>
          <w:bCs/>
          <w:spacing w:val="2"/>
          <w:sz w:val="22"/>
          <w:szCs w:val="22"/>
        </w:rPr>
        <w:t xml:space="preserve">1 de diciembre de 2016, fecha tenida en cuenta por la jueza de instancia, </w:t>
      </w:r>
      <w:r>
        <w:rPr>
          <w:rFonts w:ascii="Tahoma" w:hAnsi="Tahoma" w:cs="Tahoma"/>
          <w:bCs/>
          <w:spacing w:val="2"/>
          <w:sz w:val="22"/>
          <w:szCs w:val="22"/>
        </w:rPr>
        <w:t>arroja un</w:t>
      </w:r>
      <w:r w:rsidR="0013287F">
        <w:rPr>
          <w:rFonts w:ascii="Tahoma" w:hAnsi="Tahoma" w:cs="Tahoma"/>
          <w:bCs/>
          <w:spacing w:val="2"/>
          <w:sz w:val="22"/>
          <w:szCs w:val="22"/>
        </w:rPr>
        <w:t xml:space="preserve">a diferencia a favor del demandante con respecto al valor </w:t>
      </w:r>
      <w:r w:rsidR="007A1A72">
        <w:rPr>
          <w:rFonts w:ascii="Tahoma" w:hAnsi="Tahoma" w:cs="Tahoma"/>
          <w:bCs/>
          <w:spacing w:val="2"/>
          <w:sz w:val="22"/>
          <w:szCs w:val="22"/>
        </w:rPr>
        <w:t>pagado por la entidad demandada de</w:t>
      </w:r>
      <w:r>
        <w:rPr>
          <w:rFonts w:ascii="Tahoma" w:hAnsi="Tahoma" w:cs="Tahoma"/>
          <w:bCs/>
          <w:spacing w:val="2"/>
          <w:sz w:val="22"/>
          <w:szCs w:val="22"/>
        </w:rPr>
        <w:t xml:space="preserve"> </w:t>
      </w:r>
      <w:r w:rsidRPr="00FB33F1">
        <w:rPr>
          <w:rFonts w:ascii="Tahoma" w:hAnsi="Tahoma" w:cs="Tahoma"/>
          <w:b/>
          <w:bCs/>
          <w:spacing w:val="2"/>
          <w:sz w:val="22"/>
          <w:szCs w:val="22"/>
        </w:rPr>
        <w:t xml:space="preserve">$ </w:t>
      </w:r>
      <w:r w:rsidR="00FB33F1" w:rsidRPr="00FB33F1">
        <w:rPr>
          <w:rFonts w:ascii="Tahoma" w:hAnsi="Tahoma" w:cs="Tahoma"/>
          <w:b/>
          <w:bCs/>
          <w:spacing w:val="2"/>
          <w:sz w:val="22"/>
          <w:szCs w:val="22"/>
        </w:rPr>
        <w:t>28.810.499,41</w:t>
      </w:r>
      <w:r>
        <w:rPr>
          <w:rFonts w:ascii="Tahoma" w:hAnsi="Tahoma" w:cs="Tahoma"/>
          <w:sz w:val="22"/>
          <w:szCs w:val="22"/>
        </w:rPr>
        <w:t xml:space="preserve">, </w:t>
      </w:r>
      <w:r w:rsidR="00A64357">
        <w:rPr>
          <w:rFonts w:ascii="Tahoma" w:hAnsi="Tahoma" w:cs="Tahoma"/>
          <w:sz w:val="22"/>
          <w:szCs w:val="22"/>
        </w:rPr>
        <w:t>valor superior al liquidado en el auto recurrido</w:t>
      </w:r>
      <w:r w:rsidR="00FB33F1">
        <w:rPr>
          <w:rFonts w:ascii="Tahoma" w:hAnsi="Tahoma" w:cs="Tahoma"/>
          <w:sz w:val="22"/>
          <w:szCs w:val="22"/>
        </w:rPr>
        <w:t xml:space="preserve"> que lo fue de $27.387.867</w:t>
      </w:r>
      <w:r w:rsidR="00A64357">
        <w:rPr>
          <w:rFonts w:ascii="Tahoma" w:hAnsi="Tahoma" w:cs="Tahoma"/>
          <w:sz w:val="22"/>
          <w:szCs w:val="22"/>
        </w:rPr>
        <w:t>, como se aprecia en la siguiente liquidación:</w:t>
      </w:r>
    </w:p>
    <w:p w:rsidR="00811DB8" w:rsidRDefault="00811DB8" w:rsidP="003416CC">
      <w:pPr>
        <w:spacing w:line="276" w:lineRule="auto"/>
        <w:ind w:firstLine="708"/>
        <w:jc w:val="both"/>
        <w:rPr>
          <w:rFonts w:ascii="Tahoma" w:hAnsi="Tahoma" w:cs="Tahoma"/>
          <w:sz w:val="22"/>
          <w:szCs w:val="22"/>
        </w:rPr>
      </w:pPr>
    </w:p>
    <w:p w:rsidR="00811DB8" w:rsidRDefault="00811DB8" w:rsidP="003416CC">
      <w:pPr>
        <w:spacing w:line="276" w:lineRule="auto"/>
        <w:ind w:firstLine="708"/>
        <w:jc w:val="both"/>
        <w:rPr>
          <w:rFonts w:ascii="Tahoma" w:hAnsi="Tahoma" w:cs="Tahoma"/>
          <w:sz w:val="22"/>
          <w:szCs w:val="22"/>
        </w:rPr>
      </w:pPr>
    </w:p>
    <w:p w:rsidR="003416CC" w:rsidRDefault="003416CC" w:rsidP="003416CC">
      <w:pPr>
        <w:spacing w:line="276" w:lineRule="auto"/>
        <w:ind w:firstLine="708"/>
        <w:jc w:val="both"/>
        <w:rPr>
          <w:rFonts w:ascii="Tahoma" w:hAnsi="Tahoma" w:cs="Tahoma"/>
          <w:sz w:val="22"/>
          <w:szCs w:val="22"/>
        </w:rPr>
      </w:pPr>
      <w:r>
        <w:rPr>
          <w:rFonts w:ascii="Tahoma" w:hAnsi="Tahoma" w:cs="Tahoma"/>
          <w:sz w:val="22"/>
          <w:szCs w:val="22"/>
        </w:rPr>
        <w:t xml:space="preserve"> </w:t>
      </w:r>
    </w:p>
    <w:tbl>
      <w:tblPr>
        <w:tblW w:w="0" w:type="auto"/>
        <w:tblCellMar>
          <w:left w:w="70" w:type="dxa"/>
          <w:right w:w="70" w:type="dxa"/>
        </w:tblCellMar>
        <w:tblLook w:val="04A0" w:firstRow="1" w:lastRow="0" w:firstColumn="1" w:lastColumn="0" w:noHBand="0" w:noVBand="1"/>
      </w:tblPr>
      <w:tblGrid>
        <w:gridCol w:w="505"/>
        <w:gridCol w:w="1361"/>
        <w:gridCol w:w="889"/>
        <w:gridCol w:w="1009"/>
        <w:gridCol w:w="1092"/>
        <w:gridCol w:w="1054"/>
        <w:gridCol w:w="920"/>
        <w:gridCol w:w="1119"/>
        <w:gridCol w:w="666"/>
        <w:gridCol w:w="1055"/>
      </w:tblGrid>
      <w:tr w:rsidR="00FB33F1" w:rsidRPr="00FB33F1" w:rsidTr="00FB33F1">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lastRenderedPageBreak/>
              <w:t> </w:t>
            </w:r>
          </w:p>
        </w:tc>
        <w:tc>
          <w:tcPr>
            <w:tcW w:w="0" w:type="auto"/>
            <w:tcBorders>
              <w:top w:val="single" w:sz="8" w:space="0" w:color="auto"/>
              <w:left w:val="single" w:sz="4" w:space="0" w:color="auto"/>
              <w:bottom w:val="single" w:sz="4" w:space="0" w:color="auto"/>
              <w:right w:val="single" w:sz="4" w:space="0" w:color="808000"/>
            </w:tcBorders>
            <w:shd w:val="clear" w:color="000000" w:fill="FFFFCC"/>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Fecha Liquida:</w:t>
            </w:r>
          </w:p>
        </w:tc>
        <w:tc>
          <w:tcPr>
            <w:tcW w:w="0" w:type="auto"/>
            <w:tcBorders>
              <w:top w:val="single" w:sz="8" w:space="0" w:color="auto"/>
              <w:left w:val="nil"/>
              <w:bottom w:val="single" w:sz="4" w:space="0" w:color="auto"/>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31-dic-16</w:t>
            </w:r>
          </w:p>
        </w:tc>
        <w:tc>
          <w:tcPr>
            <w:tcW w:w="0" w:type="auto"/>
            <w:tcBorders>
              <w:top w:val="single" w:sz="8" w:space="0" w:color="auto"/>
              <w:left w:val="nil"/>
              <w:bottom w:val="single" w:sz="4" w:space="0" w:color="auto"/>
              <w:right w:val="single" w:sz="4" w:space="0" w:color="808000"/>
            </w:tcBorders>
            <w:shd w:val="clear" w:color="000000" w:fill="FFFFCC"/>
            <w:vAlign w:val="center"/>
            <w:hideMark/>
          </w:tcPr>
          <w:p w:rsidR="00FB33F1" w:rsidRPr="00FB33F1" w:rsidRDefault="00FB33F1">
            <w:pPr>
              <w:jc w:val="center"/>
              <w:rPr>
                <w:rFonts w:asciiTheme="minorHAnsi" w:hAnsiTheme="minorHAnsi"/>
                <w:b/>
                <w:bCs/>
                <w:color w:val="000000"/>
                <w:sz w:val="18"/>
                <w:szCs w:val="18"/>
              </w:rPr>
            </w:pPr>
            <w:proofErr w:type="spellStart"/>
            <w:r w:rsidRPr="00FB33F1">
              <w:rPr>
                <w:rFonts w:asciiTheme="minorHAnsi" w:hAnsiTheme="minorHAnsi"/>
                <w:b/>
                <w:bCs/>
                <w:color w:val="000000"/>
                <w:sz w:val="18"/>
                <w:szCs w:val="18"/>
              </w:rPr>
              <w:t>Ipc</w:t>
            </w:r>
            <w:proofErr w:type="spellEnd"/>
            <w:r w:rsidRPr="00FB33F1">
              <w:rPr>
                <w:rFonts w:asciiTheme="minorHAnsi" w:hAnsiTheme="minorHAnsi"/>
                <w:b/>
                <w:bCs/>
                <w:color w:val="000000"/>
                <w:sz w:val="18"/>
                <w:szCs w:val="18"/>
              </w:rPr>
              <w:t xml:space="preserve"> (</w:t>
            </w:r>
            <w:proofErr w:type="spellStart"/>
            <w:r w:rsidRPr="00FB33F1">
              <w:rPr>
                <w:rFonts w:asciiTheme="minorHAnsi" w:hAnsiTheme="minorHAnsi"/>
                <w:b/>
                <w:bCs/>
                <w:color w:val="000000"/>
                <w:sz w:val="18"/>
                <w:szCs w:val="18"/>
              </w:rPr>
              <w:t>Vf</w:t>
            </w:r>
            <w:proofErr w:type="spellEnd"/>
            <w:r w:rsidRPr="00FB33F1">
              <w:rPr>
                <w:rFonts w:asciiTheme="minorHAnsi" w:hAnsiTheme="minorHAnsi"/>
                <w:b/>
                <w:bCs/>
                <w:color w:val="000000"/>
                <w:sz w:val="18"/>
                <w:szCs w:val="18"/>
              </w:rPr>
              <w:t>)</w:t>
            </w:r>
          </w:p>
        </w:tc>
        <w:tc>
          <w:tcPr>
            <w:tcW w:w="0" w:type="auto"/>
            <w:tcBorders>
              <w:top w:val="single" w:sz="8" w:space="0" w:color="auto"/>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133,40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c>
          <w:tcPr>
            <w:tcW w:w="0" w:type="auto"/>
            <w:tcBorders>
              <w:top w:val="single" w:sz="8" w:space="0" w:color="auto"/>
              <w:left w:val="nil"/>
              <w:bottom w:val="nil"/>
              <w:right w:val="single" w:sz="8" w:space="0" w:color="auto"/>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r>
      <w:tr w:rsidR="00FB33F1" w:rsidRPr="00FB33F1" w:rsidTr="00FB33F1">
        <w:trPr>
          <w:trHeight w:val="20"/>
        </w:trPr>
        <w:tc>
          <w:tcPr>
            <w:tcW w:w="0" w:type="auto"/>
            <w:tcBorders>
              <w:top w:val="nil"/>
              <w:left w:val="single" w:sz="8" w:space="0" w:color="auto"/>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jc w:val="right"/>
              <w:rPr>
                <w:rFonts w:asciiTheme="minorHAnsi" w:hAnsiTheme="minorHAnsi"/>
                <w:color w:val="FFFFFF"/>
                <w:sz w:val="18"/>
                <w:szCs w:val="18"/>
              </w:rPr>
            </w:pPr>
            <w:r w:rsidRPr="00FB33F1">
              <w:rPr>
                <w:rFonts w:asciiTheme="minorHAnsi" w:hAnsiTheme="minorHAnsi"/>
                <w:color w:val="FFFFFF"/>
                <w:sz w:val="18"/>
                <w:szCs w:val="18"/>
              </w:rPr>
              <w:t>01/01/2011</w:t>
            </w:r>
          </w:p>
        </w:tc>
        <w:tc>
          <w:tcPr>
            <w:tcW w:w="0" w:type="auto"/>
            <w:tcBorders>
              <w:top w:val="nil"/>
              <w:left w:val="nil"/>
              <w:bottom w:val="nil"/>
              <w:right w:val="nil"/>
            </w:tcBorders>
            <w:shd w:val="clear" w:color="auto" w:fill="auto"/>
            <w:noWrap/>
            <w:vAlign w:val="bottom"/>
            <w:hideMark/>
          </w:tcPr>
          <w:p w:rsidR="00FB33F1" w:rsidRPr="00FB33F1" w:rsidRDefault="00FB33F1">
            <w:pPr>
              <w:jc w:val="right"/>
              <w:rPr>
                <w:rFonts w:asciiTheme="minorHAnsi" w:hAnsiTheme="minorHAnsi"/>
                <w:color w:val="FFFFFF"/>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single" w:sz="8" w:space="0" w:color="auto"/>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r>
      <w:tr w:rsidR="00FB33F1" w:rsidRPr="00FB33F1" w:rsidTr="00FB33F1">
        <w:trPr>
          <w:trHeight w:val="20"/>
        </w:trPr>
        <w:tc>
          <w:tcPr>
            <w:tcW w:w="0" w:type="auto"/>
            <w:tcBorders>
              <w:top w:val="single" w:sz="4" w:space="0" w:color="808000"/>
              <w:left w:val="single" w:sz="8" w:space="0" w:color="auto"/>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Año</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IPC</w:t>
            </w:r>
            <w:r w:rsidRPr="00FB33F1">
              <w:rPr>
                <w:rFonts w:asciiTheme="minorHAnsi" w:hAnsiTheme="minorHAnsi"/>
                <w:b/>
                <w:bCs/>
                <w:sz w:val="18"/>
                <w:szCs w:val="18"/>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Desde</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Hasta</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 xml:space="preserve">Mesada </w:t>
            </w:r>
            <w:proofErr w:type="spellStart"/>
            <w:r w:rsidRPr="00FB33F1">
              <w:rPr>
                <w:rFonts w:asciiTheme="minorHAnsi" w:hAnsiTheme="minorHAnsi"/>
                <w:b/>
                <w:bCs/>
                <w:color w:val="000000"/>
                <w:sz w:val="18"/>
                <w:szCs w:val="18"/>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 xml:space="preserve"> Diferencias a cancelar </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 xml:space="preserve">IPC </w:t>
            </w:r>
            <w:proofErr w:type="spellStart"/>
            <w:r w:rsidRPr="00FB33F1">
              <w:rPr>
                <w:rFonts w:asciiTheme="minorHAnsi" w:hAnsiTheme="minorHAnsi"/>
                <w:b/>
                <w:bCs/>
                <w:color w:val="000000"/>
                <w:sz w:val="18"/>
                <w:szCs w:val="18"/>
              </w:rPr>
              <w:t>Vo</w:t>
            </w:r>
            <w:proofErr w:type="spellEnd"/>
          </w:p>
        </w:tc>
        <w:tc>
          <w:tcPr>
            <w:tcW w:w="0" w:type="auto"/>
            <w:tcBorders>
              <w:top w:val="single" w:sz="4" w:space="0" w:color="808000"/>
              <w:left w:val="nil"/>
              <w:bottom w:val="nil"/>
              <w:right w:val="single" w:sz="8" w:space="0" w:color="auto"/>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Diferencia indexada</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2009</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01-ene-09</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31-dic-09</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0,03</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1.395.432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1.166.558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7.553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102,00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2.325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2010</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01-ene-10</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31-dic-10</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1.423.341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1.189.889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3.268.321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105,24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874.671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2011</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1.468.478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1.227.623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3.371.966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109,16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748.777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2012</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1.523.252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1.273.414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3.497.741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111,82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675.025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2013</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1.560.419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1.304.485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3.583.085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113,98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610.489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2014</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1.590.692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1.329.792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3.652.597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118,15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471.452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2015</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1.648.911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1.378.462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3.786.282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126,15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217.602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2016</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1.760.542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1.471.784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4.042.614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133,40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0 </w:t>
            </w:r>
          </w:p>
        </w:tc>
      </w:tr>
      <w:tr w:rsidR="00FB33F1" w:rsidRPr="00FB33F1" w:rsidTr="00FB33F1">
        <w:trPr>
          <w:trHeight w:val="20"/>
        </w:trPr>
        <w:tc>
          <w:tcPr>
            <w:tcW w:w="0" w:type="auto"/>
            <w:gridSpan w:val="7"/>
            <w:tcBorders>
              <w:top w:val="single" w:sz="8" w:space="0" w:color="auto"/>
              <w:left w:val="single" w:sz="8" w:space="0" w:color="auto"/>
              <w:bottom w:val="nil"/>
              <w:right w:val="single" w:sz="4" w:space="0" w:color="003366"/>
            </w:tcBorders>
            <w:shd w:val="clear" w:color="000000" w:fill="FFFFCC"/>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SUBTOTALES </w:t>
            </w:r>
          </w:p>
        </w:tc>
        <w:tc>
          <w:tcPr>
            <w:tcW w:w="0" w:type="auto"/>
            <w:tcBorders>
              <w:top w:val="single" w:sz="8" w:space="0" w:color="auto"/>
              <w:left w:val="nil"/>
              <w:bottom w:val="nil"/>
              <w:right w:val="nil"/>
            </w:tcBorders>
            <w:shd w:val="clear" w:color="000000" w:fill="FFFF00"/>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25.210.159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tcBorders>
              <w:top w:val="single" w:sz="8" w:space="0" w:color="auto"/>
              <w:left w:val="nil"/>
              <w:bottom w:val="nil"/>
              <w:right w:val="single" w:sz="8" w:space="0" w:color="auto"/>
            </w:tcBorders>
            <w:shd w:val="clear" w:color="000000" w:fill="FFFF00"/>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3.600.341 </w:t>
            </w:r>
          </w:p>
        </w:tc>
      </w:tr>
      <w:tr w:rsidR="00FB33F1" w:rsidRPr="00FB33F1" w:rsidTr="00FB33F1">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gridSpan w:val="4"/>
            <w:tcBorders>
              <w:top w:val="nil"/>
              <w:left w:val="nil"/>
              <w:bottom w:val="single" w:sz="8" w:space="0" w:color="auto"/>
              <w:right w:val="nil"/>
            </w:tcBorders>
            <w:shd w:val="clear" w:color="000000" w:fill="FFFF99"/>
            <w:noWrap/>
            <w:vAlign w:val="center"/>
            <w:hideMark/>
          </w:tcPr>
          <w:p w:rsidR="00FB33F1" w:rsidRPr="00FB33F1" w:rsidRDefault="00FB33F1">
            <w:pPr>
              <w:rPr>
                <w:rFonts w:asciiTheme="minorHAnsi" w:hAnsiTheme="minorHAnsi"/>
                <w:b/>
                <w:bCs/>
                <w:sz w:val="18"/>
                <w:szCs w:val="18"/>
              </w:rPr>
            </w:pPr>
            <w:r w:rsidRPr="00FB33F1">
              <w:rPr>
                <w:rFonts w:asciiTheme="minorHAnsi" w:hAnsiTheme="minorHAnsi"/>
                <w:b/>
                <w:bCs/>
                <w:sz w:val="18"/>
                <w:szCs w:val="18"/>
              </w:rPr>
              <w:t xml:space="preserve"> Valores a cancelar Diferencia </w:t>
            </w:r>
            <w:proofErr w:type="spellStart"/>
            <w:r w:rsidRPr="00FB33F1">
              <w:rPr>
                <w:rFonts w:asciiTheme="minorHAnsi" w:hAnsiTheme="minorHAnsi"/>
                <w:b/>
                <w:bCs/>
                <w:sz w:val="18"/>
                <w:szCs w:val="18"/>
              </w:rPr>
              <w:t>mesada+indexacion</w:t>
            </w:r>
            <w:proofErr w:type="spellEnd"/>
            <w:r w:rsidRPr="00FB33F1">
              <w:rPr>
                <w:rFonts w:asciiTheme="minorHAnsi" w:hAnsiTheme="minorHAnsi"/>
                <w:b/>
                <w:bCs/>
                <w:sz w:val="18"/>
                <w:szCs w:val="18"/>
              </w:rPr>
              <w:t xml:space="preserve"> ===&gt; </w:t>
            </w:r>
          </w:p>
        </w:tc>
        <w:tc>
          <w:tcPr>
            <w:tcW w:w="0" w:type="auto"/>
            <w:tcBorders>
              <w:top w:val="nil"/>
              <w:left w:val="nil"/>
              <w:bottom w:val="single" w:sz="8" w:space="0" w:color="auto"/>
              <w:right w:val="nil"/>
            </w:tcBorders>
            <w:shd w:val="clear" w:color="000000" w:fill="FFFF99"/>
            <w:noWrap/>
            <w:vAlign w:val="center"/>
            <w:hideMark/>
          </w:tcPr>
          <w:p w:rsidR="00FB33F1" w:rsidRPr="00FB33F1" w:rsidRDefault="00FB33F1">
            <w:pPr>
              <w:rPr>
                <w:rFonts w:asciiTheme="minorHAnsi" w:hAnsiTheme="minorHAnsi"/>
                <w:b/>
                <w:bCs/>
                <w:sz w:val="18"/>
                <w:szCs w:val="18"/>
              </w:rPr>
            </w:pPr>
            <w:r w:rsidRPr="00FB33F1">
              <w:rPr>
                <w:rFonts w:asciiTheme="minorHAnsi" w:hAnsiTheme="minorHAnsi"/>
                <w:b/>
                <w:bCs/>
                <w:sz w:val="18"/>
                <w:szCs w:val="18"/>
              </w:rPr>
              <w:t> </w:t>
            </w:r>
          </w:p>
        </w:tc>
        <w:tc>
          <w:tcPr>
            <w:tcW w:w="0" w:type="auto"/>
            <w:tcBorders>
              <w:top w:val="nil"/>
              <w:left w:val="nil"/>
              <w:bottom w:val="single" w:sz="8" w:space="0" w:color="auto"/>
              <w:right w:val="nil"/>
            </w:tcBorders>
            <w:shd w:val="clear" w:color="000000" w:fill="FFFF99"/>
            <w:noWrap/>
            <w:vAlign w:val="center"/>
            <w:hideMark/>
          </w:tcPr>
          <w:p w:rsidR="00FB33F1" w:rsidRPr="00FB33F1" w:rsidRDefault="00FB33F1">
            <w:pPr>
              <w:rPr>
                <w:rFonts w:asciiTheme="minorHAnsi" w:hAnsiTheme="minorHAnsi"/>
                <w:b/>
                <w:bCs/>
                <w:sz w:val="18"/>
                <w:szCs w:val="18"/>
              </w:rPr>
            </w:pPr>
            <w:r w:rsidRPr="00FB33F1">
              <w:rPr>
                <w:rFonts w:asciiTheme="minorHAnsi" w:hAnsiTheme="minorHAnsi"/>
                <w:b/>
                <w:bCs/>
                <w:sz w:val="18"/>
                <w:szCs w:val="18"/>
              </w:rPr>
              <w:t> </w:t>
            </w:r>
          </w:p>
        </w:tc>
        <w:tc>
          <w:tcPr>
            <w:tcW w:w="0" w:type="auto"/>
            <w:gridSpan w:val="3"/>
            <w:tcBorders>
              <w:top w:val="nil"/>
              <w:left w:val="nil"/>
              <w:bottom w:val="single" w:sz="8" w:space="0" w:color="auto"/>
              <w:right w:val="single" w:sz="8" w:space="0" w:color="000000"/>
            </w:tcBorders>
            <w:shd w:val="clear" w:color="000000" w:fill="FFFF99"/>
            <w:noWrap/>
            <w:vAlign w:val="center"/>
            <w:hideMark/>
          </w:tcPr>
          <w:p w:rsidR="00FB33F1" w:rsidRPr="00FB33F1" w:rsidRDefault="00FB33F1">
            <w:pPr>
              <w:jc w:val="center"/>
              <w:rPr>
                <w:rFonts w:asciiTheme="minorHAnsi" w:hAnsiTheme="minorHAnsi"/>
                <w:b/>
                <w:bCs/>
                <w:sz w:val="18"/>
                <w:szCs w:val="18"/>
              </w:rPr>
            </w:pPr>
            <w:r w:rsidRPr="00FB33F1">
              <w:rPr>
                <w:rFonts w:asciiTheme="minorHAnsi" w:hAnsiTheme="minorHAnsi"/>
                <w:b/>
                <w:bCs/>
                <w:sz w:val="18"/>
                <w:szCs w:val="18"/>
              </w:rPr>
              <w:t xml:space="preserve"> $                         28.810.499,41 </w:t>
            </w:r>
          </w:p>
        </w:tc>
      </w:tr>
    </w:tbl>
    <w:p w:rsidR="003416CC" w:rsidRDefault="003416CC" w:rsidP="003416CC">
      <w:pPr>
        <w:spacing w:line="276" w:lineRule="auto"/>
        <w:ind w:firstLine="709"/>
        <w:jc w:val="both"/>
        <w:rPr>
          <w:rFonts w:ascii="Tahoma" w:hAnsi="Tahoma" w:cs="Tahoma"/>
          <w:bCs/>
          <w:spacing w:val="2"/>
          <w:sz w:val="22"/>
          <w:szCs w:val="22"/>
        </w:rPr>
      </w:pPr>
    </w:p>
    <w:p w:rsidR="00FB33F1" w:rsidRDefault="00FB33F1" w:rsidP="0069710D">
      <w:pPr>
        <w:widowControl w:val="0"/>
        <w:autoSpaceDE w:val="0"/>
        <w:autoSpaceDN w:val="0"/>
        <w:adjustRightInd w:val="0"/>
        <w:spacing w:line="276" w:lineRule="auto"/>
        <w:ind w:firstLine="1080"/>
        <w:jc w:val="both"/>
        <w:rPr>
          <w:rFonts w:ascii="Tahoma" w:hAnsi="Tahoma" w:cs="Tahoma"/>
          <w:sz w:val="22"/>
          <w:szCs w:val="22"/>
        </w:rPr>
      </w:pPr>
    </w:p>
    <w:p w:rsidR="00D159DB" w:rsidRDefault="00D159DB"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Así las cosas, hay lugar a modificar el auto apelado pero a efectos de acelerar el cumplimiento de la sentencia ejecutada, se considera conveniente actualizar la obligación hasta el 30 de junio de este año, la cual arroja la suma de </w:t>
      </w:r>
      <w:r w:rsidR="00FB33F1" w:rsidRPr="00FB33F1">
        <w:rPr>
          <w:rFonts w:ascii="Tahoma" w:hAnsi="Tahoma" w:cs="Tahoma"/>
          <w:b/>
          <w:sz w:val="22"/>
          <w:szCs w:val="22"/>
        </w:rPr>
        <w:t>$31.968.640,51</w:t>
      </w:r>
      <w:r w:rsidR="00FB33F1">
        <w:rPr>
          <w:rFonts w:ascii="Tahoma" w:hAnsi="Tahoma" w:cs="Tahoma"/>
          <w:sz w:val="22"/>
          <w:szCs w:val="22"/>
        </w:rPr>
        <w:t xml:space="preserve"> </w:t>
      </w:r>
      <w:r w:rsidR="00065EE8">
        <w:rPr>
          <w:rFonts w:ascii="Tahoma" w:hAnsi="Tahoma" w:cs="Tahoma"/>
          <w:sz w:val="22"/>
          <w:szCs w:val="22"/>
        </w:rPr>
        <w:t xml:space="preserve">(como se aprecia en el cuadro siguiente) </w:t>
      </w:r>
      <w:r>
        <w:rPr>
          <w:rFonts w:ascii="Tahoma" w:hAnsi="Tahoma" w:cs="Tahoma"/>
          <w:sz w:val="22"/>
          <w:szCs w:val="22"/>
        </w:rPr>
        <w:t>más la que se siga causando a partir del 1º de julio en adelante hasta el pago total de la obligación.</w:t>
      </w:r>
    </w:p>
    <w:p w:rsidR="00065EE8" w:rsidRDefault="00065EE8" w:rsidP="0069710D">
      <w:pPr>
        <w:widowControl w:val="0"/>
        <w:autoSpaceDE w:val="0"/>
        <w:autoSpaceDN w:val="0"/>
        <w:adjustRightInd w:val="0"/>
        <w:spacing w:line="276" w:lineRule="auto"/>
        <w:ind w:firstLine="1080"/>
        <w:jc w:val="both"/>
        <w:rPr>
          <w:rFonts w:ascii="Tahoma" w:hAnsi="Tahoma" w:cs="Tahoma"/>
          <w:sz w:val="22"/>
          <w:szCs w:val="22"/>
        </w:rPr>
      </w:pPr>
    </w:p>
    <w:p w:rsidR="006B3242" w:rsidRDefault="00690BF7"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  </w:t>
      </w:r>
    </w:p>
    <w:tbl>
      <w:tblPr>
        <w:tblW w:w="0" w:type="auto"/>
        <w:tblCellMar>
          <w:left w:w="70" w:type="dxa"/>
          <w:right w:w="70" w:type="dxa"/>
        </w:tblCellMar>
        <w:tblLook w:val="04A0" w:firstRow="1" w:lastRow="0" w:firstColumn="1" w:lastColumn="0" w:noHBand="0" w:noVBand="1"/>
      </w:tblPr>
      <w:tblGrid>
        <w:gridCol w:w="505"/>
        <w:gridCol w:w="1361"/>
        <w:gridCol w:w="889"/>
        <w:gridCol w:w="1009"/>
        <w:gridCol w:w="1092"/>
        <w:gridCol w:w="1054"/>
        <w:gridCol w:w="920"/>
        <w:gridCol w:w="1119"/>
        <w:gridCol w:w="666"/>
        <w:gridCol w:w="1055"/>
      </w:tblGrid>
      <w:tr w:rsidR="00FB33F1" w:rsidRPr="00FB33F1" w:rsidTr="00FB33F1">
        <w:trPr>
          <w:trHeight w:val="20"/>
        </w:trPr>
        <w:tc>
          <w:tcPr>
            <w:tcW w:w="0" w:type="auto"/>
            <w:tcBorders>
              <w:top w:val="single" w:sz="8" w:space="0" w:color="auto"/>
              <w:left w:val="single" w:sz="8" w:space="0" w:color="auto"/>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tcBorders>
              <w:top w:val="single" w:sz="8" w:space="0" w:color="auto"/>
              <w:left w:val="single" w:sz="4" w:space="0" w:color="auto"/>
              <w:bottom w:val="single" w:sz="4" w:space="0" w:color="auto"/>
              <w:right w:val="single" w:sz="4" w:space="0" w:color="808000"/>
            </w:tcBorders>
            <w:shd w:val="clear" w:color="000000" w:fill="FFFFCC"/>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Fecha Liquida:</w:t>
            </w:r>
          </w:p>
        </w:tc>
        <w:tc>
          <w:tcPr>
            <w:tcW w:w="0" w:type="auto"/>
            <w:tcBorders>
              <w:top w:val="single" w:sz="8" w:space="0" w:color="auto"/>
              <w:left w:val="nil"/>
              <w:bottom w:val="single" w:sz="4" w:space="0" w:color="auto"/>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30-jun-17</w:t>
            </w:r>
          </w:p>
        </w:tc>
        <w:tc>
          <w:tcPr>
            <w:tcW w:w="0" w:type="auto"/>
            <w:tcBorders>
              <w:top w:val="single" w:sz="8" w:space="0" w:color="auto"/>
              <w:left w:val="nil"/>
              <w:bottom w:val="single" w:sz="4" w:space="0" w:color="auto"/>
              <w:right w:val="single" w:sz="4" w:space="0" w:color="808000"/>
            </w:tcBorders>
            <w:shd w:val="clear" w:color="000000" w:fill="FFFFCC"/>
            <w:vAlign w:val="center"/>
            <w:hideMark/>
          </w:tcPr>
          <w:p w:rsidR="00FB33F1" w:rsidRPr="00FB33F1" w:rsidRDefault="00FB33F1">
            <w:pPr>
              <w:jc w:val="center"/>
              <w:rPr>
                <w:rFonts w:asciiTheme="minorHAnsi" w:hAnsiTheme="minorHAnsi"/>
                <w:b/>
                <w:bCs/>
                <w:color w:val="000000"/>
                <w:sz w:val="18"/>
                <w:szCs w:val="18"/>
              </w:rPr>
            </w:pPr>
            <w:proofErr w:type="spellStart"/>
            <w:r w:rsidRPr="00FB33F1">
              <w:rPr>
                <w:rFonts w:asciiTheme="minorHAnsi" w:hAnsiTheme="minorHAnsi"/>
                <w:b/>
                <w:bCs/>
                <w:color w:val="000000"/>
                <w:sz w:val="18"/>
                <w:szCs w:val="18"/>
              </w:rPr>
              <w:t>Ipc</w:t>
            </w:r>
            <w:proofErr w:type="spellEnd"/>
            <w:r w:rsidRPr="00FB33F1">
              <w:rPr>
                <w:rFonts w:asciiTheme="minorHAnsi" w:hAnsiTheme="minorHAnsi"/>
                <w:b/>
                <w:bCs/>
                <w:color w:val="000000"/>
                <w:sz w:val="18"/>
                <w:szCs w:val="18"/>
              </w:rPr>
              <w:t xml:space="preserve"> (</w:t>
            </w:r>
            <w:proofErr w:type="spellStart"/>
            <w:r w:rsidRPr="00FB33F1">
              <w:rPr>
                <w:rFonts w:asciiTheme="minorHAnsi" w:hAnsiTheme="minorHAnsi"/>
                <w:b/>
                <w:bCs/>
                <w:color w:val="000000"/>
                <w:sz w:val="18"/>
                <w:szCs w:val="18"/>
              </w:rPr>
              <w:t>Vf</w:t>
            </w:r>
            <w:proofErr w:type="spellEnd"/>
            <w:r w:rsidRPr="00FB33F1">
              <w:rPr>
                <w:rFonts w:asciiTheme="minorHAnsi" w:hAnsiTheme="minorHAnsi"/>
                <w:b/>
                <w:bCs/>
                <w:color w:val="000000"/>
                <w:sz w:val="18"/>
                <w:szCs w:val="18"/>
              </w:rPr>
              <w:t>)</w:t>
            </w:r>
          </w:p>
        </w:tc>
        <w:tc>
          <w:tcPr>
            <w:tcW w:w="0" w:type="auto"/>
            <w:tcBorders>
              <w:top w:val="single" w:sz="8" w:space="0" w:color="auto"/>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137,87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c>
          <w:tcPr>
            <w:tcW w:w="0" w:type="auto"/>
            <w:tcBorders>
              <w:top w:val="single" w:sz="8" w:space="0" w:color="auto"/>
              <w:left w:val="nil"/>
              <w:bottom w:val="nil"/>
              <w:right w:val="single" w:sz="8" w:space="0" w:color="auto"/>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r>
      <w:tr w:rsidR="00FB33F1" w:rsidRPr="00FB33F1" w:rsidTr="00FB33F1">
        <w:trPr>
          <w:trHeight w:val="20"/>
        </w:trPr>
        <w:tc>
          <w:tcPr>
            <w:tcW w:w="0" w:type="auto"/>
            <w:tcBorders>
              <w:top w:val="nil"/>
              <w:left w:val="single" w:sz="8" w:space="0" w:color="auto"/>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jc w:val="right"/>
              <w:rPr>
                <w:rFonts w:asciiTheme="minorHAnsi" w:hAnsiTheme="minorHAnsi"/>
                <w:color w:val="FFFFFF"/>
                <w:sz w:val="18"/>
                <w:szCs w:val="18"/>
              </w:rPr>
            </w:pPr>
            <w:r w:rsidRPr="00FB33F1">
              <w:rPr>
                <w:rFonts w:asciiTheme="minorHAnsi" w:hAnsiTheme="minorHAnsi"/>
                <w:color w:val="FFFFFF"/>
                <w:sz w:val="18"/>
                <w:szCs w:val="18"/>
              </w:rPr>
              <w:t>01/01/2011</w:t>
            </w:r>
          </w:p>
        </w:tc>
        <w:tc>
          <w:tcPr>
            <w:tcW w:w="0" w:type="auto"/>
            <w:tcBorders>
              <w:top w:val="nil"/>
              <w:left w:val="nil"/>
              <w:bottom w:val="nil"/>
              <w:right w:val="nil"/>
            </w:tcBorders>
            <w:shd w:val="clear" w:color="auto" w:fill="auto"/>
            <w:noWrap/>
            <w:vAlign w:val="bottom"/>
            <w:hideMark/>
          </w:tcPr>
          <w:p w:rsidR="00FB33F1" w:rsidRPr="00FB33F1" w:rsidRDefault="00FB33F1">
            <w:pPr>
              <w:jc w:val="right"/>
              <w:rPr>
                <w:rFonts w:asciiTheme="minorHAnsi" w:hAnsiTheme="minorHAnsi"/>
                <w:color w:val="FFFFFF"/>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nil"/>
            </w:tcBorders>
            <w:shd w:val="clear" w:color="auto" w:fill="auto"/>
            <w:noWrap/>
            <w:vAlign w:val="bottom"/>
            <w:hideMark/>
          </w:tcPr>
          <w:p w:rsidR="00FB33F1" w:rsidRPr="00FB33F1" w:rsidRDefault="00FB33F1">
            <w:pPr>
              <w:rPr>
                <w:rFonts w:asciiTheme="minorHAnsi" w:hAnsiTheme="minorHAnsi"/>
                <w:sz w:val="18"/>
                <w:szCs w:val="18"/>
              </w:rPr>
            </w:pPr>
          </w:p>
        </w:tc>
        <w:tc>
          <w:tcPr>
            <w:tcW w:w="0" w:type="auto"/>
            <w:tcBorders>
              <w:top w:val="nil"/>
              <w:left w:val="nil"/>
              <w:bottom w:val="nil"/>
              <w:right w:val="single" w:sz="8" w:space="0" w:color="auto"/>
            </w:tcBorders>
            <w:shd w:val="clear" w:color="auto" w:fill="auto"/>
            <w:noWrap/>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w:t>
            </w:r>
          </w:p>
        </w:tc>
      </w:tr>
      <w:tr w:rsidR="00FB33F1" w:rsidRPr="00FB33F1" w:rsidTr="00FB33F1">
        <w:trPr>
          <w:trHeight w:val="20"/>
        </w:trPr>
        <w:tc>
          <w:tcPr>
            <w:tcW w:w="0" w:type="auto"/>
            <w:tcBorders>
              <w:top w:val="single" w:sz="4" w:space="0" w:color="808000"/>
              <w:left w:val="single" w:sz="8" w:space="0" w:color="auto"/>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Año</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IPC</w:t>
            </w:r>
            <w:r w:rsidRPr="00FB33F1">
              <w:rPr>
                <w:rFonts w:asciiTheme="minorHAnsi" w:hAnsiTheme="minorHAnsi"/>
                <w:b/>
                <w:bCs/>
                <w:sz w:val="18"/>
                <w:szCs w:val="18"/>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Desde</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Hasta</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 xml:space="preserve">Mesada </w:t>
            </w:r>
            <w:proofErr w:type="spellStart"/>
            <w:r w:rsidRPr="00FB33F1">
              <w:rPr>
                <w:rFonts w:asciiTheme="minorHAnsi" w:hAnsiTheme="minorHAnsi"/>
                <w:b/>
                <w:bCs/>
                <w:color w:val="000000"/>
                <w:sz w:val="18"/>
                <w:szCs w:val="18"/>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 xml:space="preserve"> Diferencias a cancelar </w:t>
            </w:r>
          </w:p>
        </w:tc>
        <w:tc>
          <w:tcPr>
            <w:tcW w:w="0" w:type="auto"/>
            <w:tcBorders>
              <w:top w:val="single" w:sz="4" w:space="0" w:color="808000"/>
              <w:left w:val="nil"/>
              <w:bottom w:val="nil"/>
              <w:right w:val="single" w:sz="4" w:space="0" w:color="808000"/>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 xml:space="preserve">IPC </w:t>
            </w:r>
            <w:proofErr w:type="spellStart"/>
            <w:r w:rsidRPr="00FB33F1">
              <w:rPr>
                <w:rFonts w:asciiTheme="minorHAnsi" w:hAnsiTheme="minorHAnsi"/>
                <w:b/>
                <w:bCs/>
                <w:color w:val="000000"/>
                <w:sz w:val="18"/>
                <w:szCs w:val="18"/>
              </w:rPr>
              <w:t>Vo</w:t>
            </w:r>
            <w:proofErr w:type="spellEnd"/>
          </w:p>
        </w:tc>
        <w:tc>
          <w:tcPr>
            <w:tcW w:w="0" w:type="auto"/>
            <w:tcBorders>
              <w:top w:val="single" w:sz="4" w:space="0" w:color="808000"/>
              <w:left w:val="nil"/>
              <w:bottom w:val="nil"/>
              <w:right w:val="single" w:sz="8" w:space="0" w:color="auto"/>
            </w:tcBorders>
            <w:shd w:val="clear" w:color="000000" w:fill="FFFF99"/>
            <w:vAlign w:val="center"/>
            <w:hideMark/>
          </w:tcPr>
          <w:p w:rsidR="00FB33F1" w:rsidRPr="00FB33F1" w:rsidRDefault="00FB33F1">
            <w:pPr>
              <w:jc w:val="center"/>
              <w:rPr>
                <w:rFonts w:asciiTheme="minorHAnsi" w:hAnsiTheme="minorHAnsi"/>
                <w:b/>
                <w:bCs/>
                <w:color w:val="000000"/>
                <w:sz w:val="18"/>
                <w:szCs w:val="18"/>
              </w:rPr>
            </w:pPr>
            <w:r w:rsidRPr="00FB33F1">
              <w:rPr>
                <w:rFonts w:asciiTheme="minorHAnsi" w:hAnsiTheme="minorHAnsi"/>
                <w:b/>
                <w:bCs/>
                <w:color w:val="000000"/>
                <w:sz w:val="18"/>
                <w:szCs w:val="18"/>
              </w:rPr>
              <w:t>Diferencia indexada</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2009</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01-ene-09</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31-dic-09</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0,03</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1.395.432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1.166.558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7.553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102,00 </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FB33F1" w:rsidRPr="00FB33F1" w:rsidRDefault="00FB33F1">
            <w:pPr>
              <w:jc w:val="right"/>
              <w:rPr>
                <w:rFonts w:asciiTheme="minorHAnsi" w:hAnsiTheme="minorHAnsi"/>
                <w:sz w:val="18"/>
                <w:szCs w:val="18"/>
              </w:rPr>
            </w:pPr>
            <w:r w:rsidRPr="00FB33F1">
              <w:rPr>
                <w:rFonts w:asciiTheme="minorHAnsi" w:hAnsiTheme="minorHAnsi"/>
                <w:sz w:val="18"/>
                <w:szCs w:val="18"/>
              </w:rPr>
              <w:t xml:space="preserve">           2.656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2010</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01-ene-10</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31-dic-10</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1.423.341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1.189.889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3.268.321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105,24 </w:t>
            </w:r>
          </w:p>
        </w:tc>
        <w:tc>
          <w:tcPr>
            <w:tcW w:w="0" w:type="auto"/>
            <w:tcBorders>
              <w:top w:val="single" w:sz="4" w:space="0" w:color="808000"/>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1.050.645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2011</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1.468.478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1.227.623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3.371.966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109,16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936.502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2012</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1.523.252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1.273.414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3.509.933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111,82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838.962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2013</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1.560.419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1.304.485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3.583.085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113,98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768.600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2014</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1.590.692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1.329.792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3.652.597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118,15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656.855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2015</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1.648.911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1.378.462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3.786.282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126,15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465.913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2016</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14,00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1.760.542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1.471.784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4.042.614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133,40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181.637 </w:t>
            </w:r>
          </w:p>
        </w:tc>
      </w:tr>
      <w:tr w:rsidR="00FB33F1" w:rsidRPr="00FB33F1" w:rsidTr="00FB33F1">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2017</w:t>
            </w:r>
          </w:p>
        </w:tc>
        <w:tc>
          <w:tcPr>
            <w:tcW w:w="0" w:type="auto"/>
            <w:tcBorders>
              <w:top w:val="nil"/>
              <w:left w:val="nil"/>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FB33F1" w:rsidRPr="00FB33F1" w:rsidRDefault="00FB33F1">
            <w:pPr>
              <w:jc w:val="right"/>
              <w:rPr>
                <w:rFonts w:asciiTheme="minorHAnsi" w:hAnsiTheme="minorHAnsi"/>
                <w:color w:val="000000"/>
                <w:sz w:val="18"/>
                <w:szCs w:val="18"/>
              </w:rPr>
            </w:pPr>
            <w:r w:rsidRPr="00FB33F1">
              <w:rPr>
                <w:rFonts w:asciiTheme="minorHAnsi" w:hAnsiTheme="minorHAnsi"/>
                <w:color w:val="000000"/>
                <w:sz w:val="18"/>
                <w:szCs w:val="18"/>
              </w:rPr>
              <w:t>30-jun-17</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7,00</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1.861.773 </w:t>
            </w:r>
          </w:p>
        </w:tc>
        <w:tc>
          <w:tcPr>
            <w:tcW w:w="0" w:type="auto"/>
            <w:tcBorders>
              <w:top w:val="nil"/>
              <w:left w:val="nil"/>
              <w:bottom w:val="single" w:sz="4" w:space="0" w:color="003366"/>
              <w:right w:val="single" w:sz="4" w:space="0" w:color="003366"/>
            </w:tcBorders>
            <w:shd w:val="clear" w:color="000000" w:fill="FFFFCC"/>
            <w:vAlign w:val="bottom"/>
            <w:hideMark/>
          </w:tcPr>
          <w:p w:rsidR="00FB33F1" w:rsidRPr="00FB33F1" w:rsidRDefault="00FB33F1">
            <w:pPr>
              <w:rPr>
                <w:rFonts w:asciiTheme="minorHAnsi" w:hAnsiTheme="minorHAnsi"/>
                <w:sz w:val="18"/>
                <w:szCs w:val="18"/>
              </w:rPr>
            </w:pPr>
            <w:r w:rsidRPr="00FB33F1">
              <w:rPr>
                <w:rFonts w:asciiTheme="minorHAnsi" w:hAnsiTheme="minorHAnsi"/>
                <w:sz w:val="18"/>
                <w:szCs w:val="18"/>
              </w:rPr>
              <w:t xml:space="preserve">          1.556.412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1.832.170 </w:t>
            </w:r>
          </w:p>
        </w:tc>
        <w:tc>
          <w:tcPr>
            <w:tcW w:w="0" w:type="auto"/>
            <w:tcBorders>
              <w:top w:val="nil"/>
              <w:left w:val="nil"/>
              <w:bottom w:val="nil"/>
              <w:right w:val="nil"/>
            </w:tcBorders>
            <w:shd w:val="clear" w:color="FFFFFF" w:fill="33CCCC"/>
            <w:vAlign w:val="center"/>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137,87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12.349 </w:t>
            </w:r>
          </w:p>
        </w:tc>
      </w:tr>
      <w:tr w:rsidR="00FB33F1" w:rsidRPr="00FB33F1" w:rsidTr="00FB33F1">
        <w:trPr>
          <w:trHeight w:val="20"/>
        </w:trPr>
        <w:tc>
          <w:tcPr>
            <w:tcW w:w="0" w:type="auto"/>
            <w:gridSpan w:val="7"/>
            <w:tcBorders>
              <w:top w:val="single" w:sz="8" w:space="0" w:color="auto"/>
              <w:left w:val="single" w:sz="8" w:space="0" w:color="auto"/>
              <w:bottom w:val="nil"/>
              <w:right w:val="single" w:sz="4" w:space="0" w:color="003366"/>
            </w:tcBorders>
            <w:shd w:val="clear" w:color="000000" w:fill="FFFFCC"/>
            <w:vAlign w:val="bottom"/>
            <w:hideMark/>
          </w:tcPr>
          <w:p w:rsidR="00FB33F1" w:rsidRPr="00FB33F1" w:rsidRDefault="00FB33F1">
            <w:pPr>
              <w:jc w:val="center"/>
              <w:rPr>
                <w:rFonts w:asciiTheme="minorHAnsi" w:hAnsiTheme="minorHAnsi"/>
                <w:sz w:val="18"/>
                <w:szCs w:val="18"/>
              </w:rPr>
            </w:pPr>
            <w:r w:rsidRPr="00FB33F1">
              <w:rPr>
                <w:rFonts w:asciiTheme="minorHAnsi" w:hAnsiTheme="minorHAnsi"/>
                <w:sz w:val="18"/>
                <w:szCs w:val="18"/>
              </w:rPr>
              <w:t xml:space="preserve"> SUBTOTALES </w:t>
            </w:r>
          </w:p>
        </w:tc>
        <w:tc>
          <w:tcPr>
            <w:tcW w:w="0" w:type="auto"/>
            <w:tcBorders>
              <w:top w:val="single" w:sz="8" w:space="0" w:color="auto"/>
              <w:left w:val="nil"/>
              <w:bottom w:val="nil"/>
              <w:right w:val="nil"/>
            </w:tcBorders>
            <w:shd w:val="clear" w:color="000000" w:fill="FFFF00"/>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27.054.521 </w:t>
            </w:r>
          </w:p>
        </w:tc>
        <w:tc>
          <w:tcPr>
            <w:tcW w:w="0" w:type="auto"/>
            <w:tcBorders>
              <w:top w:val="single" w:sz="8" w:space="0" w:color="auto"/>
              <w:left w:val="nil"/>
              <w:bottom w:val="nil"/>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tcBorders>
              <w:top w:val="single" w:sz="8" w:space="0" w:color="auto"/>
              <w:left w:val="nil"/>
              <w:bottom w:val="nil"/>
              <w:right w:val="single" w:sz="8" w:space="0" w:color="auto"/>
            </w:tcBorders>
            <w:shd w:val="clear" w:color="000000" w:fill="FFFF00"/>
            <w:noWrap/>
            <w:vAlign w:val="center"/>
            <w:hideMark/>
          </w:tcPr>
          <w:p w:rsidR="00FB33F1" w:rsidRPr="00FB33F1" w:rsidRDefault="00FB33F1">
            <w:pPr>
              <w:rPr>
                <w:rFonts w:asciiTheme="minorHAnsi" w:hAnsiTheme="minorHAnsi"/>
                <w:color w:val="000000"/>
                <w:sz w:val="18"/>
                <w:szCs w:val="18"/>
              </w:rPr>
            </w:pPr>
            <w:r w:rsidRPr="00FB33F1">
              <w:rPr>
                <w:rFonts w:asciiTheme="minorHAnsi" w:hAnsiTheme="minorHAnsi"/>
                <w:color w:val="000000"/>
                <w:sz w:val="18"/>
                <w:szCs w:val="18"/>
              </w:rPr>
              <w:t xml:space="preserve">   4.914.119 </w:t>
            </w:r>
          </w:p>
        </w:tc>
      </w:tr>
      <w:tr w:rsidR="00FB33F1" w:rsidRPr="00FB33F1" w:rsidTr="00FB33F1">
        <w:trPr>
          <w:trHeight w:val="20"/>
        </w:trPr>
        <w:tc>
          <w:tcPr>
            <w:tcW w:w="0" w:type="auto"/>
            <w:tcBorders>
              <w:top w:val="nil"/>
              <w:left w:val="single" w:sz="8" w:space="0" w:color="auto"/>
              <w:bottom w:val="single" w:sz="8" w:space="0" w:color="auto"/>
              <w:right w:val="nil"/>
            </w:tcBorders>
            <w:shd w:val="clear" w:color="auto" w:fill="auto"/>
            <w:noWrap/>
            <w:vAlign w:val="bottom"/>
            <w:hideMark/>
          </w:tcPr>
          <w:p w:rsidR="00FB33F1" w:rsidRPr="00FB33F1" w:rsidRDefault="00FB33F1">
            <w:pPr>
              <w:rPr>
                <w:rFonts w:asciiTheme="minorHAnsi" w:hAnsiTheme="minorHAnsi"/>
                <w:i/>
                <w:iCs/>
                <w:color w:val="000000"/>
                <w:sz w:val="18"/>
                <w:szCs w:val="18"/>
              </w:rPr>
            </w:pPr>
            <w:r w:rsidRPr="00FB33F1">
              <w:rPr>
                <w:rFonts w:asciiTheme="minorHAnsi" w:hAnsiTheme="minorHAnsi"/>
                <w:i/>
                <w:iCs/>
                <w:color w:val="000000"/>
                <w:sz w:val="18"/>
                <w:szCs w:val="18"/>
              </w:rPr>
              <w:t> </w:t>
            </w:r>
          </w:p>
        </w:tc>
        <w:tc>
          <w:tcPr>
            <w:tcW w:w="0" w:type="auto"/>
            <w:gridSpan w:val="4"/>
            <w:tcBorders>
              <w:top w:val="nil"/>
              <w:left w:val="nil"/>
              <w:bottom w:val="single" w:sz="8" w:space="0" w:color="auto"/>
              <w:right w:val="nil"/>
            </w:tcBorders>
            <w:shd w:val="clear" w:color="000000" w:fill="FFFF99"/>
            <w:noWrap/>
            <w:vAlign w:val="center"/>
            <w:hideMark/>
          </w:tcPr>
          <w:p w:rsidR="00FB33F1" w:rsidRPr="00FB33F1" w:rsidRDefault="00FB33F1">
            <w:pPr>
              <w:rPr>
                <w:rFonts w:asciiTheme="minorHAnsi" w:hAnsiTheme="minorHAnsi"/>
                <w:b/>
                <w:bCs/>
                <w:sz w:val="18"/>
                <w:szCs w:val="18"/>
              </w:rPr>
            </w:pPr>
            <w:r w:rsidRPr="00FB33F1">
              <w:rPr>
                <w:rFonts w:asciiTheme="minorHAnsi" w:hAnsiTheme="minorHAnsi"/>
                <w:b/>
                <w:bCs/>
                <w:sz w:val="18"/>
                <w:szCs w:val="18"/>
              </w:rPr>
              <w:t xml:space="preserve"> Valores a cancelar Diferencia </w:t>
            </w:r>
            <w:proofErr w:type="spellStart"/>
            <w:r w:rsidRPr="00FB33F1">
              <w:rPr>
                <w:rFonts w:asciiTheme="minorHAnsi" w:hAnsiTheme="minorHAnsi"/>
                <w:b/>
                <w:bCs/>
                <w:sz w:val="18"/>
                <w:szCs w:val="18"/>
              </w:rPr>
              <w:t>mesada+indexacion</w:t>
            </w:r>
            <w:proofErr w:type="spellEnd"/>
            <w:r w:rsidRPr="00FB33F1">
              <w:rPr>
                <w:rFonts w:asciiTheme="minorHAnsi" w:hAnsiTheme="minorHAnsi"/>
                <w:b/>
                <w:bCs/>
                <w:sz w:val="18"/>
                <w:szCs w:val="18"/>
              </w:rPr>
              <w:t xml:space="preserve"> ===&gt; </w:t>
            </w:r>
          </w:p>
        </w:tc>
        <w:tc>
          <w:tcPr>
            <w:tcW w:w="0" w:type="auto"/>
            <w:tcBorders>
              <w:top w:val="nil"/>
              <w:left w:val="nil"/>
              <w:bottom w:val="single" w:sz="8" w:space="0" w:color="auto"/>
              <w:right w:val="nil"/>
            </w:tcBorders>
            <w:shd w:val="clear" w:color="000000" w:fill="FFFF99"/>
            <w:noWrap/>
            <w:vAlign w:val="center"/>
            <w:hideMark/>
          </w:tcPr>
          <w:p w:rsidR="00FB33F1" w:rsidRPr="00FB33F1" w:rsidRDefault="00FB33F1">
            <w:pPr>
              <w:rPr>
                <w:rFonts w:asciiTheme="minorHAnsi" w:hAnsiTheme="minorHAnsi"/>
                <w:b/>
                <w:bCs/>
                <w:sz w:val="18"/>
                <w:szCs w:val="18"/>
              </w:rPr>
            </w:pPr>
            <w:r w:rsidRPr="00FB33F1">
              <w:rPr>
                <w:rFonts w:asciiTheme="minorHAnsi" w:hAnsiTheme="minorHAnsi"/>
                <w:b/>
                <w:bCs/>
                <w:sz w:val="18"/>
                <w:szCs w:val="18"/>
              </w:rPr>
              <w:t> </w:t>
            </w:r>
          </w:p>
        </w:tc>
        <w:tc>
          <w:tcPr>
            <w:tcW w:w="0" w:type="auto"/>
            <w:tcBorders>
              <w:top w:val="nil"/>
              <w:left w:val="nil"/>
              <w:bottom w:val="single" w:sz="8" w:space="0" w:color="auto"/>
              <w:right w:val="nil"/>
            </w:tcBorders>
            <w:shd w:val="clear" w:color="000000" w:fill="FFFF99"/>
            <w:noWrap/>
            <w:vAlign w:val="center"/>
            <w:hideMark/>
          </w:tcPr>
          <w:p w:rsidR="00FB33F1" w:rsidRPr="00FB33F1" w:rsidRDefault="00FB33F1">
            <w:pPr>
              <w:rPr>
                <w:rFonts w:asciiTheme="minorHAnsi" w:hAnsiTheme="minorHAnsi"/>
                <w:b/>
                <w:bCs/>
                <w:sz w:val="18"/>
                <w:szCs w:val="18"/>
              </w:rPr>
            </w:pPr>
            <w:r w:rsidRPr="00FB33F1">
              <w:rPr>
                <w:rFonts w:asciiTheme="minorHAnsi" w:hAnsiTheme="minorHAnsi"/>
                <w:b/>
                <w:bCs/>
                <w:sz w:val="18"/>
                <w:szCs w:val="18"/>
              </w:rPr>
              <w:t> </w:t>
            </w:r>
          </w:p>
        </w:tc>
        <w:tc>
          <w:tcPr>
            <w:tcW w:w="0" w:type="auto"/>
            <w:gridSpan w:val="3"/>
            <w:tcBorders>
              <w:top w:val="nil"/>
              <w:left w:val="nil"/>
              <w:bottom w:val="single" w:sz="8" w:space="0" w:color="auto"/>
              <w:right w:val="single" w:sz="8" w:space="0" w:color="000000"/>
            </w:tcBorders>
            <w:shd w:val="clear" w:color="000000" w:fill="FFFF99"/>
            <w:noWrap/>
            <w:vAlign w:val="center"/>
            <w:hideMark/>
          </w:tcPr>
          <w:p w:rsidR="00FB33F1" w:rsidRPr="00FB33F1" w:rsidRDefault="00FB33F1">
            <w:pPr>
              <w:jc w:val="center"/>
              <w:rPr>
                <w:rFonts w:asciiTheme="minorHAnsi" w:hAnsiTheme="minorHAnsi"/>
                <w:b/>
                <w:bCs/>
                <w:sz w:val="18"/>
                <w:szCs w:val="18"/>
              </w:rPr>
            </w:pPr>
            <w:r w:rsidRPr="00FB33F1">
              <w:rPr>
                <w:rFonts w:asciiTheme="minorHAnsi" w:hAnsiTheme="minorHAnsi"/>
                <w:b/>
                <w:bCs/>
                <w:sz w:val="18"/>
                <w:szCs w:val="18"/>
              </w:rPr>
              <w:t xml:space="preserve"> $                         31.968.640,51 </w:t>
            </w:r>
          </w:p>
        </w:tc>
      </w:tr>
    </w:tbl>
    <w:p w:rsidR="00FB33F1" w:rsidRDefault="00FB33F1" w:rsidP="0069710D">
      <w:pPr>
        <w:widowControl w:val="0"/>
        <w:autoSpaceDE w:val="0"/>
        <w:autoSpaceDN w:val="0"/>
        <w:adjustRightInd w:val="0"/>
        <w:spacing w:line="276" w:lineRule="auto"/>
        <w:ind w:firstLine="1080"/>
        <w:jc w:val="both"/>
        <w:rPr>
          <w:rFonts w:ascii="Tahoma" w:hAnsi="Tahoma" w:cs="Tahoma"/>
          <w:sz w:val="22"/>
          <w:szCs w:val="22"/>
        </w:rPr>
      </w:pPr>
    </w:p>
    <w:p w:rsidR="00FB33F1" w:rsidRDefault="00FB33F1" w:rsidP="0069710D">
      <w:pPr>
        <w:widowControl w:val="0"/>
        <w:autoSpaceDE w:val="0"/>
        <w:autoSpaceDN w:val="0"/>
        <w:adjustRightInd w:val="0"/>
        <w:spacing w:line="276" w:lineRule="auto"/>
        <w:ind w:firstLine="1080"/>
        <w:jc w:val="both"/>
        <w:rPr>
          <w:rFonts w:ascii="Tahoma" w:hAnsi="Tahoma" w:cs="Tahoma"/>
          <w:sz w:val="22"/>
          <w:szCs w:val="22"/>
        </w:rPr>
      </w:pPr>
    </w:p>
    <w:p w:rsidR="00065EE8" w:rsidRDefault="00065EE8" w:rsidP="0069710D">
      <w:pPr>
        <w:widowControl w:val="0"/>
        <w:autoSpaceDE w:val="0"/>
        <w:autoSpaceDN w:val="0"/>
        <w:adjustRightInd w:val="0"/>
        <w:spacing w:line="276" w:lineRule="auto"/>
        <w:ind w:firstLine="1080"/>
        <w:jc w:val="both"/>
        <w:rPr>
          <w:rFonts w:ascii="Tahoma" w:hAnsi="Tahoma" w:cs="Tahoma"/>
          <w:sz w:val="22"/>
          <w:szCs w:val="22"/>
        </w:rPr>
      </w:pPr>
    </w:p>
    <w:p w:rsidR="00910696" w:rsidRDefault="006B3242"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Sin costas en esta instancia por haber prosperado el recurso </w:t>
      </w:r>
      <w:r w:rsidR="00FB33F1">
        <w:rPr>
          <w:rFonts w:ascii="Tahoma" w:hAnsi="Tahoma" w:cs="Tahoma"/>
          <w:sz w:val="22"/>
          <w:szCs w:val="22"/>
        </w:rPr>
        <w:t xml:space="preserve">parcialmente </w:t>
      </w:r>
      <w:r>
        <w:rPr>
          <w:rFonts w:ascii="Tahoma" w:hAnsi="Tahoma" w:cs="Tahoma"/>
          <w:sz w:val="22"/>
          <w:szCs w:val="22"/>
        </w:rPr>
        <w:t xml:space="preserve">pero además porque aún </w:t>
      </w:r>
      <w:r w:rsidR="000836EB">
        <w:rPr>
          <w:rFonts w:ascii="Tahoma" w:hAnsi="Tahoma" w:cs="Tahoma"/>
          <w:sz w:val="22"/>
          <w:szCs w:val="22"/>
        </w:rPr>
        <w:t xml:space="preserve">no se ha integrado el contradictorio pues todavía no </w:t>
      </w:r>
      <w:r w:rsidR="00B93FE4">
        <w:rPr>
          <w:rFonts w:ascii="Tahoma" w:hAnsi="Tahoma" w:cs="Tahoma"/>
          <w:sz w:val="22"/>
          <w:szCs w:val="22"/>
        </w:rPr>
        <w:t>se ha notificado personalmente e</w:t>
      </w:r>
      <w:r w:rsidR="000836EB">
        <w:rPr>
          <w:rFonts w:ascii="Tahoma" w:hAnsi="Tahoma" w:cs="Tahoma"/>
          <w:sz w:val="22"/>
          <w:szCs w:val="22"/>
        </w:rPr>
        <w:t>l mandamiento de pago a</w:t>
      </w:r>
      <w:r w:rsidR="00B93FE4">
        <w:rPr>
          <w:rFonts w:ascii="Tahoma" w:hAnsi="Tahoma" w:cs="Tahoma"/>
          <w:sz w:val="22"/>
          <w:szCs w:val="22"/>
        </w:rPr>
        <w:t xml:space="preserve"> la UGPP</w:t>
      </w:r>
      <w:r w:rsidR="000836EB">
        <w:rPr>
          <w:rFonts w:ascii="Tahoma" w:hAnsi="Tahoma" w:cs="Tahoma"/>
          <w:sz w:val="22"/>
          <w:szCs w:val="22"/>
        </w:rPr>
        <w:t xml:space="preserve"> en su calidad de sucesora procesal del ISS</w:t>
      </w:r>
      <w:r>
        <w:rPr>
          <w:rFonts w:ascii="Tahoma" w:hAnsi="Tahoma" w:cs="Tahoma"/>
          <w:sz w:val="22"/>
          <w:szCs w:val="22"/>
        </w:rPr>
        <w:t xml:space="preserve">. </w:t>
      </w:r>
    </w:p>
    <w:p w:rsidR="006B3242" w:rsidRPr="003F6675" w:rsidRDefault="006B3242"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lastRenderedPageBreak/>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853D9C" w:rsidRDefault="007D4D1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6B3242">
        <w:rPr>
          <w:rFonts w:ascii="Tahoma" w:hAnsi="Tahoma" w:cs="Tahoma"/>
          <w:b/>
          <w:sz w:val="22"/>
          <w:szCs w:val="22"/>
        </w:rPr>
        <w:t xml:space="preserve">MODIFICAR </w:t>
      </w:r>
      <w:r w:rsidR="006B3242">
        <w:rPr>
          <w:rFonts w:ascii="Tahoma" w:hAnsi="Tahoma" w:cs="Tahoma"/>
          <w:sz w:val="22"/>
          <w:szCs w:val="22"/>
        </w:rPr>
        <w:t xml:space="preserve">el numeral </w:t>
      </w:r>
      <w:r w:rsidR="00555E2B">
        <w:rPr>
          <w:rFonts w:ascii="Tahoma" w:hAnsi="Tahoma" w:cs="Tahoma"/>
          <w:sz w:val="22"/>
          <w:szCs w:val="22"/>
        </w:rPr>
        <w:t>primero</w:t>
      </w:r>
      <w:r w:rsidR="006B3242">
        <w:rPr>
          <w:rFonts w:ascii="Tahoma" w:hAnsi="Tahoma" w:cs="Tahoma"/>
          <w:sz w:val="22"/>
          <w:szCs w:val="22"/>
        </w:rPr>
        <w:t xml:space="preserve"> de la parte resolutiva del auto apelado </w:t>
      </w:r>
      <w:r w:rsidR="005E0803">
        <w:rPr>
          <w:rFonts w:ascii="Tahoma" w:hAnsi="Tahoma" w:cs="Tahoma"/>
          <w:sz w:val="22"/>
          <w:szCs w:val="22"/>
        </w:rPr>
        <w:t>por las razones expuestas en la parte motiva de esta pro</w:t>
      </w:r>
      <w:r w:rsidR="00AF50EA" w:rsidRPr="003F6675">
        <w:rPr>
          <w:rFonts w:ascii="Tahoma" w:hAnsi="Tahoma" w:cs="Tahoma"/>
          <w:sz w:val="22"/>
          <w:szCs w:val="22"/>
        </w:rPr>
        <w:t xml:space="preserve">videncia. </w:t>
      </w:r>
      <w:r w:rsidR="006B3242">
        <w:rPr>
          <w:rFonts w:ascii="Tahoma" w:hAnsi="Tahoma" w:cs="Tahoma"/>
          <w:sz w:val="22"/>
          <w:szCs w:val="22"/>
        </w:rPr>
        <w:t>En consecuencia dicho numeral queda de la siguiente manera:</w:t>
      </w:r>
    </w:p>
    <w:p w:rsidR="006B3242" w:rsidRDefault="006B3242" w:rsidP="003F6675">
      <w:pPr>
        <w:widowControl w:val="0"/>
        <w:autoSpaceDE w:val="0"/>
        <w:autoSpaceDN w:val="0"/>
        <w:adjustRightInd w:val="0"/>
        <w:spacing w:line="276" w:lineRule="auto"/>
        <w:ind w:firstLine="1080"/>
        <w:jc w:val="both"/>
        <w:rPr>
          <w:rFonts w:ascii="Tahoma" w:hAnsi="Tahoma" w:cs="Tahoma"/>
          <w:sz w:val="22"/>
          <w:szCs w:val="22"/>
        </w:rPr>
      </w:pPr>
    </w:p>
    <w:p w:rsidR="001E511F" w:rsidRDefault="001E511F" w:rsidP="003F6675">
      <w:pPr>
        <w:widowControl w:val="0"/>
        <w:autoSpaceDE w:val="0"/>
        <w:autoSpaceDN w:val="0"/>
        <w:adjustRightInd w:val="0"/>
        <w:spacing w:line="276" w:lineRule="auto"/>
        <w:ind w:firstLine="1080"/>
        <w:jc w:val="both"/>
        <w:rPr>
          <w:rFonts w:ascii="Tahoma" w:hAnsi="Tahoma" w:cs="Tahoma"/>
          <w:i/>
          <w:sz w:val="22"/>
          <w:szCs w:val="22"/>
          <w:lang w:val="es-MX"/>
        </w:rPr>
      </w:pPr>
      <w:r>
        <w:rPr>
          <w:rFonts w:ascii="Tahoma" w:hAnsi="Tahoma" w:cs="Tahoma"/>
          <w:i/>
          <w:sz w:val="22"/>
          <w:szCs w:val="22"/>
          <w:lang w:val="es-MX"/>
        </w:rPr>
        <w:t xml:space="preserve">LIBRAR MANDAMIENTO DE PAGO por la vía ejecutiva laboral a favor de </w:t>
      </w:r>
      <w:r w:rsidR="00346EA7">
        <w:rPr>
          <w:rFonts w:ascii="Tahoma" w:hAnsi="Tahoma" w:cs="Tahoma"/>
          <w:i/>
          <w:sz w:val="22"/>
          <w:szCs w:val="22"/>
          <w:lang w:val="es-MX"/>
        </w:rPr>
        <w:t>RUBIELA TORO MUÑOZ</w:t>
      </w:r>
      <w:r w:rsidR="006B3242">
        <w:rPr>
          <w:rFonts w:ascii="Tahoma" w:hAnsi="Tahoma" w:cs="Tahoma"/>
          <w:i/>
          <w:sz w:val="22"/>
          <w:szCs w:val="22"/>
          <w:lang w:val="es-MX"/>
        </w:rPr>
        <w:t xml:space="preserve">  en contra de la </w:t>
      </w:r>
      <w:r w:rsidR="00346EA7">
        <w:rPr>
          <w:rFonts w:ascii="Tahoma" w:hAnsi="Tahoma" w:cs="Tahoma"/>
          <w:i/>
          <w:sz w:val="22"/>
          <w:szCs w:val="22"/>
          <w:lang w:val="es-MX"/>
        </w:rPr>
        <w:t xml:space="preserve">UNIDAD ADMINISTRATIVA ESPECIAL DE GESTIÓN PENSIONAL Y CONTRIBUCIONES PARAFISCALES DE LA PROTECCIÓN SOCIAL -UGPP- </w:t>
      </w:r>
      <w:r w:rsidR="00736867">
        <w:rPr>
          <w:rFonts w:ascii="Tahoma" w:hAnsi="Tahoma" w:cs="Tahoma"/>
          <w:i/>
          <w:sz w:val="22"/>
          <w:szCs w:val="22"/>
          <w:lang w:val="es-MX"/>
        </w:rPr>
        <w:t xml:space="preserve">, </w:t>
      </w:r>
      <w:r>
        <w:rPr>
          <w:rFonts w:ascii="Tahoma" w:hAnsi="Tahoma" w:cs="Tahoma"/>
          <w:i/>
          <w:sz w:val="22"/>
          <w:szCs w:val="22"/>
          <w:lang w:val="es-MX"/>
        </w:rPr>
        <w:t xml:space="preserve">con base en la sentencia proferida por la Sala laboral del Tribunal Superior del Distrito Judicial </w:t>
      </w:r>
      <w:r w:rsidR="00736867">
        <w:rPr>
          <w:rFonts w:ascii="Tahoma" w:hAnsi="Tahoma" w:cs="Tahoma"/>
          <w:i/>
          <w:sz w:val="22"/>
          <w:szCs w:val="22"/>
          <w:lang w:val="es-MX"/>
        </w:rPr>
        <w:t xml:space="preserve">de </w:t>
      </w:r>
      <w:r>
        <w:rPr>
          <w:rFonts w:ascii="Tahoma" w:hAnsi="Tahoma" w:cs="Tahoma"/>
          <w:i/>
          <w:sz w:val="22"/>
          <w:szCs w:val="22"/>
          <w:lang w:val="es-MX"/>
        </w:rPr>
        <w:t>Pereira, por las siguientes sumas:</w:t>
      </w:r>
    </w:p>
    <w:p w:rsidR="001E511F" w:rsidRDefault="001E511F" w:rsidP="003F6675">
      <w:pPr>
        <w:widowControl w:val="0"/>
        <w:autoSpaceDE w:val="0"/>
        <w:autoSpaceDN w:val="0"/>
        <w:adjustRightInd w:val="0"/>
        <w:spacing w:line="276" w:lineRule="auto"/>
        <w:ind w:firstLine="1080"/>
        <w:jc w:val="both"/>
        <w:rPr>
          <w:rFonts w:ascii="Tahoma" w:hAnsi="Tahoma" w:cs="Tahoma"/>
          <w:i/>
          <w:sz w:val="22"/>
          <w:szCs w:val="22"/>
          <w:lang w:val="es-MX"/>
        </w:rPr>
      </w:pPr>
    </w:p>
    <w:p w:rsidR="001E511F" w:rsidRPr="001E511F" w:rsidRDefault="001E511F" w:rsidP="001E511F">
      <w:pPr>
        <w:pStyle w:val="Prrafodelista"/>
        <w:widowControl w:val="0"/>
        <w:numPr>
          <w:ilvl w:val="0"/>
          <w:numId w:val="18"/>
        </w:numPr>
        <w:autoSpaceDE w:val="0"/>
        <w:autoSpaceDN w:val="0"/>
        <w:adjustRightInd w:val="0"/>
        <w:spacing w:line="276" w:lineRule="auto"/>
        <w:jc w:val="both"/>
        <w:rPr>
          <w:rFonts w:ascii="Tahoma" w:hAnsi="Tahoma" w:cs="Tahoma"/>
          <w:i/>
          <w:sz w:val="22"/>
          <w:szCs w:val="22"/>
          <w:lang w:val="es-MX"/>
        </w:rPr>
      </w:pPr>
      <w:r w:rsidRPr="001E511F">
        <w:rPr>
          <w:rFonts w:ascii="Tahoma" w:hAnsi="Tahoma" w:cs="Tahoma"/>
          <w:i/>
          <w:sz w:val="22"/>
          <w:szCs w:val="22"/>
          <w:lang w:val="es-MX"/>
        </w:rPr>
        <w:t xml:space="preserve">Por </w:t>
      </w:r>
      <w:r>
        <w:rPr>
          <w:rFonts w:ascii="Tahoma" w:hAnsi="Tahoma" w:cs="Tahoma"/>
          <w:i/>
          <w:sz w:val="22"/>
          <w:szCs w:val="22"/>
          <w:lang w:val="es-MX"/>
        </w:rPr>
        <w:t xml:space="preserve">la suma de TREINTA Y </w:t>
      </w:r>
      <w:r w:rsidR="00065EE8">
        <w:rPr>
          <w:rFonts w:ascii="Tahoma" w:hAnsi="Tahoma" w:cs="Tahoma"/>
          <w:i/>
          <w:sz w:val="22"/>
          <w:szCs w:val="22"/>
          <w:lang w:val="es-MX"/>
        </w:rPr>
        <w:t xml:space="preserve">UN </w:t>
      </w:r>
      <w:r>
        <w:rPr>
          <w:rFonts w:ascii="Tahoma" w:hAnsi="Tahoma" w:cs="Tahoma"/>
          <w:i/>
          <w:sz w:val="22"/>
          <w:szCs w:val="22"/>
          <w:lang w:val="es-MX"/>
        </w:rPr>
        <w:t xml:space="preserve">MILLONES </w:t>
      </w:r>
      <w:r w:rsidR="00065EE8">
        <w:rPr>
          <w:rFonts w:ascii="Tahoma" w:hAnsi="Tahoma" w:cs="Tahoma"/>
          <w:i/>
          <w:sz w:val="22"/>
          <w:szCs w:val="22"/>
          <w:lang w:val="es-MX"/>
        </w:rPr>
        <w:t xml:space="preserve">NOVECIENTOS NOVENTA Y OCHO MIL SEISCIENTOS CUARENTA </w:t>
      </w:r>
      <w:r>
        <w:rPr>
          <w:rFonts w:ascii="Tahoma" w:hAnsi="Tahoma" w:cs="Tahoma"/>
          <w:i/>
          <w:sz w:val="22"/>
          <w:szCs w:val="22"/>
          <w:lang w:val="es-MX"/>
        </w:rPr>
        <w:t xml:space="preserve">MIL PESOS CON </w:t>
      </w:r>
      <w:r w:rsidR="00065EE8">
        <w:rPr>
          <w:rFonts w:ascii="Tahoma" w:hAnsi="Tahoma" w:cs="Tahoma"/>
          <w:i/>
          <w:sz w:val="22"/>
          <w:szCs w:val="22"/>
          <w:lang w:val="es-MX"/>
        </w:rPr>
        <w:t xml:space="preserve">CINCUENTA Y UN </w:t>
      </w:r>
      <w:r>
        <w:rPr>
          <w:rFonts w:ascii="Tahoma" w:hAnsi="Tahoma" w:cs="Tahoma"/>
          <w:i/>
          <w:sz w:val="22"/>
          <w:szCs w:val="22"/>
          <w:lang w:val="es-MX"/>
        </w:rPr>
        <w:t>CENTAVOS M/C (</w:t>
      </w:r>
      <w:r w:rsidRPr="00065EE8">
        <w:rPr>
          <w:rFonts w:ascii="Tahoma" w:hAnsi="Tahoma" w:cs="Tahoma"/>
          <w:b/>
          <w:bCs/>
          <w:i/>
          <w:spacing w:val="2"/>
          <w:sz w:val="22"/>
          <w:szCs w:val="22"/>
        </w:rPr>
        <w:t>$</w:t>
      </w:r>
      <w:r w:rsidR="00065EE8" w:rsidRPr="00065EE8">
        <w:rPr>
          <w:rFonts w:ascii="Tahoma" w:hAnsi="Tahoma" w:cs="Tahoma"/>
          <w:b/>
          <w:i/>
          <w:sz w:val="22"/>
          <w:szCs w:val="22"/>
        </w:rPr>
        <w:t>31.968.640,51</w:t>
      </w:r>
      <w:r>
        <w:rPr>
          <w:rFonts w:ascii="Tahoma" w:hAnsi="Tahoma" w:cs="Tahoma"/>
          <w:bCs/>
          <w:i/>
          <w:spacing w:val="2"/>
          <w:sz w:val="22"/>
          <w:szCs w:val="22"/>
        </w:rPr>
        <w:t>)</w:t>
      </w:r>
      <w:r w:rsidRPr="001E511F">
        <w:rPr>
          <w:rFonts w:ascii="Tahoma" w:hAnsi="Tahoma" w:cs="Tahoma"/>
          <w:bCs/>
          <w:i/>
          <w:spacing w:val="2"/>
          <w:sz w:val="22"/>
          <w:szCs w:val="22"/>
        </w:rPr>
        <w:t xml:space="preserve"> </w:t>
      </w:r>
      <w:r w:rsidRPr="001E511F">
        <w:rPr>
          <w:rFonts w:ascii="Tahoma" w:hAnsi="Tahoma" w:cs="Tahoma"/>
          <w:i/>
          <w:sz w:val="22"/>
          <w:szCs w:val="22"/>
        </w:rPr>
        <w:t>por concepto de la diferencia pensional causada desde el 31 de diciembre de 2009 hasta el 3</w:t>
      </w:r>
      <w:r w:rsidR="00065EE8">
        <w:rPr>
          <w:rFonts w:ascii="Tahoma" w:hAnsi="Tahoma" w:cs="Tahoma"/>
          <w:i/>
          <w:sz w:val="22"/>
          <w:szCs w:val="22"/>
        </w:rPr>
        <w:t xml:space="preserve">0 de junio </w:t>
      </w:r>
      <w:r w:rsidRPr="001E511F">
        <w:rPr>
          <w:rFonts w:ascii="Tahoma" w:hAnsi="Tahoma" w:cs="Tahoma"/>
          <w:i/>
          <w:sz w:val="22"/>
          <w:szCs w:val="22"/>
        </w:rPr>
        <w:t>de 20017</w:t>
      </w:r>
      <w:r>
        <w:rPr>
          <w:rFonts w:ascii="Tahoma" w:hAnsi="Tahoma" w:cs="Tahoma"/>
          <w:i/>
          <w:sz w:val="22"/>
          <w:szCs w:val="22"/>
        </w:rPr>
        <w:t>.</w:t>
      </w:r>
    </w:p>
    <w:p w:rsidR="001E511F" w:rsidRPr="001E511F" w:rsidRDefault="001E511F" w:rsidP="001E511F">
      <w:pPr>
        <w:pStyle w:val="Prrafodelista"/>
        <w:widowControl w:val="0"/>
        <w:numPr>
          <w:ilvl w:val="0"/>
          <w:numId w:val="18"/>
        </w:numPr>
        <w:autoSpaceDE w:val="0"/>
        <w:autoSpaceDN w:val="0"/>
        <w:adjustRightInd w:val="0"/>
        <w:spacing w:line="276" w:lineRule="auto"/>
        <w:jc w:val="both"/>
        <w:rPr>
          <w:rFonts w:ascii="Tahoma" w:hAnsi="Tahoma" w:cs="Tahoma"/>
          <w:i/>
          <w:sz w:val="22"/>
          <w:szCs w:val="22"/>
          <w:lang w:val="es-MX"/>
        </w:rPr>
      </w:pPr>
      <w:r>
        <w:rPr>
          <w:rFonts w:ascii="Tahoma" w:hAnsi="Tahoma" w:cs="Tahoma"/>
          <w:i/>
          <w:sz w:val="22"/>
          <w:szCs w:val="22"/>
        </w:rPr>
        <w:t xml:space="preserve">Por </w:t>
      </w:r>
      <w:r w:rsidRPr="001E511F">
        <w:rPr>
          <w:rFonts w:ascii="Tahoma" w:hAnsi="Tahoma" w:cs="Tahoma"/>
          <w:i/>
          <w:sz w:val="22"/>
          <w:szCs w:val="22"/>
        </w:rPr>
        <w:t>la diferencia que se cause desde el 1º de ju</w:t>
      </w:r>
      <w:r w:rsidR="00D159DB">
        <w:rPr>
          <w:rFonts w:ascii="Tahoma" w:hAnsi="Tahoma" w:cs="Tahoma"/>
          <w:i/>
          <w:sz w:val="22"/>
          <w:szCs w:val="22"/>
        </w:rPr>
        <w:t>l</w:t>
      </w:r>
      <w:r w:rsidRPr="001E511F">
        <w:rPr>
          <w:rFonts w:ascii="Tahoma" w:hAnsi="Tahoma" w:cs="Tahoma"/>
          <w:i/>
          <w:sz w:val="22"/>
          <w:szCs w:val="22"/>
        </w:rPr>
        <w:t xml:space="preserve">io de 2017 hasta el pago efectivo de la obligación.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1E511F"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1E511F">
        <w:rPr>
          <w:rFonts w:ascii="Tahoma" w:hAnsi="Tahoma" w:cs="Tahoma"/>
          <w:sz w:val="22"/>
          <w:szCs w:val="22"/>
        </w:rPr>
        <w:t>Confirmar en todo lo demás.</w:t>
      </w:r>
    </w:p>
    <w:p w:rsidR="001E511F" w:rsidRDefault="001E511F" w:rsidP="003F6675">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1E511F"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b/>
          <w:sz w:val="22"/>
          <w:szCs w:val="22"/>
          <w:u w:val="single"/>
        </w:rPr>
        <w:t>TERCER</w:t>
      </w:r>
      <w:r w:rsidRPr="003F6675">
        <w:rPr>
          <w:rFonts w:ascii="Tahoma" w:hAnsi="Tahoma" w:cs="Tahoma"/>
          <w:b/>
          <w:sz w:val="22"/>
          <w:szCs w:val="22"/>
          <w:u w:val="single"/>
        </w:rPr>
        <w:t>O</w:t>
      </w:r>
      <w:r w:rsidRPr="003F6675">
        <w:rPr>
          <w:rFonts w:ascii="Tahoma" w:hAnsi="Tahoma" w:cs="Tahoma"/>
          <w:sz w:val="22"/>
          <w:szCs w:val="22"/>
        </w:rPr>
        <w:t>.-</w:t>
      </w:r>
      <w:r w:rsidR="00AA4699" w:rsidRPr="003F6675">
        <w:rPr>
          <w:rFonts w:ascii="Tahoma" w:hAnsi="Tahoma" w:cs="Tahoma"/>
          <w:sz w:val="22"/>
          <w:szCs w:val="22"/>
        </w:rPr>
        <w:t xml:space="preserve">Sin costas en esta instancia. </w:t>
      </w:r>
    </w:p>
    <w:p w:rsidR="00797D49"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540C45" w:rsidRPr="003F6675" w:rsidRDefault="00540C45"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1E511F" w:rsidRDefault="001E511F"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540C45" w:rsidRDefault="00540C45"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Default="00540C45" w:rsidP="003F6675">
      <w:pPr>
        <w:widowControl w:val="0"/>
        <w:autoSpaceDE w:val="0"/>
        <w:autoSpaceDN w:val="0"/>
        <w:adjustRightInd w:val="0"/>
        <w:spacing w:line="276" w:lineRule="auto"/>
        <w:rPr>
          <w:rFonts w:ascii="Tahoma" w:hAnsi="Tahoma" w:cs="Tahoma"/>
          <w:b/>
          <w:sz w:val="22"/>
          <w:szCs w:val="22"/>
        </w:rPr>
      </w:pPr>
      <w:r>
        <w:rPr>
          <w:rFonts w:ascii="Tahoma" w:hAnsi="Tahoma" w:cs="Tahoma"/>
          <w:b/>
          <w:sz w:val="22"/>
          <w:szCs w:val="22"/>
        </w:rPr>
        <w:t xml:space="preserve">  </w:t>
      </w:r>
    </w:p>
    <w:p w:rsidR="00540C45" w:rsidRDefault="00540C45" w:rsidP="003F6675">
      <w:pPr>
        <w:widowControl w:val="0"/>
        <w:autoSpaceDE w:val="0"/>
        <w:autoSpaceDN w:val="0"/>
        <w:adjustRightInd w:val="0"/>
        <w:spacing w:line="276" w:lineRule="auto"/>
        <w:rPr>
          <w:rFonts w:ascii="Tahoma" w:hAnsi="Tahoma" w:cs="Tahoma"/>
          <w:b/>
          <w:sz w:val="22"/>
          <w:szCs w:val="22"/>
        </w:rPr>
      </w:pPr>
    </w:p>
    <w:p w:rsidR="00540C45" w:rsidRPr="003F6675" w:rsidRDefault="00540C45"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540C45">
        <w:rPr>
          <w:rFonts w:ascii="Tahoma" w:hAnsi="Tahoma" w:cs="Tahoma"/>
          <w:b/>
          <w:sz w:val="22"/>
          <w:szCs w:val="22"/>
        </w:rPr>
        <w:t xml:space="preserve">                  </w:t>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540C45">
      <w:headerReference w:type="even" r:id="rId9"/>
      <w:headerReference w:type="default" r:id="rId10"/>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70" w:rsidRDefault="003B2170">
      <w:r>
        <w:separator/>
      </w:r>
    </w:p>
  </w:endnote>
  <w:endnote w:type="continuationSeparator" w:id="0">
    <w:p w:rsidR="003B2170" w:rsidRDefault="003B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70" w:rsidRDefault="003B2170">
      <w:r>
        <w:separator/>
      </w:r>
    </w:p>
  </w:footnote>
  <w:footnote w:type="continuationSeparator" w:id="0">
    <w:p w:rsidR="003B2170" w:rsidRDefault="003B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387C">
      <w:rPr>
        <w:rStyle w:val="Nmerodepgina"/>
        <w:noProof/>
      </w:rPr>
      <w:t>6</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346EA7">
      <w:rPr>
        <w:rFonts w:ascii="Verdana" w:hAnsi="Verdana"/>
        <w:i/>
        <w:sz w:val="14"/>
        <w:szCs w:val="14"/>
      </w:rPr>
      <w:t>003-2010-00844-02</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proofErr w:type="spellStart"/>
    <w:r w:rsidR="00540C45">
      <w:rPr>
        <w:rFonts w:ascii="Verdana" w:hAnsi="Verdana"/>
        <w:i/>
        <w:sz w:val="14"/>
        <w:szCs w:val="14"/>
      </w:rPr>
      <w:t>Rubiela</w:t>
    </w:r>
    <w:proofErr w:type="spellEnd"/>
    <w:r w:rsidR="00540C45">
      <w:rPr>
        <w:rFonts w:ascii="Verdana" w:hAnsi="Verdana"/>
        <w:i/>
        <w:sz w:val="14"/>
        <w:szCs w:val="14"/>
      </w:rPr>
      <w:t xml:space="preserve"> Toro Muñoz</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540C45">
      <w:rPr>
        <w:rFonts w:ascii="Verdana" w:hAnsi="Verdana"/>
        <w:i/>
        <w:sz w:val="14"/>
        <w:szCs w:val="14"/>
      </w:rPr>
      <w:t xml:space="preserve">Unidad Administrativa Especial de Gestión Pensional y Contribuciones Parafiscales de la Protección Social </w:t>
    </w:r>
    <w:r w:rsidR="00346EA7">
      <w:rPr>
        <w:rFonts w:ascii="Verdana" w:hAnsi="Verdana"/>
        <w:i/>
        <w:sz w:val="14"/>
        <w:szCs w:val="14"/>
      </w:rPr>
      <w:t xml:space="preserve">-UGPP-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C53D55"/>
    <w:multiLevelType w:val="multilevel"/>
    <w:tmpl w:val="6DE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B75C71"/>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59E90723"/>
    <w:multiLevelType w:val="hybridMultilevel"/>
    <w:tmpl w:val="F32474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A521696"/>
    <w:multiLevelType w:val="hybridMultilevel"/>
    <w:tmpl w:val="56A20D9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78D00655"/>
    <w:multiLevelType w:val="hybridMultilevel"/>
    <w:tmpl w:val="42F8A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3"/>
  </w:num>
  <w:num w:numId="11">
    <w:abstractNumId w:val="15"/>
  </w:num>
  <w:num w:numId="12">
    <w:abstractNumId w:val="12"/>
  </w:num>
  <w:num w:numId="13">
    <w:abstractNumId w:val="11"/>
  </w:num>
  <w:num w:numId="14">
    <w:abstractNumId w:val="10"/>
  </w:num>
  <w:num w:numId="15">
    <w:abstractNumId w:val="18"/>
  </w:num>
  <w:num w:numId="16">
    <w:abstractNumId w:val="14"/>
  </w:num>
  <w:num w:numId="17">
    <w:abstractNumId w:val="17"/>
  </w:num>
  <w:num w:numId="18">
    <w:abstractNumId w:val="1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731B"/>
    <w:rsid w:val="000326B7"/>
    <w:rsid w:val="00032BA4"/>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5EE8"/>
    <w:rsid w:val="000676D1"/>
    <w:rsid w:val="000679CB"/>
    <w:rsid w:val="00067FA2"/>
    <w:rsid w:val="00070993"/>
    <w:rsid w:val="000746A2"/>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287F"/>
    <w:rsid w:val="00134FE6"/>
    <w:rsid w:val="00135133"/>
    <w:rsid w:val="00137A8B"/>
    <w:rsid w:val="00143467"/>
    <w:rsid w:val="001438EE"/>
    <w:rsid w:val="00144AEE"/>
    <w:rsid w:val="00145295"/>
    <w:rsid w:val="00150439"/>
    <w:rsid w:val="00153B85"/>
    <w:rsid w:val="00165D41"/>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511F"/>
    <w:rsid w:val="001E7461"/>
    <w:rsid w:val="001E78D4"/>
    <w:rsid w:val="001F0587"/>
    <w:rsid w:val="001F3236"/>
    <w:rsid w:val="001F5F54"/>
    <w:rsid w:val="001F75DB"/>
    <w:rsid w:val="0020058F"/>
    <w:rsid w:val="0020402E"/>
    <w:rsid w:val="0021004F"/>
    <w:rsid w:val="0021404E"/>
    <w:rsid w:val="00214593"/>
    <w:rsid w:val="00214B02"/>
    <w:rsid w:val="00215037"/>
    <w:rsid w:val="00216556"/>
    <w:rsid w:val="0022029F"/>
    <w:rsid w:val="002226A0"/>
    <w:rsid w:val="00224087"/>
    <w:rsid w:val="00224952"/>
    <w:rsid w:val="0023105A"/>
    <w:rsid w:val="00232A31"/>
    <w:rsid w:val="002343D3"/>
    <w:rsid w:val="00236AB4"/>
    <w:rsid w:val="002412C3"/>
    <w:rsid w:val="00241B68"/>
    <w:rsid w:val="0024458E"/>
    <w:rsid w:val="00245D03"/>
    <w:rsid w:val="002475D1"/>
    <w:rsid w:val="00251A6B"/>
    <w:rsid w:val="0025238E"/>
    <w:rsid w:val="0025538B"/>
    <w:rsid w:val="00255D08"/>
    <w:rsid w:val="002561E2"/>
    <w:rsid w:val="00262CF1"/>
    <w:rsid w:val="0026331F"/>
    <w:rsid w:val="002643CE"/>
    <w:rsid w:val="00265043"/>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7EB8"/>
    <w:rsid w:val="002B0062"/>
    <w:rsid w:val="002B0D7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11A3"/>
    <w:rsid w:val="00312A49"/>
    <w:rsid w:val="00314C72"/>
    <w:rsid w:val="003154A0"/>
    <w:rsid w:val="00316965"/>
    <w:rsid w:val="00321633"/>
    <w:rsid w:val="003220E3"/>
    <w:rsid w:val="003233A9"/>
    <w:rsid w:val="00330E19"/>
    <w:rsid w:val="00332B14"/>
    <w:rsid w:val="003356E7"/>
    <w:rsid w:val="00336B9B"/>
    <w:rsid w:val="00337D6F"/>
    <w:rsid w:val="003416CC"/>
    <w:rsid w:val="00343C01"/>
    <w:rsid w:val="003452F2"/>
    <w:rsid w:val="00346EA7"/>
    <w:rsid w:val="00351118"/>
    <w:rsid w:val="003559B2"/>
    <w:rsid w:val="00355C7A"/>
    <w:rsid w:val="00356B6A"/>
    <w:rsid w:val="00357AAD"/>
    <w:rsid w:val="0036044B"/>
    <w:rsid w:val="00360E18"/>
    <w:rsid w:val="00361BE7"/>
    <w:rsid w:val="00364940"/>
    <w:rsid w:val="0037329B"/>
    <w:rsid w:val="003749D8"/>
    <w:rsid w:val="003751CD"/>
    <w:rsid w:val="00381997"/>
    <w:rsid w:val="00385094"/>
    <w:rsid w:val="00390C4E"/>
    <w:rsid w:val="003A07C5"/>
    <w:rsid w:val="003A6C20"/>
    <w:rsid w:val="003A6EDD"/>
    <w:rsid w:val="003B1C54"/>
    <w:rsid w:val="003B1D1C"/>
    <w:rsid w:val="003B2170"/>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17E0B"/>
    <w:rsid w:val="0042151A"/>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6848"/>
    <w:rsid w:val="004578C7"/>
    <w:rsid w:val="00457BE7"/>
    <w:rsid w:val="00460DA7"/>
    <w:rsid w:val="00463814"/>
    <w:rsid w:val="00464E65"/>
    <w:rsid w:val="00467425"/>
    <w:rsid w:val="00472724"/>
    <w:rsid w:val="00481674"/>
    <w:rsid w:val="00481A86"/>
    <w:rsid w:val="004834C3"/>
    <w:rsid w:val="00486955"/>
    <w:rsid w:val="00487DB5"/>
    <w:rsid w:val="004905FF"/>
    <w:rsid w:val="00492014"/>
    <w:rsid w:val="0049216A"/>
    <w:rsid w:val="00492717"/>
    <w:rsid w:val="00492C4F"/>
    <w:rsid w:val="00493201"/>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42CA"/>
    <w:rsid w:val="004F5600"/>
    <w:rsid w:val="004F70D2"/>
    <w:rsid w:val="004F768E"/>
    <w:rsid w:val="00507C23"/>
    <w:rsid w:val="00511B48"/>
    <w:rsid w:val="00520BA6"/>
    <w:rsid w:val="00523D5D"/>
    <w:rsid w:val="00524273"/>
    <w:rsid w:val="00527338"/>
    <w:rsid w:val="00527D7F"/>
    <w:rsid w:val="005322D3"/>
    <w:rsid w:val="00532B29"/>
    <w:rsid w:val="0053305F"/>
    <w:rsid w:val="00534D30"/>
    <w:rsid w:val="005352C6"/>
    <w:rsid w:val="00540C45"/>
    <w:rsid w:val="00543420"/>
    <w:rsid w:val="005440EB"/>
    <w:rsid w:val="005459E8"/>
    <w:rsid w:val="00550084"/>
    <w:rsid w:val="0055036C"/>
    <w:rsid w:val="0055094C"/>
    <w:rsid w:val="00552824"/>
    <w:rsid w:val="00554593"/>
    <w:rsid w:val="00555394"/>
    <w:rsid w:val="00555E2B"/>
    <w:rsid w:val="00563016"/>
    <w:rsid w:val="00564046"/>
    <w:rsid w:val="005722C8"/>
    <w:rsid w:val="00572517"/>
    <w:rsid w:val="005743F2"/>
    <w:rsid w:val="00575E70"/>
    <w:rsid w:val="00576945"/>
    <w:rsid w:val="005824B1"/>
    <w:rsid w:val="0058455A"/>
    <w:rsid w:val="005848B2"/>
    <w:rsid w:val="0059189F"/>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21BE"/>
    <w:rsid w:val="00633395"/>
    <w:rsid w:val="00636087"/>
    <w:rsid w:val="006369D3"/>
    <w:rsid w:val="0063794B"/>
    <w:rsid w:val="00650134"/>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0BF7"/>
    <w:rsid w:val="006921D7"/>
    <w:rsid w:val="00693732"/>
    <w:rsid w:val="00694EE5"/>
    <w:rsid w:val="0069710D"/>
    <w:rsid w:val="006A17E2"/>
    <w:rsid w:val="006A1C66"/>
    <w:rsid w:val="006A565A"/>
    <w:rsid w:val="006B030A"/>
    <w:rsid w:val="006B0A44"/>
    <w:rsid w:val="006B23E4"/>
    <w:rsid w:val="006B3242"/>
    <w:rsid w:val="006B387F"/>
    <w:rsid w:val="006B792C"/>
    <w:rsid w:val="006C0845"/>
    <w:rsid w:val="006C64B9"/>
    <w:rsid w:val="006C709B"/>
    <w:rsid w:val="006D52FA"/>
    <w:rsid w:val="006D7C0A"/>
    <w:rsid w:val="006D7FA5"/>
    <w:rsid w:val="006E0347"/>
    <w:rsid w:val="006E515C"/>
    <w:rsid w:val="006E6624"/>
    <w:rsid w:val="006E676C"/>
    <w:rsid w:val="006E776A"/>
    <w:rsid w:val="006F0705"/>
    <w:rsid w:val="006F0ABB"/>
    <w:rsid w:val="006F7D8B"/>
    <w:rsid w:val="0070072A"/>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36867"/>
    <w:rsid w:val="007406EB"/>
    <w:rsid w:val="00741F9E"/>
    <w:rsid w:val="00742EB6"/>
    <w:rsid w:val="007432B1"/>
    <w:rsid w:val="00744EA3"/>
    <w:rsid w:val="00746AC9"/>
    <w:rsid w:val="00752095"/>
    <w:rsid w:val="007550F0"/>
    <w:rsid w:val="007564D7"/>
    <w:rsid w:val="00760011"/>
    <w:rsid w:val="00760D73"/>
    <w:rsid w:val="007626E8"/>
    <w:rsid w:val="0076368A"/>
    <w:rsid w:val="0076525C"/>
    <w:rsid w:val="00767BCA"/>
    <w:rsid w:val="00767EAD"/>
    <w:rsid w:val="0077047A"/>
    <w:rsid w:val="00774143"/>
    <w:rsid w:val="00775E8D"/>
    <w:rsid w:val="007764DE"/>
    <w:rsid w:val="00783CEF"/>
    <w:rsid w:val="00792CBB"/>
    <w:rsid w:val="00792E9F"/>
    <w:rsid w:val="00796FD8"/>
    <w:rsid w:val="007978DA"/>
    <w:rsid w:val="00797D49"/>
    <w:rsid w:val="007A1A72"/>
    <w:rsid w:val="007A3913"/>
    <w:rsid w:val="007A7879"/>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623"/>
    <w:rsid w:val="00805A6B"/>
    <w:rsid w:val="00805B99"/>
    <w:rsid w:val="0081089F"/>
    <w:rsid w:val="00811DB8"/>
    <w:rsid w:val="00811ED6"/>
    <w:rsid w:val="0081225F"/>
    <w:rsid w:val="00815CF0"/>
    <w:rsid w:val="00817230"/>
    <w:rsid w:val="00822D96"/>
    <w:rsid w:val="00824488"/>
    <w:rsid w:val="00824A2F"/>
    <w:rsid w:val="008251DE"/>
    <w:rsid w:val="0082538D"/>
    <w:rsid w:val="0082579D"/>
    <w:rsid w:val="008303B6"/>
    <w:rsid w:val="00830DDD"/>
    <w:rsid w:val="00834461"/>
    <w:rsid w:val="00834745"/>
    <w:rsid w:val="0083611E"/>
    <w:rsid w:val="00850A32"/>
    <w:rsid w:val="00851806"/>
    <w:rsid w:val="00852E96"/>
    <w:rsid w:val="00853D9C"/>
    <w:rsid w:val="00854CFD"/>
    <w:rsid w:val="00856406"/>
    <w:rsid w:val="00857358"/>
    <w:rsid w:val="0085791F"/>
    <w:rsid w:val="008714DD"/>
    <w:rsid w:val="00873EA9"/>
    <w:rsid w:val="00874A27"/>
    <w:rsid w:val="00875846"/>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B5775"/>
    <w:rsid w:val="008B6360"/>
    <w:rsid w:val="008C2AD4"/>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3203A"/>
    <w:rsid w:val="009322DB"/>
    <w:rsid w:val="00932F8B"/>
    <w:rsid w:val="00933D88"/>
    <w:rsid w:val="00934AD6"/>
    <w:rsid w:val="0094052F"/>
    <w:rsid w:val="00941349"/>
    <w:rsid w:val="00941F15"/>
    <w:rsid w:val="009441CD"/>
    <w:rsid w:val="00945486"/>
    <w:rsid w:val="00946719"/>
    <w:rsid w:val="009479E2"/>
    <w:rsid w:val="009522B6"/>
    <w:rsid w:val="00952E62"/>
    <w:rsid w:val="00953B58"/>
    <w:rsid w:val="00954925"/>
    <w:rsid w:val="00963879"/>
    <w:rsid w:val="00963B40"/>
    <w:rsid w:val="00964A82"/>
    <w:rsid w:val="009653D4"/>
    <w:rsid w:val="00970D35"/>
    <w:rsid w:val="00970F26"/>
    <w:rsid w:val="009757F1"/>
    <w:rsid w:val="00976B06"/>
    <w:rsid w:val="009805B3"/>
    <w:rsid w:val="00984FE4"/>
    <w:rsid w:val="00985435"/>
    <w:rsid w:val="00991850"/>
    <w:rsid w:val="00996F4A"/>
    <w:rsid w:val="009A011B"/>
    <w:rsid w:val="009A116D"/>
    <w:rsid w:val="009A129D"/>
    <w:rsid w:val="009A2C52"/>
    <w:rsid w:val="009A395A"/>
    <w:rsid w:val="009A46B4"/>
    <w:rsid w:val="009B026D"/>
    <w:rsid w:val="009B0ED6"/>
    <w:rsid w:val="009B3B1E"/>
    <w:rsid w:val="009B598C"/>
    <w:rsid w:val="009C2AD1"/>
    <w:rsid w:val="009C57B6"/>
    <w:rsid w:val="009D0A19"/>
    <w:rsid w:val="009D64D3"/>
    <w:rsid w:val="009E2FBC"/>
    <w:rsid w:val="009E3100"/>
    <w:rsid w:val="009E734E"/>
    <w:rsid w:val="009E7F20"/>
    <w:rsid w:val="009F132C"/>
    <w:rsid w:val="00A01A02"/>
    <w:rsid w:val="00A025AC"/>
    <w:rsid w:val="00A04DF8"/>
    <w:rsid w:val="00A067A3"/>
    <w:rsid w:val="00A06809"/>
    <w:rsid w:val="00A06D01"/>
    <w:rsid w:val="00A111BB"/>
    <w:rsid w:val="00A12C46"/>
    <w:rsid w:val="00A12FAC"/>
    <w:rsid w:val="00A162D8"/>
    <w:rsid w:val="00A16F4D"/>
    <w:rsid w:val="00A2005B"/>
    <w:rsid w:val="00A21457"/>
    <w:rsid w:val="00A22B70"/>
    <w:rsid w:val="00A2305D"/>
    <w:rsid w:val="00A25DB9"/>
    <w:rsid w:val="00A27CAA"/>
    <w:rsid w:val="00A308CE"/>
    <w:rsid w:val="00A323F9"/>
    <w:rsid w:val="00A36BF6"/>
    <w:rsid w:val="00A37A7E"/>
    <w:rsid w:val="00A37EA7"/>
    <w:rsid w:val="00A41195"/>
    <w:rsid w:val="00A43284"/>
    <w:rsid w:val="00A44A5C"/>
    <w:rsid w:val="00A46497"/>
    <w:rsid w:val="00A50942"/>
    <w:rsid w:val="00A523C2"/>
    <w:rsid w:val="00A53F45"/>
    <w:rsid w:val="00A55CA2"/>
    <w:rsid w:val="00A61E91"/>
    <w:rsid w:val="00A64357"/>
    <w:rsid w:val="00A64B1C"/>
    <w:rsid w:val="00A653A3"/>
    <w:rsid w:val="00A66640"/>
    <w:rsid w:val="00A66E3A"/>
    <w:rsid w:val="00A716C1"/>
    <w:rsid w:val="00A724A6"/>
    <w:rsid w:val="00A74A24"/>
    <w:rsid w:val="00A776CD"/>
    <w:rsid w:val="00A805C7"/>
    <w:rsid w:val="00A80AD4"/>
    <w:rsid w:val="00A82AA3"/>
    <w:rsid w:val="00A90F5C"/>
    <w:rsid w:val="00A91F08"/>
    <w:rsid w:val="00A94F97"/>
    <w:rsid w:val="00AA34F0"/>
    <w:rsid w:val="00AA3DA4"/>
    <w:rsid w:val="00AA4348"/>
    <w:rsid w:val="00AA4699"/>
    <w:rsid w:val="00AA5B4C"/>
    <w:rsid w:val="00AB23A2"/>
    <w:rsid w:val="00AB491A"/>
    <w:rsid w:val="00AB4DDE"/>
    <w:rsid w:val="00AB6112"/>
    <w:rsid w:val="00AB6D65"/>
    <w:rsid w:val="00AC2656"/>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4960"/>
    <w:rsid w:val="00B14D9A"/>
    <w:rsid w:val="00B15202"/>
    <w:rsid w:val="00B153F2"/>
    <w:rsid w:val="00B17115"/>
    <w:rsid w:val="00B17DC3"/>
    <w:rsid w:val="00B17FFB"/>
    <w:rsid w:val="00B20184"/>
    <w:rsid w:val="00B21FE8"/>
    <w:rsid w:val="00B23190"/>
    <w:rsid w:val="00B278B3"/>
    <w:rsid w:val="00B36691"/>
    <w:rsid w:val="00B40409"/>
    <w:rsid w:val="00B405AE"/>
    <w:rsid w:val="00B41E4B"/>
    <w:rsid w:val="00B5020E"/>
    <w:rsid w:val="00B51920"/>
    <w:rsid w:val="00B5267E"/>
    <w:rsid w:val="00B5500C"/>
    <w:rsid w:val="00B55487"/>
    <w:rsid w:val="00B5604A"/>
    <w:rsid w:val="00B6050A"/>
    <w:rsid w:val="00B6250E"/>
    <w:rsid w:val="00B62CF5"/>
    <w:rsid w:val="00B63755"/>
    <w:rsid w:val="00B657FB"/>
    <w:rsid w:val="00B65C30"/>
    <w:rsid w:val="00B76AB2"/>
    <w:rsid w:val="00B76F17"/>
    <w:rsid w:val="00B81755"/>
    <w:rsid w:val="00B86FD4"/>
    <w:rsid w:val="00B907F3"/>
    <w:rsid w:val="00B93FE4"/>
    <w:rsid w:val="00B96411"/>
    <w:rsid w:val="00B964FF"/>
    <w:rsid w:val="00BA212A"/>
    <w:rsid w:val="00BA536A"/>
    <w:rsid w:val="00BA5789"/>
    <w:rsid w:val="00BA5A54"/>
    <w:rsid w:val="00BA6CFD"/>
    <w:rsid w:val="00BA70E6"/>
    <w:rsid w:val="00BB0060"/>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387C"/>
    <w:rsid w:val="00C15AB8"/>
    <w:rsid w:val="00C171B3"/>
    <w:rsid w:val="00C22C85"/>
    <w:rsid w:val="00C23207"/>
    <w:rsid w:val="00C23570"/>
    <w:rsid w:val="00C243F0"/>
    <w:rsid w:val="00C2620B"/>
    <w:rsid w:val="00C30402"/>
    <w:rsid w:val="00C33DFD"/>
    <w:rsid w:val="00C3413F"/>
    <w:rsid w:val="00C358AD"/>
    <w:rsid w:val="00C36ECF"/>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67BC"/>
    <w:rsid w:val="00CB7166"/>
    <w:rsid w:val="00CB71E8"/>
    <w:rsid w:val="00CC0235"/>
    <w:rsid w:val="00CC03FA"/>
    <w:rsid w:val="00CC10B3"/>
    <w:rsid w:val="00CC26B7"/>
    <w:rsid w:val="00CC33B3"/>
    <w:rsid w:val="00CC366D"/>
    <w:rsid w:val="00CC502B"/>
    <w:rsid w:val="00CC755E"/>
    <w:rsid w:val="00CC7D03"/>
    <w:rsid w:val="00CD4EB3"/>
    <w:rsid w:val="00CD5D3D"/>
    <w:rsid w:val="00CD7A4F"/>
    <w:rsid w:val="00CE036B"/>
    <w:rsid w:val="00CE27EA"/>
    <w:rsid w:val="00CE2C3E"/>
    <w:rsid w:val="00CE3B50"/>
    <w:rsid w:val="00CE4F13"/>
    <w:rsid w:val="00CF1C7B"/>
    <w:rsid w:val="00CF34CD"/>
    <w:rsid w:val="00CF4421"/>
    <w:rsid w:val="00CF5AB5"/>
    <w:rsid w:val="00CF715F"/>
    <w:rsid w:val="00D016BA"/>
    <w:rsid w:val="00D10141"/>
    <w:rsid w:val="00D1103C"/>
    <w:rsid w:val="00D112B3"/>
    <w:rsid w:val="00D159DB"/>
    <w:rsid w:val="00D236B1"/>
    <w:rsid w:val="00D23C64"/>
    <w:rsid w:val="00D25E25"/>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12C4"/>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7ED"/>
    <w:rsid w:val="00DA2975"/>
    <w:rsid w:val="00DA31DE"/>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830"/>
    <w:rsid w:val="00DD1F8F"/>
    <w:rsid w:val="00DD3480"/>
    <w:rsid w:val="00DE126F"/>
    <w:rsid w:val="00DE12B0"/>
    <w:rsid w:val="00DE21D9"/>
    <w:rsid w:val="00DE29FC"/>
    <w:rsid w:val="00DE43C4"/>
    <w:rsid w:val="00DE5428"/>
    <w:rsid w:val="00DE639B"/>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011"/>
    <w:rsid w:val="00E47540"/>
    <w:rsid w:val="00E51A44"/>
    <w:rsid w:val="00E51D32"/>
    <w:rsid w:val="00E52950"/>
    <w:rsid w:val="00E5694C"/>
    <w:rsid w:val="00E60424"/>
    <w:rsid w:val="00E606A9"/>
    <w:rsid w:val="00E61142"/>
    <w:rsid w:val="00E617DF"/>
    <w:rsid w:val="00E62028"/>
    <w:rsid w:val="00E6230F"/>
    <w:rsid w:val="00E624E1"/>
    <w:rsid w:val="00E6496A"/>
    <w:rsid w:val="00E706AC"/>
    <w:rsid w:val="00E73D0D"/>
    <w:rsid w:val="00E80B52"/>
    <w:rsid w:val="00E81AFE"/>
    <w:rsid w:val="00E872EE"/>
    <w:rsid w:val="00E908B8"/>
    <w:rsid w:val="00E90EA9"/>
    <w:rsid w:val="00E9253C"/>
    <w:rsid w:val="00E93046"/>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290"/>
    <w:rsid w:val="00EE7F24"/>
    <w:rsid w:val="00EF0DAB"/>
    <w:rsid w:val="00EF112C"/>
    <w:rsid w:val="00EF1965"/>
    <w:rsid w:val="00EF2E32"/>
    <w:rsid w:val="00EF65BF"/>
    <w:rsid w:val="00EF6A25"/>
    <w:rsid w:val="00F1112A"/>
    <w:rsid w:val="00F118A6"/>
    <w:rsid w:val="00F11FFF"/>
    <w:rsid w:val="00F1335D"/>
    <w:rsid w:val="00F144BD"/>
    <w:rsid w:val="00F14EFA"/>
    <w:rsid w:val="00F155A1"/>
    <w:rsid w:val="00F173A1"/>
    <w:rsid w:val="00F22561"/>
    <w:rsid w:val="00F23F3F"/>
    <w:rsid w:val="00F24A4C"/>
    <w:rsid w:val="00F30414"/>
    <w:rsid w:val="00F36995"/>
    <w:rsid w:val="00F3737C"/>
    <w:rsid w:val="00F37868"/>
    <w:rsid w:val="00F40E37"/>
    <w:rsid w:val="00F437A5"/>
    <w:rsid w:val="00F44281"/>
    <w:rsid w:val="00F47C8F"/>
    <w:rsid w:val="00F502CC"/>
    <w:rsid w:val="00F534DC"/>
    <w:rsid w:val="00F5661E"/>
    <w:rsid w:val="00F567FF"/>
    <w:rsid w:val="00F6011D"/>
    <w:rsid w:val="00F65DBA"/>
    <w:rsid w:val="00F67DAA"/>
    <w:rsid w:val="00F71E97"/>
    <w:rsid w:val="00F75123"/>
    <w:rsid w:val="00F76A21"/>
    <w:rsid w:val="00F7771E"/>
    <w:rsid w:val="00F77FBC"/>
    <w:rsid w:val="00F80C78"/>
    <w:rsid w:val="00F8158D"/>
    <w:rsid w:val="00F81D58"/>
    <w:rsid w:val="00F8304F"/>
    <w:rsid w:val="00F85F64"/>
    <w:rsid w:val="00F872C9"/>
    <w:rsid w:val="00F91850"/>
    <w:rsid w:val="00F952EE"/>
    <w:rsid w:val="00F9780F"/>
    <w:rsid w:val="00FA130E"/>
    <w:rsid w:val="00FA28B8"/>
    <w:rsid w:val="00FA56F5"/>
    <w:rsid w:val="00FA7F4E"/>
    <w:rsid w:val="00FB2D4B"/>
    <w:rsid w:val="00FB31A2"/>
    <w:rsid w:val="00FB33F1"/>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8622">
      <w:bodyDiv w:val="1"/>
      <w:marLeft w:val="0"/>
      <w:marRight w:val="0"/>
      <w:marTop w:val="0"/>
      <w:marBottom w:val="0"/>
      <w:divBdr>
        <w:top w:val="none" w:sz="0" w:space="0" w:color="auto"/>
        <w:left w:val="none" w:sz="0" w:space="0" w:color="auto"/>
        <w:bottom w:val="none" w:sz="0" w:space="0" w:color="auto"/>
        <w:right w:val="none" w:sz="0" w:space="0" w:color="auto"/>
      </w:divBdr>
    </w:div>
    <w:div w:id="1448625484">
      <w:bodyDiv w:val="1"/>
      <w:marLeft w:val="0"/>
      <w:marRight w:val="0"/>
      <w:marTop w:val="0"/>
      <w:marBottom w:val="0"/>
      <w:divBdr>
        <w:top w:val="none" w:sz="0" w:space="0" w:color="auto"/>
        <w:left w:val="none" w:sz="0" w:space="0" w:color="auto"/>
        <w:bottom w:val="none" w:sz="0" w:space="0" w:color="auto"/>
        <w:right w:val="none" w:sz="0" w:space="0" w:color="auto"/>
      </w:divBdr>
    </w:div>
    <w:div w:id="1496998315">
      <w:bodyDiv w:val="1"/>
      <w:marLeft w:val="0"/>
      <w:marRight w:val="0"/>
      <w:marTop w:val="0"/>
      <w:marBottom w:val="0"/>
      <w:divBdr>
        <w:top w:val="none" w:sz="0" w:space="0" w:color="auto"/>
        <w:left w:val="none" w:sz="0" w:space="0" w:color="auto"/>
        <w:bottom w:val="none" w:sz="0" w:space="0" w:color="auto"/>
        <w:right w:val="none" w:sz="0" w:space="0" w:color="auto"/>
      </w:divBdr>
    </w:div>
    <w:div w:id="1526097132">
      <w:bodyDiv w:val="1"/>
      <w:marLeft w:val="0"/>
      <w:marRight w:val="0"/>
      <w:marTop w:val="0"/>
      <w:marBottom w:val="0"/>
      <w:divBdr>
        <w:top w:val="none" w:sz="0" w:space="0" w:color="auto"/>
        <w:left w:val="none" w:sz="0" w:space="0" w:color="auto"/>
        <w:bottom w:val="none" w:sz="0" w:space="0" w:color="auto"/>
        <w:right w:val="none" w:sz="0" w:space="0" w:color="auto"/>
      </w:divBdr>
    </w:div>
    <w:div w:id="1599407748">
      <w:bodyDiv w:val="1"/>
      <w:marLeft w:val="0"/>
      <w:marRight w:val="0"/>
      <w:marTop w:val="0"/>
      <w:marBottom w:val="0"/>
      <w:divBdr>
        <w:top w:val="none" w:sz="0" w:space="0" w:color="auto"/>
        <w:left w:val="none" w:sz="0" w:space="0" w:color="auto"/>
        <w:bottom w:val="none" w:sz="0" w:space="0" w:color="auto"/>
        <w:right w:val="none" w:sz="0" w:space="0" w:color="auto"/>
      </w:divBdr>
    </w:div>
    <w:div w:id="20369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07A3-1DDA-49A2-883F-AE34D440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Ana Lucia Caicedo Calderon</cp:lastModifiedBy>
  <cp:revision>2</cp:revision>
  <cp:lastPrinted>2017-05-25T16:40:00Z</cp:lastPrinted>
  <dcterms:created xsi:type="dcterms:W3CDTF">2017-07-06T19:54:00Z</dcterms:created>
  <dcterms:modified xsi:type="dcterms:W3CDTF">2017-07-06T19:54:00Z</dcterms:modified>
</cp:coreProperties>
</file>