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45DEB" w:rsidRPr="001E4ACB" w:rsidRDefault="00845DEB" w:rsidP="00845DEB">
      <w:pPr>
        <w:pStyle w:val="Puesto"/>
        <w:spacing w:line="240" w:lineRule="auto"/>
        <w:jc w:val="both"/>
        <w:rPr>
          <w:rFonts w:ascii="Tahoma" w:hAnsi="Tahoma" w:cs="Tahoma"/>
          <w:b w:val="0"/>
          <w:sz w:val="18"/>
          <w:szCs w:val="18"/>
        </w:rPr>
      </w:pPr>
      <w:r>
        <w:rPr>
          <w:rFonts w:ascii="Tahoma" w:hAnsi="Tahoma" w:cs="Tahoma"/>
          <w:b w:val="0"/>
          <w:sz w:val="18"/>
          <w:szCs w:val="18"/>
        </w:rPr>
        <w:t xml:space="preserve">Providencia: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Sentencia del </w:t>
      </w:r>
      <w:r w:rsidR="009B1FEB">
        <w:rPr>
          <w:rFonts w:ascii="Tahoma" w:hAnsi="Tahoma" w:cs="Tahoma"/>
          <w:b w:val="0"/>
          <w:sz w:val="18"/>
          <w:szCs w:val="18"/>
        </w:rPr>
        <w:t>11 de julio de</w:t>
      </w:r>
      <w:r w:rsidRPr="001E4ACB">
        <w:rPr>
          <w:rFonts w:ascii="Tahoma" w:hAnsi="Tahoma" w:cs="Tahoma"/>
          <w:b w:val="0"/>
          <w:sz w:val="18"/>
          <w:szCs w:val="18"/>
        </w:rPr>
        <w:t xml:space="preserve"> 201</w:t>
      </w:r>
      <w:r w:rsidR="009B1FEB">
        <w:rPr>
          <w:rFonts w:ascii="Tahoma" w:hAnsi="Tahoma" w:cs="Tahoma"/>
          <w:b w:val="0"/>
          <w:sz w:val="18"/>
          <w:szCs w:val="18"/>
        </w:rPr>
        <w:t>7</w:t>
      </w:r>
    </w:p>
    <w:p w:rsidR="00845DEB" w:rsidRPr="001E4ACB" w:rsidRDefault="00845DEB" w:rsidP="00845DEB">
      <w:pPr>
        <w:pStyle w:val="Puesto"/>
        <w:spacing w:line="240" w:lineRule="auto"/>
        <w:jc w:val="both"/>
        <w:rPr>
          <w:rFonts w:ascii="Tahoma" w:hAnsi="Tahoma" w:cs="Tahoma"/>
          <w:b w:val="0"/>
          <w:sz w:val="18"/>
          <w:szCs w:val="18"/>
        </w:rPr>
      </w:pPr>
      <w:r w:rsidRPr="001E4ACB">
        <w:rPr>
          <w:rFonts w:ascii="Tahoma" w:hAnsi="Tahoma" w:cs="Tahoma"/>
          <w:b w:val="0"/>
          <w:sz w:val="18"/>
          <w:szCs w:val="18"/>
        </w:rPr>
        <w:t>Radicación No.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66001-31-05-00</w:t>
      </w:r>
      <w:r w:rsidR="009B1FEB">
        <w:rPr>
          <w:rFonts w:ascii="Tahoma" w:hAnsi="Tahoma" w:cs="Tahoma"/>
          <w:b w:val="0"/>
          <w:sz w:val="18"/>
          <w:szCs w:val="18"/>
        </w:rPr>
        <w:t>5</w:t>
      </w:r>
      <w:r>
        <w:rPr>
          <w:rFonts w:ascii="Tahoma" w:hAnsi="Tahoma" w:cs="Tahoma"/>
          <w:b w:val="0"/>
          <w:sz w:val="18"/>
          <w:szCs w:val="18"/>
        </w:rPr>
        <w:t>-</w:t>
      </w:r>
      <w:r w:rsidRPr="001E4ACB">
        <w:rPr>
          <w:rFonts w:ascii="Tahoma" w:hAnsi="Tahoma" w:cs="Tahoma"/>
          <w:b w:val="0"/>
          <w:sz w:val="18"/>
          <w:szCs w:val="18"/>
        </w:rPr>
        <w:t>201</w:t>
      </w:r>
      <w:r>
        <w:rPr>
          <w:rFonts w:ascii="Tahoma" w:hAnsi="Tahoma" w:cs="Tahoma"/>
          <w:b w:val="0"/>
          <w:sz w:val="18"/>
          <w:szCs w:val="18"/>
        </w:rPr>
        <w:t>5</w:t>
      </w:r>
      <w:r w:rsidRPr="001E4ACB">
        <w:rPr>
          <w:rFonts w:ascii="Tahoma" w:hAnsi="Tahoma" w:cs="Tahoma"/>
          <w:b w:val="0"/>
          <w:sz w:val="18"/>
          <w:szCs w:val="18"/>
        </w:rPr>
        <w:t>-0</w:t>
      </w:r>
      <w:r>
        <w:rPr>
          <w:rFonts w:ascii="Tahoma" w:hAnsi="Tahoma" w:cs="Tahoma"/>
          <w:b w:val="0"/>
          <w:sz w:val="18"/>
          <w:szCs w:val="18"/>
        </w:rPr>
        <w:t>0</w:t>
      </w:r>
      <w:r w:rsidR="009B1FEB">
        <w:rPr>
          <w:rFonts w:ascii="Tahoma" w:hAnsi="Tahoma" w:cs="Tahoma"/>
          <w:b w:val="0"/>
          <w:sz w:val="18"/>
          <w:szCs w:val="18"/>
        </w:rPr>
        <w:t>659</w:t>
      </w:r>
      <w:r w:rsidRPr="001E4ACB">
        <w:rPr>
          <w:rFonts w:ascii="Tahoma" w:hAnsi="Tahoma" w:cs="Tahoma"/>
          <w:b w:val="0"/>
          <w:sz w:val="18"/>
          <w:szCs w:val="18"/>
        </w:rPr>
        <w:t xml:space="preserve">-01 </w:t>
      </w:r>
    </w:p>
    <w:p w:rsidR="00845DEB" w:rsidRPr="001E4ACB" w:rsidRDefault="00845DEB" w:rsidP="00845DEB">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Proceso: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Laboral Ordinario</w:t>
      </w:r>
    </w:p>
    <w:p w:rsidR="00845DEB" w:rsidRPr="001E4ACB" w:rsidRDefault="00845DEB" w:rsidP="00845DEB">
      <w:pPr>
        <w:pStyle w:val="Puesto"/>
        <w:spacing w:line="240" w:lineRule="auto"/>
        <w:jc w:val="both"/>
        <w:rPr>
          <w:rFonts w:ascii="Tahoma" w:hAnsi="Tahoma" w:cs="Tahoma"/>
          <w:b w:val="0"/>
          <w:sz w:val="18"/>
          <w:szCs w:val="18"/>
        </w:rPr>
      </w:pPr>
      <w:r w:rsidRPr="001E4ACB">
        <w:rPr>
          <w:rFonts w:ascii="Tahoma" w:hAnsi="Tahoma" w:cs="Tahoma"/>
          <w:b w:val="0"/>
          <w:sz w:val="18"/>
          <w:szCs w:val="18"/>
        </w:rPr>
        <w:t>Demandante</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009B1FEB">
        <w:rPr>
          <w:rFonts w:ascii="Tahoma" w:hAnsi="Tahoma" w:cs="Tahoma"/>
          <w:b w:val="0"/>
          <w:sz w:val="18"/>
          <w:szCs w:val="18"/>
        </w:rPr>
        <w:t>José Ovidio Hurtado Duque</w:t>
      </w:r>
    </w:p>
    <w:p w:rsidR="00845DEB" w:rsidRPr="001E4ACB" w:rsidRDefault="00845DEB" w:rsidP="00845DEB">
      <w:pPr>
        <w:pStyle w:val="Puesto"/>
        <w:spacing w:line="240" w:lineRule="auto"/>
        <w:ind w:left="1410" w:hanging="1410"/>
        <w:jc w:val="both"/>
        <w:rPr>
          <w:rFonts w:ascii="Tahoma" w:hAnsi="Tahoma" w:cs="Tahoma"/>
          <w:b w:val="0"/>
          <w:sz w:val="18"/>
          <w:szCs w:val="18"/>
        </w:rPr>
      </w:pPr>
      <w:r w:rsidRPr="001E4ACB">
        <w:rPr>
          <w:rFonts w:ascii="Tahoma" w:hAnsi="Tahoma" w:cs="Tahoma"/>
          <w:b w:val="0"/>
          <w:sz w:val="18"/>
          <w:szCs w:val="18"/>
        </w:rPr>
        <w:t>Demandado:</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 xml:space="preserve">Colpensiones </w:t>
      </w:r>
      <w:r w:rsidRPr="001E4ACB">
        <w:rPr>
          <w:rFonts w:ascii="Tahoma" w:hAnsi="Tahoma" w:cs="Tahoma"/>
          <w:b w:val="0"/>
          <w:sz w:val="18"/>
          <w:szCs w:val="18"/>
        </w:rPr>
        <w:t xml:space="preserve">  </w:t>
      </w:r>
    </w:p>
    <w:p w:rsidR="00845DEB" w:rsidRPr="001E4ACB" w:rsidRDefault="00845DEB" w:rsidP="00845DEB">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Juzgado de origen: </w:t>
      </w:r>
      <w:r w:rsidRPr="001E4ACB">
        <w:rPr>
          <w:rFonts w:ascii="Tahoma" w:hAnsi="Tahoma" w:cs="Tahoma"/>
          <w:b w:val="0"/>
          <w:sz w:val="18"/>
          <w:szCs w:val="18"/>
        </w:rPr>
        <w:tab/>
      </w:r>
      <w:r w:rsidRPr="001E4ACB">
        <w:rPr>
          <w:rFonts w:ascii="Tahoma" w:hAnsi="Tahoma" w:cs="Tahoma"/>
          <w:b w:val="0"/>
          <w:sz w:val="18"/>
          <w:szCs w:val="18"/>
        </w:rPr>
        <w:tab/>
      </w:r>
      <w:r w:rsidR="009B1FEB">
        <w:rPr>
          <w:rFonts w:ascii="Tahoma" w:hAnsi="Tahoma" w:cs="Tahoma"/>
          <w:b w:val="0"/>
          <w:sz w:val="18"/>
          <w:szCs w:val="18"/>
        </w:rPr>
        <w:t>Quint</w:t>
      </w:r>
      <w:r>
        <w:rPr>
          <w:rFonts w:ascii="Tahoma" w:hAnsi="Tahoma" w:cs="Tahoma"/>
          <w:b w:val="0"/>
          <w:sz w:val="18"/>
          <w:szCs w:val="18"/>
        </w:rPr>
        <w:t>o</w:t>
      </w:r>
      <w:r w:rsidRPr="001E4ACB">
        <w:rPr>
          <w:rFonts w:ascii="Tahoma" w:hAnsi="Tahoma" w:cs="Tahoma"/>
          <w:b w:val="0"/>
          <w:sz w:val="18"/>
          <w:szCs w:val="18"/>
        </w:rPr>
        <w:t xml:space="preserve"> Laboral del Circuito de Pereira  </w:t>
      </w:r>
    </w:p>
    <w:p w:rsidR="00845DEB" w:rsidRDefault="00845DEB" w:rsidP="00845DEB">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690B34" w:rsidRPr="00690B34" w:rsidRDefault="00690B34" w:rsidP="00845DEB">
      <w:pPr>
        <w:pStyle w:val="Puesto"/>
        <w:spacing w:line="240" w:lineRule="auto"/>
        <w:jc w:val="both"/>
        <w:rPr>
          <w:rFonts w:ascii="Tahoma" w:hAnsi="Tahoma" w:cs="Tahoma"/>
          <w:b w:val="0"/>
          <w:sz w:val="18"/>
          <w:szCs w:val="18"/>
        </w:rPr>
      </w:pPr>
      <w:r w:rsidRPr="00690B34">
        <w:rPr>
          <w:rFonts w:ascii="Tahoma" w:hAnsi="Tahoma" w:cs="Tahoma"/>
          <w:b w:val="0"/>
          <w:sz w:val="18"/>
          <w:szCs w:val="18"/>
        </w:rPr>
        <w:t>Magistrada que salva voto:</w:t>
      </w:r>
      <w:r w:rsidRPr="00690B34">
        <w:rPr>
          <w:rFonts w:ascii="Tahoma" w:hAnsi="Tahoma" w:cs="Tahoma"/>
          <w:b w:val="0"/>
          <w:sz w:val="18"/>
          <w:szCs w:val="18"/>
        </w:rPr>
        <w:tab/>
        <w:t>Dra. Ana Lucia Caicedo Calderón</w:t>
      </w:r>
    </w:p>
    <w:p w:rsidR="00845DEB" w:rsidRPr="00AE7E95" w:rsidRDefault="00845DEB" w:rsidP="00845DEB">
      <w:pPr>
        <w:pStyle w:val="Puesto"/>
        <w:spacing w:line="240" w:lineRule="auto"/>
        <w:ind w:left="2805" w:hanging="2805"/>
        <w:jc w:val="both"/>
        <w:rPr>
          <w:rFonts w:ascii="Tahoma" w:hAnsi="Tahoma" w:cs="Tahoma"/>
          <w:b w:val="0"/>
          <w:sz w:val="18"/>
          <w:szCs w:val="18"/>
        </w:rPr>
      </w:pPr>
      <w:r w:rsidRPr="00AE7E95">
        <w:rPr>
          <w:rFonts w:ascii="Tahoma" w:hAnsi="Tahoma" w:cs="Tahoma"/>
          <w:b w:val="0"/>
          <w:sz w:val="18"/>
          <w:szCs w:val="18"/>
        </w:rPr>
        <w:t xml:space="preserve">Tema: </w:t>
      </w:r>
      <w:r w:rsidRPr="00AE7E95">
        <w:rPr>
          <w:rFonts w:ascii="Tahoma" w:hAnsi="Tahoma" w:cs="Tahoma"/>
          <w:b w:val="0"/>
          <w:sz w:val="18"/>
          <w:szCs w:val="18"/>
        </w:rPr>
        <w:tab/>
      </w:r>
    </w:p>
    <w:p w:rsidR="00845DEB" w:rsidRDefault="00845DEB" w:rsidP="00845DEB">
      <w:pPr>
        <w:pStyle w:val="Puesto"/>
        <w:spacing w:line="240" w:lineRule="auto"/>
        <w:ind w:left="2805" w:hanging="2805"/>
        <w:jc w:val="both"/>
        <w:rPr>
          <w:rFonts w:ascii="Tahoma" w:hAnsi="Tahoma" w:cs="Tahoma"/>
          <w:b w:val="0"/>
          <w:sz w:val="18"/>
          <w:szCs w:val="18"/>
        </w:rPr>
      </w:pPr>
      <w:r>
        <w:rPr>
          <w:rFonts w:ascii="Tahoma" w:hAnsi="Tahoma" w:cs="Tahoma"/>
          <w:b w:val="0"/>
          <w:sz w:val="18"/>
          <w:szCs w:val="18"/>
        </w:rPr>
        <w:tab/>
      </w:r>
      <w:r w:rsidR="00AE7E95" w:rsidRPr="00845DEB">
        <w:rPr>
          <w:rFonts w:ascii="Tahoma" w:hAnsi="Tahoma" w:cs="Tahoma"/>
          <w:sz w:val="18"/>
          <w:szCs w:val="18"/>
          <w:u w:val="single"/>
        </w:rPr>
        <w:t>P</w:t>
      </w:r>
      <w:r w:rsidR="00AE7E95" w:rsidRPr="00845DEB">
        <w:rPr>
          <w:rFonts w:ascii="Tahoma" w:hAnsi="Tahoma" w:cs="Tahoma"/>
          <w:bCs/>
          <w:sz w:val="18"/>
          <w:szCs w:val="18"/>
          <w:u w:val="single"/>
        </w:rPr>
        <w:t>ensión</w:t>
      </w:r>
      <w:r w:rsidR="00AE7E95" w:rsidRPr="001E4ACB">
        <w:rPr>
          <w:rFonts w:ascii="Tahoma" w:hAnsi="Tahoma" w:cs="Tahoma"/>
          <w:bCs/>
          <w:sz w:val="18"/>
          <w:szCs w:val="18"/>
          <w:u w:val="single"/>
        </w:rPr>
        <w:t xml:space="preserve"> de jubilación por aportes requiere 1000 semanas</w:t>
      </w:r>
      <w:r w:rsidRPr="001E4ACB">
        <w:rPr>
          <w:rFonts w:ascii="Tahoma" w:hAnsi="Tahoma" w:cs="Tahoma"/>
          <w:bCs/>
          <w:sz w:val="18"/>
          <w:szCs w:val="18"/>
          <w:u w:val="single"/>
        </w:rPr>
        <w:t>:</w:t>
      </w:r>
      <w:r w:rsidRPr="001E4ACB">
        <w:rPr>
          <w:rFonts w:ascii="Tahoma" w:hAnsi="Tahoma" w:cs="Tahoma"/>
          <w:bCs/>
          <w:sz w:val="18"/>
          <w:szCs w:val="18"/>
        </w:rPr>
        <w:t xml:space="preserve"> </w:t>
      </w:r>
      <w:r w:rsidRPr="001E4ACB">
        <w:rPr>
          <w:rFonts w:ascii="Tahoma" w:hAnsi="Tahoma" w:cs="Tahoma"/>
          <w:b w:val="0"/>
          <w:sz w:val="18"/>
          <w:szCs w:val="18"/>
        </w:rPr>
        <w:t>Esta Corporación mediante providencia del 27 de mayo de 2011</w:t>
      </w:r>
      <w:r>
        <w:rPr>
          <w:rFonts w:ascii="Tahoma" w:hAnsi="Tahoma" w:cs="Tahoma"/>
          <w:b w:val="0"/>
          <w:sz w:val="18"/>
          <w:szCs w:val="18"/>
        </w:rPr>
        <w:t xml:space="preserve">, </w:t>
      </w:r>
      <w:r w:rsidRPr="001E4ACB">
        <w:rPr>
          <w:rFonts w:ascii="Tahoma" w:hAnsi="Tahoma" w:cs="Tahoma"/>
          <w:b w:val="0"/>
          <w:sz w:val="18"/>
          <w:szCs w:val="18"/>
        </w:rPr>
        <w:t>M.P. Dr. Francisco Javier Tamayo Tabares</w:t>
      </w:r>
      <w:r>
        <w:rPr>
          <w:rFonts w:ascii="Tahoma" w:hAnsi="Tahoma" w:cs="Tahoma"/>
          <w:b w:val="0"/>
          <w:sz w:val="18"/>
          <w:szCs w:val="18"/>
        </w:rPr>
        <w:t>, adoptó la posición según la cual</w:t>
      </w:r>
      <w:r w:rsidR="00AE7E95">
        <w:rPr>
          <w:rFonts w:ascii="Tahoma" w:hAnsi="Tahoma" w:cs="Tahoma"/>
          <w:b w:val="0"/>
          <w:sz w:val="18"/>
          <w:szCs w:val="18"/>
        </w:rPr>
        <w:t xml:space="preserve">, a efectos del reconocimiento de la pensión de jubilación </w:t>
      </w:r>
      <w:r w:rsidR="00AE7E95" w:rsidRPr="001E4ACB">
        <w:rPr>
          <w:rFonts w:ascii="Tahoma" w:hAnsi="Tahoma" w:cs="Tahoma"/>
          <w:b w:val="0"/>
          <w:sz w:val="18"/>
          <w:szCs w:val="18"/>
        </w:rPr>
        <w:t xml:space="preserve">por aportes consagrada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71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1988</w:t>
      </w:r>
      <w:r w:rsidR="00AE7E95">
        <w:rPr>
          <w:rFonts w:ascii="Tahoma" w:hAnsi="Tahoma" w:cs="Tahoma"/>
          <w:b w:val="0"/>
          <w:sz w:val="18"/>
          <w:szCs w:val="18"/>
        </w:rPr>
        <w:t xml:space="preserve">, </w:t>
      </w:r>
      <w:r w:rsidR="00AE7E95" w:rsidRPr="001E4ACB">
        <w:rPr>
          <w:rFonts w:ascii="Tahoma" w:hAnsi="Tahoma" w:cs="Tahoma"/>
          <w:b w:val="0"/>
          <w:sz w:val="18"/>
          <w:szCs w:val="18"/>
        </w:rPr>
        <w:t>debe entender</w:t>
      </w:r>
      <w:r w:rsidR="00AE7E95">
        <w:rPr>
          <w:rFonts w:ascii="Tahoma" w:hAnsi="Tahoma" w:cs="Tahoma"/>
          <w:b w:val="0"/>
          <w:sz w:val="18"/>
          <w:szCs w:val="18"/>
        </w:rPr>
        <w:t>se</w:t>
      </w:r>
      <w:r w:rsidR="00AE7E95" w:rsidRPr="001E4ACB">
        <w:rPr>
          <w:rFonts w:ascii="Tahoma" w:hAnsi="Tahoma" w:cs="Tahoma"/>
          <w:b w:val="0"/>
          <w:sz w:val="18"/>
          <w:szCs w:val="18"/>
        </w:rPr>
        <w:t xml:space="preserve"> que los 20 años de aportes acumulados en </w:t>
      </w:r>
      <w:r w:rsidR="00AE7E95">
        <w:rPr>
          <w:rFonts w:ascii="Tahoma" w:hAnsi="Tahoma" w:cs="Tahoma"/>
          <w:b w:val="0"/>
          <w:sz w:val="18"/>
          <w:szCs w:val="18"/>
        </w:rPr>
        <w:t>los sectores público y privado</w:t>
      </w:r>
      <w:r w:rsidR="00AE7E95" w:rsidRPr="001E4ACB">
        <w:rPr>
          <w:rFonts w:ascii="Tahoma" w:hAnsi="Tahoma" w:cs="Tahoma"/>
          <w:b w:val="0"/>
          <w:sz w:val="18"/>
          <w:szCs w:val="18"/>
        </w:rPr>
        <w:t xml:space="preserve"> equivalen a las 1000 semanas exigidas en el Acuerdo 049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 xml:space="preserve">1990 y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100 de 1993</w:t>
      </w:r>
      <w:r w:rsidR="00AE7E95">
        <w:rPr>
          <w:rFonts w:ascii="Tahoma" w:hAnsi="Tahoma" w:cs="Tahoma"/>
          <w:b w:val="0"/>
          <w:sz w:val="18"/>
          <w:szCs w:val="18"/>
        </w:rPr>
        <w:t>,</w:t>
      </w:r>
      <w:r w:rsidR="00AE7E95" w:rsidRPr="001E4ACB">
        <w:rPr>
          <w:rFonts w:ascii="Tahoma" w:hAnsi="Tahoma" w:cs="Tahoma"/>
          <w:b w:val="0"/>
          <w:sz w:val="18"/>
          <w:szCs w:val="18"/>
        </w:rPr>
        <w:t xml:space="preserve"> y no las 1.028,57 que se contabilizaban matemáticamente.</w:t>
      </w:r>
    </w:p>
    <w:p w:rsidR="00845DEB" w:rsidRDefault="00845DEB" w:rsidP="00845DEB">
      <w:pPr>
        <w:pStyle w:val="Puesto"/>
        <w:spacing w:line="240" w:lineRule="auto"/>
        <w:ind w:left="2805" w:hanging="2805"/>
        <w:jc w:val="both"/>
        <w:rPr>
          <w:rFonts w:ascii="Tahoma" w:hAnsi="Tahoma" w:cs="Tahoma"/>
          <w:b w:val="0"/>
          <w:sz w:val="18"/>
          <w:szCs w:val="18"/>
        </w:rPr>
      </w:pPr>
    </w:p>
    <w:p w:rsidR="00845DEB" w:rsidRPr="001E4ACB" w:rsidRDefault="00845DEB" w:rsidP="00845DEB">
      <w:pPr>
        <w:rPr>
          <w:sz w:val="20"/>
          <w:szCs w:val="20"/>
          <w:lang w:eastAsia="es-MX"/>
        </w:rPr>
      </w:pPr>
    </w:p>
    <w:p w:rsidR="00845DEB" w:rsidRPr="001E4ACB" w:rsidRDefault="00845DEB" w:rsidP="00845DEB">
      <w:pPr>
        <w:rPr>
          <w:sz w:val="20"/>
          <w:szCs w:val="20"/>
          <w:lang w:eastAsia="es-MX"/>
        </w:rPr>
      </w:pPr>
    </w:p>
    <w:p w:rsidR="00845DEB" w:rsidRPr="009B1FEB" w:rsidRDefault="00AE7E95" w:rsidP="00845DEB">
      <w:pPr>
        <w:pStyle w:val="Ttulo1"/>
        <w:widowControl/>
        <w:autoSpaceDE/>
        <w:autoSpaceDN/>
        <w:adjustRightInd/>
        <w:spacing w:line="360" w:lineRule="auto"/>
        <w:rPr>
          <w:rFonts w:ascii="Tahoma" w:hAnsi="Tahoma" w:cs="Tahoma"/>
          <w:bCs/>
          <w:sz w:val="24"/>
          <w:u w:val="single"/>
        </w:rPr>
      </w:pPr>
      <w:r w:rsidRPr="009B1FEB">
        <w:rPr>
          <w:rFonts w:ascii="Tahoma" w:hAnsi="Tahoma" w:cs="Tahoma"/>
          <w:bCs/>
          <w:sz w:val="24"/>
          <w:u w:val="single"/>
        </w:rPr>
        <w:t xml:space="preserve">SALVAMENTO </w:t>
      </w:r>
      <w:r w:rsidR="00845DEB" w:rsidRPr="009B1FEB">
        <w:rPr>
          <w:rFonts w:ascii="Tahoma" w:hAnsi="Tahoma" w:cs="Tahoma"/>
          <w:bCs/>
          <w:sz w:val="24"/>
          <w:u w:val="single"/>
        </w:rPr>
        <w:t>DE VOTO</w:t>
      </w:r>
    </w:p>
    <w:p w:rsidR="00845DEB" w:rsidRPr="001E4ACB" w:rsidRDefault="00845DEB" w:rsidP="00845DEB">
      <w:pPr>
        <w:spacing w:line="276" w:lineRule="auto"/>
        <w:jc w:val="both"/>
        <w:rPr>
          <w:rFonts w:ascii="Tahoma" w:hAnsi="Tahoma" w:cs="Tahoma"/>
          <w:b/>
          <w:bCs/>
          <w:sz w:val="28"/>
        </w:rPr>
      </w:pPr>
    </w:p>
    <w:p w:rsidR="00702EB4" w:rsidRDefault="00702EB4" w:rsidP="008B15B1">
      <w:pPr>
        <w:spacing w:line="276" w:lineRule="auto"/>
        <w:ind w:firstLine="851"/>
        <w:jc w:val="both"/>
        <w:rPr>
          <w:rFonts w:ascii="Tahoma" w:hAnsi="Tahoma" w:cs="Tahoma"/>
          <w:sz w:val="22"/>
          <w:szCs w:val="22"/>
        </w:rPr>
      </w:pPr>
      <w:r w:rsidRPr="00702EB4">
        <w:rPr>
          <w:rFonts w:ascii="Tahoma" w:hAnsi="Tahoma" w:cs="Tahoma"/>
          <w:sz w:val="22"/>
          <w:szCs w:val="22"/>
        </w:rPr>
        <w:t xml:space="preserve">Con mi acostumbrado respeto manifiesto mi inconformidad frente a la sentencia mayoritaria, por cuanto considero que en el presente caso había lugar a reconocer </w:t>
      </w:r>
      <w:r>
        <w:rPr>
          <w:rFonts w:ascii="Tahoma" w:hAnsi="Tahoma" w:cs="Tahoma"/>
          <w:sz w:val="22"/>
          <w:szCs w:val="22"/>
        </w:rPr>
        <w:t>al actor, en su calidad de beneficiario del régimen de transición,  la pensión de jubilación consagrada en la Ley 71 de 1988, pues con las 10</w:t>
      </w:r>
      <w:r w:rsidR="009B1FEB">
        <w:rPr>
          <w:rFonts w:ascii="Tahoma" w:hAnsi="Tahoma" w:cs="Tahoma"/>
          <w:sz w:val="22"/>
          <w:szCs w:val="22"/>
        </w:rPr>
        <w:t>13,14</w:t>
      </w:r>
      <w:r>
        <w:rPr>
          <w:rFonts w:ascii="Tahoma" w:hAnsi="Tahoma" w:cs="Tahoma"/>
          <w:sz w:val="22"/>
          <w:szCs w:val="22"/>
        </w:rPr>
        <w:t xml:space="preserve"> semanas cotizadas en los sectores público y privado cumple con los 20 años de servicios exigidos en dicha normativa.</w:t>
      </w:r>
      <w:r w:rsidR="008B15B1">
        <w:rPr>
          <w:rFonts w:ascii="Tahoma" w:hAnsi="Tahoma" w:cs="Tahoma"/>
          <w:sz w:val="22"/>
          <w:szCs w:val="22"/>
        </w:rPr>
        <w:t xml:space="preserve"> Ello por cuanto</w:t>
      </w:r>
      <w:r>
        <w:rPr>
          <w:rFonts w:ascii="Tahoma" w:hAnsi="Tahoma" w:cs="Tahoma"/>
          <w:sz w:val="22"/>
          <w:szCs w:val="22"/>
        </w:rPr>
        <w:t>, a</w:t>
      </w:r>
      <w:r w:rsidR="00845DEB" w:rsidRPr="00702EB4">
        <w:rPr>
          <w:rFonts w:ascii="Tahoma" w:hAnsi="Tahoma" w:cs="Tahoma"/>
          <w:sz w:val="22"/>
          <w:szCs w:val="22"/>
        </w:rPr>
        <w:t xml:space="preserve">ntes de </w:t>
      </w:r>
      <w:smartTag w:uri="urn:schemas-microsoft-com:office:smarttags" w:element="PersonName">
        <w:smartTagPr>
          <w:attr w:name="ProductID" w:val="la Ley"/>
        </w:smartTagPr>
        <w:r w:rsidR="00845DEB" w:rsidRPr="00702EB4">
          <w:rPr>
            <w:rFonts w:ascii="Tahoma" w:hAnsi="Tahoma" w:cs="Tahoma"/>
            <w:sz w:val="22"/>
            <w:szCs w:val="22"/>
          </w:rPr>
          <w:t>la Ley</w:t>
        </w:r>
      </w:smartTag>
      <w:r w:rsidR="00845DEB" w:rsidRPr="00702EB4">
        <w:rPr>
          <w:rFonts w:ascii="Tahoma" w:hAnsi="Tahoma" w:cs="Tahoma"/>
          <w:sz w:val="22"/>
          <w:szCs w:val="22"/>
        </w:rPr>
        <w:t xml:space="preserve"> 100</w:t>
      </w:r>
      <w:r>
        <w:rPr>
          <w:rFonts w:ascii="Tahoma" w:hAnsi="Tahoma" w:cs="Tahoma"/>
          <w:sz w:val="22"/>
          <w:szCs w:val="22"/>
        </w:rPr>
        <w:t xml:space="preserve"> de 1993</w:t>
      </w:r>
      <w:r w:rsidR="00845DEB" w:rsidRPr="00702EB4">
        <w:rPr>
          <w:rFonts w:ascii="Tahoma" w:hAnsi="Tahoma" w:cs="Tahoma"/>
          <w:sz w:val="22"/>
          <w:szCs w:val="22"/>
        </w:rPr>
        <w:t xml:space="preserve"> los empleados privados podían pensionarse con 1000 semanas, de modo que por derecho a la igualdad ese mismo rasero debería aplicarse al empleado público, tal y como lo sost</w:t>
      </w:r>
      <w:r>
        <w:rPr>
          <w:rFonts w:ascii="Tahoma" w:hAnsi="Tahoma" w:cs="Tahoma"/>
          <w:sz w:val="22"/>
          <w:szCs w:val="22"/>
        </w:rPr>
        <w:t xml:space="preserve">uvo esta Corporación en </w:t>
      </w:r>
      <w:r w:rsidR="00845DEB" w:rsidRPr="00702EB4">
        <w:rPr>
          <w:rFonts w:ascii="Tahoma" w:hAnsi="Tahoma" w:cs="Tahoma"/>
          <w:sz w:val="22"/>
          <w:szCs w:val="22"/>
        </w:rPr>
        <w:t>providencia del 27 de mayo de 2011</w:t>
      </w:r>
      <w:r>
        <w:rPr>
          <w:rFonts w:ascii="Tahoma" w:hAnsi="Tahoma" w:cs="Tahoma"/>
          <w:sz w:val="22"/>
          <w:szCs w:val="22"/>
        </w:rPr>
        <w:t xml:space="preserve">, </w:t>
      </w:r>
      <w:r w:rsidR="00845DEB" w:rsidRPr="00702EB4">
        <w:rPr>
          <w:rFonts w:ascii="Tahoma" w:hAnsi="Tahoma" w:cs="Tahoma"/>
          <w:sz w:val="22"/>
          <w:szCs w:val="22"/>
        </w:rPr>
        <w:t xml:space="preserve">M.P. Dr. </w:t>
      </w:r>
      <w:r w:rsidRPr="00702EB4">
        <w:rPr>
          <w:rFonts w:ascii="Tahoma" w:hAnsi="Tahoma" w:cs="Tahoma"/>
          <w:sz w:val="22"/>
          <w:szCs w:val="22"/>
        </w:rPr>
        <w:t>Francisco Javier Tamayo Tabares</w:t>
      </w:r>
      <w:r w:rsidR="008B15B1">
        <w:rPr>
          <w:rFonts w:ascii="Tahoma" w:hAnsi="Tahoma" w:cs="Tahoma"/>
          <w:sz w:val="22"/>
          <w:szCs w:val="22"/>
        </w:rPr>
        <w:t xml:space="preserve">, en la que se indicó que </w:t>
      </w:r>
      <w:r w:rsidR="008B15B1" w:rsidRPr="00702EB4">
        <w:rPr>
          <w:rFonts w:ascii="Tahoma" w:hAnsi="Tahoma" w:cs="Tahoma"/>
          <w:sz w:val="22"/>
          <w:szCs w:val="22"/>
        </w:rPr>
        <w:t xml:space="preserve">debía entenderse que los 20 años de aportes acumulados en una o varias de las entidades de previsión social y en el </w:t>
      </w:r>
      <w:r w:rsidR="008B15B1">
        <w:rPr>
          <w:rFonts w:ascii="Tahoma" w:hAnsi="Tahoma" w:cs="Tahoma"/>
          <w:sz w:val="22"/>
          <w:szCs w:val="22"/>
        </w:rPr>
        <w:t xml:space="preserve">entonces </w:t>
      </w:r>
      <w:r w:rsidR="008B15B1" w:rsidRPr="00702EB4">
        <w:rPr>
          <w:rFonts w:ascii="Tahoma" w:hAnsi="Tahoma" w:cs="Tahoma"/>
          <w:sz w:val="22"/>
          <w:szCs w:val="22"/>
        </w:rPr>
        <w:t>Instituto de Seguros Sociales, equival</w:t>
      </w:r>
      <w:r w:rsidR="00C7528F">
        <w:rPr>
          <w:rFonts w:ascii="Tahoma" w:hAnsi="Tahoma" w:cs="Tahoma"/>
          <w:sz w:val="22"/>
          <w:szCs w:val="22"/>
        </w:rPr>
        <w:t>ían</w:t>
      </w:r>
      <w:r w:rsidR="008B15B1" w:rsidRPr="00702EB4">
        <w:rPr>
          <w:rFonts w:ascii="Tahoma" w:hAnsi="Tahoma" w:cs="Tahoma"/>
          <w:sz w:val="22"/>
          <w:szCs w:val="22"/>
        </w:rPr>
        <w:t xml:space="preserve"> a las 1000 semanas exigidas en el Acuerdo 049 de 1990 y en </w:t>
      </w:r>
      <w:smartTag w:uri="urn:schemas-microsoft-com:office:smarttags" w:element="PersonName">
        <w:smartTagPr>
          <w:attr w:name="ProductID" w:val="la Ley"/>
        </w:smartTagPr>
        <w:r w:rsidR="008B15B1" w:rsidRPr="00702EB4">
          <w:rPr>
            <w:rFonts w:ascii="Tahoma" w:hAnsi="Tahoma" w:cs="Tahoma"/>
            <w:sz w:val="22"/>
            <w:szCs w:val="22"/>
          </w:rPr>
          <w:t>la Ley</w:t>
        </w:r>
      </w:smartTag>
      <w:r w:rsidR="008B15B1" w:rsidRPr="00702EB4">
        <w:rPr>
          <w:rFonts w:ascii="Tahoma" w:hAnsi="Tahoma" w:cs="Tahoma"/>
          <w:sz w:val="22"/>
          <w:szCs w:val="22"/>
        </w:rPr>
        <w:t xml:space="preserve"> 100 de 1993 y, no las 1.028,57 que se contabilizaban matemáticamente. </w:t>
      </w:r>
    </w:p>
    <w:p w:rsidR="00AE7E95" w:rsidRPr="00702EB4" w:rsidRDefault="008B15B1" w:rsidP="00702EB4">
      <w:pPr>
        <w:spacing w:line="276" w:lineRule="auto"/>
        <w:jc w:val="both"/>
        <w:rPr>
          <w:rFonts w:ascii="Tahoma" w:hAnsi="Tahoma" w:cs="Tahoma"/>
          <w:sz w:val="22"/>
          <w:szCs w:val="22"/>
        </w:rPr>
      </w:pPr>
      <w:r>
        <w:rPr>
          <w:rFonts w:ascii="Tahoma" w:hAnsi="Tahoma" w:cs="Tahoma"/>
          <w:sz w:val="22"/>
          <w:szCs w:val="22"/>
        </w:rPr>
        <w:tab/>
      </w:r>
    </w:p>
    <w:p w:rsidR="00AE7E95" w:rsidRPr="00702EB4" w:rsidRDefault="00AE7E95" w:rsidP="008B15B1">
      <w:pPr>
        <w:spacing w:line="276" w:lineRule="auto"/>
        <w:ind w:firstLine="708"/>
        <w:jc w:val="both"/>
        <w:rPr>
          <w:sz w:val="22"/>
          <w:szCs w:val="22"/>
        </w:rPr>
      </w:pPr>
      <w:r w:rsidRPr="00702EB4">
        <w:rPr>
          <w:rFonts w:ascii="Tahoma" w:hAnsi="Tahoma" w:cs="Tahoma"/>
          <w:sz w:val="22"/>
          <w:szCs w:val="22"/>
        </w:rPr>
        <w:t>Dicha posición se sustenta en el derecho fundamental a la igualdad y a criterios de justicia y equidad, pues no es lógico ni razonable, por ejemplo, que si el Acuerdo 049 de 1990 y la Ley 100 de 1993 original tenían como requisito 1000 semanas para acceder a la pensión de vejez y 60 años de edad</w:t>
      </w:r>
      <w:bookmarkStart w:id="0" w:name="_GoBack"/>
      <w:bookmarkEnd w:id="0"/>
      <w:r w:rsidRPr="00702EB4">
        <w:rPr>
          <w:rFonts w:ascii="Tahoma" w:hAnsi="Tahoma" w:cs="Tahoma"/>
          <w:sz w:val="22"/>
          <w:szCs w:val="22"/>
        </w:rPr>
        <w:t xml:space="preserve"> para los hombres, a una persona que supuestamente es “beneficiaria” del régimen de transición consagrado en el artículo 36 de la misma Ley 100 termine exigiéndosele 1.028 ó 1.042 semanas, es decir, más de las que necesitaría si no fuere “beneficiario” del régimen transicional, convirtiéndose el beneficio en un castigo. En otras palabras, no es justo que después de haber laborado un número significativo de años y de haber traspasado la edad de los 60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reemplazaría los beneficios que otorga una mesada pensional para la subsistencia de una persona en sus últimos años de vida.  </w:t>
      </w:r>
    </w:p>
    <w:p w:rsidR="00845DEB" w:rsidRPr="00702EB4" w:rsidRDefault="00845DEB" w:rsidP="00702EB4">
      <w:pPr>
        <w:spacing w:line="276" w:lineRule="auto"/>
        <w:jc w:val="both"/>
        <w:rPr>
          <w:rFonts w:ascii="Tahoma" w:hAnsi="Tahoma" w:cs="Tahoma"/>
          <w:sz w:val="22"/>
          <w:szCs w:val="22"/>
        </w:rPr>
      </w:pPr>
    </w:p>
    <w:p w:rsidR="00845DEB" w:rsidRPr="00702EB4" w:rsidRDefault="00845DEB" w:rsidP="00702EB4">
      <w:pPr>
        <w:pStyle w:val="Textoindependiente"/>
        <w:autoSpaceDE/>
        <w:autoSpaceDN/>
        <w:adjustRightInd/>
        <w:spacing w:line="276" w:lineRule="auto"/>
        <w:rPr>
          <w:rFonts w:ascii="Tahoma" w:hAnsi="Tahoma" w:cs="Tahoma"/>
          <w:sz w:val="22"/>
          <w:szCs w:val="22"/>
          <w:lang w:val="es-ES"/>
        </w:rPr>
      </w:pPr>
      <w:r w:rsidRPr="00702EB4">
        <w:rPr>
          <w:rFonts w:ascii="Tahoma" w:hAnsi="Tahoma" w:cs="Tahoma"/>
          <w:sz w:val="22"/>
          <w:szCs w:val="22"/>
          <w:lang w:val="es-ES"/>
        </w:rPr>
        <w:t xml:space="preserve">En estos términos sustento mi </w:t>
      </w:r>
      <w:r w:rsidR="00C7528F">
        <w:rPr>
          <w:rFonts w:ascii="Tahoma" w:hAnsi="Tahoma" w:cs="Tahoma"/>
          <w:sz w:val="22"/>
          <w:szCs w:val="22"/>
          <w:lang w:val="es-ES"/>
        </w:rPr>
        <w:t xml:space="preserve">salvamento </w:t>
      </w:r>
      <w:r w:rsidRPr="00702EB4">
        <w:rPr>
          <w:rFonts w:ascii="Tahoma" w:hAnsi="Tahoma" w:cs="Tahoma"/>
          <w:sz w:val="22"/>
          <w:szCs w:val="22"/>
          <w:lang w:val="es-ES"/>
        </w:rPr>
        <w:t>de voto.</w:t>
      </w:r>
    </w:p>
    <w:p w:rsidR="00845DEB" w:rsidRPr="00702EB4" w:rsidRDefault="00845DEB" w:rsidP="00702EB4">
      <w:pPr>
        <w:widowControl w:val="0"/>
        <w:autoSpaceDE w:val="0"/>
        <w:autoSpaceDN w:val="0"/>
        <w:adjustRightInd w:val="0"/>
        <w:spacing w:line="276" w:lineRule="auto"/>
        <w:jc w:val="both"/>
        <w:rPr>
          <w:rFonts w:ascii="Tahoma" w:hAnsi="Tahoma" w:cs="Tahoma"/>
          <w:sz w:val="22"/>
          <w:szCs w:val="22"/>
        </w:rPr>
      </w:pPr>
    </w:p>
    <w:p w:rsidR="00845DEB" w:rsidRDefault="00845DEB" w:rsidP="00702EB4">
      <w:pPr>
        <w:widowControl w:val="0"/>
        <w:autoSpaceDE w:val="0"/>
        <w:autoSpaceDN w:val="0"/>
        <w:adjustRightInd w:val="0"/>
        <w:spacing w:line="276" w:lineRule="auto"/>
        <w:jc w:val="both"/>
        <w:rPr>
          <w:rFonts w:ascii="Tahoma" w:hAnsi="Tahoma" w:cs="Tahoma"/>
          <w:sz w:val="22"/>
          <w:szCs w:val="22"/>
        </w:rPr>
      </w:pPr>
    </w:p>
    <w:p w:rsidR="00C7528F" w:rsidRPr="00702EB4" w:rsidRDefault="00C7528F" w:rsidP="00702EB4">
      <w:pPr>
        <w:widowControl w:val="0"/>
        <w:autoSpaceDE w:val="0"/>
        <w:autoSpaceDN w:val="0"/>
        <w:adjustRightInd w:val="0"/>
        <w:spacing w:line="276" w:lineRule="auto"/>
        <w:jc w:val="both"/>
        <w:rPr>
          <w:rFonts w:ascii="Tahoma" w:hAnsi="Tahoma" w:cs="Tahoma"/>
          <w:sz w:val="22"/>
          <w:szCs w:val="22"/>
        </w:rPr>
      </w:pPr>
    </w:p>
    <w:p w:rsidR="00845DEB" w:rsidRPr="001E4ACB" w:rsidRDefault="00845DEB" w:rsidP="00702EB4">
      <w:pPr>
        <w:pStyle w:val="Ttulo3"/>
        <w:spacing w:line="276" w:lineRule="auto"/>
        <w:rPr>
          <w:rFonts w:ascii="Tahoma" w:hAnsi="Tahoma" w:cs="Tahoma"/>
        </w:rPr>
      </w:pPr>
      <w:r w:rsidRPr="00702EB4">
        <w:rPr>
          <w:rFonts w:ascii="Tahoma" w:hAnsi="Tahoma" w:cs="Tahoma"/>
          <w:sz w:val="22"/>
          <w:szCs w:val="22"/>
        </w:rPr>
        <w:t>ANA LUCÍA CAICEDO CALDERÓN</w:t>
      </w:r>
    </w:p>
    <w:p w:rsidR="00845DEB" w:rsidRDefault="00845DEB" w:rsidP="00845DEB"/>
    <w:sectPr w:rsidR="00845DEB" w:rsidSect="009B1FEB">
      <w:footerReference w:type="even" r:id="rId6"/>
      <w:footerReference w:type="default" r:id="rId7"/>
      <w:pgSz w:w="12242" w:h="18722" w:code="14"/>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39" w:rsidRDefault="00A77C39">
      <w:r>
        <w:separator/>
      </w:r>
    </w:p>
  </w:endnote>
  <w:endnote w:type="continuationSeparator" w:id="0">
    <w:p w:rsidR="00A77C39" w:rsidRDefault="00A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C19" w:rsidRDefault="00A77C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3A17">
      <w:rPr>
        <w:rStyle w:val="Nmerodepgina"/>
        <w:noProof/>
      </w:rPr>
      <w:t>2</w:t>
    </w:r>
    <w:r>
      <w:rPr>
        <w:rStyle w:val="Nmerodepgina"/>
      </w:rPr>
      <w:fldChar w:fldCharType="end"/>
    </w:r>
  </w:p>
  <w:p w:rsidR="000E1C19" w:rsidRDefault="00A77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39" w:rsidRDefault="00A77C39">
      <w:r>
        <w:separator/>
      </w:r>
    </w:p>
  </w:footnote>
  <w:footnote w:type="continuationSeparator" w:id="0">
    <w:p w:rsidR="00A77C39" w:rsidRDefault="00A77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EB"/>
    <w:rsid w:val="001B2F02"/>
    <w:rsid w:val="001E3654"/>
    <w:rsid w:val="00690B34"/>
    <w:rsid w:val="006A6AB8"/>
    <w:rsid w:val="00702EB4"/>
    <w:rsid w:val="00845DEB"/>
    <w:rsid w:val="008743AC"/>
    <w:rsid w:val="008B15B1"/>
    <w:rsid w:val="009B1FEB"/>
    <w:rsid w:val="00A77C39"/>
    <w:rsid w:val="00AE7E95"/>
    <w:rsid w:val="00B02320"/>
    <w:rsid w:val="00C7528F"/>
    <w:rsid w:val="00D857B3"/>
    <w:rsid w:val="00F43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409B75-1F1E-4EB4-B5F2-6433EA4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45DEB"/>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45DEB"/>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5DEB"/>
    <w:rPr>
      <w:rFonts w:ascii="Arial" w:eastAsia="Times New Roman" w:hAnsi="Arial" w:cs="Arial"/>
      <w:b/>
      <w:sz w:val="28"/>
      <w:szCs w:val="24"/>
      <w:lang w:eastAsia="es-ES"/>
    </w:rPr>
  </w:style>
  <w:style w:type="character" w:customStyle="1" w:styleId="Ttulo3Car">
    <w:name w:val="Título 3 Car"/>
    <w:basedOn w:val="Fuentedeprrafopredeter"/>
    <w:link w:val="Ttulo3"/>
    <w:rsid w:val="00845DEB"/>
    <w:rPr>
      <w:rFonts w:ascii="Arial" w:eastAsia="Times New Roman" w:hAnsi="Arial" w:cs="Arial"/>
      <w:b/>
      <w:sz w:val="24"/>
      <w:szCs w:val="24"/>
      <w:lang w:eastAsia="es-ES"/>
    </w:rPr>
  </w:style>
  <w:style w:type="paragraph" w:styleId="Textoindependiente">
    <w:name w:val="Body Text"/>
    <w:basedOn w:val="Normal"/>
    <w:link w:val="TextoindependienteCar"/>
    <w:rsid w:val="00845DEB"/>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45DEB"/>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45DEB"/>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45DEB"/>
    <w:rPr>
      <w:rFonts w:ascii="Arial" w:eastAsia="Times New Roman" w:hAnsi="Arial" w:cs="Arial"/>
      <w:b/>
      <w:sz w:val="24"/>
      <w:szCs w:val="24"/>
      <w:lang w:eastAsia="es-ES"/>
    </w:rPr>
  </w:style>
  <w:style w:type="paragraph" w:styleId="Piedepgina">
    <w:name w:val="footer"/>
    <w:basedOn w:val="Normal"/>
    <w:link w:val="PiedepginaCar"/>
    <w:rsid w:val="00845DEB"/>
    <w:pPr>
      <w:tabs>
        <w:tab w:val="center" w:pos="4419"/>
        <w:tab w:val="right" w:pos="8838"/>
      </w:tabs>
    </w:pPr>
  </w:style>
  <w:style w:type="character" w:customStyle="1" w:styleId="PiedepginaCar">
    <w:name w:val="Pie de página Car"/>
    <w:basedOn w:val="Fuentedeprrafopredeter"/>
    <w:link w:val="Piedepgina"/>
    <w:rsid w:val="00845DEB"/>
    <w:rPr>
      <w:rFonts w:ascii="Times New Roman" w:eastAsia="Times New Roman" w:hAnsi="Times New Roman" w:cs="Times New Roman"/>
      <w:sz w:val="24"/>
      <w:szCs w:val="24"/>
      <w:lang w:eastAsia="es-ES"/>
    </w:rPr>
  </w:style>
  <w:style w:type="character" w:styleId="Nmerodepgina">
    <w:name w:val="page number"/>
    <w:basedOn w:val="Fuentedeprrafopredeter"/>
    <w:rsid w:val="00845DEB"/>
  </w:style>
  <w:style w:type="paragraph" w:styleId="Textodeglobo">
    <w:name w:val="Balloon Text"/>
    <w:basedOn w:val="Normal"/>
    <w:link w:val="TextodegloboCar"/>
    <w:uiPriority w:val="99"/>
    <w:semiHidden/>
    <w:unhideWhenUsed/>
    <w:rsid w:val="00C752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28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8</cp:revision>
  <cp:lastPrinted>2017-07-24T20:56:00Z</cp:lastPrinted>
  <dcterms:created xsi:type="dcterms:W3CDTF">2016-08-12T19:15:00Z</dcterms:created>
  <dcterms:modified xsi:type="dcterms:W3CDTF">2017-07-24T20:58:00Z</dcterms:modified>
</cp:coreProperties>
</file>