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33275" w:rsidRPr="005F31C4" w:rsidRDefault="00233275" w:rsidP="0023327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w:t>
      </w:r>
      <w:bookmarkStart w:id="0" w:name="_GoBack"/>
      <w:bookmarkEnd w:id="0"/>
      <w:r w:rsidRPr="005F31C4">
        <w:rPr>
          <w:rFonts w:ascii="Calibri" w:hAnsi="Calibri" w:cs="Calibri"/>
          <w:color w:val="FF0000"/>
          <w:spacing w:val="-6"/>
          <w:sz w:val="16"/>
          <w:szCs w:val="16"/>
          <w:lang w:val="es-CO" w:eastAsia="fr-FR"/>
        </w:rPr>
        <w:t xml:space="preserve"> la Secretaría de esta Sala. </w:t>
      </w:r>
    </w:p>
    <w:p w:rsidR="00233275" w:rsidRPr="00D85E04" w:rsidRDefault="00233275" w:rsidP="00233275">
      <w:pPr>
        <w:rPr>
          <w:rFonts w:ascii="Tahoma" w:hAnsi="Tahoma" w:cs="Tahoma"/>
          <w:b/>
          <w:sz w:val="18"/>
          <w:szCs w:val="18"/>
          <w:lang w:val="es-CO"/>
        </w:rPr>
      </w:pPr>
    </w:p>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32738C">
        <w:rPr>
          <w:rFonts w:ascii="Tahoma" w:hAnsi="Tahoma" w:cs="Tahoma"/>
          <w:b w:val="0"/>
          <w:bCs/>
          <w:sz w:val="18"/>
          <w:szCs w:val="18"/>
        </w:rPr>
        <w:t>8</w:t>
      </w:r>
      <w:r w:rsidR="00B076E2">
        <w:rPr>
          <w:rFonts w:ascii="Tahoma" w:hAnsi="Tahoma" w:cs="Tahoma"/>
          <w:b w:val="0"/>
          <w:bCs/>
          <w:sz w:val="18"/>
          <w:szCs w:val="18"/>
        </w:rPr>
        <w:t xml:space="preserve"> de septiembre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346EA7">
        <w:rPr>
          <w:rFonts w:ascii="Tahoma" w:hAnsi="Tahoma" w:cs="Tahoma"/>
          <w:b w:val="0"/>
          <w:sz w:val="18"/>
          <w:szCs w:val="18"/>
        </w:rPr>
        <w:t>003-2010-00844-02</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346EA7">
        <w:rPr>
          <w:rFonts w:ascii="Tahoma" w:hAnsi="Tahoma" w:cs="Tahoma"/>
          <w:b w:val="0"/>
          <w:sz w:val="18"/>
          <w:szCs w:val="18"/>
        </w:rPr>
        <w:t>RUBIELA TORO MUÑOZ</w:t>
      </w:r>
    </w:p>
    <w:p w:rsidR="00953B58" w:rsidRDefault="009D0A19" w:rsidP="002B0D72">
      <w:pPr>
        <w:pStyle w:val="Puesto"/>
        <w:spacing w:line="240" w:lineRule="auto"/>
        <w:ind w:left="2130" w:hanging="2130"/>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46EA7">
        <w:rPr>
          <w:rFonts w:ascii="Tahoma" w:hAnsi="Tahoma" w:cs="Tahoma"/>
          <w:b w:val="0"/>
          <w:sz w:val="18"/>
          <w:szCs w:val="18"/>
        </w:rPr>
        <w:t>UNIDAD ADMINISTRATIVA ESPECIAL DE GESTIÓN PENSIONAL Y</w:t>
      </w:r>
    </w:p>
    <w:p w:rsidR="00D3635B" w:rsidRPr="002979DE" w:rsidRDefault="00346EA7" w:rsidP="00953B58">
      <w:pPr>
        <w:pStyle w:val="Puesto"/>
        <w:spacing w:line="240" w:lineRule="auto"/>
        <w:ind w:left="4966" w:hanging="2130"/>
        <w:jc w:val="both"/>
        <w:rPr>
          <w:rFonts w:ascii="Tahoma" w:hAnsi="Tahoma" w:cs="Tahoma"/>
          <w:b w:val="0"/>
          <w:sz w:val="18"/>
          <w:szCs w:val="18"/>
        </w:rPr>
      </w:pPr>
      <w:r>
        <w:rPr>
          <w:rFonts w:ascii="Tahoma" w:hAnsi="Tahoma" w:cs="Tahoma"/>
          <w:b w:val="0"/>
          <w:sz w:val="18"/>
          <w:szCs w:val="18"/>
        </w:rPr>
        <w:t xml:space="preserve">CONTRIBUCIONES PARAFISCALES DE LA PROTECCIÓN SOCIAL -UGPP- </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346EA7">
        <w:rPr>
          <w:rFonts w:ascii="Tahoma" w:hAnsi="Tahoma" w:cs="Tahoma"/>
          <w:b w:val="0"/>
          <w:sz w:val="18"/>
          <w:szCs w:val="18"/>
        </w:rPr>
        <w:t>Tercero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5D0B75" w:rsidRDefault="009E3100" w:rsidP="005D0B75">
      <w:pPr>
        <w:pStyle w:val="Puesto"/>
        <w:spacing w:line="240" w:lineRule="auto"/>
        <w:jc w:val="both"/>
        <w:rPr>
          <w:rFonts w:ascii="Tahoma" w:hAnsi="Tahoma" w:cs="Tahoma"/>
          <w:b w:val="0"/>
          <w:sz w:val="18"/>
          <w:szCs w:val="18"/>
        </w:rPr>
      </w:pPr>
      <w:r>
        <w:rPr>
          <w:rFonts w:ascii="Tahoma" w:hAnsi="Tahoma" w:cs="Tahoma"/>
          <w:b w:val="0"/>
          <w:sz w:val="18"/>
          <w:szCs w:val="18"/>
        </w:rPr>
        <w:t>Tema</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w:t>
      </w:r>
      <w:r>
        <w:rPr>
          <w:rFonts w:ascii="Tahoma" w:hAnsi="Tahoma" w:cs="Tahoma"/>
          <w:b w:val="0"/>
          <w:sz w:val="18"/>
          <w:szCs w:val="18"/>
        </w:rPr>
        <w:tab/>
      </w:r>
    </w:p>
    <w:p w:rsidR="00EC03C5" w:rsidRPr="00EC03C5" w:rsidRDefault="005D0B75" w:rsidP="00EC03C5">
      <w:pPr>
        <w:ind w:left="2836"/>
        <w:jc w:val="both"/>
        <w:rPr>
          <w:rFonts w:ascii="Tahoma" w:hAnsi="Tahoma" w:cs="Tahoma"/>
          <w:bCs/>
          <w:spacing w:val="2"/>
          <w:sz w:val="18"/>
          <w:szCs w:val="18"/>
        </w:rPr>
      </w:pPr>
      <w:r w:rsidRPr="005D0B75">
        <w:rPr>
          <w:rFonts w:ascii="Tahoma" w:hAnsi="Tahoma" w:cs="Tahoma"/>
          <w:b/>
          <w:bCs/>
          <w:spacing w:val="2"/>
          <w:sz w:val="18"/>
          <w:szCs w:val="18"/>
        </w:rPr>
        <w:t>ÍNDICES DE PRECIOS AL CONSUMIDOR QUE SE DEBEN TENER EN CUENTA A LA HORA INDEXAR LA PRIMERA MESADA PENSIONAL</w:t>
      </w:r>
      <w:r w:rsidR="00183192">
        <w:rPr>
          <w:rFonts w:ascii="Tahoma" w:hAnsi="Tahoma" w:cs="Tahoma"/>
          <w:b/>
          <w:bCs/>
          <w:spacing w:val="2"/>
          <w:sz w:val="18"/>
          <w:szCs w:val="18"/>
        </w:rPr>
        <w:t xml:space="preserve">: </w:t>
      </w:r>
      <w:r w:rsidRPr="005D0B75">
        <w:rPr>
          <w:rFonts w:ascii="Tahoma" w:hAnsi="Tahoma" w:cs="Tahoma"/>
          <w:bCs/>
          <w:spacing w:val="2"/>
          <w:sz w:val="18"/>
          <w:szCs w:val="18"/>
        </w:rPr>
        <w:t xml:space="preserve">[d]e </w:t>
      </w:r>
      <w:r w:rsidR="00EC03C5" w:rsidRPr="00EC03C5">
        <w:rPr>
          <w:rFonts w:ascii="Tahoma" w:hAnsi="Tahoma" w:cs="Tahoma"/>
          <w:bCs/>
          <w:spacing w:val="2"/>
          <w:sz w:val="18"/>
          <w:szCs w:val="18"/>
        </w:rPr>
        <w:t>acuerdo a la Sentencia SU-1073 de 2012, el ajuste de la mesada pensional en el presente caso, al aplicar la anterior fórmula financiera, se extrae de la siguiente manera:  el valor presente de la mesada (VR) se determina multiplicando el valor histórico (VH) que corresponde al promedio de lo devengado por la ejecutante durante el período comprendido entre el 1º de septiembre de 2001 al 30 de noviembre de 2004, multiplicado por el guarismo que resulte de dividir el IPC final vigente para la fecha de reconocimiento de la pensión (31 de diciembre de 2009) entre el IPC inicial que atañe al último mes del factor salarial promedio (noviembre de 2004). La anterior intelección pone de relieve que le asiste razón al petente toda vez que en el auto objeto de corrección se tomó como IPC final el que corresponde al mes de enero de 2009 cuando debió ser el del mes de diciembre de ese año, y se acogió como IPC inicial el del mes de diciembre de 2004 cuando debió ser el del mes de noviembre de esa anualidad.</w:t>
      </w:r>
    </w:p>
    <w:p w:rsidR="00EC03C5" w:rsidRPr="005D0B75" w:rsidRDefault="00EC03C5" w:rsidP="005D0B75">
      <w:pPr>
        <w:ind w:left="2836"/>
        <w:jc w:val="both"/>
        <w:rPr>
          <w:rFonts w:ascii="Tahoma" w:hAnsi="Tahoma" w:cs="Tahoma"/>
          <w:sz w:val="18"/>
          <w:szCs w:val="18"/>
        </w:rPr>
      </w:pPr>
    </w:p>
    <w:p w:rsidR="0025538B" w:rsidRDefault="0025538B" w:rsidP="0025538B">
      <w:pPr>
        <w:pStyle w:val="Puesto"/>
        <w:spacing w:line="240" w:lineRule="auto"/>
        <w:ind w:left="3196"/>
        <w:jc w:val="both"/>
        <w:rPr>
          <w:rFonts w:ascii="Tahoma" w:hAnsi="Tahoma" w:cs="Tahoma"/>
          <w:b w:val="0"/>
          <w:sz w:val="18"/>
          <w:szCs w:val="18"/>
        </w:rPr>
      </w:pPr>
    </w:p>
    <w:p w:rsidR="00183192" w:rsidRPr="00183192" w:rsidRDefault="00183192" w:rsidP="00183192">
      <w:pPr>
        <w:pStyle w:val="Puesto"/>
        <w:spacing w:line="240" w:lineRule="auto"/>
        <w:ind w:left="2836"/>
        <w:jc w:val="both"/>
        <w:rPr>
          <w:rFonts w:ascii="Tahoma" w:hAnsi="Tahoma" w:cs="Tahoma"/>
          <w:b w:val="0"/>
          <w:bCs/>
          <w:spacing w:val="2"/>
          <w:sz w:val="18"/>
          <w:szCs w:val="18"/>
        </w:rPr>
      </w:pPr>
      <w:r w:rsidRPr="00183192">
        <w:rPr>
          <w:rFonts w:ascii="Tahoma" w:hAnsi="Tahoma" w:cs="Tahoma"/>
          <w:bCs/>
          <w:spacing w:val="2"/>
          <w:sz w:val="18"/>
          <w:szCs w:val="18"/>
        </w:rPr>
        <w:t>TOMAR IPC EQUIVADOS AL MOMENTO DE APLICAR LA FORMULA DE LA INDEXACIÓN, CONSTITUYE ERROR ARITMETICO:</w:t>
      </w:r>
      <w:r>
        <w:rPr>
          <w:rFonts w:ascii="Tahoma" w:hAnsi="Tahoma" w:cs="Tahoma"/>
          <w:bCs/>
          <w:spacing w:val="2"/>
          <w:sz w:val="18"/>
          <w:szCs w:val="18"/>
        </w:rPr>
        <w:t xml:space="preserve"> </w:t>
      </w:r>
      <w:r w:rsidRPr="00183192">
        <w:rPr>
          <w:rFonts w:ascii="Tahoma" w:hAnsi="Tahoma" w:cs="Tahoma"/>
          <w:b w:val="0"/>
          <w:bCs/>
          <w:spacing w:val="2"/>
          <w:sz w:val="18"/>
          <w:szCs w:val="18"/>
        </w:rPr>
        <w:t xml:space="preserve">Ahora como quiera dicho error </w:t>
      </w:r>
      <w:r w:rsidRPr="00183192">
        <w:rPr>
          <w:rFonts w:ascii="Tahoma" w:hAnsi="Tahoma" w:cs="Tahoma"/>
          <w:b w:val="0"/>
          <w:sz w:val="18"/>
          <w:szCs w:val="18"/>
        </w:rPr>
        <w:t xml:space="preserve">no implica un cambio jurídico sustancial en la decisión que se tomó en la providencia en cuestión, ni altera o modifica la fórmula financiera que se utilizó para la indexación de la primera mesada pensional, ni altera los fundamentos jurídicos y fácticos de la decisión, hay lugar a concluir </w:t>
      </w:r>
      <w:r w:rsidRPr="00183192">
        <w:rPr>
          <w:rFonts w:ascii="Tahoma" w:hAnsi="Tahoma" w:cs="Tahoma"/>
          <w:b w:val="0"/>
          <w:bCs/>
          <w:spacing w:val="2"/>
          <w:sz w:val="18"/>
          <w:szCs w:val="18"/>
        </w:rPr>
        <w:t xml:space="preserve">que el error que se comete a la hora de determinar el IPC inicial o el IPC final que se debe tener en cuenta para aplicar la fórmula de la indexación de una suma de dinero constituye un error puramente aritmético.  </w:t>
      </w:r>
    </w:p>
    <w:p w:rsidR="00183192" w:rsidRPr="00183192" w:rsidRDefault="00183192" w:rsidP="00183192">
      <w:pPr>
        <w:pStyle w:val="Puesto"/>
        <w:spacing w:line="240" w:lineRule="auto"/>
        <w:jc w:val="both"/>
        <w:rPr>
          <w:rFonts w:ascii="Tahoma" w:hAnsi="Tahoma" w:cs="Tahoma"/>
          <w:sz w:val="18"/>
          <w:szCs w:val="18"/>
        </w:rPr>
      </w:pPr>
    </w:p>
    <w:p w:rsidR="00CF4FFD" w:rsidRDefault="00CF4FFD" w:rsidP="00540C45">
      <w:pPr>
        <w:pStyle w:val="Ttulo4"/>
        <w:widowControl w:val="0"/>
        <w:tabs>
          <w:tab w:val="clear" w:pos="0"/>
        </w:tabs>
        <w:rPr>
          <w:rFonts w:ascii="Tahoma" w:hAnsi="Tahoma" w:cs="Tahoma"/>
          <w:bCs/>
          <w:sz w:val="22"/>
          <w:szCs w:val="22"/>
          <w:lang w:eastAsia="es-MX"/>
        </w:rPr>
      </w:pPr>
    </w:p>
    <w:p w:rsidR="00D3635B" w:rsidRPr="003F6675" w:rsidRDefault="00D3635B" w:rsidP="00540C45">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540C45">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540C45">
      <w:pPr>
        <w:jc w:val="center"/>
        <w:rPr>
          <w:rFonts w:ascii="Tahoma" w:hAnsi="Tahoma" w:cs="Tahoma"/>
          <w:bCs/>
          <w:sz w:val="22"/>
          <w:szCs w:val="22"/>
        </w:rPr>
      </w:pPr>
    </w:p>
    <w:p w:rsidR="00D3635B" w:rsidRPr="003F6675" w:rsidRDefault="00D3635B" w:rsidP="00540C45">
      <w:pPr>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540C45">
      <w:pPr>
        <w:jc w:val="center"/>
        <w:rPr>
          <w:rFonts w:ascii="Tahoma" w:hAnsi="Tahoma" w:cs="Tahoma"/>
          <w:b/>
          <w:sz w:val="22"/>
          <w:szCs w:val="22"/>
        </w:rPr>
      </w:pPr>
    </w:p>
    <w:p w:rsidR="00FB2D4B" w:rsidRPr="003F6675" w:rsidRDefault="00540C45" w:rsidP="00540C45">
      <w:pPr>
        <w:jc w:val="center"/>
        <w:rPr>
          <w:rFonts w:ascii="Tahoma" w:hAnsi="Tahoma" w:cs="Tahoma"/>
          <w:b/>
          <w:sz w:val="22"/>
          <w:szCs w:val="22"/>
        </w:rPr>
      </w:pPr>
      <w:r w:rsidRPr="003F6675">
        <w:rPr>
          <w:rFonts w:ascii="Tahoma" w:hAnsi="Tahoma" w:cs="Tahoma"/>
          <w:b/>
          <w:sz w:val="22"/>
          <w:szCs w:val="22"/>
        </w:rPr>
        <w:t xml:space="preserve">Acta </w:t>
      </w:r>
      <w:r w:rsidR="00FB2D4B" w:rsidRPr="003F6675">
        <w:rPr>
          <w:rFonts w:ascii="Tahoma" w:hAnsi="Tahoma" w:cs="Tahoma"/>
          <w:b/>
          <w:sz w:val="22"/>
          <w:szCs w:val="22"/>
        </w:rPr>
        <w:t>No.____</w:t>
      </w:r>
    </w:p>
    <w:p w:rsidR="00D628A4" w:rsidRPr="003F6675" w:rsidRDefault="00D628A4" w:rsidP="00540C45">
      <w:pPr>
        <w:jc w:val="center"/>
        <w:rPr>
          <w:rFonts w:ascii="Tahoma" w:hAnsi="Tahoma" w:cs="Tahoma"/>
          <w:b/>
          <w:sz w:val="22"/>
          <w:szCs w:val="22"/>
        </w:rPr>
      </w:pPr>
    </w:p>
    <w:p w:rsidR="001F5F54" w:rsidRPr="003F6675" w:rsidRDefault="001F5F54" w:rsidP="00540C45">
      <w:pPr>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32738C">
        <w:rPr>
          <w:rFonts w:ascii="Tahoma" w:hAnsi="Tahoma" w:cs="Tahoma"/>
          <w:sz w:val="22"/>
          <w:szCs w:val="22"/>
          <w:lang w:val="es-ES_tradnl"/>
        </w:rPr>
        <w:t>8</w:t>
      </w:r>
      <w:r w:rsidR="00B076E2">
        <w:rPr>
          <w:rFonts w:ascii="Tahoma" w:hAnsi="Tahoma" w:cs="Tahoma"/>
          <w:sz w:val="22"/>
          <w:szCs w:val="22"/>
          <w:lang w:val="es-ES_tradnl"/>
        </w:rPr>
        <w:t xml:space="preserve"> de septiembre</w:t>
      </w:r>
      <w:r w:rsidR="00FF6D3B">
        <w:rPr>
          <w:rFonts w:ascii="Tahoma" w:hAnsi="Tahoma" w:cs="Tahoma"/>
          <w:sz w:val="22"/>
          <w:szCs w:val="22"/>
          <w:lang w:val="es-ES_tradnl"/>
        </w:rPr>
        <w:t xml:space="preserve"> de 2017</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 xml:space="preserve">Por medio de la presente providencia se entra a </w:t>
      </w:r>
      <w:r w:rsidR="00DE67BA">
        <w:rPr>
          <w:rFonts w:ascii="Tahoma" w:hAnsi="Tahoma" w:cs="Tahoma"/>
          <w:sz w:val="22"/>
          <w:szCs w:val="22"/>
          <w:lang w:val="es-ES_tradnl"/>
        </w:rPr>
        <w:t>resolver</w:t>
      </w:r>
      <w:r w:rsidRPr="003F6675">
        <w:rPr>
          <w:rFonts w:ascii="Tahoma" w:hAnsi="Tahoma" w:cs="Tahoma"/>
          <w:sz w:val="22"/>
          <w:szCs w:val="22"/>
          <w:lang w:val="es-ES_tradnl"/>
        </w:rPr>
        <w:t xml:space="preserve"> </w:t>
      </w:r>
      <w:r w:rsidR="00CF4FFD">
        <w:rPr>
          <w:rFonts w:ascii="Tahoma" w:hAnsi="Tahoma" w:cs="Tahoma"/>
          <w:sz w:val="22"/>
          <w:szCs w:val="22"/>
          <w:lang w:val="es-ES_tradnl"/>
        </w:rPr>
        <w:t xml:space="preserve">la solicitud de corrección aritmética hecha oportunamente por 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w:t>
      </w:r>
      <w:r w:rsidR="0043056B">
        <w:rPr>
          <w:rFonts w:ascii="Tahoma" w:hAnsi="Tahoma" w:cs="Tahoma"/>
          <w:sz w:val="22"/>
          <w:szCs w:val="22"/>
          <w:lang w:val="es-ES_tradnl"/>
        </w:rPr>
        <w:t xml:space="preserve">frente al auto del 14 de julio de este año proferida por </w:t>
      </w:r>
      <w:r w:rsidR="00DE67BA">
        <w:rPr>
          <w:rFonts w:ascii="Tahoma" w:hAnsi="Tahoma" w:cs="Tahoma"/>
          <w:sz w:val="22"/>
          <w:szCs w:val="22"/>
          <w:lang w:val="es-ES_tradnl"/>
        </w:rPr>
        <w:t xml:space="preserve">esta Corporación. </w:t>
      </w:r>
      <w:r w:rsidR="00EE7F24">
        <w:rPr>
          <w:rFonts w:ascii="Tahoma" w:hAnsi="Tahoma" w:cs="Tahoma"/>
          <w:sz w:val="22"/>
          <w:szCs w:val="22"/>
          <w:lang w:val="es-ES_tradnl"/>
        </w:rPr>
        <w:t xml:space="preserve"> </w:t>
      </w:r>
    </w:p>
    <w:p w:rsidR="00EE7F24" w:rsidRPr="003F6675" w:rsidRDefault="00EE7F24" w:rsidP="00540C45">
      <w:pPr>
        <w:ind w:firstLine="708"/>
        <w:jc w:val="both"/>
        <w:rPr>
          <w:rFonts w:ascii="Tahoma" w:hAnsi="Tahoma" w:cs="Tahoma"/>
          <w:sz w:val="22"/>
          <w:szCs w:val="22"/>
          <w:lang w:val="es-ES_tradnl"/>
        </w:rPr>
      </w:pPr>
    </w:p>
    <w:p w:rsidR="00CB7166"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6C0C" w:rsidRPr="003F6675" w:rsidRDefault="00696C0C" w:rsidP="003F6675">
      <w:pPr>
        <w:spacing w:line="276" w:lineRule="auto"/>
        <w:ind w:firstLine="708"/>
        <w:jc w:val="both"/>
        <w:rPr>
          <w:rFonts w:ascii="Tahoma" w:hAnsi="Tahoma" w:cs="Tahoma"/>
          <w:sz w:val="22"/>
          <w:szCs w:val="22"/>
        </w:rPr>
      </w:pP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696C0C" w:rsidP="00540C45">
      <w:pPr>
        <w:pStyle w:val="Prrafodelista"/>
        <w:numPr>
          <w:ilvl w:val="0"/>
          <w:numId w:val="15"/>
        </w:numPr>
        <w:tabs>
          <w:tab w:val="left" w:pos="142"/>
        </w:tabs>
        <w:spacing w:line="276" w:lineRule="auto"/>
        <w:ind w:left="0" w:firstLine="0"/>
        <w:jc w:val="center"/>
        <w:rPr>
          <w:rFonts w:ascii="Tahoma" w:hAnsi="Tahoma" w:cs="Tahoma"/>
          <w:b/>
          <w:sz w:val="22"/>
          <w:szCs w:val="22"/>
        </w:rPr>
      </w:pPr>
      <w:r>
        <w:rPr>
          <w:rFonts w:ascii="Tahoma" w:hAnsi="Tahoma" w:cs="Tahoma"/>
          <w:b/>
          <w:sz w:val="22"/>
          <w:szCs w:val="22"/>
          <w:u w:val="single"/>
        </w:rPr>
        <w:t>AUTO CUYA CORRECCIÓN ARITMÉTICA SE SOLICITA</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691EBE" w:rsidRDefault="00DD54F2" w:rsidP="003F6675">
      <w:pPr>
        <w:spacing w:line="276" w:lineRule="auto"/>
        <w:ind w:firstLine="708"/>
        <w:jc w:val="both"/>
        <w:rPr>
          <w:rFonts w:ascii="Tahoma" w:hAnsi="Tahoma" w:cs="Tahoma"/>
          <w:sz w:val="22"/>
          <w:szCs w:val="22"/>
        </w:rPr>
      </w:pPr>
      <w:r>
        <w:rPr>
          <w:rFonts w:ascii="Tahoma" w:hAnsi="Tahoma" w:cs="Tahoma"/>
          <w:sz w:val="22"/>
          <w:szCs w:val="22"/>
        </w:rPr>
        <w:lastRenderedPageBreak/>
        <w:t>El pasado 14 de julio la Sala mayoritaria modificó el mandamiento de pago proferido en primera instancia</w:t>
      </w:r>
      <w:r w:rsidR="00843BA8">
        <w:rPr>
          <w:rFonts w:ascii="Tahoma" w:hAnsi="Tahoma" w:cs="Tahoma"/>
          <w:sz w:val="22"/>
          <w:szCs w:val="22"/>
        </w:rPr>
        <w:t xml:space="preserve"> (folio 13 a 15 cuaderno de segunda instancia)</w:t>
      </w:r>
      <w:r>
        <w:rPr>
          <w:rFonts w:ascii="Tahoma" w:hAnsi="Tahoma" w:cs="Tahoma"/>
          <w:sz w:val="22"/>
          <w:szCs w:val="22"/>
        </w:rPr>
        <w:t>, para lo cual se entró a diferenciar entre lo que significa la indexación de la primera mesada y la actualización de la mesada pensional. Acto seguido la primera mesada pensional, que correspondía al promedio de lo devengado en el año 2004, se indexó h</w:t>
      </w:r>
      <w:r w:rsidR="002B1358">
        <w:rPr>
          <w:rFonts w:ascii="Tahoma" w:hAnsi="Tahoma" w:cs="Tahoma"/>
          <w:sz w:val="22"/>
          <w:szCs w:val="22"/>
        </w:rPr>
        <w:t>asta el 31 d</w:t>
      </w:r>
      <w:r w:rsidR="00DF09BA">
        <w:rPr>
          <w:rFonts w:ascii="Tahoma" w:hAnsi="Tahoma" w:cs="Tahoma"/>
          <w:sz w:val="22"/>
          <w:szCs w:val="22"/>
        </w:rPr>
        <w:t xml:space="preserve">e diciembre de 2009 (fecha de reconocimiento del derecho), obteniendo como primera mesada pensional la suma de $1.395.432. Posteriormente esa primera mesada pensional se actualizó hasta el 30 de junio de este año, y luego de descontar el valor pagado por la entidad ejecutada, </w:t>
      </w:r>
      <w:r w:rsidR="00691EBE">
        <w:rPr>
          <w:rFonts w:ascii="Tahoma" w:hAnsi="Tahoma" w:cs="Tahoma"/>
          <w:sz w:val="22"/>
          <w:szCs w:val="22"/>
        </w:rPr>
        <w:t xml:space="preserve">se obtuvo un </w:t>
      </w:r>
      <w:r w:rsidR="00DF09BA">
        <w:rPr>
          <w:rFonts w:ascii="Tahoma" w:hAnsi="Tahoma" w:cs="Tahoma"/>
          <w:sz w:val="22"/>
          <w:szCs w:val="22"/>
        </w:rPr>
        <w:t xml:space="preserve">retroactivo pensional </w:t>
      </w:r>
      <w:r w:rsidR="00691EBE">
        <w:rPr>
          <w:rFonts w:ascii="Tahoma" w:hAnsi="Tahoma" w:cs="Tahoma"/>
          <w:sz w:val="22"/>
          <w:szCs w:val="22"/>
        </w:rPr>
        <w:t xml:space="preserve">a favor de la ejecutante de $31.968.640,5. </w:t>
      </w:r>
    </w:p>
    <w:p w:rsidR="00691EBE" w:rsidRDefault="00691EBE" w:rsidP="003F6675">
      <w:pPr>
        <w:spacing w:line="276" w:lineRule="auto"/>
        <w:ind w:firstLine="708"/>
        <w:jc w:val="both"/>
        <w:rPr>
          <w:rFonts w:ascii="Tahoma" w:hAnsi="Tahoma" w:cs="Tahoma"/>
          <w:sz w:val="22"/>
          <w:szCs w:val="22"/>
        </w:rPr>
      </w:pPr>
    </w:p>
    <w:p w:rsidR="00696C0C" w:rsidRDefault="00696C0C" w:rsidP="003F6675">
      <w:pPr>
        <w:spacing w:line="276" w:lineRule="auto"/>
        <w:ind w:firstLine="708"/>
        <w:jc w:val="both"/>
        <w:rPr>
          <w:rFonts w:ascii="Tahoma" w:hAnsi="Tahoma" w:cs="Tahoma"/>
          <w:sz w:val="22"/>
          <w:szCs w:val="22"/>
        </w:rPr>
      </w:pPr>
    </w:p>
    <w:p w:rsidR="000F780E" w:rsidRPr="003F6675" w:rsidRDefault="00843BA8" w:rsidP="00540C45">
      <w:pPr>
        <w:pStyle w:val="Prrafodelista"/>
        <w:numPr>
          <w:ilvl w:val="0"/>
          <w:numId w:val="15"/>
        </w:numPr>
        <w:tabs>
          <w:tab w:val="left" w:pos="142"/>
        </w:tabs>
        <w:spacing w:line="276" w:lineRule="auto"/>
        <w:ind w:left="0" w:firstLine="0"/>
        <w:jc w:val="center"/>
        <w:rPr>
          <w:rFonts w:ascii="Tahoma" w:hAnsi="Tahoma" w:cs="Tahoma"/>
          <w:b/>
          <w:sz w:val="22"/>
          <w:szCs w:val="22"/>
          <w:u w:val="single"/>
        </w:rPr>
      </w:pPr>
      <w:r>
        <w:rPr>
          <w:rFonts w:ascii="Tahoma" w:hAnsi="Tahoma" w:cs="Tahoma"/>
          <w:b/>
          <w:sz w:val="22"/>
          <w:szCs w:val="22"/>
          <w:u w:val="single"/>
        </w:rPr>
        <w:t>SOLICITUD DE CORRECCIÓN POR ERROR ARITMÉTICO</w:t>
      </w:r>
    </w:p>
    <w:p w:rsidR="00803E0B" w:rsidRPr="003F6675" w:rsidRDefault="00803E0B" w:rsidP="003F6675">
      <w:pPr>
        <w:spacing w:line="276" w:lineRule="auto"/>
        <w:jc w:val="center"/>
        <w:rPr>
          <w:rFonts w:ascii="Tahoma" w:hAnsi="Tahoma" w:cs="Tahoma"/>
          <w:b/>
          <w:sz w:val="22"/>
          <w:szCs w:val="22"/>
          <w:u w:val="single"/>
        </w:rPr>
      </w:pPr>
    </w:p>
    <w:p w:rsidR="003D207B" w:rsidRDefault="00843BA8" w:rsidP="00B14960">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parte ejecutante manifiesta que la Sala incurrió </w:t>
      </w:r>
      <w:r w:rsidR="003D207B">
        <w:rPr>
          <w:rFonts w:ascii="Tahoma" w:hAnsi="Tahoma" w:cs="Tahoma"/>
          <w:sz w:val="22"/>
          <w:szCs w:val="22"/>
        </w:rPr>
        <w:t xml:space="preserve">en dos errores aritméticos al momento de indexar la primera mesada, toda vez que </w:t>
      </w:r>
      <w:r w:rsidR="003D207B">
        <w:rPr>
          <w:rFonts w:ascii="Tahoma" w:hAnsi="Tahoma" w:cs="Tahoma"/>
          <w:i/>
          <w:sz w:val="22"/>
          <w:szCs w:val="22"/>
        </w:rPr>
        <w:t xml:space="preserve">i) </w:t>
      </w:r>
      <w:r w:rsidR="003D207B">
        <w:rPr>
          <w:rFonts w:ascii="Tahoma" w:hAnsi="Tahoma" w:cs="Tahoma"/>
          <w:sz w:val="22"/>
          <w:szCs w:val="22"/>
        </w:rPr>
        <w:t>tomó como IPC inicial el que corresponde al mes de diciembre de 2004, cuando debió ser el del mes de noviembre de ese año, fecha hasta la cual se promedia</w:t>
      </w:r>
      <w:r w:rsidR="002A4D04">
        <w:rPr>
          <w:rFonts w:ascii="Tahoma" w:hAnsi="Tahoma" w:cs="Tahoma"/>
          <w:sz w:val="22"/>
          <w:szCs w:val="22"/>
        </w:rPr>
        <w:t xml:space="preserve">ron los factores </w:t>
      </w:r>
      <w:r w:rsidR="003D207B">
        <w:rPr>
          <w:rFonts w:ascii="Tahoma" w:hAnsi="Tahoma" w:cs="Tahoma"/>
          <w:sz w:val="22"/>
          <w:szCs w:val="22"/>
        </w:rPr>
        <w:t>salari</w:t>
      </w:r>
      <w:r w:rsidR="002A4D04">
        <w:rPr>
          <w:rFonts w:ascii="Tahoma" w:hAnsi="Tahoma" w:cs="Tahoma"/>
          <w:sz w:val="22"/>
          <w:szCs w:val="22"/>
        </w:rPr>
        <w:t>ales que dio origen a la mesada pensional adeudada</w:t>
      </w:r>
      <w:r w:rsidR="003D207B">
        <w:rPr>
          <w:rFonts w:ascii="Tahoma" w:hAnsi="Tahoma" w:cs="Tahoma"/>
          <w:sz w:val="22"/>
          <w:szCs w:val="22"/>
        </w:rPr>
        <w:t xml:space="preserve">, y, </w:t>
      </w:r>
      <w:r w:rsidR="003D207B">
        <w:rPr>
          <w:rFonts w:ascii="Tahoma" w:hAnsi="Tahoma" w:cs="Tahoma"/>
          <w:i/>
          <w:sz w:val="22"/>
          <w:szCs w:val="22"/>
        </w:rPr>
        <w:t xml:space="preserve">ii) </w:t>
      </w:r>
      <w:r w:rsidR="003D207B" w:rsidRPr="003D207B">
        <w:rPr>
          <w:rFonts w:ascii="Tahoma" w:hAnsi="Tahoma" w:cs="Tahoma"/>
          <w:sz w:val="22"/>
          <w:szCs w:val="22"/>
        </w:rPr>
        <w:t>tom</w:t>
      </w:r>
      <w:r w:rsidR="003D207B">
        <w:rPr>
          <w:rFonts w:ascii="Tahoma" w:hAnsi="Tahoma" w:cs="Tahoma"/>
          <w:sz w:val="22"/>
          <w:szCs w:val="22"/>
        </w:rPr>
        <w:t xml:space="preserve">ó como IPC final el que corresponde al mes de enero de 2009, cuando debió ser el de mes de diciembre de ese año por cuanto el pago de la mesada se ordenó a partir de esa calenda. </w:t>
      </w:r>
      <w:r w:rsidR="00696C0C">
        <w:rPr>
          <w:rFonts w:ascii="Tahoma" w:hAnsi="Tahoma" w:cs="Tahoma"/>
          <w:sz w:val="22"/>
          <w:szCs w:val="22"/>
        </w:rPr>
        <w:t>Manifiesta el solicitante que el error en el IPC inicial y</w:t>
      </w:r>
      <w:r w:rsidR="002A4D04">
        <w:rPr>
          <w:rFonts w:ascii="Tahoma" w:hAnsi="Tahoma" w:cs="Tahoma"/>
          <w:sz w:val="22"/>
          <w:szCs w:val="22"/>
        </w:rPr>
        <w:t xml:space="preserve"> e</w:t>
      </w:r>
      <w:r w:rsidR="00696C0C">
        <w:rPr>
          <w:rFonts w:ascii="Tahoma" w:hAnsi="Tahoma" w:cs="Tahoma"/>
          <w:sz w:val="22"/>
          <w:szCs w:val="22"/>
        </w:rPr>
        <w:t xml:space="preserve">l IPC final impacta negativamente no solo la liquidación del retroactivo </w:t>
      </w:r>
      <w:r w:rsidR="002A4D04">
        <w:rPr>
          <w:rFonts w:ascii="Tahoma" w:hAnsi="Tahoma" w:cs="Tahoma"/>
          <w:sz w:val="22"/>
          <w:szCs w:val="22"/>
        </w:rPr>
        <w:t xml:space="preserve">pensional </w:t>
      </w:r>
      <w:r w:rsidR="00696C0C">
        <w:rPr>
          <w:rFonts w:ascii="Tahoma" w:hAnsi="Tahoma" w:cs="Tahoma"/>
          <w:sz w:val="22"/>
          <w:szCs w:val="22"/>
        </w:rPr>
        <w:t>sino en el valor de las mesadas periódicas.</w:t>
      </w:r>
    </w:p>
    <w:p w:rsidR="003D207B" w:rsidRDefault="003D207B" w:rsidP="00B14960">
      <w:pPr>
        <w:spacing w:line="276" w:lineRule="auto"/>
        <w:ind w:firstLine="708"/>
        <w:jc w:val="both"/>
        <w:rPr>
          <w:rFonts w:ascii="Tahoma" w:hAnsi="Tahoma" w:cs="Tahoma"/>
          <w:sz w:val="22"/>
          <w:szCs w:val="22"/>
        </w:rPr>
      </w:pPr>
    </w:p>
    <w:p w:rsidR="00E93046" w:rsidRDefault="00E93046"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9A129D">
        <w:rPr>
          <w:rFonts w:ascii="Tahoma" w:hAnsi="Tahoma" w:cs="Tahoma"/>
          <w:sz w:val="22"/>
          <w:szCs w:val="22"/>
        </w:rPr>
        <w:t xml:space="preserve">  </w:t>
      </w:r>
    </w:p>
    <w:p w:rsidR="00D3635B" w:rsidRPr="00667E32" w:rsidRDefault="00D3635B" w:rsidP="00540C45">
      <w:pPr>
        <w:pStyle w:val="Prrafodelista"/>
        <w:numPr>
          <w:ilvl w:val="0"/>
          <w:numId w:val="15"/>
        </w:numPr>
        <w:tabs>
          <w:tab w:val="left" w:pos="142"/>
        </w:tabs>
        <w:spacing w:line="276" w:lineRule="auto"/>
        <w:ind w:left="0" w:firstLine="0"/>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B53141" w:rsidRDefault="00B53141" w:rsidP="0033202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¿El error que se comete en la fórmula financiera de la indexación al tomar un IPC equivocado constituye un error aritmético que permite la corrección de la providencia, de conformidad al artículo 286 del Código General del Proceso?</w:t>
      </w:r>
    </w:p>
    <w:p w:rsidR="00B53141" w:rsidRDefault="00B53141" w:rsidP="00B53141">
      <w:pPr>
        <w:spacing w:line="276" w:lineRule="auto"/>
        <w:ind w:left="720"/>
        <w:jc w:val="both"/>
        <w:rPr>
          <w:rFonts w:ascii="Tahoma" w:hAnsi="Tahoma" w:cs="Tahoma"/>
          <w:sz w:val="22"/>
          <w:szCs w:val="22"/>
          <w:lang w:val="es-MX"/>
        </w:rPr>
      </w:pPr>
    </w:p>
    <w:p w:rsidR="00696C0C" w:rsidRDefault="00665C86" w:rsidP="0033202E">
      <w:pPr>
        <w:numPr>
          <w:ilvl w:val="0"/>
          <w:numId w:val="4"/>
        </w:numPr>
        <w:spacing w:line="276" w:lineRule="auto"/>
        <w:jc w:val="both"/>
        <w:rPr>
          <w:rFonts w:ascii="Tahoma" w:hAnsi="Tahoma" w:cs="Tahoma"/>
          <w:sz w:val="22"/>
          <w:szCs w:val="22"/>
          <w:lang w:val="es-MX"/>
        </w:rPr>
      </w:pPr>
      <w:r w:rsidRPr="0033202E">
        <w:rPr>
          <w:rFonts w:ascii="Tahoma" w:hAnsi="Tahoma" w:cs="Tahoma"/>
          <w:sz w:val="22"/>
          <w:szCs w:val="22"/>
          <w:lang w:val="es-MX"/>
        </w:rPr>
        <w:t>¿</w:t>
      </w:r>
      <w:r w:rsidR="00696C0C" w:rsidRPr="0033202E">
        <w:rPr>
          <w:rFonts w:ascii="Tahoma" w:hAnsi="Tahoma" w:cs="Tahoma"/>
          <w:sz w:val="22"/>
          <w:szCs w:val="22"/>
          <w:lang w:val="es-MX"/>
        </w:rPr>
        <w:t>El IPC inicial que se debe tomar a efectos de indexar la primera mesada pensional, corresponde al del m</w:t>
      </w:r>
      <w:r w:rsidR="0033202E" w:rsidRPr="0033202E">
        <w:rPr>
          <w:rFonts w:ascii="Tahoma" w:hAnsi="Tahoma" w:cs="Tahoma"/>
          <w:sz w:val="22"/>
          <w:szCs w:val="22"/>
          <w:lang w:val="es-MX"/>
        </w:rPr>
        <w:t>es en que se causa dicha mesada</w:t>
      </w:r>
      <w:r w:rsidR="00696C0C" w:rsidRPr="0033202E">
        <w:rPr>
          <w:rFonts w:ascii="Tahoma" w:hAnsi="Tahoma" w:cs="Tahoma"/>
          <w:sz w:val="22"/>
          <w:szCs w:val="22"/>
          <w:lang w:val="es-MX"/>
        </w:rPr>
        <w:t xml:space="preserve">? </w:t>
      </w:r>
    </w:p>
    <w:p w:rsidR="0033202E" w:rsidRPr="0033202E" w:rsidRDefault="0033202E" w:rsidP="0033202E">
      <w:pPr>
        <w:spacing w:line="276" w:lineRule="auto"/>
        <w:ind w:left="720"/>
        <w:jc w:val="both"/>
        <w:rPr>
          <w:rFonts w:ascii="Tahoma" w:hAnsi="Tahoma" w:cs="Tahoma"/>
          <w:sz w:val="22"/>
          <w:szCs w:val="22"/>
          <w:lang w:val="es-MX"/>
        </w:rPr>
      </w:pPr>
    </w:p>
    <w:p w:rsidR="00696C0C" w:rsidRDefault="00696C0C" w:rsidP="00696C0C">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 xml:space="preserve">¿En esa misma línea, el IPC final que se debe tomar a efectos de indexar la primera mesada pensional, corresponde al del mes a partir de la cual se empieza a pagar? </w:t>
      </w:r>
    </w:p>
    <w:p w:rsidR="00696C0C" w:rsidRDefault="00696C0C" w:rsidP="00696C0C">
      <w:pPr>
        <w:pStyle w:val="Prrafodelista"/>
        <w:rPr>
          <w:rFonts w:ascii="Tahoma" w:hAnsi="Tahoma" w:cs="Tahoma"/>
          <w:sz w:val="22"/>
          <w:szCs w:val="22"/>
          <w:lang w:val="es-MX"/>
        </w:rPr>
      </w:pPr>
    </w:p>
    <w:p w:rsidR="00B53141" w:rsidRDefault="00B53141" w:rsidP="00696C0C">
      <w:pPr>
        <w:pStyle w:val="Prrafodelista"/>
        <w:rPr>
          <w:rFonts w:ascii="Tahoma" w:hAnsi="Tahoma" w:cs="Tahoma"/>
          <w:sz w:val="22"/>
          <w:szCs w:val="22"/>
          <w:lang w:val="es-MX"/>
        </w:rPr>
      </w:pPr>
    </w:p>
    <w:p w:rsidR="00B6512A" w:rsidRDefault="00B6512A" w:rsidP="00696C0C">
      <w:pPr>
        <w:pStyle w:val="Prrafodelista"/>
        <w:rPr>
          <w:rFonts w:ascii="Tahoma" w:hAnsi="Tahoma" w:cs="Tahoma"/>
          <w:sz w:val="22"/>
          <w:szCs w:val="22"/>
          <w:lang w:val="es-MX"/>
        </w:rPr>
      </w:pPr>
    </w:p>
    <w:p w:rsidR="00337F2D" w:rsidRDefault="00337F2D" w:rsidP="00540C45">
      <w:pPr>
        <w:pStyle w:val="Prrafodelista"/>
        <w:numPr>
          <w:ilvl w:val="1"/>
          <w:numId w:val="13"/>
        </w:numPr>
        <w:spacing w:line="276" w:lineRule="auto"/>
        <w:ind w:left="1418"/>
        <w:jc w:val="both"/>
        <w:rPr>
          <w:rFonts w:ascii="Tahoma" w:hAnsi="Tahoma" w:cs="Tahoma"/>
          <w:b/>
          <w:bCs/>
          <w:spacing w:val="2"/>
          <w:sz w:val="22"/>
          <w:szCs w:val="22"/>
        </w:rPr>
      </w:pPr>
      <w:r>
        <w:rPr>
          <w:rFonts w:ascii="Tahoma" w:hAnsi="Tahoma" w:cs="Tahoma"/>
          <w:b/>
          <w:bCs/>
          <w:spacing w:val="2"/>
          <w:sz w:val="22"/>
          <w:szCs w:val="22"/>
        </w:rPr>
        <w:t>De la corrección de errores aritméticos:</w:t>
      </w:r>
    </w:p>
    <w:p w:rsidR="00337F2D" w:rsidRDefault="00337F2D" w:rsidP="00337F2D">
      <w:pPr>
        <w:spacing w:line="276" w:lineRule="auto"/>
        <w:ind w:left="698"/>
        <w:jc w:val="both"/>
        <w:rPr>
          <w:rFonts w:ascii="Tahoma" w:hAnsi="Tahoma" w:cs="Tahoma"/>
          <w:b/>
          <w:bCs/>
          <w:spacing w:val="2"/>
          <w:sz w:val="22"/>
          <w:szCs w:val="22"/>
        </w:rPr>
      </w:pPr>
    </w:p>
    <w:p w:rsidR="00A502B1" w:rsidRDefault="00337F2D" w:rsidP="00337F2D">
      <w:pPr>
        <w:spacing w:line="276" w:lineRule="auto"/>
        <w:ind w:firstLine="698"/>
        <w:jc w:val="both"/>
        <w:rPr>
          <w:rFonts w:ascii="Tahoma" w:hAnsi="Tahoma" w:cs="Tahoma"/>
          <w:bCs/>
          <w:spacing w:val="2"/>
          <w:sz w:val="22"/>
          <w:szCs w:val="22"/>
        </w:rPr>
      </w:pPr>
      <w:r>
        <w:rPr>
          <w:rFonts w:ascii="Tahoma" w:hAnsi="Tahoma" w:cs="Tahoma"/>
          <w:bCs/>
          <w:spacing w:val="2"/>
          <w:sz w:val="22"/>
          <w:szCs w:val="22"/>
        </w:rPr>
        <w:t xml:space="preserve">Antes de analizar el caso concreto, conviene establecer lo que se entiende por </w:t>
      </w:r>
      <w:r w:rsidR="00E552AA">
        <w:rPr>
          <w:rFonts w:ascii="Tahoma" w:hAnsi="Tahoma" w:cs="Tahoma"/>
          <w:bCs/>
          <w:spacing w:val="2"/>
          <w:sz w:val="22"/>
          <w:szCs w:val="22"/>
        </w:rPr>
        <w:t xml:space="preserve">la figura del </w:t>
      </w:r>
      <w:r w:rsidR="00E552AA" w:rsidRPr="00E552AA">
        <w:rPr>
          <w:rFonts w:ascii="Tahoma" w:hAnsi="Tahoma" w:cs="Tahoma"/>
          <w:bCs/>
          <w:i/>
          <w:spacing w:val="2"/>
          <w:sz w:val="22"/>
          <w:szCs w:val="22"/>
        </w:rPr>
        <w:t>“</w:t>
      </w:r>
      <w:r w:rsidRPr="00E552AA">
        <w:rPr>
          <w:rFonts w:ascii="Tahoma" w:hAnsi="Tahoma" w:cs="Tahoma"/>
          <w:bCs/>
          <w:i/>
          <w:spacing w:val="2"/>
          <w:sz w:val="22"/>
          <w:szCs w:val="22"/>
        </w:rPr>
        <w:t>error aritmético</w:t>
      </w:r>
      <w:r w:rsidR="00E552AA" w:rsidRPr="00E552AA">
        <w:rPr>
          <w:rFonts w:ascii="Tahoma" w:hAnsi="Tahoma" w:cs="Tahoma"/>
          <w:bCs/>
          <w:i/>
          <w:spacing w:val="2"/>
          <w:sz w:val="22"/>
          <w:szCs w:val="22"/>
        </w:rPr>
        <w:t>”</w:t>
      </w:r>
      <w:r>
        <w:rPr>
          <w:rFonts w:ascii="Tahoma" w:hAnsi="Tahoma" w:cs="Tahoma"/>
          <w:bCs/>
          <w:spacing w:val="2"/>
          <w:sz w:val="22"/>
          <w:szCs w:val="22"/>
        </w:rPr>
        <w:t xml:space="preserve"> </w:t>
      </w:r>
      <w:r w:rsidR="00E552AA">
        <w:rPr>
          <w:rFonts w:ascii="Tahoma" w:hAnsi="Tahoma" w:cs="Tahoma"/>
          <w:bCs/>
          <w:spacing w:val="2"/>
          <w:sz w:val="22"/>
          <w:szCs w:val="22"/>
        </w:rPr>
        <w:t xml:space="preserve"> que permite la corrección de una providencia judicial en cualquier tiempo, incluida la sentencia. Para ello acudimos al precedente vertical ofrecido por la Corte Constitucional </w:t>
      </w:r>
      <w:r w:rsidR="00E207E7">
        <w:rPr>
          <w:rFonts w:ascii="Tahoma" w:hAnsi="Tahoma" w:cs="Tahoma"/>
          <w:bCs/>
          <w:spacing w:val="2"/>
          <w:sz w:val="22"/>
          <w:szCs w:val="22"/>
        </w:rPr>
        <w:t xml:space="preserve">quien a su vez acudió a la jurisprudencia de la </w:t>
      </w:r>
      <w:r w:rsidR="00E552AA">
        <w:rPr>
          <w:rFonts w:ascii="Tahoma" w:hAnsi="Tahoma" w:cs="Tahoma"/>
          <w:bCs/>
          <w:spacing w:val="2"/>
          <w:sz w:val="22"/>
          <w:szCs w:val="22"/>
        </w:rPr>
        <w:t xml:space="preserve">Sala de Casación Civil de la Corte Suprema de Justicia, </w:t>
      </w:r>
      <w:r w:rsidR="00E207E7">
        <w:rPr>
          <w:rFonts w:ascii="Tahoma" w:hAnsi="Tahoma" w:cs="Tahoma"/>
          <w:bCs/>
          <w:spacing w:val="2"/>
          <w:sz w:val="22"/>
          <w:szCs w:val="22"/>
        </w:rPr>
        <w:t>e</w:t>
      </w:r>
      <w:r w:rsidR="00A502B1">
        <w:rPr>
          <w:rFonts w:ascii="Tahoma" w:hAnsi="Tahoma" w:cs="Tahoma"/>
          <w:bCs/>
          <w:spacing w:val="2"/>
          <w:sz w:val="22"/>
          <w:szCs w:val="22"/>
        </w:rPr>
        <w:t xml:space="preserve">n la sentencia T-1097 de 2005, con Ponencia del Dr. RODRIGO ESCOBAR GIL, al analizar un asunto en el cual el juzgador accionado hizo uso de la figura de la corrección por error aritmético, </w:t>
      </w:r>
      <w:r w:rsidR="00E207E7">
        <w:rPr>
          <w:rFonts w:ascii="Tahoma" w:hAnsi="Tahoma" w:cs="Tahoma"/>
          <w:bCs/>
          <w:spacing w:val="2"/>
          <w:sz w:val="22"/>
          <w:szCs w:val="22"/>
        </w:rPr>
        <w:t xml:space="preserve">en la que manifestó </w:t>
      </w:r>
      <w:r w:rsidR="00A502B1">
        <w:rPr>
          <w:rFonts w:ascii="Tahoma" w:hAnsi="Tahoma" w:cs="Tahoma"/>
          <w:bCs/>
          <w:spacing w:val="2"/>
          <w:sz w:val="22"/>
          <w:szCs w:val="22"/>
        </w:rPr>
        <w:t>lo siguiente:</w:t>
      </w:r>
    </w:p>
    <w:p w:rsidR="00A502B1" w:rsidRDefault="00A502B1" w:rsidP="00337F2D">
      <w:pPr>
        <w:spacing w:line="276" w:lineRule="auto"/>
        <w:ind w:firstLine="698"/>
        <w:jc w:val="both"/>
        <w:rPr>
          <w:rFonts w:ascii="Tahoma" w:hAnsi="Tahoma" w:cs="Tahoma"/>
          <w:bCs/>
          <w:spacing w:val="2"/>
          <w:sz w:val="22"/>
          <w:szCs w:val="22"/>
        </w:rPr>
      </w:pPr>
    </w:p>
    <w:p w:rsidR="00A502B1" w:rsidRDefault="00A502B1" w:rsidP="00A502B1">
      <w:pPr>
        <w:ind w:left="426"/>
        <w:jc w:val="both"/>
        <w:rPr>
          <w:sz w:val="28"/>
          <w:szCs w:val="28"/>
          <w:lang w:val="es-CO"/>
        </w:rPr>
      </w:pPr>
      <w:r>
        <w:rPr>
          <w:sz w:val="28"/>
          <w:szCs w:val="28"/>
          <w:lang w:val="es-CO"/>
        </w:rPr>
        <w:t xml:space="preserve">“Limitándonos a lo previsto en el artículo 310 del Código de Procedimiento Civil, es claro que mediante dicha disposición se permite al juez corregir mediante auto y en cualquier tiempo, de oficio o a solicitud de parte, los errores aritméticos, de </w:t>
      </w:r>
      <w:r>
        <w:rPr>
          <w:sz w:val="28"/>
          <w:szCs w:val="28"/>
          <w:lang w:val="es-CO"/>
        </w:rPr>
        <w:lastRenderedPageBreak/>
        <w:t xml:space="preserve">omisión o de alteración o cambio de palabras contenidos en la parte resolutiva de cualquier tipo de providencia o que necesariamente influyan en ella. Al respecto, la norma en cita dispone:  </w:t>
      </w:r>
    </w:p>
    <w:p w:rsidR="00A502B1" w:rsidRDefault="00A502B1" w:rsidP="00A502B1">
      <w:pPr>
        <w:ind w:left="426"/>
        <w:jc w:val="both"/>
        <w:rPr>
          <w:sz w:val="28"/>
          <w:szCs w:val="28"/>
          <w:lang w:val="es-CO"/>
        </w:rPr>
      </w:pPr>
    </w:p>
    <w:p w:rsidR="00A502B1" w:rsidRDefault="00A502B1" w:rsidP="00A502B1">
      <w:pPr>
        <w:pStyle w:val="nueve-"/>
        <w:spacing w:before="0" w:after="0"/>
        <w:ind w:left="852" w:right="335" w:firstLine="15"/>
        <w:rPr>
          <w:rFonts w:ascii="Times New Roman" w:hAnsi="Times New Roman" w:cs="Times New Roman"/>
          <w:sz w:val="28"/>
          <w:szCs w:val="28"/>
        </w:rPr>
      </w:pPr>
      <w:r>
        <w:rPr>
          <w:rFonts w:ascii="Times New Roman" w:hAnsi="Times New Roman" w:cs="Times New Roman"/>
          <w:sz w:val="28"/>
          <w:szCs w:val="28"/>
        </w:rPr>
        <w:t>“Toda providencia en que se haya incurrido en error puramente aritmético, es corregible por el juez que la dictó, en cualquier tiempo, de oficio o a solicitud de parte, mediante auto susceptible de los mismos recursos que procedían contra ella, salvo los de casación y revisión.</w:t>
      </w:r>
    </w:p>
    <w:p w:rsidR="00A502B1" w:rsidRDefault="00A502B1" w:rsidP="00A502B1">
      <w:pPr>
        <w:pStyle w:val="nueve-"/>
        <w:spacing w:before="0" w:after="0"/>
        <w:ind w:left="852" w:right="335" w:firstLine="15"/>
        <w:rPr>
          <w:rFonts w:ascii="Times New Roman" w:hAnsi="Times New Roman" w:cs="Times New Roman"/>
          <w:sz w:val="28"/>
          <w:szCs w:val="28"/>
        </w:rPr>
      </w:pPr>
    </w:p>
    <w:p w:rsidR="00A502B1" w:rsidRDefault="00A502B1" w:rsidP="00A502B1">
      <w:pPr>
        <w:pStyle w:val="nueve-"/>
        <w:spacing w:before="0" w:after="0"/>
        <w:ind w:left="852" w:right="335" w:firstLine="15"/>
        <w:rPr>
          <w:rFonts w:ascii="Times New Roman" w:hAnsi="Times New Roman" w:cs="Times New Roman"/>
          <w:sz w:val="28"/>
          <w:szCs w:val="28"/>
        </w:rPr>
      </w:pPr>
      <w:r>
        <w:rPr>
          <w:rFonts w:ascii="Times New Roman" w:hAnsi="Times New Roman" w:cs="Times New Roman"/>
          <w:sz w:val="28"/>
          <w:szCs w:val="28"/>
        </w:rPr>
        <w:t>Si la corrección se hiciere luego de terminado el proceso, el auto se notificará en la forma indicada en los numerales 1º y 2º del artículo 320.</w:t>
      </w:r>
    </w:p>
    <w:p w:rsidR="00A502B1" w:rsidRDefault="00A502B1" w:rsidP="00A502B1">
      <w:pPr>
        <w:pStyle w:val="nueve-"/>
        <w:spacing w:before="0" w:after="0"/>
        <w:ind w:left="852" w:right="335" w:firstLine="15"/>
        <w:rPr>
          <w:rFonts w:ascii="Times New Roman" w:hAnsi="Times New Roman" w:cs="Times New Roman"/>
          <w:sz w:val="28"/>
          <w:szCs w:val="28"/>
        </w:rPr>
      </w:pPr>
    </w:p>
    <w:p w:rsidR="00A502B1" w:rsidRDefault="00A502B1" w:rsidP="00A502B1">
      <w:pPr>
        <w:pStyle w:val="nueve-"/>
        <w:spacing w:before="0" w:after="0"/>
        <w:ind w:left="852" w:right="335" w:firstLine="15"/>
        <w:rPr>
          <w:rFonts w:ascii="Times New Roman" w:hAnsi="Times New Roman" w:cs="Times New Roman"/>
          <w:sz w:val="28"/>
          <w:szCs w:val="28"/>
        </w:rPr>
      </w:pPr>
      <w:r>
        <w:rPr>
          <w:rFonts w:ascii="Times New Roman" w:hAnsi="Times New Roman" w:cs="Times New Roman"/>
          <w:sz w:val="28"/>
          <w:szCs w:val="28"/>
        </w:rPr>
        <w:t>Lo dispuesto en los incisos anteriores se aplica a los casos de error por omisión o cambio de palabras o alteración de éstas, siempre que estén contenidas en la parte resolutiva o influyan en ella”.</w:t>
      </w:r>
    </w:p>
    <w:p w:rsidR="00A502B1" w:rsidRDefault="00A502B1" w:rsidP="00A502B1">
      <w:pPr>
        <w:ind w:left="426"/>
        <w:jc w:val="both"/>
        <w:rPr>
          <w:sz w:val="28"/>
          <w:szCs w:val="28"/>
        </w:rPr>
      </w:pPr>
    </w:p>
    <w:p w:rsidR="00A502B1" w:rsidRDefault="00A502B1" w:rsidP="00A502B1">
      <w:pPr>
        <w:ind w:left="426"/>
        <w:jc w:val="both"/>
        <w:rPr>
          <w:sz w:val="28"/>
          <w:szCs w:val="28"/>
        </w:rPr>
      </w:pPr>
    </w:p>
    <w:p w:rsidR="00A502B1" w:rsidRPr="00A502B1" w:rsidRDefault="00A502B1" w:rsidP="0022770D">
      <w:pPr>
        <w:ind w:left="709"/>
        <w:jc w:val="both"/>
        <w:rPr>
          <w:sz w:val="28"/>
          <w:szCs w:val="28"/>
        </w:rPr>
      </w:pPr>
      <w:r w:rsidRPr="00A502B1">
        <w:rPr>
          <w:sz w:val="28"/>
          <w:szCs w:val="28"/>
        </w:rPr>
        <w:t xml:space="preserve">Un análisis de la citada disposición, le permite a la Corte concluir que esta en esencia recoge dos hipótesis normativas distintas, a saber: </w:t>
      </w:r>
    </w:p>
    <w:p w:rsidR="00A502B1" w:rsidRPr="00A502B1" w:rsidRDefault="00A502B1" w:rsidP="0022770D">
      <w:pPr>
        <w:ind w:left="709"/>
        <w:jc w:val="both"/>
        <w:rPr>
          <w:sz w:val="28"/>
          <w:szCs w:val="28"/>
        </w:rPr>
      </w:pPr>
    </w:p>
    <w:p w:rsidR="0022770D" w:rsidRPr="0022770D" w:rsidRDefault="00A502B1" w:rsidP="0022770D">
      <w:pPr>
        <w:ind w:left="992"/>
        <w:jc w:val="both"/>
        <w:rPr>
          <w:sz w:val="28"/>
          <w:szCs w:val="28"/>
        </w:rPr>
      </w:pPr>
      <w:r w:rsidRPr="00A502B1">
        <w:rPr>
          <w:sz w:val="28"/>
          <w:szCs w:val="28"/>
        </w:rPr>
        <w:t xml:space="preserve">- En primer lugar, se refiere a la </w:t>
      </w:r>
      <w:r w:rsidRPr="00A502B1">
        <w:rPr>
          <w:i/>
          <w:iCs/>
          <w:sz w:val="28"/>
          <w:szCs w:val="28"/>
        </w:rPr>
        <w:t>corrección aritmética por error</w:t>
      </w:r>
      <w:r w:rsidRPr="00A502B1">
        <w:rPr>
          <w:sz w:val="28"/>
          <w:szCs w:val="28"/>
        </w:rPr>
        <w:t>, la cual ha sido definida por esta Corporación como aquellas equivocaciones derivadas de una operación o cálculo matemático que no implican un cambio jurídico sustancial en la decisión adoptada</w:t>
      </w:r>
      <w:r w:rsidRPr="00A502B1">
        <w:rPr>
          <w:rStyle w:val="Refdenotaalpie"/>
          <w:sz w:val="28"/>
          <w:szCs w:val="28"/>
        </w:rPr>
        <w:footnoteReference w:id="1"/>
      </w:r>
      <w:r w:rsidRPr="00A502B1">
        <w:rPr>
          <w:sz w:val="28"/>
          <w:szCs w:val="28"/>
        </w:rPr>
        <w:t xml:space="preserve">. Bajo esta consideración, dicha figura tiene entonces un alcance restrictivo y limitado, pues no puede ser utilizada como herramienta jurídica válida para alterar el sentido y alcance de una decisión mediante una nueva evaluación probatoria, o aplicando fundamentos jurídicos distintos, o inobservando aquellos que sirvieron de sustento a la decisión. </w:t>
      </w:r>
      <w:r w:rsidR="0022770D" w:rsidRPr="0022770D">
        <w:rPr>
          <w:sz w:val="28"/>
          <w:szCs w:val="28"/>
        </w:rPr>
        <w:t>Al respecto, en sentencia T-875 de 2000</w:t>
      </w:r>
      <w:r w:rsidR="0022770D" w:rsidRPr="0022770D">
        <w:rPr>
          <w:rStyle w:val="Refdenotaalpie"/>
          <w:sz w:val="28"/>
          <w:szCs w:val="28"/>
        </w:rPr>
        <w:footnoteReference w:id="2"/>
      </w:r>
      <w:r w:rsidR="0022770D" w:rsidRPr="0022770D">
        <w:rPr>
          <w:sz w:val="28"/>
          <w:szCs w:val="28"/>
        </w:rPr>
        <w:t xml:space="preserve">, se fijó la anterior posición jurisprudencial, en los siguientes términos: </w:t>
      </w:r>
    </w:p>
    <w:p w:rsidR="0022770D" w:rsidRPr="0022770D" w:rsidRDefault="0022770D" w:rsidP="0022770D">
      <w:pPr>
        <w:ind w:left="992"/>
        <w:jc w:val="both"/>
        <w:rPr>
          <w:sz w:val="28"/>
          <w:szCs w:val="28"/>
        </w:rPr>
      </w:pPr>
    </w:p>
    <w:p w:rsidR="0022770D" w:rsidRPr="0022770D" w:rsidRDefault="0022770D" w:rsidP="0022770D">
      <w:pPr>
        <w:ind w:left="992"/>
        <w:jc w:val="both"/>
        <w:rPr>
          <w:sz w:val="28"/>
          <w:szCs w:val="28"/>
        </w:rPr>
      </w:pPr>
    </w:p>
    <w:p w:rsidR="0022770D" w:rsidRDefault="0022770D" w:rsidP="0022770D">
      <w:pPr>
        <w:ind w:left="1418" w:right="335"/>
        <w:jc w:val="both"/>
        <w:rPr>
          <w:sz w:val="28"/>
          <w:szCs w:val="28"/>
          <w:lang w:val="es-CO"/>
        </w:rPr>
      </w:pPr>
      <w:r w:rsidRPr="0022770D">
        <w:rPr>
          <w:sz w:val="28"/>
          <w:szCs w:val="28"/>
        </w:rPr>
        <w:t>“El error aritmético es aquel que surge de un cálculo meramente aritmético cuando la operación ha sido erróneamente realizada. En consecuencia, su corrección debe contraerse a efectuar adecuadamente la operación aritmética erróneamente realizada, sin llegar a modificar o alterar los factores o elementos que la componen. En otras palabras, la facultad para corregir, en cualquier tiempo, los errores aritméticos (...) no constituye un expediente para que el juez pueda modificar otros aspectos -fácticos o jurídicos- que, finalmente, impliquen un cambio del contenido jurídico sustancial de la decisión”.</w:t>
      </w:r>
      <w:r>
        <w:rPr>
          <w:sz w:val="28"/>
          <w:szCs w:val="28"/>
        </w:rPr>
        <w:t>”</w:t>
      </w:r>
    </w:p>
    <w:p w:rsidR="00A502B1" w:rsidRDefault="00A502B1" w:rsidP="00CC4129">
      <w:pPr>
        <w:ind w:left="426"/>
        <w:jc w:val="both"/>
        <w:rPr>
          <w:sz w:val="28"/>
          <w:szCs w:val="28"/>
          <w:lang w:val="es-CO"/>
        </w:rPr>
      </w:pPr>
    </w:p>
    <w:p w:rsidR="00A502B1" w:rsidRDefault="00A502B1" w:rsidP="00A502B1">
      <w:pPr>
        <w:jc w:val="both"/>
        <w:rPr>
          <w:sz w:val="28"/>
          <w:szCs w:val="28"/>
          <w:lang w:val="es-CO"/>
        </w:rPr>
      </w:pPr>
    </w:p>
    <w:p w:rsidR="00E552AA" w:rsidRPr="00337F2D" w:rsidRDefault="00E552AA" w:rsidP="00337F2D">
      <w:pPr>
        <w:spacing w:line="276" w:lineRule="auto"/>
        <w:ind w:firstLine="698"/>
        <w:jc w:val="both"/>
        <w:rPr>
          <w:rFonts w:ascii="Tahoma" w:hAnsi="Tahoma" w:cs="Tahoma"/>
          <w:bCs/>
          <w:spacing w:val="2"/>
          <w:sz w:val="22"/>
          <w:szCs w:val="22"/>
        </w:rPr>
      </w:pPr>
    </w:p>
    <w:p w:rsidR="00852E96" w:rsidRDefault="00B6512A" w:rsidP="00540C45">
      <w:pPr>
        <w:pStyle w:val="Prrafodelista"/>
        <w:numPr>
          <w:ilvl w:val="1"/>
          <w:numId w:val="13"/>
        </w:numPr>
        <w:spacing w:line="276" w:lineRule="auto"/>
        <w:ind w:left="1418"/>
        <w:jc w:val="both"/>
        <w:rPr>
          <w:rFonts w:ascii="Tahoma" w:hAnsi="Tahoma" w:cs="Tahoma"/>
          <w:b/>
          <w:bCs/>
          <w:spacing w:val="2"/>
          <w:sz w:val="22"/>
          <w:szCs w:val="22"/>
        </w:rPr>
      </w:pPr>
      <w:r>
        <w:rPr>
          <w:rFonts w:ascii="Tahoma" w:hAnsi="Tahoma" w:cs="Tahoma"/>
          <w:b/>
          <w:bCs/>
          <w:spacing w:val="2"/>
          <w:sz w:val="22"/>
          <w:szCs w:val="22"/>
        </w:rPr>
        <w:t>Índices de precios al consumidor que se deben tener en cuenta a la hora indexar la primera mesada pensional</w:t>
      </w:r>
      <w:r w:rsidR="00852E96">
        <w:rPr>
          <w:rFonts w:ascii="Tahoma" w:hAnsi="Tahoma" w:cs="Tahoma"/>
          <w:b/>
          <w:bCs/>
          <w:spacing w:val="2"/>
          <w:sz w:val="22"/>
          <w:szCs w:val="22"/>
        </w:rPr>
        <w:t>:</w:t>
      </w:r>
    </w:p>
    <w:p w:rsidR="00852E96" w:rsidRDefault="00852E96" w:rsidP="00852E96">
      <w:pPr>
        <w:spacing w:line="276" w:lineRule="auto"/>
        <w:jc w:val="both"/>
        <w:rPr>
          <w:rFonts w:ascii="Tahoma" w:hAnsi="Tahoma" w:cs="Tahoma"/>
          <w:b/>
          <w:bCs/>
          <w:spacing w:val="2"/>
          <w:sz w:val="22"/>
          <w:szCs w:val="22"/>
        </w:rPr>
      </w:pPr>
    </w:p>
    <w:p w:rsidR="002561E2" w:rsidRDefault="002A4D04"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Para facilitar el análisis de este asunto vale la pena rememorar la fórmula financiera que calcula la indexación de una suma de dinero</w:t>
      </w:r>
      <w:r w:rsidR="00B53141">
        <w:rPr>
          <w:rFonts w:ascii="Tahoma" w:hAnsi="Tahoma" w:cs="Tahoma"/>
          <w:bCs/>
          <w:spacing w:val="2"/>
          <w:sz w:val="22"/>
          <w:szCs w:val="22"/>
        </w:rPr>
        <w:t xml:space="preserve"> y que se acogió en el auto cuya corrección se solicita</w:t>
      </w:r>
      <w:r>
        <w:rPr>
          <w:rFonts w:ascii="Tahoma" w:hAnsi="Tahoma" w:cs="Tahoma"/>
          <w:bCs/>
          <w:spacing w:val="2"/>
          <w:sz w:val="22"/>
          <w:szCs w:val="22"/>
        </w:rPr>
        <w:t xml:space="preserve">, así: </w:t>
      </w:r>
    </w:p>
    <w:p w:rsidR="002A4D04" w:rsidRPr="00417E0B" w:rsidRDefault="002A4D04" w:rsidP="002A4D04">
      <w:pPr>
        <w:pStyle w:val="Ttulo3"/>
        <w:shd w:val="clear" w:color="auto" w:fill="FFFFFF"/>
        <w:spacing w:before="300" w:after="300"/>
        <w:jc w:val="center"/>
        <w:rPr>
          <w:rFonts w:ascii="Tahoma" w:hAnsi="Tahoma" w:cs="Tahoma"/>
          <w:b w:val="0"/>
          <w:bCs w:val="0"/>
          <w:sz w:val="22"/>
          <w:szCs w:val="22"/>
        </w:rPr>
      </w:pPr>
      <w:r w:rsidRPr="00417E0B">
        <w:rPr>
          <w:rFonts w:ascii="Tahoma" w:hAnsi="Tahoma" w:cs="Tahoma"/>
          <w:b w:val="0"/>
          <w:bCs w:val="0"/>
          <w:sz w:val="22"/>
          <w:szCs w:val="22"/>
        </w:rPr>
        <w:t>VR = VH x (IPC actual/IPC inicial)</w:t>
      </w:r>
    </w:p>
    <w:p w:rsidR="002A4D04" w:rsidRPr="00417E0B" w:rsidRDefault="002A4D04" w:rsidP="002A4D04">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VR: corresponde al valor a reintegrar.</w:t>
      </w:r>
    </w:p>
    <w:p w:rsidR="002A4D04" w:rsidRPr="00417E0B" w:rsidRDefault="002A4D04" w:rsidP="002A4D04">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VH: monto cuya devolución se ordenó inicialmente.</w:t>
      </w:r>
    </w:p>
    <w:p w:rsidR="002A4D04" w:rsidRPr="00417E0B" w:rsidRDefault="002A4D04" w:rsidP="002A4D04">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IPC: Índice de Precios al Consumidor</w:t>
      </w:r>
      <w:r>
        <w:rPr>
          <w:rFonts w:ascii="Tahoma" w:hAnsi="Tahoma" w:cs="Tahoma"/>
          <w:sz w:val="22"/>
          <w:szCs w:val="22"/>
        </w:rPr>
        <w:t xml:space="preserve"> (serie de empalme)</w:t>
      </w:r>
    </w:p>
    <w:p w:rsidR="002561E2" w:rsidRDefault="002561E2" w:rsidP="00852E96">
      <w:pPr>
        <w:spacing w:line="276" w:lineRule="auto"/>
        <w:ind w:firstLine="709"/>
        <w:jc w:val="both"/>
        <w:rPr>
          <w:rFonts w:ascii="Tahoma" w:hAnsi="Tahoma" w:cs="Tahoma"/>
          <w:bCs/>
          <w:spacing w:val="2"/>
          <w:sz w:val="22"/>
          <w:szCs w:val="22"/>
        </w:rPr>
      </w:pPr>
    </w:p>
    <w:p w:rsidR="00221FE7" w:rsidRDefault="002A4D04"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Así mismo </w:t>
      </w:r>
      <w:r w:rsidR="00AA2440">
        <w:rPr>
          <w:rFonts w:ascii="Tahoma" w:hAnsi="Tahoma" w:cs="Tahoma"/>
          <w:bCs/>
          <w:spacing w:val="2"/>
          <w:sz w:val="22"/>
          <w:szCs w:val="22"/>
        </w:rPr>
        <w:t>recordemos que la mesada pensional reconocida en las sentencias ejecutadas correspondió al promedio de los factores salariales liquidados en el perio</w:t>
      </w:r>
      <w:r w:rsidR="0078779F">
        <w:rPr>
          <w:rFonts w:ascii="Tahoma" w:hAnsi="Tahoma" w:cs="Tahoma"/>
          <w:bCs/>
          <w:spacing w:val="2"/>
          <w:sz w:val="22"/>
          <w:szCs w:val="22"/>
        </w:rPr>
        <w:t>d</w:t>
      </w:r>
      <w:r w:rsidR="00AA2440">
        <w:rPr>
          <w:rFonts w:ascii="Tahoma" w:hAnsi="Tahoma" w:cs="Tahoma"/>
          <w:bCs/>
          <w:spacing w:val="2"/>
          <w:sz w:val="22"/>
          <w:szCs w:val="22"/>
        </w:rPr>
        <w:t>o comprendido entre</w:t>
      </w:r>
      <w:r w:rsidR="00E74B12">
        <w:rPr>
          <w:rFonts w:ascii="Tahoma" w:hAnsi="Tahoma" w:cs="Tahoma"/>
          <w:bCs/>
          <w:spacing w:val="2"/>
          <w:sz w:val="22"/>
          <w:szCs w:val="22"/>
        </w:rPr>
        <w:t xml:space="preserve"> 1 septiembre de 2001 </w:t>
      </w:r>
      <w:r w:rsidR="00AA2440">
        <w:rPr>
          <w:rFonts w:ascii="Tahoma" w:hAnsi="Tahoma" w:cs="Tahoma"/>
          <w:bCs/>
          <w:spacing w:val="2"/>
          <w:sz w:val="22"/>
          <w:szCs w:val="22"/>
        </w:rPr>
        <w:t xml:space="preserve">y el 30 de noviembre de 2004, </w:t>
      </w:r>
      <w:r w:rsidR="0078779F">
        <w:rPr>
          <w:rFonts w:ascii="Tahoma" w:hAnsi="Tahoma" w:cs="Tahoma"/>
          <w:bCs/>
          <w:spacing w:val="2"/>
          <w:sz w:val="22"/>
          <w:szCs w:val="22"/>
        </w:rPr>
        <w:t xml:space="preserve">pagadera a partir del 31 de diciembre de 2009. </w:t>
      </w:r>
    </w:p>
    <w:p w:rsidR="00285A67" w:rsidRDefault="00285A67" w:rsidP="00852E96">
      <w:pPr>
        <w:spacing w:line="276" w:lineRule="auto"/>
        <w:ind w:firstLine="709"/>
        <w:jc w:val="both"/>
        <w:rPr>
          <w:rFonts w:ascii="Tahoma" w:hAnsi="Tahoma" w:cs="Tahoma"/>
          <w:bCs/>
          <w:spacing w:val="2"/>
          <w:sz w:val="22"/>
          <w:szCs w:val="22"/>
        </w:rPr>
      </w:pPr>
    </w:p>
    <w:p w:rsidR="00221FE7" w:rsidRDefault="0078779F"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Precisamente por el lapso que transcurrió entre </w:t>
      </w:r>
      <w:r w:rsidR="00285A67">
        <w:rPr>
          <w:rFonts w:ascii="Tahoma" w:hAnsi="Tahoma" w:cs="Tahoma"/>
          <w:bCs/>
          <w:spacing w:val="2"/>
          <w:sz w:val="22"/>
          <w:szCs w:val="22"/>
        </w:rPr>
        <w:t xml:space="preserve">el período que configuró la mesada pensional (se itera, promedio de los factores salariales liquidados entre el 1 septiembre de 2001 y el 30 de noviembre de 2004) y la fecha de </w:t>
      </w:r>
      <w:r w:rsidR="002376F5">
        <w:rPr>
          <w:rFonts w:ascii="Tahoma" w:hAnsi="Tahoma" w:cs="Tahoma"/>
          <w:bCs/>
          <w:spacing w:val="2"/>
          <w:sz w:val="22"/>
          <w:szCs w:val="22"/>
        </w:rPr>
        <w:t xml:space="preserve">reconocimiento </w:t>
      </w:r>
      <w:r w:rsidR="00285A67">
        <w:rPr>
          <w:rFonts w:ascii="Tahoma" w:hAnsi="Tahoma" w:cs="Tahoma"/>
          <w:bCs/>
          <w:spacing w:val="2"/>
          <w:sz w:val="22"/>
          <w:szCs w:val="22"/>
        </w:rPr>
        <w:t>(3</w:t>
      </w:r>
      <w:r w:rsidR="007B5200">
        <w:rPr>
          <w:rFonts w:ascii="Tahoma" w:hAnsi="Tahoma" w:cs="Tahoma"/>
          <w:bCs/>
          <w:spacing w:val="2"/>
          <w:sz w:val="22"/>
          <w:szCs w:val="22"/>
        </w:rPr>
        <w:t>1</w:t>
      </w:r>
      <w:r w:rsidR="00285A67">
        <w:rPr>
          <w:rFonts w:ascii="Tahoma" w:hAnsi="Tahoma" w:cs="Tahoma"/>
          <w:bCs/>
          <w:spacing w:val="2"/>
          <w:sz w:val="22"/>
          <w:szCs w:val="22"/>
        </w:rPr>
        <w:t xml:space="preserve"> de </w:t>
      </w:r>
      <w:r w:rsidR="007B5200">
        <w:rPr>
          <w:rFonts w:ascii="Tahoma" w:hAnsi="Tahoma" w:cs="Tahoma"/>
          <w:bCs/>
          <w:spacing w:val="2"/>
          <w:sz w:val="22"/>
          <w:szCs w:val="22"/>
        </w:rPr>
        <w:t xml:space="preserve">diciembre </w:t>
      </w:r>
      <w:r w:rsidR="00285A67">
        <w:rPr>
          <w:rFonts w:ascii="Tahoma" w:hAnsi="Tahoma" w:cs="Tahoma"/>
          <w:bCs/>
          <w:spacing w:val="2"/>
          <w:sz w:val="22"/>
          <w:szCs w:val="22"/>
        </w:rPr>
        <w:t>de 2009)</w:t>
      </w:r>
      <w:r>
        <w:rPr>
          <w:rFonts w:ascii="Tahoma" w:hAnsi="Tahoma" w:cs="Tahoma"/>
          <w:bCs/>
          <w:spacing w:val="2"/>
          <w:sz w:val="22"/>
          <w:szCs w:val="22"/>
        </w:rPr>
        <w:t xml:space="preserve">, la Sala mayoritaria en el auto </w:t>
      </w:r>
      <w:r w:rsidR="00B07D4D">
        <w:rPr>
          <w:rFonts w:ascii="Tahoma" w:hAnsi="Tahoma" w:cs="Tahoma"/>
          <w:bCs/>
          <w:spacing w:val="2"/>
          <w:sz w:val="22"/>
          <w:szCs w:val="22"/>
        </w:rPr>
        <w:t xml:space="preserve">objeto de análisis, </w:t>
      </w:r>
      <w:r w:rsidR="00CB7D21">
        <w:rPr>
          <w:rFonts w:ascii="Tahoma" w:hAnsi="Tahoma" w:cs="Tahoma"/>
          <w:bCs/>
          <w:spacing w:val="2"/>
          <w:sz w:val="22"/>
          <w:szCs w:val="22"/>
        </w:rPr>
        <w:t>procedió a llevar a valor presente (esto es a diciembre de 2009) el promedio de los ingresos percibidos (entre el 1º de septiembre de 2001 y 30 de noviembre de 2004)</w:t>
      </w:r>
      <w:r>
        <w:rPr>
          <w:rFonts w:ascii="Tahoma" w:hAnsi="Tahoma" w:cs="Tahoma"/>
          <w:bCs/>
          <w:spacing w:val="2"/>
          <w:sz w:val="22"/>
          <w:szCs w:val="22"/>
        </w:rPr>
        <w:t xml:space="preserve">. </w:t>
      </w:r>
      <w:r w:rsidR="00221FE7">
        <w:rPr>
          <w:rFonts w:ascii="Tahoma" w:hAnsi="Tahoma" w:cs="Tahoma"/>
          <w:bCs/>
          <w:spacing w:val="2"/>
          <w:sz w:val="22"/>
          <w:szCs w:val="22"/>
        </w:rPr>
        <w:t xml:space="preserve">A </w:t>
      </w:r>
      <w:r>
        <w:rPr>
          <w:rFonts w:ascii="Tahoma" w:hAnsi="Tahoma" w:cs="Tahoma"/>
          <w:bCs/>
          <w:spacing w:val="2"/>
          <w:sz w:val="22"/>
          <w:szCs w:val="22"/>
        </w:rPr>
        <w:t xml:space="preserve">ese </w:t>
      </w:r>
      <w:r w:rsidR="00EB44E9">
        <w:rPr>
          <w:rFonts w:ascii="Tahoma" w:hAnsi="Tahoma" w:cs="Tahoma"/>
          <w:bCs/>
          <w:spacing w:val="2"/>
          <w:sz w:val="22"/>
          <w:szCs w:val="22"/>
        </w:rPr>
        <w:t>propósito</w:t>
      </w:r>
      <w:r w:rsidR="00221FE7">
        <w:rPr>
          <w:rFonts w:ascii="Tahoma" w:hAnsi="Tahoma" w:cs="Tahoma"/>
          <w:bCs/>
          <w:spacing w:val="2"/>
          <w:sz w:val="22"/>
          <w:szCs w:val="22"/>
        </w:rPr>
        <w:t>, al aplicar la fórmula financiera antes dicha, tomó como IPC inicial el vigente para el mes de diciembre de 2004 y como IPC final el vigente al mes de enero de 2009.</w:t>
      </w:r>
    </w:p>
    <w:p w:rsidR="00221FE7" w:rsidRDefault="00221FE7" w:rsidP="00852E96">
      <w:pPr>
        <w:spacing w:line="276" w:lineRule="auto"/>
        <w:ind w:firstLine="709"/>
        <w:jc w:val="both"/>
        <w:rPr>
          <w:rFonts w:ascii="Tahoma" w:hAnsi="Tahoma" w:cs="Tahoma"/>
          <w:bCs/>
          <w:spacing w:val="2"/>
          <w:sz w:val="22"/>
          <w:szCs w:val="22"/>
        </w:rPr>
      </w:pPr>
    </w:p>
    <w:p w:rsidR="00C03B59" w:rsidRDefault="009601F9"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Sin embargo, </w:t>
      </w:r>
      <w:r w:rsidR="00221FE7">
        <w:rPr>
          <w:rFonts w:ascii="Tahoma" w:hAnsi="Tahoma" w:cs="Tahoma"/>
          <w:bCs/>
          <w:spacing w:val="2"/>
          <w:sz w:val="22"/>
          <w:szCs w:val="22"/>
        </w:rPr>
        <w:t>de acuerdo a la Sentencia SU-</w:t>
      </w:r>
      <w:r w:rsidR="00BA23FB">
        <w:rPr>
          <w:rFonts w:ascii="Tahoma" w:hAnsi="Tahoma" w:cs="Tahoma"/>
          <w:bCs/>
          <w:spacing w:val="2"/>
          <w:sz w:val="22"/>
          <w:szCs w:val="22"/>
        </w:rPr>
        <w:t xml:space="preserve">1073 </w:t>
      </w:r>
      <w:r w:rsidR="00221FE7">
        <w:rPr>
          <w:rFonts w:ascii="Tahoma" w:hAnsi="Tahoma" w:cs="Tahoma"/>
          <w:bCs/>
          <w:spacing w:val="2"/>
          <w:sz w:val="22"/>
          <w:szCs w:val="22"/>
        </w:rPr>
        <w:t>de 2012</w:t>
      </w:r>
      <w:r>
        <w:rPr>
          <w:rFonts w:ascii="Tahoma" w:hAnsi="Tahoma" w:cs="Tahoma"/>
          <w:bCs/>
          <w:spacing w:val="2"/>
          <w:sz w:val="22"/>
          <w:szCs w:val="22"/>
        </w:rPr>
        <w:t xml:space="preserve">, </w:t>
      </w:r>
      <w:r w:rsidR="00B076E2">
        <w:rPr>
          <w:rFonts w:ascii="Tahoma" w:hAnsi="Tahoma" w:cs="Tahoma"/>
          <w:bCs/>
          <w:spacing w:val="2"/>
          <w:sz w:val="22"/>
          <w:szCs w:val="22"/>
        </w:rPr>
        <w:t xml:space="preserve">el ajuste de la mesada pensional en el presente caso, al aplicar la anterior fórmula financiera, se </w:t>
      </w:r>
      <w:r w:rsidR="007B5200">
        <w:rPr>
          <w:rFonts w:ascii="Tahoma" w:hAnsi="Tahoma" w:cs="Tahoma"/>
          <w:bCs/>
          <w:spacing w:val="2"/>
          <w:sz w:val="22"/>
          <w:szCs w:val="22"/>
        </w:rPr>
        <w:t>extrae</w:t>
      </w:r>
      <w:r w:rsidR="00B076E2">
        <w:rPr>
          <w:rFonts w:ascii="Tahoma" w:hAnsi="Tahoma" w:cs="Tahoma"/>
          <w:bCs/>
          <w:spacing w:val="2"/>
          <w:sz w:val="22"/>
          <w:szCs w:val="22"/>
        </w:rPr>
        <w:t xml:space="preserve"> de la siguiente manera:  el valor presente de la mesada (VR) se determina multiplicando el valor histórico (VH) que corresponde al promedio de lo devengado por la ejecutante durante el período comprendido entre el 1º de septiembre de 2001 al 30 de noviembre de 2004, multiplicado por el guarismo que resulte de dividir el </w:t>
      </w:r>
      <w:r>
        <w:rPr>
          <w:rFonts w:ascii="Tahoma" w:hAnsi="Tahoma" w:cs="Tahoma"/>
          <w:bCs/>
          <w:spacing w:val="2"/>
          <w:sz w:val="22"/>
          <w:szCs w:val="22"/>
        </w:rPr>
        <w:t xml:space="preserve">IPC </w:t>
      </w:r>
      <w:r w:rsidR="00B076E2">
        <w:rPr>
          <w:rFonts w:ascii="Tahoma" w:hAnsi="Tahoma" w:cs="Tahoma"/>
          <w:bCs/>
          <w:spacing w:val="2"/>
          <w:sz w:val="22"/>
          <w:szCs w:val="22"/>
        </w:rPr>
        <w:t>final vigente para la fecha de reconocimiento de la pensión</w:t>
      </w:r>
      <w:r w:rsidR="007B5200">
        <w:rPr>
          <w:rFonts w:ascii="Tahoma" w:hAnsi="Tahoma" w:cs="Tahoma"/>
          <w:bCs/>
          <w:spacing w:val="2"/>
          <w:sz w:val="22"/>
          <w:szCs w:val="22"/>
        </w:rPr>
        <w:t xml:space="preserve"> (31 de diciembre de 2009) entre el IPC i</w:t>
      </w:r>
      <w:r w:rsidR="0052257B">
        <w:rPr>
          <w:rFonts w:ascii="Tahoma" w:hAnsi="Tahoma" w:cs="Tahoma"/>
          <w:bCs/>
          <w:spacing w:val="2"/>
          <w:sz w:val="22"/>
          <w:szCs w:val="22"/>
        </w:rPr>
        <w:t xml:space="preserve">nicial que atañe al último mes del factor salarial promedio (noviembre de 2004). La anterior intelección pone de relieve que </w:t>
      </w:r>
      <w:r>
        <w:rPr>
          <w:rFonts w:ascii="Tahoma" w:hAnsi="Tahoma" w:cs="Tahoma"/>
          <w:bCs/>
          <w:spacing w:val="2"/>
          <w:sz w:val="22"/>
          <w:szCs w:val="22"/>
        </w:rPr>
        <w:t>le asiste razón al petente</w:t>
      </w:r>
      <w:r w:rsidR="0052257B">
        <w:rPr>
          <w:rFonts w:ascii="Tahoma" w:hAnsi="Tahoma" w:cs="Tahoma"/>
          <w:bCs/>
          <w:spacing w:val="2"/>
          <w:sz w:val="22"/>
          <w:szCs w:val="22"/>
        </w:rPr>
        <w:t xml:space="preserve"> toda vez que </w:t>
      </w:r>
      <w:r w:rsidR="00C03B59">
        <w:rPr>
          <w:rFonts w:ascii="Tahoma" w:hAnsi="Tahoma" w:cs="Tahoma"/>
          <w:bCs/>
          <w:spacing w:val="2"/>
          <w:sz w:val="22"/>
          <w:szCs w:val="22"/>
        </w:rPr>
        <w:t>en el auto objeto de corrección</w:t>
      </w:r>
      <w:r w:rsidR="002376F5">
        <w:rPr>
          <w:rFonts w:ascii="Tahoma" w:hAnsi="Tahoma" w:cs="Tahoma"/>
          <w:bCs/>
          <w:spacing w:val="2"/>
          <w:sz w:val="22"/>
          <w:szCs w:val="22"/>
        </w:rPr>
        <w:t xml:space="preserve">, tal como se anunció previamente, </w:t>
      </w:r>
      <w:r w:rsidR="0052257B">
        <w:rPr>
          <w:rFonts w:ascii="Tahoma" w:hAnsi="Tahoma" w:cs="Tahoma"/>
          <w:bCs/>
          <w:spacing w:val="2"/>
          <w:sz w:val="22"/>
          <w:szCs w:val="22"/>
        </w:rPr>
        <w:t>se tomó como IPC final el que corresponde al mes de en</w:t>
      </w:r>
      <w:r w:rsidR="00C03B59">
        <w:rPr>
          <w:rFonts w:ascii="Tahoma" w:hAnsi="Tahoma" w:cs="Tahoma"/>
          <w:bCs/>
          <w:spacing w:val="2"/>
          <w:sz w:val="22"/>
          <w:szCs w:val="22"/>
        </w:rPr>
        <w:t>e</w:t>
      </w:r>
      <w:r w:rsidR="0052257B">
        <w:rPr>
          <w:rFonts w:ascii="Tahoma" w:hAnsi="Tahoma" w:cs="Tahoma"/>
          <w:bCs/>
          <w:spacing w:val="2"/>
          <w:sz w:val="22"/>
          <w:szCs w:val="22"/>
        </w:rPr>
        <w:t xml:space="preserve">ro de 2009 cuando debió ser el del mes de diciembre de ese año, y </w:t>
      </w:r>
      <w:r w:rsidR="00C03B59">
        <w:rPr>
          <w:rFonts w:ascii="Tahoma" w:hAnsi="Tahoma" w:cs="Tahoma"/>
          <w:bCs/>
          <w:spacing w:val="2"/>
          <w:sz w:val="22"/>
          <w:szCs w:val="22"/>
        </w:rPr>
        <w:t xml:space="preserve">se acogió </w:t>
      </w:r>
      <w:r w:rsidR="0052257B">
        <w:rPr>
          <w:rFonts w:ascii="Tahoma" w:hAnsi="Tahoma" w:cs="Tahoma"/>
          <w:bCs/>
          <w:spacing w:val="2"/>
          <w:sz w:val="22"/>
          <w:szCs w:val="22"/>
        </w:rPr>
        <w:t>como IPC inicial el del mes de diciembre de 2004 cuando debió ser el del mes de noviembre de es</w:t>
      </w:r>
      <w:r w:rsidR="00C03B59">
        <w:rPr>
          <w:rFonts w:ascii="Tahoma" w:hAnsi="Tahoma" w:cs="Tahoma"/>
          <w:bCs/>
          <w:spacing w:val="2"/>
          <w:sz w:val="22"/>
          <w:szCs w:val="22"/>
        </w:rPr>
        <w:t>a anualidad</w:t>
      </w:r>
      <w:r w:rsidR="0052257B">
        <w:rPr>
          <w:rFonts w:ascii="Tahoma" w:hAnsi="Tahoma" w:cs="Tahoma"/>
          <w:bCs/>
          <w:spacing w:val="2"/>
          <w:sz w:val="22"/>
          <w:szCs w:val="22"/>
        </w:rPr>
        <w:t>.</w:t>
      </w:r>
    </w:p>
    <w:p w:rsidR="00B07D4D" w:rsidRDefault="0052257B"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 </w:t>
      </w:r>
    </w:p>
    <w:p w:rsidR="009601F9" w:rsidRDefault="00B07D4D"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Ahora como quiera </w:t>
      </w:r>
      <w:r w:rsidR="0022770D">
        <w:rPr>
          <w:rFonts w:ascii="Tahoma" w:hAnsi="Tahoma" w:cs="Tahoma"/>
          <w:bCs/>
          <w:spacing w:val="2"/>
          <w:sz w:val="22"/>
          <w:szCs w:val="22"/>
        </w:rPr>
        <w:t xml:space="preserve">dicho error </w:t>
      </w:r>
      <w:r w:rsidR="0022770D">
        <w:rPr>
          <w:rFonts w:ascii="Tahoma" w:hAnsi="Tahoma" w:cs="Tahoma"/>
          <w:sz w:val="22"/>
          <w:szCs w:val="22"/>
        </w:rPr>
        <w:t>no implica</w:t>
      </w:r>
      <w:r w:rsidR="0022770D" w:rsidRPr="0022770D">
        <w:rPr>
          <w:rFonts w:ascii="Tahoma" w:hAnsi="Tahoma" w:cs="Tahoma"/>
          <w:sz w:val="22"/>
          <w:szCs w:val="22"/>
        </w:rPr>
        <w:t xml:space="preserve"> un cambio jurídico sustancial en la decisión </w:t>
      </w:r>
      <w:r w:rsidR="0022770D">
        <w:rPr>
          <w:rFonts w:ascii="Tahoma" w:hAnsi="Tahoma" w:cs="Tahoma"/>
          <w:sz w:val="22"/>
          <w:szCs w:val="22"/>
        </w:rPr>
        <w:t xml:space="preserve">que se tomó en la providencia en cuestión, ni altera o modifica la fórmula financiera que se utilizó para la indexación de la primera mesada pensional, ni altera los fundamentos jurídicos y fácticos de la decisión, hay lugar a concluir </w:t>
      </w:r>
      <w:r w:rsidR="00873258">
        <w:rPr>
          <w:rFonts w:ascii="Tahoma" w:hAnsi="Tahoma" w:cs="Tahoma"/>
          <w:bCs/>
          <w:spacing w:val="2"/>
          <w:sz w:val="22"/>
          <w:szCs w:val="22"/>
        </w:rPr>
        <w:t>q</w:t>
      </w:r>
      <w:r w:rsidR="0022770D">
        <w:rPr>
          <w:rFonts w:ascii="Tahoma" w:hAnsi="Tahoma" w:cs="Tahoma"/>
          <w:bCs/>
          <w:spacing w:val="2"/>
          <w:sz w:val="22"/>
          <w:szCs w:val="22"/>
        </w:rPr>
        <w:t>ue el error que se comete</w:t>
      </w:r>
      <w:r w:rsidR="00873258">
        <w:rPr>
          <w:rFonts w:ascii="Tahoma" w:hAnsi="Tahoma" w:cs="Tahoma"/>
          <w:bCs/>
          <w:spacing w:val="2"/>
          <w:sz w:val="22"/>
          <w:szCs w:val="22"/>
        </w:rPr>
        <w:t xml:space="preserve"> a la hora de determinar el IPC inicial o el IPC final que se debe tener en cuenta para aplicar la fórmula de la indexación de una suma de dinero constituye un error puramente aritmético</w:t>
      </w:r>
      <w:r w:rsidR="0022770D">
        <w:rPr>
          <w:rFonts w:ascii="Tahoma" w:hAnsi="Tahoma" w:cs="Tahoma"/>
          <w:bCs/>
          <w:spacing w:val="2"/>
          <w:sz w:val="22"/>
          <w:szCs w:val="22"/>
        </w:rPr>
        <w:t>.</w:t>
      </w:r>
      <w:r w:rsidR="007202D6">
        <w:rPr>
          <w:rFonts w:ascii="Tahoma" w:hAnsi="Tahoma" w:cs="Tahoma"/>
          <w:bCs/>
          <w:spacing w:val="2"/>
          <w:sz w:val="22"/>
          <w:szCs w:val="22"/>
        </w:rPr>
        <w:t xml:space="preserve"> </w:t>
      </w:r>
      <w:r w:rsidR="00873258">
        <w:rPr>
          <w:rFonts w:ascii="Tahoma" w:hAnsi="Tahoma" w:cs="Tahoma"/>
          <w:bCs/>
          <w:spacing w:val="2"/>
          <w:sz w:val="22"/>
          <w:szCs w:val="22"/>
        </w:rPr>
        <w:t xml:space="preserve"> </w:t>
      </w:r>
    </w:p>
    <w:p w:rsidR="009601F9" w:rsidRDefault="009601F9" w:rsidP="00852E96">
      <w:pPr>
        <w:spacing w:line="276" w:lineRule="auto"/>
        <w:ind w:firstLine="709"/>
        <w:jc w:val="both"/>
        <w:rPr>
          <w:rFonts w:ascii="Tahoma" w:hAnsi="Tahoma" w:cs="Tahoma"/>
          <w:bCs/>
          <w:spacing w:val="2"/>
          <w:sz w:val="22"/>
          <w:szCs w:val="22"/>
        </w:rPr>
      </w:pPr>
    </w:p>
    <w:p w:rsidR="009601F9" w:rsidRDefault="009601F9"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En consecuencia, hay lugar a corregir la indexación de la primera mesada pensional en la forma antes dicha, así:</w:t>
      </w:r>
    </w:p>
    <w:p w:rsidR="004B31F2" w:rsidRDefault="004B31F2" w:rsidP="00852E96">
      <w:pPr>
        <w:spacing w:line="276" w:lineRule="auto"/>
        <w:ind w:firstLine="709"/>
        <w:jc w:val="both"/>
        <w:rPr>
          <w:rFonts w:ascii="Tahoma" w:hAnsi="Tahoma" w:cs="Tahoma"/>
          <w:bCs/>
          <w:spacing w:val="2"/>
          <w:sz w:val="22"/>
          <w:szCs w:val="22"/>
        </w:rPr>
      </w:pPr>
    </w:p>
    <w:tbl>
      <w:tblPr>
        <w:tblpPr w:leftFromText="142" w:rightFromText="142" w:vertAnchor="text" w:horzAnchor="page" w:tblpXSpec="center" w:tblpY="1"/>
        <w:tblW w:w="8217" w:type="dxa"/>
        <w:tblCellMar>
          <w:left w:w="70" w:type="dxa"/>
          <w:right w:w="70" w:type="dxa"/>
        </w:tblCellMar>
        <w:tblLook w:val="04A0" w:firstRow="1" w:lastRow="0" w:firstColumn="1" w:lastColumn="0" w:noHBand="0" w:noVBand="1"/>
      </w:tblPr>
      <w:tblGrid>
        <w:gridCol w:w="149"/>
        <w:gridCol w:w="2095"/>
        <w:gridCol w:w="1627"/>
        <w:gridCol w:w="1139"/>
        <w:gridCol w:w="1739"/>
        <w:gridCol w:w="1468"/>
      </w:tblGrid>
      <w:tr w:rsidR="004B31F2" w:rsidTr="004B31F2">
        <w:trPr>
          <w:trHeight w:val="190"/>
        </w:trPr>
        <w:tc>
          <w:tcPr>
            <w:tcW w:w="8217" w:type="dxa"/>
            <w:gridSpan w:val="6"/>
            <w:tcBorders>
              <w:top w:val="single" w:sz="8" w:space="0" w:color="auto"/>
              <w:left w:val="single" w:sz="8" w:space="0" w:color="auto"/>
              <w:bottom w:val="nil"/>
              <w:right w:val="single" w:sz="8" w:space="0" w:color="000000"/>
            </w:tcBorders>
            <w:shd w:val="clear" w:color="auto" w:fill="auto"/>
            <w:noWrap/>
            <w:vAlign w:val="bottom"/>
            <w:hideMark/>
          </w:tcPr>
          <w:p w:rsidR="004B31F2" w:rsidRDefault="004B31F2" w:rsidP="004B31F2">
            <w:pPr>
              <w:jc w:val="center"/>
              <w:rPr>
                <w:rFonts w:ascii="Calibri" w:hAnsi="Calibri"/>
                <w:b/>
                <w:bCs/>
                <w:color w:val="000000"/>
                <w:sz w:val="22"/>
                <w:szCs w:val="22"/>
              </w:rPr>
            </w:pPr>
            <w:r>
              <w:rPr>
                <w:rFonts w:ascii="Calibri" w:hAnsi="Calibri"/>
                <w:b/>
                <w:bCs/>
                <w:color w:val="000000"/>
                <w:sz w:val="22"/>
                <w:szCs w:val="22"/>
              </w:rPr>
              <w:t>NDEXACION MESADA PENSIONAL</w:t>
            </w:r>
          </w:p>
        </w:tc>
      </w:tr>
      <w:tr w:rsidR="004B31F2" w:rsidTr="004B31F2">
        <w:trPr>
          <w:trHeight w:val="190"/>
        </w:trPr>
        <w:tc>
          <w:tcPr>
            <w:tcW w:w="821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SERIES DE EMPALME</w:t>
            </w:r>
          </w:p>
        </w:tc>
      </w:tr>
      <w:tr w:rsidR="004B31F2" w:rsidTr="004B31F2">
        <w:trPr>
          <w:trHeight w:val="344"/>
        </w:trPr>
        <w:tc>
          <w:tcPr>
            <w:tcW w:w="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1F2" w:rsidRDefault="004B31F2" w:rsidP="004B31F2">
            <w:pPr>
              <w:jc w:val="center"/>
              <w:rPr>
                <w:rFonts w:ascii="Calibri" w:hAnsi="Calibri"/>
                <w:color w:val="000000"/>
                <w:sz w:val="22"/>
                <w:szCs w:val="22"/>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VALOR MESADA</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1F2" w:rsidRDefault="004B31F2" w:rsidP="004B31F2">
            <w:pPr>
              <w:jc w:val="center"/>
              <w:rPr>
                <w:rFonts w:ascii="Calibri" w:hAnsi="Calibri"/>
                <w:color w:val="000000"/>
                <w:sz w:val="22"/>
                <w:szCs w:val="22"/>
              </w:rPr>
            </w:pPr>
            <w:r>
              <w:rPr>
                <w:rFonts w:ascii="Calibri" w:hAnsi="Calibri"/>
                <w:color w:val="000000"/>
                <w:sz w:val="22"/>
                <w:szCs w:val="22"/>
              </w:rPr>
              <w:t>IPC INICIAL</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1F2" w:rsidRDefault="004B31F2" w:rsidP="004B31F2">
            <w:pPr>
              <w:jc w:val="center"/>
              <w:rPr>
                <w:rFonts w:ascii="Calibri" w:hAnsi="Calibri"/>
                <w:color w:val="000000"/>
                <w:sz w:val="22"/>
                <w:szCs w:val="22"/>
              </w:rPr>
            </w:pPr>
            <w:r>
              <w:rPr>
                <w:rFonts w:ascii="Calibri" w:hAnsi="Calibri"/>
                <w:color w:val="000000"/>
                <w:sz w:val="22"/>
                <w:szCs w:val="22"/>
              </w:rPr>
              <w:t>IPC FINAL</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VALOR MESADA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FORMULA</w:t>
            </w:r>
          </w:p>
        </w:tc>
      </w:tr>
      <w:tr w:rsidR="004B31F2" w:rsidTr="004B31F2">
        <w:trPr>
          <w:trHeight w:val="208"/>
        </w:trPr>
        <w:tc>
          <w:tcPr>
            <w:tcW w:w="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2004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nov-04</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dic-09</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2009</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VR* IPCF/IPCI</w:t>
            </w:r>
          </w:p>
        </w:tc>
      </w:tr>
      <w:tr w:rsidR="004B31F2" w:rsidTr="004B31F2">
        <w:trPr>
          <w:trHeight w:val="202"/>
        </w:trPr>
        <w:tc>
          <w:tcPr>
            <w:tcW w:w="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   1.112.711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79,97</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102,00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r>
              <w:rPr>
                <w:rFonts w:ascii="Calibri" w:hAnsi="Calibri"/>
                <w:color w:val="000000"/>
                <w:sz w:val="22"/>
                <w:szCs w:val="22"/>
              </w:rPr>
              <w:t>$       1.419.266</w:t>
            </w:r>
          </w:p>
        </w:tc>
        <w:tc>
          <w:tcPr>
            <w:tcW w:w="1468" w:type="dxa"/>
            <w:vMerge/>
            <w:tcBorders>
              <w:left w:val="single" w:sz="4" w:space="0" w:color="auto"/>
              <w:bottom w:val="single" w:sz="4" w:space="0" w:color="auto"/>
              <w:right w:val="single" w:sz="4" w:space="0" w:color="auto"/>
            </w:tcBorders>
            <w:shd w:val="clear" w:color="auto" w:fill="auto"/>
            <w:noWrap/>
            <w:vAlign w:val="bottom"/>
            <w:hideMark/>
          </w:tcPr>
          <w:p w:rsidR="004B31F2" w:rsidRDefault="004B31F2" w:rsidP="004B31F2">
            <w:pPr>
              <w:jc w:val="center"/>
              <w:rPr>
                <w:rFonts w:ascii="Calibri" w:hAnsi="Calibri"/>
                <w:color w:val="000000"/>
                <w:sz w:val="22"/>
                <w:szCs w:val="22"/>
              </w:rPr>
            </w:pPr>
          </w:p>
        </w:tc>
      </w:tr>
    </w:tbl>
    <w:p w:rsidR="00E74B12" w:rsidRDefault="00E74B12" w:rsidP="00852E96">
      <w:pPr>
        <w:spacing w:line="276" w:lineRule="auto"/>
        <w:ind w:firstLine="709"/>
        <w:jc w:val="both"/>
        <w:rPr>
          <w:rFonts w:ascii="Tahoma" w:hAnsi="Tahoma" w:cs="Tahoma"/>
          <w:bCs/>
          <w:spacing w:val="2"/>
          <w:sz w:val="22"/>
          <w:szCs w:val="22"/>
        </w:rPr>
      </w:pPr>
    </w:p>
    <w:p w:rsidR="00F53F87" w:rsidRDefault="00F53F87" w:rsidP="0069710D">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69710D">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33202E">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Ahora, como quiera que el </w:t>
      </w:r>
      <w:r w:rsidRPr="0033202E">
        <w:rPr>
          <w:rFonts w:ascii="Tahoma" w:hAnsi="Tahoma" w:cs="Tahoma"/>
          <w:b/>
          <w:sz w:val="22"/>
          <w:szCs w:val="22"/>
        </w:rPr>
        <w:t>valor de la primera mesada pensional indexada</w:t>
      </w:r>
      <w:r>
        <w:rPr>
          <w:rFonts w:ascii="Tahoma" w:hAnsi="Tahoma" w:cs="Tahoma"/>
          <w:sz w:val="22"/>
          <w:szCs w:val="22"/>
        </w:rPr>
        <w:t xml:space="preserve"> varió respecto a la calculada en el auto del 14 de julio del año en curso, de $1.395432 a </w:t>
      </w:r>
      <w:r w:rsidRPr="0033202E">
        <w:rPr>
          <w:rFonts w:ascii="Tahoma" w:hAnsi="Tahoma" w:cs="Tahoma"/>
          <w:b/>
          <w:sz w:val="22"/>
          <w:szCs w:val="22"/>
        </w:rPr>
        <w:t>$1.419.266</w:t>
      </w:r>
      <w:r>
        <w:rPr>
          <w:rFonts w:ascii="Tahoma" w:hAnsi="Tahoma" w:cs="Tahoma"/>
          <w:sz w:val="22"/>
          <w:szCs w:val="22"/>
        </w:rPr>
        <w:t xml:space="preserve"> hay lugar a actualizarla nuevamente a efectos de determinar el valor del retroactivo pensional, así:</w:t>
      </w:r>
    </w:p>
    <w:p w:rsidR="006B3242" w:rsidRDefault="006B3242" w:rsidP="003F6675">
      <w:pPr>
        <w:widowControl w:val="0"/>
        <w:autoSpaceDE w:val="0"/>
        <w:autoSpaceDN w:val="0"/>
        <w:adjustRightInd w:val="0"/>
        <w:spacing w:line="276" w:lineRule="auto"/>
        <w:ind w:firstLine="1080"/>
        <w:jc w:val="both"/>
        <w:rPr>
          <w:rFonts w:ascii="Tahoma" w:hAnsi="Tahoma" w:cs="Tahoma"/>
          <w:sz w:val="22"/>
          <w:szCs w:val="22"/>
        </w:rPr>
      </w:pPr>
    </w:p>
    <w:tbl>
      <w:tblPr>
        <w:tblpPr w:leftFromText="142" w:rightFromText="142" w:vertAnchor="text" w:tblpY="1"/>
        <w:tblW w:w="9863" w:type="dxa"/>
        <w:tblCellMar>
          <w:left w:w="70" w:type="dxa"/>
          <w:right w:w="70" w:type="dxa"/>
        </w:tblCellMar>
        <w:tblLook w:val="04A0" w:firstRow="1" w:lastRow="0" w:firstColumn="1" w:lastColumn="0" w:noHBand="0" w:noVBand="1"/>
      </w:tblPr>
      <w:tblGrid>
        <w:gridCol w:w="795"/>
        <w:gridCol w:w="969"/>
        <w:gridCol w:w="917"/>
        <w:gridCol w:w="1090"/>
        <w:gridCol w:w="865"/>
        <w:gridCol w:w="1240"/>
        <w:gridCol w:w="1213"/>
        <w:gridCol w:w="986"/>
        <w:gridCol w:w="848"/>
        <w:gridCol w:w="940"/>
      </w:tblGrid>
      <w:tr w:rsidR="0033202E" w:rsidRPr="0033202E" w:rsidTr="0033202E">
        <w:trPr>
          <w:trHeight w:val="419"/>
        </w:trPr>
        <w:tc>
          <w:tcPr>
            <w:tcW w:w="795" w:type="dxa"/>
            <w:tcBorders>
              <w:top w:val="nil"/>
              <w:left w:val="nil"/>
              <w:bottom w:val="nil"/>
              <w:right w:val="nil"/>
            </w:tcBorders>
            <w:shd w:val="clear" w:color="auto" w:fill="auto"/>
            <w:noWrap/>
            <w:vAlign w:val="bottom"/>
            <w:hideMark/>
          </w:tcPr>
          <w:p w:rsidR="0033202E" w:rsidRPr="0033202E" w:rsidRDefault="0033202E" w:rsidP="0033202E">
            <w:pPr>
              <w:ind w:left="-354"/>
              <w:rPr>
                <w:sz w:val="16"/>
                <w:szCs w:val="16"/>
                <w:lang w:val="es-CO" w:eastAsia="es-CO"/>
              </w:rPr>
            </w:pPr>
          </w:p>
        </w:tc>
        <w:tc>
          <w:tcPr>
            <w:tcW w:w="969" w:type="dxa"/>
            <w:tcBorders>
              <w:top w:val="single" w:sz="4" w:space="0" w:color="auto"/>
              <w:left w:val="single" w:sz="4" w:space="0" w:color="auto"/>
              <w:bottom w:val="single" w:sz="4" w:space="0" w:color="auto"/>
              <w:right w:val="single" w:sz="4" w:space="0" w:color="808000"/>
            </w:tcBorders>
            <w:shd w:val="clear" w:color="000000" w:fill="FFFFCC"/>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Fecha Liquida:</w:t>
            </w:r>
          </w:p>
        </w:tc>
        <w:tc>
          <w:tcPr>
            <w:tcW w:w="917" w:type="dxa"/>
            <w:tcBorders>
              <w:top w:val="single" w:sz="4" w:space="0" w:color="auto"/>
              <w:left w:val="nil"/>
              <w:bottom w:val="single" w:sz="4" w:space="0" w:color="auto"/>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30-jun-17</w:t>
            </w:r>
          </w:p>
        </w:tc>
        <w:tc>
          <w:tcPr>
            <w:tcW w:w="1090" w:type="dxa"/>
            <w:tcBorders>
              <w:top w:val="single" w:sz="4" w:space="0" w:color="auto"/>
              <w:left w:val="nil"/>
              <w:bottom w:val="single" w:sz="4" w:space="0" w:color="auto"/>
              <w:right w:val="single" w:sz="4" w:space="0" w:color="808000"/>
            </w:tcBorders>
            <w:shd w:val="clear" w:color="000000" w:fill="FFFFCC"/>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Ipc (Vf)</w:t>
            </w:r>
          </w:p>
        </w:tc>
        <w:tc>
          <w:tcPr>
            <w:tcW w:w="865"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137,87 </w:t>
            </w:r>
          </w:p>
        </w:tc>
        <w:tc>
          <w:tcPr>
            <w:tcW w:w="1238" w:type="dxa"/>
            <w:tcBorders>
              <w:top w:val="nil"/>
              <w:left w:val="nil"/>
              <w:bottom w:val="nil"/>
              <w:right w:val="nil"/>
            </w:tcBorders>
            <w:shd w:val="clear" w:color="auto" w:fill="auto"/>
            <w:noWrap/>
            <w:vAlign w:val="bottom"/>
            <w:hideMark/>
          </w:tcPr>
          <w:p w:rsidR="0033202E" w:rsidRPr="0033202E" w:rsidRDefault="0033202E" w:rsidP="0033202E">
            <w:pPr>
              <w:jc w:val="center"/>
              <w:rPr>
                <w:rFonts w:ascii="Calibri" w:hAnsi="Calibri"/>
                <w:sz w:val="16"/>
                <w:szCs w:val="16"/>
                <w:lang w:val="es-CO" w:eastAsia="es-CO"/>
              </w:rPr>
            </w:pPr>
          </w:p>
          <w:p w:rsidR="0033202E" w:rsidRPr="0033202E" w:rsidRDefault="0033202E" w:rsidP="0033202E">
            <w:pPr>
              <w:jc w:val="center"/>
              <w:rPr>
                <w:rFonts w:ascii="Calibri" w:hAnsi="Calibri"/>
                <w:sz w:val="16"/>
                <w:szCs w:val="16"/>
                <w:lang w:val="es-CO" w:eastAsia="es-CO"/>
              </w:rPr>
            </w:pPr>
          </w:p>
          <w:p w:rsidR="0033202E" w:rsidRPr="0033202E" w:rsidRDefault="0033202E" w:rsidP="0033202E">
            <w:pPr>
              <w:jc w:val="center"/>
              <w:rPr>
                <w:rFonts w:ascii="Calibri" w:hAnsi="Calibri"/>
                <w:sz w:val="16"/>
                <w:szCs w:val="16"/>
                <w:lang w:val="es-CO" w:eastAsia="es-CO"/>
              </w:rPr>
            </w:pPr>
          </w:p>
        </w:tc>
        <w:tc>
          <w:tcPr>
            <w:tcW w:w="1213"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86"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848"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39"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r>
      <w:tr w:rsidR="0033202E" w:rsidRPr="0033202E" w:rsidTr="0033202E">
        <w:trPr>
          <w:trHeight w:val="275"/>
        </w:trPr>
        <w:tc>
          <w:tcPr>
            <w:tcW w:w="795"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69"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17"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1090" w:type="dxa"/>
            <w:tcBorders>
              <w:top w:val="nil"/>
              <w:left w:val="nil"/>
              <w:bottom w:val="nil"/>
              <w:right w:val="nil"/>
            </w:tcBorders>
            <w:shd w:val="clear" w:color="auto" w:fill="auto"/>
            <w:noWrap/>
            <w:vAlign w:val="bottom"/>
            <w:hideMark/>
          </w:tcPr>
          <w:p w:rsidR="0033202E" w:rsidRPr="0033202E" w:rsidRDefault="0033202E" w:rsidP="0033202E">
            <w:pPr>
              <w:jc w:val="right"/>
              <w:rPr>
                <w:rFonts w:ascii="Calibri" w:hAnsi="Calibri"/>
                <w:color w:val="FFFFFF"/>
                <w:sz w:val="16"/>
                <w:szCs w:val="16"/>
                <w:lang w:val="es-CO" w:eastAsia="es-CO"/>
              </w:rPr>
            </w:pPr>
            <w:r w:rsidRPr="0033202E">
              <w:rPr>
                <w:rFonts w:ascii="Calibri" w:hAnsi="Calibri"/>
                <w:color w:val="FFFFFF"/>
                <w:sz w:val="16"/>
                <w:szCs w:val="16"/>
                <w:lang w:val="es-CO" w:eastAsia="es-CO"/>
              </w:rPr>
              <w:t>01/01/2011</w:t>
            </w:r>
          </w:p>
        </w:tc>
        <w:tc>
          <w:tcPr>
            <w:tcW w:w="865" w:type="dxa"/>
            <w:tcBorders>
              <w:top w:val="nil"/>
              <w:left w:val="nil"/>
              <w:bottom w:val="nil"/>
              <w:right w:val="nil"/>
            </w:tcBorders>
            <w:shd w:val="clear" w:color="auto" w:fill="auto"/>
            <w:noWrap/>
            <w:vAlign w:val="bottom"/>
            <w:hideMark/>
          </w:tcPr>
          <w:p w:rsidR="0033202E" w:rsidRPr="0033202E" w:rsidRDefault="0033202E" w:rsidP="0033202E">
            <w:pPr>
              <w:jc w:val="right"/>
              <w:rPr>
                <w:rFonts w:ascii="Calibri" w:hAnsi="Calibri"/>
                <w:color w:val="FFFFFF"/>
                <w:sz w:val="16"/>
                <w:szCs w:val="16"/>
                <w:lang w:val="es-CO" w:eastAsia="es-CO"/>
              </w:rPr>
            </w:pPr>
          </w:p>
        </w:tc>
        <w:tc>
          <w:tcPr>
            <w:tcW w:w="1238"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1213"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86"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848"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c>
          <w:tcPr>
            <w:tcW w:w="939" w:type="dxa"/>
            <w:tcBorders>
              <w:top w:val="nil"/>
              <w:left w:val="nil"/>
              <w:bottom w:val="nil"/>
              <w:right w:val="nil"/>
            </w:tcBorders>
            <w:shd w:val="clear" w:color="auto" w:fill="auto"/>
            <w:noWrap/>
            <w:vAlign w:val="bottom"/>
            <w:hideMark/>
          </w:tcPr>
          <w:p w:rsidR="0033202E" w:rsidRPr="0033202E" w:rsidRDefault="0033202E" w:rsidP="0033202E">
            <w:pPr>
              <w:rPr>
                <w:sz w:val="16"/>
                <w:szCs w:val="16"/>
                <w:lang w:val="es-CO" w:eastAsia="es-CO"/>
              </w:rPr>
            </w:pPr>
          </w:p>
        </w:tc>
      </w:tr>
      <w:tr w:rsidR="0033202E" w:rsidRPr="0033202E" w:rsidTr="0033202E">
        <w:trPr>
          <w:trHeight w:val="394"/>
        </w:trPr>
        <w:tc>
          <w:tcPr>
            <w:tcW w:w="795" w:type="dxa"/>
            <w:tcBorders>
              <w:top w:val="single" w:sz="4" w:space="0" w:color="808000"/>
              <w:left w:val="single" w:sz="4" w:space="0" w:color="808000"/>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Año</w:t>
            </w:r>
          </w:p>
        </w:tc>
        <w:tc>
          <w:tcPr>
            <w:tcW w:w="969"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IPC</w:t>
            </w:r>
            <w:r w:rsidRPr="0033202E">
              <w:rPr>
                <w:rFonts w:ascii="Calibri" w:hAnsi="Calibri"/>
                <w:b/>
                <w:bCs/>
                <w:sz w:val="16"/>
                <w:szCs w:val="16"/>
                <w:lang w:val="es-CO" w:eastAsia="es-CO"/>
              </w:rPr>
              <w:t xml:space="preserve">   (Var. Año anterior)</w:t>
            </w:r>
          </w:p>
        </w:tc>
        <w:tc>
          <w:tcPr>
            <w:tcW w:w="917"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Desde</w:t>
            </w:r>
          </w:p>
        </w:tc>
        <w:tc>
          <w:tcPr>
            <w:tcW w:w="1090"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Hasta</w:t>
            </w:r>
          </w:p>
        </w:tc>
        <w:tc>
          <w:tcPr>
            <w:tcW w:w="865"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Causadas</w:t>
            </w:r>
          </w:p>
        </w:tc>
        <w:tc>
          <w:tcPr>
            <w:tcW w:w="1238"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Mesada reliquidada</w:t>
            </w:r>
          </w:p>
        </w:tc>
        <w:tc>
          <w:tcPr>
            <w:tcW w:w="1213"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Mesada anterior</w:t>
            </w:r>
          </w:p>
        </w:tc>
        <w:tc>
          <w:tcPr>
            <w:tcW w:w="986"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 xml:space="preserve"> Diferencias a cancelar </w:t>
            </w:r>
          </w:p>
        </w:tc>
        <w:tc>
          <w:tcPr>
            <w:tcW w:w="848"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IPC Vo</w:t>
            </w:r>
          </w:p>
        </w:tc>
        <w:tc>
          <w:tcPr>
            <w:tcW w:w="939" w:type="dxa"/>
            <w:tcBorders>
              <w:top w:val="single" w:sz="4" w:space="0" w:color="808000"/>
              <w:left w:val="nil"/>
              <w:bottom w:val="nil"/>
              <w:right w:val="single" w:sz="4" w:space="0" w:color="808000"/>
            </w:tcBorders>
            <w:shd w:val="clear" w:color="000000" w:fill="FFFF99"/>
            <w:vAlign w:val="center"/>
            <w:hideMark/>
          </w:tcPr>
          <w:p w:rsidR="0033202E" w:rsidRPr="0033202E" w:rsidRDefault="0033202E" w:rsidP="0033202E">
            <w:pPr>
              <w:jc w:val="center"/>
              <w:rPr>
                <w:rFonts w:ascii="Calibri" w:hAnsi="Calibri"/>
                <w:b/>
                <w:bCs/>
                <w:color w:val="000000"/>
                <w:sz w:val="16"/>
                <w:szCs w:val="16"/>
                <w:lang w:val="es-CO" w:eastAsia="es-CO"/>
              </w:rPr>
            </w:pPr>
            <w:r w:rsidRPr="0033202E">
              <w:rPr>
                <w:rFonts w:ascii="Calibri" w:hAnsi="Calibri"/>
                <w:b/>
                <w:bCs/>
                <w:color w:val="000000"/>
                <w:sz w:val="16"/>
                <w:szCs w:val="16"/>
                <w:lang w:val="es-CO" w:eastAsia="es-CO"/>
              </w:rPr>
              <w:t>Diferencia indexada</w:t>
            </w:r>
          </w:p>
        </w:tc>
      </w:tr>
      <w:tr w:rsidR="0033202E" w:rsidRPr="0033202E" w:rsidTr="0033202E">
        <w:trPr>
          <w:trHeight w:val="262"/>
        </w:trPr>
        <w:tc>
          <w:tcPr>
            <w:tcW w:w="795"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2009</w:t>
            </w:r>
          </w:p>
        </w:tc>
        <w:tc>
          <w:tcPr>
            <w:tcW w:w="969" w:type="dxa"/>
            <w:tcBorders>
              <w:top w:val="single" w:sz="4" w:space="0" w:color="003366"/>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91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31-dic-09</w:t>
            </w:r>
          </w:p>
        </w:tc>
        <w:tc>
          <w:tcPr>
            <w:tcW w:w="1090" w:type="dxa"/>
            <w:tcBorders>
              <w:top w:val="single" w:sz="4" w:space="0" w:color="808000"/>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31-dic-09</w:t>
            </w:r>
          </w:p>
        </w:tc>
        <w:tc>
          <w:tcPr>
            <w:tcW w:w="865"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0,03</w:t>
            </w:r>
          </w:p>
        </w:tc>
        <w:tc>
          <w:tcPr>
            <w:tcW w:w="1238" w:type="dxa"/>
            <w:tcBorders>
              <w:top w:val="single" w:sz="4" w:space="0" w:color="003366"/>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1.419.266 </w:t>
            </w:r>
          </w:p>
        </w:tc>
        <w:tc>
          <w:tcPr>
            <w:tcW w:w="1213" w:type="dxa"/>
            <w:tcBorders>
              <w:top w:val="single" w:sz="4" w:space="0" w:color="003366"/>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1.166.558 </w:t>
            </w:r>
          </w:p>
        </w:tc>
        <w:tc>
          <w:tcPr>
            <w:tcW w:w="986"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8.339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102,00 </w:t>
            </w:r>
          </w:p>
        </w:tc>
        <w:tc>
          <w:tcPr>
            <w:tcW w:w="939"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2.932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102,70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88.267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103,55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85.431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103,81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84.564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104,29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82.995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104,40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82.643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515.525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104,52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164.492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104,47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82.400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104,59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82.019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104,45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82.480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104,36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82.781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257.762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104,56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82.121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2010</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3,17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01-dic-10</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31-dic-10</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1.447.652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1.189.889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515.525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105,24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159.862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106,19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79.338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106,83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77.269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107,12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76.340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107,25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75.925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107,55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74.972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531.873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107,90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147.732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108,05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73.394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108,01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73.520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108,35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72.455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108,55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71.831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265.937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108,70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71.365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2011</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3,73</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01-dic-11</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31-dic-11</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1.493.560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1.227.623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531.873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109,16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139.887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109,96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70.018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29-feb-12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110,63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67.923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110,76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67.519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110,92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67.024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111,25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66.007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551.712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111,35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131.400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111,32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65.792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111,37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65.639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111,69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64.660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111,87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64.112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1.549.270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1.273.414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275.856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111,72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64.569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2012</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2,44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01-dic-12</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31-dic-12</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565.174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111,82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131.665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112,15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64.807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112,65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63.265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112,88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62.561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113,16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61.707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113,48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60.736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565.174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113,75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119.842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113,80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59.770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lastRenderedPageBreak/>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113,89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59.500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114,23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58.482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113,93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59.380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282.587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113,68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60.132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2013</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1,94</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01-dic-13</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31-dic-13</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1.587.072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1.304.485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565.174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113,98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118.459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114,54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58.675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115,26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56.509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115,71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55.169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116,24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53.604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116,81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51.937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576.138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116,91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103.292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117,09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51.124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117,33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50.430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117,49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49.969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117,68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49.423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288.069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117,84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48.965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2014</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3,66</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01-dic-14</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31-dic-14</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1.617.861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1.329.792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576.138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118,15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96.161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118,91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47.613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120,28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43.670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120,98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41.689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121,63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39.871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121,95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38.982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597.225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122,08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77.246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122,31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37.989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122,90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36.373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123,78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33.991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124,62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31.749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298.612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125,37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29.773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2015</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6,77</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01-dic-15</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31-dic-15</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1.677.075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1.378.462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597.225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126,15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55.485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127,78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25.176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29-feb-16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129,41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20.843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01-mar-16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31-mar-16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130,63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17.671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131,28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16.005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131,95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14.304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01-jun-16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637.657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132,58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25.443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01-jul-16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31-jul-16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133,27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11.005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01-ago-16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31-ago-16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132,85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12.048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01-sep-16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30-sep-16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132,78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12.222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01-oct-16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31-oct-16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132,70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12.422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01-nov-16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30-nov-16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318.828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132,85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12.048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2016</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5,75</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01-dic-16</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31-dic-16</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1.790.613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1.471.784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637.657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133,40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21.367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2017</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0,00</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01-ene-17</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31-ene-17</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1.893.573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1.556.412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337.161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134,77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7.755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2017</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0,00</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01-feb-17</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28-feb-17</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1.893.573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1.556.412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337.161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136,12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4.335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2017</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0,00</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01-abr-17</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30-abr-17</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1.893.573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1.556.412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337.161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137,40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1.153 </w:t>
            </w:r>
          </w:p>
        </w:tc>
      </w:tr>
      <w:tr w:rsidR="0033202E" w:rsidRPr="0033202E" w:rsidTr="0033202E">
        <w:trPr>
          <w:trHeight w:val="262"/>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2017</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0,00</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01-may-17</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31-may-17</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1,00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1.893.573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1.556.412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337.161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137,71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392 </w:t>
            </w:r>
          </w:p>
        </w:tc>
      </w:tr>
      <w:tr w:rsidR="0033202E" w:rsidRPr="0033202E" w:rsidTr="0033202E">
        <w:trPr>
          <w:trHeight w:val="275"/>
        </w:trPr>
        <w:tc>
          <w:tcPr>
            <w:tcW w:w="79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2017</w:t>
            </w:r>
          </w:p>
        </w:tc>
        <w:tc>
          <w:tcPr>
            <w:tcW w:w="969" w:type="dxa"/>
            <w:tcBorders>
              <w:top w:val="nil"/>
              <w:left w:val="nil"/>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0,00</w:t>
            </w:r>
          </w:p>
        </w:tc>
        <w:tc>
          <w:tcPr>
            <w:tcW w:w="917" w:type="dxa"/>
            <w:tcBorders>
              <w:top w:val="nil"/>
              <w:left w:val="single" w:sz="4" w:space="0" w:color="808000"/>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01-ene-17</w:t>
            </w:r>
          </w:p>
        </w:tc>
        <w:tc>
          <w:tcPr>
            <w:tcW w:w="1090" w:type="dxa"/>
            <w:tcBorders>
              <w:top w:val="nil"/>
              <w:left w:val="nil"/>
              <w:bottom w:val="single" w:sz="4" w:space="0" w:color="808000"/>
              <w:right w:val="single" w:sz="4" w:space="0" w:color="808000"/>
            </w:tcBorders>
            <w:shd w:val="clear" w:color="auto" w:fill="auto"/>
            <w:noWrap/>
            <w:vAlign w:val="center"/>
            <w:hideMark/>
          </w:tcPr>
          <w:p w:rsidR="0033202E" w:rsidRPr="0033202E" w:rsidRDefault="0033202E" w:rsidP="0033202E">
            <w:pPr>
              <w:jc w:val="right"/>
              <w:rPr>
                <w:rFonts w:ascii="Calibri" w:hAnsi="Calibri"/>
                <w:color w:val="000000"/>
                <w:sz w:val="16"/>
                <w:szCs w:val="16"/>
                <w:lang w:val="es-CO" w:eastAsia="es-CO"/>
              </w:rPr>
            </w:pPr>
            <w:r w:rsidRPr="0033202E">
              <w:rPr>
                <w:rFonts w:ascii="Calibri" w:hAnsi="Calibri"/>
                <w:color w:val="000000"/>
                <w:sz w:val="16"/>
                <w:szCs w:val="16"/>
                <w:lang w:val="es-CO" w:eastAsia="es-CO"/>
              </w:rPr>
              <w:t>30-jun-17</w:t>
            </w:r>
          </w:p>
        </w:tc>
        <w:tc>
          <w:tcPr>
            <w:tcW w:w="865" w:type="dxa"/>
            <w:tcBorders>
              <w:top w:val="nil"/>
              <w:left w:val="single" w:sz="4" w:space="0" w:color="003366"/>
              <w:bottom w:val="single" w:sz="4" w:space="0" w:color="003366"/>
              <w:right w:val="single" w:sz="4" w:space="0" w:color="003366"/>
            </w:tcBorders>
            <w:shd w:val="clear" w:color="000000" w:fill="FFFFCC"/>
            <w:noWrap/>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2,00</w:t>
            </w:r>
          </w:p>
        </w:tc>
        <w:tc>
          <w:tcPr>
            <w:tcW w:w="1238"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1.893.573 </w:t>
            </w:r>
          </w:p>
        </w:tc>
        <w:tc>
          <w:tcPr>
            <w:tcW w:w="1213" w:type="dxa"/>
            <w:tcBorders>
              <w:top w:val="nil"/>
              <w:left w:val="nil"/>
              <w:bottom w:val="single" w:sz="4" w:space="0" w:color="003366"/>
              <w:right w:val="single" w:sz="4" w:space="0" w:color="003366"/>
            </w:tcBorders>
            <w:shd w:val="clear" w:color="000000" w:fill="FFFFCC"/>
            <w:vAlign w:val="bottom"/>
            <w:hideMark/>
          </w:tcPr>
          <w:p w:rsidR="0033202E" w:rsidRPr="0033202E" w:rsidRDefault="0033202E" w:rsidP="0033202E">
            <w:pPr>
              <w:rPr>
                <w:rFonts w:ascii="Calibri" w:hAnsi="Calibri"/>
                <w:sz w:val="16"/>
                <w:szCs w:val="16"/>
                <w:lang w:val="es-CO" w:eastAsia="es-CO"/>
              </w:rPr>
            </w:pPr>
            <w:r w:rsidRPr="0033202E">
              <w:rPr>
                <w:rFonts w:ascii="Calibri" w:hAnsi="Calibri"/>
                <w:sz w:val="16"/>
                <w:szCs w:val="16"/>
                <w:lang w:val="es-CO" w:eastAsia="es-CO"/>
              </w:rPr>
              <w:t xml:space="preserve">          1.556.412 </w:t>
            </w:r>
          </w:p>
        </w:tc>
        <w:tc>
          <w:tcPr>
            <w:tcW w:w="986" w:type="dxa"/>
            <w:tcBorders>
              <w:top w:val="nil"/>
              <w:left w:val="single" w:sz="4" w:space="0" w:color="808000"/>
              <w:bottom w:val="single" w:sz="4" w:space="0" w:color="808000"/>
              <w:right w:val="single" w:sz="4" w:space="0" w:color="808000"/>
            </w:tcBorders>
            <w:shd w:val="clear" w:color="000000" w:fill="FFFFCC"/>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674.322 </w:t>
            </w:r>
          </w:p>
        </w:tc>
        <w:tc>
          <w:tcPr>
            <w:tcW w:w="848" w:type="dxa"/>
            <w:tcBorders>
              <w:top w:val="nil"/>
              <w:left w:val="nil"/>
              <w:bottom w:val="nil"/>
              <w:right w:val="nil"/>
            </w:tcBorders>
            <w:shd w:val="clear" w:color="FFFFFF" w:fill="33CCCC"/>
            <w:vAlign w:val="center"/>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137,87 </w:t>
            </w:r>
          </w:p>
        </w:tc>
        <w:tc>
          <w:tcPr>
            <w:tcW w:w="939" w:type="dxa"/>
            <w:tcBorders>
              <w:top w:val="nil"/>
              <w:left w:val="single" w:sz="4" w:space="0" w:color="003366"/>
              <w:bottom w:val="single" w:sz="4" w:space="0" w:color="003366"/>
              <w:right w:val="single" w:sz="4" w:space="0" w:color="003366"/>
            </w:tcBorders>
            <w:shd w:val="clear" w:color="000000" w:fill="FFFFCC"/>
            <w:vAlign w:val="bottom"/>
            <w:hideMark/>
          </w:tcPr>
          <w:p w:rsidR="0033202E" w:rsidRPr="0033202E" w:rsidRDefault="0033202E" w:rsidP="0033202E">
            <w:pPr>
              <w:jc w:val="right"/>
              <w:rPr>
                <w:rFonts w:ascii="Calibri" w:hAnsi="Calibri"/>
                <w:sz w:val="16"/>
                <w:szCs w:val="16"/>
                <w:lang w:val="es-CO" w:eastAsia="es-CO"/>
              </w:rPr>
            </w:pPr>
            <w:r w:rsidRPr="0033202E">
              <w:rPr>
                <w:rFonts w:ascii="Calibri" w:hAnsi="Calibri"/>
                <w:sz w:val="16"/>
                <w:szCs w:val="16"/>
                <w:lang w:val="es-CO" w:eastAsia="es-CO"/>
              </w:rPr>
              <w:t xml:space="preserve">                  -   </w:t>
            </w:r>
          </w:p>
        </w:tc>
      </w:tr>
      <w:tr w:rsidR="0033202E" w:rsidRPr="0033202E" w:rsidTr="0033202E">
        <w:trPr>
          <w:trHeight w:val="275"/>
        </w:trPr>
        <w:tc>
          <w:tcPr>
            <w:tcW w:w="7090" w:type="dxa"/>
            <w:gridSpan w:val="7"/>
            <w:tcBorders>
              <w:top w:val="single" w:sz="8" w:space="0" w:color="auto"/>
              <w:left w:val="single" w:sz="8" w:space="0" w:color="auto"/>
              <w:bottom w:val="nil"/>
              <w:right w:val="single" w:sz="4" w:space="0" w:color="003366"/>
            </w:tcBorders>
            <w:shd w:val="clear" w:color="000000" w:fill="FFFFCC"/>
            <w:vAlign w:val="bottom"/>
            <w:hideMark/>
          </w:tcPr>
          <w:p w:rsidR="0033202E" w:rsidRPr="0033202E" w:rsidRDefault="0033202E" w:rsidP="0033202E">
            <w:pPr>
              <w:jc w:val="center"/>
              <w:rPr>
                <w:rFonts w:ascii="Calibri" w:hAnsi="Calibri"/>
                <w:sz w:val="16"/>
                <w:szCs w:val="16"/>
                <w:lang w:val="es-CO" w:eastAsia="es-CO"/>
              </w:rPr>
            </w:pPr>
            <w:r w:rsidRPr="0033202E">
              <w:rPr>
                <w:rFonts w:ascii="Calibri" w:hAnsi="Calibri"/>
                <w:sz w:val="16"/>
                <w:szCs w:val="16"/>
                <w:lang w:val="es-CO" w:eastAsia="es-CO"/>
              </w:rPr>
              <w:t xml:space="preserve"> SUBTOTALES </w:t>
            </w:r>
          </w:p>
        </w:tc>
        <w:tc>
          <w:tcPr>
            <w:tcW w:w="986" w:type="dxa"/>
            <w:tcBorders>
              <w:top w:val="single" w:sz="8" w:space="0" w:color="auto"/>
              <w:left w:val="nil"/>
              <w:bottom w:val="nil"/>
              <w:right w:val="nil"/>
            </w:tcBorders>
            <w:shd w:val="clear" w:color="000000" w:fill="FFFF00"/>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29.871.895 </w:t>
            </w:r>
          </w:p>
        </w:tc>
        <w:tc>
          <w:tcPr>
            <w:tcW w:w="848" w:type="dxa"/>
            <w:tcBorders>
              <w:top w:val="single" w:sz="8" w:space="0" w:color="auto"/>
              <w:left w:val="nil"/>
              <w:bottom w:val="nil"/>
              <w:right w:val="nil"/>
            </w:tcBorders>
            <w:shd w:val="clear" w:color="auto" w:fill="auto"/>
            <w:noWrap/>
            <w:vAlign w:val="bottom"/>
            <w:hideMark/>
          </w:tcPr>
          <w:p w:rsidR="0033202E" w:rsidRPr="0033202E" w:rsidRDefault="0033202E" w:rsidP="0033202E">
            <w:pPr>
              <w:rPr>
                <w:rFonts w:ascii="Calibri" w:hAnsi="Calibri"/>
                <w:i/>
                <w:iCs/>
                <w:color w:val="000000"/>
                <w:sz w:val="16"/>
                <w:szCs w:val="16"/>
                <w:lang w:val="es-CO" w:eastAsia="es-CO"/>
              </w:rPr>
            </w:pPr>
            <w:r w:rsidRPr="0033202E">
              <w:rPr>
                <w:rFonts w:ascii="Calibri" w:hAnsi="Calibri"/>
                <w:i/>
                <w:iCs/>
                <w:color w:val="000000"/>
                <w:sz w:val="16"/>
                <w:szCs w:val="16"/>
                <w:lang w:val="es-CO" w:eastAsia="es-CO"/>
              </w:rPr>
              <w:t> </w:t>
            </w:r>
          </w:p>
        </w:tc>
        <w:tc>
          <w:tcPr>
            <w:tcW w:w="939" w:type="dxa"/>
            <w:tcBorders>
              <w:top w:val="single" w:sz="8" w:space="0" w:color="auto"/>
              <w:left w:val="nil"/>
              <w:bottom w:val="nil"/>
              <w:right w:val="nil"/>
            </w:tcBorders>
            <w:shd w:val="clear" w:color="000000" w:fill="FFFF00"/>
            <w:noWrap/>
            <w:vAlign w:val="center"/>
            <w:hideMark/>
          </w:tcPr>
          <w:p w:rsidR="0033202E" w:rsidRPr="0033202E" w:rsidRDefault="0033202E" w:rsidP="0033202E">
            <w:pPr>
              <w:rPr>
                <w:rFonts w:ascii="Calibri" w:hAnsi="Calibri"/>
                <w:color w:val="000000"/>
                <w:sz w:val="16"/>
                <w:szCs w:val="16"/>
                <w:lang w:val="es-CO" w:eastAsia="es-CO"/>
              </w:rPr>
            </w:pPr>
            <w:r w:rsidRPr="0033202E">
              <w:rPr>
                <w:rFonts w:ascii="Calibri" w:hAnsi="Calibri"/>
                <w:color w:val="000000"/>
                <w:sz w:val="16"/>
                <w:szCs w:val="16"/>
                <w:lang w:val="es-CO" w:eastAsia="es-CO"/>
              </w:rPr>
              <w:t xml:space="preserve">   5.425.861 </w:t>
            </w:r>
          </w:p>
        </w:tc>
      </w:tr>
      <w:tr w:rsidR="0033202E" w:rsidRPr="0033202E" w:rsidTr="0033202E">
        <w:trPr>
          <w:trHeight w:val="288"/>
        </w:trPr>
        <w:tc>
          <w:tcPr>
            <w:tcW w:w="795" w:type="dxa"/>
            <w:tcBorders>
              <w:top w:val="nil"/>
              <w:left w:val="single" w:sz="8" w:space="0" w:color="auto"/>
              <w:bottom w:val="single" w:sz="8" w:space="0" w:color="auto"/>
              <w:right w:val="nil"/>
            </w:tcBorders>
            <w:shd w:val="clear" w:color="auto" w:fill="auto"/>
            <w:noWrap/>
            <w:vAlign w:val="bottom"/>
            <w:hideMark/>
          </w:tcPr>
          <w:p w:rsidR="0033202E" w:rsidRPr="0033202E" w:rsidRDefault="0033202E" w:rsidP="0033202E">
            <w:pPr>
              <w:rPr>
                <w:rFonts w:ascii="Calibri" w:hAnsi="Calibri"/>
                <w:i/>
                <w:iCs/>
                <w:color w:val="000000"/>
                <w:sz w:val="16"/>
                <w:szCs w:val="16"/>
                <w:lang w:val="es-CO" w:eastAsia="es-CO"/>
              </w:rPr>
            </w:pPr>
            <w:r w:rsidRPr="0033202E">
              <w:rPr>
                <w:rFonts w:ascii="Calibri" w:hAnsi="Calibri"/>
                <w:i/>
                <w:iCs/>
                <w:color w:val="000000"/>
                <w:sz w:val="16"/>
                <w:szCs w:val="16"/>
                <w:lang w:val="es-CO" w:eastAsia="es-CO"/>
              </w:rPr>
              <w:t> </w:t>
            </w:r>
          </w:p>
        </w:tc>
        <w:tc>
          <w:tcPr>
            <w:tcW w:w="5081" w:type="dxa"/>
            <w:gridSpan w:val="5"/>
            <w:tcBorders>
              <w:top w:val="nil"/>
              <w:left w:val="nil"/>
              <w:bottom w:val="single" w:sz="8" w:space="0" w:color="auto"/>
              <w:right w:val="nil"/>
            </w:tcBorders>
            <w:shd w:val="clear" w:color="000000" w:fill="FFFF99"/>
            <w:noWrap/>
            <w:vAlign w:val="center"/>
            <w:hideMark/>
          </w:tcPr>
          <w:p w:rsidR="0033202E" w:rsidRPr="0033202E" w:rsidRDefault="0033202E" w:rsidP="0033202E">
            <w:pPr>
              <w:rPr>
                <w:rFonts w:ascii="Calibri" w:hAnsi="Calibri"/>
                <w:b/>
                <w:bCs/>
                <w:sz w:val="16"/>
                <w:szCs w:val="16"/>
                <w:lang w:val="es-CO" w:eastAsia="es-CO"/>
              </w:rPr>
            </w:pPr>
            <w:r w:rsidRPr="0033202E">
              <w:rPr>
                <w:rFonts w:ascii="Calibri" w:hAnsi="Calibri"/>
                <w:b/>
                <w:bCs/>
                <w:sz w:val="16"/>
                <w:szCs w:val="16"/>
                <w:lang w:val="es-CO" w:eastAsia="es-CO"/>
              </w:rPr>
              <w:t xml:space="preserve"> Valores a cancelar Diferencia mesada+indexacion ===&gt; </w:t>
            </w:r>
          </w:p>
        </w:tc>
        <w:tc>
          <w:tcPr>
            <w:tcW w:w="1213" w:type="dxa"/>
            <w:tcBorders>
              <w:top w:val="nil"/>
              <w:left w:val="nil"/>
              <w:bottom w:val="single" w:sz="8" w:space="0" w:color="auto"/>
              <w:right w:val="nil"/>
            </w:tcBorders>
            <w:shd w:val="clear" w:color="000000" w:fill="FFFF99"/>
            <w:noWrap/>
            <w:vAlign w:val="center"/>
            <w:hideMark/>
          </w:tcPr>
          <w:p w:rsidR="0033202E" w:rsidRPr="0033202E" w:rsidRDefault="0033202E" w:rsidP="0033202E">
            <w:pPr>
              <w:rPr>
                <w:rFonts w:ascii="Calibri" w:hAnsi="Calibri"/>
                <w:b/>
                <w:bCs/>
                <w:sz w:val="16"/>
                <w:szCs w:val="16"/>
                <w:lang w:val="es-CO" w:eastAsia="es-CO"/>
              </w:rPr>
            </w:pPr>
            <w:r w:rsidRPr="0033202E">
              <w:rPr>
                <w:rFonts w:ascii="Calibri" w:hAnsi="Calibri"/>
                <w:b/>
                <w:bCs/>
                <w:sz w:val="16"/>
                <w:szCs w:val="16"/>
                <w:lang w:val="es-CO" w:eastAsia="es-CO"/>
              </w:rPr>
              <w:t> </w:t>
            </w:r>
          </w:p>
        </w:tc>
        <w:tc>
          <w:tcPr>
            <w:tcW w:w="2774" w:type="dxa"/>
            <w:gridSpan w:val="3"/>
            <w:tcBorders>
              <w:top w:val="nil"/>
              <w:left w:val="nil"/>
              <w:bottom w:val="single" w:sz="8" w:space="0" w:color="auto"/>
              <w:right w:val="single" w:sz="8" w:space="0" w:color="000000"/>
            </w:tcBorders>
            <w:shd w:val="clear" w:color="000000" w:fill="FFFF99"/>
            <w:noWrap/>
            <w:vAlign w:val="center"/>
            <w:hideMark/>
          </w:tcPr>
          <w:p w:rsidR="0033202E" w:rsidRPr="0033202E" w:rsidRDefault="0033202E" w:rsidP="0033202E">
            <w:pPr>
              <w:jc w:val="center"/>
              <w:rPr>
                <w:rFonts w:ascii="Calibri" w:hAnsi="Calibri"/>
                <w:b/>
                <w:bCs/>
                <w:sz w:val="16"/>
                <w:szCs w:val="16"/>
                <w:lang w:val="es-CO" w:eastAsia="es-CO"/>
              </w:rPr>
            </w:pPr>
            <w:r w:rsidRPr="0033202E">
              <w:rPr>
                <w:rFonts w:ascii="Calibri" w:hAnsi="Calibri"/>
                <w:b/>
                <w:bCs/>
                <w:sz w:val="16"/>
                <w:szCs w:val="16"/>
                <w:lang w:val="es-CO" w:eastAsia="es-CO"/>
              </w:rPr>
              <w:t xml:space="preserve"> $                         35.297.755,64 </w:t>
            </w:r>
          </w:p>
        </w:tc>
      </w:tr>
    </w:tbl>
    <w:p w:rsidR="0033202E" w:rsidRDefault="0033202E" w:rsidP="003F6675">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3F6675">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3F6675">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3F6675">
      <w:pPr>
        <w:widowControl w:val="0"/>
        <w:autoSpaceDE w:val="0"/>
        <w:autoSpaceDN w:val="0"/>
        <w:adjustRightInd w:val="0"/>
        <w:spacing w:line="276" w:lineRule="auto"/>
        <w:ind w:firstLine="1080"/>
        <w:jc w:val="both"/>
        <w:rPr>
          <w:rFonts w:ascii="Tahoma" w:hAnsi="Tahoma" w:cs="Tahoma"/>
          <w:sz w:val="22"/>
          <w:szCs w:val="22"/>
        </w:rPr>
      </w:pPr>
    </w:p>
    <w:p w:rsidR="0033202E" w:rsidRDefault="0033202E"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lastRenderedPageBreak/>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Default="007D4D1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9601F9">
        <w:rPr>
          <w:rFonts w:ascii="Tahoma" w:hAnsi="Tahoma" w:cs="Tahoma"/>
          <w:b/>
          <w:sz w:val="22"/>
          <w:szCs w:val="22"/>
        </w:rPr>
        <w:t xml:space="preserve">CORREGIR el error aritmético </w:t>
      </w:r>
      <w:r w:rsidR="009601F9">
        <w:rPr>
          <w:rFonts w:ascii="Tahoma" w:hAnsi="Tahoma" w:cs="Tahoma"/>
          <w:sz w:val="22"/>
          <w:szCs w:val="22"/>
        </w:rPr>
        <w:t>cometido en</w:t>
      </w:r>
      <w:r w:rsidR="009601F9">
        <w:rPr>
          <w:rFonts w:ascii="Tahoma" w:hAnsi="Tahoma" w:cs="Tahoma"/>
          <w:b/>
          <w:sz w:val="22"/>
          <w:szCs w:val="22"/>
        </w:rPr>
        <w:t xml:space="preserve"> </w:t>
      </w:r>
      <w:r w:rsidR="009601F9">
        <w:rPr>
          <w:rFonts w:ascii="Tahoma" w:hAnsi="Tahoma" w:cs="Tahoma"/>
          <w:sz w:val="22"/>
          <w:szCs w:val="22"/>
        </w:rPr>
        <w:t xml:space="preserve">el auto proferido por esta Sala de Decisión el pasado 14 de julio de 20017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 xml:space="preserve">videncia. </w:t>
      </w:r>
      <w:r w:rsidR="006B3242">
        <w:rPr>
          <w:rFonts w:ascii="Tahoma" w:hAnsi="Tahoma" w:cs="Tahoma"/>
          <w:sz w:val="22"/>
          <w:szCs w:val="22"/>
        </w:rPr>
        <w:t xml:space="preserve">En consecuencia </w:t>
      </w:r>
      <w:r w:rsidR="005D0B75">
        <w:rPr>
          <w:rFonts w:ascii="Tahoma" w:hAnsi="Tahoma" w:cs="Tahoma"/>
          <w:sz w:val="22"/>
          <w:szCs w:val="22"/>
        </w:rPr>
        <w:t xml:space="preserve">el numeral primero de </w:t>
      </w:r>
      <w:r w:rsidR="00B07D36">
        <w:rPr>
          <w:rFonts w:ascii="Tahoma" w:hAnsi="Tahoma" w:cs="Tahoma"/>
          <w:sz w:val="22"/>
          <w:szCs w:val="22"/>
        </w:rPr>
        <w:t xml:space="preserve">la parte resolutiva de la referida providencia </w:t>
      </w:r>
      <w:r w:rsidR="006B3242">
        <w:rPr>
          <w:rFonts w:ascii="Tahoma" w:hAnsi="Tahoma" w:cs="Tahoma"/>
          <w:sz w:val="22"/>
          <w:szCs w:val="22"/>
        </w:rPr>
        <w:t>queda de la siguiente manera:</w:t>
      </w:r>
    </w:p>
    <w:p w:rsidR="006B3242"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1E511F" w:rsidRDefault="001E511F" w:rsidP="003F6675">
      <w:pPr>
        <w:widowControl w:val="0"/>
        <w:autoSpaceDE w:val="0"/>
        <w:autoSpaceDN w:val="0"/>
        <w:adjustRightInd w:val="0"/>
        <w:spacing w:line="276" w:lineRule="auto"/>
        <w:ind w:firstLine="1080"/>
        <w:jc w:val="both"/>
        <w:rPr>
          <w:rFonts w:ascii="Tahoma" w:hAnsi="Tahoma" w:cs="Tahoma"/>
          <w:i/>
          <w:sz w:val="22"/>
          <w:szCs w:val="22"/>
          <w:lang w:val="es-MX"/>
        </w:rPr>
      </w:pPr>
      <w:r>
        <w:rPr>
          <w:rFonts w:ascii="Tahoma" w:hAnsi="Tahoma" w:cs="Tahoma"/>
          <w:i/>
          <w:sz w:val="22"/>
          <w:szCs w:val="22"/>
          <w:lang w:val="es-MX"/>
        </w:rPr>
        <w:t xml:space="preserve">LIBRAR MANDAMIENTO DE PAGO por la vía ejecutiva laboral a favor de </w:t>
      </w:r>
      <w:r w:rsidR="00346EA7">
        <w:rPr>
          <w:rFonts w:ascii="Tahoma" w:hAnsi="Tahoma" w:cs="Tahoma"/>
          <w:i/>
          <w:sz w:val="22"/>
          <w:szCs w:val="22"/>
          <w:lang w:val="es-MX"/>
        </w:rPr>
        <w:t>RUBIELA TORO MUÑOZ</w:t>
      </w:r>
      <w:r w:rsidR="006B3242">
        <w:rPr>
          <w:rFonts w:ascii="Tahoma" w:hAnsi="Tahoma" w:cs="Tahoma"/>
          <w:i/>
          <w:sz w:val="22"/>
          <w:szCs w:val="22"/>
          <w:lang w:val="es-MX"/>
        </w:rPr>
        <w:t xml:space="preserve">  en contra de la </w:t>
      </w:r>
      <w:r w:rsidR="00346EA7">
        <w:rPr>
          <w:rFonts w:ascii="Tahoma" w:hAnsi="Tahoma" w:cs="Tahoma"/>
          <w:i/>
          <w:sz w:val="22"/>
          <w:szCs w:val="22"/>
          <w:lang w:val="es-MX"/>
        </w:rPr>
        <w:t xml:space="preserve">UNIDAD ADMINISTRATIVA ESPECIAL DE GESTIÓN PENSIONAL Y CONTRIBUCIONES PARAFISCALES DE LA PROTECCIÓN SOCIAL -UGPP- </w:t>
      </w:r>
      <w:r w:rsidR="00736867">
        <w:rPr>
          <w:rFonts w:ascii="Tahoma" w:hAnsi="Tahoma" w:cs="Tahoma"/>
          <w:i/>
          <w:sz w:val="22"/>
          <w:szCs w:val="22"/>
          <w:lang w:val="es-MX"/>
        </w:rPr>
        <w:t xml:space="preserve">, </w:t>
      </w:r>
      <w:r>
        <w:rPr>
          <w:rFonts w:ascii="Tahoma" w:hAnsi="Tahoma" w:cs="Tahoma"/>
          <w:i/>
          <w:sz w:val="22"/>
          <w:szCs w:val="22"/>
          <w:lang w:val="es-MX"/>
        </w:rPr>
        <w:t xml:space="preserve">con base en la sentencia proferida por la Sala laboral del Tribunal Superior del Distrito Judicial </w:t>
      </w:r>
      <w:r w:rsidR="00736867">
        <w:rPr>
          <w:rFonts w:ascii="Tahoma" w:hAnsi="Tahoma" w:cs="Tahoma"/>
          <w:i/>
          <w:sz w:val="22"/>
          <w:szCs w:val="22"/>
          <w:lang w:val="es-MX"/>
        </w:rPr>
        <w:t xml:space="preserve">de </w:t>
      </w:r>
      <w:r>
        <w:rPr>
          <w:rFonts w:ascii="Tahoma" w:hAnsi="Tahoma" w:cs="Tahoma"/>
          <w:i/>
          <w:sz w:val="22"/>
          <w:szCs w:val="22"/>
          <w:lang w:val="es-MX"/>
        </w:rPr>
        <w:t>Pereira, por las siguientes sumas:</w:t>
      </w:r>
    </w:p>
    <w:p w:rsidR="001E511F" w:rsidRDefault="001E511F" w:rsidP="003F6675">
      <w:pPr>
        <w:widowControl w:val="0"/>
        <w:autoSpaceDE w:val="0"/>
        <w:autoSpaceDN w:val="0"/>
        <w:adjustRightInd w:val="0"/>
        <w:spacing w:line="276" w:lineRule="auto"/>
        <w:ind w:firstLine="1080"/>
        <w:jc w:val="both"/>
        <w:rPr>
          <w:rFonts w:ascii="Tahoma" w:hAnsi="Tahoma" w:cs="Tahoma"/>
          <w:i/>
          <w:sz w:val="22"/>
          <w:szCs w:val="22"/>
          <w:lang w:val="es-MX"/>
        </w:rPr>
      </w:pPr>
    </w:p>
    <w:p w:rsidR="001E511F" w:rsidRPr="001E511F" w:rsidRDefault="001E511F" w:rsidP="001E511F">
      <w:pPr>
        <w:pStyle w:val="Prrafodelista"/>
        <w:widowControl w:val="0"/>
        <w:numPr>
          <w:ilvl w:val="0"/>
          <w:numId w:val="18"/>
        </w:numPr>
        <w:autoSpaceDE w:val="0"/>
        <w:autoSpaceDN w:val="0"/>
        <w:adjustRightInd w:val="0"/>
        <w:spacing w:line="276" w:lineRule="auto"/>
        <w:jc w:val="both"/>
        <w:rPr>
          <w:rFonts w:ascii="Tahoma" w:hAnsi="Tahoma" w:cs="Tahoma"/>
          <w:i/>
          <w:sz w:val="22"/>
          <w:szCs w:val="22"/>
          <w:lang w:val="es-MX"/>
        </w:rPr>
      </w:pPr>
      <w:r w:rsidRPr="001E511F">
        <w:rPr>
          <w:rFonts w:ascii="Tahoma" w:hAnsi="Tahoma" w:cs="Tahoma"/>
          <w:i/>
          <w:sz w:val="22"/>
          <w:szCs w:val="22"/>
          <w:lang w:val="es-MX"/>
        </w:rPr>
        <w:t xml:space="preserve">Por </w:t>
      </w:r>
      <w:r>
        <w:rPr>
          <w:rFonts w:ascii="Tahoma" w:hAnsi="Tahoma" w:cs="Tahoma"/>
          <w:i/>
          <w:sz w:val="22"/>
          <w:szCs w:val="22"/>
          <w:lang w:val="es-MX"/>
        </w:rPr>
        <w:t xml:space="preserve">la suma de TREINTA </w:t>
      </w:r>
      <w:r w:rsidR="00F53F87">
        <w:rPr>
          <w:rFonts w:ascii="Tahoma" w:hAnsi="Tahoma" w:cs="Tahoma"/>
          <w:i/>
          <w:sz w:val="22"/>
          <w:szCs w:val="22"/>
          <w:lang w:val="es-MX"/>
        </w:rPr>
        <w:t>y CINCO MILLONES, DOSCIENTOS NOVENTA Y SIETE MIL SETECIENTOS CINCUENTA Y CINCO PESOS</w:t>
      </w:r>
      <w:r>
        <w:rPr>
          <w:rFonts w:ascii="Tahoma" w:hAnsi="Tahoma" w:cs="Tahoma"/>
          <w:i/>
          <w:sz w:val="22"/>
          <w:szCs w:val="22"/>
          <w:lang w:val="es-MX"/>
        </w:rPr>
        <w:t xml:space="preserve"> CON </w:t>
      </w:r>
      <w:r w:rsidR="00F53F87">
        <w:rPr>
          <w:rFonts w:ascii="Tahoma" w:hAnsi="Tahoma" w:cs="Tahoma"/>
          <w:i/>
          <w:sz w:val="22"/>
          <w:szCs w:val="22"/>
          <w:lang w:val="es-MX"/>
        </w:rPr>
        <w:t>SESENTA Y CUATRO</w:t>
      </w:r>
      <w:r w:rsidR="00065EE8">
        <w:rPr>
          <w:rFonts w:ascii="Tahoma" w:hAnsi="Tahoma" w:cs="Tahoma"/>
          <w:i/>
          <w:sz w:val="22"/>
          <w:szCs w:val="22"/>
          <w:lang w:val="es-MX"/>
        </w:rPr>
        <w:t xml:space="preserve"> </w:t>
      </w:r>
      <w:r>
        <w:rPr>
          <w:rFonts w:ascii="Tahoma" w:hAnsi="Tahoma" w:cs="Tahoma"/>
          <w:i/>
          <w:sz w:val="22"/>
          <w:szCs w:val="22"/>
          <w:lang w:val="es-MX"/>
        </w:rPr>
        <w:t>CENTAVOS M/C (</w:t>
      </w:r>
      <w:r w:rsidRPr="00065EE8">
        <w:rPr>
          <w:rFonts w:ascii="Tahoma" w:hAnsi="Tahoma" w:cs="Tahoma"/>
          <w:b/>
          <w:bCs/>
          <w:i/>
          <w:spacing w:val="2"/>
          <w:sz w:val="22"/>
          <w:szCs w:val="22"/>
        </w:rPr>
        <w:t>$</w:t>
      </w:r>
      <w:r w:rsidR="00F53F87">
        <w:rPr>
          <w:rFonts w:ascii="Tahoma" w:hAnsi="Tahoma" w:cs="Tahoma"/>
          <w:b/>
          <w:i/>
          <w:sz w:val="22"/>
          <w:szCs w:val="22"/>
        </w:rPr>
        <w:t>35.297.755,64</w:t>
      </w:r>
      <w:r>
        <w:rPr>
          <w:rFonts w:ascii="Tahoma" w:hAnsi="Tahoma" w:cs="Tahoma"/>
          <w:bCs/>
          <w:i/>
          <w:spacing w:val="2"/>
          <w:sz w:val="22"/>
          <w:szCs w:val="22"/>
        </w:rPr>
        <w:t>)</w:t>
      </w:r>
      <w:r w:rsidRPr="001E511F">
        <w:rPr>
          <w:rFonts w:ascii="Tahoma" w:hAnsi="Tahoma" w:cs="Tahoma"/>
          <w:bCs/>
          <w:i/>
          <w:spacing w:val="2"/>
          <w:sz w:val="22"/>
          <w:szCs w:val="22"/>
        </w:rPr>
        <w:t xml:space="preserve"> </w:t>
      </w:r>
      <w:r w:rsidRPr="001E511F">
        <w:rPr>
          <w:rFonts w:ascii="Tahoma" w:hAnsi="Tahoma" w:cs="Tahoma"/>
          <w:i/>
          <w:sz w:val="22"/>
          <w:szCs w:val="22"/>
        </w:rPr>
        <w:t>por concepto de la diferencia pensional causada desde el 31 de diciembre de 2009 hasta el 3</w:t>
      </w:r>
      <w:r w:rsidR="00065EE8">
        <w:rPr>
          <w:rFonts w:ascii="Tahoma" w:hAnsi="Tahoma" w:cs="Tahoma"/>
          <w:i/>
          <w:sz w:val="22"/>
          <w:szCs w:val="22"/>
        </w:rPr>
        <w:t xml:space="preserve">0 de junio </w:t>
      </w:r>
      <w:r w:rsidR="00F53F87">
        <w:rPr>
          <w:rFonts w:ascii="Tahoma" w:hAnsi="Tahoma" w:cs="Tahoma"/>
          <w:i/>
          <w:sz w:val="22"/>
          <w:szCs w:val="22"/>
        </w:rPr>
        <w:t>de 20</w:t>
      </w:r>
      <w:r w:rsidRPr="001E511F">
        <w:rPr>
          <w:rFonts w:ascii="Tahoma" w:hAnsi="Tahoma" w:cs="Tahoma"/>
          <w:i/>
          <w:sz w:val="22"/>
          <w:szCs w:val="22"/>
        </w:rPr>
        <w:t>17</w:t>
      </w:r>
      <w:r>
        <w:rPr>
          <w:rFonts w:ascii="Tahoma" w:hAnsi="Tahoma" w:cs="Tahoma"/>
          <w:i/>
          <w:sz w:val="22"/>
          <w:szCs w:val="22"/>
        </w:rPr>
        <w:t>.</w:t>
      </w:r>
    </w:p>
    <w:p w:rsidR="005D0B75" w:rsidRPr="005D0B75" w:rsidRDefault="001E511F" w:rsidP="001E511F">
      <w:pPr>
        <w:pStyle w:val="Prrafodelista"/>
        <w:widowControl w:val="0"/>
        <w:numPr>
          <w:ilvl w:val="0"/>
          <w:numId w:val="18"/>
        </w:numPr>
        <w:autoSpaceDE w:val="0"/>
        <w:autoSpaceDN w:val="0"/>
        <w:adjustRightInd w:val="0"/>
        <w:spacing w:line="276" w:lineRule="auto"/>
        <w:jc w:val="both"/>
        <w:rPr>
          <w:rFonts w:ascii="Tahoma" w:hAnsi="Tahoma" w:cs="Tahoma"/>
          <w:i/>
          <w:sz w:val="22"/>
          <w:szCs w:val="22"/>
          <w:lang w:val="es-MX"/>
        </w:rPr>
      </w:pPr>
      <w:r>
        <w:rPr>
          <w:rFonts w:ascii="Tahoma" w:hAnsi="Tahoma" w:cs="Tahoma"/>
          <w:i/>
          <w:sz w:val="22"/>
          <w:szCs w:val="22"/>
        </w:rPr>
        <w:t xml:space="preserve">Por </w:t>
      </w:r>
      <w:r w:rsidRPr="001E511F">
        <w:rPr>
          <w:rFonts w:ascii="Tahoma" w:hAnsi="Tahoma" w:cs="Tahoma"/>
          <w:i/>
          <w:sz w:val="22"/>
          <w:szCs w:val="22"/>
        </w:rPr>
        <w:t>la diferencia que se cause desde el 1º de ju</w:t>
      </w:r>
      <w:r w:rsidR="00D159DB">
        <w:rPr>
          <w:rFonts w:ascii="Tahoma" w:hAnsi="Tahoma" w:cs="Tahoma"/>
          <w:i/>
          <w:sz w:val="22"/>
          <w:szCs w:val="22"/>
        </w:rPr>
        <w:t>l</w:t>
      </w:r>
      <w:r w:rsidRPr="001E511F">
        <w:rPr>
          <w:rFonts w:ascii="Tahoma" w:hAnsi="Tahoma" w:cs="Tahoma"/>
          <w:i/>
          <w:sz w:val="22"/>
          <w:szCs w:val="22"/>
        </w:rPr>
        <w:t>io de 2017 hasta el pago efectivo de la obligación.</w:t>
      </w:r>
    </w:p>
    <w:p w:rsidR="005D0B75" w:rsidRDefault="005D0B75" w:rsidP="005D0B75">
      <w:pPr>
        <w:widowControl w:val="0"/>
        <w:autoSpaceDE w:val="0"/>
        <w:autoSpaceDN w:val="0"/>
        <w:adjustRightInd w:val="0"/>
        <w:spacing w:line="276" w:lineRule="auto"/>
        <w:jc w:val="both"/>
        <w:rPr>
          <w:rFonts w:ascii="Tahoma" w:hAnsi="Tahoma" w:cs="Tahoma"/>
          <w:i/>
          <w:sz w:val="22"/>
          <w:szCs w:val="22"/>
        </w:rPr>
      </w:pPr>
    </w:p>
    <w:p w:rsidR="001E511F" w:rsidRPr="005D0B75" w:rsidRDefault="005D0B75" w:rsidP="005D0B75">
      <w:pPr>
        <w:widowControl w:val="0"/>
        <w:autoSpaceDE w:val="0"/>
        <w:autoSpaceDN w:val="0"/>
        <w:adjustRightInd w:val="0"/>
        <w:spacing w:line="276" w:lineRule="auto"/>
        <w:ind w:firstLine="708"/>
        <w:jc w:val="both"/>
        <w:rPr>
          <w:rFonts w:ascii="Tahoma" w:hAnsi="Tahoma" w:cs="Tahoma"/>
          <w:i/>
          <w:sz w:val="22"/>
          <w:szCs w:val="22"/>
          <w:lang w:val="es-MX"/>
        </w:rPr>
      </w:pPr>
      <w:r>
        <w:rPr>
          <w:rFonts w:ascii="Tahoma" w:hAnsi="Tahoma" w:cs="Tahoma"/>
          <w:b/>
          <w:sz w:val="22"/>
          <w:szCs w:val="22"/>
          <w:u w:val="single"/>
        </w:rPr>
        <w:t>SEGUND</w:t>
      </w:r>
      <w:r w:rsidRPr="003F6675">
        <w:rPr>
          <w:rFonts w:ascii="Tahoma" w:hAnsi="Tahoma" w:cs="Tahoma"/>
          <w:b/>
          <w:sz w:val="22"/>
          <w:szCs w:val="22"/>
          <w:u w:val="single"/>
        </w:rPr>
        <w:t>O</w:t>
      </w:r>
      <w:r w:rsidRPr="003F6675">
        <w:rPr>
          <w:rFonts w:ascii="Tahoma" w:hAnsi="Tahoma" w:cs="Tahoma"/>
          <w:sz w:val="22"/>
          <w:szCs w:val="22"/>
        </w:rPr>
        <w:t>.-</w:t>
      </w:r>
      <w:r>
        <w:rPr>
          <w:rFonts w:ascii="Tahoma" w:hAnsi="Tahoma" w:cs="Tahoma"/>
          <w:sz w:val="22"/>
          <w:szCs w:val="22"/>
        </w:rPr>
        <w:t xml:space="preserve"> El resto de la providencia objeto de corrección queda incólume.</w:t>
      </w:r>
      <w:r w:rsidR="001E511F" w:rsidRPr="005D0B75">
        <w:rPr>
          <w:rFonts w:ascii="Tahoma" w:hAnsi="Tahoma" w:cs="Tahoma"/>
          <w:i/>
          <w:sz w:val="22"/>
          <w:szCs w:val="22"/>
        </w:rPr>
        <w:t xml:space="preserve">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797D49"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540C45" w:rsidRPr="003F6675" w:rsidRDefault="00540C45"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1E511F" w:rsidRDefault="001E511F"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540C45" w:rsidRDefault="00540C45"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540C45" w:rsidRDefault="00540C45" w:rsidP="003F6675">
      <w:pPr>
        <w:widowControl w:val="0"/>
        <w:autoSpaceDE w:val="0"/>
        <w:autoSpaceDN w:val="0"/>
        <w:adjustRightInd w:val="0"/>
        <w:spacing w:line="276" w:lineRule="auto"/>
        <w:rPr>
          <w:rFonts w:ascii="Tahoma" w:hAnsi="Tahoma" w:cs="Tahoma"/>
          <w:b/>
          <w:sz w:val="22"/>
          <w:szCs w:val="22"/>
        </w:rPr>
      </w:pPr>
    </w:p>
    <w:p w:rsidR="002D4ED2" w:rsidRDefault="002D4ED2" w:rsidP="003F6675">
      <w:pPr>
        <w:widowControl w:val="0"/>
        <w:autoSpaceDE w:val="0"/>
        <w:autoSpaceDN w:val="0"/>
        <w:adjustRightInd w:val="0"/>
        <w:spacing w:line="276" w:lineRule="auto"/>
        <w:rPr>
          <w:rFonts w:ascii="Tahoma" w:hAnsi="Tahoma" w:cs="Tahoma"/>
          <w:b/>
          <w:sz w:val="22"/>
          <w:szCs w:val="22"/>
        </w:rPr>
      </w:pPr>
    </w:p>
    <w:p w:rsidR="002D4ED2" w:rsidRDefault="002D4ED2" w:rsidP="003F6675">
      <w:pPr>
        <w:widowControl w:val="0"/>
        <w:autoSpaceDE w:val="0"/>
        <w:autoSpaceDN w:val="0"/>
        <w:adjustRightInd w:val="0"/>
        <w:spacing w:line="276" w:lineRule="auto"/>
        <w:rPr>
          <w:rFonts w:ascii="Tahoma" w:hAnsi="Tahoma" w:cs="Tahoma"/>
          <w:b/>
          <w:sz w:val="22"/>
          <w:szCs w:val="22"/>
        </w:rPr>
      </w:pPr>
    </w:p>
    <w:p w:rsidR="002D4ED2" w:rsidRDefault="002D4ED2" w:rsidP="003F6675">
      <w:pPr>
        <w:widowControl w:val="0"/>
        <w:autoSpaceDE w:val="0"/>
        <w:autoSpaceDN w:val="0"/>
        <w:adjustRightInd w:val="0"/>
        <w:spacing w:line="276" w:lineRule="auto"/>
        <w:rPr>
          <w:rFonts w:ascii="Tahoma" w:hAnsi="Tahoma" w:cs="Tahoma"/>
          <w:b/>
          <w:sz w:val="22"/>
          <w:szCs w:val="22"/>
        </w:rPr>
      </w:pPr>
    </w:p>
    <w:p w:rsidR="002D4ED2" w:rsidRPr="003F6675" w:rsidRDefault="002D4ED2"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540C45">
        <w:rPr>
          <w:rFonts w:ascii="Tahoma" w:hAnsi="Tahoma" w:cs="Tahoma"/>
          <w:b/>
          <w:sz w:val="22"/>
          <w:szCs w:val="22"/>
        </w:rPr>
        <w:t xml:space="preserve">                  </w:t>
      </w:r>
      <w:r w:rsidR="00D94AFB" w:rsidRPr="003F6675">
        <w:rPr>
          <w:rFonts w:ascii="Tahoma" w:hAnsi="Tahoma" w:cs="Tahoma"/>
          <w:b/>
          <w:sz w:val="22"/>
          <w:szCs w:val="22"/>
        </w:rPr>
        <w:t>FRANCISCO JAVIER TAMAYO TABARES</w:t>
      </w:r>
    </w:p>
    <w:p w:rsidR="002724D3" w:rsidRDefault="002724D3" w:rsidP="003F6675">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t>Salva voto</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5E455F">
      <w:headerReference w:type="even" r:id="rId8"/>
      <w:headerReference w:type="default" r:id="rId9"/>
      <w:pgSz w:w="12242" w:h="18722" w:code="14"/>
      <w:pgMar w:top="1701"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E7" w:rsidRDefault="00376EE7">
      <w:r>
        <w:separator/>
      </w:r>
    </w:p>
  </w:endnote>
  <w:endnote w:type="continuationSeparator" w:id="0">
    <w:p w:rsidR="00376EE7" w:rsidRDefault="0037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E7" w:rsidRDefault="00376EE7">
      <w:r>
        <w:separator/>
      </w:r>
    </w:p>
  </w:footnote>
  <w:footnote w:type="continuationSeparator" w:id="0">
    <w:p w:rsidR="00376EE7" w:rsidRDefault="00376EE7">
      <w:r>
        <w:continuationSeparator/>
      </w:r>
    </w:p>
  </w:footnote>
  <w:footnote w:id="1">
    <w:p w:rsidR="0032738C" w:rsidRDefault="0032738C" w:rsidP="00A502B1">
      <w:pPr>
        <w:jc w:val="both"/>
      </w:pPr>
      <w:r>
        <w:rPr>
          <w:rStyle w:val="Refdenotaalpie"/>
          <w:sz w:val="20"/>
          <w:szCs w:val="20"/>
        </w:rPr>
        <w:footnoteRef/>
      </w:r>
      <w:r>
        <w:rPr>
          <w:sz w:val="20"/>
          <w:szCs w:val="20"/>
        </w:rPr>
        <w:t xml:space="preserve"> </w:t>
      </w:r>
      <w:r>
        <w:rPr>
          <w:sz w:val="20"/>
          <w:szCs w:val="20"/>
        </w:rPr>
        <w:tab/>
        <w:t>Sentencia T-033 de 2002. M.P. Rodrigo Escobar Gil.</w:t>
      </w:r>
    </w:p>
  </w:footnote>
  <w:footnote w:id="2">
    <w:p w:rsidR="0032738C" w:rsidRDefault="0032738C" w:rsidP="0022770D">
      <w:pPr>
        <w:jc w:val="both"/>
      </w:pPr>
      <w:r>
        <w:rPr>
          <w:rStyle w:val="Refdenotaalpie"/>
          <w:sz w:val="20"/>
          <w:szCs w:val="20"/>
        </w:rPr>
        <w:footnoteRef/>
      </w:r>
      <w:r>
        <w:rPr>
          <w:sz w:val="20"/>
          <w:szCs w:val="20"/>
        </w:rPr>
        <w:t xml:space="preserve"> </w:t>
      </w:r>
      <w:r>
        <w:rPr>
          <w:sz w:val="20"/>
          <w:szCs w:val="20"/>
        </w:rPr>
        <w:tab/>
        <w:t>M.P. Eduardo Cifuentes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8C" w:rsidRDefault="0032738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738C" w:rsidRDefault="003273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8C" w:rsidRDefault="0032738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3275">
      <w:rPr>
        <w:rStyle w:val="Nmerodepgina"/>
        <w:noProof/>
      </w:rPr>
      <w:t>7</w:t>
    </w:r>
    <w:r>
      <w:rPr>
        <w:rStyle w:val="Nmerodepgina"/>
      </w:rPr>
      <w:fldChar w:fldCharType="end"/>
    </w:r>
  </w:p>
  <w:p w:rsidR="0032738C" w:rsidRPr="003111A3" w:rsidRDefault="0032738C">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05-003-2010-00844-02</w:t>
    </w:r>
  </w:p>
  <w:p w:rsidR="0032738C" w:rsidRPr="003111A3" w:rsidRDefault="0032738C">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Rubiela Toro Muñoz</w:t>
    </w:r>
  </w:p>
  <w:p w:rsidR="0032738C" w:rsidRPr="003111A3" w:rsidRDefault="0032738C">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 xml:space="preserve">Unidad Administrativa Especial de Gestión Pensional y Contribuciones Parafiscales de la Protección Social -UGPP-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C53D55"/>
    <w:multiLevelType w:val="multilevel"/>
    <w:tmpl w:val="6DE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B75C71"/>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9E90723"/>
    <w:multiLevelType w:val="hybridMultilevel"/>
    <w:tmpl w:val="F32474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A521696"/>
    <w:multiLevelType w:val="hybridMultilevel"/>
    <w:tmpl w:val="56A20D9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78D00655"/>
    <w:multiLevelType w:val="hybridMultilevel"/>
    <w:tmpl w:val="42F8A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3"/>
  </w:num>
  <w:num w:numId="11">
    <w:abstractNumId w:val="15"/>
  </w:num>
  <w:num w:numId="12">
    <w:abstractNumId w:val="12"/>
  </w:num>
  <w:num w:numId="13">
    <w:abstractNumId w:val="11"/>
  </w:num>
  <w:num w:numId="14">
    <w:abstractNumId w:val="10"/>
  </w:num>
  <w:num w:numId="15">
    <w:abstractNumId w:val="18"/>
  </w:num>
  <w:num w:numId="16">
    <w:abstractNumId w:val="14"/>
  </w:num>
  <w:num w:numId="17">
    <w:abstractNumId w:val="17"/>
  </w:num>
  <w:num w:numId="18">
    <w:abstractNumId w:val="1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2BA4"/>
    <w:rsid w:val="00036047"/>
    <w:rsid w:val="00036B66"/>
    <w:rsid w:val="00040197"/>
    <w:rsid w:val="000406C1"/>
    <w:rsid w:val="00040B5F"/>
    <w:rsid w:val="00041EDC"/>
    <w:rsid w:val="00042956"/>
    <w:rsid w:val="00043D77"/>
    <w:rsid w:val="00044B1D"/>
    <w:rsid w:val="00044BD6"/>
    <w:rsid w:val="00044BF7"/>
    <w:rsid w:val="00051F1C"/>
    <w:rsid w:val="00053620"/>
    <w:rsid w:val="000625CB"/>
    <w:rsid w:val="000637C3"/>
    <w:rsid w:val="00065EE8"/>
    <w:rsid w:val="000676D1"/>
    <w:rsid w:val="000679CB"/>
    <w:rsid w:val="00067FA2"/>
    <w:rsid w:val="00070993"/>
    <w:rsid w:val="000746A2"/>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2DE8"/>
    <w:rsid w:val="000C324A"/>
    <w:rsid w:val="000D03E8"/>
    <w:rsid w:val="000D04E1"/>
    <w:rsid w:val="000D0F0C"/>
    <w:rsid w:val="000D1161"/>
    <w:rsid w:val="000D153D"/>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26B7C"/>
    <w:rsid w:val="0013287F"/>
    <w:rsid w:val="00134FE6"/>
    <w:rsid w:val="00135133"/>
    <w:rsid w:val="00137A8B"/>
    <w:rsid w:val="00143467"/>
    <w:rsid w:val="001438EE"/>
    <w:rsid w:val="00144AEE"/>
    <w:rsid w:val="00145295"/>
    <w:rsid w:val="00150439"/>
    <w:rsid w:val="00153B85"/>
    <w:rsid w:val="00165D41"/>
    <w:rsid w:val="00165F01"/>
    <w:rsid w:val="001669F1"/>
    <w:rsid w:val="00170ADE"/>
    <w:rsid w:val="0017202B"/>
    <w:rsid w:val="001722DB"/>
    <w:rsid w:val="00173416"/>
    <w:rsid w:val="00177192"/>
    <w:rsid w:val="00180701"/>
    <w:rsid w:val="00180AA1"/>
    <w:rsid w:val="00182A53"/>
    <w:rsid w:val="00183192"/>
    <w:rsid w:val="0018506B"/>
    <w:rsid w:val="001866BB"/>
    <w:rsid w:val="0018723F"/>
    <w:rsid w:val="00187FA4"/>
    <w:rsid w:val="00190095"/>
    <w:rsid w:val="001905D5"/>
    <w:rsid w:val="00195396"/>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511F"/>
    <w:rsid w:val="001E7461"/>
    <w:rsid w:val="001E78D4"/>
    <w:rsid w:val="001F0587"/>
    <w:rsid w:val="001F3236"/>
    <w:rsid w:val="001F5F54"/>
    <w:rsid w:val="001F6D1A"/>
    <w:rsid w:val="001F75DB"/>
    <w:rsid w:val="0020058F"/>
    <w:rsid w:val="0020402E"/>
    <w:rsid w:val="0021004F"/>
    <w:rsid w:val="0021404E"/>
    <w:rsid w:val="00214593"/>
    <w:rsid w:val="00214B02"/>
    <w:rsid w:val="00215037"/>
    <w:rsid w:val="00216556"/>
    <w:rsid w:val="0022029F"/>
    <w:rsid w:val="00221FE7"/>
    <w:rsid w:val="002226A0"/>
    <w:rsid w:val="00224087"/>
    <w:rsid w:val="00224952"/>
    <w:rsid w:val="0022770D"/>
    <w:rsid w:val="00227C6C"/>
    <w:rsid w:val="0023105A"/>
    <w:rsid w:val="002310B6"/>
    <w:rsid w:val="00232A31"/>
    <w:rsid w:val="00233275"/>
    <w:rsid w:val="002343D3"/>
    <w:rsid w:val="00236AB4"/>
    <w:rsid w:val="002376F5"/>
    <w:rsid w:val="002412C3"/>
    <w:rsid w:val="00241B68"/>
    <w:rsid w:val="0024458E"/>
    <w:rsid w:val="00245D03"/>
    <w:rsid w:val="002475D1"/>
    <w:rsid w:val="00251A6B"/>
    <w:rsid w:val="0025238E"/>
    <w:rsid w:val="0025538B"/>
    <w:rsid w:val="00255D08"/>
    <w:rsid w:val="002561E2"/>
    <w:rsid w:val="00262CF1"/>
    <w:rsid w:val="0026331F"/>
    <w:rsid w:val="002643CE"/>
    <w:rsid w:val="00265043"/>
    <w:rsid w:val="002724D3"/>
    <w:rsid w:val="00274107"/>
    <w:rsid w:val="0027777C"/>
    <w:rsid w:val="00282A22"/>
    <w:rsid w:val="0028499E"/>
    <w:rsid w:val="00285A67"/>
    <w:rsid w:val="00286723"/>
    <w:rsid w:val="00287926"/>
    <w:rsid w:val="0029128F"/>
    <w:rsid w:val="00292FD7"/>
    <w:rsid w:val="002932F3"/>
    <w:rsid w:val="002947C1"/>
    <w:rsid w:val="00297726"/>
    <w:rsid w:val="002979DE"/>
    <w:rsid w:val="002A0211"/>
    <w:rsid w:val="002A4D04"/>
    <w:rsid w:val="002A67C3"/>
    <w:rsid w:val="002A7EB8"/>
    <w:rsid w:val="002B0062"/>
    <w:rsid w:val="002B0D72"/>
    <w:rsid w:val="002B1358"/>
    <w:rsid w:val="002B27FB"/>
    <w:rsid w:val="002B34A0"/>
    <w:rsid w:val="002B3F86"/>
    <w:rsid w:val="002B3F9A"/>
    <w:rsid w:val="002B6847"/>
    <w:rsid w:val="002C2855"/>
    <w:rsid w:val="002C3EDB"/>
    <w:rsid w:val="002C6D27"/>
    <w:rsid w:val="002C719E"/>
    <w:rsid w:val="002D0116"/>
    <w:rsid w:val="002D0B52"/>
    <w:rsid w:val="002D475F"/>
    <w:rsid w:val="002D4ED2"/>
    <w:rsid w:val="002D647C"/>
    <w:rsid w:val="002D7828"/>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16965"/>
    <w:rsid w:val="00321633"/>
    <w:rsid w:val="003220E3"/>
    <w:rsid w:val="003233A9"/>
    <w:rsid w:val="00325F7E"/>
    <w:rsid w:val="0032738C"/>
    <w:rsid w:val="00330E19"/>
    <w:rsid w:val="0033202E"/>
    <w:rsid w:val="00332B14"/>
    <w:rsid w:val="003356E7"/>
    <w:rsid w:val="00336B9B"/>
    <w:rsid w:val="00337D6F"/>
    <w:rsid w:val="00337F2D"/>
    <w:rsid w:val="003416CC"/>
    <w:rsid w:val="00343C01"/>
    <w:rsid w:val="003452F2"/>
    <w:rsid w:val="00346EA7"/>
    <w:rsid w:val="00351118"/>
    <w:rsid w:val="003559B2"/>
    <w:rsid w:val="00355C7A"/>
    <w:rsid w:val="00356B6A"/>
    <w:rsid w:val="00357AAD"/>
    <w:rsid w:val="0036044B"/>
    <w:rsid w:val="00360E18"/>
    <w:rsid w:val="00361BE7"/>
    <w:rsid w:val="00364940"/>
    <w:rsid w:val="0037329B"/>
    <w:rsid w:val="003749D8"/>
    <w:rsid w:val="003751CD"/>
    <w:rsid w:val="00375E70"/>
    <w:rsid w:val="00376EE7"/>
    <w:rsid w:val="00381997"/>
    <w:rsid w:val="00385094"/>
    <w:rsid w:val="00390C4E"/>
    <w:rsid w:val="003A07C5"/>
    <w:rsid w:val="003A6C20"/>
    <w:rsid w:val="003A6EDD"/>
    <w:rsid w:val="003B1C54"/>
    <w:rsid w:val="003B1D1C"/>
    <w:rsid w:val="003B2170"/>
    <w:rsid w:val="003B2CCF"/>
    <w:rsid w:val="003B306F"/>
    <w:rsid w:val="003B7B42"/>
    <w:rsid w:val="003B7E03"/>
    <w:rsid w:val="003C0C2E"/>
    <w:rsid w:val="003C271A"/>
    <w:rsid w:val="003C2AFB"/>
    <w:rsid w:val="003C5AC3"/>
    <w:rsid w:val="003C6BF3"/>
    <w:rsid w:val="003D08BC"/>
    <w:rsid w:val="003D207B"/>
    <w:rsid w:val="003E0624"/>
    <w:rsid w:val="003E42AD"/>
    <w:rsid w:val="003E7D06"/>
    <w:rsid w:val="003F2590"/>
    <w:rsid w:val="003F297E"/>
    <w:rsid w:val="003F2F6D"/>
    <w:rsid w:val="003F4BCE"/>
    <w:rsid w:val="003F6675"/>
    <w:rsid w:val="00401240"/>
    <w:rsid w:val="00402DE0"/>
    <w:rsid w:val="0040388C"/>
    <w:rsid w:val="00406486"/>
    <w:rsid w:val="00406F75"/>
    <w:rsid w:val="004156B8"/>
    <w:rsid w:val="004161EA"/>
    <w:rsid w:val="004169AA"/>
    <w:rsid w:val="00417498"/>
    <w:rsid w:val="00417805"/>
    <w:rsid w:val="00417E0B"/>
    <w:rsid w:val="0042151A"/>
    <w:rsid w:val="00422F18"/>
    <w:rsid w:val="00424017"/>
    <w:rsid w:val="0042631F"/>
    <w:rsid w:val="00427396"/>
    <w:rsid w:val="0043056B"/>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57BE7"/>
    <w:rsid w:val="00460DA7"/>
    <w:rsid w:val="00463814"/>
    <w:rsid w:val="00464E65"/>
    <w:rsid w:val="00467425"/>
    <w:rsid w:val="00472724"/>
    <w:rsid w:val="00481674"/>
    <w:rsid w:val="00481A86"/>
    <w:rsid w:val="004834C3"/>
    <w:rsid w:val="00486955"/>
    <w:rsid w:val="00487DB5"/>
    <w:rsid w:val="004905FF"/>
    <w:rsid w:val="00492014"/>
    <w:rsid w:val="0049216A"/>
    <w:rsid w:val="00492717"/>
    <w:rsid w:val="00492C4F"/>
    <w:rsid w:val="00493201"/>
    <w:rsid w:val="00495CBC"/>
    <w:rsid w:val="004978A7"/>
    <w:rsid w:val="00497DF8"/>
    <w:rsid w:val="004A1C8B"/>
    <w:rsid w:val="004A34C7"/>
    <w:rsid w:val="004A41A9"/>
    <w:rsid w:val="004A6EE6"/>
    <w:rsid w:val="004A7397"/>
    <w:rsid w:val="004B0473"/>
    <w:rsid w:val="004B0516"/>
    <w:rsid w:val="004B31F2"/>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42CA"/>
    <w:rsid w:val="004F5600"/>
    <w:rsid w:val="004F70D2"/>
    <w:rsid w:val="004F768E"/>
    <w:rsid w:val="00507C23"/>
    <w:rsid w:val="00511B48"/>
    <w:rsid w:val="00520BA6"/>
    <w:rsid w:val="0052257B"/>
    <w:rsid w:val="00523D5D"/>
    <w:rsid w:val="00524273"/>
    <w:rsid w:val="00527338"/>
    <w:rsid w:val="00527D7F"/>
    <w:rsid w:val="005322D3"/>
    <w:rsid w:val="00532B29"/>
    <w:rsid w:val="0053305F"/>
    <w:rsid w:val="00534D30"/>
    <w:rsid w:val="005352C6"/>
    <w:rsid w:val="00540C45"/>
    <w:rsid w:val="00543420"/>
    <w:rsid w:val="00543B1D"/>
    <w:rsid w:val="005440EB"/>
    <w:rsid w:val="005459E8"/>
    <w:rsid w:val="00550084"/>
    <w:rsid w:val="0055036C"/>
    <w:rsid w:val="0055094C"/>
    <w:rsid w:val="00552824"/>
    <w:rsid w:val="00554593"/>
    <w:rsid w:val="00555394"/>
    <w:rsid w:val="00555E2B"/>
    <w:rsid w:val="00563016"/>
    <w:rsid w:val="00564046"/>
    <w:rsid w:val="005722C8"/>
    <w:rsid w:val="00572517"/>
    <w:rsid w:val="005743F2"/>
    <w:rsid w:val="00575E70"/>
    <w:rsid w:val="00576945"/>
    <w:rsid w:val="005824B1"/>
    <w:rsid w:val="0058455A"/>
    <w:rsid w:val="005848B2"/>
    <w:rsid w:val="0059189F"/>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0B75"/>
    <w:rsid w:val="005D34A6"/>
    <w:rsid w:val="005D5285"/>
    <w:rsid w:val="005D7348"/>
    <w:rsid w:val="005E0803"/>
    <w:rsid w:val="005E2614"/>
    <w:rsid w:val="005E2BE1"/>
    <w:rsid w:val="005E347B"/>
    <w:rsid w:val="005E455F"/>
    <w:rsid w:val="005F1D0C"/>
    <w:rsid w:val="005F2E44"/>
    <w:rsid w:val="005F63B1"/>
    <w:rsid w:val="00604BDE"/>
    <w:rsid w:val="00604C40"/>
    <w:rsid w:val="00606C7B"/>
    <w:rsid w:val="006149BB"/>
    <w:rsid w:val="00617180"/>
    <w:rsid w:val="00621A86"/>
    <w:rsid w:val="00621B26"/>
    <w:rsid w:val="006249DD"/>
    <w:rsid w:val="00626FAE"/>
    <w:rsid w:val="00627A56"/>
    <w:rsid w:val="006321BE"/>
    <w:rsid w:val="00633395"/>
    <w:rsid w:val="00636087"/>
    <w:rsid w:val="006369D3"/>
    <w:rsid w:val="0063794B"/>
    <w:rsid w:val="00650134"/>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0BF7"/>
    <w:rsid w:val="00691EBE"/>
    <w:rsid w:val="006921D7"/>
    <w:rsid w:val="00693732"/>
    <w:rsid w:val="00694EE5"/>
    <w:rsid w:val="00696C0C"/>
    <w:rsid w:val="0069710D"/>
    <w:rsid w:val="006A17E2"/>
    <w:rsid w:val="006A1C66"/>
    <w:rsid w:val="006A3814"/>
    <w:rsid w:val="006A565A"/>
    <w:rsid w:val="006B030A"/>
    <w:rsid w:val="006B0A44"/>
    <w:rsid w:val="006B23E4"/>
    <w:rsid w:val="006B3208"/>
    <w:rsid w:val="006B3242"/>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072A"/>
    <w:rsid w:val="0070197E"/>
    <w:rsid w:val="00702460"/>
    <w:rsid w:val="007069C4"/>
    <w:rsid w:val="00711984"/>
    <w:rsid w:val="00711D63"/>
    <w:rsid w:val="00712ACE"/>
    <w:rsid w:val="00715C75"/>
    <w:rsid w:val="007163D0"/>
    <w:rsid w:val="007202D6"/>
    <w:rsid w:val="00720D2F"/>
    <w:rsid w:val="00725470"/>
    <w:rsid w:val="00725AF0"/>
    <w:rsid w:val="00725EF3"/>
    <w:rsid w:val="0072708A"/>
    <w:rsid w:val="0073316B"/>
    <w:rsid w:val="00734BD7"/>
    <w:rsid w:val="0073590F"/>
    <w:rsid w:val="00736867"/>
    <w:rsid w:val="007406EB"/>
    <w:rsid w:val="00741F9E"/>
    <w:rsid w:val="00742EB6"/>
    <w:rsid w:val="007432B1"/>
    <w:rsid w:val="00744EA3"/>
    <w:rsid w:val="00746AC9"/>
    <w:rsid w:val="00752095"/>
    <w:rsid w:val="007550F0"/>
    <w:rsid w:val="007564D7"/>
    <w:rsid w:val="00760011"/>
    <w:rsid w:val="00760D73"/>
    <w:rsid w:val="007626E8"/>
    <w:rsid w:val="0076368A"/>
    <w:rsid w:val="0076525C"/>
    <w:rsid w:val="00767BCA"/>
    <w:rsid w:val="00767EAD"/>
    <w:rsid w:val="0077047A"/>
    <w:rsid w:val="00774143"/>
    <w:rsid w:val="00775E8D"/>
    <w:rsid w:val="007764DE"/>
    <w:rsid w:val="00783CEF"/>
    <w:rsid w:val="0078779F"/>
    <w:rsid w:val="00792CBB"/>
    <w:rsid w:val="00792E9F"/>
    <w:rsid w:val="00796FD8"/>
    <w:rsid w:val="007978DA"/>
    <w:rsid w:val="00797D49"/>
    <w:rsid w:val="007A1A72"/>
    <w:rsid w:val="007A3913"/>
    <w:rsid w:val="007A7879"/>
    <w:rsid w:val="007B0E4C"/>
    <w:rsid w:val="007B1781"/>
    <w:rsid w:val="007B48AC"/>
    <w:rsid w:val="007B5200"/>
    <w:rsid w:val="007B5E9E"/>
    <w:rsid w:val="007B61DF"/>
    <w:rsid w:val="007C032D"/>
    <w:rsid w:val="007C303B"/>
    <w:rsid w:val="007C4541"/>
    <w:rsid w:val="007D4D1B"/>
    <w:rsid w:val="007D5E36"/>
    <w:rsid w:val="007D5EAF"/>
    <w:rsid w:val="007E1EAC"/>
    <w:rsid w:val="007E305B"/>
    <w:rsid w:val="007E3FB8"/>
    <w:rsid w:val="007E4942"/>
    <w:rsid w:val="007E5C10"/>
    <w:rsid w:val="007F078C"/>
    <w:rsid w:val="007F1A20"/>
    <w:rsid w:val="007F26BC"/>
    <w:rsid w:val="007F29CF"/>
    <w:rsid w:val="007F3A97"/>
    <w:rsid w:val="007F4FE9"/>
    <w:rsid w:val="007F7A39"/>
    <w:rsid w:val="00802EF6"/>
    <w:rsid w:val="00803E0B"/>
    <w:rsid w:val="0080487B"/>
    <w:rsid w:val="00805442"/>
    <w:rsid w:val="00805623"/>
    <w:rsid w:val="00805A6B"/>
    <w:rsid w:val="00805B99"/>
    <w:rsid w:val="0081089F"/>
    <w:rsid w:val="00811DB8"/>
    <w:rsid w:val="00811ED6"/>
    <w:rsid w:val="0081225F"/>
    <w:rsid w:val="00815CF0"/>
    <w:rsid w:val="00817230"/>
    <w:rsid w:val="00822D96"/>
    <w:rsid w:val="00824488"/>
    <w:rsid w:val="00824A2F"/>
    <w:rsid w:val="008251DE"/>
    <w:rsid w:val="0082538D"/>
    <w:rsid w:val="0082579D"/>
    <w:rsid w:val="008303B6"/>
    <w:rsid w:val="00830DDD"/>
    <w:rsid w:val="00834461"/>
    <w:rsid w:val="00834745"/>
    <w:rsid w:val="0083611E"/>
    <w:rsid w:val="00843BA8"/>
    <w:rsid w:val="00850A32"/>
    <w:rsid w:val="00851806"/>
    <w:rsid w:val="00852E96"/>
    <w:rsid w:val="00853D9C"/>
    <w:rsid w:val="00854CFD"/>
    <w:rsid w:val="00856406"/>
    <w:rsid w:val="00857358"/>
    <w:rsid w:val="0085791F"/>
    <w:rsid w:val="008714DD"/>
    <w:rsid w:val="00873258"/>
    <w:rsid w:val="00873EA9"/>
    <w:rsid w:val="00874A27"/>
    <w:rsid w:val="00875846"/>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4D39"/>
    <w:rsid w:val="008B56FA"/>
    <w:rsid w:val="008B5775"/>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2F8B"/>
    <w:rsid w:val="00933D88"/>
    <w:rsid w:val="00934AD6"/>
    <w:rsid w:val="0094052F"/>
    <w:rsid w:val="00941349"/>
    <w:rsid w:val="00941F15"/>
    <w:rsid w:val="009441CD"/>
    <w:rsid w:val="00945486"/>
    <w:rsid w:val="00946719"/>
    <w:rsid w:val="009479E2"/>
    <w:rsid w:val="009522B6"/>
    <w:rsid w:val="00952E62"/>
    <w:rsid w:val="00953B58"/>
    <w:rsid w:val="00954925"/>
    <w:rsid w:val="009601F9"/>
    <w:rsid w:val="00963879"/>
    <w:rsid w:val="00963B40"/>
    <w:rsid w:val="00964A82"/>
    <w:rsid w:val="009653D4"/>
    <w:rsid w:val="00970D35"/>
    <w:rsid w:val="00970F26"/>
    <w:rsid w:val="009757F1"/>
    <w:rsid w:val="00976B06"/>
    <w:rsid w:val="009805B3"/>
    <w:rsid w:val="00984FE4"/>
    <w:rsid w:val="00985435"/>
    <w:rsid w:val="00991850"/>
    <w:rsid w:val="0099633E"/>
    <w:rsid w:val="00996F4A"/>
    <w:rsid w:val="009A011B"/>
    <w:rsid w:val="009A116D"/>
    <w:rsid w:val="009A129D"/>
    <w:rsid w:val="009A2C52"/>
    <w:rsid w:val="009A395A"/>
    <w:rsid w:val="009A46B4"/>
    <w:rsid w:val="009B026D"/>
    <w:rsid w:val="009B0ED6"/>
    <w:rsid w:val="009B3B1E"/>
    <w:rsid w:val="009B598C"/>
    <w:rsid w:val="009C2AD1"/>
    <w:rsid w:val="009C57B6"/>
    <w:rsid w:val="009D0A19"/>
    <w:rsid w:val="009D64D3"/>
    <w:rsid w:val="009E2FBC"/>
    <w:rsid w:val="009E3100"/>
    <w:rsid w:val="009E734E"/>
    <w:rsid w:val="009E7F20"/>
    <w:rsid w:val="009F132C"/>
    <w:rsid w:val="00A01A02"/>
    <w:rsid w:val="00A025AC"/>
    <w:rsid w:val="00A04DF8"/>
    <w:rsid w:val="00A067A3"/>
    <w:rsid w:val="00A06809"/>
    <w:rsid w:val="00A06D01"/>
    <w:rsid w:val="00A111BB"/>
    <w:rsid w:val="00A12C46"/>
    <w:rsid w:val="00A12FAC"/>
    <w:rsid w:val="00A162D8"/>
    <w:rsid w:val="00A16F4D"/>
    <w:rsid w:val="00A2005B"/>
    <w:rsid w:val="00A21457"/>
    <w:rsid w:val="00A22B70"/>
    <w:rsid w:val="00A2305D"/>
    <w:rsid w:val="00A25DB9"/>
    <w:rsid w:val="00A27CAA"/>
    <w:rsid w:val="00A308CE"/>
    <w:rsid w:val="00A323F9"/>
    <w:rsid w:val="00A36BF6"/>
    <w:rsid w:val="00A37A7E"/>
    <w:rsid w:val="00A37EA7"/>
    <w:rsid w:val="00A41195"/>
    <w:rsid w:val="00A43284"/>
    <w:rsid w:val="00A44A5C"/>
    <w:rsid w:val="00A46497"/>
    <w:rsid w:val="00A502B1"/>
    <w:rsid w:val="00A50942"/>
    <w:rsid w:val="00A523C2"/>
    <w:rsid w:val="00A53F45"/>
    <w:rsid w:val="00A55CA2"/>
    <w:rsid w:val="00A61E91"/>
    <w:rsid w:val="00A64357"/>
    <w:rsid w:val="00A64B1C"/>
    <w:rsid w:val="00A653A3"/>
    <w:rsid w:val="00A66640"/>
    <w:rsid w:val="00A66E3A"/>
    <w:rsid w:val="00A716C1"/>
    <w:rsid w:val="00A724A6"/>
    <w:rsid w:val="00A74A24"/>
    <w:rsid w:val="00A776CD"/>
    <w:rsid w:val="00A805C7"/>
    <w:rsid w:val="00A80AD4"/>
    <w:rsid w:val="00A82AA3"/>
    <w:rsid w:val="00A90F5C"/>
    <w:rsid w:val="00A91F08"/>
    <w:rsid w:val="00A94F97"/>
    <w:rsid w:val="00AA2440"/>
    <w:rsid w:val="00AA34F0"/>
    <w:rsid w:val="00AA3DA4"/>
    <w:rsid w:val="00AA4348"/>
    <w:rsid w:val="00AA4699"/>
    <w:rsid w:val="00AA5B4C"/>
    <w:rsid w:val="00AB23A2"/>
    <w:rsid w:val="00AB491A"/>
    <w:rsid w:val="00AB4DDE"/>
    <w:rsid w:val="00AB6112"/>
    <w:rsid w:val="00AB6D65"/>
    <w:rsid w:val="00AC2656"/>
    <w:rsid w:val="00AC65E3"/>
    <w:rsid w:val="00AD1F6F"/>
    <w:rsid w:val="00AD24FB"/>
    <w:rsid w:val="00AD2AFA"/>
    <w:rsid w:val="00AD49FA"/>
    <w:rsid w:val="00AD4DF3"/>
    <w:rsid w:val="00AD4FF8"/>
    <w:rsid w:val="00AE0B72"/>
    <w:rsid w:val="00AE1C53"/>
    <w:rsid w:val="00AE43B4"/>
    <w:rsid w:val="00AE68B2"/>
    <w:rsid w:val="00AE75FB"/>
    <w:rsid w:val="00AF0165"/>
    <w:rsid w:val="00AF01EE"/>
    <w:rsid w:val="00AF1C0A"/>
    <w:rsid w:val="00AF50EA"/>
    <w:rsid w:val="00AF6FF2"/>
    <w:rsid w:val="00AF76F5"/>
    <w:rsid w:val="00B016B3"/>
    <w:rsid w:val="00B04146"/>
    <w:rsid w:val="00B076E2"/>
    <w:rsid w:val="00B07D36"/>
    <w:rsid w:val="00B07D4D"/>
    <w:rsid w:val="00B10EE6"/>
    <w:rsid w:val="00B13882"/>
    <w:rsid w:val="00B1445F"/>
    <w:rsid w:val="00B14960"/>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3141"/>
    <w:rsid w:val="00B5500C"/>
    <w:rsid w:val="00B55487"/>
    <w:rsid w:val="00B5604A"/>
    <w:rsid w:val="00B6050A"/>
    <w:rsid w:val="00B6250E"/>
    <w:rsid w:val="00B62CF5"/>
    <w:rsid w:val="00B63755"/>
    <w:rsid w:val="00B6512A"/>
    <w:rsid w:val="00B657FB"/>
    <w:rsid w:val="00B65C30"/>
    <w:rsid w:val="00B76AB2"/>
    <w:rsid w:val="00B76F17"/>
    <w:rsid w:val="00B81755"/>
    <w:rsid w:val="00B86FD4"/>
    <w:rsid w:val="00B907F3"/>
    <w:rsid w:val="00B93FE4"/>
    <w:rsid w:val="00B96411"/>
    <w:rsid w:val="00B964FF"/>
    <w:rsid w:val="00BA212A"/>
    <w:rsid w:val="00BA23FB"/>
    <w:rsid w:val="00BA536A"/>
    <w:rsid w:val="00BA5789"/>
    <w:rsid w:val="00BA5A54"/>
    <w:rsid w:val="00BA6CFD"/>
    <w:rsid w:val="00BA70E6"/>
    <w:rsid w:val="00BB0060"/>
    <w:rsid w:val="00BB2504"/>
    <w:rsid w:val="00BB250D"/>
    <w:rsid w:val="00BB337E"/>
    <w:rsid w:val="00BB718A"/>
    <w:rsid w:val="00BC30CC"/>
    <w:rsid w:val="00BC5660"/>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BF72C3"/>
    <w:rsid w:val="00C03B59"/>
    <w:rsid w:val="00C03D50"/>
    <w:rsid w:val="00C0544C"/>
    <w:rsid w:val="00C05D42"/>
    <w:rsid w:val="00C06FA9"/>
    <w:rsid w:val="00C15AB8"/>
    <w:rsid w:val="00C171B3"/>
    <w:rsid w:val="00C22C85"/>
    <w:rsid w:val="00C23207"/>
    <w:rsid w:val="00C23570"/>
    <w:rsid w:val="00C243F0"/>
    <w:rsid w:val="00C2620B"/>
    <w:rsid w:val="00C30402"/>
    <w:rsid w:val="00C33DFD"/>
    <w:rsid w:val="00C3413F"/>
    <w:rsid w:val="00C358AD"/>
    <w:rsid w:val="00C36ECF"/>
    <w:rsid w:val="00C40D5D"/>
    <w:rsid w:val="00C4158D"/>
    <w:rsid w:val="00C417B3"/>
    <w:rsid w:val="00C4205E"/>
    <w:rsid w:val="00C423A9"/>
    <w:rsid w:val="00C44797"/>
    <w:rsid w:val="00C4742A"/>
    <w:rsid w:val="00C54DFF"/>
    <w:rsid w:val="00C54E5D"/>
    <w:rsid w:val="00C551FE"/>
    <w:rsid w:val="00C55F33"/>
    <w:rsid w:val="00C56D5E"/>
    <w:rsid w:val="00C57114"/>
    <w:rsid w:val="00C57D7A"/>
    <w:rsid w:val="00C60726"/>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67BC"/>
    <w:rsid w:val="00CB7166"/>
    <w:rsid w:val="00CB71E8"/>
    <w:rsid w:val="00CB7D21"/>
    <w:rsid w:val="00CC0235"/>
    <w:rsid w:val="00CC03FA"/>
    <w:rsid w:val="00CC10B3"/>
    <w:rsid w:val="00CC26B7"/>
    <w:rsid w:val="00CC33B3"/>
    <w:rsid w:val="00CC366D"/>
    <w:rsid w:val="00CC4129"/>
    <w:rsid w:val="00CC502B"/>
    <w:rsid w:val="00CC755E"/>
    <w:rsid w:val="00CC7D03"/>
    <w:rsid w:val="00CD4EB3"/>
    <w:rsid w:val="00CD5D3D"/>
    <w:rsid w:val="00CD7A4F"/>
    <w:rsid w:val="00CE036B"/>
    <w:rsid w:val="00CE27EA"/>
    <w:rsid w:val="00CE2C3E"/>
    <w:rsid w:val="00CE3B50"/>
    <w:rsid w:val="00CE4F13"/>
    <w:rsid w:val="00CF1C7B"/>
    <w:rsid w:val="00CF34CD"/>
    <w:rsid w:val="00CF4421"/>
    <w:rsid w:val="00CF4FFD"/>
    <w:rsid w:val="00CF5AB5"/>
    <w:rsid w:val="00CF715F"/>
    <w:rsid w:val="00D016BA"/>
    <w:rsid w:val="00D06455"/>
    <w:rsid w:val="00D10141"/>
    <w:rsid w:val="00D1103C"/>
    <w:rsid w:val="00D112B3"/>
    <w:rsid w:val="00D159DB"/>
    <w:rsid w:val="00D236B1"/>
    <w:rsid w:val="00D23C64"/>
    <w:rsid w:val="00D25E25"/>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12C4"/>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31DE"/>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830"/>
    <w:rsid w:val="00DD1F8F"/>
    <w:rsid w:val="00DD3480"/>
    <w:rsid w:val="00DD54F2"/>
    <w:rsid w:val="00DE126F"/>
    <w:rsid w:val="00DE12B0"/>
    <w:rsid w:val="00DE21D9"/>
    <w:rsid w:val="00DE29FC"/>
    <w:rsid w:val="00DE43C4"/>
    <w:rsid w:val="00DE5428"/>
    <w:rsid w:val="00DE639B"/>
    <w:rsid w:val="00DE67BA"/>
    <w:rsid w:val="00DF09BA"/>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5D29"/>
    <w:rsid w:val="00E06246"/>
    <w:rsid w:val="00E07E0E"/>
    <w:rsid w:val="00E123EF"/>
    <w:rsid w:val="00E14925"/>
    <w:rsid w:val="00E15500"/>
    <w:rsid w:val="00E15A64"/>
    <w:rsid w:val="00E15EC2"/>
    <w:rsid w:val="00E17D36"/>
    <w:rsid w:val="00E17DDF"/>
    <w:rsid w:val="00E207E7"/>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011"/>
    <w:rsid w:val="00E47540"/>
    <w:rsid w:val="00E51A44"/>
    <w:rsid w:val="00E51D32"/>
    <w:rsid w:val="00E52950"/>
    <w:rsid w:val="00E552AA"/>
    <w:rsid w:val="00E5694C"/>
    <w:rsid w:val="00E60424"/>
    <w:rsid w:val="00E606A9"/>
    <w:rsid w:val="00E61142"/>
    <w:rsid w:val="00E617DF"/>
    <w:rsid w:val="00E62028"/>
    <w:rsid w:val="00E6230F"/>
    <w:rsid w:val="00E624E1"/>
    <w:rsid w:val="00E6496A"/>
    <w:rsid w:val="00E706AC"/>
    <w:rsid w:val="00E73D0D"/>
    <w:rsid w:val="00E74B12"/>
    <w:rsid w:val="00E80B52"/>
    <w:rsid w:val="00E81AFE"/>
    <w:rsid w:val="00E872EE"/>
    <w:rsid w:val="00E908B8"/>
    <w:rsid w:val="00E90EA9"/>
    <w:rsid w:val="00E9253C"/>
    <w:rsid w:val="00E93046"/>
    <w:rsid w:val="00E9428E"/>
    <w:rsid w:val="00E951AA"/>
    <w:rsid w:val="00EA2018"/>
    <w:rsid w:val="00EA2AA6"/>
    <w:rsid w:val="00EA580C"/>
    <w:rsid w:val="00EB44E9"/>
    <w:rsid w:val="00EB4FBB"/>
    <w:rsid w:val="00EB7D57"/>
    <w:rsid w:val="00EC03C5"/>
    <w:rsid w:val="00EC52F4"/>
    <w:rsid w:val="00ED1BBB"/>
    <w:rsid w:val="00ED3BF0"/>
    <w:rsid w:val="00ED6EA3"/>
    <w:rsid w:val="00EE0BFD"/>
    <w:rsid w:val="00EE0D49"/>
    <w:rsid w:val="00EE1546"/>
    <w:rsid w:val="00EE1AB3"/>
    <w:rsid w:val="00EE1DC7"/>
    <w:rsid w:val="00EE2371"/>
    <w:rsid w:val="00EE2442"/>
    <w:rsid w:val="00EE2535"/>
    <w:rsid w:val="00EE7290"/>
    <w:rsid w:val="00EE7F24"/>
    <w:rsid w:val="00EF0DAB"/>
    <w:rsid w:val="00EF112C"/>
    <w:rsid w:val="00EF1965"/>
    <w:rsid w:val="00EF2E32"/>
    <w:rsid w:val="00EF65BF"/>
    <w:rsid w:val="00EF6A25"/>
    <w:rsid w:val="00F1112A"/>
    <w:rsid w:val="00F118A6"/>
    <w:rsid w:val="00F11FFF"/>
    <w:rsid w:val="00F1335D"/>
    <w:rsid w:val="00F144BD"/>
    <w:rsid w:val="00F14EFA"/>
    <w:rsid w:val="00F155A1"/>
    <w:rsid w:val="00F173A1"/>
    <w:rsid w:val="00F22561"/>
    <w:rsid w:val="00F23F3F"/>
    <w:rsid w:val="00F24A4C"/>
    <w:rsid w:val="00F30414"/>
    <w:rsid w:val="00F36995"/>
    <w:rsid w:val="00F3737C"/>
    <w:rsid w:val="00F37868"/>
    <w:rsid w:val="00F40E37"/>
    <w:rsid w:val="00F437A5"/>
    <w:rsid w:val="00F44281"/>
    <w:rsid w:val="00F47C8F"/>
    <w:rsid w:val="00F502CC"/>
    <w:rsid w:val="00F534DC"/>
    <w:rsid w:val="00F53F87"/>
    <w:rsid w:val="00F5661E"/>
    <w:rsid w:val="00F567FF"/>
    <w:rsid w:val="00F6011D"/>
    <w:rsid w:val="00F65DBA"/>
    <w:rsid w:val="00F67DAA"/>
    <w:rsid w:val="00F71E97"/>
    <w:rsid w:val="00F75123"/>
    <w:rsid w:val="00F76A21"/>
    <w:rsid w:val="00F7771E"/>
    <w:rsid w:val="00F77FBC"/>
    <w:rsid w:val="00F80C78"/>
    <w:rsid w:val="00F8158D"/>
    <w:rsid w:val="00F81D58"/>
    <w:rsid w:val="00F8304F"/>
    <w:rsid w:val="00F85F64"/>
    <w:rsid w:val="00F872C9"/>
    <w:rsid w:val="00F91850"/>
    <w:rsid w:val="00F952EE"/>
    <w:rsid w:val="00F9780F"/>
    <w:rsid w:val="00FA130E"/>
    <w:rsid w:val="00FA28B8"/>
    <w:rsid w:val="00FA56F5"/>
    <w:rsid w:val="00FA7F4E"/>
    <w:rsid w:val="00FB2D4B"/>
    <w:rsid w:val="00FB31A2"/>
    <w:rsid w:val="00FB33F1"/>
    <w:rsid w:val="00FB627A"/>
    <w:rsid w:val="00FC1523"/>
    <w:rsid w:val="00FD0349"/>
    <w:rsid w:val="00FD6F15"/>
    <w:rsid w:val="00FD7CF3"/>
    <w:rsid w:val="00FE02C5"/>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link w:val="Ttulo3Car"/>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link w:val="EncabezadoCar"/>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link w:val="SangradetextonormalCar"/>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uiPriority w:val="99"/>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styleId="Hipervnculovisitado">
    <w:name w:val="FollowedHyperlink"/>
    <w:basedOn w:val="Fuentedeprrafopredeter"/>
    <w:uiPriority w:val="99"/>
    <w:unhideWhenUsed/>
    <w:rsid w:val="00F53F87"/>
    <w:rPr>
      <w:color w:val="954F72"/>
      <w:u w:val="single"/>
    </w:rPr>
  </w:style>
  <w:style w:type="paragraph" w:customStyle="1" w:styleId="font5">
    <w:name w:val="font5"/>
    <w:basedOn w:val="Normal"/>
    <w:rsid w:val="00F53F87"/>
    <w:pPr>
      <w:spacing w:before="100" w:beforeAutospacing="1" w:after="100" w:afterAutospacing="1"/>
    </w:pPr>
    <w:rPr>
      <w:rFonts w:ascii="Calibri" w:hAnsi="Calibri"/>
      <w:b/>
      <w:bCs/>
      <w:sz w:val="16"/>
      <w:szCs w:val="16"/>
      <w:lang w:val="es-CO" w:eastAsia="es-CO"/>
    </w:rPr>
  </w:style>
  <w:style w:type="paragraph" w:customStyle="1" w:styleId="font6">
    <w:name w:val="font6"/>
    <w:basedOn w:val="Normal"/>
    <w:rsid w:val="00F53F87"/>
    <w:pPr>
      <w:spacing w:before="100" w:beforeAutospacing="1" w:after="100" w:afterAutospacing="1"/>
    </w:pPr>
    <w:rPr>
      <w:rFonts w:ascii="Tahoma" w:hAnsi="Tahoma" w:cs="Tahoma"/>
      <w:b/>
      <w:bCs/>
      <w:color w:val="000000"/>
      <w:sz w:val="16"/>
      <w:szCs w:val="16"/>
      <w:lang w:val="es-CO" w:eastAsia="es-CO"/>
    </w:rPr>
  </w:style>
  <w:style w:type="paragraph" w:customStyle="1" w:styleId="xl74">
    <w:name w:val="xl74"/>
    <w:basedOn w:val="Normal"/>
    <w:rsid w:val="00F53F87"/>
    <w:pPr>
      <w:spacing w:before="100" w:beforeAutospacing="1" w:after="100" w:afterAutospacing="1"/>
    </w:pPr>
    <w:rPr>
      <w:i/>
      <w:iCs/>
      <w:color w:val="000000"/>
      <w:lang w:val="es-CO" w:eastAsia="es-CO"/>
    </w:rPr>
  </w:style>
  <w:style w:type="paragraph" w:customStyle="1" w:styleId="xl75">
    <w:name w:val="xl75"/>
    <w:basedOn w:val="Normal"/>
    <w:rsid w:val="00F53F87"/>
    <w:pPr>
      <w:spacing w:before="100" w:beforeAutospacing="1" w:after="100" w:afterAutospacing="1"/>
    </w:pPr>
    <w:rPr>
      <w:sz w:val="20"/>
      <w:szCs w:val="20"/>
      <w:lang w:val="es-CO" w:eastAsia="es-CO"/>
    </w:rPr>
  </w:style>
  <w:style w:type="paragraph" w:customStyle="1" w:styleId="xl76">
    <w:name w:val="xl76"/>
    <w:basedOn w:val="Normal"/>
    <w:rsid w:val="00F53F87"/>
    <w:pPr>
      <w:pBdr>
        <w:top w:val="single" w:sz="4" w:space="0" w:color="auto"/>
        <w:left w:val="single" w:sz="4" w:space="0" w:color="auto"/>
        <w:bottom w:val="single" w:sz="4" w:space="0" w:color="auto"/>
        <w:right w:val="single" w:sz="4" w:space="0" w:color="808000"/>
      </w:pBdr>
      <w:shd w:val="clear" w:color="000000" w:fill="FFFFCC"/>
      <w:spacing w:before="100" w:beforeAutospacing="1" w:after="100" w:afterAutospacing="1"/>
      <w:jc w:val="center"/>
      <w:textAlignment w:val="center"/>
    </w:pPr>
    <w:rPr>
      <w:b/>
      <w:bCs/>
      <w:color w:val="000000"/>
      <w:sz w:val="18"/>
      <w:szCs w:val="18"/>
      <w:lang w:val="es-CO" w:eastAsia="es-CO"/>
    </w:rPr>
  </w:style>
  <w:style w:type="paragraph" w:customStyle="1" w:styleId="xl77">
    <w:name w:val="xl77"/>
    <w:basedOn w:val="Normal"/>
    <w:rsid w:val="00F53F87"/>
    <w:pPr>
      <w:pBdr>
        <w:top w:val="single" w:sz="4" w:space="0" w:color="auto"/>
        <w:left w:val="single" w:sz="4" w:space="0" w:color="808000"/>
        <w:bottom w:val="single" w:sz="4" w:space="0" w:color="auto"/>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78">
    <w:name w:val="xl78"/>
    <w:basedOn w:val="Normal"/>
    <w:rsid w:val="00F53F87"/>
    <w:pPr>
      <w:pBdr>
        <w:top w:val="single" w:sz="4" w:space="0" w:color="auto"/>
        <w:left w:val="single" w:sz="4" w:space="0" w:color="808000"/>
        <w:bottom w:val="single" w:sz="4" w:space="0" w:color="auto"/>
        <w:right w:val="single" w:sz="4" w:space="0" w:color="808000"/>
      </w:pBdr>
      <w:shd w:val="clear" w:color="000000" w:fill="FFFFCC"/>
      <w:spacing w:before="100" w:beforeAutospacing="1" w:after="100" w:afterAutospacing="1"/>
      <w:jc w:val="center"/>
      <w:textAlignment w:val="center"/>
    </w:pPr>
    <w:rPr>
      <w:b/>
      <w:bCs/>
      <w:color w:val="000000"/>
      <w:sz w:val="18"/>
      <w:szCs w:val="18"/>
      <w:lang w:val="es-CO" w:eastAsia="es-CO"/>
    </w:rPr>
  </w:style>
  <w:style w:type="paragraph" w:customStyle="1" w:styleId="xl79">
    <w:name w:val="xl79"/>
    <w:basedOn w:val="Normal"/>
    <w:rsid w:val="00F53F87"/>
    <w:pPr>
      <w:shd w:val="clear" w:color="FFFFFF" w:fill="33CCCC"/>
      <w:spacing w:before="100" w:beforeAutospacing="1" w:after="100" w:afterAutospacing="1"/>
      <w:jc w:val="center"/>
      <w:textAlignment w:val="center"/>
    </w:pPr>
    <w:rPr>
      <w:sz w:val="20"/>
      <w:szCs w:val="20"/>
      <w:lang w:val="es-CO" w:eastAsia="es-CO"/>
    </w:rPr>
  </w:style>
  <w:style w:type="paragraph" w:customStyle="1" w:styleId="xl80">
    <w:name w:val="xl80"/>
    <w:basedOn w:val="Normal"/>
    <w:rsid w:val="00F53F87"/>
    <w:pPr>
      <w:pBdr>
        <w:top w:val="single" w:sz="4" w:space="0" w:color="808000"/>
        <w:left w:val="single" w:sz="4" w:space="0" w:color="808000"/>
        <w:right w:val="single" w:sz="4" w:space="0" w:color="8080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F53F87"/>
    <w:pPr>
      <w:pBdr>
        <w:top w:val="single" w:sz="4" w:space="0" w:color="808000"/>
        <w:left w:val="single" w:sz="4" w:space="0" w:color="808000"/>
        <w:right w:val="single" w:sz="4" w:space="0" w:color="8080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82">
    <w:name w:val="xl82"/>
    <w:basedOn w:val="Normal"/>
    <w:rsid w:val="00F53F87"/>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jc w:val="center"/>
    </w:pPr>
    <w:rPr>
      <w:sz w:val="20"/>
      <w:szCs w:val="20"/>
      <w:lang w:val="es-CO" w:eastAsia="es-CO"/>
    </w:rPr>
  </w:style>
  <w:style w:type="paragraph" w:customStyle="1" w:styleId="xl83">
    <w:name w:val="xl83"/>
    <w:basedOn w:val="Normal"/>
    <w:rsid w:val="00F53F87"/>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jc w:val="center"/>
    </w:pPr>
    <w:rPr>
      <w:sz w:val="20"/>
      <w:szCs w:val="20"/>
      <w:lang w:val="es-CO" w:eastAsia="es-CO"/>
    </w:rPr>
  </w:style>
  <w:style w:type="paragraph" w:customStyle="1" w:styleId="xl84">
    <w:name w:val="xl84"/>
    <w:basedOn w:val="Normal"/>
    <w:rsid w:val="00F53F87"/>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85">
    <w:name w:val="xl85"/>
    <w:basedOn w:val="Normal"/>
    <w:rsid w:val="00F53F87"/>
    <w:pPr>
      <w:pBdr>
        <w:top w:val="single" w:sz="4" w:space="0" w:color="808000"/>
        <w:left w:val="single" w:sz="4" w:space="0" w:color="808000"/>
        <w:bottom w:val="single" w:sz="4" w:space="0" w:color="808000"/>
        <w:right w:val="single" w:sz="4" w:space="0" w:color="808000"/>
      </w:pBdr>
      <w:shd w:val="clear" w:color="000000" w:fill="FFFFCC"/>
      <w:spacing w:before="100" w:beforeAutospacing="1" w:after="100" w:afterAutospacing="1"/>
      <w:textAlignment w:val="center"/>
    </w:pPr>
    <w:rPr>
      <w:color w:val="000000"/>
      <w:sz w:val="20"/>
      <w:szCs w:val="20"/>
      <w:lang w:val="es-CO" w:eastAsia="es-CO"/>
    </w:rPr>
  </w:style>
  <w:style w:type="paragraph" w:customStyle="1" w:styleId="xl86">
    <w:name w:val="xl86"/>
    <w:basedOn w:val="Normal"/>
    <w:rsid w:val="00F53F87"/>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pPr>
    <w:rPr>
      <w:sz w:val="20"/>
      <w:szCs w:val="20"/>
      <w:lang w:val="es-CO" w:eastAsia="es-CO"/>
    </w:rPr>
  </w:style>
  <w:style w:type="paragraph" w:customStyle="1" w:styleId="xl87">
    <w:name w:val="xl87"/>
    <w:basedOn w:val="Normal"/>
    <w:rsid w:val="00F53F87"/>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pPr>
    <w:rPr>
      <w:sz w:val="20"/>
      <w:szCs w:val="20"/>
      <w:lang w:val="es-CO" w:eastAsia="es-CO"/>
    </w:rPr>
  </w:style>
  <w:style w:type="paragraph" w:customStyle="1" w:styleId="xl88">
    <w:name w:val="xl88"/>
    <w:basedOn w:val="Normal"/>
    <w:rsid w:val="00F53F87"/>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jc w:val="right"/>
    </w:pPr>
    <w:rPr>
      <w:sz w:val="20"/>
      <w:szCs w:val="20"/>
      <w:lang w:val="es-CO" w:eastAsia="es-CO"/>
    </w:rPr>
  </w:style>
  <w:style w:type="paragraph" w:customStyle="1" w:styleId="xl89">
    <w:name w:val="xl89"/>
    <w:basedOn w:val="Normal"/>
    <w:rsid w:val="00F53F87"/>
    <w:pPr>
      <w:spacing w:before="100" w:beforeAutospacing="1" w:after="100" w:afterAutospacing="1"/>
    </w:pPr>
    <w:rPr>
      <w:color w:val="FFFFFF"/>
      <w:sz w:val="20"/>
      <w:szCs w:val="20"/>
      <w:lang w:val="es-CO" w:eastAsia="es-CO"/>
    </w:rPr>
  </w:style>
  <w:style w:type="paragraph" w:customStyle="1" w:styleId="xl90">
    <w:name w:val="xl90"/>
    <w:basedOn w:val="Normal"/>
    <w:rsid w:val="00F53F87"/>
    <w:pPr>
      <w:pBdr>
        <w:top w:val="single" w:sz="8" w:space="0" w:color="auto"/>
      </w:pBdr>
      <w:spacing w:before="100" w:beforeAutospacing="1" w:after="100" w:afterAutospacing="1"/>
    </w:pPr>
    <w:rPr>
      <w:i/>
      <w:iCs/>
      <w:color w:val="000000"/>
      <w:lang w:val="es-CO" w:eastAsia="es-CO"/>
    </w:rPr>
  </w:style>
  <w:style w:type="paragraph" w:customStyle="1" w:styleId="xl91">
    <w:name w:val="xl91"/>
    <w:basedOn w:val="Normal"/>
    <w:rsid w:val="00F53F87"/>
    <w:pPr>
      <w:pBdr>
        <w:left w:val="single" w:sz="8" w:space="0" w:color="auto"/>
        <w:bottom w:val="single" w:sz="8" w:space="0" w:color="auto"/>
      </w:pBdr>
      <w:spacing w:before="100" w:beforeAutospacing="1" w:after="100" w:afterAutospacing="1"/>
    </w:pPr>
    <w:rPr>
      <w:i/>
      <w:iCs/>
      <w:color w:val="000000"/>
      <w:lang w:val="es-CO" w:eastAsia="es-CO"/>
    </w:rPr>
  </w:style>
  <w:style w:type="paragraph" w:customStyle="1" w:styleId="xl92">
    <w:name w:val="xl92"/>
    <w:basedOn w:val="Normal"/>
    <w:rsid w:val="00F53F87"/>
    <w:pPr>
      <w:pBdr>
        <w:bottom w:val="single" w:sz="8" w:space="0" w:color="auto"/>
      </w:pBdr>
      <w:shd w:val="clear" w:color="000000" w:fill="FFFF99"/>
      <w:spacing w:before="100" w:beforeAutospacing="1" w:after="100" w:afterAutospacing="1"/>
      <w:textAlignment w:val="center"/>
    </w:pPr>
    <w:rPr>
      <w:b/>
      <w:bCs/>
      <w:sz w:val="20"/>
      <w:szCs w:val="20"/>
      <w:lang w:val="es-CO" w:eastAsia="es-CO"/>
    </w:rPr>
  </w:style>
  <w:style w:type="paragraph" w:customStyle="1" w:styleId="xl93">
    <w:name w:val="xl93"/>
    <w:basedOn w:val="Normal"/>
    <w:rsid w:val="00F53F87"/>
    <w:pPr>
      <w:pBdr>
        <w:top w:val="single" w:sz="8" w:space="0" w:color="auto"/>
      </w:pBdr>
      <w:shd w:val="clear" w:color="000000" w:fill="FFFF00"/>
      <w:spacing w:before="100" w:beforeAutospacing="1" w:after="100" w:afterAutospacing="1"/>
      <w:textAlignment w:val="center"/>
    </w:pPr>
    <w:rPr>
      <w:color w:val="000000"/>
      <w:sz w:val="20"/>
      <w:szCs w:val="20"/>
      <w:lang w:val="es-CO" w:eastAsia="es-CO"/>
    </w:rPr>
  </w:style>
  <w:style w:type="paragraph" w:customStyle="1" w:styleId="xl94">
    <w:name w:val="xl94"/>
    <w:basedOn w:val="Normal"/>
    <w:rsid w:val="00F53F87"/>
    <w:pPr>
      <w:pBdr>
        <w:top w:val="single" w:sz="8" w:space="0" w:color="auto"/>
        <w:left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95">
    <w:name w:val="xl95"/>
    <w:basedOn w:val="Normal"/>
    <w:rsid w:val="00F53F87"/>
    <w:pPr>
      <w:pBdr>
        <w:top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96">
    <w:name w:val="xl96"/>
    <w:basedOn w:val="Normal"/>
    <w:rsid w:val="00F53F87"/>
    <w:pPr>
      <w:pBdr>
        <w:top w:val="single" w:sz="8" w:space="0" w:color="auto"/>
        <w:right w:val="single" w:sz="4" w:space="0" w:color="003366"/>
      </w:pBdr>
      <w:shd w:val="clear" w:color="000000" w:fill="FFFFCC"/>
      <w:spacing w:before="100" w:beforeAutospacing="1" w:after="100" w:afterAutospacing="1"/>
      <w:jc w:val="center"/>
    </w:pPr>
    <w:rPr>
      <w:sz w:val="20"/>
      <w:szCs w:val="20"/>
      <w:lang w:val="es-CO" w:eastAsia="es-CO"/>
    </w:rPr>
  </w:style>
  <w:style w:type="paragraph" w:customStyle="1" w:styleId="xl97">
    <w:name w:val="xl97"/>
    <w:basedOn w:val="Normal"/>
    <w:rsid w:val="00F53F87"/>
    <w:pPr>
      <w:pBdr>
        <w:bottom w:val="single" w:sz="8" w:space="0" w:color="auto"/>
      </w:pBdr>
      <w:shd w:val="clear" w:color="000000" w:fill="FFFF99"/>
      <w:spacing w:before="100" w:beforeAutospacing="1" w:after="100" w:afterAutospacing="1"/>
      <w:jc w:val="center"/>
      <w:textAlignment w:val="center"/>
    </w:pPr>
    <w:rPr>
      <w:b/>
      <w:bCs/>
      <w:lang w:val="es-CO" w:eastAsia="es-CO"/>
    </w:rPr>
  </w:style>
  <w:style w:type="paragraph" w:customStyle="1" w:styleId="xl98">
    <w:name w:val="xl98"/>
    <w:basedOn w:val="Normal"/>
    <w:rsid w:val="00F53F87"/>
    <w:pPr>
      <w:pBdr>
        <w:bottom w:val="single" w:sz="8" w:space="0" w:color="auto"/>
        <w:right w:val="single" w:sz="8" w:space="0" w:color="auto"/>
      </w:pBdr>
      <w:shd w:val="clear" w:color="000000" w:fill="FFFF99"/>
      <w:spacing w:before="100" w:beforeAutospacing="1" w:after="100" w:afterAutospacing="1"/>
      <w:jc w:val="center"/>
      <w:textAlignment w:val="center"/>
    </w:pPr>
    <w:rPr>
      <w:b/>
      <w:bCs/>
      <w:lang w:val="es-CO" w:eastAsia="es-CO"/>
    </w:rPr>
  </w:style>
  <w:style w:type="character" w:customStyle="1" w:styleId="Ttulo3Car">
    <w:name w:val="Título 3 Car"/>
    <w:basedOn w:val="Fuentedeprrafopredeter"/>
    <w:link w:val="Ttulo3"/>
    <w:rsid w:val="0033202E"/>
    <w:rPr>
      <w:rFonts w:ascii="Arial" w:hAnsi="Arial" w:cs="Arial"/>
      <w:b/>
      <w:bCs/>
      <w:sz w:val="26"/>
      <w:szCs w:val="26"/>
    </w:rPr>
  </w:style>
  <w:style w:type="character" w:customStyle="1" w:styleId="Ttulo4Car">
    <w:name w:val="Título 4 Car"/>
    <w:basedOn w:val="Fuentedeprrafopredeter"/>
    <w:link w:val="Ttulo4"/>
    <w:rsid w:val="0033202E"/>
    <w:rPr>
      <w:b/>
      <w:sz w:val="24"/>
    </w:rPr>
  </w:style>
  <w:style w:type="character" w:customStyle="1" w:styleId="Ttulo5Car">
    <w:name w:val="Título 5 Car"/>
    <w:basedOn w:val="Fuentedeprrafopredeter"/>
    <w:link w:val="Ttulo5"/>
    <w:rsid w:val="0033202E"/>
    <w:rPr>
      <w:b/>
      <w:bCs/>
      <w:i/>
      <w:iCs/>
      <w:sz w:val="26"/>
      <w:szCs w:val="26"/>
    </w:rPr>
  </w:style>
  <w:style w:type="character" w:customStyle="1" w:styleId="EncabezadoCar">
    <w:name w:val="Encabezado Car"/>
    <w:basedOn w:val="Fuentedeprrafopredeter"/>
    <w:link w:val="Encabezado"/>
    <w:rsid w:val="0033202E"/>
    <w:rPr>
      <w:sz w:val="24"/>
      <w:szCs w:val="24"/>
    </w:rPr>
  </w:style>
  <w:style w:type="character" w:customStyle="1" w:styleId="SangradetextonormalCar">
    <w:name w:val="Sangría de texto normal Car"/>
    <w:basedOn w:val="Fuentedeprrafopredeter"/>
    <w:link w:val="Sangradetextonormal"/>
    <w:rsid w:val="0033202E"/>
    <w:rPr>
      <w:sz w:val="24"/>
      <w:szCs w:val="24"/>
    </w:rPr>
  </w:style>
  <w:style w:type="paragraph" w:customStyle="1" w:styleId="nueve-">
    <w:name w:val="nueve-"/>
    <w:uiPriority w:val="99"/>
    <w:rsid w:val="00A502B1"/>
    <w:pPr>
      <w:overflowPunct w:val="0"/>
      <w:autoSpaceDE w:val="0"/>
      <w:autoSpaceDN w:val="0"/>
      <w:adjustRightInd w:val="0"/>
      <w:spacing w:before="216" w:after="216"/>
      <w:ind w:firstLine="432"/>
      <w:jc w:val="both"/>
      <w:textAlignment w:val="baseline"/>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622">
      <w:bodyDiv w:val="1"/>
      <w:marLeft w:val="0"/>
      <w:marRight w:val="0"/>
      <w:marTop w:val="0"/>
      <w:marBottom w:val="0"/>
      <w:divBdr>
        <w:top w:val="none" w:sz="0" w:space="0" w:color="auto"/>
        <w:left w:val="none" w:sz="0" w:space="0" w:color="auto"/>
        <w:bottom w:val="none" w:sz="0" w:space="0" w:color="auto"/>
        <w:right w:val="none" w:sz="0" w:space="0" w:color="auto"/>
      </w:divBdr>
    </w:div>
    <w:div w:id="1448625484">
      <w:bodyDiv w:val="1"/>
      <w:marLeft w:val="0"/>
      <w:marRight w:val="0"/>
      <w:marTop w:val="0"/>
      <w:marBottom w:val="0"/>
      <w:divBdr>
        <w:top w:val="none" w:sz="0" w:space="0" w:color="auto"/>
        <w:left w:val="none" w:sz="0" w:space="0" w:color="auto"/>
        <w:bottom w:val="none" w:sz="0" w:space="0" w:color="auto"/>
        <w:right w:val="none" w:sz="0" w:space="0" w:color="auto"/>
      </w:divBdr>
    </w:div>
    <w:div w:id="1496998315">
      <w:bodyDiv w:val="1"/>
      <w:marLeft w:val="0"/>
      <w:marRight w:val="0"/>
      <w:marTop w:val="0"/>
      <w:marBottom w:val="0"/>
      <w:divBdr>
        <w:top w:val="none" w:sz="0" w:space="0" w:color="auto"/>
        <w:left w:val="none" w:sz="0" w:space="0" w:color="auto"/>
        <w:bottom w:val="none" w:sz="0" w:space="0" w:color="auto"/>
        <w:right w:val="none" w:sz="0" w:space="0" w:color="auto"/>
      </w:divBdr>
    </w:div>
    <w:div w:id="1523399786">
      <w:bodyDiv w:val="1"/>
      <w:marLeft w:val="0"/>
      <w:marRight w:val="0"/>
      <w:marTop w:val="0"/>
      <w:marBottom w:val="0"/>
      <w:divBdr>
        <w:top w:val="none" w:sz="0" w:space="0" w:color="auto"/>
        <w:left w:val="none" w:sz="0" w:space="0" w:color="auto"/>
        <w:bottom w:val="none" w:sz="0" w:space="0" w:color="auto"/>
        <w:right w:val="none" w:sz="0" w:space="0" w:color="auto"/>
      </w:divBdr>
    </w:div>
    <w:div w:id="1526097132">
      <w:bodyDiv w:val="1"/>
      <w:marLeft w:val="0"/>
      <w:marRight w:val="0"/>
      <w:marTop w:val="0"/>
      <w:marBottom w:val="0"/>
      <w:divBdr>
        <w:top w:val="none" w:sz="0" w:space="0" w:color="auto"/>
        <w:left w:val="none" w:sz="0" w:space="0" w:color="auto"/>
        <w:bottom w:val="none" w:sz="0" w:space="0" w:color="auto"/>
        <w:right w:val="none" w:sz="0" w:space="0" w:color="auto"/>
      </w:divBdr>
    </w:div>
    <w:div w:id="1599407748">
      <w:bodyDiv w:val="1"/>
      <w:marLeft w:val="0"/>
      <w:marRight w:val="0"/>
      <w:marTop w:val="0"/>
      <w:marBottom w:val="0"/>
      <w:divBdr>
        <w:top w:val="none" w:sz="0" w:space="0" w:color="auto"/>
        <w:left w:val="none" w:sz="0" w:space="0" w:color="auto"/>
        <w:bottom w:val="none" w:sz="0" w:space="0" w:color="auto"/>
        <w:right w:val="none" w:sz="0" w:space="0" w:color="auto"/>
      </w:divBdr>
    </w:div>
    <w:div w:id="2036996152">
      <w:bodyDiv w:val="1"/>
      <w:marLeft w:val="0"/>
      <w:marRight w:val="0"/>
      <w:marTop w:val="0"/>
      <w:marBottom w:val="0"/>
      <w:divBdr>
        <w:top w:val="none" w:sz="0" w:space="0" w:color="auto"/>
        <w:left w:val="none" w:sz="0" w:space="0" w:color="auto"/>
        <w:bottom w:val="none" w:sz="0" w:space="0" w:color="auto"/>
        <w:right w:val="none" w:sz="0" w:space="0" w:color="auto"/>
      </w:divBdr>
    </w:div>
    <w:div w:id="20477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057A-7C22-4800-BF75-C3811E5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3858</Words>
  <Characters>21224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5</cp:revision>
  <cp:lastPrinted>2017-09-08T16:00:00Z</cp:lastPrinted>
  <dcterms:created xsi:type="dcterms:W3CDTF">2017-09-06T14:48:00Z</dcterms:created>
  <dcterms:modified xsi:type="dcterms:W3CDTF">2017-11-08T16:33:00Z</dcterms:modified>
</cp:coreProperties>
</file>