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CD7D5B" w:rsidRPr="005F31C4" w:rsidRDefault="00CD7D5B" w:rsidP="00CD7D5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w:t>
      </w:r>
      <w:r>
        <w:rPr>
          <w:rFonts w:ascii="Calibri" w:hAnsi="Calibri" w:cs="Calibri"/>
          <w:color w:val="FF0000"/>
          <w:spacing w:val="-6"/>
          <w:sz w:val="16"/>
          <w:szCs w:val="16"/>
          <w:lang w:val="es-CO" w:eastAsia="fr-FR"/>
        </w:rPr>
        <w:t>to presentado por la Magistrada</w:t>
      </w:r>
      <w:r w:rsidRPr="005F31C4">
        <w:rPr>
          <w:rFonts w:ascii="Calibri" w:hAnsi="Calibri" w:cs="Calibri"/>
          <w:color w:val="FF0000"/>
          <w:spacing w:val="-6"/>
          <w:sz w:val="16"/>
          <w:szCs w:val="16"/>
          <w:lang w:val="es-CO" w:eastAsia="fr-FR"/>
        </w:rPr>
        <w:t>. El contenido total y fiel de la decisión debe ser verificado en la Secretaría de esta Sala. </w:t>
      </w:r>
    </w:p>
    <w:p w:rsidR="00CD7D5B" w:rsidRPr="00D85E04" w:rsidRDefault="00CD7D5B" w:rsidP="00CD7D5B">
      <w:pPr>
        <w:rPr>
          <w:rFonts w:ascii="Tahoma" w:hAnsi="Tahoma" w:cs="Tahoma"/>
          <w:b/>
          <w:sz w:val="18"/>
          <w:szCs w:val="18"/>
          <w:lang w:val="es-CO"/>
        </w:rPr>
      </w:pPr>
    </w:p>
    <w:p w:rsidR="008F2D96" w:rsidRPr="00FF0A79" w:rsidRDefault="008F2D96" w:rsidP="008F2D96">
      <w:pPr>
        <w:pStyle w:val="Puesto"/>
        <w:spacing w:line="240" w:lineRule="auto"/>
        <w:jc w:val="both"/>
        <w:rPr>
          <w:rFonts w:ascii="Tahoma" w:hAnsi="Tahoma" w:cs="Tahoma"/>
          <w:b w:val="0"/>
          <w:sz w:val="18"/>
          <w:szCs w:val="18"/>
          <w:u w:val="single"/>
        </w:rPr>
      </w:pPr>
      <w:bookmarkStart w:id="0" w:name="_GoBack"/>
      <w:bookmarkEnd w:id="0"/>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440E98">
        <w:rPr>
          <w:rFonts w:ascii="Tahoma" w:hAnsi="Tahoma" w:cs="Tahoma"/>
          <w:b w:val="0"/>
          <w:sz w:val="18"/>
          <w:szCs w:val="18"/>
        </w:rPr>
        <w:t xml:space="preserve">5 de septiembre </w:t>
      </w:r>
      <w:r w:rsidR="0084707C">
        <w:rPr>
          <w:rFonts w:ascii="Tahoma" w:hAnsi="Tahoma" w:cs="Tahoma"/>
          <w:b w:val="0"/>
          <w:sz w:val="18"/>
          <w:szCs w:val="18"/>
        </w:rPr>
        <w:t>de 2017</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66001-31-05</w:t>
      </w:r>
      <w:r w:rsidRPr="00BD4A51">
        <w:rPr>
          <w:rFonts w:ascii="Tahoma" w:hAnsi="Tahoma" w:cs="Tahoma"/>
          <w:b w:val="0"/>
          <w:sz w:val="18"/>
          <w:szCs w:val="18"/>
        </w:rPr>
        <w:t>-00</w:t>
      </w:r>
      <w:r w:rsidR="00440E98">
        <w:rPr>
          <w:rFonts w:ascii="Tahoma" w:hAnsi="Tahoma" w:cs="Tahoma"/>
          <w:b w:val="0"/>
          <w:sz w:val="18"/>
          <w:szCs w:val="18"/>
        </w:rPr>
        <w:t>1</w:t>
      </w:r>
      <w:r w:rsidRPr="00BD4A51">
        <w:rPr>
          <w:rFonts w:ascii="Tahoma" w:hAnsi="Tahoma" w:cs="Tahoma"/>
          <w:b w:val="0"/>
          <w:sz w:val="18"/>
          <w:szCs w:val="18"/>
        </w:rPr>
        <w:t>-2015-00</w:t>
      </w:r>
      <w:r w:rsidR="00440E98">
        <w:rPr>
          <w:rFonts w:ascii="Tahoma" w:hAnsi="Tahoma" w:cs="Tahoma"/>
          <w:b w:val="0"/>
          <w:sz w:val="18"/>
          <w:szCs w:val="18"/>
        </w:rPr>
        <w:t>418</w:t>
      </w:r>
      <w:r w:rsidRPr="00BD4A51">
        <w:rPr>
          <w:rFonts w:ascii="Tahoma" w:hAnsi="Tahoma" w:cs="Tahoma"/>
          <w:b w:val="0"/>
          <w:sz w:val="18"/>
          <w:szCs w:val="18"/>
        </w:rPr>
        <w:t>-01</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 xml:space="preserve">Ordinario laboral </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00440E98">
        <w:rPr>
          <w:rFonts w:ascii="Tahoma" w:hAnsi="Tahoma" w:cs="Tahoma"/>
          <w:b w:val="0"/>
          <w:sz w:val="18"/>
          <w:szCs w:val="18"/>
        </w:rPr>
        <w:t xml:space="preserve">Cecilia Moncada Zapata </w:t>
      </w:r>
      <w:r w:rsidR="007C6201">
        <w:rPr>
          <w:rFonts w:ascii="Tahoma" w:hAnsi="Tahoma" w:cs="Tahoma"/>
          <w:b w:val="0"/>
          <w:sz w:val="18"/>
          <w:szCs w:val="18"/>
        </w:rPr>
        <w:t xml:space="preserve"> </w:t>
      </w:r>
    </w:p>
    <w:p w:rsidR="00CE651D" w:rsidRPr="00BF4F59" w:rsidRDefault="00CE651D" w:rsidP="00CE651D">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440E98">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440E98">
        <w:rPr>
          <w:rFonts w:ascii="Tahoma" w:hAnsi="Tahoma" w:cs="Tahoma"/>
          <w:b w:val="0"/>
          <w:sz w:val="18"/>
          <w:szCs w:val="18"/>
        </w:rPr>
        <w:t xml:space="preserve">a. Olga Lucía Hoyos </w:t>
      </w:r>
      <w:r w:rsidR="00C249DB">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F2D96" w:rsidP="008F2D96">
      <w:pPr>
        <w:pStyle w:val="Puesto"/>
        <w:spacing w:line="240" w:lineRule="auto"/>
        <w:ind w:left="2805" w:hanging="2805"/>
        <w:jc w:val="both"/>
        <w:rPr>
          <w:rFonts w:ascii="Tahoma" w:hAnsi="Tahoma" w:cs="Tahoma"/>
          <w:sz w:val="18"/>
          <w:szCs w:val="18"/>
        </w:rPr>
      </w:pPr>
      <w:r w:rsidRPr="00FF0A79">
        <w:rPr>
          <w:rFonts w:ascii="Tahoma" w:hAnsi="Tahoma" w:cs="Tahoma"/>
          <w:sz w:val="18"/>
          <w:szCs w:val="18"/>
        </w:rPr>
        <w:tab/>
      </w:r>
    </w:p>
    <w:p w:rsidR="00721756" w:rsidRDefault="00721756" w:rsidP="008F2D96">
      <w:pPr>
        <w:rPr>
          <w:lang w:val="es-CO" w:eastAsia="es-MX"/>
        </w:rPr>
      </w:pPr>
    </w:p>
    <w:p w:rsidR="000D122E" w:rsidRPr="00046E5F" w:rsidRDefault="00046E5F" w:rsidP="008F2D96">
      <w:pPr>
        <w:rPr>
          <w:rFonts w:asciiTheme="minorHAnsi" w:hAnsiTheme="minorHAnsi"/>
          <w:b/>
          <w:sz w:val="20"/>
          <w:szCs w:val="20"/>
          <w:lang w:val="es-CO" w:eastAsia="es-MX"/>
        </w:rPr>
      </w:pPr>
      <w:r w:rsidRPr="00046E5F">
        <w:rPr>
          <w:rFonts w:asciiTheme="minorHAnsi" w:hAnsiTheme="minorHAnsi"/>
          <w:b/>
          <w:sz w:val="20"/>
          <w:szCs w:val="20"/>
          <w:lang w:val="es-CO" w:eastAsia="es-MX"/>
        </w:rPr>
        <w:t>Tema:</w:t>
      </w:r>
      <w:r w:rsidRPr="00046E5F">
        <w:rPr>
          <w:rFonts w:asciiTheme="minorHAnsi" w:hAnsiTheme="minorHAnsi"/>
          <w:b/>
          <w:sz w:val="20"/>
          <w:szCs w:val="20"/>
          <w:lang w:val="es-CO" w:eastAsia="es-MX"/>
        </w:rPr>
        <w:tab/>
      </w:r>
      <w:r w:rsidRPr="00046E5F">
        <w:rPr>
          <w:rFonts w:asciiTheme="minorHAnsi" w:hAnsiTheme="minorHAnsi"/>
          <w:b/>
          <w:sz w:val="20"/>
          <w:szCs w:val="20"/>
          <w:lang w:val="es-CO" w:eastAsia="es-MX"/>
        </w:rPr>
        <w:tab/>
      </w:r>
      <w:r w:rsidRPr="00046E5F">
        <w:rPr>
          <w:rFonts w:asciiTheme="minorHAnsi" w:hAnsiTheme="minorHAnsi"/>
          <w:b/>
          <w:sz w:val="20"/>
          <w:szCs w:val="20"/>
          <w:lang w:val="es-CO" w:eastAsia="es-MX"/>
        </w:rPr>
        <w:tab/>
      </w:r>
      <w:r w:rsidRPr="00046E5F">
        <w:rPr>
          <w:rFonts w:asciiTheme="minorHAnsi" w:hAnsiTheme="minorHAnsi"/>
          <w:b/>
          <w:sz w:val="20"/>
          <w:szCs w:val="20"/>
          <w:lang w:val="es-CO" w:eastAsia="es-MX"/>
        </w:rPr>
        <w:tab/>
        <w:t>CONDICIÓN MÁS BENEFICIOSA – TEMPORALIDAD - Haber cotizado 300 semanas en cualquier tiempo antes del fallecimiento o a la situación de invalidez</w:t>
      </w:r>
    </w:p>
    <w:p w:rsidR="000D122E" w:rsidRDefault="000D122E"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C249DB" w:rsidRDefault="00342326" w:rsidP="007C6201">
      <w:pPr>
        <w:spacing w:line="276" w:lineRule="auto"/>
        <w:ind w:firstLine="709"/>
        <w:jc w:val="both"/>
        <w:rPr>
          <w:rFonts w:ascii="Tahoma" w:hAnsi="Tahoma" w:cs="Tahoma"/>
          <w:sz w:val="22"/>
          <w:szCs w:val="22"/>
        </w:rPr>
      </w:pPr>
      <w:r w:rsidRPr="007C6201">
        <w:rPr>
          <w:rFonts w:ascii="Tahoma" w:hAnsi="Tahoma" w:cs="Tahoma"/>
          <w:sz w:val="22"/>
          <w:szCs w:val="22"/>
        </w:rPr>
        <w:t>Con mi acostumbrado respeto</w:t>
      </w:r>
      <w:r w:rsidR="008F2D96" w:rsidRPr="007C6201">
        <w:rPr>
          <w:rFonts w:ascii="Tahoma" w:hAnsi="Tahoma" w:cs="Tahoma"/>
          <w:sz w:val="22"/>
          <w:szCs w:val="22"/>
        </w:rPr>
        <w:t xml:space="preserve"> manifiesto mi inconformidad</w:t>
      </w:r>
      <w:r w:rsidR="00756D08" w:rsidRPr="007C6201">
        <w:rPr>
          <w:rFonts w:ascii="Tahoma" w:hAnsi="Tahoma" w:cs="Tahoma"/>
          <w:sz w:val="22"/>
          <w:szCs w:val="22"/>
        </w:rPr>
        <w:t xml:space="preserve"> </w:t>
      </w:r>
      <w:r w:rsidR="008F2D96" w:rsidRPr="007C6201">
        <w:rPr>
          <w:rFonts w:ascii="Tahoma" w:hAnsi="Tahoma" w:cs="Tahoma"/>
          <w:sz w:val="22"/>
          <w:szCs w:val="22"/>
        </w:rPr>
        <w:t>frente a la sentencia mayoritaria</w:t>
      </w:r>
      <w:r w:rsidR="007C6201" w:rsidRPr="007C6201">
        <w:rPr>
          <w:rFonts w:ascii="Tahoma" w:hAnsi="Tahoma" w:cs="Tahoma"/>
          <w:sz w:val="22"/>
          <w:szCs w:val="22"/>
        </w:rPr>
        <w:t xml:space="preserve">, </w:t>
      </w:r>
      <w:r w:rsidR="00C55682">
        <w:rPr>
          <w:rFonts w:ascii="Tahoma" w:hAnsi="Tahoma" w:cs="Tahoma"/>
          <w:sz w:val="22"/>
          <w:szCs w:val="22"/>
        </w:rPr>
        <w:t xml:space="preserve">pues </w:t>
      </w:r>
      <w:r w:rsidR="007C6201">
        <w:rPr>
          <w:rFonts w:ascii="Tahoma" w:hAnsi="Tahoma" w:cs="Tahoma"/>
          <w:sz w:val="22"/>
          <w:szCs w:val="22"/>
        </w:rPr>
        <w:t>c</w:t>
      </w:r>
      <w:r w:rsidR="007C6201" w:rsidRPr="007C6201">
        <w:rPr>
          <w:rFonts w:ascii="Tahoma" w:hAnsi="Tahoma" w:cs="Tahoma"/>
          <w:sz w:val="22"/>
          <w:szCs w:val="22"/>
        </w:rPr>
        <w:t>onsidero que en el presente caso</w:t>
      </w:r>
      <w:r w:rsidR="00C249DB">
        <w:rPr>
          <w:rFonts w:ascii="Tahoma" w:hAnsi="Tahoma" w:cs="Tahoma"/>
          <w:sz w:val="22"/>
          <w:szCs w:val="22"/>
        </w:rPr>
        <w:t xml:space="preserve"> no era procedente aplicar </w:t>
      </w:r>
      <w:r w:rsidR="00C249DB" w:rsidRPr="007C6201">
        <w:rPr>
          <w:rFonts w:ascii="Tahoma" w:hAnsi="Tahoma" w:cs="Tahoma"/>
          <w:sz w:val="22"/>
          <w:szCs w:val="22"/>
        </w:rPr>
        <w:t>la postura adoptada por la Sala de Casación Laboral de la Corte Suprema de Justicia en la sentencia SL 2358 del 25 de enero de 2017 (radicado 4</w:t>
      </w:r>
      <w:r w:rsidR="00C249DB">
        <w:rPr>
          <w:rFonts w:ascii="Tahoma" w:hAnsi="Tahoma" w:cs="Tahoma"/>
          <w:sz w:val="22"/>
          <w:szCs w:val="22"/>
        </w:rPr>
        <w:t>5262</w:t>
      </w:r>
      <w:r w:rsidR="00C249DB" w:rsidRPr="007C6201">
        <w:rPr>
          <w:rFonts w:ascii="Tahoma" w:hAnsi="Tahoma" w:cs="Tahoma"/>
          <w:sz w:val="22"/>
          <w:szCs w:val="22"/>
        </w:rPr>
        <w:t>)</w:t>
      </w:r>
      <w:r w:rsidR="00C249DB">
        <w:rPr>
          <w:rFonts w:ascii="Tahoma" w:hAnsi="Tahoma" w:cs="Tahoma"/>
          <w:sz w:val="22"/>
          <w:szCs w:val="22"/>
        </w:rPr>
        <w:t>, toda vez que la misma se pronunció exclusivamente frente al tránsito de la Ley 797 de 2003 a la Ley 100 de 1993, sin aludir en momento alguno</w:t>
      </w:r>
      <w:r w:rsidR="00FF5C91">
        <w:rPr>
          <w:rFonts w:ascii="Tahoma" w:hAnsi="Tahoma" w:cs="Tahoma"/>
          <w:sz w:val="22"/>
          <w:szCs w:val="22"/>
        </w:rPr>
        <w:t xml:space="preserve"> al que aplicó la Jueza de instancia para conceder la prestación, esto es, de la Ley 100 al Acuerdo 049 de 1990.</w:t>
      </w:r>
    </w:p>
    <w:p w:rsidR="00FF5C91" w:rsidRDefault="00FF5C91" w:rsidP="007C6201">
      <w:pPr>
        <w:spacing w:line="276" w:lineRule="auto"/>
        <w:ind w:firstLine="709"/>
        <w:jc w:val="both"/>
        <w:rPr>
          <w:rFonts w:ascii="Tahoma" w:hAnsi="Tahoma" w:cs="Tahoma"/>
          <w:sz w:val="22"/>
          <w:szCs w:val="22"/>
        </w:rPr>
      </w:pPr>
    </w:p>
    <w:p w:rsidR="006712C1" w:rsidRDefault="006A5462" w:rsidP="007C6201">
      <w:pPr>
        <w:spacing w:line="276" w:lineRule="auto"/>
        <w:ind w:firstLine="709"/>
        <w:jc w:val="both"/>
        <w:rPr>
          <w:rFonts w:ascii="Tahoma" w:hAnsi="Tahoma" w:cs="Tahoma"/>
          <w:sz w:val="22"/>
          <w:szCs w:val="22"/>
        </w:rPr>
      </w:pPr>
      <w:r>
        <w:rPr>
          <w:rFonts w:ascii="Tahoma" w:hAnsi="Tahoma" w:cs="Tahoma"/>
          <w:sz w:val="22"/>
          <w:szCs w:val="22"/>
        </w:rPr>
        <w:t xml:space="preserve">Es más, en la sentencia del </w:t>
      </w:r>
      <w:r w:rsidR="008E65E7">
        <w:rPr>
          <w:rFonts w:ascii="Tahoma" w:hAnsi="Tahoma" w:cs="Tahoma"/>
          <w:sz w:val="22"/>
          <w:szCs w:val="22"/>
        </w:rPr>
        <w:t>14 de julio de 2009 (radicado 36065</w:t>
      </w:r>
      <w:r w:rsidR="008E65E7">
        <w:rPr>
          <w:rStyle w:val="Refdenotaalpie"/>
          <w:rFonts w:ascii="Tahoma" w:hAnsi="Tahoma" w:cs="Tahoma"/>
          <w:sz w:val="22"/>
          <w:szCs w:val="22"/>
        </w:rPr>
        <w:footnoteReference w:id="1"/>
      </w:r>
      <w:r w:rsidR="008E65E7">
        <w:rPr>
          <w:rFonts w:ascii="Tahoma" w:hAnsi="Tahoma" w:cs="Tahoma"/>
          <w:sz w:val="22"/>
          <w:szCs w:val="22"/>
        </w:rPr>
        <w:t xml:space="preserve">), </w:t>
      </w:r>
      <w:r>
        <w:rPr>
          <w:rFonts w:ascii="Tahoma" w:hAnsi="Tahoma" w:cs="Tahoma"/>
          <w:sz w:val="22"/>
          <w:szCs w:val="22"/>
        </w:rPr>
        <w:t xml:space="preserve">la Corte </w:t>
      </w:r>
      <w:r w:rsidR="00FF5C91">
        <w:rPr>
          <w:rFonts w:ascii="Tahoma" w:hAnsi="Tahoma" w:cs="Tahoma"/>
          <w:sz w:val="22"/>
          <w:szCs w:val="22"/>
        </w:rPr>
        <w:t xml:space="preserve">Suprema </w:t>
      </w:r>
      <w:r>
        <w:rPr>
          <w:rFonts w:ascii="Tahoma" w:hAnsi="Tahoma" w:cs="Tahoma"/>
          <w:sz w:val="22"/>
          <w:szCs w:val="22"/>
        </w:rPr>
        <w:t>de Justicia, al acoger el principio de la condición más beneficiosa para pasar de la Ley 100 original al Acuerdo 049 de 1990 estableció un periodo de temporalidad pero sólo en el evento de que el afiliado no tuviere 300 semanas cotizadas antes del 1º de abril de 1994. En efecto, recuérdese que con el Acuerdo 049 existen dos posibilidades para causar la pensión de sobrevivientes o la pensión de invalidez</w:t>
      </w:r>
      <w:r w:rsidR="006712C1">
        <w:rPr>
          <w:rFonts w:ascii="Tahoma" w:hAnsi="Tahoma" w:cs="Tahoma"/>
          <w:sz w:val="22"/>
          <w:szCs w:val="22"/>
        </w:rPr>
        <w:t xml:space="preserve">, según el caso, a saber: a) Haber cotizado 300 semanas en cualquier tiempo antes del fallecimiento o a la situación de invalidez; b) Haber cotizado150 semanas en los 6 años anteriores al riesgo de muerte o invalidez. </w:t>
      </w:r>
    </w:p>
    <w:p w:rsidR="006712C1" w:rsidRDefault="006712C1" w:rsidP="007C6201">
      <w:pPr>
        <w:spacing w:line="276" w:lineRule="auto"/>
        <w:ind w:firstLine="709"/>
        <w:jc w:val="both"/>
        <w:rPr>
          <w:rFonts w:ascii="Tahoma" w:hAnsi="Tahoma" w:cs="Tahoma"/>
          <w:sz w:val="22"/>
          <w:szCs w:val="22"/>
        </w:rPr>
      </w:pPr>
    </w:p>
    <w:p w:rsidR="00FF5C91" w:rsidRDefault="006712C1" w:rsidP="007C6201">
      <w:pPr>
        <w:spacing w:line="276" w:lineRule="auto"/>
        <w:ind w:firstLine="709"/>
        <w:jc w:val="both"/>
        <w:rPr>
          <w:rFonts w:ascii="Tahoma" w:hAnsi="Tahoma" w:cs="Tahoma"/>
          <w:sz w:val="22"/>
          <w:szCs w:val="22"/>
        </w:rPr>
      </w:pPr>
      <w:r>
        <w:rPr>
          <w:rFonts w:ascii="Tahoma" w:hAnsi="Tahoma" w:cs="Tahoma"/>
          <w:sz w:val="22"/>
          <w:szCs w:val="22"/>
        </w:rPr>
        <w:t xml:space="preserve">Pues bien, la Corte Suprema no estableció temporalidad alguna para el primer evento y, en consecuencia, para aplicar el principio de la condición más beneficiosa en favor de quien no reunió los requisitos de la Ley 100 original, basta con probar la cotización de 300 semanas en cualquier época antes del 1º de abril de 1994. En cambio, para el segundo evento la Corte estableció que a efectos de aplicar el susodicho principio, el afiliado fallecido o invalido, </w:t>
      </w:r>
      <w:r w:rsidR="00C04E81">
        <w:rPr>
          <w:rFonts w:ascii="Tahoma" w:hAnsi="Tahoma" w:cs="Tahoma"/>
          <w:sz w:val="22"/>
          <w:szCs w:val="22"/>
        </w:rPr>
        <w:t>según el caso, tenía que haber cotizado 150 semanas en los 6 años anteriores al 1º de abril de 1994 y 150 semanas en los 6 años posteriores a esa fecha. De manera que en dicha posición jurisprudencial ya había un lineamiento temporal que hasta ahora no ha variado.</w:t>
      </w:r>
    </w:p>
    <w:p w:rsidR="00C04E81" w:rsidRDefault="00C04E81" w:rsidP="007C6201">
      <w:pPr>
        <w:spacing w:line="276" w:lineRule="auto"/>
        <w:ind w:firstLine="709"/>
        <w:jc w:val="both"/>
        <w:rPr>
          <w:rFonts w:ascii="Tahoma" w:hAnsi="Tahoma" w:cs="Tahoma"/>
          <w:sz w:val="22"/>
          <w:szCs w:val="22"/>
        </w:rPr>
      </w:pPr>
    </w:p>
    <w:p w:rsidR="00C04E81" w:rsidRDefault="00C95288" w:rsidP="007C6201">
      <w:pPr>
        <w:spacing w:line="276" w:lineRule="auto"/>
        <w:ind w:firstLine="709"/>
        <w:jc w:val="both"/>
        <w:rPr>
          <w:rFonts w:ascii="Tahoma" w:hAnsi="Tahoma" w:cs="Tahoma"/>
          <w:sz w:val="22"/>
          <w:szCs w:val="22"/>
        </w:rPr>
      </w:pPr>
      <w:r>
        <w:rPr>
          <w:rFonts w:ascii="Tahoma" w:hAnsi="Tahoma" w:cs="Tahoma"/>
          <w:sz w:val="22"/>
          <w:szCs w:val="22"/>
        </w:rPr>
        <w:t>Por lo tanto, no le correspondía a la Sala Mayoritaria, motu proprio, establecer otra suerte de temporalidad para la aplicación del principio de la condición más beneficiosa en el tránsito de la Ley 100 de original al Acuerdo 049 de 1990</w:t>
      </w:r>
      <w:r w:rsidR="00BE4B2A">
        <w:rPr>
          <w:rFonts w:ascii="Tahoma" w:hAnsi="Tahoma" w:cs="Tahoma"/>
          <w:sz w:val="22"/>
          <w:szCs w:val="22"/>
        </w:rPr>
        <w:t xml:space="preserve"> como se hizo en este caso, pues contradice el precedente jurisprudencial vertical y el propio precedente horizontal, como quiera que en innumerables sentencias, las cuales se pueden consultar en la página web de </w:t>
      </w:r>
      <w:r w:rsidR="00BE4B2A">
        <w:rPr>
          <w:rFonts w:ascii="Tahoma" w:hAnsi="Tahoma" w:cs="Tahoma"/>
          <w:sz w:val="22"/>
          <w:szCs w:val="22"/>
        </w:rPr>
        <w:lastRenderedPageBreak/>
        <w:t>esta Corporación, se concedió la pensión de sobrevivientes en aplicación del principio de la condición más beneficiosa, en asuntos similares al presente sin dicha limitación temporal.</w:t>
      </w:r>
    </w:p>
    <w:p w:rsidR="00BE4B2A" w:rsidRDefault="00BE4B2A" w:rsidP="007C6201">
      <w:pPr>
        <w:spacing w:line="276" w:lineRule="auto"/>
        <w:ind w:firstLine="709"/>
        <w:jc w:val="both"/>
        <w:rPr>
          <w:rFonts w:ascii="Tahoma" w:hAnsi="Tahoma" w:cs="Tahoma"/>
          <w:sz w:val="22"/>
          <w:szCs w:val="22"/>
        </w:rPr>
      </w:pPr>
    </w:p>
    <w:p w:rsidR="00BE4B2A" w:rsidRDefault="00BE4B2A" w:rsidP="007C6201">
      <w:pPr>
        <w:spacing w:line="276" w:lineRule="auto"/>
        <w:ind w:firstLine="709"/>
        <w:jc w:val="both"/>
        <w:rPr>
          <w:rFonts w:ascii="Tahoma" w:hAnsi="Tahoma" w:cs="Tahoma"/>
          <w:sz w:val="22"/>
          <w:szCs w:val="22"/>
        </w:rPr>
      </w:pPr>
      <w:r>
        <w:rPr>
          <w:rFonts w:ascii="Tahoma" w:hAnsi="Tahoma" w:cs="Tahoma"/>
          <w:sz w:val="22"/>
          <w:szCs w:val="22"/>
        </w:rPr>
        <w:t xml:space="preserve">Ahora, si bien en la </w:t>
      </w:r>
      <w:r w:rsidRPr="00A7073F">
        <w:rPr>
          <w:rFonts w:ascii="Tahoma" w:hAnsi="Tahoma" w:cs="Tahoma"/>
          <w:i/>
          <w:sz w:val="22"/>
          <w:szCs w:val="22"/>
        </w:rPr>
        <w:t xml:space="preserve">ratio </w:t>
      </w:r>
      <w:proofErr w:type="spellStart"/>
      <w:r w:rsidRPr="00A7073F">
        <w:rPr>
          <w:rFonts w:ascii="Tahoma" w:hAnsi="Tahoma" w:cs="Tahoma"/>
          <w:i/>
          <w:sz w:val="22"/>
          <w:szCs w:val="22"/>
        </w:rPr>
        <w:t>decidendi</w:t>
      </w:r>
      <w:proofErr w:type="spellEnd"/>
      <w:r>
        <w:rPr>
          <w:rFonts w:ascii="Tahoma" w:hAnsi="Tahoma" w:cs="Tahoma"/>
          <w:sz w:val="22"/>
          <w:szCs w:val="22"/>
        </w:rPr>
        <w:t xml:space="preserve"> se dice que la nueva tesis de la Corte Suprema (que, se itera, se dio frente a la Ley 797 de 2003) puede válidamente aplicarse a normas más antiguas </w:t>
      </w:r>
      <w:r w:rsidR="00A7073F">
        <w:rPr>
          <w:rFonts w:ascii="Tahoma" w:hAnsi="Tahoma" w:cs="Tahoma"/>
          <w:sz w:val="22"/>
          <w:szCs w:val="22"/>
        </w:rPr>
        <w:t>como la Ley 100 original, dicha intelección adolece de 3 errores constitucionales:</w:t>
      </w:r>
    </w:p>
    <w:p w:rsidR="00A7073F" w:rsidRDefault="00A7073F" w:rsidP="007C6201">
      <w:pPr>
        <w:spacing w:line="276" w:lineRule="auto"/>
        <w:ind w:firstLine="709"/>
        <w:jc w:val="both"/>
        <w:rPr>
          <w:rFonts w:ascii="Tahoma" w:hAnsi="Tahoma" w:cs="Tahoma"/>
          <w:sz w:val="22"/>
          <w:szCs w:val="22"/>
        </w:rPr>
      </w:pPr>
    </w:p>
    <w:p w:rsid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 xml:space="preserve">Motu proprio se estableció una temporalidad de un (1) año, cuando en la tesis de la Corte Suprema se habla de 3 años, sin que existan razones de peso para ese cambio de precedente, con lo cual se viola el derecho a la igualdad; </w:t>
      </w:r>
    </w:p>
    <w:p w:rsidR="008E65E7" w:rsidRDefault="008E65E7" w:rsidP="008E65E7">
      <w:pPr>
        <w:pStyle w:val="Prrafodelista"/>
        <w:spacing w:line="276" w:lineRule="auto"/>
        <w:ind w:left="1069"/>
        <w:jc w:val="both"/>
        <w:rPr>
          <w:rFonts w:ascii="Tahoma" w:hAnsi="Tahoma" w:cs="Tahoma"/>
          <w:sz w:val="22"/>
          <w:szCs w:val="22"/>
        </w:rPr>
      </w:pPr>
    </w:p>
    <w:p w:rsid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Desconoce la temporalidad que ya la Corte había establecido para la Ley 100 original y,</w:t>
      </w:r>
    </w:p>
    <w:p w:rsidR="008E65E7" w:rsidRPr="008E65E7" w:rsidRDefault="008E65E7" w:rsidP="008E65E7">
      <w:pPr>
        <w:pStyle w:val="Prrafodelista"/>
        <w:rPr>
          <w:rFonts w:ascii="Tahoma" w:hAnsi="Tahoma" w:cs="Tahoma"/>
          <w:sz w:val="22"/>
          <w:szCs w:val="22"/>
        </w:rPr>
      </w:pPr>
    </w:p>
    <w:p w:rsidR="00A7073F" w:rsidRP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 xml:space="preserve">Viola el principio pro </w:t>
      </w:r>
      <w:r w:rsidR="008E65E7">
        <w:rPr>
          <w:rFonts w:ascii="Tahoma" w:hAnsi="Tahoma" w:cs="Tahoma"/>
          <w:sz w:val="22"/>
          <w:szCs w:val="22"/>
        </w:rPr>
        <w:t xml:space="preserve">operario, pues acogió </w:t>
      </w:r>
      <w:r w:rsidR="0094676E">
        <w:rPr>
          <w:rFonts w:ascii="Tahoma" w:hAnsi="Tahoma" w:cs="Tahoma"/>
          <w:sz w:val="22"/>
          <w:szCs w:val="22"/>
        </w:rPr>
        <w:t xml:space="preserve">la interpretación </w:t>
      </w:r>
      <w:r w:rsidR="008E65E7">
        <w:rPr>
          <w:rFonts w:ascii="Tahoma" w:hAnsi="Tahoma" w:cs="Tahoma"/>
          <w:sz w:val="22"/>
          <w:szCs w:val="22"/>
        </w:rPr>
        <w:t xml:space="preserve">más restringida cuando debió ser al revés. </w:t>
      </w:r>
    </w:p>
    <w:p w:rsidR="00264A90" w:rsidRDefault="00264A90" w:rsidP="007C6201">
      <w:pPr>
        <w:spacing w:line="276" w:lineRule="auto"/>
        <w:ind w:firstLine="709"/>
        <w:jc w:val="both"/>
        <w:rPr>
          <w:rFonts w:ascii="Tahoma" w:hAnsi="Tahoma" w:cs="Tahoma"/>
          <w:sz w:val="22"/>
          <w:szCs w:val="22"/>
        </w:rPr>
      </w:pPr>
    </w:p>
    <w:p w:rsidR="000D122E" w:rsidRDefault="000D122E" w:rsidP="007C6201">
      <w:pPr>
        <w:spacing w:line="276" w:lineRule="auto"/>
        <w:ind w:firstLine="709"/>
        <w:jc w:val="both"/>
        <w:rPr>
          <w:rFonts w:ascii="Tahoma" w:hAnsi="Tahoma" w:cs="Tahoma"/>
          <w:sz w:val="22"/>
          <w:szCs w:val="22"/>
        </w:rPr>
      </w:pPr>
      <w:r>
        <w:rPr>
          <w:rFonts w:ascii="Tahoma" w:hAnsi="Tahoma" w:cs="Tahoma"/>
          <w:sz w:val="22"/>
          <w:szCs w:val="22"/>
        </w:rPr>
        <w:t>En virtud de lo anterior, consider</w:t>
      </w:r>
      <w:r w:rsidR="006A5462">
        <w:rPr>
          <w:rFonts w:ascii="Tahoma" w:hAnsi="Tahoma" w:cs="Tahoma"/>
          <w:sz w:val="22"/>
          <w:szCs w:val="22"/>
        </w:rPr>
        <w:t>o</w:t>
      </w:r>
      <w:r>
        <w:rPr>
          <w:rFonts w:ascii="Tahoma" w:hAnsi="Tahoma" w:cs="Tahoma"/>
          <w:sz w:val="22"/>
          <w:szCs w:val="22"/>
        </w:rPr>
        <w:t xml:space="preserve"> que la sentencia de primera instancia debió ser confirmada.</w:t>
      </w:r>
    </w:p>
    <w:p w:rsidR="000D122E" w:rsidRPr="007C6201" w:rsidRDefault="000D122E" w:rsidP="007C6201">
      <w:pPr>
        <w:spacing w:line="276" w:lineRule="auto"/>
        <w:ind w:firstLine="709"/>
        <w:jc w:val="both"/>
        <w:rPr>
          <w:rFonts w:ascii="Tahoma" w:hAnsi="Tahoma" w:cs="Tahoma"/>
          <w:sz w:val="22"/>
          <w:szCs w:val="22"/>
        </w:rPr>
      </w:pPr>
    </w:p>
    <w:p w:rsidR="008F2D96" w:rsidRPr="007C6201" w:rsidRDefault="00F9458A" w:rsidP="007C6201">
      <w:pPr>
        <w:pStyle w:val="Textoindependiente"/>
        <w:spacing w:line="276" w:lineRule="auto"/>
        <w:ind w:firstLine="709"/>
        <w:rPr>
          <w:rFonts w:ascii="Tahoma" w:hAnsi="Tahoma" w:cs="Tahoma"/>
          <w:sz w:val="22"/>
          <w:szCs w:val="22"/>
          <w:lang w:val="es-ES"/>
        </w:rPr>
      </w:pPr>
      <w:r w:rsidRPr="007C6201">
        <w:rPr>
          <w:rFonts w:ascii="Tahoma" w:hAnsi="Tahoma" w:cs="Tahoma"/>
          <w:sz w:val="22"/>
          <w:szCs w:val="22"/>
          <w:lang w:val="es-ES"/>
        </w:rPr>
        <w:t>En estos</w:t>
      </w:r>
      <w:r w:rsidR="004208BE" w:rsidRPr="007C6201">
        <w:rPr>
          <w:rFonts w:ascii="Tahoma" w:hAnsi="Tahoma" w:cs="Tahoma"/>
          <w:sz w:val="22"/>
          <w:szCs w:val="22"/>
          <w:lang w:val="es-ES"/>
        </w:rPr>
        <w:t xml:space="preserve"> </w:t>
      </w:r>
      <w:r w:rsidR="008F2D96" w:rsidRPr="007C6201">
        <w:rPr>
          <w:rFonts w:ascii="Tahoma" w:hAnsi="Tahoma" w:cs="Tahoma"/>
          <w:sz w:val="22"/>
          <w:szCs w:val="22"/>
          <w:lang w:val="es-ES"/>
        </w:rPr>
        <w:t>términos sustento mi salvamento</w:t>
      </w:r>
      <w:r w:rsidR="00756D08" w:rsidRPr="007C6201">
        <w:rPr>
          <w:rFonts w:ascii="Tahoma" w:hAnsi="Tahoma" w:cs="Tahoma"/>
          <w:sz w:val="22"/>
          <w:szCs w:val="22"/>
          <w:lang w:val="es-ES"/>
        </w:rPr>
        <w:t xml:space="preserve"> </w:t>
      </w:r>
      <w:r w:rsidR="008F2D96" w:rsidRPr="007C6201">
        <w:rPr>
          <w:rFonts w:ascii="Tahoma" w:hAnsi="Tahoma" w:cs="Tahoma"/>
          <w:sz w:val="22"/>
          <w:szCs w:val="22"/>
          <w:lang w:val="es-ES"/>
        </w:rPr>
        <w:t>de voto.</w:t>
      </w:r>
    </w:p>
    <w:p w:rsidR="008F2D96" w:rsidRPr="007C6201" w:rsidRDefault="008F2D96" w:rsidP="007C6201">
      <w:pPr>
        <w:pStyle w:val="Textoindependiente"/>
        <w:autoSpaceDE/>
        <w:autoSpaceDN/>
        <w:adjustRightInd/>
        <w:spacing w:line="276" w:lineRule="auto"/>
        <w:ind w:firstLine="709"/>
        <w:rPr>
          <w:rFonts w:ascii="Tahoma" w:hAnsi="Tahoma" w:cs="Tahoma"/>
          <w:sz w:val="22"/>
          <w:szCs w:val="22"/>
          <w:lang w:val="es-ES"/>
        </w:rPr>
      </w:pPr>
    </w:p>
    <w:p w:rsidR="00344350" w:rsidRDefault="00344350" w:rsidP="007C6201">
      <w:pPr>
        <w:widowControl w:val="0"/>
        <w:autoSpaceDE w:val="0"/>
        <w:autoSpaceDN w:val="0"/>
        <w:adjustRightInd w:val="0"/>
        <w:spacing w:line="276" w:lineRule="auto"/>
        <w:ind w:firstLine="709"/>
        <w:jc w:val="both"/>
        <w:rPr>
          <w:rFonts w:ascii="Tahoma" w:hAnsi="Tahoma" w:cs="Tahoma"/>
          <w:sz w:val="22"/>
          <w:szCs w:val="22"/>
        </w:rPr>
      </w:pPr>
    </w:p>
    <w:p w:rsidR="00DB102C" w:rsidRDefault="00DB102C" w:rsidP="007C6201">
      <w:pPr>
        <w:widowControl w:val="0"/>
        <w:autoSpaceDE w:val="0"/>
        <w:autoSpaceDN w:val="0"/>
        <w:adjustRightInd w:val="0"/>
        <w:spacing w:line="276" w:lineRule="auto"/>
        <w:ind w:firstLine="709"/>
        <w:jc w:val="both"/>
        <w:rPr>
          <w:rFonts w:ascii="Tahoma" w:hAnsi="Tahoma" w:cs="Tahoma"/>
          <w:sz w:val="22"/>
          <w:szCs w:val="22"/>
        </w:rPr>
      </w:pPr>
    </w:p>
    <w:p w:rsidR="00262823" w:rsidRPr="007C6201" w:rsidRDefault="00262823"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pStyle w:val="Ttulo3"/>
        <w:spacing w:line="276" w:lineRule="auto"/>
        <w:ind w:firstLine="709"/>
        <w:rPr>
          <w:rFonts w:ascii="Tahoma" w:hAnsi="Tahoma" w:cs="Tahoma"/>
          <w:sz w:val="22"/>
          <w:szCs w:val="22"/>
        </w:rPr>
      </w:pPr>
      <w:r w:rsidRPr="007C6201">
        <w:rPr>
          <w:rFonts w:ascii="Tahoma" w:hAnsi="Tahoma" w:cs="Tahoma"/>
          <w:sz w:val="22"/>
          <w:szCs w:val="22"/>
        </w:rPr>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89" w:rsidRDefault="00D55089">
      <w:r>
        <w:separator/>
      </w:r>
    </w:p>
  </w:endnote>
  <w:endnote w:type="continuationSeparator" w:id="0">
    <w:p w:rsidR="00D55089" w:rsidRDefault="00D5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D550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7D5B">
      <w:rPr>
        <w:rStyle w:val="Nmerodepgina"/>
        <w:noProof/>
      </w:rPr>
      <w:t>2</w:t>
    </w:r>
    <w:r>
      <w:rPr>
        <w:rStyle w:val="Nmerodepgina"/>
      </w:rPr>
      <w:fldChar w:fldCharType="end"/>
    </w:r>
  </w:p>
  <w:p w:rsidR="00F0306B" w:rsidRDefault="00D550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89" w:rsidRDefault="00D55089">
      <w:r>
        <w:separator/>
      </w:r>
    </w:p>
  </w:footnote>
  <w:footnote w:type="continuationSeparator" w:id="0">
    <w:p w:rsidR="00D55089" w:rsidRDefault="00D55089">
      <w:r>
        <w:continuationSeparator/>
      </w:r>
    </w:p>
  </w:footnote>
  <w:footnote w:id="1">
    <w:p w:rsidR="008E65E7" w:rsidRPr="008E65E7" w:rsidRDefault="008E65E7">
      <w:pPr>
        <w:pStyle w:val="Textonotapie"/>
        <w:rPr>
          <w:lang w:val="es-CO"/>
        </w:rPr>
      </w:pPr>
      <w:r>
        <w:rPr>
          <w:rStyle w:val="Refdenotaalpie"/>
        </w:rPr>
        <w:footnoteRef/>
      </w:r>
      <w:r>
        <w:t xml:space="preserve"> </w:t>
      </w:r>
      <w:r w:rsidRPr="008E65E7">
        <w:rPr>
          <w:sz w:val="16"/>
          <w:szCs w:val="16"/>
        </w:rPr>
        <w:t>Magistrado ponente</w:t>
      </w:r>
      <w:r>
        <w:rPr>
          <w:sz w:val="16"/>
          <w:szCs w:val="16"/>
        </w:rPr>
        <w:t xml:space="preserve"> </w:t>
      </w:r>
      <w:r w:rsidRPr="008E65E7">
        <w:rPr>
          <w:sz w:val="16"/>
          <w:szCs w:val="16"/>
        </w:rPr>
        <w:t xml:space="preserve">Gustavo José </w:t>
      </w:r>
      <w:proofErr w:type="spellStart"/>
      <w:r w:rsidRPr="008E65E7">
        <w:rPr>
          <w:sz w:val="16"/>
          <w:szCs w:val="16"/>
        </w:rPr>
        <w:t>Gnecco</w:t>
      </w:r>
      <w:proofErr w:type="spellEnd"/>
      <w:r w:rsidRPr="008E65E7">
        <w:rPr>
          <w:sz w:val="16"/>
          <w:szCs w:val="16"/>
        </w:rPr>
        <w:t xml:space="preserve"> Mendoza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35D72FB3"/>
    <w:multiLevelType w:val="hybridMultilevel"/>
    <w:tmpl w:val="4F584014"/>
    <w:lvl w:ilvl="0" w:tplc="5F2EEF5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nsid w:val="7C2A1F1D"/>
    <w:multiLevelType w:val="hybridMultilevel"/>
    <w:tmpl w:val="E7786998"/>
    <w:lvl w:ilvl="0" w:tplc="2DEAC728">
      <w:start w:val="1"/>
      <w:numFmt w:val="decimal"/>
      <w:lvlText w:val="%1."/>
      <w:lvlJc w:val="left"/>
      <w:pPr>
        <w:ind w:left="1108" w:hanging="360"/>
      </w:pPr>
      <w:rPr>
        <w:rFonts w:hint="default"/>
      </w:rPr>
    </w:lvl>
    <w:lvl w:ilvl="1" w:tplc="0C0A0019">
      <w:start w:val="1"/>
      <w:numFmt w:val="lowerLetter"/>
      <w:lvlText w:val="%2."/>
      <w:lvlJc w:val="left"/>
      <w:pPr>
        <w:ind w:left="1828" w:hanging="360"/>
      </w:pPr>
    </w:lvl>
    <w:lvl w:ilvl="2" w:tplc="0C0A001B" w:tentative="1">
      <w:start w:val="1"/>
      <w:numFmt w:val="lowerRoman"/>
      <w:lvlText w:val="%3."/>
      <w:lvlJc w:val="right"/>
      <w:pPr>
        <w:ind w:left="2548" w:hanging="180"/>
      </w:pPr>
    </w:lvl>
    <w:lvl w:ilvl="3" w:tplc="0C0A000F" w:tentative="1">
      <w:start w:val="1"/>
      <w:numFmt w:val="decimal"/>
      <w:lvlText w:val="%4."/>
      <w:lvlJc w:val="left"/>
      <w:pPr>
        <w:ind w:left="3268" w:hanging="360"/>
      </w:pPr>
    </w:lvl>
    <w:lvl w:ilvl="4" w:tplc="0C0A0019" w:tentative="1">
      <w:start w:val="1"/>
      <w:numFmt w:val="lowerLetter"/>
      <w:lvlText w:val="%5."/>
      <w:lvlJc w:val="left"/>
      <w:pPr>
        <w:ind w:left="3988" w:hanging="360"/>
      </w:pPr>
    </w:lvl>
    <w:lvl w:ilvl="5" w:tplc="0C0A001B" w:tentative="1">
      <w:start w:val="1"/>
      <w:numFmt w:val="lowerRoman"/>
      <w:lvlText w:val="%6."/>
      <w:lvlJc w:val="right"/>
      <w:pPr>
        <w:ind w:left="4708" w:hanging="180"/>
      </w:pPr>
    </w:lvl>
    <w:lvl w:ilvl="6" w:tplc="0C0A000F" w:tentative="1">
      <w:start w:val="1"/>
      <w:numFmt w:val="decimal"/>
      <w:lvlText w:val="%7."/>
      <w:lvlJc w:val="left"/>
      <w:pPr>
        <w:ind w:left="5428" w:hanging="360"/>
      </w:pPr>
    </w:lvl>
    <w:lvl w:ilvl="7" w:tplc="0C0A0019" w:tentative="1">
      <w:start w:val="1"/>
      <w:numFmt w:val="lowerLetter"/>
      <w:lvlText w:val="%8."/>
      <w:lvlJc w:val="left"/>
      <w:pPr>
        <w:ind w:left="6148" w:hanging="360"/>
      </w:pPr>
    </w:lvl>
    <w:lvl w:ilvl="8" w:tplc="0C0A001B" w:tentative="1">
      <w:start w:val="1"/>
      <w:numFmt w:val="lowerRoman"/>
      <w:lvlText w:val="%9."/>
      <w:lvlJc w:val="right"/>
      <w:pPr>
        <w:ind w:left="6868"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46E5F"/>
    <w:rsid w:val="000D122E"/>
    <w:rsid w:val="000D2162"/>
    <w:rsid w:val="000D4908"/>
    <w:rsid w:val="00131AD3"/>
    <w:rsid w:val="00151F61"/>
    <w:rsid w:val="00262823"/>
    <w:rsid w:val="00264A90"/>
    <w:rsid w:val="002E6083"/>
    <w:rsid w:val="00342326"/>
    <w:rsid w:val="00344350"/>
    <w:rsid w:val="00347152"/>
    <w:rsid w:val="00371E6A"/>
    <w:rsid w:val="00380143"/>
    <w:rsid w:val="004208BE"/>
    <w:rsid w:val="004213A7"/>
    <w:rsid w:val="00440E98"/>
    <w:rsid w:val="004634CD"/>
    <w:rsid w:val="004E3A76"/>
    <w:rsid w:val="00521F8D"/>
    <w:rsid w:val="0055223C"/>
    <w:rsid w:val="00573265"/>
    <w:rsid w:val="005A51BF"/>
    <w:rsid w:val="006437E3"/>
    <w:rsid w:val="006712C1"/>
    <w:rsid w:val="00692C42"/>
    <w:rsid w:val="006A5462"/>
    <w:rsid w:val="006D6D7C"/>
    <w:rsid w:val="006E285D"/>
    <w:rsid w:val="00714061"/>
    <w:rsid w:val="00721756"/>
    <w:rsid w:val="00756D08"/>
    <w:rsid w:val="00792FA9"/>
    <w:rsid w:val="007A1DFB"/>
    <w:rsid w:val="007C6201"/>
    <w:rsid w:val="007E5E88"/>
    <w:rsid w:val="0084707C"/>
    <w:rsid w:val="0089179B"/>
    <w:rsid w:val="008B4BD9"/>
    <w:rsid w:val="008E65E7"/>
    <w:rsid w:val="008F2D96"/>
    <w:rsid w:val="009119E0"/>
    <w:rsid w:val="00940A76"/>
    <w:rsid w:val="00941F67"/>
    <w:rsid w:val="0094676E"/>
    <w:rsid w:val="00963A10"/>
    <w:rsid w:val="00972239"/>
    <w:rsid w:val="0099090E"/>
    <w:rsid w:val="009C2F50"/>
    <w:rsid w:val="009F4F99"/>
    <w:rsid w:val="00A462A2"/>
    <w:rsid w:val="00A6571B"/>
    <w:rsid w:val="00A7073F"/>
    <w:rsid w:val="00AF0F47"/>
    <w:rsid w:val="00B37A3B"/>
    <w:rsid w:val="00B54081"/>
    <w:rsid w:val="00B97D7F"/>
    <w:rsid w:val="00BC578E"/>
    <w:rsid w:val="00BE4B2A"/>
    <w:rsid w:val="00C01A75"/>
    <w:rsid w:val="00C04E81"/>
    <w:rsid w:val="00C249DB"/>
    <w:rsid w:val="00C55682"/>
    <w:rsid w:val="00C82567"/>
    <w:rsid w:val="00C95288"/>
    <w:rsid w:val="00CC29D0"/>
    <w:rsid w:val="00CD7D5B"/>
    <w:rsid w:val="00CE651D"/>
    <w:rsid w:val="00CE6C1D"/>
    <w:rsid w:val="00D04492"/>
    <w:rsid w:val="00D0563A"/>
    <w:rsid w:val="00D1601F"/>
    <w:rsid w:val="00D24DC4"/>
    <w:rsid w:val="00D55089"/>
    <w:rsid w:val="00D60231"/>
    <w:rsid w:val="00D604F7"/>
    <w:rsid w:val="00D62D12"/>
    <w:rsid w:val="00DB102C"/>
    <w:rsid w:val="00DB18DF"/>
    <w:rsid w:val="00DB4674"/>
    <w:rsid w:val="00DD30EF"/>
    <w:rsid w:val="00DD7149"/>
    <w:rsid w:val="00DF032A"/>
    <w:rsid w:val="00E33B5B"/>
    <w:rsid w:val="00E709F2"/>
    <w:rsid w:val="00EC63E3"/>
    <w:rsid w:val="00F74BEC"/>
    <w:rsid w:val="00F77521"/>
    <w:rsid w:val="00F9458A"/>
    <w:rsid w:val="00FF0A79"/>
    <w:rsid w:val="00FF5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F9458A"/>
    <w:rPr>
      <w:lang w:val="es-ES_tradnl"/>
    </w:rPr>
  </w:style>
  <w:style w:type="paragraph" w:customStyle="1" w:styleId="Textoindependiente21">
    <w:name w:val="Texto independiente 21"/>
    <w:basedOn w:val="Normal"/>
    <w:link w:val="BodyText2Car1"/>
    <w:uiPriority w:val="99"/>
    <w:rsid w:val="00714061"/>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14061"/>
    <w:rPr>
      <w:rFonts w:ascii="Arial Narrow" w:eastAsia="Times New Roman" w:hAnsi="Arial Narrow" w:cs="Arial Narrow"/>
      <w:sz w:val="30"/>
      <w:szCs w:val="30"/>
      <w:lang w:val="es-CO" w:eastAsia="es-ES"/>
    </w:rPr>
  </w:style>
  <w:style w:type="character" w:styleId="Refdenotaalpie">
    <w:name w:val="footnote reference"/>
    <w:rsid w:val="00714061"/>
    <w:rPr>
      <w:vertAlign w:val="superscript"/>
    </w:rPr>
  </w:style>
  <w:style w:type="paragraph" w:styleId="Textonotapie">
    <w:name w:val="footnote text"/>
    <w:basedOn w:val="Normal"/>
    <w:link w:val="TextonotapieCar"/>
    <w:rsid w:val="00714061"/>
    <w:rPr>
      <w:sz w:val="20"/>
      <w:szCs w:val="20"/>
    </w:rPr>
  </w:style>
  <w:style w:type="character" w:customStyle="1" w:styleId="TextonotapieCar">
    <w:name w:val="Texto nota pie Car"/>
    <w:basedOn w:val="Fuentedeprrafopredeter"/>
    <w:link w:val="Textonotapie"/>
    <w:rsid w:val="007140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966E-0F77-49B0-B271-21E47AC3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29</cp:revision>
  <cp:lastPrinted>2017-09-11T14:00:00Z</cp:lastPrinted>
  <dcterms:created xsi:type="dcterms:W3CDTF">2017-03-06T19:53:00Z</dcterms:created>
  <dcterms:modified xsi:type="dcterms:W3CDTF">2017-11-08T16:34:00Z</dcterms:modified>
</cp:coreProperties>
</file>