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rsidR="003A3BBB" w:rsidRPr="00EA3EFB" w:rsidRDefault="003A3BBB" w:rsidP="00E41882">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EA3EFB">
        <w:rPr>
          <w:rFonts w:ascii="Arial Narrow" w:hAnsi="Arial Narrow" w:cs="Tahoma"/>
          <w:b w:val="0"/>
          <w:sz w:val="18"/>
          <w:szCs w:val="18"/>
        </w:rPr>
        <w:t xml:space="preserve">El contenido total y fiel de la decisión debe ser verificado en el audio que reposa en la Secretaría. </w:t>
      </w:r>
    </w:p>
    <w:p w:rsidR="003A3BBB" w:rsidRPr="00EA3EFB" w:rsidRDefault="003A3BBB" w:rsidP="00E41882">
      <w:pPr>
        <w:pStyle w:val="Puesto"/>
        <w:spacing w:line="240" w:lineRule="auto"/>
        <w:jc w:val="both"/>
        <w:rPr>
          <w:rFonts w:ascii="Tahoma" w:hAnsi="Tahoma" w:cs="Tahoma"/>
          <w:sz w:val="18"/>
          <w:szCs w:val="18"/>
        </w:rPr>
      </w:pP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4603F1">
        <w:rPr>
          <w:rFonts w:ascii="Tahoma" w:hAnsi="Tahoma" w:cs="Tahoma"/>
          <w:b w:val="0"/>
          <w:bCs/>
          <w:sz w:val="18"/>
          <w:szCs w:val="18"/>
        </w:rPr>
        <w:t>2</w:t>
      </w:r>
      <w:r w:rsidR="00BE36DD">
        <w:rPr>
          <w:rFonts w:ascii="Tahoma" w:hAnsi="Tahoma" w:cs="Tahoma"/>
          <w:b w:val="0"/>
          <w:bCs/>
          <w:sz w:val="18"/>
          <w:szCs w:val="18"/>
        </w:rPr>
        <w:t>0</w:t>
      </w:r>
      <w:r w:rsidR="004603F1">
        <w:rPr>
          <w:rFonts w:ascii="Tahoma" w:hAnsi="Tahoma" w:cs="Tahoma"/>
          <w:b w:val="0"/>
          <w:bCs/>
          <w:sz w:val="18"/>
          <w:szCs w:val="18"/>
        </w:rPr>
        <w:t xml:space="preserve"> </w:t>
      </w:r>
      <w:r w:rsidR="00835297">
        <w:rPr>
          <w:rFonts w:ascii="Tahoma" w:hAnsi="Tahoma" w:cs="Tahoma"/>
          <w:b w:val="0"/>
          <w:bCs/>
          <w:sz w:val="18"/>
          <w:szCs w:val="18"/>
        </w:rPr>
        <w:t>de octubre</w:t>
      </w:r>
      <w:r w:rsidR="00184CF8" w:rsidRPr="00EA3EFB">
        <w:rPr>
          <w:rFonts w:ascii="Tahoma" w:hAnsi="Tahoma" w:cs="Tahoma"/>
          <w:b w:val="0"/>
          <w:bCs/>
          <w:sz w:val="18"/>
          <w:szCs w:val="18"/>
        </w:rPr>
        <w:t xml:space="preserve"> de 2017</w:t>
      </w:r>
      <w:r w:rsidR="002129EF" w:rsidRPr="00EA3EFB">
        <w:rPr>
          <w:rFonts w:ascii="Tahoma" w:hAnsi="Tahoma" w:cs="Tahoma"/>
          <w:b w:val="0"/>
          <w:bCs/>
          <w:sz w:val="18"/>
          <w:szCs w:val="18"/>
        </w:rPr>
        <w:t xml:space="preserve">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w:t>
      </w:r>
      <w:r w:rsidR="004603F1">
        <w:rPr>
          <w:rFonts w:ascii="Tahoma" w:hAnsi="Tahoma" w:cs="Tahoma"/>
          <w:b w:val="0"/>
          <w:sz w:val="18"/>
          <w:szCs w:val="18"/>
        </w:rPr>
        <w:t>001</w:t>
      </w:r>
      <w:r w:rsidRPr="00EA3EFB">
        <w:rPr>
          <w:rFonts w:ascii="Tahoma" w:hAnsi="Tahoma" w:cs="Tahoma"/>
          <w:b w:val="0"/>
          <w:sz w:val="18"/>
          <w:szCs w:val="18"/>
        </w:rPr>
        <w:t>-31-</w:t>
      </w:r>
      <w:r w:rsidR="004603F1">
        <w:rPr>
          <w:rFonts w:ascii="Tahoma" w:hAnsi="Tahoma" w:cs="Tahoma"/>
          <w:b w:val="0"/>
          <w:sz w:val="18"/>
          <w:szCs w:val="18"/>
        </w:rPr>
        <w:t>05</w:t>
      </w:r>
      <w:r w:rsidRPr="00EA3EFB">
        <w:rPr>
          <w:rFonts w:ascii="Tahoma" w:hAnsi="Tahoma" w:cs="Tahoma"/>
          <w:b w:val="0"/>
          <w:sz w:val="18"/>
          <w:szCs w:val="18"/>
        </w:rPr>
        <w:t>-00</w:t>
      </w:r>
      <w:r w:rsidR="00451A93">
        <w:rPr>
          <w:rFonts w:ascii="Tahoma" w:hAnsi="Tahoma" w:cs="Tahoma"/>
          <w:b w:val="0"/>
          <w:sz w:val="18"/>
          <w:szCs w:val="18"/>
        </w:rPr>
        <w:t>4</w:t>
      </w:r>
      <w:r w:rsidRPr="00EA3EFB">
        <w:rPr>
          <w:rFonts w:ascii="Tahoma" w:hAnsi="Tahoma" w:cs="Tahoma"/>
          <w:b w:val="0"/>
          <w:sz w:val="18"/>
          <w:szCs w:val="18"/>
        </w:rPr>
        <w:t>-201</w:t>
      </w:r>
      <w:r w:rsidR="00451A93">
        <w:rPr>
          <w:rFonts w:ascii="Tahoma" w:hAnsi="Tahoma" w:cs="Tahoma"/>
          <w:b w:val="0"/>
          <w:sz w:val="18"/>
          <w:szCs w:val="18"/>
        </w:rPr>
        <w:t>6</w:t>
      </w:r>
      <w:r w:rsidRPr="00EA3EFB">
        <w:rPr>
          <w:rFonts w:ascii="Tahoma" w:hAnsi="Tahoma" w:cs="Tahoma"/>
          <w:b w:val="0"/>
          <w:sz w:val="18"/>
          <w:szCs w:val="18"/>
        </w:rPr>
        <w:t>-00</w:t>
      </w:r>
      <w:r w:rsidR="00107AB5">
        <w:rPr>
          <w:rFonts w:ascii="Tahoma" w:hAnsi="Tahoma" w:cs="Tahoma"/>
          <w:b w:val="0"/>
          <w:sz w:val="18"/>
          <w:szCs w:val="18"/>
        </w:rPr>
        <w:t>1</w:t>
      </w:r>
      <w:r w:rsidR="00451A93">
        <w:rPr>
          <w:rFonts w:ascii="Tahoma" w:hAnsi="Tahoma" w:cs="Tahoma"/>
          <w:b w:val="0"/>
          <w:sz w:val="18"/>
          <w:szCs w:val="18"/>
        </w:rPr>
        <w:t>90</w:t>
      </w:r>
      <w:r w:rsidRPr="00EA3EFB">
        <w:rPr>
          <w:rFonts w:ascii="Tahoma" w:hAnsi="Tahoma" w:cs="Tahoma"/>
          <w:b w:val="0"/>
          <w:sz w:val="18"/>
          <w:szCs w:val="18"/>
        </w:rPr>
        <w:t>-01</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451A93">
        <w:rPr>
          <w:rFonts w:ascii="Tahoma" w:hAnsi="Tahoma" w:cs="Tahoma"/>
          <w:b w:val="0"/>
          <w:sz w:val="18"/>
          <w:szCs w:val="18"/>
        </w:rPr>
        <w:t xml:space="preserve">Bertha Inés Agudelo Vega </w:t>
      </w:r>
    </w:p>
    <w:p w:rsidR="003A3BBB" w:rsidRPr="00EA3EFB" w:rsidRDefault="003A3BBB" w:rsidP="00E41882">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r>
      <w:r w:rsidR="00243E9F">
        <w:rPr>
          <w:rFonts w:ascii="Tahoma" w:hAnsi="Tahoma" w:cs="Tahoma"/>
          <w:b w:val="0"/>
          <w:sz w:val="18"/>
          <w:szCs w:val="18"/>
        </w:rPr>
        <w:t xml:space="preserve">Colpensiones </w:t>
      </w:r>
      <w:r w:rsidR="004603F1">
        <w:rPr>
          <w:rFonts w:ascii="Tahoma" w:hAnsi="Tahoma" w:cs="Tahoma"/>
          <w:b w:val="0"/>
          <w:sz w:val="18"/>
          <w:szCs w:val="18"/>
        </w:rPr>
        <w:t xml:space="preserve">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451A93">
        <w:rPr>
          <w:rFonts w:ascii="Tahoma" w:hAnsi="Tahoma" w:cs="Tahoma"/>
          <w:b w:val="0"/>
          <w:sz w:val="18"/>
          <w:szCs w:val="18"/>
        </w:rPr>
        <w:t>Cuarto</w:t>
      </w:r>
      <w:r w:rsidR="004603F1">
        <w:rPr>
          <w:rFonts w:ascii="Tahoma" w:hAnsi="Tahoma" w:cs="Tahoma"/>
          <w:b w:val="0"/>
          <w:sz w:val="18"/>
          <w:szCs w:val="18"/>
        </w:rPr>
        <w:t xml:space="preserve"> Laboral </w:t>
      </w:r>
      <w:r w:rsidR="00CE5F80">
        <w:rPr>
          <w:rFonts w:ascii="Tahoma" w:hAnsi="Tahoma" w:cs="Tahoma"/>
          <w:b w:val="0"/>
          <w:sz w:val="18"/>
          <w:szCs w:val="18"/>
        </w:rPr>
        <w:t xml:space="preserve">del Circuito de </w:t>
      </w:r>
      <w:r w:rsidR="00107AB5">
        <w:rPr>
          <w:rFonts w:ascii="Tahoma" w:hAnsi="Tahoma" w:cs="Tahoma"/>
          <w:b w:val="0"/>
          <w:sz w:val="18"/>
          <w:szCs w:val="18"/>
        </w:rPr>
        <w:t>Pereira</w:t>
      </w:r>
      <w:r w:rsidR="00CE5F80">
        <w:rPr>
          <w:rFonts w:ascii="Tahoma" w:hAnsi="Tahoma" w:cs="Tahoma"/>
          <w:b w:val="0"/>
          <w:sz w:val="18"/>
          <w:szCs w:val="18"/>
        </w:rPr>
        <w:t xml:space="preserve">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rsidR="003A3BBB" w:rsidRPr="00EA3EFB" w:rsidRDefault="003A3BBB" w:rsidP="00E41882">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rsidR="00F768F2" w:rsidRDefault="00DB62EF" w:rsidP="001C14EA">
      <w:pPr>
        <w:pStyle w:val="Textoindependiente"/>
        <w:spacing w:after="0"/>
        <w:ind w:left="2127" w:right="51"/>
        <w:jc w:val="both"/>
        <w:rPr>
          <w:rFonts w:ascii="Tahoma" w:hAnsi="Tahoma" w:cs="Tahoma"/>
          <w:bCs/>
          <w:sz w:val="18"/>
          <w:szCs w:val="18"/>
        </w:rPr>
      </w:pPr>
      <w:r w:rsidRPr="008C2EB1">
        <w:rPr>
          <w:rFonts w:ascii="Tahoma" w:hAnsi="Tahoma" w:cs="Tahoma"/>
          <w:b/>
          <w:bCs/>
          <w:sz w:val="18"/>
          <w:szCs w:val="18"/>
        </w:rPr>
        <w:t xml:space="preserve">Pensión de </w:t>
      </w:r>
      <w:r w:rsidR="008C2EB1" w:rsidRPr="008C2EB1">
        <w:rPr>
          <w:rFonts w:ascii="Tahoma" w:hAnsi="Tahoma" w:cs="Tahoma"/>
          <w:b/>
          <w:bCs/>
          <w:sz w:val="18"/>
          <w:szCs w:val="18"/>
        </w:rPr>
        <w:t xml:space="preserve">vejez </w:t>
      </w:r>
      <w:r w:rsidR="008C2EB1">
        <w:rPr>
          <w:rFonts w:ascii="Tahoma" w:hAnsi="Tahoma" w:cs="Tahoma"/>
          <w:b/>
          <w:bCs/>
          <w:sz w:val="18"/>
          <w:szCs w:val="18"/>
        </w:rPr>
        <w:t>-</w:t>
      </w:r>
      <w:r w:rsidR="008C2EB1" w:rsidRPr="008C2EB1">
        <w:rPr>
          <w:rFonts w:ascii="Tahoma" w:hAnsi="Tahoma" w:cs="Tahoma"/>
          <w:b/>
          <w:bCs/>
          <w:sz w:val="18"/>
          <w:szCs w:val="18"/>
        </w:rPr>
        <w:t xml:space="preserve"> Principio de confianza legítima</w:t>
      </w:r>
      <w:r w:rsidR="008C2EB1">
        <w:rPr>
          <w:rFonts w:ascii="Tahoma" w:hAnsi="Tahoma" w:cs="Tahoma"/>
          <w:b/>
          <w:bCs/>
          <w:sz w:val="18"/>
          <w:szCs w:val="18"/>
        </w:rPr>
        <w:t xml:space="preserve">  - Non </w:t>
      </w:r>
      <w:proofErr w:type="spellStart"/>
      <w:r w:rsidR="008C2EB1">
        <w:rPr>
          <w:rFonts w:ascii="Tahoma" w:hAnsi="Tahoma" w:cs="Tahoma"/>
          <w:b/>
          <w:bCs/>
          <w:sz w:val="18"/>
          <w:szCs w:val="18"/>
        </w:rPr>
        <w:t>reformatio</w:t>
      </w:r>
      <w:proofErr w:type="spellEnd"/>
      <w:r w:rsidR="008C2EB1">
        <w:rPr>
          <w:rFonts w:ascii="Tahoma" w:hAnsi="Tahoma" w:cs="Tahoma"/>
          <w:b/>
          <w:bCs/>
          <w:sz w:val="18"/>
          <w:szCs w:val="18"/>
        </w:rPr>
        <w:t xml:space="preserve"> in </w:t>
      </w:r>
      <w:proofErr w:type="spellStart"/>
      <w:r w:rsidR="008C2EB1">
        <w:rPr>
          <w:rFonts w:ascii="Tahoma" w:hAnsi="Tahoma" w:cs="Tahoma"/>
          <w:b/>
          <w:bCs/>
          <w:sz w:val="18"/>
          <w:szCs w:val="18"/>
        </w:rPr>
        <w:t>pejus</w:t>
      </w:r>
      <w:proofErr w:type="spellEnd"/>
      <w:r w:rsidR="008C2EB1">
        <w:rPr>
          <w:rFonts w:ascii="Tahoma" w:hAnsi="Tahoma" w:cs="Tahoma"/>
          <w:b/>
          <w:bCs/>
          <w:sz w:val="18"/>
          <w:szCs w:val="18"/>
        </w:rPr>
        <w:t xml:space="preserve">: </w:t>
      </w:r>
      <w:r w:rsidR="008C2EB1">
        <w:rPr>
          <w:rFonts w:ascii="Tahoma" w:hAnsi="Tahoma" w:cs="Tahoma"/>
          <w:bCs/>
          <w:sz w:val="18"/>
          <w:szCs w:val="18"/>
        </w:rPr>
        <w:t xml:space="preserve">Al haberse reconocido la calidad de beneficiaria del régimen de transición de la </w:t>
      </w:r>
      <w:r w:rsidR="007E69CD">
        <w:rPr>
          <w:rFonts w:ascii="Tahoma" w:hAnsi="Tahoma" w:cs="Tahoma"/>
          <w:bCs/>
          <w:sz w:val="18"/>
          <w:szCs w:val="18"/>
        </w:rPr>
        <w:t xml:space="preserve">señora Agudelo Vega </w:t>
      </w:r>
      <w:r w:rsidR="008C2EB1">
        <w:rPr>
          <w:rFonts w:ascii="Tahoma" w:hAnsi="Tahoma" w:cs="Tahoma"/>
          <w:bCs/>
          <w:sz w:val="18"/>
          <w:szCs w:val="18"/>
        </w:rPr>
        <w:t xml:space="preserve">en la </w:t>
      </w:r>
      <w:r w:rsidR="00E4641F">
        <w:rPr>
          <w:rFonts w:ascii="Tahoma" w:hAnsi="Tahoma" w:cs="Tahoma"/>
          <w:bCs/>
          <w:sz w:val="18"/>
          <w:szCs w:val="18"/>
        </w:rPr>
        <w:t>Resolución</w:t>
      </w:r>
      <w:r w:rsidR="00C123A5">
        <w:rPr>
          <w:rFonts w:ascii="Tahoma" w:hAnsi="Tahoma" w:cs="Tahoma"/>
          <w:bCs/>
          <w:sz w:val="18"/>
          <w:szCs w:val="18"/>
        </w:rPr>
        <w:t xml:space="preserve"> GNR 242907</w:t>
      </w:r>
      <w:r w:rsidR="00F768F2">
        <w:rPr>
          <w:rFonts w:ascii="Tahoma" w:hAnsi="Tahoma" w:cs="Tahoma"/>
          <w:bCs/>
          <w:sz w:val="18"/>
          <w:szCs w:val="18"/>
        </w:rPr>
        <w:t xml:space="preserve"> del 30 de septiembre de 2013</w:t>
      </w:r>
      <w:r w:rsidR="00C123A5">
        <w:rPr>
          <w:rFonts w:ascii="Tahoma" w:hAnsi="Tahoma" w:cs="Tahoma"/>
          <w:bCs/>
          <w:sz w:val="18"/>
          <w:szCs w:val="18"/>
        </w:rPr>
        <w:t xml:space="preserve">, </w:t>
      </w:r>
      <w:r w:rsidR="00F768F2">
        <w:rPr>
          <w:rFonts w:ascii="Tahoma" w:hAnsi="Tahoma" w:cs="Tahoma"/>
          <w:bCs/>
          <w:sz w:val="18"/>
          <w:szCs w:val="18"/>
        </w:rPr>
        <w:t xml:space="preserve">así como el hecho de que la norma aplicable a su caso concreto era el Acuerdo 049 de 1990, </w:t>
      </w:r>
      <w:r w:rsidR="00C123A5">
        <w:rPr>
          <w:rFonts w:ascii="Tahoma" w:hAnsi="Tahoma" w:cs="Tahoma"/>
          <w:bCs/>
          <w:sz w:val="18"/>
          <w:szCs w:val="18"/>
        </w:rPr>
        <w:t>dicho acto gozaba de la presunción de legalidad de las actuaciones de la administración pública y, por lo tanto, si la entidad demandada consideró que</w:t>
      </w:r>
      <w:r w:rsidR="0005299F">
        <w:rPr>
          <w:rFonts w:ascii="Tahoma" w:hAnsi="Tahoma" w:cs="Tahoma"/>
          <w:bCs/>
          <w:sz w:val="18"/>
          <w:szCs w:val="18"/>
        </w:rPr>
        <w:t xml:space="preserve"> en el mismo existía un yerro, debía solicitar su ilegalidad ante la Jurisdicción de lo Contencioso Administrativo y no </w:t>
      </w:r>
      <w:r w:rsidR="00F768F2">
        <w:rPr>
          <w:rFonts w:ascii="Tahoma" w:hAnsi="Tahoma" w:cs="Tahoma"/>
          <w:bCs/>
          <w:sz w:val="18"/>
          <w:szCs w:val="18"/>
        </w:rPr>
        <w:t xml:space="preserve">proceder a modificarlo </w:t>
      </w:r>
      <w:r w:rsidR="00F768F2" w:rsidRPr="00F768F2">
        <w:rPr>
          <w:rFonts w:ascii="Tahoma" w:hAnsi="Tahoma" w:cs="Tahoma"/>
          <w:bCs/>
          <w:i/>
          <w:sz w:val="18"/>
          <w:szCs w:val="18"/>
        </w:rPr>
        <w:t>motu proprio</w:t>
      </w:r>
      <w:r w:rsidR="00F768F2">
        <w:rPr>
          <w:rFonts w:ascii="Tahoma" w:hAnsi="Tahoma" w:cs="Tahoma"/>
          <w:bCs/>
          <w:sz w:val="18"/>
          <w:szCs w:val="18"/>
        </w:rPr>
        <w:t>,</w:t>
      </w:r>
      <w:r w:rsidR="00F768F2" w:rsidRPr="00F768F2">
        <w:rPr>
          <w:rFonts w:ascii="Tahoma" w:hAnsi="Tahoma" w:cs="Tahoma"/>
          <w:bCs/>
          <w:sz w:val="18"/>
          <w:szCs w:val="18"/>
        </w:rPr>
        <w:t xml:space="preserve"> </w:t>
      </w:r>
      <w:r w:rsidR="00F768F2">
        <w:rPr>
          <w:rFonts w:ascii="Tahoma" w:hAnsi="Tahoma" w:cs="Tahoma"/>
          <w:bCs/>
          <w:sz w:val="18"/>
          <w:szCs w:val="18"/>
        </w:rPr>
        <w:t>en el acto a través del cual resolvió el recurso de apelación interpuesto por aquella, pues en este no podía emitir un pronunciamiento que fuera en desmedro de los intereses</w:t>
      </w:r>
      <w:r w:rsidR="00F768F2" w:rsidRPr="00F768F2">
        <w:rPr>
          <w:rFonts w:ascii="Tahoma" w:hAnsi="Tahoma" w:cs="Tahoma"/>
          <w:bCs/>
          <w:sz w:val="18"/>
          <w:szCs w:val="18"/>
        </w:rPr>
        <w:t xml:space="preserve"> </w:t>
      </w:r>
      <w:r w:rsidR="00701E01">
        <w:rPr>
          <w:rFonts w:ascii="Tahoma" w:hAnsi="Tahoma" w:cs="Tahoma"/>
          <w:bCs/>
          <w:sz w:val="18"/>
          <w:szCs w:val="18"/>
        </w:rPr>
        <w:t>de la ape</w:t>
      </w:r>
      <w:r w:rsidR="00F768F2">
        <w:rPr>
          <w:rFonts w:ascii="Tahoma" w:hAnsi="Tahoma" w:cs="Tahoma"/>
          <w:bCs/>
          <w:sz w:val="18"/>
          <w:szCs w:val="18"/>
        </w:rPr>
        <w:t xml:space="preserve">lante única, </w:t>
      </w:r>
      <w:r w:rsidR="00B8493E">
        <w:rPr>
          <w:rFonts w:ascii="Tahoma" w:hAnsi="Tahoma" w:cs="Tahoma"/>
          <w:bCs/>
          <w:sz w:val="18"/>
          <w:szCs w:val="18"/>
        </w:rPr>
        <w:t xml:space="preserve">transgrediendo el derecho al debido proceso al pasar por alto el principio de la </w:t>
      </w:r>
      <w:r w:rsidR="00B8493E" w:rsidRPr="00F768F2">
        <w:rPr>
          <w:rFonts w:ascii="Tahoma" w:hAnsi="Tahoma" w:cs="Tahoma"/>
          <w:bCs/>
          <w:i/>
          <w:sz w:val="18"/>
          <w:szCs w:val="18"/>
        </w:rPr>
        <w:t xml:space="preserve">non </w:t>
      </w:r>
      <w:proofErr w:type="spellStart"/>
      <w:r w:rsidR="00B8493E" w:rsidRPr="00F768F2">
        <w:rPr>
          <w:rFonts w:ascii="Tahoma" w:hAnsi="Tahoma" w:cs="Tahoma"/>
          <w:bCs/>
          <w:i/>
          <w:sz w:val="18"/>
          <w:szCs w:val="18"/>
        </w:rPr>
        <w:t>reformatio</w:t>
      </w:r>
      <w:proofErr w:type="spellEnd"/>
      <w:r w:rsidR="00B8493E" w:rsidRPr="00F768F2">
        <w:rPr>
          <w:rFonts w:ascii="Tahoma" w:hAnsi="Tahoma" w:cs="Tahoma"/>
          <w:bCs/>
          <w:i/>
          <w:sz w:val="18"/>
          <w:szCs w:val="18"/>
        </w:rPr>
        <w:t xml:space="preserve"> in </w:t>
      </w:r>
      <w:proofErr w:type="spellStart"/>
      <w:r w:rsidR="00B8493E" w:rsidRPr="00F768F2">
        <w:rPr>
          <w:rFonts w:ascii="Tahoma" w:hAnsi="Tahoma" w:cs="Tahoma"/>
          <w:bCs/>
          <w:i/>
          <w:sz w:val="18"/>
          <w:szCs w:val="18"/>
        </w:rPr>
        <w:t>pejus</w:t>
      </w:r>
      <w:proofErr w:type="spellEnd"/>
      <w:r w:rsidR="00B8493E">
        <w:rPr>
          <w:rFonts w:ascii="Tahoma" w:hAnsi="Tahoma" w:cs="Tahoma"/>
          <w:bCs/>
          <w:i/>
          <w:sz w:val="18"/>
          <w:szCs w:val="18"/>
        </w:rPr>
        <w:t>.</w:t>
      </w:r>
    </w:p>
    <w:p w:rsidR="00C123A5" w:rsidRDefault="00C123A5" w:rsidP="001C14EA">
      <w:pPr>
        <w:pStyle w:val="Textoindependiente"/>
        <w:spacing w:after="0"/>
        <w:ind w:left="2127" w:right="51"/>
        <w:jc w:val="both"/>
        <w:rPr>
          <w:rFonts w:ascii="Tahoma" w:hAnsi="Tahoma" w:cs="Tahoma"/>
          <w:bCs/>
          <w:sz w:val="18"/>
          <w:szCs w:val="18"/>
        </w:rPr>
      </w:pPr>
    </w:p>
    <w:p w:rsidR="00C123A5" w:rsidRDefault="00C123A5" w:rsidP="001C14EA">
      <w:pPr>
        <w:pStyle w:val="Textoindependiente"/>
        <w:spacing w:after="0"/>
        <w:ind w:left="2127" w:right="51"/>
        <w:jc w:val="both"/>
        <w:rPr>
          <w:rFonts w:ascii="Tahoma" w:hAnsi="Tahoma" w:cs="Tahoma"/>
          <w:bCs/>
          <w:sz w:val="18"/>
          <w:szCs w:val="18"/>
        </w:rPr>
      </w:pPr>
    </w:p>
    <w:p w:rsidR="000A129C" w:rsidRDefault="000A129C" w:rsidP="00E41882">
      <w:pPr>
        <w:pStyle w:val="Puesto"/>
        <w:spacing w:line="240" w:lineRule="auto"/>
        <w:ind w:left="2127"/>
        <w:jc w:val="both"/>
        <w:rPr>
          <w:rFonts w:ascii="Tahoma" w:hAnsi="Tahoma" w:cs="Tahoma"/>
          <w:sz w:val="18"/>
          <w:szCs w:val="18"/>
        </w:rPr>
      </w:pPr>
    </w:p>
    <w:p w:rsidR="00815A7D" w:rsidRPr="00EA3EFB" w:rsidRDefault="00815A7D" w:rsidP="00E41882">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E41882">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E41882">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E41882">
      <w:pPr>
        <w:jc w:val="center"/>
        <w:rPr>
          <w:rFonts w:ascii="Tahoma" w:hAnsi="Tahoma" w:cs="Tahoma"/>
          <w:bCs/>
        </w:rPr>
      </w:pPr>
    </w:p>
    <w:p w:rsidR="003A3BBB" w:rsidRPr="00EA3EFB" w:rsidRDefault="003A3BBB" w:rsidP="00E41882">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E41882">
      <w:pPr>
        <w:jc w:val="center"/>
        <w:rPr>
          <w:rFonts w:ascii="Tahoma" w:hAnsi="Tahoma" w:cs="Tahoma"/>
          <w:b/>
          <w:sz w:val="22"/>
          <w:szCs w:val="22"/>
        </w:rPr>
      </w:pPr>
    </w:p>
    <w:p w:rsidR="003A3BBB" w:rsidRPr="00EA3EFB" w:rsidRDefault="003A3BBB" w:rsidP="00E41882">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E41882">
      <w:pPr>
        <w:pStyle w:val="Sinespaciado"/>
        <w:rPr>
          <w:sz w:val="22"/>
          <w:szCs w:val="22"/>
        </w:rPr>
      </w:pPr>
    </w:p>
    <w:p w:rsidR="003A3BBB" w:rsidRPr="00EA3EFB" w:rsidRDefault="003A3BBB" w:rsidP="00E41882">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E41882">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E41882">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451A93">
        <w:rPr>
          <w:rFonts w:ascii="Tahoma" w:hAnsi="Tahoma" w:cs="Tahoma"/>
          <w:sz w:val="22"/>
          <w:szCs w:val="22"/>
          <w:lang w:val="es-ES_tradnl"/>
        </w:rPr>
        <w:t>8</w:t>
      </w:r>
      <w:r w:rsidR="004D5CA3" w:rsidRPr="00EA3EFB">
        <w:rPr>
          <w:rFonts w:ascii="Tahoma" w:hAnsi="Tahoma" w:cs="Tahoma"/>
          <w:sz w:val="22"/>
          <w:szCs w:val="22"/>
          <w:lang w:val="es-ES_tradnl"/>
        </w:rPr>
        <w:t>:</w:t>
      </w:r>
      <w:r w:rsidR="00451A93">
        <w:rPr>
          <w:rFonts w:ascii="Tahoma" w:hAnsi="Tahoma" w:cs="Tahoma"/>
          <w:sz w:val="22"/>
          <w:szCs w:val="22"/>
          <w:lang w:val="es-ES_tradnl"/>
        </w:rPr>
        <w:t>15</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CA70EB">
        <w:rPr>
          <w:rFonts w:ascii="Tahoma" w:hAnsi="Tahoma" w:cs="Tahoma"/>
          <w:sz w:val="22"/>
          <w:szCs w:val="22"/>
          <w:lang w:val="es-ES_tradnl"/>
        </w:rPr>
        <w:t>2</w:t>
      </w:r>
      <w:r w:rsidR="00BE36DD">
        <w:rPr>
          <w:rFonts w:ascii="Tahoma" w:hAnsi="Tahoma" w:cs="Tahoma"/>
          <w:sz w:val="22"/>
          <w:szCs w:val="22"/>
          <w:lang w:val="es-ES_tradnl"/>
        </w:rPr>
        <w:t>0</w:t>
      </w:r>
      <w:r w:rsidR="00835297">
        <w:rPr>
          <w:rFonts w:ascii="Tahoma" w:hAnsi="Tahoma" w:cs="Tahoma"/>
          <w:sz w:val="22"/>
          <w:szCs w:val="22"/>
          <w:lang w:val="es-ES_tradnl"/>
        </w:rPr>
        <w:t xml:space="preserve"> de octubre</w:t>
      </w:r>
      <w:r w:rsidR="00AC6676" w:rsidRPr="00EA3EFB">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AC6676" w:rsidRPr="00EA3EFB">
        <w:rPr>
          <w:rFonts w:ascii="Tahoma" w:hAnsi="Tahoma" w:cs="Tahoma"/>
          <w:sz w:val="22"/>
          <w:szCs w:val="22"/>
          <w:lang w:val="es-ES_tradnl"/>
        </w:rPr>
        <w:t>7</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451A93" w:rsidRPr="00451A93">
        <w:rPr>
          <w:rFonts w:ascii="Tahoma" w:hAnsi="Tahoma" w:cs="Tahoma"/>
          <w:b/>
          <w:sz w:val="22"/>
          <w:szCs w:val="22"/>
          <w:lang w:val="es-ES_tradnl"/>
        </w:rPr>
        <w:t>Bertha Inés Agudelo Vega</w:t>
      </w:r>
      <w:r w:rsidR="00A41ACF" w:rsidRPr="00EA3EFB">
        <w:rPr>
          <w:rFonts w:ascii="Tahoma" w:hAnsi="Tahoma" w:cs="Tahoma"/>
          <w:b/>
          <w:sz w:val="22"/>
          <w:szCs w:val="22"/>
          <w:lang w:val="es-ES_tradnl"/>
        </w:rPr>
        <w:t xml:space="preserve"> </w:t>
      </w:r>
      <w:r w:rsidRPr="00EA3EFB">
        <w:rPr>
          <w:rFonts w:ascii="Tahoma" w:hAnsi="Tahoma" w:cs="Tahoma"/>
          <w:sz w:val="22"/>
          <w:szCs w:val="22"/>
          <w:lang w:val="es-ES_tradnl"/>
        </w:rPr>
        <w:t xml:space="preserve">en contra de la </w:t>
      </w:r>
      <w:r w:rsidR="00243E9F" w:rsidRPr="00243E9F">
        <w:rPr>
          <w:rFonts w:ascii="Tahoma" w:hAnsi="Tahoma" w:cs="Tahoma"/>
          <w:b/>
          <w:sz w:val="22"/>
          <w:szCs w:val="22"/>
          <w:lang w:val="es-ES_tradnl"/>
        </w:rPr>
        <w:t>Administradora Colombiana de Pensiones – Colpensiones.</w:t>
      </w:r>
    </w:p>
    <w:p w:rsidR="003A3BBB" w:rsidRPr="00EA3EFB" w:rsidRDefault="003A3BBB" w:rsidP="00E41882">
      <w:pPr>
        <w:pStyle w:val="Sinespaciado"/>
        <w:rPr>
          <w:sz w:val="22"/>
          <w:szCs w:val="22"/>
          <w:lang w:val="es-ES_tradnl"/>
        </w:rPr>
      </w:pPr>
    </w:p>
    <w:p w:rsidR="003A3BBB" w:rsidRPr="00EA3EF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3A3BBB" w:rsidRPr="00EA3EFB" w:rsidRDefault="003A3BBB" w:rsidP="00E41882">
      <w:pPr>
        <w:pStyle w:val="Sinespaciado"/>
        <w:rPr>
          <w:sz w:val="22"/>
          <w:szCs w:val="22"/>
        </w:rPr>
      </w:pPr>
    </w:p>
    <w:p w:rsidR="003A3BBB" w:rsidRPr="00EA3EF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w:t>
      </w:r>
      <w:r w:rsidR="007C5FFC" w:rsidRPr="00EA3EFB">
        <w:rPr>
          <w:rFonts w:ascii="Tahoma" w:hAnsi="Tahoma" w:cs="Tahoma"/>
          <w:sz w:val="22"/>
          <w:szCs w:val="22"/>
          <w:lang w:val="es-ES_tradnl"/>
        </w:rPr>
        <w:t>.</w:t>
      </w:r>
      <w:r w:rsidRPr="00EA3EFB">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3A3BBB" w:rsidRPr="00EA3EFB" w:rsidRDefault="003A3BBB" w:rsidP="00E41882">
      <w:pPr>
        <w:pStyle w:val="Sinespaciado"/>
        <w:rPr>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E41882">
      <w:pPr>
        <w:pStyle w:val="Sinespaciado"/>
        <w:rPr>
          <w:sz w:val="22"/>
          <w:szCs w:val="22"/>
        </w:rPr>
      </w:pPr>
    </w:p>
    <w:p w:rsidR="005A6E74" w:rsidRPr="00EA3EFB" w:rsidRDefault="00F929A1" w:rsidP="00E41882">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w:t>
      </w:r>
      <w:r w:rsidR="007A472F" w:rsidRPr="00EA3EFB">
        <w:rPr>
          <w:rFonts w:ascii="Tahoma" w:hAnsi="Tahoma" w:cs="Tahoma"/>
          <w:sz w:val="22"/>
          <w:szCs w:val="22"/>
        </w:rPr>
        <w:t>ar</w:t>
      </w:r>
      <w:r w:rsidRPr="00EA3EFB">
        <w:rPr>
          <w:rFonts w:ascii="Tahoma" w:hAnsi="Tahoma" w:cs="Tahoma"/>
          <w:sz w:val="22"/>
          <w:szCs w:val="22"/>
        </w:rPr>
        <w:t xml:space="preserve">gumentos expuestos en las alegaciones fueron tenidos en cuenta en la discusión del proyecto, procede la Sala </w:t>
      </w:r>
      <w:r w:rsidR="00DC21B9" w:rsidRPr="00EA3EFB">
        <w:rPr>
          <w:rFonts w:ascii="Tahoma" w:hAnsi="Tahoma" w:cs="Tahoma"/>
          <w:sz w:val="22"/>
          <w:szCs w:val="22"/>
        </w:rPr>
        <w:t>a re</w:t>
      </w:r>
      <w:r w:rsidR="00DC62B2">
        <w:rPr>
          <w:rFonts w:ascii="Tahoma" w:hAnsi="Tahoma" w:cs="Tahoma"/>
          <w:sz w:val="22"/>
          <w:szCs w:val="22"/>
        </w:rPr>
        <w:t xml:space="preserve">visar en sede de consulta </w:t>
      </w:r>
      <w:r w:rsidR="000423AA">
        <w:rPr>
          <w:rFonts w:ascii="Tahoma" w:hAnsi="Tahoma" w:cs="Tahoma"/>
          <w:sz w:val="22"/>
          <w:szCs w:val="22"/>
        </w:rPr>
        <w:t xml:space="preserve">la </w:t>
      </w:r>
      <w:r w:rsidR="00FE2152" w:rsidRPr="00EA3EFB">
        <w:rPr>
          <w:rFonts w:ascii="Tahoma" w:hAnsi="Tahoma" w:cs="Tahoma"/>
          <w:sz w:val="22"/>
          <w:szCs w:val="22"/>
        </w:rPr>
        <w:t xml:space="preserve">sentencia emitida por el Juzgado </w:t>
      </w:r>
      <w:r w:rsidR="00451A93">
        <w:rPr>
          <w:rFonts w:ascii="Tahoma" w:hAnsi="Tahoma" w:cs="Tahoma"/>
          <w:sz w:val="22"/>
          <w:szCs w:val="22"/>
        </w:rPr>
        <w:t>Cuarto</w:t>
      </w:r>
      <w:r w:rsidR="00BE36DD">
        <w:rPr>
          <w:rFonts w:ascii="Tahoma" w:hAnsi="Tahoma" w:cs="Tahoma"/>
          <w:sz w:val="22"/>
          <w:szCs w:val="22"/>
        </w:rPr>
        <w:t xml:space="preserve"> 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107AB5">
        <w:rPr>
          <w:rFonts w:ascii="Tahoma" w:hAnsi="Tahoma" w:cs="Tahoma"/>
          <w:sz w:val="22"/>
          <w:szCs w:val="22"/>
        </w:rPr>
        <w:t>2</w:t>
      </w:r>
      <w:r w:rsidR="00451A93">
        <w:rPr>
          <w:rFonts w:ascii="Tahoma" w:hAnsi="Tahoma" w:cs="Tahoma"/>
          <w:sz w:val="22"/>
          <w:szCs w:val="22"/>
        </w:rPr>
        <w:t>7</w:t>
      </w:r>
      <w:r w:rsidR="00D52F23">
        <w:rPr>
          <w:rFonts w:ascii="Tahoma" w:hAnsi="Tahoma" w:cs="Tahoma"/>
          <w:sz w:val="22"/>
          <w:szCs w:val="22"/>
        </w:rPr>
        <w:t xml:space="preserve"> de septiembre de 2016</w:t>
      </w:r>
      <w:r w:rsidR="00A15DB2" w:rsidRPr="00EA3EFB">
        <w:rPr>
          <w:rFonts w:ascii="Tahoma" w:hAnsi="Tahoma" w:cs="Tahoma"/>
          <w:sz w:val="22"/>
          <w:szCs w:val="22"/>
        </w:rPr>
        <w:t>,</w:t>
      </w:r>
      <w:r w:rsidR="00DC21B9" w:rsidRPr="00EA3EFB">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p>
    <w:p w:rsidR="008A4AE3" w:rsidRPr="00EA3EFB" w:rsidRDefault="008A4AE3" w:rsidP="00E41882">
      <w:pPr>
        <w:widowControl w:val="0"/>
        <w:autoSpaceDE w:val="0"/>
        <w:autoSpaceDN w:val="0"/>
        <w:adjustRightInd w:val="0"/>
        <w:ind w:firstLine="708"/>
        <w:jc w:val="both"/>
        <w:rPr>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E41882">
      <w:pPr>
        <w:pStyle w:val="Sinespaciado"/>
        <w:rPr>
          <w:sz w:val="22"/>
          <w:szCs w:val="22"/>
        </w:rPr>
      </w:pPr>
    </w:p>
    <w:p w:rsidR="00DD4D98" w:rsidRPr="00782723" w:rsidRDefault="00DD4D98" w:rsidP="00E41882">
      <w:pPr>
        <w:tabs>
          <w:tab w:val="left" w:pos="567"/>
        </w:tabs>
        <w:spacing w:line="276" w:lineRule="auto"/>
        <w:jc w:val="both"/>
        <w:rPr>
          <w:rFonts w:ascii="Tahoma" w:hAnsi="Tahoma" w:cs="Tahoma"/>
          <w:sz w:val="22"/>
          <w:szCs w:val="22"/>
        </w:rPr>
      </w:pPr>
      <w:r>
        <w:rPr>
          <w:rFonts w:ascii="Tahoma" w:hAnsi="Tahoma" w:cs="Tahoma"/>
          <w:sz w:val="22"/>
          <w:szCs w:val="22"/>
        </w:rPr>
        <w:tab/>
      </w:r>
      <w:r w:rsidRPr="00782723">
        <w:rPr>
          <w:rFonts w:ascii="Tahoma" w:hAnsi="Tahoma" w:cs="Tahoma"/>
          <w:sz w:val="22"/>
          <w:szCs w:val="22"/>
        </w:rPr>
        <w:t xml:space="preserve">De conformidad con </w:t>
      </w:r>
      <w:r>
        <w:rPr>
          <w:rFonts w:ascii="Tahoma" w:hAnsi="Tahoma" w:cs="Tahoma"/>
          <w:sz w:val="22"/>
          <w:szCs w:val="22"/>
        </w:rPr>
        <w:t xml:space="preserve">los fundamentos de la sentencia de primera instancia </w:t>
      </w:r>
      <w:r w:rsidRPr="00782723">
        <w:rPr>
          <w:rFonts w:ascii="Tahoma" w:hAnsi="Tahoma" w:cs="Tahoma"/>
          <w:sz w:val="22"/>
          <w:szCs w:val="22"/>
        </w:rPr>
        <w:t>le corresponde a la Sala determinar</w:t>
      </w:r>
      <w:r w:rsidR="00AB2A28">
        <w:rPr>
          <w:rFonts w:ascii="Tahoma" w:hAnsi="Tahoma" w:cs="Tahoma"/>
          <w:sz w:val="22"/>
          <w:szCs w:val="22"/>
        </w:rPr>
        <w:t xml:space="preserve"> </w:t>
      </w:r>
      <w:r w:rsidR="00D50B5D">
        <w:rPr>
          <w:rFonts w:ascii="Tahoma" w:hAnsi="Tahoma" w:cs="Tahoma"/>
          <w:sz w:val="22"/>
          <w:szCs w:val="22"/>
        </w:rPr>
        <w:t xml:space="preserve">si </w:t>
      </w:r>
      <w:r w:rsidR="00053BBC">
        <w:rPr>
          <w:rFonts w:ascii="Tahoma" w:hAnsi="Tahoma" w:cs="Tahoma"/>
          <w:sz w:val="22"/>
          <w:szCs w:val="22"/>
        </w:rPr>
        <w:t>la demandante es beneficiaria del régimen de transición y si su pensión de vejez debe reconocerse en virtud del Acuerdo 049 de 1990.</w:t>
      </w:r>
    </w:p>
    <w:p w:rsidR="000A129C" w:rsidRPr="00EA3EFB" w:rsidRDefault="000A129C" w:rsidP="00E41882">
      <w:pPr>
        <w:tabs>
          <w:tab w:val="left" w:pos="567"/>
        </w:tabs>
        <w:jc w:val="both"/>
        <w:rPr>
          <w:rFonts w:ascii="Tahoma" w:hAnsi="Tahoma" w:cs="Tahoma"/>
          <w:sz w:val="22"/>
          <w:szCs w:val="22"/>
        </w:rPr>
      </w:pPr>
    </w:p>
    <w:p w:rsidR="003A3BBB" w:rsidRPr="00EA3EFB" w:rsidRDefault="003A3BBB" w:rsidP="00E41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414B84" w:rsidRPr="00EA3EFB" w:rsidRDefault="00414B84" w:rsidP="00E41882">
      <w:pPr>
        <w:widowControl w:val="0"/>
        <w:tabs>
          <w:tab w:val="left" w:pos="374"/>
        </w:tabs>
        <w:autoSpaceDE w:val="0"/>
        <w:autoSpaceDN w:val="0"/>
        <w:adjustRightInd w:val="0"/>
        <w:jc w:val="center"/>
        <w:rPr>
          <w:rFonts w:ascii="Tahoma" w:hAnsi="Tahoma" w:cs="Tahoma"/>
          <w:b/>
          <w:sz w:val="22"/>
          <w:szCs w:val="22"/>
        </w:rPr>
      </w:pPr>
    </w:p>
    <w:p w:rsidR="00451A93" w:rsidRDefault="00E36028"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w:t>
      </w:r>
      <w:r w:rsidR="000423AA">
        <w:rPr>
          <w:rFonts w:ascii="Tahoma" w:hAnsi="Tahoma" w:cs="Tahoma"/>
          <w:sz w:val="22"/>
          <w:szCs w:val="22"/>
        </w:rPr>
        <w:t xml:space="preserve"> </w:t>
      </w:r>
      <w:r w:rsidR="00B158AB" w:rsidRPr="00EA3EFB">
        <w:rPr>
          <w:rFonts w:ascii="Tahoma" w:hAnsi="Tahoma" w:cs="Tahoma"/>
          <w:sz w:val="22"/>
          <w:szCs w:val="22"/>
        </w:rPr>
        <w:t>citad</w:t>
      </w:r>
      <w:r>
        <w:rPr>
          <w:rFonts w:ascii="Tahoma" w:hAnsi="Tahoma" w:cs="Tahoma"/>
          <w:sz w:val="22"/>
          <w:szCs w:val="22"/>
        </w:rPr>
        <w:t>a</w:t>
      </w:r>
      <w:r w:rsidR="008E4311" w:rsidRPr="00EA3EFB">
        <w:rPr>
          <w:rFonts w:ascii="Tahoma" w:hAnsi="Tahoma" w:cs="Tahoma"/>
          <w:sz w:val="22"/>
          <w:szCs w:val="22"/>
        </w:rPr>
        <w:t xml:space="preserve"> </w:t>
      </w:r>
      <w:r w:rsidR="00B158AB" w:rsidRPr="00EA3EFB">
        <w:rPr>
          <w:rFonts w:ascii="Tahoma" w:hAnsi="Tahoma" w:cs="Tahoma"/>
          <w:sz w:val="22"/>
          <w:szCs w:val="22"/>
        </w:rPr>
        <w:t xml:space="preserve">demandante solicita </w:t>
      </w:r>
      <w:r w:rsidR="00B158AB" w:rsidRPr="00E36028">
        <w:rPr>
          <w:rFonts w:ascii="Tahoma" w:hAnsi="Tahoma" w:cs="Tahoma"/>
          <w:sz w:val="22"/>
          <w:szCs w:val="22"/>
        </w:rPr>
        <w:t xml:space="preserve">que </w:t>
      </w:r>
      <w:r w:rsidR="00451A93">
        <w:rPr>
          <w:rFonts w:ascii="Tahoma" w:hAnsi="Tahoma" w:cs="Tahoma"/>
          <w:sz w:val="22"/>
          <w:szCs w:val="22"/>
        </w:rPr>
        <w:t>se declare que</w:t>
      </w:r>
      <w:r w:rsidR="00133DD5">
        <w:rPr>
          <w:rFonts w:ascii="Tahoma" w:hAnsi="Tahoma" w:cs="Tahoma"/>
          <w:sz w:val="22"/>
          <w:szCs w:val="22"/>
        </w:rPr>
        <w:t xml:space="preserve"> fue </w:t>
      </w:r>
      <w:r w:rsidR="00451A93">
        <w:rPr>
          <w:rFonts w:ascii="Tahoma" w:hAnsi="Tahoma" w:cs="Tahoma"/>
          <w:sz w:val="22"/>
          <w:szCs w:val="22"/>
        </w:rPr>
        <w:t xml:space="preserve">pensionada por vejez mediante la </w:t>
      </w:r>
      <w:r w:rsidR="00451A93">
        <w:rPr>
          <w:rFonts w:ascii="Tahoma" w:hAnsi="Tahoma" w:cs="Tahoma"/>
          <w:sz w:val="22"/>
          <w:szCs w:val="22"/>
        </w:rPr>
        <w:lastRenderedPageBreak/>
        <w:t>Resolución número 242907 del 30 de septiembre de 2013</w:t>
      </w:r>
      <w:r w:rsidR="00133DD5">
        <w:rPr>
          <w:rFonts w:ascii="Tahoma" w:hAnsi="Tahoma" w:cs="Tahoma"/>
          <w:sz w:val="22"/>
          <w:szCs w:val="22"/>
        </w:rPr>
        <w:t xml:space="preserve">, como beneficiaria del régimen de transición y según lo establecido en el Acuerdo 049 de 1990. </w:t>
      </w:r>
    </w:p>
    <w:p w:rsidR="007E69CD" w:rsidRDefault="007E69CD" w:rsidP="00E41882">
      <w:pPr>
        <w:widowControl w:val="0"/>
        <w:autoSpaceDE w:val="0"/>
        <w:autoSpaceDN w:val="0"/>
        <w:adjustRightInd w:val="0"/>
        <w:spacing w:line="276" w:lineRule="auto"/>
        <w:ind w:firstLine="708"/>
        <w:jc w:val="both"/>
        <w:rPr>
          <w:rFonts w:ascii="Tahoma" w:hAnsi="Tahoma" w:cs="Tahoma"/>
          <w:sz w:val="22"/>
          <w:szCs w:val="22"/>
        </w:rPr>
      </w:pPr>
    </w:p>
    <w:p w:rsidR="000758C9" w:rsidRDefault="00D918FC"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Como consecuencia de lo anterior, procura que se condene a Colpensiones a </w:t>
      </w:r>
      <w:proofErr w:type="spellStart"/>
      <w:r>
        <w:rPr>
          <w:rFonts w:ascii="Tahoma" w:hAnsi="Tahoma" w:cs="Tahoma"/>
          <w:sz w:val="22"/>
          <w:szCs w:val="22"/>
        </w:rPr>
        <w:t>reliquidar</w:t>
      </w:r>
      <w:proofErr w:type="spellEnd"/>
      <w:r>
        <w:rPr>
          <w:rFonts w:ascii="Tahoma" w:hAnsi="Tahoma" w:cs="Tahoma"/>
          <w:sz w:val="22"/>
          <w:szCs w:val="22"/>
        </w:rPr>
        <w:t xml:space="preserve"> la aludida prestación a partir del 1º de octubre de 2013</w:t>
      </w:r>
      <w:r w:rsidR="000758C9">
        <w:rPr>
          <w:rFonts w:ascii="Tahoma" w:hAnsi="Tahoma" w:cs="Tahoma"/>
          <w:sz w:val="22"/>
          <w:szCs w:val="22"/>
        </w:rPr>
        <w:t>, aplicando una tasa de reemplazo del 90% a su I.B.L., y que se le ordene cancelar las diferencias</w:t>
      </w:r>
      <w:r w:rsidR="00612616">
        <w:rPr>
          <w:rFonts w:ascii="Tahoma" w:hAnsi="Tahoma" w:cs="Tahoma"/>
          <w:sz w:val="22"/>
          <w:szCs w:val="22"/>
        </w:rPr>
        <w:t>, debidamente indexadas,</w:t>
      </w:r>
      <w:r w:rsidR="000758C9">
        <w:rPr>
          <w:rFonts w:ascii="Tahoma" w:hAnsi="Tahoma" w:cs="Tahoma"/>
          <w:sz w:val="22"/>
          <w:szCs w:val="22"/>
        </w:rPr>
        <w:t xml:space="preserve"> que se obtengan entre la pensión de vejez reconocida </w:t>
      </w:r>
      <w:r w:rsidR="0064502D">
        <w:rPr>
          <w:rFonts w:ascii="Tahoma" w:hAnsi="Tahoma" w:cs="Tahoma"/>
          <w:sz w:val="22"/>
          <w:szCs w:val="22"/>
        </w:rPr>
        <w:t xml:space="preserve">previamente y la </w:t>
      </w:r>
      <w:proofErr w:type="spellStart"/>
      <w:r w:rsidR="0064502D">
        <w:rPr>
          <w:rFonts w:ascii="Tahoma" w:hAnsi="Tahoma" w:cs="Tahoma"/>
          <w:sz w:val="22"/>
          <w:szCs w:val="22"/>
        </w:rPr>
        <w:t>reliquidada</w:t>
      </w:r>
      <w:proofErr w:type="spellEnd"/>
      <w:r w:rsidR="0064502D">
        <w:rPr>
          <w:rFonts w:ascii="Tahoma" w:hAnsi="Tahoma" w:cs="Tahoma"/>
          <w:sz w:val="22"/>
          <w:szCs w:val="22"/>
        </w:rPr>
        <w:t xml:space="preserve">; más lo que resulte probado en virtud de las facultades extra y ultra </w:t>
      </w:r>
      <w:proofErr w:type="spellStart"/>
      <w:r w:rsidR="0064502D">
        <w:rPr>
          <w:rFonts w:ascii="Tahoma" w:hAnsi="Tahoma" w:cs="Tahoma"/>
          <w:sz w:val="22"/>
          <w:szCs w:val="22"/>
        </w:rPr>
        <w:t>petita</w:t>
      </w:r>
      <w:proofErr w:type="spellEnd"/>
      <w:r w:rsidR="0064502D">
        <w:rPr>
          <w:rFonts w:ascii="Tahoma" w:hAnsi="Tahoma" w:cs="Tahoma"/>
          <w:sz w:val="22"/>
          <w:szCs w:val="22"/>
        </w:rPr>
        <w:t xml:space="preserve"> y las costas procesales.</w:t>
      </w:r>
    </w:p>
    <w:p w:rsidR="0064502D" w:rsidRDefault="0064502D" w:rsidP="00E41882">
      <w:pPr>
        <w:widowControl w:val="0"/>
        <w:autoSpaceDE w:val="0"/>
        <w:autoSpaceDN w:val="0"/>
        <w:adjustRightInd w:val="0"/>
        <w:spacing w:line="276" w:lineRule="auto"/>
        <w:ind w:firstLine="708"/>
        <w:jc w:val="both"/>
        <w:rPr>
          <w:rFonts w:ascii="Tahoma" w:hAnsi="Tahoma" w:cs="Tahoma"/>
          <w:sz w:val="22"/>
          <w:szCs w:val="22"/>
        </w:rPr>
      </w:pPr>
    </w:p>
    <w:p w:rsidR="00F06E13" w:rsidRDefault="000277BB"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fundar dichas pretensiones manifiesta que </w:t>
      </w:r>
      <w:r w:rsidR="007B133A">
        <w:rPr>
          <w:rFonts w:ascii="Tahoma" w:hAnsi="Tahoma" w:cs="Tahoma"/>
          <w:sz w:val="22"/>
          <w:szCs w:val="22"/>
        </w:rPr>
        <w:t xml:space="preserve">Colpensiones le reconoció la pensión de vejez establecida en el Acuerdo 049 de 1990 </w:t>
      </w:r>
      <w:r w:rsidR="00E57B1C">
        <w:rPr>
          <w:rFonts w:ascii="Tahoma" w:hAnsi="Tahoma" w:cs="Tahoma"/>
          <w:sz w:val="22"/>
          <w:szCs w:val="22"/>
        </w:rPr>
        <w:t>mediante la Resolución GNR 142907 del 30 de septiembre de 2013</w:t>
      </w:r>
      <w:r w:rsidR="007B133A">
        <w:rPr>
          <w:rFonts w:ascii="Tahoma" w:hAnsi="Tahoma" w:cs="Tahoma"/>
          <w:sz w:val="22"/>
          <w:szCs w:val="22"/>
        </w:rPr>
        <w:t>, en su calidad de beneficiaria del régimen de transición y con una mesada de $</w:t>
      </w:r>
      <w:r w:rsidR="00F06E13">
        <w:rPr>
          <w:rFonts w:ascii="Tahoma" w:hAnsi="Tahoma" w:cs="Tahoma"/>
          <w:sz w:val="22"/>
          <w:szCs w:val="22"/>
        </w:rPr>
        <w:t>2.854.188, resultado de aplicar una tasa de reemplazo del 78% a un IBL de $3.659.216.</w:t>
      </w:r>
    </w:p>
    <w:p w:rsidR="00F06E13" w:rsidRDefault="00F06E13" w:rsidP="00E41882">
      <w:pPr>
        <w:widowControl w:val="0"/>
        <w:autoSpaceDE w:val="0"/>
        <w:autoSpaceDN w:val="0"/>
        <w:adjustRightInd w:val="0"/>
        <w:spacing w:line="276" w:lineRule="auto"/>
        <w:ind w:firstLine="708"/>
        <w:jc w:val="both"/>
        <w:rPr>
          <w:rFonts w:ascii="Tahoma" w:hAnsi="Tahoma" w:cs="Tahoma"/>
          <w:sz w:val="22"/>
          <w:szCs w:val="22"/>
        </w:rPr>
      </w:pPr>
    </w:p>
    <w:p w:rsidR="007F2707" w:rsidRDefault="00F06E13"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Agrega que interpuso recurso de apelación en contra del aludido acto a efectos de que le fuera aplicada una tasa de reemplazo del 90%, no obstante, mediante la Resolución VPB</w:t>
      </w:r>
      <w:r w:rsidR="00592A13">
        <w:rPr>
          <w:rFonts w:ascii="Tahoma" w:hAnsi="Tahoma" w:cs="Tahoma"/>
          <w:sz w:val="22"/>
          <w:szCs w:val="22"/>
        </w:rPr>
        <w:t xml:space="preserve"> 12087 del 25 de julio de 2014, Colpensiones indicó que por error había reconocido le prestación con base en el Acuerdo 049 de 1990, pues no tuvo en cuenta que</w:t>
      </w:r>
      <w:r w:rsidR="00612616">
        <w:rPr>
          <w:rFonts w:ascii="Tahoma" w:hAnsi="Tahoma" w:cs="Tahoma"/>
          <w:sz w:val="22"/>
          <w:szCs w:val="22"/>
        </w:rPr>
        <w:t xml:space="preserve"> </w:t>
      </w:r>
      <w:r w:rsidR="00592A13">
        <w:rPr>
          <w:rFonts w:ascii="Tahoma" w:hAnsi="Tahoma" w:cs="Tahoma"/>
          <w:sz w:val="22"/>
          <w:szCs w:val="22"/>
        </w:rPr>
        <w:t xml:space="preserve">ella se había trasladado al régimen </w:t>
      </w:r>
      <w:r w:rsidR="002B776A">
        <w:rPr>
          <w:rFonts w:ascii="Tahoma" w:hAnsi="Tahoma" w:cs="Tahoma"/>
          <w:sz w:val="22"/>
          <w:szCs w:val="22"/>
        </w:rPr>
        <w:t>de ahorro individual</w:t>
      </w:r>
      <w:r w:rsidR="00612616">
        <w:rPr>
          <w:rFonts w:ascii="Tahoma" w:hAnsi="Tahoma" w:cs="Tahoma"/>
          <w:sz w:val="22"/>
          <w:szCs w:val="22"/>
        </w:rPr>
        <w:t xml:space="preserve">; razón por la cual </w:t>
      </w:r>
      <w:r w:rsidR="002B776A">
        <w:rPr>
          <w:rFonts w:ascii="Tahoma" w:hAnsi="Tahoma" w:cs="Tahoma"/>
          <w:sz w:val="22"/>
          <w:szCs w:val="22"/>
        </w:rPr>
        <w:t>modific</w:t>
      </w:r>
      <w:r w:rsidR="00612616">
        <w:rPr>
          <w:rFonts w:ascii="Tahoma" w:hAnsi="Tahoma" w:cs="Tahoma"/>
          <w:sz w:val="22"/>
          <w:szCs w:val="22"/>
        </w:rPr>
        <w:t>ó</w:t>
      </w:r>
      <w:r w:rsidR="002B776A">
        <w:rPr>
          <w:rFonts w:ascii="Tahoma" w:hAnsi="Tahoma" w:cs="Tahoma"/>
          <w:sz w:val="22"/>
          <w:szCs w:val="22"/>
        </w:rPr>
        <w:t xml:space="preserve"> el acto administrativo atacado, en el sentido de cambiar </w:t>
      </w:r>
      <w:r w:rsidR="00612616">
        <w:rPr>
          <w:rFonts w:ascii="Tahoma" w:hAnsi="Tahoma" w:cs="Tahoma"/>
          <w:sz w:val="22"/>
          <w:szCs w:val="22"/>
        </w:rPr>
        <w:t>la norma por la cual concedía la pensión, d</w:t>
      </w:r>
      <w:r w:rsidR="002B776A">
        <w:rPr>
          <w:rFonts w:ascii="Tahoma" w:hAnsi="Tahoma" w:cs="Tahoma"/>
          <w:sz w:val="22"/>
          <w:szCs w:val="22"/>
        </w:rPr>
        <w:t xml:space="preserve">el Decreto 758 de 1990 a la Ley 797 de 2003, </w:t>
      </w:r>
      <w:r w:rsidR="00612616">
        <w:rPr>
          <w:rFonts w:ascii="Tahoma" w:hAnsi="Tahoma" w:cs="Tahoma"/>
          <w:sz w:val="22"/>
          <w:szCs w:val="22"/>
        </w:rPr>
        <w:t xml:space="preserve">por lo que </w:t>
      </w:r>
      <w:r w:rsidR="002B776A">
        <w:rPr>
          <w:rFonts w:ascii="Tahoma" w:hAnsi="Tahoma" w:cs="Tahoma"/>
          <w:sz w:val="22"/>
          <w:szCs w:val="22"/>
        </w:rPr>
        <w:t>disminuy</w:t>
      </w:r>
      <w:r w:rsidR="00612616">
        <w:rPr>
          <w:rFonts w:ascii="Tahoma" w:hAnsi="Tahoma" w:cs="Tahoma"/>
          <w:sz w:val="22"/>
          <w:szCs w:val="22"/>
        </w:rPr>
        <w:t>ó</w:t>
      </w:r>
      <w:r w:rsidR="002B776A">
        <w:rPr>
          <w:rFonts w:ascii="Tahoma" w:hAnsi="Tahoma" w:cs="Tahoma"/>
          <w:sz w:val="22"/>
          <w:szCs w:val="22"/>
        </w:rPr>
        <w:t xml:space="preserve"> la tasa de reemplazo de 78% al 64,28%.</w:t>
      </w:r>
    </w:p>
    <w:p w:rsidR="007F2707" w:rsidRDefault="007F2707" w:rsidP="00E41882">
      <w:pPr>
        <w:widowControl w:val="0"/>
        <w:autoSpaceDE w:val="0"/>
        <w:autoSpaceDN w:val="0"/>
        <w:adjustRightInd w:val="0"/>
        <w:spacing w:line="276" w:lineRule="auto"/>
        <w:ind w:firstLine="708"/>
        <w:jc w:val="both"/>
        <w:rPr>
          <w:rFonts w:ascii="Tahoma" w:hAnsi="Tahoma" w:cs="Tahoma"/>
          <w:sz w:val="22"/>
          <w:szCs w:val="22"/>
        </w:rPr>
      </w:pPr>
    </w:p>
    <w:p w:rsidR="00BA1859" w:rsidRDefault="007F2707"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Informa que en la Resolución VPB 12087 del 25 de julio de 2014, Colpensiones indicó que al 1º de abril de 1994 ella no contaba con 15 años de servicio, por lo que no conservó el régimen de </w:t>
      </w:r>
      <w:r w:rsidR="00E63934">
        <w:rPr>
          <w:rFonts w:ascii="Tahoma" w:hAnsi="Tahoma" w:cs="Tahoma"/>
          <w:sz w:val="22"/>
          <w:szCs w:val="22"/>
        </w:rPr>
        <w:t>transición,</w:t>
      </w:r>
      <w:r>
        <w:rPr>
          <w:rFonts w:ascii="Tahoma" w:hAnsi="Tahoma" w:cs="Tahoma"/>
          <w:sz w:val="22"/>
          <w:szCs w:val="22"/>
        </w:rPr>
        <w:t xml:space="preserve"> d</w:t>
      </w:r>
      <w:r w:rsidR="00612616">
        <w:rPr>
          <w:rFonts w:ascii="Tahoma" w:hAnsi="Tahoma" w:cs="Tahoma"/>
          <w:sz w:val="22"/>
          <w:szCs w:val="22"/>
        </w:rPr>
        <w:t>esconociendo que a esa fecha tenía</w:t>
      </w:r>
      <w:r>
        <w:rPr>
          <w:rFonts w:ascii="Tahoma" w:hAnsi="Tahoma" w:cs="Tahoma"/>
          <w:sz w:val="22"/>
          <w:szCs w:val="22"/>
        </w:rPr>
        <w:t xml:space="preserve"> 35 años de edad</w:t>
      </w:r>
      <w:r w:rsidR="00612616">
        <w:rPr>
          <w:rFonts w:ascii="Tahoma" w:hAnsi="Tahoma" w:cs="Tahoma"/>
          <w:sz w:val="22"/>
          <w:szCs w:val="22"/>
        </w:rPr>
        <w:t>,</w:t>
      </w:r>
      <w:r>
        <w:rPr>
          <w:rFonts w:ascii="Tahoma" w:hAnsi="Tahoma" w:cs="Tahoma"/>
          <w:sz w:val="22"/>
          <w:szCs w:val="22"/>
        </w:rPr>
        <w:t xml:space="preserve"> y que mediante fallo de tutela del 14 de abril de 2009, el Juzgado Segundo Penal de Circuito de Pereira</w:t>
      </w:r>
      <w:r w:rsidR="00E63934">
        <w:rPr>
          <w:rFonts w:ascii="Tahoma" w:hAnsi="Tahoma" w:cs="Tahoma"/>
          <w:sz w:val="22"/>
          <w:szCs w:val="22"/>
        </w:rPr>
        <w:t xml:space="preserve"> ordenó el traslado de régimen pensional y le reconoció el régimen de transición.</w:t>
      </w:r>
    </w:p>
    <w:p w:rsidR="00E63934" w:rsidRDefault="00E63934" w:rsidP="00E41882">
      <w:pPr>
        <w:widowControl w:val="0"/>
        <w:autoSpaceDE w:val="0"/>
        <w:autoSpaceDN w:val="0"/>
        <w:adjustRightInd w:val="0"/>
        <w:spacing w:line="276" w:lineRule="auto"/>
        <w:ind w:firstLine="708"/>
        <w:jc w:val="both"/>
        <w:rPr>
          <w:rFonts w:ascii="Tahoma" w:hAnsi="Tahoma" w:cs="Tahoma"/>
          <w:sz w:val="22"/>
          <w:szCs w:val="22"/>
        </w:rPr>
      </w:pPr>
    </w:p>
    <w:p w:rsidR="000634C3" w:rsidRDefault="000634C3"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Alega que Colpensiones no podía revocar o modificar el acto administrativo atacado por vía de apelación en perjuicio de ella, pues para ello era necesario su autorización expresa y escrita, la cual no tenía.</w:t>
      </w:r>
      <w:r w:rsidR="00612616">
        <w:rPr>
          <w:rFonts w:ascii="Tahoma" w:hAnsi="Tahoma" w:cs="Tahoma"/>
          <w:sz w:val="22"/>
          <w:szCs w:val="22"/>
        </w:rPr>
        <w:t xml:space="preserve"> </w:t>
      </w:r>
      <w:r>
        <w:rPr>
          <w:rFonts w:ascii="Tahoma" w:hAnsi="Tahoma" w:cs="Tahoma"/>
          <w:sz w:val="22"/>
          <w:szCs w:val="22"/>
        </w:rPr>
        <w:t>Por último indica que el 3 de septiembre de 2013 solicitó a Colpensiones acogerse a la sentencia 062 de 2010 y</w:t>
      </w:r>
      <w:r w:rsidR="00612616">
        <w:rPr>
          <w:rFonts w:ascii="Tahoma" w:hAnsi="Tahoma" w:cs="Tahoma"/>
          <w:sz w:val="22"/>
          <w:szCs w:val="22"/>
        </w:rPr>
        <w:t>,</w:t>
      </w:r>
      <w:r>
        <w:rPr>
          <w:rFonts w:ascii="Tahoma" w:hAnsi="Tahoma" w:cs="Tahoma"/>
          <w:sz w:val="22"/>
          <w:szCs w:val="22"/>
        </w:rPr>
        <w:t xml:space="preserve"> que se encuentra a agotada la reclamación administrativa.</w:t>
      </w:r>
    </w:p>
    <w:p w:rsidR="00BA1859" w:rsidRDefault="00BA1859" w:rsidP="00E41882">
      <w:pPr>
        <w:widowControl w:val="0"/>
        <w:autoSpaceDE w:val="0"/>
        <w:autoSpaceDN w:val="0"/>
        <w:adjustRightInd w:val="0"/>
        <w:spacing w:line="276" w:lineRule="auto"/>
        <w:ind w:firstLine="708"/>
        <w:jc w:val="both"/>
        <w:rPr>
          <w:rFonts w:ascii="Tahoma" w:hAnsi="Tahoma" w:cs="Tahoma"/>
          <w:sz w:val="22"/>
          <w:szCs w:val="22"/>
        </w:rPr>
      </w:pPr>
    </w:p>
    <w:p w:rsidR="00DB3576" w:rsidRDefault="00776A8B"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Colpensiones aceptó </w:t>
      </w:r>
      <w:r w:rsidR="009D4A4E">
        <w:rPr>
          <w:rFonts w:ascii="Tahoma" w:hAnsi="Tahoma" w:cs="Tahoma"/>
          <w:sz w:val="22"/>
          <w:szCs w:val="22"/>
        </w:rPr>
        <w:t xml:space="preserve">los hechos relacionados con </w:t>
      </w:r>
      <w:r w:rsidR="00120EAB">
        <w:rPr>
          <w:rFonts w:ascii="Tahoma" w:hAnsi="Tahoma" w:cs="Tahoma"/>
          <w:sz w:val="22"/>
          <w:szCs w:val="22"/>
        </w:rPr>
        <w:t>el contenido de la Resolución GNR 242907 de 2013; el recurso de apelación presentado en contra de dicho acto y el contenido de la Resolución VPB 12087 de 2014, aclar</w:t>
      </w:r>
      <w:r w:rsidR="00612616">
        <w:rPr>
          <w:rFonts w:ascii="Tahoma" w:hAnsi="Tahoma" w:cs="Tahoma"/>
          <w:sz w:val="22"/>
          <w:szCs w:val="22"/>
        </w:rPr>
        <w:t>ando</w:t>
      </w:r>
      <w:r w:rsidR="00120EAB">
        <w:rPr>
          <w:rFonts w:ascii="Tahoma" w:hAnsi="Tahoma" w:cs="Tahoma"/>
          <w:sz w:val="22"/>
          <w:szCs w:val="22"/>
        </w:rPr>
        <w:t xml:space="preserve"> que el fallo de tutela </w:t>
      </w:r>
      <w:r w:rsidR="00612616">
        <w:rPr>
          <w:rFonts w:ascii="Tahoma" w:hAnsi="Tahoma" w:cs="Tahoma"/>
          <w:sz w:val="22"/>
          <w:szCs w:val="22"/>
        </w:rPr>
        <w:t xml:space="preserve">que ordenó el traslado </w:t>
      </w:r>
      <w:r w:rsidR="00120EAB">
        <w:rPr>
          <w:rFonts w:ascii="Tahoma" w:hAnsi="Tahoma" w:cs="Tahoma"/>
          <w:sz w:val="22"/>
          <w:szCs w:val="22"/>
        </w:rPr>
        <w:t>no impuso la conservación del régimen de transición</w:t>
      </w:r>
      <w:r w:rsidR="00612616">
        <w:rPr>
          <w:rFonts w:ascii="Tahoma" w:hAnsi="Tahoma" w:cs="Tahoma"/>
          <w:sz w:val="22"/>
          <w:szCs w:val="22"/>
        </w:rPr>
        <w:t xml:space="preserve">. Igualmente, </w:t>
      </w:r>
      <w:r w:rsidR="00120EAB">
        <w:rPr>
          <w:rFonts w:ascii="Tahoma" w:hAnsi="Tahoma" w:cs="Tahoma"/>
          <w:sz w:val="22"/>
          <w:szCs w:val="22"/>
        </w:rPr>
        <w:t xml:space="preserve">aceptó que la demandante presentó solicitud el 3 de septiembre de 2013 pidiendo que se </w:t>
      </w:r>
      <w:r w:rsidR="00DB3576">
        <w:rPr>
          <w:rFonts w:ascii="Tahoma" w:hAnsi="Tahoma" w:cs="Tahoma"/>
          <w:sz w:val="22"/>
          <w:szCs w:val="22"/>
        </w:rPr>
        <w:t>aplicara la sentencia 062 de 2010, y que se encuentra agotada la reclamación administrativa. Frente a los demás hechos indicó que eran apreciaciones de la demandante.</w:t>
      </w:r>
    </w:p>
    <w:p w:rsidR="00DB3576" w:rsidRDefault="00DB3576" w:rsidP="00E41882">
      <w:pPr>
        <w:widowControl w:val="0"/>
        <w:autoSpaceDE w:val="0"/>
        <w:autoSpaceDN w:val="0"/>
        <w:adjustRightInd w:val="0"/>
        <w:spacing w:line="276" w:lineRule="auto"/>
        <w:ind w:firstLine="708"/>
        <w:jc w:val="both"/>
        <w:rPr>
          <w:rFonts w:ascii="Tahoma" w:hAnsi="Tahoma" w:cs="Tahoma"/>
          <w:sz w:val="22"/>
          <w:szCs w:val="22"/>
        </w:rPr>
      </w:pPr>
    </w:p>
    <w:p w:rsidR="00DB3576" w:rsidRDefault="00DB3576"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 totalidad de las pretensiones y propuso las excepciones de mérito que denominó “Improcedencia de la reliquidación pensional” y “Prescripción”.</w:t>
      </w:r>
    </w:p>
    <w:p w:rsidR="004C547B" w:rsidRDefault="004C547B" w:rsidP="00E41882">
      <w:pPr>
        <w:widowControl w:val="0"/>
        <w:autoSpaceDE w:val="0"/>
        <w:autoSpaceDN w:val="0"/>
        <w:adjustRightInd w:val="0"/>
        <w:ind w:firstLine="708"/>
        <w:jc w:val="both"/>
        <w:rPr>
          <w:rFonts w:ascii="Tahoma" w:hAnsi="Tahoma" w:cs="Tahoma"/>
          <w:sz w:val="22"/>
          <w:szCs w:val="22"/>
        </w:rPr>
      </w:pPr>
    </w:p>
    <w:p w:rsidR="003A3BBB" w:rsidRPr="00EA3EFB" w:rsidRDefault="003A3BBB" w:rsidP="00E41882">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E41882">
      <w:pPr>
        <w:pStyle w:val="Sinespaciado"/>
        <w:rPr>
          <w:sz w:val="22"/>
          <w:szCs w:val="22"/>
        </w:rPr>
      </w:pPr>
    </w:p>
    <w:p w:rsidR="00C760C5" w:rsidRDefault="00DD1394"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Jueza de conocimiento</w:t>
      </w:r>
      <w:r w:rsidR="00533FD9">
        <w:rPr>
          <w:rFonts w:ascii="Tahoma" w:hAnsi="Tahoma" w:cs="Tahoma"/>
          <w:sz w:val="22"/>
          <w:szCs w:val="22"/>
        </w:rPr>
        <w:t xml:space="preserve"> declaró </w:t>
      </w:r>
      <w:r w:rsidR="007F0F5B">
        <w:rPr>
          <w:rFonts w:ascii="Tahoma" w:hAnsi="Tahoma" w:cs="Tahoma"/>
          <w:sz w:val="22"/>
          <w:szCs w:val="22"/>
        </w:rPr>
        <w:t xml:space="preserve">no probadas las excepciones propuestas por la entidad demandada y determinó </w:t>
      </w:r>
      <w:r w:rsidR="00C760C5">
        <w:rPr>
          <w:rFonts w:ascii="Tahoma" w:hAnsi="Tahoma" w:cs="Tahoma"/>
          <w:sz w:val="22"/>
          <w:szCs w:val="22"/>
        </w:rPr>
        <w:t>que la señora Bertha Inés Agudelo tiene derecho a que su pensión de vejez sea concedida con sustento en el Acuerdo 049 de 1990, por su condición de beneficiaria del régimen de transición</w:t>
      </w:r>
      <w:r w:rsidR="00612616">
        <w:rPr>
          <w:rFonts w:ascii="Tahoma" w:hAnsi="Tahoma" w:cs="Tahoma"/>
          <w:sz w:val="22"/>
          <w:szCs w:val="22"/>
        </w:rPr>
        <w:t>,</w:t>
      </w:r>
      <w:r w:rsidR="00C760C5">
        <w:rPr>
          <w:rFonts w:ascii="Tahoma" w:hAnsi="Tahoma" w:cs="Tahoma"/>
          <w:sz w:val="22"/>
          <w:szCs w:val="22"/>
        </w:rPr>
        <w:t xml:space="preserve"> y teniendo en cuenta la </w:t>
      </w:r>
      <w:r w:rsidR="005803F2">
        <w:rPr>
          <w:rFonts w:ascii="Tahoma" w:hAnsi="Tahoma" w:cs="Tahoma"/>
          <w:sz w:val="22"/>
          <w:szCs w:val="22"/>
        </w:rPr>
        <w:t>decisión inicial de Colpensiones contenida en la Resolución GNR 242907 de 2013</w:t>
      </w:r>
      <w:r w:rsidR="00612616">
        <w:rPr>
          <w:rFonts w:ascii="Tahoma" w:hAnsi="Tahoma" w:cs="Tahoma"/>
          <w:sz w:val="22"/>
          <w:szCs w:val="22"/>
        </w:rPr>
        <w:t xml:space="preserve">. En </w:t>
      </w:r>
      <w:r w:rsidR="005803F2">
        <w:rPr>
          <w:rFonts w:ascii="Tahoma" w:hAnsi="Tahoma" w:cs="Tahoma"/>
          <w:sz w:val="22"/>
          <w:szCs w:val="22"/>
        </w:rPr>
        <w:t>consecuencia, condenó a Colpensiones a pagar a la demandante la suma de $48.942.935.72, que corresponde al valor de la diferencia</w:t>
      </w:r>
      <w:r w:rsidR="008D68D0">
        <w:rPr>
          <w:rFonts w:ascii="Tahoma" w:hAnsi="Tahoma" w:cs="Tahoma"/>
          <w:sz w:val="22"/>
          <w:szCs w:val="22"/>
        </w:rPr>
        <w:t xml:space="preserve">, </w:t>
      </w:r>
      <w:r w:rsidR="008D68D0" w:rsidRPr="00612616">
        <w:rPr>
          <w:rFonts w:ascii="Tahoma" w:hAnsi="Tahoma" w:cs="Tahoma"/>
          <w:sz w:val="22"/>
          <w:szCs w:val="22"/>
        </w:rPr>
        <w:t>debidamente indexada</w:t>
      </w:r>
      <w:r w:rsidR="008D68D0">
        <w:rPr>
          <w:rFonts w:ascii="Tahoma" w:hAnsi="Tahoma" w:cs="Tahoma"/>
          <w:sz w:val="22"/>
          <w:szCs w:val="22"/>
        </w:rPr>
        <w:t>, que le ha debido cancelar a partir del 1º de octubre de 2013 y hasta el último día del mes de agosto de 2016.</w:t>
      </w:r>
    </w:p>
    <w:p w:rsidR="008D68D0" w:rsidRDefault="00612616"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lastRenderedPageBreak/>
        <w:t>Asimismo, o</w:t>
      </w:r>
      <w:r w:rsidR="008D68D0">
        <w:rPr>
          <w:rFonts w:ascii="Tahoma" w:hAnsi="Tahoma" w:cs="Tahoma"/>
          <w:sz w:val="22"/>
          <w:szCs w:val="22"/>
        </w:rPr>
        <w:t xml:space="preserve">rdenó que a partir del mes de septiembre de 2016 </w:t>
      </w:r>
      <w:r w:rsidR="00891AF7">
        <w:rPr>
          <w:rFonts w:ascii="Tahoma" w:hAnsi="Tahoma" w:cs="Tahoma"/>
          <w:sz w:val="22"/>
          <w:szCs w:val="22"/>
        </w:rPr>
        <w:t xml:space="preserve">Colpensiones </w:t>
      </w:r>
      <w:r w:rsidR="008D68D0">
        <w:rPr>
          <w:rFonts w:ascii="Tahoma" w:hAnsi="Tahoma" w:cs="Tahoma"/>
          <w:sz w:val="22"/>
          <w:szCs w:val="22"/>
        </w:rPr>
        <w:t xml:space="preserve">incluya en </w:t>
      </w:r>
      <w:r w:rsidR="00891AF7">
        <w:rPr>
          <w:rFonts w:ascii="Tahoma" w:hAnsi="Tahoma" w:cs="Tahoma"/>
          <w:sz w:val="22"/>
          <w:szCs w:val="22"/>
        </w:rPr>
        <w:t>nómina</w:t>
      </w:r>
      <w:r w:rsidR="008D68D0">
        <w:rPr>
          <w:rFonts w:ascii="Tahoma" w:hAnsi="Tahoma" w:cs="Tahoma"/>
          <w:sz w:val="22"/>
          <w:szCs w:val="22"/>
        </w:rPr>
        <w:t xml:space="preserve"> el nuevo valor de la mesada por la suma de $4.579.209, sin perjuicio de los aumentos legales establecidos</w:t>
      </w:r>
      <w:r w:rsidR="00891AF7">
        <w:rPr>
          <w:rFonts w:ascii="Tahoma" w:hAnsi="Tahoma" w:cs="Tahoma"/>
          <w:sz w:val="22"/>
          <w:szCs w:val="22"/>
        </w:rPr>
        <w:t xml:space="preserve"> en el artículo 14 de la Ley 100 de 1993.</w:t>
      </w:r>
    </w:p>
    <w:p w:rsidR="008D68D0" w:rsidRDefault="008D68D0" w:rsidP="00E41882">
      <w:pPr>
        <w:widowControl w:val="0"/>
        <w:autoSpaceDE w:val="0"/>
        <w:autoSpaceDN w:val="0"/>
        <w:adjustRightInd w:val="0"/>
        <w:spacing w:line="276" w:lineRule="auto"/>
        <w:ind w:firstLine="708"/>
        <w:jc w:val="both"/>
        <w:rPr>
          <w:rFonts w:ascii="Tahoma" w:hAnsi="Tahoma" w:cs="Tahoma"/>
          <w:sz w:val="22"/>
          <w:szCs w:val="22"/>
        </w:rPr>
      </w:pPr>
    </w:p>
    <w:p w:rsidR="00612616" w:rsidRDefault="008967BE" w:rsidP="00FB6C48">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llegar a tal determinación la A-quo consideró, en síntesis, </w:t>
      </w:r>
      <w:r w:rsidR="00FB6C48">
        <w:rPr>
          <w:rFonts w:ascii="Tahoma" w:hAnsi="Tahoma" w:cs="Tahoma"/>
          <w:sz w:val="22"/>
          <w:szCs w:val="22"/>
        </w:rPr>
        <w:t xml:space="preserve">que en la sentencia de tutela que ordenó el traslado de régimen el Juez constitucional consideró que la demandante tenía derecho a </w:t>
      </w:r>
      <w:r w:rsidR="007E69CD">
        <w:rPr>
          <w:rFonts w:ascii="Tahoma" w:hAnsi="Tahoma" w:cs="Tahoma"/>
          <w:sz w:val="22"/>
          <w:szCs w:val="22"/>
        </w:rPr>
        <w:t>retornar</w:t>
      </w:r>
      <w:r w:rsidR="00FB6C48">
        <w:rPr>
          <w:rFonts w:ascii="Tahoma" w:hAnsi="Tahoma" w:cs="Tahoma"/>
          <w:sz w:val="22"/>
          <w:szCs w:val="22"/>
        </w:rPr>
        <w:t xml:space="preserve"> al régimen de prima media por su condición de beneficiaria del régimen de transición</w:t>
      </w:r>
      <w:r w:rsidR="00EB3DAA">
        <w:rPr>
          <w:rFonts w:ascii="Tahoma" w:hAnsi="Tahoma" w:cs="Tahoma"/>
          <w:sz w:val="22"/>
          <w:szCs w:val="22"/>
        </w:rPr>
        <w:t>, por lo que e</w:t>
      </w:r>
      <w:r w:rsidR="00612616">
        <w:rPr>
          <w:rFonts w:ascii="Tahoma" w:hAnsi="Tahoma" w:cs="Tahoma"/>
          <w:sz w:val="22"/>
          <w:szCs w:val="22"/>
        </w:rPr>
        <w:t xml:space="preserve">sa determinación </w:t>
      </w:r>
      <w:r w:rsidR="00EB3DAA">
        <w:rPr>
          <w:rFonts w:ascii="Tahoma" w:hAnsi="Tahoma" w:cs="Tahoma"/>
          <w:sz w:val="22"/>
          <w:szCs w:val="22"/>
        </w:rPr>
        <w:t xml:space="preserve">está </w:t>
      </w:r>
      <w:r w:rsidR="007E69CD">
        <w:rPr>
          <w:rFonts w:ascii="Tahoma" w:hAnsi="Tahoma" w:cs="Tahoma"/>
          <w:sz w:val="22"/>
          <w:szCs w:val="22"/>
        </w:rPr>
        <w:t>revestid</w:t>
      </w:r>
      <w:r w:rsidR="00612616">
        <w:rPr>
          <w:rFonts w:ascii="Tahoma" w:hAnsi="Tahoma" w:cs="Tahoma"/>
          <w:sz w:val="22"/>
          <w:szCs w:val="22"/>
        </w:rPr>
        <w:t>a</w:t>
      </w:r>
      <w:r w:rsidR="00EB3DAA">
        <w:rPr>
          <w:rFonts w:ascii="Tahoma" w:hAnsi="Tahoma" w:cs="Tahoma"/>
          <w:sz w:val="22"/>
          <w:szCs w:val="22"/>
        </w:rPr>
        <w:t xml:space="preserve"> de cosa juzgada constitucional</w:t>
      </w:r>
      <w:r w:rsidR="00612616">
        <w:rPr>
          <w:rFonts w:ascii="Tahoma" w:hAnsi="Tahoma" w:cs="Tahoma"/>
          <w:sz w:val="22"/>
          <w:szCs w:val="22"/>
        </w:rPr>
        <w:t>; además</w:t>
      </w:r>
      <w:r w:rsidR="00EB3DAA">
        <w:rPr>
          <w:rFonts w:ascii="Tahoma" w:hAnsi="Tahoma" w:cs="Tahoma"/>
          <w:sz w:val="22"/>
          <w:szCs w:val="22"/>
        </w:rPr>
        <w:t xml:space="preserve">, </w:t>
      </w:r>
      <w:r w:rsidR="00612616">
        <w:rPr>
          <w:rFonts w:ascii="Tahoma" w:hAnsi="Tahoma" w:cs="Tahoma"/>
          <w:sz w:val="22"/>
          <w:szCs w:val="22"/>
        </w:rPr>
        <w:t>al</w:t>
      </w:r>
      <w:r w:rsidR="0056774A">
        <w:rPr>
          <w:rFonts w:ascii="Tahoma" w:hAnsi="Tahoma" w:cs="Tahoma"/>
          <w:sz w:val="22"/>
          <w:szCs w:val="22"/>
        </w:rPr>
        <w:t xml:space="preserve"> haberse apelado la Resolución GNR 242907 del 30 de septiembre de 2013 únicamente en lo relacionado con </w:t>
      </w:r>
      <w:r w:rsidR="009555F2">
        <w:rPr>
          <w:rFonts w:ascii="Tahoma" w:hAnsi="Tahoma" w:cs="Tahoma"/>
          <w:sz w:val="22"/>
          <w:szCs w:val="22"/>
        </w:rPr>
        <w:t xml:space="preserve">el valor de la </w:t>
      </w:r>
      <w:r w:rsidR="0056774A">
        <w:rPr>
          <w:rFonts w:ascii="Tahoma" w:hAnsi="Tahoma" w:cs="Tahoma"/>
          <w:sz w:val="22"/>
          <w:szCs w:val="22"/>
        </w:rPr>
        <w:t xml:space="preserve">tasa de reemplazo que se aplicó a la demandante, el resto de su contenido se encontraba </w:t>
      </w:r>
      <w:r w:rsidR="009555F2">
        <w:rPr>
          <w:rFonts w:ascii="Tahoma" w:hAnsi="Tahoma" w:cs="Tahoma"/>
          <w:sz w:val="22"/>
          <w:szCs w:val="22"/>
        </w:rPr>
        <w:t xml:space="preserve">ejecutoriado </w:t>
      </w:r>
      <w:r w:rsidR="0056774A">
        <w:rPr>
          <w:rFonts w:ascii="Tahoma" w:hAnsi="Tahoma" w:cs="Tahoma"/>
          <w:sz w:val="22"/>
          <w:szCs w:val="22"/>
        </w:rPr>
        <w:t xml:space="preserve">y, por lo tanto, </w:t>
      </w:r>
      <w:r w:rsidR="00612616">
        <w:rPr>
          <w:rFonts w:ascii="Tahoma" w:hAnsi="Tahoma" w:cs="Tahoma"/>
          <w:sz w:val="22"/>
          <w:szCs w:val="22"/>
        </w:rPr>
        <w:t>Colpensiones no podía modificar su propio acto sin efectuar el correspondiente trámite administrativo, so pena de violar el debido proceso y más precisamente el derecho de defensa de la demandante, bien porque el acto estaba revestido de legalidad o porque no había sido recurrido ningún otros aspecto del mismo.</w:t>
      </w:r>
    </w:p>
    <w:p w:rsidR="00612616" w:rsidRDefault="00612616" w:rsidP="00FB6C48">
      <w:pPr>
        <w:widowControl w:val="0"/>
        <w:autoSpaceDE w:val="0"/>
        <w:autoSpaceDN w:val="0"/>
        <w:adjustRightInd w:val="0"/>
        <w:spacing w:line="276" w:lineRule="auto"/>
        <w:ind w:firstLine="708"/>
        <w:jc w:val="both"/>
        <w:rPr>
          <w:rFonts w:ascii="Tahoma" w:hAnsi="Tahoma" w:cs="Tahoma"/>
          <w:sz w:val="22"/>
          <w:szCs w:val="22"/>
        </w:rPr>
      </w:pPr>
    </w:p>
    <w:p w:rsidR="00EB3DAA" w:rsidRDefault="00AA6E2E"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Agregó que como la demandante </w:t>
      </w:r>
      <w:r w:rsidR="00612616">
        <w:rPr>
          <w:rFonts w:ascii="Tahoma" w:hAnsi="Tahoma" w:cs="Tahoma"/>
          <w:sz w:val="22"/>
          <w:szCs w:val="22"/>
        </w:rPr>
        <w:t>cuenta con</w:t>
      </w:r>
      <w:r>
        <w:rPr>
          <w:rFonts w:ascii="Tahoma" w:hAnsi="Tahoma" w:cs="Tahoma"/>
          <w:sz w:val="22"/>
          <w:szCs w:val="22"/>
        </w:rPr>
        <w:t xml:space="preserve"> más de 1250 semanas cotizadas, tenía derecho a que su IBL</w:t>
      </w:r>
      <w:r w:rsidR="00B04FCD">
        <w:rPr>
          <w:rFonts w:ascii="Tahoma" w:hAnsi="Tahoma" w:cs="Tahoma"/>
          <w:sz w:val="22"/>
          <w:szCs w:val="22"/>
        </w:rPr>
        <w:t xml:space="preserve"> se calculara tanto con el promedio de los salarios devengados en toda su vida laboral como en los 10 años anteriores al reconocimiento de la prestación, última fórmula que Colpensiones encontró más favorable en la Resolución VPB 12087 de</w:t>
      </w:r>
      <w:r w:rsidR="00002AEC">
        <w:rPr>
          <w:rFonts w:ascii="Tahoma" w:hAnsi="Tahoma" w:cs="Tahoma"/>
          <w:sz w:val="22"/>
          <w:szCs w:val="22"/>
        </w:rPr>
        <w:t xml:space="preserve">l 25 de julio de 2014, y que arrojó un </w:t>
      </w:r>
      <w:r w:rsidR="00612616">
        <w:rPr>
          <w:rFonts w:ascii="Tahoma" w:hAnsi="Tahoma" w:cs="Tahoma"/>
          <w:sz w:val="22"/>
          <w:szCs w:val="22"/>
        </w:rPr>
        <w:t>IBL de $4.507.912,</w:t>
      </w:r>
      <w:r w:rsidR="00002AEC">
        <w:rPr>
          <w:rFonts w:ascii="Tahoma" w:hAnsi="Tahoma" w:cs="Tahoma"/>
          <w:sz w:val="22"/>
          <w:szCs w:val="22"/>
        </w:rPr>
        <w:t xml:space="preserve">  suma a la que había que aplicarle </w:t>
      </w:r>
      <w:r w:rsidR="00E812BC">
        <w:rPr>
          <w:rFonts w:ascii="Tahoma" w:hAnsi="Tahoma" w:cs="Tahoma"/>
          <w:sz w:val="22"/>
          <w:szCs w:val="22"/>
        </w:rPr>
        <w:t>el 90% de tasa de reemplazo consagrado en el Acuerdo 049 de 1990, para una primera mesada de $4.057.120</w:t>
      </w:r>
      <w:r w:rsidR="00612616">
        <w:rPr>
          <w:rFonts w:ascii="Tahoma" w:hAnsi="Tahoma" w:cs="Tahoma"/>
          <w:sz w:val="22"/>
          <w:szCs w:val="22"/>
        </w:rPr>
        <w:t>. Así las cosas, estimó que la actora</w:t>
      </w:r>
      <w:r w:rsidR="00E812BC">
        <w:rPr>
          <w:rFonts w:ascii="Tahoma" w:hAnsi="Tahoma" w:cs="Tahoma"/>
          <w:sz w:val="22"/>
          <w:szCs w:val="22"/>
        </w:rPr>
        <w:t xml:space="preserve"> tenía derecho a que se le cancelara la diferencia dejada de percibir por parte de Colpensiones, quien le reconoció la suma de $2.915.717, encontrando una diferencia que asciende a $45.683.752, monto </w:t>
      </w:r>
      <w:r w:rsidR="00EB3DAA">
        <w:rPr>
          <w:rFonts w:ascii="Tahoma" w:hAnsi="Tahoma" w:cs="Tahoma"/>
          <w:sz w:val="22"/>
          <w:szCs w:val="22"/>
        </w:rPr>
        <w:t>que al indexarse, con ocasión de la pérdida del poder adquisitivo de la moneda, asciende a $48.942.935.71.</w:t>
      </w:r>
    </w:p>
    <w:p w:rsidR="004F2069" w:rsidRDefault="004F2069" w:rsidP="00E41882">
      <w:pPr>
        <w:widowControl w:val="0"/>
        <w:autoSpaceDE w:val="0"/>
        <w:autoSpaceDN w:val="0"/>
        <w:adjustRightInd w:val="0"/>
        <w:spacing w:line="276" w:lineRule="auto"/>
        <w:ind w:firstLine="708"/>
        <w:jc w:val="both"/>
        <w:rPr>
          <w:rFonts w:ascii="Tahoma" w:hAnsi="Tahoma" w:cs="Tahoma"/>
          <w:sz w:val="22"/>
          <w:szCs w:val="22"/>
        </w:rPr>
      </w:pPr>
    </w:p>
    <w:p w:rsidR="003274A7" w:rsidRPr="00EA3EFB" w:rsidRDefault="007E4040" w:rsidP="00E41882">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Procedencia de la consulta</w:t>
      </w:r>
    </w:p>
    <w:p w:rsidR="00924F0D" w:rsidRDefault="00924F0D" w:rsidP="00E41882">
      <w:pPr>
        <w:spacing w:line="276" w:lineRule="auto"/>
        <w:ind w:firstLine="708"/>
        <w:jc w:val="both"/>
        <w:rPr>
          <w:rFonts w:ascii="Tahoma" w:hAnsi="Tahoma" w:cs="Tahoma"/>
          <w:sz w:val="22"/>
          <w:szCs w:val="22"/>
        </w:rPr>
      </w:pPr>
    </w:p>
    <w:p w:rsidR="00167EBE" w:rsidRDefault="00AB3EE5" w:rsidP="00E41882">
      <w:pPr>
        <w:spacing w:line="276" w:lineRule="auto"/>
        <w:ind w:firstLine="708"/>
        <w:jc w:val="both"/>
        <w:rPr>
          <w:rFonts w:ascii="Tahoma" w:hAnsi="Tahoma" w:cs="Tahoma"/>
          <w:sz w:val="22"/>
          <w:szCs w:val="22"/>
        </w:rPr>
      </w:pPr>
      <w:r>
        <w:rPr>
          <w:rFonts w:ascii="Tahoma" w:hAnsi="Tahoma" w:cs="Tahoma"/>
          <w:sz w:val="22"/>
          <w:szCs w:val="22"/>
        </w:rPr>
        <w:t xml:space="preserve">Como quiera que la decisión de primera instancia fue desfavorable para los intereses de </w:t>
      </w:r>
      <w:r w:rsidR="00A030B2">
        <w:rPr>
          <w:rFonts w:ascii="Tahoma" w:hAnsi="Tahoma" w:cs="Tahoma"/>
          <w:sz w:val="22"/>
          <w:szCs w:val="22"/>
        </w:rPr>
        <w:t>Colpensiones</w:t>
      </w:r>
      <w:r>
        <w:rPr>
          <w:rFonts w:ascii="Tahoma" w:hAnsi="Tahoma" w:cs="Tahoma"/>
          <w:sz w:val="22"/>
          <w:szCs w:val="22"/>
        </w:rPr>
        <w:t>, se dispuso el grado jurisdiccional de consulta.</w:t>
      </w:r>
    </w:p>
    <w:p w:rsidR="004F2069" w:rsidRDefault="004F2069" w:rsidP="00E41882">
      <w:pPr>
        <w:spacing w:line="276" w:lineRule="auto"/>
        <w:ind w:firstLine="708"/>
        <w:jc w:val="both"/>
        <w:rPr>
          <w:rFonts w:ascii="Tahoma" w:hAnsi="Tahoma" w:cs="Tahoma"/>
          <w:sz w:val="22"/>
          <w:szCs w:val="22"/>
        </w:rPr>
      </w:pPr>
    </w:p>
    <w:p w:rsidR="003A3BBB" w:rsidRDefault="003A3BBB" w:rsidP="00E4188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t>Consideraciones</w:t>
      </w:r>
    </w:p>
    <w:p w:rsidR="007E69CD" w:rsidRDefault="007E69CD" w:rsidP="007E69CD">
      <w:pPr>
        <w:widowControl w:val="0"/>
        <w:autoSpaceDE w:val="0"/>
        <w:autoSpaceDN w:val="0"/>
        <w:adjustRightInd w:val="0"/>
        <w:spacing w:line="276" w:lineRule="auto"/>
        <w:jc w:val="center"/>
        <w:rPr>
          <w:rFonts w:ascii="Tahoma" w:hAnsi="Tahoma" w:cs="Tahoma"/>
          <w:b/>
          <w:sz w:val="22"/>
          <w:szCs w:val="22"/>
        </w:rPr>
      </w:pPr>
    </w:p>
    <w:p w:rsidR="00612616" w:rsidRPr="00520272" w:rsidRDefault="00612616" w:rsidP="00612616">
      <w:pPr>
        <w:pStyle w:val="Prrafodelista"/>
        <w:numPr>
          <w:ilvl w:val="1"/>
          <w:numId w:val="30"/>
        </w:numPr>
        <w:tabs>
          <w:tab w:val="left" w:pos="567"/>
        </w:tabs>
        <w:spacing w:line="276" w:lineRule="auto"/>
        <w:jc w:val="both"/>
        <w:rPr>
          <w:rFonts w:ascii="Tahoma" w:hAnsi="Tahoma" w:cs="Tahoma"/>
          <w:b/>
          <w:sz w:val="22"/>
          <w:szCs w:val="22"/>
        </w:rPr>
      </w:pPr>
      <w:r>
        <w:rPr>
          <w:rFonts w:ascii="Tahoma" w:hAnsi="Tahoma" w:cs="Tahoma"/>
          <w:b/>
          <w:sz w:val="22"/>
          <w:szCs w:val="22"/>
        </w:rPr>
        <w:t>Acto administrativo</w:t>
      </w:r>
      <w:r w:rsidRPr="00520272">
        <w:rPr>
          <w:rFonts w:ascii="Tahoma" w:hAnsi="Tahoma" w:cs="Tahoma"/>
          <w:b/>
          <w:sz w:val="22"/>
          <w:szCs w:val="22"/>
        </w:rPr>
        <w:t>: Aplicación del principio de la confianza legítima</w:t>
      </w:r>
    </w:p>
    <w:p w:rsidR="00612616" w:rsidRDefault="00612616" w:rsidP="007E69CD">
      <w:pPr>
        <w:widowControl w:val="0"/>
        <w:autoSpaceDE w:val="0"/>
        <w:autoSpaceDN w:val="0"/>
        <w:adjustRightInd w:val="0"/>
        <w:spacing w:line="276" w:lineRule="auto"/>
        <w:jc w:val="center"/>
        <w:rPr>
          <w:rFonts w:ascii="Tahoma" w:hAnsi="Tahoma" w:cs="Tahoma"/>
          <w:b/>
          <w:sz w:val="22"/>
          <w:szCs w:val="22"/>
        </w:rPr>
      </w:pPr>
    </w:p>
    <w:p w:rsidR="00FD7D0A" w:rsidRPr="003B73E3" w:rsidRDefault="00612616" w:rsidP="00FD7D0A">
      <w:pPr>
        <w:widowControl w:val="0"/>
        <w:autoSpaceDE w:val="0"/>
        <w:autoSpaceDN w:val="0"/>
        <w:adjustRightInd w:val="0"/>
        <w:spacing w:line="276" w:lineRule="auto"/>
        <w:ind w:firstLine="708"/>
        <w:jc w:val="both"/>
      </w:pPr>
      <w:r w:rsidRPr="00612616">
        <w:rPr>
          <w:rFonts w:ascii="Tahoma" w:hAnsi="Tahoma" w:cs="Tahoma"/>
          <w:sz w:val="22"/>
          <w:szCs w:val="22"/>
        </w:rPr>
        <w:t xml:space="preserve">A </w:t>
      </w:r>
      <w:r>
        <w:rPr>
          <w:rFonts w:ascii="Tahoma" w:hAnsi="Tahoma" w:cs="Tahoma"/>
          <w:sz w:val="22"/>
          <w:szCs w:val="22"/>
        </w:rPr>
        <w:t>efectos de resolver el problema jurídico planteado, es menester traer a colación lo expuesto por la Corte Constitucional en la sentencia T-248 de 2008, M.P.</w:t>
      </w:r>
      <w:r w:rsidR="00FD7D0A">
        <w:rPr>
          <w:rFonts w:ascii="Tahoma" w:hAnsi="Tahoma" w:cs="Tahoma"/>
          <w:sz w:val="22"/>
          <w:szCs w:val="22"/>
        </w:rPr>
        <w:t xml:space="preserve"> </w:t>
      </w:r>
      <w:r w:rsidR="00FD7D0A" w:rsidRPr="00FD7D0A">
        <w:rPr>
          <w:rFonts w:ascii="Tahoma" w:hAnsi="Tahoma" w:cs="Tahoma"/>
          <w:sz w:val="22"/>
          <w:szCs w:val="22"/>
        </w:rPr>
        <w:t>Dr. Rodrigo Escobar Gil</w:t>
      </w:r>
      <w:r w:rsidR="00FD7D0A">
        <w:rPr>
          <w:rFonts w:ascii="Tahoma" w:hAnsi="Tahoma" w:cs="Tahoma"/>
          <w:sz w:val="22"/>
          <w:szCs w:val="22"/>
        </w:rPr>
        <w:t>, respecto de la confianza legítima de los actos administrativos. Así se expuso en la aludida providencia:</w:t>
      </w:r>
    </w:p>
    <w:p w:rsidR="00FD7D0A" w:rsidRPr="00612616" w:rsidRDefault="00FD7D0A" w:rsidP="00612616">
      <w:pPr>
        <w:widowControl w:val="0"/>
        <w:autoSpaceDE w:val="0"/>
        <w:autoSpaceDN w:val="0"/>
        <w:adjustRightInd w:val="0"/>
        <w:spacing w:line="276" w:lineRule="auto"/>
        <w:ind w:firstLine="708"/>
        <w:jc w:val="both"/>
        <w:rPr>
          <w:rFonts w:ascii="Tahoma" w:hAnsi="Tahoma" w:cs="Tahoma"/>
          <w:sz w:val="22"/>
          <w:szCs w:val="22"/>
        </w:rPr>
      </w:pPr>
    </w:p>
    <w:p w:rsidR="007E69CD" w:rsidRDefault="00FD7D0A" w:rsidP="00054180">
      <w:pPr>
        <w:ind w:left="709" w:right="618"/>
        <w:jc w:val="both"/>
        <w:rPr>
          <w:rFonts w:ascii="Arial Narrow" w:hAnsi="Arial Narrow"/>
          <w:b/>
          <w:bCs/>
        </w:rPr>
      </w:pPr>
      <w:r w:rsidRPr="00FD7D0A">
        <w:rPr>
          <w:rFonts w:ascii="Arial Narrow" w:hAnsi="Arial Narrow"/>
          <w:b/>
          <w:bCs/>
        </w:rPr>
        <w:t>“</w:t>
      </w:r>
      <w:r w:rsidR="007E69CD" w:rsidRPr="00FD7D0A">
        <w:rPr>
          <w:rFonts w:ascii="Arial Narrow" w:hAnsi="Arial Narrow"/>
          <w:b/>
          <w:bCs/>
        </w:rPr>
        <w:t>Principio de Buena Fe y sus Dimensiones de Confianza Legítima y Respeto por el Acto Propio</w:t>
      </w:r>
    </w:p>
    <w:p w:rsidR="00054180" w:rsidRPr="00054180" w:rsidRDefault="00054180" w:rsidP="00054180">
      <w:pPr>
        <w:ind w:left="709" w:right="618"/>
        <w:jc w:val="both"/>
        <w:rPr>
          <w:rFonts w:ascii="Arial Narrow" w:hAnsi="Arial Narrow"/>
          <w:b/>
          <w:bCs/>
        </w:rPr>
      </w:pPr>
    </w:p>
    <w:p w:rsidR="007E69CD" w:rsidRPr="00FD7D0A" w:rsidRDefault="007E69CD" w:rsidP="00FD7D0A">
      <w:pPr>
        <w:ind w:left="709" w:right="618"/>
        <w:jc w:val="both"/>
        <w:rPr>
          <w:rFonts w:ascii="Arial Narrow" w:hAnsi="Arial Narrow"/>
          <w:sz w:val="22"/>
          <w:szCs w:val="22"/>
        </w:rPr>
      </w:pPr>
      <w:r w:rsidRPr="00FD7D0A">
        <w:rPr>
          <w:rFonts w:ascii="Arial Narrow" w:hAnsi="Arial Narrow"/>
          <w:sz w:val="22"/>
          <w:szCs w:val="22"/>
        </w:rPr>
        <w:t>El principio de buena fe tiene, entre otras, dos manifestaciones concretas cuales son el respeto por el acto propio y la confianza legítima que, conjuntamente, previenen a los operadores jurídicos de contravenir sus actuaciones precedentes y de defraudar las expectativas que generan en los demás, a la vez que compelen a las autoridades y a los particulares a conservar una coherencia en sus actuaciones, un respeto por los compromisos adquiridos y una garantía de estabilidad y durabilidad de las situaciones que objetivamente permitan esperar el cumplimiento de las reglas propias del tráfico jurídico</w:t>
      </w:r>
      <w:r w:rsidRPr="00FD7D0A">
        <w:rPr>
          <w:rFonts w:ascii="Arial Narrow" w:hAnsi="Arial Narrow"/>
          <w:sz w:val="22"/>
          <w:szCs w:val="22"/>
          <w:vertAlign w:val="superscript"/>
        </w:rPr>
        <w:footnoteReference w:id="1"/>
      </w:r>
      <w:r w:rsidRPr="00FD7D0A">
        <w:rPr>
          <w:rFonts w:ascii="Arial Narrow" w:hAnsi="Arial Narrow"/>
          <w:sz w:val="22"/>
          <w:szCs w:val="22"/>
        </w:rPr>
        <w:t>.</w:t>
      </w:r>
    </w:p>
    <w:p w:rsidR="007E69CD" w:rsidRPr="00FD7D0A" w:rsidRDefault="007E69CD" w:rsidP="00FD7D0A">
      <w:pPr>
        <w:ind w:left="709" w:right="618"/>
        <w:jc w:val="both"/>
        <w:rPr>
          <w:rFonts w:ascii="Arial Narrow" w:hAnsi="Arial Narrow"/>
          <w:sz w:val="22"/>
          <w:szCs w:val="22"/>
        </w:rPr>
      </w:pPr>
    </w:p>
    <w:p w:rsidR="007E69CD" w:rsidRPr="00FD7D0A" w:rsidRDefault="007E69CD" w:rsidP="00FD7D0A">
      <w:pPr>
        <w:ind w:left="709" w:right="618"/>
        <w:jc w:val="both"/>
        <w:rPr>
          <w:rFonts w:ascii="Arial Narrow" w:hAnsi="Arial Narrow"/>
          <w:i/>
          <w:iCs/>
          <w:sz w:val="22"/>
          <w:szCs w:val="22"/>
        </w:rPr>
      </w:pPr>
      <w:r w:rsidRPr="00FD7D0A">
        <w:rPr>
          <w:rFonts w:ascii="Arial Narrow" w:hAnsi="Arial Narrow"/>
          <w:sz w:val="22"/>
          <w:szCs w:val="22"/>
        </w:rPr>
        <w:t>El principio de respeto por el acto propio comporta el deber de mantener una coherencia en las actuaciones desarrolladas a lo largo del tiempo</w:t>
      </w:r>
      <w:r w:rsidRPr="00FD7D0A">
        <w:rPr>
          <w:rFonts w:ascii="Arial Narrow" w:hAnsi="Arial Narrow"/>
          <w:sz w:val="22"/>
          <w:szCs w:val="22"/>
          <w:vertAlign w:val="superscript"/>
        </w:rPr>
        <w:footnoteReference w:id="2"/>
      </w:r>
      <w:r w:rsidRPr="00FD7D0A">
        <w:rPr>
          <w:rFonts w:ascii="Arial Narrow" w:hAnsi="Arial Narrow"/>
          <w:sz w:val="22"/>
          <w:szCs w:val="22"/>
        </w:rPr>
        <w:t xml:space="preserve">, de manera que deviene contraria al principio aludido toda actividad de los operadores jurídicos que, no obstante ser lícita, vaya en contravía de comportamientos precedentes que hayan tenido la entidad suficiente para generar en los interesados la expectativa de que, en adelante, aquéllos </w:t>
      </w:r>
      <w:r w:rsidRPr="00FD7D0A">
        <w:rPr>
          <w:rFonts w:ascii="Arial Narrow" w:hAnsi="Arial Narrow"/>
          <w:sz w:val="22"/>
          <w:szCs w:val="22"/>
        </w:rPr>
        <w:lastRenderedPageBreak/>
        <w:t xml:space="preserve">se comportarían consecuentemente con la actuación original. En efecto, la jurisprudencia constitucional ha establecido que, en desarrollo de este principio, se sanciona </w:t>
      </w:r>
      <w:r w:rsidRPr="00FD7D0A">
        <w:rPr>
          <w:rFonts w:ascii="Arial Narrow" w:hAnsi="Arial Narrow"/>
          <w:i/>
          <w:iCs/>
          <w:sz w:val="22"/>
          <w:szCs w:val="22"/>
        </w:rPr>
        <w:t>“como inadmisible toda pretensión lícita, pero objetivamente contradictoria, con respecto al propio comportamiento efectuado por el sujeto”</w:t>
      </w:r>
      <w:r w:rsidRPr="00FD7D0A">
        <w:rPr>
          <w:rFonts w:ascii="Arial Narrow" w:hAnsi="Arial Narrow"/>
          <w:i/>
          <w:iCs/>
          <w:sz w:val="22"/>
          <w:szCs w:val="22"/>
          <w:vertAlign w:val="superscript"/>
        </w:rPr>
        <w:footnoteReference w:id="3"/>
      </w:r>
      <w:r w:rsidRPr="00FD7D0A">
        <w:rPr>
          <w:rFonts w:ascii="Arial Narrow" w:hAnsi="Arial Narrow"/>
          <w:i/>
          <w:iCs/>
          <w:sz w:val="22"/>
          <w:szCs w:val="22"/>
        </w:rPr>
        <w:t>.</w:t>
      </w:r>
    </w:p>
    <w:p w:rsidR="007E69CD" w:rsidRPr="00FD7D0A" w:rsidRDefault="007E69CD" w:rsidP="00FD7D0A">
      <w:pPr>
        <w:ind w:left="709" w:right="618"/>
        <w:jc w:val="both"/>
        <w:rPr>
          <w:rFonts w:ascii="Arial Narrow" w:hAnsi="Arial Narrow"/>
          <w:i/>
          <w:iCs/>
          <w:sz w:val="22"/>
          <w:szCs w:val="22"/>
        </w:rPr>
      </w:pPr>
    </w:p>
    <w:p w:rsidR="007E69CD" w:rsidRPr="00FD7D0A" w:rsidRDefault="007E69CD" w:rsidP="00FD7D0A">
      <w:pPr>
        <w:ind w:left="709" w:right="618"/>
        <w:jc w:val="both"/>
        <w:rPr>
          <w:rFonts w:ascii="Arial Narrow" w:hAnsi="Arial Narrow"/>
          <w:sz w:val="22"/>
          <w:szCs w:val="22"/>
        </w:rPr>
      </w:pPr>
      <w:r w:rsidRPr="00FD7D0A">
        <w:rPr>
          <w:rFonts w:ascii="Arial Narrow" w:hAnsi="Arial Narrow"/>
          <w:sz w:val="22"/>
          <w:szCs w:val="22"/>
        </w:rPr>
        <w:t>Por su parte, el principio de confianza legítima busca proteger al administrado frente a las modificaciones intempestivas que adopte la administración</w:t>
      </w:r>
      <w:r w:rsidRPr="00FD7D0A">
        <w:rPr>
          <w:rFonts w:ascii="Arial Narrow" w:hAnsi="Arial Narrow"/>
          <w:sz w:val="22"/>
          <w:szCs w:val="22"/>
          <w:vertAlign w:val="superscript"/>
        </w:rPr>
        <w:footnoteReference w:id="4"/>
      </w:r>
      <w:r w:rsidRPr="00FD7D0A">
        <w:rPr>
          <w:rFonts w:ascii="Arial Narrow" w:hAnsi="Arial Narrow"/>
          <w:sz w:val="22"/>
          <w:szCs w:val="22"/>
        </w:rPr>
        <w:t>, que afecten situaciones respecto de las cuales, si bien el interesado no tiene consolidado un derecho adquirido, sí goza de razones objetivas para confiar en su durabilidad</w:t>
      </w:r>
      <w:r w:rsidRPr="00FD7D0A">
        <w:rPr>
          <w:rFonts w:ascii="Arial Narrow" w:hAnsi="Arial Narrow"/>
          <w:sz w:val="22"/>
          <w:szCs w:val="22"/>
          <w:vertAlign w:val="superscript"/>
        </w:rPr>
        <w:footnoteReference w:id="5"/>
      </w:r>
      <w:r w:rsidRPr="00FD7D0A">
        <w:rPr>
          <w:rFonts w:ascii="Arial Narrow" w:hAnsi="Arial Narrow"/>
          <w:sz w:val="22"/>
          <w:szCs w:val="22"/>
        </w:rPr>
        <w:t>, de manera que no le es dado a las autoridades desconocer abruptamente la confianza que su acción u omisión había generado en los particulares, máxime cuando ello compromete el ejercicio de sus derechos fundamentales.</w:t>
      </w:r>
    </w:p>
    <w:p w:rsidR="007E69CD" w:rsidRPr="00FD7D0A" w:rsidRDefault="007E69CD" w:rsidP="00FD7D0A">
      <w:pPr>
        <w:ind w:left="709" w:right="618"/>
        <w:jc w:val="both"/>
        <w:rPr>
          <w:rFonts w:ascii="Arial Narrow" w:hAnsi="Arial Narrow"/>
          <w:sz w:val="22"/>
          <w:szCs w:val="22"/>
        </w:rPr>
      </w:pPr>
    </w:p>
    <w:p w:rsidR="007E69CD" w:rsidRPr="00FD7D0A" w:rsidRDefault="007E69CD" w:rsidP="00FD7D0A">
      <w:pPr>
        <w:ind w:left="709" w:right="618"/>
        <w:jc w:val="both"/>
        <w:rPr>
          <w:rFonts w:ascii="Arial Narrow" w:hAnsi="Arial Narrow"/>
          <w:sz w:val="22"/>
          <w:szCs w:val="22"/>
        </w:rPr>
      </w:pPr>
      <w:r w:rsidRPr="00FD7D0A">
        <w:rPr>
          <w:rFonts w:ascii="Arial Narrow" w:hAnsi="Arial Narrow"/>
          <w:spacing w:val="5"/>
          <w:sz w:val="22"/>
          <w:szCs w:val="22"/>
        </w:rPr>
        <w:t>Esto, sin embargo, no significa que las autoridades administrativas se encuentren impedidas para adoptar medidas que modifiquen las expectativas de los individuos, como quiera que, se reitera, no se trata de derechos adquiridos, sino que implica que la adopción de tales medidas no puede darse de forma sorpresiva e intempestiva</w:t>
      </w:r>
      <w:r w:rsidRPr="00FD7D0A">
        <w:rPr>
          <w:rFonts w:ascii="Arial Narrow" w:hAnsi="Arial Narrow"/>
          <w:spacing w:val="5"/>
          <w:sz w:val="22"/>
          <w:szCs w:val="22"/>
          <w:vertAlign w:val="superscript"/>
        </w:rPr>
        <w:footnoteReference w:id="6"/>
      </w:r>
      <w:r w:rsidRPr="00FD7D0A">
        <w:rPr>
          <w:rFonts w:ascii="Arial Narrow" w:hAnsi="Arial Narrow"/>
          <w:spacing w:val="5"/>
          <w:sz w:val="22"/>
          <w:szCs w:val="22"/>
        </w:rPr>
        <w:t xml:space="preserve"> y que, por el contrario, debe permitir la transición de los interesados de un escenario a otro</w:t>
      </w:r>
      <w:r w:rsidRPr="00FD7D0A">
        <w:rPr>
          <w:rFonts w:ascii="Arial Narrow" w:hAnsi="Arial Narrow"/>
          <w:sz w:val="22"/>
          <w:szCs w:val="22"/>
          <w:vertAlign w:val="superscript"/>
        </w:rPr>
        <w:footnoteReference w:id="7"/>
      </w:r>
      <w:r w:rsidRPr="00FD7D0A">
        <w:rPr>
          <w:rFonts w:ascii="Arial Narrow" w:hAnsi="Arial Narrow"/>
          <w:sz w:val="22"/>
          <w:szCs w:val="22"/>
        </w:rPr>
        <w:t>.</w:t>
      </w:r>
    </w:p>
    <w:p w:rsidR="007E69CD" w:rsidRPr="00FD7D0A" w:rsidRDefault="007E69CD" w:rsidP="00FD7D0A">
      <w:pPr>
        <w:ind w:left="709" w:right="618"/>
        <w:jc w:val="both"/>
        <w:rPr>
          <w:rFonts w:ascii="Arial Narrow" w:hAnsi="Arial Narrow"/>
          <w:sz w:val="22"/>
          <w:szCs w:val="22"/>
        </w:rPr>
      </w:pPr>
    </w:p>
    <w:p w:rsidR="007E69CD" w:rsidRPr="00FD7D0A" w:rsidRDefault="007E69CD" w:rsidP="00FD7D0A">
      <w:pPr>
        <w:ind w:left="709" w:right="618"/>
        <w:jc w:val="both"/>
        <w:rPr>
          <w:rFonts w:ascii="Arial Narrow" w:hAnsi="Arial Narrow"/>
          <w:sz w:val="22"/>
          <w:szCs w:val="22"/>
        </w:rPr>
      </w:pPr>
      <w:r w:rsidRPr="00FD7D0A">
        <w:rPr>
          <w:rFonts w:ascii="Arial Narrow" w:hAnsi="Arial Narrow"/>
          <w:sz w:val="22"/>
          <w:szCs w:val="22"/>
        </w:rPr>
        <w:t>El desconocimiento, dentro del marco de un proceso administrativo, del principio de buena fe, en sus dimensiones de confianza legítima y respeto por el acto propio, comporta una vulneración del derecho al debido proceso, como quiera que éste comprende la garantía de que las decisiones que se profieran en su curso atenderán a las reglas de juego previamente establecidas así como a las expectativas que la administración, en virtud de sus actos, generó en un particular</w:t>
      </w:r>
      <w:r w:rsidRPr="00FD7D0A">
        <w:rPr>
          <w:rFonts w:ascii="Arial Narrow" w:hAnsi="Arial Narrow"/>
          <w:sz w:val="22"/>
          <w:szCs w:val="22"/>
          <w:vertAlign w:val="superscript"/>
        </w:rPr>
        <w:footnoteReference w:id="8"/>
      </w:r>
      <w:r w:rsidRPr="00FD7D0A">
        <w:rPr>
          <w:rFonts w:ascii="Arial Narrow" w:hAnsi="Arial Narrow"/>
          <w:sz w:val="22"/>
          <w:szCs w:val="22"/>
        </w:rPr>
        <w:t>.</w:t>
      </w:r>
      <w:r w:rsidR="00FD7D0A" w:rsidRPr="00FD7D0A">
        <w:rPr>
          <w:rFonts w:ascii="Arial Narrow" w:hAnsi="Arial Narrow"/>
          <w:sz w:val="22"/>
          <w:szCs w:val="22"/>
        </w:rPr>
        <w:t>”</w:t>
      </w:r>
    </w:p>
    <w:p w:rsidR="007E69CD" w:rsidRDefault="007E69CD" w:rsidP="007E69CD">
      <w:pPr>
        <w:widowControl w:val="0"/>
        <w:autoSpaceDE w:val="0"/>
        <w:autoSpaceDN w:val="0"/>
        <w:adjustRightInd w:val="0"/>
        <w:spacing w:line="276" w:lineRule="auto"/>
        <w:jc w:val="center"/>
        <w:rPr>
          <w:rFonts w:ascii="Tahoma" w:hAnsi="Tahoma" w:cs="Tahoma"/>
          <w:b/>
          <w:sz w:val="22"/>
          <w:szCs w:val="22"/>
        </w:rPr>
      </w:pPr>
    </w:p>
    <w:p w:rsidR="00F01032" w:rsidRPr="00F81734" w:rsidRDefault="00F01032" w:rsidP="00E41882">
      <w:pPr>
        <w:pStyle w:val="Textoindependiente"/>
        <w:numPr>
          <w:ilvl w:val="1"/>
          <w:numId w:val="8"/>
        </w:numPr>
        <w:spacing w:after="0" w:line="276" w:lineRule="auto"/>
        <w:ind w:right="51" w:hanging="371"/>
        <w:jc w:val="both"/>
        <w:rPr>
          <w:rFonts w:ascii="Tahoma" w:hAnsi="Tahoma" w:cs="Tahoma"/>
          <w:b/>
          <w:sz w:val="22"/>
          <w:szCs w:val="22"/>
        </w:rPr>
      </w:pPr>
      <w:r>
        <w:rPr>
          <w:rFonts w:ascii="Tahoma" w:hAnsi="Tahoma" w:cs="Tahoma"/>
          <w:b/>
          <w:sz w:val="22"/>
          <w:szCs w:val="22"/>
        </w:rPr>
        <w:t xml:space="preserve"> </w:t>
      </w:r>
      <w:r w:rsidRPr="00F81734">
        <w:rPr>
          <w:rFonts w:ascii="Tahoma" w:hAnsi="Tahoma" w:cs="Tahoma"/>
          <w:b/>
          <w:sz w:val="22"/>
          <w:szCs w:val="22"/>
        </w:rPr>
        <w:t>Caso concreto</w:t>
      </w:r>
    </w:p>
    <w:p w:rsidR="00F01032" w:rsidRPr="00F81734" w:rsidRDefault="00F01032" w:rsidP="00E41882">
      <w:pPr>
        <w:spacing w:line="276" w:lineRule="auto"/>
        <w:jc w:val="both"/>
        <w:rPr>
          <w:rFonts w:ascii="Tahoma" w:hAnsi="Tahoma" w:cs="Tahoma"/>
          <w:sz w:val="22"/>
          <w:szCs w:val="22"/>
        </w:rPr>
      </w:pPr>
      <w:r w:rsidRPr="00F81734">
        <w:rPr>
          <w:rFonts w:ascii="Tahoma" w:hAnsi="Tahoma" w:cs="Tahoma"/>
          <w:sz w:val="22"/>
          <w:szCs w:val="22"/>
        </w:rPr>
        <w:tab/>
      </w:r>
    </w:p>
    <w:p w:rsidR="00BB4372" w:rsidRPr="00BB4372" w:rsidRDefault="00924F0D" w:rsidP="00BB4372">
      <w:pPr>
        <w:widowControl w:val="0"/>
        <w:autoSpaceDE w:val="0"/>
        <w:autoSpaceDN w:val="0"/>
        <w:adjustRightInd w:val="0"/>
        <w:spacing w:line="276" w:lineRule="auto"/>
        <w:ind w:firstLine="708"/>
        <w:jc w:val="both"/>
        <w:rPr>
          <w:rFonts w:ascii="Tahoma" w:hAnsi="Tahoma" w:cs="Tahoma"/>
          <w:bCs/>
          <w:sz w:val="22"/>
          <w:szCs w:val="22"/>
        </w:rPr>
      </w:pPr>
      <w:r w:rsidRPr="00EA6BEB">
        <w:rPr>
          <w:rFonts w:ascii="Tahoma" w:hAnsi="Tahoma" w:cs="Tahoma"/>
          <w:sz w:val="22"/>
          <w:szCs w:val="22"/>
        </w:rPr>
        <w:t>No es necesario un discernimiento profundo en el caso de marras para concluir que la decisión a la que arribó la Jueza de primer grado fue acertada, pues</w:t>
      </w:r>
      <w:r w:rsidR="003064FA">
        <w:rPr>
          <w:rFonts w:ascii="Tahoma" w:hAnsi="Tahoma" w:cs="Tahoma"/>
          <w:sz w:val="22"/>
          <w:szCs w:val="22"/>
        </w:rPr>
        <w:t xml:space="preserve"> </w:t>
      </w:r>
      <w:r w:rsidR="00BB4372">
        <w:rPr>
          <w:rFonts w:ascii="Tahoma" w:hAnsi="Tahoma" w:cs="Tahoma"/>
          <w:sz w:val="22"/>
          <w:szCs w:val="22"/>
        </w:rPr>
        <w:t>a</w:t>
      </w:r>
      <w:r w:rsidR="00BB4372" w:rsidRPr="00BB4372">
        <w:rPr>
          <w:rFonts w:ascii="Tahoma" w:hAnsi="Tahoma" w:cs="Tahoma"/>
          <w:bCs/>
          <w:sz w:val="22"/>
          <w:szCs w:val="22"/>
        </w:rPr>
        <w:t>l haberse reconocido la calidad de beneficiaria del régimen de transición de la señora Agudelo Vega en la Resolución GNR 242907 del 30 de septiembre de 2013, así como el hecho de que la norma aplicable a su caso concreto era el Acuerdo 049 de 1990, dicho acto gozaba de la presunción de legalidad de las actuaciones de la administración pública y, por lo tanto, s</w:t>
      </w:r>
      <w:r w:rsidR="00AF519E">
        <w:rPr>
          <w:rFonts w:ascii="Tahoma" w:hAnsi="Tahoma" w:cs="Tahoma"/>
          <w:bCs/>
          <w:sz w:val="22"/>
          <w:szCs w:val="22"/>
        </w:rPr>
        <w:t>i la entidad demandada consideraba</w:t>
      </w:r>
      <w:r w:rsidR="00BB4372" w:rsidRPr="00BB4372">
        <w:rPr>
          <w:rFonts w:ascii="Tahoma" w:hAnsi="Tahoma" w:cs="Tahoma"/>
          <w:bCs/>
          <w:sz w:val="22"/>
          <w:szCs w:val="22"/>
        </w:rPr>
        <w:t xml:space="preserve"> que en el mismo existía un yerro, debía solicitar su ilegalidad ante la Jurisdicción de lo Contencioso Administrativo y no proceder a modificarlo</w:t>
      </w:r>
      <w:r w:rsidR="009621F6">
        <w:rPr>
          <w:rFonts w:ascii="Tahoma" w:hAnsi="Tahoma" w:cs="Tahoma"/>
          <w:bCs/>
          <w:sz w:val="22"/>
          <w:szCs w:val="22"/>
        </w:rPr>
        <w:t>,</w:t>
      </w:r>
      <w:r w:rsidR="00BB4372" w:rsidRPr="00BB4372">
        <w:rPr>
          <w:rFonts w:ascii="Tahoma" w:hAnsi="Tahoma" w:cs="Tahoma"/>
          <w:bCs/>
          <w:sz w:val="22"/>
          <w:szCs w:val="22"/>
        </w:rPr>
        <w:t xml:space="preserve"> </w:t>
      </w:r>
      <w:r w:rsidR="00BB4372" w:rsidRPr="00BB4372">
        <w:rPr>
          <w:rFonts w:ascii="Tahoma" w:hAnsi="Tahoma" w:cs="Tahoma"/>
          <w:bCs/>
          <w:i/>
          <w:sz w:val="22"/>
          <w:szCs w:val="22"/>
        </w:rPr>
        <w:t>motu proprio</w:t>
      </w:r>
      <w:r w:rsidR="00BB4372" w:rsidRPr="00BB4372">
        <w:rPr>
          <w:rFonts w:ascii="Tahoma" w:hAnsi="Tahoma" w:cs="Tahoma"/>
          <w:bCs/>
          <w:sz w:val="22"/>
          <w:szCs w:val="22"/>
        </w:rPr>
        <w:t xml:space="preserve">, en el acto a través del cual resolvió el recurso de apelación interpuesto por aquella, pues en este no podía emitir un pronunciamiento que fuera en desmedro de los intereses de la apelante </w:t>
      </w:r>
      <w:r w:rsidR="00BB4372" w:rsidRPr="00BB2CF5">
        <w:rPr>
          <w:rFonts w:ascii="Tahoma" w:hAnsi="Tahoma" w:cs="Tahoma"/>
          <w:bCs/>
          <w:color w:val="000000" w:themeColor="text1"/>
          <w:sz w:val="22"/>
          <w:szCs w:val="22"/>
        </w:rPr>
        <w:t xml:space="preserve">única, transgrediendo el derecho al debido proceso al pasar por alto el principio de la </w:t>
      </w:r>
      <w:r w:rsidR="00BB4372" w:rsidRPr="00BB2CF5">
        <w:rPr>
          <w:rFonts w:ascii="Tahoma" w:hAnsi="Tahoma" w:cs="Tahoma"/>
          <w:bCs/>
          <w:i/>
          <w:color w:val="000000" w:themeColor="text1"/>
          <w:sz w:val="22"/>
          <w:szCs w:val="22"/>
        </w:rPr>
        <w:t xml:space="preserve">non </w:t>
      </w:r>
      <w:proofErr w:type="spellStart"/>
      <w:r w:rsidR="00BB4372" w:rsidRPr="00BB2CF5">
        <w:rPr>
          <w:rFonts w:ascii="Tahoma" w:hAnsi="Tahoma" w:cs="Tahoma"/>
          <w:bCs/>
          <w:i/>
          <w:color w:val="000000" w:themeColor="text1"/>
          <w:sz w:val="22"/>
          <w:szCs w:val="22"/>
        </w:rPr>
        <w:t>reformatio</w:t>
      </w:r>
      <w:proofErr w:type="spellEnd"/>
      <w:r w:rsidR="00BB4372" w:rsidRPr="00BB2CF5">
        <w:rPr>
          <w:rFonts w:ascii="Tahoma" w:hAnsi="Tahoma" w:cs="Tahoma"/>
          <w:bCs/>
          <w:i/>
          <w:color w:val="000000" w:themeColor="text1"/>
          <w:sz w:val="22"/>
          <w:szCs w:val="22"/>
        </w:rPr>
        <w:t xml:space="preserve"> in </w:t>
      </w:r>
      <w:proofErr w:type="spellStart"/>
      <w:r w:rsidR="00BB4372" w:rsidRPr="00BB2CF5">
        <w:rPr>
          <w:rFonts w:ascii="Tahoma" w:hAnsi="Tahoma" w:cs="Tahoma"/>
          <w:bCs/>
          <w:i/>
          <w:color w:val="000000" w:themeColor="text1"/>
          <w:sz w:val="22"/>
          <w:szCs w:val="22"/>
        </w:rPr>
        <w:t>pejus</w:t>
      </w:r>
      <w:proofErr w:type="spellEnd"/>
      <w:r w:rsidR="00AF519E" w:rsidRPr="00BB2CF5">
        <w:rPr>
          <w:rFonts w:ascii="Tahoma" w:hAnsi="Tahoma" w:cs="Tahoma"/>
          <w:bCs/>
          <w:i/>
          <w:color w:val="000000" w:themeColor="text1"/>
          <w:sz w:val="22"/>
          <w:szCs w:val="22"/>
        </w:rPr>
        <w:t xml:space="preserve">. </w:t>
      </w:r>
      <w:r w:rsidR="00AF519E" w:rsidRPr="00BB2CF5">
        <w:rPr>
          <w:rFonts w:ascii="Tahoma" w:hAnsi="Tahoma" w:cs="Tahoma"/>
          <w:bCs/>
          <w:color w:val="000000" w:themeColor="text1"/>
          <w:sz w:val="22"/>
          <w:szCs w:val="22"/>
        </w:rPr>
        <w:t xml:space="preserve">Adicional a ello, tampoco podía Colpensiones desatender una sentencia de tutela que reconoció a la actora la calidad de beneficiaria del régimen de transición. </w:t>
      </w:r>
    </w:p>
    <w:p w:rsidR="00BB4372" w:rsidRDefault="00BB4372" w:rsidP="00CD4263">
      <w:pPr>
        <w:widowControl w:val="0"/>
        <w:autoSpaceDE w:val="0"/>
        <w:autoSpaceDN w:val="0"/>
        <w:adjustRightInd w:val="0"/>
        <w:spacing w:line="276" w:lineRule="auto"/>
        <w:ind w:firstLine="708"/>
        <w:jc w:val="both"/>
        <w:rPr>
          <w:rFonts w:ascii="Tahoma" w:hAnsi="Tahoma" w:cs="Tahoma"/>
          <w:sz w:val="22"/>
          <w:szCs w:val="22"/>
        </w:rPr>
      </w:pPr>
    </w:p>
    <w:p w:rsidR="005F3A42" w:rsidRDefault="009621F6" w:rsidP="00CD426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Recuérdese que la apelación interpuesta por la promotora del litigio en contra de la Resolución GNR 242907 del 30 de septiembre de 2013 (</w:t>
      </w:r>
      <w:proofErr w:type="spellStart"/>
      <w:r>
        <w:rPr>
          <w:rFonts w:ascii="Tahoma" w:hAnsi="Tahoma" w:cs="Tahoma"/>
          <w:sz w:val="22"/>
          <w:szCs w:val="22"/>
        </w:rPr>
        <w:t>fl</w:t>
      </w:r>
      <w:proofErr w:type="spellEnd"/>
      <w:r>
        <w:rPr>
          <w:rFonts w:ascii="Tahoma" w:hAnsi="Tahoma" w:cs="Tahoma"/>
          <w:sz w:val="22"/>
          <w:szCs w:val="22"/>
        </w:rPr>
        <w:t xml:space="preserve">. 30 y s.s.), estuvo encaminada a que se corrigiera la tasa de reemplazo </w:t>
      </w:r>
      <w:r w:rsidR="009D2E73">
        <w:rPr>
          <w:rFonts w:ascii="Tahoma" w:hAnsi="Tahoma" w:cs="Tahoma"/>
          <w:sz w:val="22"/>
          <w:szCs w:val="22"/>
        </w:rPr>
        <w:t xml:space="preserve">del </w:t>
      </w:r>
      <w:r w:rsidR="009D2E73" w:rsidRPr="009D2E73">
        <w:rPr>
          <w:rFonts w:ascii="Tahoma" w:hAnsi="Tahoma" w:cs="Tahoma"/>
          <w:b/>
          <w:sz w:val="22"/>
          <w:szCs w:val="22"/>
        </w:rPr>
        <w:t>78%</w:t>
      </w:r>
      <w:r w:rsidR="009D2E73" w:rsidRPr="009D2E73">
        <w:rPr>
          <w:rFonts w:ascii="Tahoma" w:hAnsi="Tahoma" w:cs="Tahoma"/>
          <w:sz w:val="22"/>
          <w:szCs w:val="22"/>
        </w:rPr>
        <w:t xml:space="preserve"> plasmada en </w:t>
      </w:r>
      <w:r w:rsidR="005F3A42">
        <w:rPr>
          <w:rFonts w:ascii="Tahoma" w:hAnsi="Tahoma" w:cs="Tahoma"/>
          <w:sz w:val="22"/>
          <w:szCs w:val="22"/>
        </w:rPr>
        <w:t>aquel</w:t>
      </w:r>
      <w:r w:rsidR="009D2E73" w:rsidRPr="009D2E73">
        <w:rPr>
          <w:rFonts w:ascii="Tahoma" w:hAnsi="Tahoma" w:cs="Tahoma"/>
          <w:sz w:val="22"/>
          <w:szCs w:val="22"/>
        </w:rPr>
        <w:t xml:space="preserve"> acto</w:t>
      </w:r>
      <w:r w:rsidR="00B66CB4">
        <w:rPr>
          <w:rFonts w:ascii="Tahoma" w:hAnsi="Tahoma" w:cs="Tahoma"/>
          <w:sz w:val="22"/>
          <w:szCs w:val="22"/>
        </w:rPr>
        <w:t>;</w:t>
      </w:r>
      <w:r w:rsidR="009D2E73">
        <w:rPr>
          <w:rFonts w:ascii="Tahoma" w:hAnsi="Tahoma" w:cs="Tahoma"/>
          <w:sz w:val="22"/>
          <w:szCs w:val="22"/>
        </w:rPr>
        <w:t xml:space="preserve"> </w:t>
      </w:r>
      <w:r w:rsidR="00B66CB4">
        <w:rPr>
          <w:rFonts w:ascii="Tahoma" w:hAnsi="Tahoma" w:cs="Tahoma"/>
          <w:sz w:val="22"/>
          <w:szCs w:val="22"/>
        </w:rPr>
        <w:t>in</w:t>
      </w:r>
      <w:r w:rsidR="00B26C35">
        <w:rPr>
          <w:rFonts w:ascii="Tahoma" w:hAnsi="Tahoma" w:cs="Tahoma"/>
          <w:sz w:val="22"/>
          <w:szCs w:val="22"/>
        </w:rPr>
        <w:t>con</w:t>
      </w:r>
      <w:r w:rsidR="00B66CB4">
        <w:rPr>
          <w:rFonts w:ascii="Tahoma" w:hAnsi="Tahoma" w:cs="Tahoma"/>
          <w:sz w:val="22"/>
          <w:szCs w:val="22"/>
        </w:rPr>
        <w:t xml:space="preserve">formidad que esta Corporación encuentra fundada, pues es evidente que dicho porcentaje </w:t>
      </w:r>
      <w:r w:rsidR="005F3A42">
        <w:rPr>
          <w:rFonts w:ascii="Tahoma" w:hAnsi="Tahoma" w:cs="Tahoma"/>
          <w:sz w:val="22"/>
          <w:szCs w:val="22"/>
        </w:rPr>
        <w:t xml:space="preserve">se </w:t>
      </w:r>
      <w:r w:rsidR="00B66CB4">
        <w:rPr>
          <w:rFonts w:ascii="Tahoma" w:hAnsi="Tahoma" w:cs="Tahoma"/>
          <w:sz w:val="22"/>
          <w:szCs w:val="22"/>
        </w:rPr>
        <w:t>d</w:t>
      </w:r>
      <w:r w:rsidR="009D2E73">
        <w:rPr>
          <w:rFonts w:ascii="Tahoma" w:hAnsi="Tahoma" w:cs="Tahoma"/>
          <w:sz w:val="22"/>
          <w:szCs w:val="22"/>
        </w:rPr>
        <w:t>eriv</w:t>
      </w:r>
      <w:r w:rsidR="00B66CB4">
        <w:rPr>
          <w:rFonts w:ascii="Tahoma" w:hAnsi="Tahoma" w:cs="Tahoma"/>
          <w:sz w:val="22"/>
          <w:szCs w:val="22"/>
        </w:rPr>
        <w:t xml:space="preserve">ó </w:t>
      </w:r>
      <w:r w:rsidR="009D2E73">
        <w:rPr>
          <w:rFonts w:ascii="Tahoma" w:hAnsi="Tahoma" w:cs="Tahoma"/>
          <w:sz w:val="22"/>
          <w:szCs w:val="22"/>
        </w:rPr>
        <w:t>de</w:t>
      </w:r>
      <w:r w:rsidR="00C3769B">
        <w:rPr>
          <w:rFonts w:ascii="Tahoma" w:hAnsi="Tahoma" w:cs="Tahoma"/>
          <w:sz w:val="22"/>
          <w:szCs w:val="22"/>
        </w:rPr>
        <w:t xml:space="preserve"> una observación </w:t>
      </w:r>
      <w:r w:rsidR="009D2E73">
        <w:rPr>
          <w:rFonts w:ascii="Tahoma" w:hAnsi="Tahoma" w:cs="Tahoma"/>
          <w:sz w:val="22"/>
          <w:szCs w:val="22"/>
        </w:rPr>
        <w:t>errad</w:t>
      </w:r>
      <w:r w:rsidR="00C3769B">
        <w:rPr>
          <w:rFonts w:ascii="Tahoma" w:hAnsi="Tahoma" w:cs="Tahoma"/>
          <w:sz w:val="22"/>
          <w:szCs w:val="22"/>
        </w:rPr>
        <w:t>a</w:t>
      </w:r>
      <w:r w:rsidR="009D2E73">
        <w:rPr>
          <w:rFonts w:ascii="Tahoma" w:hAnsi="Tahoma" w:cs="Tahoma"/>
          <w:sz w:val="22"/>
          <w:szCs w:val="22"/>
        </w:rPr>
        <w:t xml:space="preserve"> de las semanas co</w:t>
      </w:r>
      <w:r w:rsidR="00C3769B">
        <w:rPr>
          <w:rFonts w:ascii="Tahoma" w:hAnsi="Tahoma" w:cs="Tahoma"/>
          <w:sz w:val="22"/>
          <w:szCs w:val="22"/>
        </w:rPr>
        <w:t>n las que realmente contaba</w:t>
      </w:r>
      <w:r w:rsidR="00B66CB4">
        <w:rPr>
          <w:rFonts w:ascii="Tahoma" w:hAnsi="Tahoma" w:cs="Tahoma"/>
          <w:sz w:val="22"/>
          <w:szCs w:val="22"/>
        </w:rPr>
        <w:t xml:space="preserve"> la actora, ya que </w:t>
      </w:r>
      <w:r w:rsidR="00C3769B">
        <w:rPr>
          <w:rFonts w:ascii="Tahoma" w:hAnsi="Tahoma" w:cs="Tahoma"/>
          <w:sz w:val="22"/>
          <w:szCs w:val="22"/>
        </w:rPr>
        <w:t xml:space="preserve">sólo </w:t>
      </w:r>
      <w:r w:rsidR="005F3A42">
        <w:rPr>
          <w:rFonts w:ascii="Tahoma" w:hAnsi="Tahoma" w:cs="Tahoma"/>
          <w:sz w:val="22"/>
          <w:szCs w:val="22"/>
        </w:rPr>
        <w:t xml:space="preserve">se </w:t>
      </w:r>
      <w:r w:rsidR="00C3769B">
        <w:rPr>
          <w:rFonts w:ascii="Tahoma" w:hAnsi="Tahoma" w:cs="Tahoma"/>
          <w:sz w:val="22"/>
          <w:szCs w:val="22"/>
        </w:rPr>
        <w:t>tuv</w:t>
      </w:r>
      <w:r w:rsidR="005F3A42">
        <w:rPr>
          <w:rFonts w:ascii="Tahoma" w:hAnsi="Tahoma" w:cs="Tahoma"/>
          <w:sz w:val="22"/>
          <w:szCs w:val="22"/>
        </w:rPr>
        <w:t xml:space="preserve">ieron </w:t>
      </w:r>
      <w:r w:rsidR="00C3769B">
        <w:rPr>
          <w:rFonts w:ascii="Tahoma" w:hAnsi="Tahoma" w:cs="Tahoma"/>
          <w:sz w:val="22"/>
          <w:szCs w:val="22"/>
        </w:rPr>
        <w:t xml:space="preserve">en cuenta </w:t>
      </w:r>
      <w:r w:rsidR="00C3769B" w:rsidRPr="006B6E8F">
        <w:rPr>
          <w:rFonts w:ascii="Tahoma" w:hAnsi="Tahoma" w:cs="Tahoma"/>
          <w:b/>
          <w:sz w:val="22"/>
          <w:szCs w:val="22"/>
        </w:rPr>
        <w:t>1095</w:t>
      </w:r>
      <w:r w:rsidR="00C3769B">
        <w:rPr>
          <w:rFonts w:ascii="Tahoma" w:hAnsi="Tahoma" w:cs="Tahoma"/>
          <w:sz w:val="22"/>
          <w:szCs w:val="22"/>
        </w:rPr>
        <w:t xml:space="preserve"> de las </w:t>
      </w:r>
      <w:r w:rsidR="00C3769B" w:rsidRPr="006B6E8F">
        <w:rPr>
          <w:rFonts w:ascii="Tahoma" w:hAnsi="Tahoma" w:cs="Tahoma"/>
          <w:b/>
          <w:sz w:val="22"/>
          <w:szCs w:val="22"/>
        </w:rPr>
        <w:t>1357</w:t>
      </w:r>
      <w:r w:rsidR="00C3769B">
        <w:rPr>
          <w:rFonts w:ascii="Tahoma" w:hAnsi="Tahoma" w:cs="Tahoma"/>
          <w:sz w:val="22"/>
          <w:szCs w:val="22"/>
        </w:rPr>
        <w:t xml:space="preserve"> </w:t>
      </w:r>
      <w:r w:rsidR="00B66CB4">
        <w:rPr>
          <w:rFonts w:ascii="Tahoma" w:hAnsi="Tahoma" w:cs="Tahoma"/>
          <w:sz w:val="22"/>
          <w:szCs w:val="22"/>
        </w:rPr>
        <w:t>semanas cotizadas, plasmadas en la historia laboral</w:t>
      </w:r>
      <w:r w:rsidR="005F3A42">
        <w:rPr>
          <w:rFonts w:ascii="Tahoma" w:hAnsi="Tahoma" w:cs="Tahoma"/>
          <w:sz w:val="22"/>
          <w:szCs w:val="22"/>
        </w:rPr>
        <w:t>,</w:t>
      </w:r>
      <w:r w:rsidR="00B66CB4">
        <w:rPr>
          <w:rFonts w:ascii="Tahoma" w:hAnsi="Tahoma" w:cs="Tahoma"/>
          <w:sz w:val="22"/>
          <w:szCs w:val="22"/>
        </w:rPr>
        <w:t xml:space="preserve"> </w:t>
      </w:r>
      <w:r w:rsidR="005F3A42">
        <w:rPr>
          <w:rFonts w:ascii="Tahoma" w:hAnsi="Tahoma" w:cs="Tahoma"/>
          <w:sz w:val="22"/>
          <w:szCs w:val="22"/>
        </w:rPr>
        <w:t>y que</w:t>
      </w:r>
      <w:r w:rsidR="00B66CB4">
        <w:rPr>
          <w:rFonts w:ascii="Tahoma" w:hAnsi="Tahoma" w:cs="Tahoma"/>
          <w:sz w:val="22"/>
          <w:szCs w:val="22"/>
        </w:rPr>
        <w:t>, incluso, se reconocieron</w:t>
      </w:r>
      <w:r w:rsidR="00C3769B">
        <w:rPr>
          <w:rFonts w:ascii="Tahoma" w:hAnsi="Tahoma" w:cs="Tahoma"/>
          <w:sz w:val="22"/>
          <w:szCs w:val="22"/>
        </w:rPr>
        <w:t xml:space="preserve"> posteriormente en la Resolución VPB 12087 del 25 de julio de 2014</w:t>
      </w:r>
      <w:r w:rsidR="00B66CB4">
        <w:rPr>
          <w:rFonts w:ascii="Tahoma" w:hAnsi="Tahoma" w:cs="Tahoma"/>
          <w:sz w:val="22"/>
          <w:szCs w:val="22"/>
        </w:rPr>
        <w:t xml:space="preserve"> (</w:t>
      </w:r>
      <w:proofErr w:type="spellStart"/>
      <w:r w:rsidR="00B66CB4">
        <w:rPr>
          <w:rFonts w:ascii="Tahoma" w:hAnsi="Tahoma" w:cs="Tahoma"/>
          <w:sz w:val="22"/>
          <w:szCs w:val="22"/>
        </w:rPr>
        <w:t>fl</w:t>
      </w:r>
      <w:proofErr w:type="spellEnd"/>
      <w:r w:rsidR="00B66CB4">
        <w:rPr>
          <w:rFonts w:ascii="Tahoma" w:hAnsi="Tahoma" w:cs="Tahoma"/>
          <w:sz w:val="22"/>
          <w:szCs w:val="22"/>
        </w:rPr>
        <w:t>. 52 y s.s.)</w:t>
      </w:r>
      <w:r w:rsidR="005F3A42">
        <w:rPr>
          <w:rFonts w:ascii="Tahoma" w:hAnsi="Tahoma" w:cs="Tahoma"/>
          <w:sz w:val="22"/>
          <w:szCs w:val="22"/>
        </w:rPr>
        <w:t xml:space="preserve">; por lo que la tasa de reemplazo efectivamente ascendía al </w:t>
      </w:r>
      <w:r w:rsidR="005F3A42" w:rsidRPr="005F3A42">
        <w:rPr>
          <w:rFonts w:ascii="Tahoma" w:hAnsi="Tahoma" w:cs="Tahoma"/>
          <w:b/>
          <w:sz w:val="22"/>
          <w:szCs w:val="22"/>
        </w:rPr>
        <w:t>90%</w:t>
      </w:r>
      <w:r w:rsidR="005F3A42">
        <w:rPr>
          <w:rFonts w:ascii="Tahoma" w:hAnsi="Tahoma" w:cs="Tahoma"/>
          <w:sz w:val="22"/>
          <w:szCs w:val="22"/>
        </w:rPr>
        <w:t>.</w:t>
      </w:r>
      <w:r w:rsidR="00407C5B">
        <w:rPr>
          <w:rFonts w:ascii="Tahoma" w:hAnsi="Tahoma" w:cs="Tahoma"/>
          <w:sz w:val="22"/>
          <w:szCs w:val="22"/>
        </w:rPr>
        <w:t xml:space="preserve"> </w:t>
      </w:r>
    </w:p>
    <w:p w:rsidR="005F3A42" w:rsidRDefault="005F3A42" w:rsidP="00CD4263">
      <w:pPr>
        <w:widowControl w:val="0"/>
        <w:autoSpaceDE w:val="0"/>
        <w:autoSpaceDN w:val="0"/>
        <w:adjustRightInd w:val="0"/>
        <w:spacing w:line="276" w:lineRule="auto"/>
        <w:ind w:firstLine="708"/>
        <w:jc w:val="both"/>
        <w:rPr>
          <w:rFonts w:ascii="Tahoma" w:hAnsi="Tahoma" w:cs="Tahoma"/>
          <w:sz w:val="22"/>
          <w:szCs w:val="22"/>
        </w:rPr>
      </w:pPr>
    </w:p>
    <w:p w:rsidR="00F67785" w:rsidRDefault="00FD7D0A" w:rsidP="005F3A4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En ese orden de ideas, también se encuentra acertado el discernimiento de la Jueza de conocimiento respecto del valor de la primera mesada a que tiene derecho la promotora del litigio, que no puede ser otra cosa que la aplicación del 90% de la tasa de reemplazo consagrada en el Acuerdo 049 de 1990, por las más de 1250 semanas cotizadas por la demandante en toda su vida laboral (</w:t>
      </w:r>
      <w:proofErr w:type="spellStart"/>
      <w:r>
        <w:rPr>
          <w:rFonts w:ascii="Tahoma" w:hAnsi="Tahoma" w:cs="Tahoma"/>
          <w:sz w:val="22"/>
          <w:szCs w:val="22"/>
        </w:rPr>
        <w:t>fl</w:t>
      </w:r>
      <w:proofErr w:type="spellEnd"/>
      <w:r>
        <w:rPr>
          <w:rFonts w:ascii="Tahoma" w:hAnsi="Tahoma" w:cs="Tahoma"/>
          <w:sz w:val="22"/>
          <w:szCs w:val="22"/>
        </w:rPr>
        <w:t xml:space="preserve">. 42 </w:t>
      </w:r>
      <w:r>
        <w:rPr>
          <w:rFonts w:ascii="Tahoma" w:hAnsi="Tahoma" w:cs="Tahoma"/>
          <w:sz w:val="22"/>
          <w:szCs w:val="22"/>
        </w:rPr>
        <w:lastRenderedPageBreak/>
        <w:t>y s.s.), al I.B.L. reconocido por Colpensiones en la Resolución VPB 12087 de 2014, por valor de $4.507.912 (</w:t>
      </w:r>
      <w:proofErr w:type="spellStart"/>
      <w:r>
        <w:rPr>
          <w:rFonts w:ascii="Tahoma" w:hAnsi="Tahoma" w:cs="Tahoma"/>
          <w:sz w:val="22"/>
          <w:szCs w:val="22"/>
        </w:rPr>
        <w:t>fl</w:t>
      </w:r>
      <w:proofErr w:type="spellEnd"/>
      <w:r>
        <w:rPr>
          <w:rFonts w:ascii="Tahoma" w:hAnsi="Tahoma" w:cs="Tahoma"/>
          <w:sz w:val="22"/>
          <w:szCs w:val="22"/>
        </w:rPr>
        <w:t>. 52 y s.s.), lo que arrojó una primera mesada de $4.057.120, superior a los $2.915.717 concedidos por la demandada.</w:t>
      </w:r>
    </w:p>
    <w:p w:rsidR="00FD7D0A" w:rsidRDefault="00FD7D0A" w:rsidP="00FD7D0A">
      <w:pPr>
        <w:widowControl w:val="0"/>
        <w:autoSpaceDE w:val="0"/>
        <w:autoSpaceDN w:val="0"/>
        <w:adjustRightInd w:val="0"/>
        <w:spacing w:line="276" w:lineRule="auto"/>
        <w:jc w:val="both"/>
        <w:rPr>
          <w:rFonts w:ascii="Tahoma" w:hAnsi="Tahoma" w:cs="Tahoma"/>
          <w:sz w:val="22"/>
          <w:szCs w:val="22"/>
        </w:rPr>
      </w:pPr>
    </w:p>
    <w:p w:rsidR="00FD7D0A" w:rsidRDefault="00FD7D0A" w:rsidP="00FD7D0A">
      <w:pPr>
        <w:spacing w:line="276" w:lineRule="auto"/>
        <w:jc w:val="both"/>
        <w:rPr>
          <w:rFonts w:ascii="Tahoma" w:hAnsi="Tahoma" w:cs="Tahoma"/>
          <w:sz w:val="22"/>
          <w:szCs w:val="22"/>
        </w:rPr>
      </w:pPr>
      <w:r>
        <w:rPr>
          <w:rFonts w:ascii="Tahoma" w:hAnsi="Tahoma" w:cs="Tahoma"/>
          <w:sz w:val="22"/>
          <w:szCs w:val="22"/>
        </w:rPr>
        <w:tab/>
        <w:t>Así las cosas, para efectos de la celeridad en el cumplimiento de la presente decisión, la Sala procedió a calcular las diferencias causadas entre el 1º de octubre de 2013 y el 30 de septiembre de 2017, encontrando que la misma asciende a $</w:t>
      </w:r>
      <w:r w:rsidRPr="00FD7D0A">
        <w:rPr>
          <w:rFonts w:ascii="Tahoma" w:hAnsi="Tahoma" w:cs="Tahoma"/>
          <w:sz w:val="22"/>
          <w:szCs w:val="22"/>
        </w:rPr>
        <w:t>64.369.176</w:t>
      </w:r>
      <w:r>
        <w:rPr>
          <w:rFonts w:ascii="Tahoma" w:hAnsi="Tahoma" w:cs="Tahoma"/>
          <w:sz w:val="22"/>
          <w:szCs w:val="22"/>
        </w:rPr>
        <w:t xml:space="preserve">, sin perjuicio de las diferencias </w:t>
      </w:r>
      <w:r w:rsidR="00303659">
        <w:rPr>
          <w:rFonts w:ascii="Tahoma" w:hAnsi="Tahoma" w:cs="Tahoma"/>
          <w:sz w:val="22"/>
          <w:szCs w:val="22"/>
        </w:rPr>
        <w:t xml:space="preserve">que se causen </w:t>
      </w:r>
      <w:r>
        <w:rPr>
          <w:rFonts w:ascii="Tahoma" w:hAnsi="Tahoma" w:cs="Tahoma"/>
          <w:sz w:val="22"/>
          <w:szCs w:val="22"/>
        </w:rPr>
        <w:t>con posterioridad y de los descuentos legales, tal como se observa en la liquidación que se pone de presente a los asistentes y que hará parte del acta que se levante con ocasión de la presente diligencia.</w:t>
      </w:r>
    </w:p>
    <w:p w:rsidR="00FD7D0A" w:rsidRDefault="00FD7D0A" w:rsidP="00FD7D0A">
      <w:pPr>
        <w:spacing w:line="276" w:lineRule="auto"/>
        <w:jc w:val="both"/>
        <w:rPr>
          <w:rFonts w:ascii="Tahoma" w:hAnsi="Tahoma" w:cs="Tahoma"/>
          <w:sz w:val="22"/>
          <w:szCs w:val="22"/>
        </w:rPr>
      </w:pPr>
    </w:p>
    <w:p w:rsidR="00FD7D0A" w:rsidRPr="00FD7D0A" w:rsidRDefault="00FD7D0A" w:rsidP="00FD7D0A">
      <w:pPr>
        <w:spacing w:line="276" w:lineRule="auto"/>
        <w:jc w:val="both"/>
        <w:rPr>
          <w:rFonts w:ascii="Tahoma" w:hAnsi="Tahoma" w:cs="Tahoma"/>
          <w:sz w:val="22"/>
          <w:szCs w:val="22"/>
        </w:rPr>
      </w:pPr>
      <w:r>
        <w:rPr>
          <w:rFonts w:ascii="Tahoma" w:hAnsi="Tahoma" w:cs="Tahoma"/>
          <w:sz w:val="22"/>
          <w:szCs w:val="22"/>
        </w:rPr>
        <w:tab/>
        <w:t>Finalmente, se avala la disposición de la A-quo, por medio de la cual ordenó que las sumas reconocidas fueran pagadas de manera indexada atendiendo la pérdida del poder adquisitivo de la moneda</w:t>
      </w:r>
      <w:r w:rsidR="00C3137D">
        <w:rPr>
          <w:rFonts w:ascii="Tahoma" w:hAnsi="Tahoma" w:cs="Tahoma"/>
          <w:sz w:val="22"/>
          <w:szCs w:val="22"/>
        </w:rPr>
        <w:t>, por lo que se ordenará que las diferencias dejadas de cancelar sean indexadas al momento del pago efectivo de las mismas.</w:t>
      </w:r>
      <w:r>
        <w:rPr>
          <w:rFonts w:ascii="Tahoma" w:hAnsi="Tahoma" w:cs="Tahoma"/>
          <w:sz w:val="22"/>
          <w:szCs w:val="22"/>
        </w:rPr>
        <w:t xml:space="preserve"> </w:t>
      </w:r>
      <w:r w:rsidRPr="00FD7D0A">
        <w:rPr>
          <w:rFonts w:ascii="Tahoma" w:hAnsi="Tahoma" w:cs="Tahoma"/>
          <w:sz w:val="22"/>
          <w:szCs w:val="22"/>
        </w:rPr>
        <w:t xml:space="preserve"> </w:t>
      </w:r>
    </w:p>
    <w:p w:rsidR="00FD7D0A" w:rsidRDefault="00FD7D0A" w:rsidP="00FD7D0A">
      <w:pPr>
        <w:widowControl w:val="0"/>
        <w:autoSpaceDE w:val="0"/>
        <w:autoSpaceDN w:val="0"/>
        <w:adjustRightInd w:val="0"/>
        <w:spacing w:line="276" w:lineRule="auto"/>
        <w:jc w:val="both"/>
        <w:rPr>
          <w:rFonts w:ascii="Tahoma" w:hAnsi="Tahoma" w:cs="Tahoma"/>
          <w:sz w:val="22"/>
          <w:szCs w:val="22"/>
        </w:rPr>
      </w:pPr>
    </w:p>
    <w:p w:rsidR="00924F0D" w:rsidRPr="00EA6BEB" w:rsidRDefault="00924F0D" w:rsidP="00E41882">
      <w:pPr>
        <w:tabs>
          <w:tab w:val="left" w:pos="748"/>
        </w:tabs>
        <w:spacing w:line="276" w:lineRule="auto"/>
        <w:ind w:firstLine="709"/>
        <w:jc w:val="both"/>
        <w:rPr>
          <w:rFonts w:ascii="Tahoma" w:hAnsi="Tahoma" w:cs="Tahoma"/>
          <w:bCs/>
          <w:sz w:val="22"/>
          <w:szCs w:val="22"/>
        </w:rPr>
      </w:pPr>
      <w:r w:rsidRPr="00EA6BEB">
        <w:rPr>
          <w:rFonts w:ascii="Tahoma" w:hAnsi="Tahoma" w:cs="Tahoma"/>
          <w:bCs/>
          <w:sz w:val="22"/>
          <w:szCs w:val="22"/>
        </w:rPr>
        <w:t xml:space="preserve">La condena en costas de primera instancia se mantendrá incólume. En esta sede </w:t>
      </w:r>
      <w:r>
        <w:rPr>
          <w:rFonts w:ascii="Tahoma" w:hAnsi="Tahoma" w:cs="Tahoma"/>
          <w:bCs/>
          <w:sz w:val="22"/>
          <w:szCs w:val="22"/>
        </w:rPr>
        <w:t>no se causaron por conocerse el asunto en virtud del grado jurisdiccional de consulta</w:t>
      </w:r>
      <w:r w:rsidRPr="00EA6BEB">
        <w:rPr>
          <w:rFonts w:ascii="Tahoma" w:hAnsi="Tahoma" w:cs="Tahoma"/>
          <w:bCs/>
          <w:sz w:val="22"/>
          <w:szCs w:val="22"/>
        </w:rPr>
        <w:t>.</w:t>
      </w:r>
    </w:p>
    <w:p w:rsidR="00924F0D" w:rsidRPr="00EA6BEB" w:rsidRDefault="00924F0D" w:rsidP="00E41882">
      <w:pPr>
        <w:tabs>
          <w:tab w:val="left" w:pos="748"/>
        </w:tabs>
        <w:spacing w:line="276" w:lineRule="auto"/>
        <w:ind w:firstLine="709"/>
        <w:jc w:val="both"/>
        <w:rPr>
          <w:rFonts w:ascii="Tahoma" w:hAnsi="Tahoma" w:cs="Tahoma"/>
          <w:bCs/>
          <w:sz w:val="22"/>
          <w:szCs w:val="22"/>
        </w:rPr>
      </w:pPr>
    </w:p>
    <w:p w:rsidR="00924F0D" w:rsidRPr="00EA6BEB" w:rsidRDefault="00924F0D" w:rsidP="00E41882">
      <w:pPr>
        <w:pStyle w:val="Sangradetextonormal"/>
        <w:spacing w:line="276" w:lineRule="auto"/>
        <w:rPr>
          <w:sz w:val="22"/>
          <w:szCs w:val="22"/>
        </w:rPr>
      </w:pPr>
      <w:r w:rsidRPr="00EA6BEB">
        <w:rPr>
          <w:sz w:val="22"/>
          <w:szCs w:val="22"/>
        </w:rPr>
        <w:t xml:space="preserve">En mérito de  lo expuesto, el </w:t>
      </w:r>
      <w:r w:rsidRPr="00EA6BEB">
        <w:rPr>
          <w:b/>
          <w:sz w:val="22"/>
          <w:szCs w:val="22"/>
        </w:rPr>
        <w:t>Tribunal Superior del Distrito Judicial de Pereira (Risaralda)</w:t>
      </w:r>
      <w:r w:rsidRPr="00EA6BEB">
        <w:rPr>
          <w:sz w:val="22"/>
          <w:szCs w:val="22"/>
        </w:rPr>
        <w:t xml:space="preserve">, </w:t>
      </w:r>
      <w:r w:rsidRPr="00EA6BEB">
        <w:rPr>
          <w:b/>
          <w:sz w:val="22"/>
          <w:szCs w:val="22"/>
        </w:rPr>
        <w:t>Sala laboral</w:t>
      </w:r>
      <w:r w:rsidRPr="00EA6BEB">
        <w:rPr>
          <w:sz w:val="22"/>
          <w:szCs w:val="22"/>
        </w:rPr>
        <w:t>, administrando justicia en nombre de la República y por autoridad de la Ley,</w:t>
      </w:r>
    </w:p>
    <w:p w:rsidR="00924F0D" w:rsidRPr="00EA6BEB" w:rsidRDefault="00924F0D" w:rsidP="00E41882">
      <w:pPr>
        <w:pStyle w:val="Sangradetextonormal"/>
        <w:spacing w:line="276" w:lineRule="auto"/>
        <w:rPr>
          <w:sz w:val="22"/>
          <w:szCs w:val="22"/>
        </w:rPr>
      </w:pPr>
    </w:p>
    <w:p w:rsidR="00924F0D" w:rsidRPr="00EA6BEB" w:rsidRDefault="00924F0D" w:rsidP="00E41882">
      <w:pPr>
        <w:widowControl w:val="0"/>
        <w:autoSpaceDE w:val="0"/>
        <w:autoSpaceDN w:val="0"/>
        <w:adjustRightInd w:val="0"/>
        <w:spacing w:line="276" w:lineRule="auto"/>
        <w:jc w:val="center"/>
        <w:rPr>
          <w:rFonts w:ascii="Tahoma" w:hAnsi="Tahoma" w:cs="Tahoma"/>
          <w:b/>
          <w:sz w:val="22"/>
          <w:szCs w:val="22"/>
        </w:rPr>
      </w:pPr>
      <w:r w:rsidRPr="00EA6BEB">
        <w:rPr>
          <w:rFonts w:ascii="Tahoma" w:hAnsi="Tahoma" w:cs="Tahoma"/>
          <w:b/>
          <w:sz w:val="22"/>
          <w:szCs w:val="22"/>
        </w:rPr>
        <w:t>R E S U E L V E:</w:t>
      </w:r>
    </w:p>
    <w:p w:rsidR="00924F0D" w:rsidRPr="00EA6BEB" w:rsidRDefault="00924F0D" w:rsidP="00E41882">
      <w:pPr>
        <w:widowControl w:val="0"/>
        <w:autoSpaceDE w:val="0"/>
        <w:autoSpaceDN w:val="0"/>
        <w:adjustRightInd w:val="0"/>
        <w:spacing w:line="276" w:lineRule="auto"/>
        <w:jc w:val="both"/>
        <w:rPr>
          <w:rFonts w:ascii="Tahoma" w:hAnsi="Tahoma" w:cs="Tahoma"/>
          <w:sz w:val="22"/>
          <w:szCs w:val="22"/>
        </w:rPr>
      </w:pPr>
    </w:p>
    <w:p w:rsidR="00C3137D" w:rsidRPr="00FD7D0A" w:rsidRDefault="00924F0D" w:rsidP="00C3137D">
      <w:pPr>
        <w:spacing w:line="276" w:lineRule="auto"/>
        <w:ind w:firstLine="708"/>
        <w:jc w:val="both"/>
        <w:rPr>
          <w:rFonts w:ascii="Tahoma" w:hAnsi="Tahoma" w:cs="Tahoma"/>
          <w:sz w:val="22"/>
          <w:szCs w:val="22"/>
        </w:rPr>
      </w:pPr>
      <w:r w:rsidRPr="00EA6BEB">
        <w:rPr>
          <w:rFonts w:ascii="Tahoma" w:hAnsi="Tahoma" w:cs="Tahoma"/>
          <w:b/>
          <w:sz w:val="22"/>
          <w:szCs w:val="22"/>
          <w:u w:val="single"/>
        </w:rPr>
        <w:t>PRIMERO</w:t>
      </w:r>
      <w:r w:rsidRPr="00EA6BEB">
        <w:rPr>
          <w:rFonts w:ascii="Tahoma" w:hAnsi="Tahoma" w:cs="Tahoma"/>
          <w:sz w:val="22"/>
          <w:szCs w:val="22"/>
        </w:rPr>
        <w:t xml:space="preserve">.- </w:t>
      </w:r>
      <w:r w:rsidR="00C3137D" w:rsidRPr="00C3137D">
        <w:rPr>
          <w:rFonts w:ascii="Tahoma" w:hAnsi="Tahoma" w:cs="Tahoma"/>
          <w:b/>
          <w:sz w:val="22"/>
          <w:szCs w:val="22"/>
        </w:rPr>
        <w:t>MODIFICAR</w:t>
      </w:r>
      <w:r w:rsidR="00C3137D">
        <w:rPr>
          <w:rFonts w:ascii="Tahoma" w:hAnsi="Tahoma" w:cs="Tahoma"/>
          <w:sz w:val="22"/>
          <w:szCs w:val="22"/>
        </w:rPr>
        <w:t xml:space="preserve"> el ordinal segundo de la sentencia proferida</w:t>
      </w:r>
      <w:r w:rsidR="00C3137D" w:rsidRPr="00C3137D">
        <w:rPr>
          <w:rFonts w:ascii="Tahoma" w:hAnsi="Tahoma" w:cs="Tahoma"/>
          <w:sz w:val="22"/>
          <w:szCs w:val="22"/>
        </w:rPr>
        <w:t xml:space="preserve"> </w:t>
      </w:r>
      <w:r w:rsidR="00C3137D" w:rsidRPr="00EA6BEB">
        <w:rPr>
          <w:rFonts w:ascii="Tahoma" w:hAnsi="Tahoma" w:cs="Tahoma"/>
          <w:sz w:val="22"/>
          <w:szCs w:val="22"/>
        </w:rPr>
        <w:t xml:space="preserve">por el Juzgado </w:t>
      </w:r>
      <w:r w:rsidR="00C3137D">
        <w:rPr>
          <w:rFonts w:ascii="Tahoma" w:hAnsi="Tahoma" w:cs="Tahoma"/>
          <w:sz w:val="22"/>
          <w:szCs w:val="22"/>
        </w:rPr>
        <w:t xml:space="preserve">Cuarto Primero </w:t>
      </w:r>
      <w:r w:rsidR="00C3137D" w:rsidRPr="00EA6BEB">
        <w:rPr>
          <w:rFonts w:ascii="Tahoma" w:hAnsi="Tahoma" w:cs="Tahoma"/>
          <w:sz w:val="22"/>
          <w:szCs w:val="22"/>
        </w:rPr>
        <w:t>Laboral del Circuito de Pereira dentro del proceso laboral</w:t>
      </w:r>
      <w:r w:rsidR="00C3137D" w:rsidRPr="00EA6BEB">
        <w:rPr>
          <w:rFonts w:ascii="Tahoma" w:hAnsi="Tahoma" w:cs="Tahoma"/>
          <w:sz w:val="22"/>
          <w:szCs w:val="22"/>
          <w:lang w:val="es-ES_tradnl"/>
        </w:rPr>
        <w:t xml:space="preserve"> instaurado por </w:t>
      </w:r>
      <w:r w:rsidR="00C3137D">
        <w:rPr>
          <w:rFonts w:ascii="Tahoma" w:hAnsi="Tahoma" w:cs="Tahoma"/>
          <w:sz w:val="22"/>
          <w:szCs w:val="22"/>
          <w:lang w:val="es-ES_tradnl"/>
        </w:rPr>
        <w:t xml:space="preserve">Bertha Inés Agudelo Vega </w:t>
      </w:r>
      <w:r w:rsidR="00C3137D" w:rsidRPr="00EA6BEB">
        <w:rPr>
          <w:rFonts w:ascii="Tahoma" w:hAnsi="Tahoma" w:cs="Tahoma"/>
          <w:sz w:val="22"/>
          <w:szCs w:val="22"/>
          <w:lang w:val="es-ES_tradnl"/>
        </w:rPr>
        <w:t>en contra de la Administradora Colombiana de Pensiones – Colpensiones</w:t>
      </w:r>
      <w:r w:rsidR="00C3137D">
        <w:rPr>
          <w:rFonts w:ascii="Tahoma" w:hAnsi="Tahoma" w:cs="Tahoma"/>
          <w:sz w:val="22"/>
          <w:szCs w:val="22"/>
          <w:lang w:val="es-ES_tradnl"/>
        </w:rPr>
        <w:t xml:space="preserve">, en el sentido de que el retroactivo de las diferencias de cancelar, causado entre el 1º de octubre de 2013 y el 30 de septiembre de 2017, asciende a </w:t>
      </w:r>
      <w:r w:rsidR="00C3137D">
        <w:rPr>
          <w:rFonts w:ascii="Tahoma" w:hAnsi="Tahoma" w:cs="Tahoma"/>
          <w:sz w:val="22"/>
          <w:szCs w:val="22"/>
        </w:rPr>
        <w:t>$</w:t>
      </w:r>
      <w:r w:rsidR="00C3137D" w:rsidRPr="00FD7D0A">
        <w:rPr>
          <w:rFonts w:ascii="Tahoma" w:hAnsi="Tahoma" w:cs="Tahoma"/>
          <w:sz w:val="22"/>
          <w:szCs w:val="22"/>
        </w:rPr>
        <w:t>64.369.176</w:t>
      </w:r>
      <w:r w:rsidR="00C3137D">
        <w:rPr>
          <w:rFonts w:ascii="Tahoma" w:hAnsi="Tahoma" w:cs="Tahoma"/>
          <w:sz w:val="22"/>
          <w:szCs w:val="22"/>
        </w:rPr>
        <w:t xml:space="preserve">, sin perjuicio de las diferencias </w:t>
      </w:r>
      <w:r w:rsidR="00303659">
        <w:rPr>
          <w:rFonts w:ascii="Tahoma" w:hAnsi="Tahoma" w:cs="Tahoma"/>
          <w:sz w:val="22"/>
          <w:szCs w:val="22"/>
        </w:rPr>
        <w:t xml:space="preserve">que se causen </w:t>
      </w:r>
      <w:bookmarkStart w:id="0" w:name="_GoBack"/>
      <w:bookmarkEnd w:id="0"/>
      <w:r w:rsidR="00C3137D">
        <w:rPr>
          <w:rFonts w:ascii="Tahoma" w:hAnsi="Tahoma" w:cs="Tahoma"/>
          <w:sz w:val="22"/>
          <w:szCs w:val="22"/>
        </w:rPr>
        <w:t xml:space="preserve">con posterioridad y de los descuentos legales. Diferencias que deberán indexarse al momento del pago efectivo de las mismas. </w:t>
      </w:r>
      <w:r w:rsidR="00C3137D" w:rsidRPr="00FD7D0A">
        <w:rPr>
          <w:rFonts w:ascii="Tahoma" w:hAnsi="Tahoma" w:cs="Tahoma"/>
          <w:sz w:val="22"/>
          <w:szCs w:val="22"/>
        </w:rPr>
        <w:t xml:space="preserve"> </w:t>
      </w:r>
    </w:p>
    <w:p w:rsidR="00C3137D" w:rsidRDefault="00C3137D" w:rsidP="00C3137D">
      <w:pPr>
        <w:spacing w:line="276" w:lineRule="auto"/>
        <w:ind w:firstLine="709"/>
        <w:jc w:val="both"/>
        <w:rPr>
          <w:rFonts w:ascii="Tahoma" w:hAnsi="Tahoma" w:cs="Tahoma"/>
          <w:b/>
          <w:sz w:val="22"/>
          <w:szCs w:val="22"/>
          <w:u w:val="single"/>
        </w:rPr>
      </w:pPr>
    </w:p>
    <w:p w:rsidR="00C3137D" w:rsidRPr="00EA6BEB" w:rsidRDefault="00C3137D" w:rsidP="00C3137D">
      <w:pPr>
        <w:spacing w:line="276" w:lineRule="auto"/>
        <w:ind w:firstLine="709"/>
        <w:jc w:val="both"/>
        <w:rPr>
          <w:rFonts w:ascii="Tahoma" w:hAnsi="Tahoma" w:cs="Tahoma"/>
          <w:sz w:val="22"/>
          <w:szCs w:val="22"/>
        </w:rPr>
      </w:pPr>
      <w:r w:rsidRPr="00EA6BEB">
        <w:rPr>
          <w:rFonts w:ascii="Tahoma" w:hAnsi="Tahoma" w:cs="Tahoma"/>
          <w:b/>
          <w:sz w:val="22"/>
          <w:szCs w:val="22"/>
          <w:u w:val="single"/>
        </w:rPr>
        <w:t>SEGUNDO</w:t>
      </w:r>
      <w:r w:rsidRPr="00EA6BEB">
        <w:rPr>
          <w:rFonts w:ascii="Tahoma" w:hAnsi="Tahoma" w:cs="Tahoma"/>
          <w:b/>
          <w:sz w:val="22"/>
          <w:szCs w:val="22"/>
        </w:rPr>
        <w:t xml:space="preserve">.- </w:t>
      </w:r>
      <w:r w:rsidRPr="00EA6BEB">
        <w:rPr>
          <w:rFonts w:ascii="Tahoma" w:hAnsi="Tahoma" w:cs="Tahoma"/>
          <w:sz w:val="22"/>
          <w:szCs w:val="22"/>
        </w:rPr>
        <w:t>Confirmar en todo lo demás la sentencia objeto de consulta.</w:t>
      </w:r>
    </w:p>
    <w:p w:rsidR="00C3137D" w:rsidRDefault="00C3137D" w:rsidP="00E41882">
      <w:pPr>
        <w:spacing w:line="276" w:lineRule="auto"/>
        <w:ind w:firstLine="708"/>
        <w:jc w:val="both"/>
        <w:rPr>
          <w:rFonts w:ascii="Tahoma" w:hAnsi="Tahoma" w:cs="Tahoma"/>
          <w:sz w:val="22"/>
          <w:szCs w:val="22"/>
        </w:rPr>
      </w:pPr>
    </w:p>
    <w:p w:rsidR="00924F0D" w:rsidRPr="00EA6BEB" w:rsidRDefault="00924F0D" w:rsidP="00E41882">
      <w:pPr>
        <w:spacing w:line="276" w:lineRule="auto"/>
        <w:ind w:firstLine="709"/>
        <w:jc w:val="both"/>
        <w:rPr>
          <w:rFonts w:ascii="Tahoma" w:hAnsi="Tahoma" w:cs="Tahoma"/>
          <w:b/>
          <w:sz w:val="22"/>
          <w:szCs w:val="22"/>
        </w:rPr>
      </w:pPr>
      <w:r w:rsidRPr="00EA6BEB">
        <w:rPr>
          <w:rFonts w:ascii="Tahoma" w:hAnsi="Tahoma" w:cs="Tahoma"/>
          <w:b/>
          <w:sz w:val="22"/>
          <w:szCs w:val="22"/>
          <w:u w:val="single"/>
        </w:rPr>
        <w:t>TERCERO.</w:t>
      </w:r>
      <w:r w:rsidRPr="00EA6BEB">
        <w:rPr>
          <w:rFonts w:ascii="Tahoma" w:hAnsi="Tahoma" w:cs="Tahoma"/>
          <w:b/>
          <w:sz w:val="22"/>
          <w:szCs w:val="22"/>
        </w:rPr>
        <w:t xml:space="preserve">- </w:t>
      </w:r>
      <w:r w:rsidRPr="005456F5">
        <w:rPr>
          <w:rFonts w:ascii="Tahoma" w:hAnsi="Tahoma" w:cs="Tahoma"/>
          <w:sz w:val="22"/>
          <w:szCs w:val="22"/>
        </w:rPr>
        <w:t>Sin condena en costas en este grado jurisdiccional.</w:t>
      </w:r>
    </w:p>
    <w:p w:rsidR="00924F0D" w:rsidRPr="00EA6BEB" w:rsidRDefault="00924F0D" w:rsidP="00E41882">
      <w:pPr>
        <w:pStyle w:val="Sinespaciado"/>
        <w:spacing w:line="276" w:lineRule="auto"/>
        <w:ind w:firstLine="709"/>
        <w:rPr>
          <w:sz w:val="22"/>
          <w:szCs w:val="22"/>
        </w:rPr>
      </w:pPr>
      <w:r w:rsidRPr="00EA6BEB">
        <w:rPr>
          <w:sz w:val="22"/>
          <w:szCs w:val="22"/>
        </w:rPr>
        <w:t xml:space="preserve"> </w:t>
      </w:r>
    </w:p>
    <w:p w:rsidR="00924F0D" w:rsidRPr="00EA6BEB" w:rsidRDefault="00924F0D" w:rsidP="00E41882">
      <w:pPr>
        <w:widowControl w:val="0"/>
        <w:autoSpaceDE w:val="0"/>
        <w:autoSpaceDN w:val="0"/>
        <w:adjustRightInd w:val="0"/>
        <w:spacing w:line="276" w:lineRule="auto"/>
        <w:ind w:firstLine="709"/>
        <w:jc w:val="both"/>
        <w:rPr>
          <w:rFonts w:ascii="Tahoma" w:hAnsi="Tahoma" w:cs="Tahoma"/>
          <w:b/>
          <w:bCs/>
          <w:sz w:val="22"/>
          <w:szCs w:val="22"/>
        </w:rPr>
      </w:pPr>
      <w:r w:rsidRPr="00EA6BEB">
        <w:rPr>
          <w:rFonts w:ascii="Tahoma" w:hAnsi="Tahoma" w:cs="Tahoma"/>
          <w:b/>
          <w:bCs/>
          <w:sz w:val="22"/>
          <w:szCs w:val="22"/>
        </w:rPr>
        <w:t>Notificación surtida en estrados.</w:t>
      </w:r>
    </w:p>
    <w:p w:rsidR="00924F0D" w:rsidRPr="00EA6BEB" w:rsidRDefault="00924F0D" w:rsidP="00E41882">
      <w:pPr>
        <w:pStyle w:val="Sinespaciado"/>
        <w:spacing w:line="276" w:lineRule="auto"/>
        <w:ind w:firstLine="709"/>
        <w:rPr>
          <w:sz w:val="22"/>
          <w:szCs w:val="22"/>
        </w:rPr>
      </w:pPr>
    </w:p>
    <w:p w:rsidR="00924F0D" w:rsidRPr="00EA6BEB" w:rsidRDefault="00924F0D" w:rsidP="00E41882">
      <w:pPr>
        <w:widowControl w:val="0"/>
        <w:autoSpaceDE w:val="0"/>
        <w:autoSpaceDN w:val="0"/>
        <w:adjustRightInd w:val="0"/>
        <w:spacing w:line="276" w:lineRule="auto"/>
        <w:ind w:firstLine="709"/>
        <w:jc w:val="both"/>
        <w:rPr>
          <w:rFonts w:ascii="Tahoma" w:hAnsi="Tahoma" w:cs="Tahoma"/>
          <w:sz w:val="22"/>
          <w:szCs w:val="22"/>
        </w:rPr>
      </w:pPr>
      <w:r w:rsidRPr="00EA6BEB">
        <w:rPr>
          <w:rFonts w:ascii="Tahoma" w:hAnsi="Tahoma" w:cs="Tahoma"/>
          <w:b/>
          <w:sz w:val="22"/>
          <w:szCs w:val="22"/>
        </w:rPr>
        <w:t>Cúmplase</w:t>
      </w:r>
      <w:r w:rsidRPr="00EA6BEB">
        <w:rPr>
          <w:rFonts w:ascii="Tahoma" w:hAnsi="Tahoma" w:cs="Tahoma"/>
          <w:sz w:val="22"/>
          <w:szCs w:val="22"/>
        </w:rPr>
        <w:t xml:space="preserve"> y </w:t>
      </w:r>
      <w:r w:rsidRPr="00EA6BEB">
        <w:rPr>
          <w:rFonts w:ascii="Tahoma" w:hAnsi="Tahoma" w:cs="Tahoma"/>
          <w:b/>
          <w:sz w:val="22"/>
          <w:szCs w:val="22"/>
        </w:rPr>
        <w:t>devuélvase</w:t>
      </w:r>
      <w:r w:rsidRPr="00EA6BEB">
        <w:rPr>
          <w:rFonts w:ascii="Tahoma" w:hAnsi="Tahoma" w:cs="Tahoma"/>
          <w:sz w:val="22"/>
          <w:szCs w:val="22"/>
        </w:rPr>
        <w:t xml:space="preserve"> el expediente al Juzgado de origen.</w:t>
      </w:r>
    </w:p>
    <w:p w:rsidR="00002AEC" w:rsidRPr="00EA6BEB" w:rsidRDefault="00002AEC" w:rsidP="00E41882">
      <w:pPr>
        <w:pStyle w:val="Sinespaciado"/>
        <w:spacing w:line="276" w:lineRule="auto"/>
        <w:ind w:firstLine="709"/>
        <w:rPr>
          <w:sz w:val="22"/>
          <w:szCs w:val="22"/>
        </w:rPr>
      </w:pPr>
    </w:p>
    <w:p w:rsidR="00924F0D" w:rsidRPr="00EA6BEB" w:rsidRDefault="00924F0D" w:rsidP="00E41882">
      <w:pPr>
        <w:spacing w:line="276" w:lineRule="auto"/>
        <w:ind w:firstLine="709"/>
        <w:jc w:val="both"/>
        <w:rPr>
          <w:rFonts w:ascii="Tahoma" w:hAnsi="Tahoma" w:cs="Tahoma"/>
          <w:sz w:val="22"/>
          <w:szCs w:val="22"/>
        </w:rPr>
      </w:pPr>
      <w:r w:rsidRPr="00EA6BEB">
        <w:rPr>
          <w:rFonts w:ascii="Tahoma" w:hAnsi="Tahoma" w:cs="Tahoma"/>
          <w:sz w:val="22"/>
          <w:szCs w:val="22"/>
        </w:rPr>
        <w:t>La Magistrada,</w:t>
      </w:r>
    </w:p>
    <w:p w:rsidR="00924F0D" w:rsidRDefault="00924F0D" w:rsidP="00E41882">
      <w:pPr>
        <w:pStyle w:val="Sinespaciado"/>
        <w:spacing w:line="276" w:lineRule="auto"/>
        <w:ind w:firstLine="709"/>
        <w:rPr>
          <w:sz w:val="22"/>
          <w:szCs w:val="22"/>
        </w:rPr>
      </w:pPr>
    </w:p>
    <w:p w:rsidR="001C14EA" w:rsidRDefault="001C14EA" w:rsidP="00E41882">
      <w:pPr>
        <w:pStyle w:val="Sinespaciado"/>
        <w:spacing w:line="276" w:lineRule="auto"/>
        <w:ind w:firstLine="709"/>
        <w:rPr>
          <w:sz w:val="22"/>
          <w:szCs w:val="22"/>
        </w:rPr>
      </w:pPr>
    </w:p>
    <w:p w:rsidR="001C14EA" w:rsidRPr="00EA6BEB" w:rsidRDefault="001C14EA" w:rsidP="00E41882">
      <w:pPr>
        <w:pStyle w:val="Sinespaciado"/>
        <w:spacing w:line="276" w:lineRule="auto"/>
        <w:ind w:firstLine="709"/>
        <w:rPr>
          <w:sz w:val="22"/>
          <w:szCs w:val="22"/>
        </w:rPr>
      </w:pPr>
    </w:p>
    <w:p w:rsidR="00924F0D" w:rsidRPr="00EA6BEB" w:rsidRDefault="00924F0D" w:rsidP="00E41882">
      <w:pPr>
        <w:pStyle w:val="Sinespaciado"/>
        <w:spacing w:line="276" w:lineRule="auto"/>
        <w:ind w:firstLine="709"/>
        <w:rPr>
          <w:sz w:val="22"/>
          <w:szCs w:val="22"/>
        </w:rPr>
      </w:pPr>
    </w:p>
    <w:p w:rsidR="00924F0D" w:rsidRPr="00EA6BEB" w:rsidRDefault="00924F0D" w:rsidP="00E41882">
      <w:pPr>
        <w:pStyle w:val="Ttulo3"/>
        <w:spacing w:before="0" w:after="0" w:line="276" w:lineRule="auto"/>
        <w:ind w:firstLine="709"/>
        <w:jc w:val="center"/>
        <w:rPr>
          <w:rFonts w:ascii="Tahoma" w:hAnsi="Tahoma" w:cs="Tahoma"/>
          <w:b w:val="0"/>
          <w:bCs w:val="0"/>
          <w:sz w:val="22"/>
          <w:szCs w:val="22"/>
        </w:rPr>
      </w:pPr>
      <w:r w:rsidRPr="00EA6BEB">
        <w:rPr>
          <w:rFonts w:ascii="Tahoma" w:hAnsi="Tahoma" w:cs="Tahoma"/>
          <w:sz w:val="22"/>
          <w:szCs w:val="22"/>
        </w:rPr>
        <w:t>ANA LUCÍA CAICEDO CALDERÓN</w:t>
      </w:r>
    </w:p>
    <w:p w:rsidR="00924F0D" w:rsidRPr="00EA6BEB" w:rsidRDefault="00924F0D" w:rsidP="00E41882">
      <w:pPr>
        <w:pStyle w:val="Sinespaciado"/>
        <w:spacing w:line="276" w:lineRule="auto"/>
        <w:ind w:firstLine="709"/>
        <w:rPr>
          <w:sz w:val="22"/>
          <w:szCs w:val="22"/>
        </w:rPr>
      </w:pPr>
    </w:p>
    <w:p w:rsidR="00924F0D" w:rsidRPr="00EA6BEB" w:rsidRDefault="00924F0D" w:rsidP="00E41882">
      <w:pPr>
        <w:spacing w:line="276" w:lineRule="auto"/>
        <w:ind w:firstLine="709"/>
        <w:jc w:val="both"/>
        <w:rPr>
          <w:rFonts w:ascii="Tahoma" w:hAnsi="Tahoma" w:cs="Tahoma"/>
          <w:sz w:val="22"/>
          <w:szCs w:val="22"/>
        </w:rPr>
      </w:pPr>
      <w:r w:rsidRPr="00EA6BEB">
        <w:rPr>
          <w:rFonts w:ascii="Tahoma" w:hAnsi="Tahoma" w:cs="Tahoma"/>
          <w:sz w:val="22"/>
          <w:szCs w:val="22"/>
        </w:rPr>
        <w:t>Los Magistrados,</w:t>
      </w:r>
    </w:p>
    <w:p w:rsidR="00924F0D" w:rsidRPr="00EA6BEB" w:rsidRDefault="00924F0D" w:rsidP="00E41882">
      <w:pPr>
        <w:pStyle w:val="Sinespaciado"/>
        <w:spacing w:line="276" w:lineRule="auto"/>
        <w:ind w:firstLine="709"/>
        <w:rPr>
          <w:sz w:val="22"/>
          <w:szCs w:val="22"/>
        </w:rPr>
      </w:pPr>
    </w:p>
    <w:p w:rsidR="00924F0D" w:rsidRDefault="00924F0D" w:rsidP="00E41882">
      <w:pPr>
        <w:pStyle w:val="Sinespaciado"/>
        <w:spacing w:line="276" w:lineRule="auto"/>
        <w:ind w:firstLine="709"/>
        <w:rPr>
          <w:sz w:val="22"/>
          <w:szCs w:val="22"/>
        </w:rPr>
      </w:pPr>
    </w:p>
    <w:p w:rsidR="001C14EA" w:rsidRDefault="001C14EA" w:rsidP="00E41882">
      <w:pPr>
        <w:pStyle w:val="Sinespaciado"/>
        <w:spacing w:line="276" w:lineRule="auto"/>
        <w:ind w:firstLine="709"/>
        <w:rPr>
          <w:sz w:val="22"/>
          <w:szCs w:val="22"/>
        </w:rPr>
      </w:pPr>
    </w:p>
    <w:p w:rsidR="001C14EA" w:rsidRPr="00EA6BEB" w:rsidRDefault="001C14EA" w:rsidP="00E41882">
      <w:pPr>
        <w:pStyle w:val="Sinespaciado"/>
        <w:spacing w:line="276" w:lineRule="auto"/>
        <w:ind w:firstLine="709"/>
        <w:rPr>
          <w:sz w:val="22"/>
          <w:szCs w:val="22"/>
        </w:rPr>
      </w:pPr>
    </w:p>
    <w:p w:rsidR="00924F0D" w:rsidRPr="00EA6BEB" w:rsidRDefault="00924F0D" w:rsidP="00E41882">
      <w:pPr>
        <w:pStyle w:val="Sinespaciado"/>
        <w:spacing w:line="276" w:lineRule="auto"/>
        <w:ind w:firstLine="709"/>
        <w:rPr>
          <w:sz w:val="22"/>
          <w:szCs w:val="22"/>
        </w:rPr>
      </w:pPr>
    </w:p>
    <w:p w:rsidR="00924F0D" w:rsidRPr="00EA6BEB" w:rsidRDefault="00924F0D" w:rsidP="00E41882">
      <w:pPr>
        <w:spacing w:line="276" w:lineRule="auto"/>
        <w:ind w:firstLine="709"/>
        <w:jc w:val="center"/>
        <w:rPr>
          <w:rFonts w:ascii="Tahoma" w:hAnsi="Tahoma" w:cs="Tahoma"/>
          <w:b/>
          <w:sz w:val="22"/>
          <w:szCs w:val="22"/>
        </w:rPr>
      </w:pPr>
      <w:r w:rsidRPr="00EA6BEB">
        <w:rPr>
          <w:rFonts w:ascii="Tahoma" w:hAnsi="Tahoma" w:cs="Tahoma"/>
          <w:b/>
          <w:sz w:val="22"/>
          <w:szCs w:val="22"/>
        </w:rPr>
        <w:t>JULIO CÉSAR SALAZAR MUÑOZ</w:t>
      </w:r>
      <w:r w:rsidRPr="00EA6BEB">
        <w:rPr>
          <w:rFonts w:ascii="Tahoma" w:hAnsi="Tahoma" w:cs="Tahoma"/>
          <w:b/>
          <w:sz w:val="22"/>
          <w:szCs w:val="22"/>
        </w:rPr>
        <w:tab/>
        <w:t xml:space="preserve">      </w:t>
      </w:r>
      <w:r w:rsidR="001C14EA">
        <w:rPr>
          <w:rFonts w:ascii="Tahoma" w:hAnsi="Tahoma" w:cs="Tahoma"/>
          <w:b/>
          <w:sz w:val="22"/>
          <w:szCs w:val="22"/>
        </w:rPr>
        <w:t xml:space="preserve">               </w:t>
      </w:r>
      <w:r w:rsidRPr="00EA6BEB">
        <w:rPr>
          <w:rFonts w:ascii="Tahoma" w:hAnsi="Tahoma" w:cs="Tahoma"/>
          <w:b/>
          <w:sz w:val="22"/>
          <w:szCs w:val="22"/>
        </w:rPr>
        <w:t xml:space="preserve"> FRANCISCO JAVIER TAMAYO TABARES</w:t>
      </w:r>
    </w:p>
    <w:p w:rsidR="00C3137D" w:rsidRDefault="00C3137D" w:rsidP="00E41882">
      <w:pPr>
        <w:pStyle w:val="Sinespaciado"/>
        <w:spacing w:line="276" w:lineRule="auto"/>
        <w:ind w:firstLine="709"/>
        <w:rPr>
          <w:b/>
          <w:sz w:val="22"/>
          <w:szCs w:val="22"/>
        </w:rPr>
      </w:pPr>
    </w:p>
    <w:p w:rsidR="005F3A42" w:rsidRPr="00EA6BEB" w:rsidRDefault="005F3A42" w:rsidP="00E41882">
      <w:pPr>
        <w:pStyle w:val="Sinespaciado"/>
        <w:spacing w:line="276" w:lineRule="auto"/>
        <w:ind w:firstLine="709"/>
        <w:rPr>
          <w:b/>
          <w:sz w:val="22"/>
          <w:szCs w:val="22"/>
        </w:rPr>
      </w:pPr>
    </w:p>
    <w:p w:rsidR="00924F0D" w:rsidRPr="00C3137D" w:rsidRDefault="00C3137D" w:rsidP="00C3137D">
      <w:pPr>
        <w:pStyle w:val="Sinespaciado"/>
        <w:spacing w:line="276" w:lineRule="auto"/>
        <w:ind w:firstLine="709"/>
        <w:jc w:val="center"/>
        <w:rPr>
          <w:rFonts w:ascii="Tahoma" w:hAnsi="Tahoma" w:cs="Tahoma"/>
          <w:b/>
          <w:sz w:val="22"/>
          <w:szCs w:val="22"/>
        </w:rPr>
      </w:pPr>
      <w:r w:rsidRPr="00C3137D">
        <w:rPr>
          <w:rFonts w:ascii="Tahoma" w:hAnsi="Tahoma" w:cs="Tahoma"/>
          <w:b/>
          <w:sz w:val="22"/>
          <w:szCs w:val="22"/>
        </w:rPr>
        <w:t>Retroactivo diferencias dejadas de cancelar</w:t>
      </w:r>
    </w:p>
    <w:p w:rsidR="00924F0D" w:rsidRPr="00EA6BEB" w:rsidRDefault="00924F0D" w:rsidP="00E41882">
      <w:pPr>
        <w:pStyle w:val="Sinespaciado"/>
        <w:spacing w:line="276" w:lineRule="auto"/>
        <w:ind w:firstLine="709"/>
        <w:rPr>
          <w:b/>
          <w:sz w:val="22"/>
          <w:szCs w:val="22"/>
        </w:rPr>
      </w:pPr>
    </w:p>
    <w:p w:rsidR="00924F0D" w:rsidRPr="00042881" w:rsidRDefault="00924F0D" w:rsidP="00E41882">
      <w:pPr>
        <w:pStyle w:val="Sinespaciado"/>
        <w:ind w:left="708"/>
        <w:rPr>
          <w:sz w:val="22"/>
          <w:szCs w:val="22"/>
        </w:rPr>
      </w:pPr>
    </w:p>
    <w:tbl>
      <w:tblPr>
        <w:tblW w:w="0" w:type="auto"/>
        <w:jc w:val="center"/>
        <w:tblCellMar>
          <w:left w:w="70" w:type="dxa"/>
          <w:right w:w="70" w:type="dxa"/>
        </w:tblCellMar>
        <w:tblLook w:val="04A0" w:firstRow="1" w:lastRow="0" w:firstColumn="1" w:lastColumn="0" w:noHBand="0" w:noVBand="1"/>
      </w:tblPr>
      <w:tblGrid>
        <w:gridCol w:w="1519"/>
        <w:gridCol w:w="723"/>
        <w:gridCol w:w="708"/>
        <w:gridCol w:w="684"/>
        <w:gridCol w:w="1190"/>
        <w:gridCol w:w="1475"/>
        <w:gridCol w:w="980"/>
        <w:gridCol w:w="1100"/>
      </w:tblGrid>
      <w:tr w:rsidR="00C3137D" w:rsidRPr="00C3137D" w:rsidTr="00C3137D">
        <w:trPr>
          <w:trHeight w:val="20"/>
          <w:jc w:val="center"/>
        </w:trPr>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rsidR="00C3137D" w:rsidRPr="00C3137D" w:rsidRDefault="00C3137D">
            <w:pPr>
              <w:jc w:val="center"/>
              <w:rPr>
                <w:rFonts w:asciiTheme="minorHAnsi" w:hAnsiTheme="minorHAnsi"/>
                <w:b/>
                <w:bCs/>
                <w:color w:val="000000"/>
                <w:sz w:val="14"/>
                <w:szCs w:val="14"/>
              </w:rPr>
            </w:pPr>
            <w:r w:rsidRPr="00C3137D">
              <w:rPr>
                <w:rFonts w:asciiTheme="minorHAnsi" w:hAnsiTheme="minorHAnsi"/>
                <w:b/>
                <w:bCs/>
                <w:color w:val="000000"/>
                <w:sz w:val="14"/>
                <w:szCs w:val="14"/>
              </w:rPr>
              <w:t>IPC</w:t>
            </w:r>
            <w:r w:rsidRPr="00C3137D">
              <w:rPr>
                <w:rFonts w:asciiTheme="minorHAnsi" w:hAnsiTheme="minorHAnsi"/>
                <w:b/>
                <w:bCs/>
                <w:sz w:val="14"/>
                <w:szCs w:val="14"/>
              </w:rPr>
              <w:t xml:space="preserve">   (Var. Año anterior)</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C3137D" w:rsidRPr="00C3137D" w:rsidRDefault="00C3137D">
            <w:pPr>
              <w:jc w:val="center"/>
              <w:rPr>
                <w:rFonts w:asciiTheme="minorHAnsi" w:hAnsiTheme="minorHAnsi"/>
                <w:b/>
                <w:bCs/>
                <w:color w:val="000000"/>
                <w:sz w:val="14"/>
                <w:szCs w:val="14"/>
              </w:rPr>
            </w:pPr>
            <w:r w:rsidRPr="00C3137D">
              <w:rPr>
                <w:rFonts w:asciiTheme="minorHAnsi" w:hAnsiTheme="minorHAnsi"/>
                <w:b/>
                <w:bCs/>
                <w:color w:val="000000"/>
                <w:sz w:val="14"/>
                <w:szCs w:val="14"/>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C3137D" w:rsidRPr="00C3137D" w:rsidRDefault="00C3137D">
            <w:pPr>
              <w:jc w:val="center"/>
              <w:rPr>
                <w:rFonts w:asciiTheme="minorHAnsi" w:hAnsiTheme="minorHAnsi"/>
                <w:b/>
                <w:bCs/>
                <w:color w:val="000000"/>
                <w:sz w:val="14"/>
                <w:szCs w:val="14"/>
              </w:rPr>
            </w:pPr>
            <w:r w:rsidRPr="00C3137D">
              <w:rPr>
                <w:rFonts w:asciiTheme="minorHAnsi" w:hAnsiTheme="minorHAnsi"/>
                <w:b/>
                <w:bCs/>
                <w:color w:val="000000"/>
                <w:sz w:val="14"/>
                <w:szCs w:val="14"/>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C3137D" w:rsidRPr="00C3137D" w:rsidRDefault="00C3137D">
            <w:pPr>
              <w:jc w:val="center"/>
              <w:rPr>
                <w:rFonts w:asciiTheme="minorHAnsi" w:hAnsiTheme="minorHAnsi"/>
                <w:b/>
                <w:bCs/>
                <w:color w:val="000000"/>
                <w:sz w:val="14"/>
                <w:szCs w:val="14"/>
              </w:rPr>
            </w:pPr>
            <w:r w:rsidRPr="00C3137D">
              <w:rPr>
                <w:rFonts w:asciiTheme="minorHAnsi" w:hAnsiTheme="minorHAnsi"/>
                <w:b/>
                <w:bCs/>
                <w:color w:val="000000"/>
                <w:sz w:val="14"/>
                <w:szCs w:val="14"/>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C3137D" w:rsidRPr="00C3137D" w:rsidRDefault="00C3137D">
            <w:pPr>
              <w:jc w:val="center"/>
              <w:rPr>
                <w:rFonts w:asciiTheme="minorHAnsi" w:hAnsiTheme="minorHAnsi"/>
                <w:b/>
                <w:bCs/>
                <w:color w:val="000000"/>
                <w:sz w:val="14"/>
                <w:szCs w:val="14"/>
              </w:rPr>
            </w:pPr>
            <w:r w:rsidRPr="00C3137D">
              <w:rPr>
                <w:rFonts w:asciiTheme="minorHAnsi" w:hAnsiTheme="minorHAnsi"/>
                <w:b/>
                <w:bCs/>
                <w:color w:val="000000"/>
                <w:sz w:val="14"/>
                <w:szCs w:val="14"/>
              </w:rPr>
              <w:t>Valor mesada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C3137D" w:rsidRPr="00C3137D" w:rsidRDefault="00C3137D">
            <w:pPr>
              <w:jc w:val="center"/>
              <w:rPr>
                <w:rFonts w:asciiTheme="minorHAnsi" w:hAnsiTheme="minorHAnsi"/>
                <w:b/>
                <w:bCs/>
                <w:color w:val="000000"/>
                <w:sz w:val="14"/>
                <w:szCs w:val="14"/>
              </w:rPr>
            </w:pPr>
            <w:r w:rsidRPr="00C3137D">
              <w:rPr>
                <w:rFonts w:asciiTheme="minorHAnsi" w:hAnsiTheme="minorHAnsi"/>
                <w:b/>
                <w:bCs/>
                <w:color w:val="000000"/>
                <w:sz w:val="14"/>
                <w:szCs w:val="14"/>
              </w:rPr>
              <w:t>Mesada anterior</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C3137D" w:rsidRPr="00C3137D" w:rsidRDefault="00C3137D">
            <w:pPr>
              <w:jc w:val="center"/>
              <w:rPr>
                <w:rFonts w:asciiTheme="minorHAnsi" w:hAnsiTheme="minorHAnsi"/>
                <w:b/>
                <w:bCs/>
                <w:color w:val="000000"/>
                <w:sz w:val="14"/>
                <w:szCs w:val="14"/>
              </w:rPr>
            </w:pPr>
            <w:r w:rsidRPr="00C3137D">
              <w:rPr>
                <w:rFonts w:asciiTheme="minorHAnsi" w:hAnsiTheme="minorHAnsi"/>
                <w:b/>
                <w:bCs/>
                <w:color w:val="000000"/>
                <w:sz w:val="14"/>
                <w:szCs w:val="14"/>
              </w:rPr>
              <w:t>Diferencia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C3137D" w:rsidRPr="00C3137D" w:rsidRDefault="00C3137D">
            <w:pPr>
              <w:jc w:val="center"/>
              <w:rPr>
                <w:rFonts w:asciiTheme="minorHAnsi" w:hAnsiTheme="minorHAnsi"/>
                <w:b/>
                <w:bCs/>
                <w:color w:val="000000"/>
                <w:sz w:val="14"/>
                <w:szCs w:val="14"/>
              </w:rPr>
            </w:pPr>
            <w:r w:rsidRPr="00C3137D">
              <w:rPr>
                <w:rFonts w:asciiTheme="minorHAnsi" w:hAnsiTheme="minorHAnsi"/>
                <w:b/>
                <w:bCs/>
                <w:color w:val="000000"/>
                <w:sz w:val="14"/>
                <w:szCs w:val="14"/>
              </w:rPr>
              <w:t xml:space="preserve"> Valor adeudado </w:t>
            </w:r>
          </w:p>
        </w:tc>
      </w:tr>
      <w:tr w:rsidR="00C3137D" w:rsidRPr="00C3137D" w:rsidTr="00C3137D">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C3137D" w:rsidRPr="00C3137D" w:rsidRDefault="00C3137D">
            <w:pPr>
              <w:jc w:val="center"/>
              <w:rPr>
                <w:rFonts w:asciiTheme="minorHAnsi" w:hAnsiTheme="minorHAnsi"/>
                <w:sz w:val="14"/>
                <w:szCs w:val="14"/>
              </w:rPr>
            </w:pPr>
            <w:r w:rsidRPr="00C3137D">
              <w:rPr>
                <w:rFonts w:asciiTheme="minorHAnsi" w:hAnsiTheme="minorHAnsi"/>
                <w:sz w:val="14"/>
                <w:szCs w:val="14"/>
              </w:rPr>
              <w:t>1,94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3137D" w:rsidRPr="00C3137D" w:rsidRDefault="00C3137D">
            <w:pPr>
              <w:jc w:val="right"/>
              <w:rPr>
                <w:rFonts w:asciiTheme="minorHAnsi" w:hAnsiTheme="minorHAnsi"/>
                <w:color w:val="000000"/>
                <w:sz w:val="14"/>
                <w:szCs w:val="14"/>
              </w:rPr>
            </w:pPr>
            <w:r w:rsidRPr="00C3137D">
              <w:rPr>
                <w:rFonts w:asciiTheme="minorHAnsi" w:hAnsiTheme="minorHAnsi"/>
                <w:color w:val="000000"/>
                <w:sz w:val="14"/>
                <w:szCs w:val="14"/>
              </w:rPr>
              <w:t>01-oct-13</w:t>
            </w:r>
          </w:p>
        </w:tc>
        <w:tc>
          <w:tcPr>
            <w:tcW w:w="0" w:type="auto"/>
            <w:tcBorders>
              <w:top w:val="nil"/>
              <w:left w:val="nil"/>
              <w:bottom w:val="single" w:sz="4" w:space="0" w:color="808000"/>
              <w:right w:val="single" w:sz="4" w:space="0" w:color="808000"/>
            </w:tcBorders>
            <w:shd w:val="clear" w:color="auto" w:fill="auto"/>
            <w:noWrap/>
            <w:vAlign w:val="center"/>
            <w:hideMark/>
          </w:tcPr>
          <w:p w:rsidR="00C3137D" w:rsidRPr="00C3137D" w:rsidRDefault="00C3137D">
            <w:pPr>
              <w:jc w:val="right"/>
              <w:rPr>
                <w:rFonts w:asciiTheme="minorHAnsi" w:hAnsiTheme="minorHAnsi"/>
                <w:color w:val="000000"/>
                <w:sz w:val="14"/>
                <w:szCs w:val="14"/>
              </w:rPr>
            </w:pPr>
            <w:r w:rsidRPr="00C3137D">
              <w:rPr>
                <w:rFonts w:asciiTheme="minorHAnsi" w:hAnsiTheme="minorHAnsi"/>
                <w:color w:val="000000"/>
                <w:sz w:val="14"/>
                <w:szCs w:val="14"/>
              </w:rPr>
              <w:t>31-dic-13</w:t>
            </w:r>
          </w:p>
        </w:tc>
        <w:tc>
          <w:tcPr>
            <w:tcW w:w="0" w:type="auto"/>
            <w:tcBorders>
              <w:top w:val="nil"/>
              <w:left w:val="nil"/>
              <w:bottom w:val="nil"/>
              <w:right w:val="nil"/>
            </w:tcBorders>
            <w:shd w:val="clear" w:color="000000" w:fill="FFFFCC"/>
            <w:noWrap/>
            <w:vAlign w:val="bottom"/>
            <w:hideMark/>
          </w:tcPr>
          <w:p w:rsidR="00C3137D" w:rsidRPr="00C3137D" w:rsidRDefault="00C3137D">
            <w:pPr>
              <w:jc w:val="center"/>
              <w:rPr>
                <w:rFonts w:asciiTheme="minorHAnsi" w:hAnsiTheme="minorHAnsi"/>
                <w:sz w:val="14"/>
                <w:szCs w:val="14"/>
              </w:rPr>
            </w:pPr>
            <w:r w:rsidRPr="00C3137D">
              <w:rPr>
                <w:rFonts w:asciiTheme="minorHAnsi" w:hAnsiTheme="minorHAnsi"/>
                <w:sz w:val="14"/>
                <w:szCs w:val="14"/>
              </w:rPr>
              <w:t>4,00</w:t>
            </w:r>
          </w:p>
        </w:tc>
        <w:tc>
          <w:tcPr>
            <w:tcW w:w="0" w:type="auto"/>
            <w:tcBorders>
              <w:top w:val="single" w:sz="4" w:space="0" w:color="003366"/>
              <w:left w:val="single" w:sz="4" w:space="0" w:color="003366"/>
              <w:bottom w:val="single" w:sz="4" w:space="0" w:color="003366"/>
              <w:right w:val="single" w:sz="4" w:space="0" w:color="003366"/>
            </w:tcBorders>
            <w:shd w:val="clear" w:color="000000" w:fill="FFFFCC"/>
            <w:vAlign w:val="bottom"/>
            <w:hideMark/>
          </w:tcPr>
          <w:p w:rsidR="00C3137D" w:rsidRPr="00C3137D" w:rsidRDefault="00C3137D">
            <w:pPr>
              <w:rPr>
                <w:rFonts w:asciiTheme="minorHAnsi" w:hAnsiTheme="minorHAnsi"/>
                <w:sz w:val="14"/>
                <w:szCs w:val="14"/>
              </w:rPr>
            </w:pPr>
            <w:r w:rsidRPr="00C3137D">
              <w:rPr>
                <w:rFonts w:asciiTheme="minorHAnsi" w:hAnsiTheme="minorHAnsi"/>
                <w:sz w:val="14"/>
                <w:szCs w:val="14"/>
              </w:rPr>
              <w:t xml:space="preserve"> $            4.057.120 </w:t>
            </w:r>
          </w:p>
        </w:tc>
        <w:tc>
          <w:tcPr>
            <w:tcW w:w="0" w:type="auto"/>
            <w:tcBorders>
              <w:top w:val="single" w:sz="4" w:space="0" w:color="003366"/>
              <w:left w:val="nil"/>
              <w:bottom w:val="single" w:sz="4" w:space="0" w:color="003366"/>
              <w:right w:val="single" w:sz="4" w:space="0" w:color="003366"/>
            </w:tcBorders>
            <w:shd w:val="clear" w:color="000000" w:fill="FFFFCC"/>
            <w:vAlign w:val="bottom"/>
            <w:hideMark/>
          </w:tcPr>
          <w:p w:rsidR="00C3137D" w:rsidRPr="00C3137D" w:rsidRDefault="00C3137D">
            <w:pPr>
              <w:rPr>
                <w:rFonts w:asciiTheme="minorHAnsi" w:hAnsiTheme="minorHAnsi"/>
                <w:sz w:val="14"/>
                <w:szCs w:val="14"/>
              </w:rPr>
            </w:pPr>
            <w:r w:rsidRPr="00C3137D">
              <w:rPr>
                <w:rFonts w:asciiTheme="minorHAnsi" w:hAnsiTheme="minorHAnsi"/>
                <w:sz w:val="14"/>
                <w:szCs w:val="14"/>
              </w:rPr>
              <w:t xml:space="preserve"> $                     2.915.717 </w:t>
            </w:r>
          </w:p>
        </w:tc>
        <w:tc>
          <w:tcPr>
            <w:tcW w:w="0" w:type="auto"/>
            <w:tcBorders>
              <w:top w:val="nil"/>
              <w:left w:val="nil"/>
              <w:bottom w:val="single" w:sz="4" w:space="0" w:color="003366"/>
              <w:right w:val="single" w:sz="4" w:space="0" w:color="003366"/>
            </w:tcBorders>
            <w:shd w:val="clear" w:color="000000" w:fill="FFFFFF"/>
            <w:noWrap/>
            <w:vAlign w:val="bottom"/>
            <w:hideMark/>
          </w:tcPr>
          <w:p w:rsidR="00C3137D" w:rsidRPr="00C3137D" w:rsidRDefault="00C3137D">
            <w:pPr>
              <w:jc w:val="center"/>
              <w:rPr>
                <w:rFonts w:asciiTheme="minorHAnsi" w:hAnsiTheme="minorHAnsi"/>
                <w:sz w:val="14"/>
                <w:szCs w:val="14"/>
              </w:rPr>
            </w:pPr>
            <w:r w:rsidRPr="00C3137D">
              <w:rPr>
                <w:rFonts w:asciiTheme="minorHAnsi" w:hAnsiTheme="minorHAnsi"/>
                <w:sz w:val="14"/>
                <w:szCs w:val="14"/>
              </w:rPr>
              <w:t xml:space="preserve">   1.141.403,00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C3137D" w:rsidRPr="00C3137D" w:rsidRDefault="00C3137D">
            <w:pPr>
              <w:rPr>
                <w:rFonts w:asciiTheme="minorHAnsi" w:hAnsiTheme="minorHAnsi"/>
                <w:color w:val="000000"/>
                <w:sz w:val="14"/>
                <w:szCs w:val="14"/>
              </w:rPr>
            </w:pPr>
            <w:r w:rsidRPr="00C3137D">
              <w:rPr>
                <w:rFonts w:asciiTheme="minorHAnsi" w:hAnsiTheme="minorHAnsi"/>
                <w:color w:val="000000"/>
                <w:sz w:val="14"/>
                <w:szCs w:val="14"/>
              </w:rPr>
              <w:t xml:space="preserve"> $       4.565.612 </w:t>
            </w:r>
          </w:p>
        </w:tc>
      </w:tr>
      <w:tr w:rsidR="00C3137D" w:rsidRPr="00C3137D" w:rsidTr="00C3137D">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C3137D" w:rsidRPr="00C3137D" w:rsidRDefault="00C3137D">
            <w:pPr>
              <w:jc w:val="center"/>
              <w:rPr>
                <w:rFonts w:asciiTheme="minorHAnsi" w:hAnsiTheme="minorHAnsi"/>
                <w:sz w:val="14"/>
                <w:szCs w:val="14"/>
              </w:rPr>
            </w:pPr>
            <w:r w:rsidRPr="00C3137D">
              <w:rPr>
                <w:rFonts w:asciiTheme="minorHAnsi" w:hAnsiTheme="minorHAnsi"/>
                <w:sz w:val="14"/>
                <w:szCs w:val="14"/>
              </w:rPr>
              <w:t>3,66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3137D" w:rsidRPr="00C3137D" w:rsidRDefault="00C3137D">
            <w:pPr>
              <w:jc w:val="right"/>
              <w:rPr>
                <w:rFonts w:asciiTheme="minorHAnsi" w:hAnsiTheme="minorHAnsi"/>
                <w:color w:val="000000"/>
                <w:sz w:val="14"/>
                <w:szCs w:val="14"/>
              </w:rPr>
            </w:pPr>
            <w:r w:rsidRPr="00C3137D">
              <w:rPr>
                <w:rFonts w:asciiTheme="minorHAnsi" w:hAnsiTheme="minorHAnsi"/>
                <w:color w:val="000000"/>
                <w:sz w:val="14"/>
                <w:szCs w:val="14"/>
              </w:rPr>
              <w:t>01-ene-14</w:t>
            </w:r>
          </w:p>
        </w:tc>
        <w:tc>
          <w:tcPr>
            <w:tcW w:w="0" w:type="auto"/>
            <w:tcBorders>
              <w:top w:val="nil"/>
              <w:left w:val="nil"/>
              <w:bottom w:val="single" w:sz="4" w:space="0" w:color="808000"/>
              <w:right w:val="single" w:sz="4" w:space="0" w:color="808000"/>
            </w:tcBorders>
            <w:shd w:val="clear" w:color="auto" w:fill="auto"/>
            <w:noWrap/>
            <w:vAlign w:val="center"/>
            <w:hideMark/>
          </w:tcPr>
          <w:p w:rsidR="00C3137D" w:rsidRPr="00C3137D" w:rsidRDefault="00C3137D">
            <w:pPr>
              <w:jc w:val="right"/>
              <w:rPr>
                <w:rFonts w:asciiTheme="minorHAnsi" w:hAnsiTheme="minorHAnsi"/>
                <w:color w:val="000000"/>
                <w:sz w:val="14"/>
                <w:szCs w:val="14"/>
              </w:rPr>
            </w:pPr>
            <w:r w:rsidRPr="00C3137D">
              <w:rPr>
                <w:rFonts w:asciiTheme="minorHAnsi" w:hAnsiTheme="minorHAnsi"/>
                <w:color w:val="000000"/>
                <w:sz w:val="14"/>
                <w:szCs w:val="14"/>
              </w:rPr>
              <w:t>31-dic-14</w:t>
            </w:r>
          </w:p>
        </w:tc>
        <w:tc>
          <w:tcPr>
            <w:tcW w:w="0" w:type="auto"/>
            <w:tcBorders>
              <w:top w:val="nil"/>
              <w:left w:val="nil"/>
              <w:bottom w:val="nil"/>
              <w:right w:val="nil"/>
            </w:tcBorders>
            <w:shd w:val="clear" w:color="000000" w:fill="FFFFCC"/>
            <w:noWrap/>
            <w:vAlign w:val="bottom"/>
            <w:hideMark/>
          </w:tcPr>
          <w:p w:rsidR="00C3137D" w:rsidRPr="00C3137D" w:rsidRDefault="00C3137D">
            <w:pPr>
              <w:jc w:val="center"/>
              <w:rPr>
                <w:rFonts w:asciiTheme="minorHAnsi" w:hAnsiTheme="minorHAnsi"/>
                <w:sz w:val="14"/>
                <w:szCs w:val="14"/>
              </w:rPr>
            </w:pPr>
            <w:r w:rsidRPr="00C3137D">
              <w:rPr>
                <w:rFonts w:asciiTheme="minorHAnsi" w:hAnsiTheme="minorHAnsi"/>
                <w:sz w:val="14"/>
                <w:szCs w:val="14"/>
              </w:rPr>
              <w:t>13,00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C3137D" w:rsidRPr="00C3137D" w:rsidRDefault="00C3137D">
            <w:pPr>
              <w:rPr>
                <w:rFonts w:asciiTheme="minorHAnsi" w:hAnsiTheme="minorHAnsi"/>
                <w:sz w:val="14"/>
                <w:szCs w:val="14"/>
              </w:rPr>
            </w:pPr>
            <w:r w:rsidRPr="00C3137D">
              <w:rPr>
                <w:rFonts w:asciiTheme="minorHAnsi" w:hAnsiTheme="minorHAnsi"/>
                <w:sz w:val="14"/>
                <w:szCs w:val="14"/>
              </w:rPr>
              <w:t xml:space="preserve"> $            4.135.828 </w:t>
            </w:r>
          </w:p>
        </w:tc>
        <w:tc>
          <w:tcPr>
            <w:tcW w:w="0" w:type="auto"/>
            <w:tcBorders>
              <w:top w:val="nil"/>
              <w:left w:val="nil"/>
              <w:bottom w:val="single" w:sz="4" w:space="0" w:color="003366"/>
              <w:right w:val="single" w:sz="4" w:space="0" w:color="003366"/>
            </w:tcBorders>
            <w:shd w:val="clear" w:color="000000" w:fill="FFFFCC"/>
            <w:vAlign w:val="bottom"/>
            <w:hideMark/>
          </w:tcPr>
          <w:p w:rsidR="00C3137D" w:rsidRPr="00C3137D" w:rsidRDefault="00C3137D">
            <w:pPr>
              <w:rPr>
                <w:rFonts w:asciiTheme="minorHAnsi" w:hAnsiTheme="minorHAnsi"/>
                <w:sz w:val="14"/>
                <w:szCs w:val="14"/>
              </w:rPr>
            </w:pPr>
            <w:r w:rsidRPr="00C3137D">
              <w:rPr>
                <w:rFonts w:asciiTheme="minorHAnsi" w:hAnsiTheme="minorHAnsi"/>
                <w:sz w:val="14"/>
                <w:szCs w:val="14"/>
              </w:rPr>
              <w:t xml:space="preserve"> $                     2.972.282 </w:t>
            </w:r>
          </w:p>
        </w:tc>
        <w:tc>
          <w:tcPr>
            <w:tcW w:w="0" w:type="auto"/>
            <w:tcBorders>
              <w:top w:val="nil"/>
              <w:left w:val="nil"/>
              <w:bottom w:val="single" w:sz="4" w:space="0" w:color="003366"/>
              <w:right w:val="single" w:sz="4" w:space="0" w:color="003366"/>
            </w:tcBorders>
            <w:shd w:val="clear" w:color="000000" w:fill="FFFFFF"/>
            <w:noWrap/>
            <w:vAlign w:val="bottom"/>
            <w:hideMark/>
          </w:tcPr>
          <w:p w:rsidR="00C3137D" w:rsidRPr="00C3137D" w:rsidRDefault="00C3137D">
            <w:pPr>
              <w:jc w:val="center"/>
              <w:rPr>
                <w:rFonts w:asciiTheme="minorHAnsi" w:hAnsiTheme="minorHAnsi"/>
                <w:sz w:val="14"/>
                <w:szCs w:val="14"/>
              </w:rPr>
            </w:pPr>
            <w:r w:rsidRPr="00C3137D">
              <w:rPr>
                <w:rFonts w:asciiTheme="minorHAnsi" w:hAnsiTheme="minorHAnsi"/>
                <w:sz w:val="14"/>
                <w:szCs w:val="14"/>
              </w:rPr>
              <w:t xml:space="preserve">   1.163.546,22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C3137D" w:rsidRPr="00C3137D" w:rsidRDefault="00C3137D">
            <w:pPr>
              <w:rPr>
                <w:rFonts w:asciiTheme="minorHAnsi" w:hAnsiTheme="minorHAnsi"/>
                <w:color w:val="000000"/>
                <w:sz w:val="14"/>
                <w:szCs w:val="14"/>
              </w:rPr>
            </w:pPr>
            <w:r w:rsidRPr="00C3137D">
              <w:rPr>
                <w:rFonts w:asciiTheme="minorHAnsi" w:hAnsiTheme="minorHAnsi"/>
                <w:color w:val="000000"/>
                <w:sz w:val="14"/>
                <w:szCs w:val="14"/>
              </w:rPr>
              <w:t xml:space="preserve"> $     15.126.101 </w:t>
            </w:r>
          </w:p>
        </w:tc>
      </w:tr>
      <w:tr w:rsidR="00C3137D" w:rsidRPr="00C3137D" w:rsidTr="00C3137D">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C3137D" w:rsidRPr="00C3137D" w:rsidRDefault="00C3137D">
            <w:pPr>
              <w:jc w:val="center"/>
              <w:rPr>
                <w:rFonts w:asciiTheme="minorHAnsi" w:hAnsiTheme="minorHAnsi"/>
                <w:sz w:val="14"/>
                <w:szCs w:val="14"/>
              </w:rPr>
            </w:pPr>
            <w:r w:rsidRPr="00C3137D">
              <w:rPr>
                <w:rFonts w:asciiTheme="minorHAnsi" w:hAnsiTheme="minorHAnsi"/>
                <w:sz w:val="14"/>
                <w:szCs w:val="14"/>
              </w:rPr>
              <w:t>6,77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3137D" w:rsidRPr="00C3137D" w:rsidRDefault="00C3137D">
            <w:pPr>
              <w:jc w:val="right"/>
              <w:rPr>
                <w:rFonts w:asciiTheme="minorHAnsi" w:hAnsiTheme="minorHAnsi"/>
                <w:color w:val="000000"/>
                <w:sz w:val="14"/>
                <w:szCs w:val="14"/>
              </w:rPr>
            </w:pPr>
            <w:r w:rsidRPr="00C3137D">
              <w:rPr>
                <w:rFonts w:asciiTheme="minorHAnsi" w:hAnsiTheme="minorHAnsi"/>
                <w:color w:val="000000"/>
                <w:sz w:val="14"/>
                <w:szCs w:val="14"/>
              </w:rPr>
              <w:t>01-ene-15</w:t>
            </w:r>
          </w:p>
        </w:tc>
        <w:tc>
          <w:tcPr>
            <w:tcW w:w="0" w:type="auto"/>
            <w:tcBorders>
              <w:top w:val="nil"/>
              <w:left w:val="nil"/>
              <w:bottom w:val="single" w:sz="4" w:space="0" w:color="808000"/>
              <w:right w:val="single" w:sz="4" w:space="0" w:color="808000"/>
            </w:tcBorders>
            <w:shd w:val="clear" w:color="auto" w:fill="auto"/>
            <w:noWrap/>
            <w:vAlign w:val="center"/>
            <w:hideMark/>
          </w:tcPr>
          <w:p w:rsidR="00C3137D" w:rsidRPr="00C3137D" w:rsidRDefault="00C3137D">
            <w:pPr>
              <w:jc w:val="right"/>
              <w:rPr>
                <w:rFonts w:asciiTheme="minorHAnsi" w:hAnsiTheme="minorHAnsi"/>
                <w:color w:val="000000"/>
                <w:sz w:val="14"/>
                <w:szCs w:val="14"/>
              </w:rPr>
            </w:pPr>
            <w:r w:rsidRPr="00C3137D">
              <w:rPr>
                <w:rFonts w:asciiTheme="minorHAnsi" w:hAnsiTheme="minorHAnsi"/>
                <w:color w:val="000000"/>
                <w:sz w:val="14"/>
                <w:szCs w:val="14"/>
              </w:rPr>
              <w:t>31-dic-15</w:t>
            </w:r>
          </w:p>
        </w:tc>
        <w:tc>
          <w:tcPr>
            <w:tcW w:w="0" w:type="auto"/>
            <w:tcBorders>
              <w:top w:val="nil"/>
              <w:left w:val="nil"/>
              <w:bottom w:val="nil"/>
              <w:right w:val="nil"/>
            </w:tcBorders>
            <w:shd w:val="clear" w:color="000000" w:fill="FFFFCC"/>
            <w:noWrap/>
            <w:vAlign w:val="bottom"/>
            <w:hideMark/>
          </w:tcPr>
          <w:p w:rsidR="00C3137D" w:rsidRPr="00C3137D" w:rsidRDefault="00C3137D">
            <w:pPr>
              <w:jc w:val="center"/>
              <w:rPr>
                <w:rFonts w:asciiTheme="minorHAnsi" w:hAnsiTheme="minorHAnsi"/>
                <w:sz w:val="14"/>
                <w:szCs w:val="14"/>
              </w:rPr>
            </w:pPr>
            <w:r w:rsidRPr="00C3137D">
              <w:rPr>
                <w:rFonts w:asciiTheme="minorHAnsi" w:hAnsiTheme="minorHAnsi"/>
                <w:sz w:val="14"/>
                <w:szCs w:val="14"/>
              </w:rPr>
              <w:t>13,00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C3137D" w:rsidRPr="00C3137D" w:rsidRDefault="00C3137D">
            <w:pPr>
              <w:rPr>
                <w:rFonts w:asciiTheme="minorHAnsi" w:hAnsiTheme="minorHAnsi"/>
                <w:sz w:val="14"/>
                <w:szCs w:val="14"/>
              </w:rPr>
            </w:pPr>
            <w:r w:rsidRPr="00C3137D">
              <w:rPr>
                <w:rFonts w:asciiTheme="minorHAnsi" w:hAnsiTheme="minorHAnsi"/>
                <w:sz w:val="14"/>
                <w:szCs w:val="14"/>
              </w:rPr>
              <w:t xml:space="preserve"> $            4.287.199 </w:t>
            </w:r>
          </w:p>
        </w:tc>
        <w:tc>
          <w:tcPr>
            <w:tcW w:w="0" w:type="auto"/>
            <w:tcBorders>
              <w:top w:val="nil"/>
              <w:left w:val="nil"/>
              <w:bottom w:val="single" w:sz="4" w:space="0" w:color="003366"/>
              <w:right w:val="single" w:sz="4" w:space="0" w:color="003366"/>
            </w:tcBorders>
            <w:shd w:val="clear" w:color="000000" w:fill="FFFFCC"/>
            <w:vAlign w:val="bottom"/>
            <w:hideMark/>
          </w:tcPr>
          <w:p w:rsidR="00C3137D" w:rsidRPr="00C3137D" w:rsidRDefault="00C3137D">
            <w:pPr>
              <w:rPr>
                <w:rFonts w:asciiTheme="minorHAnsi" w:hAnsiTheme="minorHAnsi"/>
                <w:sz w:val="14"/>
                <w:szCs w:val="14"/>
              </w:rPr>
            </w:pPr>
            <w:r w:rsidRPr="00C3137D">
              <w:rPr>
                <w:rFonts w:asciiTheme="minorHAnsi" w:hAnsiTheme="minorHAnsi"/>
                <w:sz w:val="14"/>
                <w:szCs w:val="14"/>
              </w:rPr>
              <w:t xml:space="preserve"> $                     3.081.067 </w:t>
            </w:r>
          </w:p>
        </w:tc>
        <w:tc>
          <w:tcPr>
            <w:tcW w:w="0" w:type="auto"/>
            <w:tcBorders>
              <w:top w:val="nil"/>
              <w:left w:val="nil"/>
              <w:bottom w:val="single" w:sz="4" w:space="0" w:color="003366"/>
              <w:right w:val="single" w:sz="4" w:space="0" w:color="003366"/>
            </w:tcBorders>
            <w:shd w:val="clear" w:color="000000" w:fill="FFFFFF"/>
            <w:noWrap/>
            <w:vAlign w:val="bottom"/>
            <w:hideMark/>
          </w:tcPr>
          <w:p w:rsidR="00C3137D" w:rsidRPr="00C3137D" w:rsidRDefault="00C3137D">
            <w:pPr>
              <w:jc w:val="center"/>
              <w:rPr>
                <w:rFonts w:asciiTheme="minorHAnsi" w:hAnsiTheme="minorHAnsi"/>
                <w:sz w:val="14"/>
                <w:szCs w:val="14"/>
              </w:rPr>
            </w:pPr>
            <w:r w:rsidRPr="00C3137D">
              <w:rPr>
                <w:rFonts w:asciiTheme="minorHAnsi" w:hAnsiTheme="minorHAnsi"/>
                <w:sz w:val="14"/>
                <w:szCs w:val="14"/>
              </w:rPr>
              <w:t xml:space="preserve">   1.206.132,01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C3137D" w:rsidRPr="00C3137D" w:rsidRDefault="00C3137D">
            <w:pPr>
              <w:rPr>
                <w:rFonts w:asciiTheme="minorHAnsi" w:hAnsiTheme="minorHAnsi"/>
                <w:color w:val="000000"/>
                <w:sz w:val="14"/>
                <w:szCs w:val="14"/>
              </w:rPr>
            </w:pPr>
            <w:r w:rsidRPr="00C3137D">
              <w:rPr>
                <w:rFonts w:asciiTheme="minorHAnsi" w:hAnsiTheme="minorHAnsi"/>
                <w:color w:val="000000"/>
                <w:sz w:val="14"/>
                <w:szCs w:val="14"/>
              </w:rPr>
              <w:t xml:space="preserve"> $     15.679.716 </w:t>
            </w:r>
          </w:p>
        </w:tc>
      </w:tr>
      <w:tr w:rsidR="00C3137D" w:rsidRPr="00C3137D" w:rsidTr="00C3137D">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C3137D" w:rsidRPr="00C3137D" w:rsidRDefault="00C3137D">
            <w:pPr>
              <w:jc w:val="center"/>
              <w:rPr>
                <w:rFonts w:asciiTheme="minorHAnsi" w:hAnsiTheme="minorHAnsi"/>
                <w:sz w:val="14"/>
                <w:szCs w:val="14"/>
              </w:rPr>
            </w:pPr>
            <w:r w:rsidRPr="00C3137D">
              <w:rPr>
                <w:rFonts w:asciiTheme="minorHAnsi" w:hAnsiTheme="minorHAnsi"/>
                <w:sz w:val="14"/>
                <w:szCs w:val="14"/>
              </w:rPr>
              <w:t>5,75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3137D" w:rsidRPr="00C3137D" w:rsidRDefault="00C3137D">
            <w:pPr>
              <w:jc w:val="right"/>
              <w:rPr>
                <w:rFonts w:asciiTheme="minorHAnsi" w:hAnsiTheme="minorHAnsi"/>
                <w:color w:val="000000"/>
                <w:sz w:val="14"/>
                <w:szCs w:val="14"/>
              </w:rPr>
            </w:pPr>
            <w:r w:rsidRPr="00C3137D">
              <w:rPr>
                <w:rFonts w:asciiTheme="minorHAnsi" w:hAnsiTheme="minorHAnsi"/>
                <w:color w:val="000000"/>
                <w:sz w:val="14"/>
                <w:szCs w:val="14"/>
              </w:rPr>
              <w:t>01-ene-16</w:t>
            </w:r>
          </w:p>
        </w:tc>
        <w:tc>
          <w:tcPr>
            <w:tcW w:w="0" w:type="auto"/>
            <w:tcBorders>
              <w:top w:val="nil"/>
              <w:left w:val="nil"/>
              <w:bottom w:val="single" w:sz="4" w:space="0" w:color="808000"/>
              <w:right w:val="single" w:sz="4" w:space="0" w:color="808000"/>
            </w:tcBorders>
            <w:shd w:val="clear" w:color="auto" w:fill="auto"/>
            <w:noWrap/>
            <w:vAlign w:val="center"/>
            <w:hideMark/>
          </w:tcPr>
          <w:p w:rsidR="00C3137D" w:rsidRPr="00C3137D" w:rsidRDefault="00C3137D">
            <w:pPr>
              <w:jc w:val="right"/>
              <w:rPr>
                <w:rFonts w:asciiTheme="minorHAnsi" w:hAnsiTheme="minorHAnsi"/>
                <w:color w:val="000000"/>
                <w:sz w:val="14"/>
                <w:szCs w:val="14"/>
              </w:rPr>
            </w:pPr>
            <w:r w:rsidRPr="00C3137D">
              <w:rPr>
                <w:rFonts w:asciiTheme="minorHAnsi" w:hAnsiTheme="minorHAnsi"/>
                <w:color w:val="000000"/>
                <w:sz w:val="14"/>
                <w:szCs w:val="14"/>
              </w:rPr>
              <w:t>31-dic-16</w:t>
            </w:r>
          </w:p>
        </w:tc>
        <w:tc>
          <w:tcPr>
            <w:tcW w:w="0" w:type="auto"/>
            <w:tcBorders>
              <w:top w:val="nil"/>
              <w:left w:val="nil"/>
              <w:bottom w:val="nil"/>
              <w:right w:val="nil"/>
            </w:tcBorders>
            <w:shd w:val="clear" w:color="000000" w:fill="FFFFCC"/>
            <w:noWrap/>
            <w:vAlign w:val="bottom"/>
            <w:hideMark/>
          </w:tcPr>
          <w:p w:rsidR="00C3137D" w:rsidRPr="00C3137D" w:rsidRDefault="00C3137D">
            <w:pPr>
              <w:jc w:val="center"/>
              <w:rPr>
                <w:rFonts w:asciiTheme="minorHAnsi" w:hAnsiTheme="minorHAnsi"/>
                <w:sz w:val="14"/>
                <w:szCs w:val="14"/>
              </w:rPr>
            </w:pPr>
            <w:r w:rsidRPr="00C3137D">
              <w:rPr>
                <w:rFonts w:asciiTheme="minorHAnsi" w:hAnsiTheme="minorHAnsi"/>
                <w:sz w:val="14"/>
                <w:szCs w:val="14"/>
              </w:rPr>
              <w:t>13,00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C3137D" w:rsidRPr="00C3137D" w:rsidRDefault="00C3137D">
            <w:pPr>
              <w:rPr>
                <w:rFonts w:asciiTheme="minorHAnsi" w:hAnsiTheme="minorHAnsi"/>
                <w:sz w:val="14"/>
                <w:szCs w:val="14"/>
              </w:rPr>
            </w:pPr>
            <w:r w:rsidRPr="00C3137D">
              <w:rPr>
                <w:rFonts w:asciiTheme="minorHAnsi" w:hAnsiTheme="minorHAnsi"/>
                <w:sz w:val="14"/>
                <w:szCs w:val="14"/>
              </w:rPr>
              <w:t xml:space="preserve"> $            4.577.443 </w:t>
            </w:r>
          </w:p>
        </w:tc>
        <w:tc>
          <w:tcPr>
            <w:tcW w:w="0" w:type="auto"/>
            <w:tcBorders>
              <w:top w:val="nil"/>
              <w:left w:val="nil"/>
              <w:bottom w:val="single" w:sz="4" w:space="0" w:color="003366"/>
              <w:right w:val="single" w:sz="4" w:space="0" w:color="003366"/>
            </w:tcBorders>
            <w:shd w:val="clear" w:color="000000" w:fill="FFFFCC"/>
            <w:vAlign w:val="bottom"/>
            <w:hideMark/>
          </w:tcPr>
          <w:p w:rsidR="00C3137D" w:rsidRPr="00C3137D" w:rsidRDefault="00C3137D">
            <w:pPr>
              <w:rPr>
                <w:rFonts w:asciiTheme="minorHAnsi" w:hAnsiTheme="minorHAnsi"/>
                <w:sz w:val="14"/>
                <w:szCs w:val="14"/>
              </w:rPr>
            </w:pPr>
            <w:r w:rsidRPr="00C3137D">
              <w:rPr>
                <w:rFonts w:asciiTheme="minorHAnsi" w:hAnsiTheme="minorHAnsi"/>
                <w:sz w:val="14"/>
                <w:szCs w:val="14"/>
              </w:rPr>
              <w:t xml:space="preserve"> $                     3.289.656 </w:t>
            </w:r>
          </w:p>
        </w:tc>
        <w:tc>
          <w:tcPr>
            <w:tcW w:w="0" w:type="auto"/>
            <w:tcBorders>
              <w:top w:val="nil"/>
              <w:left w:val="nil"/>
              <w:bottom w:val="single" w:sz="4" w:space="0" w:color="003366"/>
              <w:right w:val="single" w:sz="4" w:space="0" w:color="003366"/>
            </w:tcBorders>
            <w:shd w:val="clear" w:color="000000" w:fill="FFFFFF"/>
            <w:noWrap/>
            <w:vAlign w:val="bottom"/>
            <w:hideMark/>
          </w:tcPr>
          <w:p w:rsidR="00C3137D" w:rsidRPr="00C3137D" w:rsidRDefault="00C3137D">
            <w:pPr>
              <w:jc w:val="center"/>
              <w:rPr>
                <w:rFonts w:asciiTheme="minorHAnsi" w:hAnsiTheme="minorHAnsi"/>
                <w:sz w:val="14"/>
                <w:szCs w:val="14"/>
              </w:rPr>
            </w:pPr>
            <w:r w:rsidRPr="00C3137D">
              <w:rPr>
                <w:rFonts w:asciiTheme="minorHAnsi" w:hAnsiTheme="minorHAnsi"/>
                <w:sz w:val="14"/>
                <w:szCs w:val="14"/>
              </w:rPr>
              <w:t xml:space="preserve">   1.287.787,15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C3137D" w:rsidRPr="00C3137D" w:rsidRDefault="00C3137D">
            <w:pPr>
              <w:rPr>
                <w:rFonts w:asciiTheme="minorHAnsi" w:hAnsiTheme="minorHAnsi"/>
                <w:color w:val="000000"/>
                <w:sz w:val="14"/>
                <w:szCs w:val="14"/>
              </w:rPr>
            </w:pPr>
            <w:r w:rsidRPr="00C3137D">
              <w:rPr>
                <w:rFonts w:asciiTheme="minorHAnsi" w:hAnsiTheme="minorHAnsi"/>
                <w:color w:val="000000"/>
                <w:sz w:val="14"/>
                <w:szCs w:val="14"/>
              </w:rPr>
              <w:t xml:space="preserve"> $     16.741.233 </w:t>
            </w:r>
          </w:p>
        </w:tc>
      </w:tr>
      <w:tr w:rsidR="00C3137D" w:rsidRPr="00C3137D" w:rsidTr="00C3137D">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C3137D" w:rsidRPr="00C3137D" w:rsidRDefault="00C3137D">
            <w:pPr>
              <w:jc w:val="center"/>
              <w:rPr>
                <w:rFonts w:asciiTheme="minorHAnsi" w:hAnsiTheme="minorHAnsi"/>
                <w:sz w:val="14"/>
                <w:szCs w:val="14"/>
              </w:rPr>
            </w:pPr>
            <w:r w:rsidRPr="00C3137D">
              <w:rPr>
                <w:rFonts w:asciiTheme="minorHAnsi" w:hAnsiTheme="minorHAnsi"/>
                <w:sz w:val="14"/>
                <w:szCs w:val="14"/>
              </w:rPr>
              <w:t>0,00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3137D" w:rsidRPr="00C3137D" w:rsidRDefault="00C3137D">
            <w:pPr>
              <w:jc w:val="right"/>
              <w:rPr>
                <w:rFonts w:asciiTheme="minorHAnsi" w:hAnsiTheme="minorHAnsi"/>
                <w:color w:val="000000"/>
                <w:sz w:val="14"/>
                <w:szCs w:val="14"/>
              </w:rPr>
            </w:pPr>
            <w:r w:rsidRPr="00C3137D">
              <w:rPr>
                <w:rFonts w:asciiTheme="minorHAnsi" w:hAnsiTheme="minorHAnsi"/>
                <w:color w:val="000000"/>
                <w:sz w:val="14"/>
                <w:szCs w:val="14"/>
              </w:rPr>
              <w:t>01-ene-17</w:t>
            </w:r>
          </w:p>
        </w:tc>
        <w:tc>
          <w:tcPr>
            <w:tcW w:w="0" w:type="auto"/>
            <w:tcBorders>
              <w:top w:val="nil"/>
              <w:left w:val="nil"/>
              <w:bottom w:val="single" w:sz="4" w:space="0" w:color="808000"/>
              <w:right w:val="single" w:sz="4" w:space="0" w:color="808000"/>
            </w:tcBorders>
            <w:shd w:val="clear" w:color="auto" w:fill="auto"/>
            <w:noWrap/>
            <w:vAlign w:val="center"/>
            <w:hideMark/>
          </w:tcPr>
          <w:p w:rsidR="00C3137D" w:rsidRPr="00C3137D" w:rsidRDefault="00C3137D">
            <w:pPr>
              <w:jc w:val="right"/>
              <w:rPr>
                <w:rFonts w:asciiTheme="minorHAnsi" w:hAnsiTheme="minorHAnsi"/>
                <w:color w:val="000000"/>
                <w:sz w:val="14"/>
                <w:szCs w:val="14"/>
              </w:rPr>
            </w:pPr>
            <w:r w:rsidRPr="00C3137D">
              <w:rPr>
                <w:rFonts w:asciiTheme="minorHAnsi" w:hAnsiTheme="minorHAnsi"/>
                <w:color w:val="000000"/>
                <w:sz w:val="14"/>
                <w:szCs w:val="14"/>
              </w:rPr>
              <w:t>30-sep-17</w:t>
            </w:r>
          </w:p>
        </w:tc>
        <w:tc>
          <w:tcPr>
            <w:tcW w:w="0" w:type="auto"/>
            <w:tcBorders>
              <w:top w:val="nil"/>
              <w:left w:val="nil"/>
              <w:bottom w:val="nil"/>
              <w:right w:val="nil"/>
            </w:tcBorders>
            <w:shd w:val="clear" w:color="000000" w:fill="FFFFCC"/>
            <w:noWrap/>
            <w:vAlign w:val="bottom"/>
            <w:hideMark/>
          </w:tcPr>
          <w:p w:rsidR="00C3137D" w:rsidRPr="00C3137D" w:rsidRDefault="00C3137D">
            <w:pPr>
              <w:jc w:val="center"/>
              <w:rPr>
                <w:rFonts w:asciiTheme="minorHAnsi" w:hAnsiTheme="minorHAnsi"/>
                <w:sz w:val="14"/>
                <w:szCs w:val="14"/>
              </w:rPr>
            </w:pPr>
            <w:r w:rsidRPr="00C3137D">
              <w:rPr>
                <w:rFonts w:asciiTheme="minorHAnsi" w:hAnsiTheme="minorHAnsi"/>
                <w:sz w:val="14"/>
                <w:szCs w:val="14"/>
              </w:rPr>
              <w:t>9,00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C3137D" w:rsidRPr="00C3137D" w:rsidRDefault="00C3137D">
            <w:pPr>
              <w:rPr>
                <w:rFonts w:asciiTheme="minorHAnsi" w:hAnsiTheme="minorHAnsi"/>
                <w:sz w:val="14"/>
                <w:szCs w:val="14"/>
              </w:rPr>
            </w:pPr>
            <w:r w:rsidRPr="00C3137D">
              <w:rPr>
                <w:rFonts w:asciiTheme="minorHAnsi" w:hAnsiTheme="minorHAnsi"/>
                <w:sz w:val="14"/>
                <w:szCs w:val="14"/>
              </w:rPr>
              <w:t xml:space="preserve"> $            4.840.646 </w:t>
            </w:r>
          </w:p>
        </w:tc>
        <w:tc>
          <w:tcPr>
            <w:tcW w:w="0" w:type="auto"/>
            <w:tcBorders>
              <w:top w:val="nil"/>
              <w:left w:val="nil"/>
              <w:bottom w:val="single" w:sz="4" w:space="0" w:color="003366"/>
              <w:right w:val="single" w:sz="4" w:space="0" w:color="003366"/>
            </w:tcBorders>
            <w:shd w:val="clear" w:color="000000" w:fill="FFFFCC"/>
            <w:vAlign w:val="bottom"/>
            <w:hideMark/>
          </w:tcPr>
          <w:p w:rsidR="00C3137D" w:rsidRPr="00C3137D" w:rsidRDefault="00C3137D">
            <w:pPr>
              <w:rPr>
                <w:rFonts w:asciiTheme="minorHAnsi" w:hAnsiTheme="minorHAnsi"/>
                <w:sz w:val="14"/>
                <w:szCs w:val="14"/>
              </w:rPr>
            </w:pPr>
            <w:r w:rsidRPr="00C3137D">
              <w:rPr>
                <w:rFonts w:asciiTheme="minorHAnsi" w:hAnsiTheme="minorHAnsi"/>
                <w:sz w:val="14"/>
                <w:szCs w:val="14"/>
              </w:rPr>
              <w:t xml:space="preserve"> $                     3.478.811 </w:t>
            </w:r>
          </w:p>
        </w:tc>
        <w:tc>
          <w:tcPr>
            <w:tcW w:w="0" w:type="auto"/>
            <w:tcBorders>
              <w:top w:val="nil"/>
              <w:left w:val="nil"/>
              <w:bottom w:val="single" w:sz="4" w:space="0" w:color="003366"/>
              <w:right w:val="single" w:sz="4" w:space="0" w:color="003366"/>
            </w:tcBorders>
            <w:shd w:val="clear" w:color="000000" w:fill="FFFFFF"/>
            <w:noWrap/>
            <w:vAlign w:val="bottom"/>
            <w:hideMark/>
          </w:tcPr>
          <w:p w:rsidR="00C3137D" w:rsidRPr="00C3137D" w:rsidRDefault="00C3137D">
            <w:pPr>
              <w:jc w:val="center"/>
              <w:rPr>
                <w:rFonts w:asciiTheme="minorHAnsi" w:hAnsiTheme="minorHAnsi"/>
                <w:sz w:val="14"/>
                <w:szCs w:val="14"/>
              </w:rPr>
            </w:pPr>
            <w:r w:rsidRPr="00C3137D">
              <w:rPr>
                <w:rFonts w:asciiTheme="minorHAnsi" w:hAnsiTheme="minorHAnsi"/>
                <w:sz w:val="14"/>
                <w:szCs w:val="14"/>
              </w:rPr>
              <w:t xml:space="preserve">   1.361.834,91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C3137D" w:rsidRPr="00C3137D" w:rsidRDefault="00C3137D">
            <w:pPr>
              <w:rPr>
                <w:rFonts w:asciiTheme="minorHAnsi" w:hAnsiTheme="minorHAnsi"/>
                <w:color w:val="000000"/>
                <w:sz w:val="14"/>
                <w:szCs w:val="14"/>
              </w:rPr>
            </w:pPr>
            <w:r w:rsidRPr="00C3137D">
              <w:rPr>
                <w:rFonts w:asciiTheme="minorHAnsi" w:hAnsiTheme="minorHAnsi"/>
                <w:color w:val="000000"/>
                <w:sz w:val="14"/>
                <w:szCs w:val="14"/>
              </w:rPr>
              <w:t xml:space="preserve"> $     12.256.514 </w:t>
            </w:r>
          </w:p>
        </w:tc>
      </w:tr>
      <w:tr w:rsidR="00C3137D" w:rsidRPr="00C3137D" w:rsidTr="00C3137D">
        <w:trPr>
          <w:trHeight w:val="20"/>
          <w:jc w:val="center"/>
        </w:trPr>
        <w:tc>
          <w:tcPr>
            <w:tcW w:w="0" w:type="auto"/>
            <w:tcBorders>
              <w:top w:val="nil"/>
              <w:left w:val="single" w:sz="8" w:space="0" w:color="auto"/>
              <w:bottom w:val="nil"/>
              <w:right w:val="nil"/>
            </w:tcBorders>
            <w:shd w:val="clear" w:color="auto" w:fill="auto"/>
            <w:noWrap/>
            <w:vAlign w:val="bottom"/>
            <w:hideMark/>
          </w:tcPr>
          <w:p w:rsidR="00C3137D" w:rsidRPr="00C3137D" w:rsidRDefault="00C3137D">
            <w:pPr>
              <w:jc w:val="center"/>
              <w:rPr>
                <w:rFonts w:asciiTheme="minorHAnsi" w:hAnsiTheme="minorHAnsi"/>
                <w:sz w:val="14"/>
                <w:szCs w:val="14"/>
              </w:rPr>
            </w:pPr>
            <w:r w:rsidRPr="00C3137D">
              <w:rPr>
                <w:rFonts w:asciiTheme="minorHAnsi" w:hAnsiTheme="minorHAnsi"/>
                <w:sz w:val="14"/>
                <w:szCs w:val="14"/>
              </w:rPr>
              <w:t> </w:t>
            </w:r>
          </w:p>
        </w:tc>
        <w:tc>
          <w:tcPr>
            <w:tcW w:w="0" w:type="auto"/>
            <w:tcBorders>
              <w:top w:val="nil"/>
              <w:left w:val="nil"/>
              <w:bottom w:val="nil"/>
              <w:right w:val="nil"/>
            </w:tcBorders>
            <w:shd w:val="clear" w:color="auto" w:fill="auto"/>
            <w:noWrap/>
            <w:vAlign w:val="center"/>
            <w:hideMark/>
          </w:tcPr>
          <w:p w:rsidR="00C3137D" w:rsidRPr="00C3137D" w:rsidRDefault="00C3137D">
            <w:pPr>
              <w:jc w:val="center"/>
              <w:rPr>
                <w:rFonts w:asciiTheme="minorHAnsi" w:hAnsiTheme="minorHAnsi"/>
                <w:sz w:val="14"/>
                <w:szCs w:val="14"/>
              </w:rPr>
            </w:pPr>
          </w:p>
        </w:tc>
        <w:tc>
          <w:tcPr>
            <w:tcW w:w="0" w:type="auto"/>
            <w:tcBorders>
              <w:top w:val="nil"/>
              <w:left w:val="nil"/>
              <w:bottom w:val="nil"/>
              <w:right w:val="nil"/>
            </w:tcBorders>
            <w:shd w:val="clear" w:color="auto" w:fill="auto"/>
            <w:noWrap/>
            <w:vAlign w:val="center"/>
            <w:hideMark/>
          </w:tcPr>
          <w:p w:rsidR="00C3137D" w:rsidRPr="00C3137D" w:rsidRDefault="00C3137D">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C3137D" w:rsidRPr="00C3137D" w:rsidRDefault="00C3137D">
            <w:pPr>
              <w:rPr>
                <w:rFonts w:asciiTheme="minorHAnsi" w:hAnsiTheme="minorHAnsi"/>
                <w:sz w:val="14"/>
                <w:szCs w:val="14"/>
              </w:rPr>
            </w:pPr>
          </w:p>
        </w:tc>
        <w:tc>
          <w:tcPr>
            <w:tcW w:w="0" w:type="auto"/>
            <w:tcBorders>
              <w:top w:val="nil"/>
              <w:left w:val="nil"/>
              <w:bottom w:val="nil"/>
              <w:right w:val="nil"/>
            </w:tcBorders>
            <w:shd w:val="clear" w:color="auto" w:fill="auto"/>
            <w:vAlign w:val="bottom"/>
            <w:hideMark/>
          </w:tcPr>
          <w:p w:rsidR="00C3137D" w:rsidRPr="00C3137D" w:rsidRDefault="00C3137D">
            <w:pPr>
              <w:jc w:val="center"/>
              <w:rPr>
                <w:rFonts w:asciiTheme="minorHAnsi" w:hAnsiTheme="minorHAnsi"/>
                <w:sz w:val="14"/>
                <w:szCs w:val="14"/>
              </w:rPr>
            </w:pPr>
          </w:p>
        </w:tc>
        <w:tc>
          <w:tcPr>
            <w:tcW w:w="0" w:type="auto"/>
            <w:tcBorders>
              <w:top w:val="nil"/>
              <w:left w:val="nil"/>
              <w:bottom w:val="nil"/>
              <w:right w:val="nil"/>
            </w:tcBorders>
            <w:shd w:val="clear" w:color="auto" w:fill="auto"/>
            <w:vAlign w:val="bottom"/>
            <w:hideMark/>
          </w:tcPr>
          <w:p w:rsidR="00C3137D" w:rsidRPr="00C3137D" w:rsidRDefault="00C3137D">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C3137D" w:rsidRPr="00C3137D" w:rsidRDefault="00C3137D">
            <w:pPr>
              <w:rPr>
                <w:rFonts w:asciiTheme="minorHAnsi" w:hAnsiTheme="minorHAns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37D" w:rsidRPr="00C3137D" w:rsidRDefault="00C3137D">
            <w:pPr>
              <w:rPr>
                <w:rFonts w:asciiTheme="minorHAnsi" w:hAnsiTheme="minorHAnsi"/>
                <w:color w:val="000000"/>
                <w:sz w:val="14"/>
                <w:szCs w:val="14"/>
              </w:rPr>
            </w:pPr>
            <w:r w:rsidRPr="00C3137D">
              <w:rPr>
                <w:rFonts w:asciiTheme="minorHAnsi" w:hAnsiTheme="minorHAnsi"/>
                <w:color w:val="000000"/>
                <w:sz w:val="14"/>
                <w:szCs w:val="14"/>
              </w:rPr>
              <w:t xml:space="preserve"> $     64.369.176 </w:t>
            </w:r>
          </w:p>
        </w:tc>
      </w:tr>
    </w:tbl>
    <w:p w:rsidR="00924F0D" w:rsidRDefault="00924F0D" w:rsidP="00E41882">
      <w:pPr>
        <w:pStyle w:val="Sinespaciado"/>
        <w:ind w:left="708"/>
        <w:rPr>
          <w:sz w:val="20"/>
          <w:szCs w:val="20"/>
        </w:rPr>
      </w:pPr>
    </w:p>
    <w:p w:rsidR="00C3137D" w:rsidRDefault="00C3137D" w:rsidP="00E41882">
      <w:pPr>
        <w:pStyle w:val="Sinespaciado"/>
        <w:ind w:left="708"/>
        <w:rPr>
          <w:sz w:val="20"/>
          <w:szCs w:val="20"/>
        </w:rPr>
      </w:pPr>
    </w:p>
    <w:p w:rsidR="00C3137D" w:rsidRDefault="00C3137D" w:rsidP="00C3137D">
      <w:pPr>
        <w:pStyle w:val="Sinespaciado"/>
        <w:spacing w:line="276" w:lineRule="auto"/>
        <w:ind w:firstLine="709"/>
        <w:rPr>
          <w:sz w:val="22"/>
          <w:szCs w:val="22"/>
        </w:rPr>
      </w:pPr>
    </w:p>
    <w:p w:rsidR="00C3137D" w:rsidRDefault="00C3137D" w:rsidP="00C3137D">
      <w:pPr>
        <w:pStyle w:val="Sinespaciado"/>
        <w:spacing w:line="276" w:lineRule="auto"/>
        <w:ind w:firstLine="709"/>
        <w:rPr>
          <w:sz w:val="22"/>
          <w:szCs w:val="22"/>
        </w:rPr>
      </w:pPr>
    </w:p>
    <w:p w:rsidR="00C3137D" w:rsidRDefault="00C3137D" w:rsidP="00C3137D">
      <w:pPr>
        <w:pStyle w:val="Sinespaciado"/>
        <w:spacing w:line="276" w:lineRule="auto"/>
        <w:ind w:firstLine="709"/>
        <w:rPr>
          <w:sz w:val="22"/>
          <w:szCs w:val="22"/>
        </w:rPr>
      </w:pPr>
    </w:p>
    <w:p w:rsidR="00C3137D" w:rsidRPr="00EA6BEB" w:rsidRDefault="00C3137D" w:rsidP="00C3137D">
      <w:pPr>
        <w:pStyle w:val="Sinespaciado"/>
        <w:spacing w:line="276" w:lineRule="auto"/>
        <w:ind w:firstLine="709"/>
        <w:rPr>
          <w:sz w:val="22"/>
          <w:szCs w:val="22"/>
        </w:rPr>
      </w:pPr>
    </w:p>
    <w:p w:rsidR="00C3137D" w:rsidRPr="00EA6BEB" w:rsidRDefault="00C3137D" w:rsidP="00C3137D">
      <w:pPr>
        <w:pStyle w:val="Sinespaciado"/>
        <w:spacing w:line="276" w:lineRule="auto"/>
        <w:ind w:firstLine="709"/>
        <w:rPr>
          <w:sz w:val="22"/>
          <w:szCs w:val="22"/>
        </w:rPr>
      </w:pPr>
    </w:p>
    <w:p w:rsidR="00C3137D" w:rsidRPr="00EA6BEB" w:rsidRDefault="00C3137D" w:rsidP="00C3137D">
      <w:pPr>
        <w:pStyle w:val="Ttulo3"/>
        <w:spacing w:before="0" w:after="0" w:line="276" w:lineRule="auto"/>
        <w:ind w:firstLine="709"/>
        <w:jc w:val="center"/>
        <w:rPr>
          <w:rFonts w:ascii="Tahoma" w:hAnsi="Tahoma" w:cs="Tahoma"/>
          <w:b w:val="0"/>
          <w:bCs w:val="0"/>
          <w:sz w:val="22"/>
          <w:szCs w:val="22"/>
        </w:rPr>
      </w:pPr>
      <w:r w:rsidRPr="00EA6BEB">
        <w:rPr>
          <w:rFonts w:ascii="Tahoma" w:hAnsi="Tahoma" w:cs="Tahoma"/>
          <w:sz w:val="22"/>
          <w:szCs w:val="22"/>
        </w:rPr>
        <w:t>ANA LUCÍA CAICEDO CALDERÓN</w:t>
      </w:r>
    </w:p>
    <w:p w:rsidR="00C3137D" w:rsidRPr="00042881" w:rsidRDefault="00C3137D" w:rsidP="00C3137D">
      <w:pPr>
        <w:pStyle w:val="Sinespaciado"/>
        <w:ind w:left="708"/>
        <w:jc w:val="center"/>
        <w:rPr>
          <w:sz w:val="20"/>
          <w:szCs w:val="20"/>
        </w:rPr>
      </w:pPr>
      <w:r w:rsidRPr="00EA6BEB">
        <w:rPr>
          <w:rFonts w:ascii="Tahoma" w:hAnsi="Tahoma" w:cs="Tahoma"/>
          <w:sz w:val="22"/>
          <w:szCs w:val="22"/>
        </w:rPr>
        <w:t>Magistrada</w:t>
      </w:r>
    </w:p>
    <w:sectPr w:rsidR="00C3137D" w:rsidRPr="00042881" w:rsidSect="00B36C81">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3A3" w:rsidRDefault="00E853A3">
      <w:r>
        <w:separator/>
      </w:r>
    </w:p>
  </w:endnote>
  <w:endnote w:type="continuationSeparator" w:id="0">
    <w:p w:rsidR="00E853A3" w:rsidRDefault="00E8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AA" w:rsidRPr="0002458E" w:rsidRDefault="00EB3DAA">
    <w:pPr>
      <w:pStyle w:val="Piedepgina"/>
      <w:jc w:val="right"/>
    </w:pPr>
    <w:r w:rsidRPr="0002458E">
      <w:fldChar w:fldCharType="begin"/>
    </w:r>
    <w:r w:rsidRPr="0002458E">
      <w:instrText>PAGE   \* MERGEFORMAT</w:instrText>
    </w:r>
    <w:r w:rsidRPr="0002458E">
      <w:fldChar w:fldCharType="separate"/>
    </w:r>
    <w:r w:rsidR="00303659">
      <w:rPr>
        <w:noProof/>
      </w:rPr>
      <w:t>6</w:t>
    </w:r>
    <w:r w:rsidRPr="0002458E">
      <w:fldChar w:fldCharType="end"/>
    </w:r>
  </w:p>
  <w:p w:rsidR="00EB3DAA" w:rsidRDefault="00EB3DA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AA" w:rsidRDefault="00EB3DAA">
    <w:pPr>
      <w:pStyle w:val="Piedepgina"/>
      <w:jc w:val="right"/>
    </w:pPr>
    <w:r>
      <w:fldChar w:fldCharType="begin"/>
    </w:r>
    <w:r>
      <w:instrText>PAGE   \* MERGEFORMAT</w:instrText>
    </w:r>
    <w:r>
      <w:fldChar w:fldCharType="separate"/>
    </w:r>
    <w:r w:rsidR="00303659">
      <w:rPr>
        <w:noProof/>
      </w:rPr>
      <w:t>1</w:t>
    </w:r>
    <w:r>
      <w:fldChar w:fldCharType="end"/>
    </w:r>
  </w:p>
  <w:p w:rsidR="00EB3DAA" w:rsidRDefault="00EB3D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3A3" w:rsidRDefault="00E853A3">
      <w:r>
        <w:separator/>
      </w:r>
    </w:p>
  </w:footnote>
  <w:footnote w:type="continuationSeparator" w:id="0">
    <w:p w:rsidR="00E853A3" w:rsidRDefault="00E853A3">
      <w:r>
        <w:continuationSeparator/>
      </w:r>
    </w:p>
  </w:footnote>
  <w:footnote w:id="1">
    <w:p w:rsidR="007E69CD" w:rsidRPr="007E69CD" w:rsidRDefault="007E69CD" w:rsidP="007E69CD">
      <w:pPr>
        <w:pStyle w:val="Textonotapie"/>
        <w:jc w:val="both"/>
        <w:rPr>
          <w:sz w:val="16"/>
          <w:szCs w:val="16"/>
        </w:rPr>
      </w:pPr>
      <w:r w:rsidRPr="007E69CD">
        <w:rPr>
          <w:sz w:val="16"/>
          <w:szCs w:val="16"/>
          <w:vertAlign w:val="superscript"/>
        </w:rPr>
        <w:footnoteRef/>
      </w:r>
      <w:r w:rsidRPr="007E69CD">
        <w:rPr>
          <w:sz w:val="16"/>
          <w:szCs w:val="16"/>
        </w:rPr>
        <w:t xml:space="preserve"> Cfr. Corte Constitucional, Sentencia T-660 de </w:t>
      </w:r>
      <w:smartTag w:uri="urn:schemas-microsoft-com:office:smarttags" w:element="metricconverter">
        <w:smartTagPr>
          <w:attr w:name="ProductID" w:val="2002, M"/>
        </w:smartTagPr>
        <w:r w:rsidRPr="007E69CD">
          <w:rPr>
            <w:sz w:val="16"/>
            <w:szCs w:val="16"/>
          </w:rPr>
          <w:t>2002, M</w:t>
        </w:r>
      </w:smartTag>
      <w:r w:rsidRPr="007E69CD">
        <w:rPr>
          <w:sz w:val="16"/>
          <w:szCs w:val="16"/>
        </w:rPr>
        <w:t>.P. Clara Inés Vargas Hernández.</w:t>
      </w:r>
    </w:p>
  </w:footnote>
  <w:footnote w:id="2">
    <w:p w:rsidR="007E69CD" w:rsidRPr="007E69CD" w:rsidRDefault="007E69CD" w:rsidP="007E69CD">
      <w:pPr>
        <w:pStyle w:val="Textonotapie"/>
        <w:jc w:val="both"/>
        <w:rPr>
          <w:sz w:val="16"/>
          <w:szCs w:val="16"/>
        </w:rPr>
      </w:pPr>
      <w:r w:rsidRPr="007E69CD">
        <w:rPr>
          <w:sz w:val="16"/>
          <w:szCs w:val="16"/>
          <w:vertAlign w:val="superscript"/>
        </w:rPr>
        <w:footnoteRef/>
      </w:r>
      <w:r w:rsidRPr="007E69CD">
        <w:rPr>
          <w:sz w:val="16"/>
          <w:szCs w:val="16"/>
        </w:rPr>
        <w:t xml:space="preserve"> Ver Sentencia T-141/04 (M.P.: Alfredo Beltrán Sierra) Cita ésta a su vez la Sentencia T-475/92 (M.P.: Eduardo Cifuentes Muñoz) </w:t>
      </w:r>
    </w:p>
  </w:footnote>
  <w:footnote w:id="3">
    <w:p w:rsidR="007E69CD" w:rsidRPr="007E69CD" w:rsidRDefault="007E69CD" w:rsidP="007E69CD">
      <w:pPr>
        <w:pStyle w:val="Textonotapie"/>
        <w:jc w:val="both"/>
        <w:rPr>
          <w:sz w:val="16"/>
          <w:szCs w:val="16"/>
        </w:rPr>
      </w:pPr>
      <w:r w:rsidRPr="007E69CD">
        <w:rPr>
          <w:sz w:val="16"/>
          <w:szCs w:val="16"/>
          <w:vertAlign w:val="superscript"/>
        </w:rPr>
        <w:footnoteRef/>
      </w:r>
      <w:r w:rsidRPr="007E69CD">
        <w:rPr>
          <w:sz w:val="16"/>
          <w:szCs w:val="16"/>
        </w:rPr>
        <w:t xml:space="preserve"> Corte Constitucional, Sentencia T-1228 de </w:t>
      </w:r>
      <w:smartTag w:uri="urn:schemas-microsoft-com:office:smarttags" w:element="metricconverter">
        <w:smartTagPr>
          <w:attr w:name="ProductID" w:val="2001, M"/>
        </w:smartTagPr>
        <w:r w:rsidRPr="007E69CD">
          <w:rPr>
            <w:sz w:val="16"/>
            <w:szCs w:val="16"/>
          </w:rPr>
          <w:t>2001, M</w:t>
        </w:r>
      </w:smartTag>
      <w:r w:rsidRPr="007E69CD">
        <w:rPr>
          <w:sz w:val="16"/>
          <w:szCs w:val="16"/>
        </w:rPr>
        <w:t>.P. Marco Gerardo Monroy Cabra.</w:t>
      </w:r>
    </w:p>
  </w:footnote>
  <w:footnote w:id="4">
    <w:p w:rsidR="007E69CD" w:rsidRPr="007E69CD" w:rsidRDefault="007E69CD" w:rsidP="007E69CD">
      <w:pPr>
        <w:pStyle w:val="Textonotapie"/>
        <w:rPr>
          <w:sz w:val="16"/>
          <w:szCs w:val="16"/>
        </w:rPr>
      </w:pPr>
      <w:r w:rsidRPr="007E69CD">
        <w:rPr>
          <w:sz w:val="16"/>
          <w:szCs w:val="16"/>
          <w:vertAlign w:val="superscript"/>
        </w:rPr>
        <w:footnoteRef/>
      </w:r>
      <w:r w:rsidRPr="007E69CD">
        <w:rPr>
          <w:sz w:val="16"/>
          <w:szCs w:val="16"/>
        </w:rPr>
        <w:t xml:space="preserve"> Cfr. Corte Constitucional, Sentencia T-020 de </w:t>
      </w:r>
      <w:smartTag w:uri="urn:schemas-microsoft-com:office:smarttags" w:element="metricconverter">
        <w:smartTagPr>
          <w:attr w:name="ProductID" w:val="2000, M"/>
        </w:smartTagPr>
        <w:r w:rsidRPr="007E69CD">
          <w:rPr>
            <w:sz w:val="16"/>
            <w:szCs w:val="16"/>
          </w:rPr>
          <w:t>2000, M</w:t>
        </w:r>
      </w:smartTag>
      <w:r w:rsidRPr="007E69CD">
        <w:rPr>
          <w:sz w:val="16"/>
          <w:szCs w:val="16"/>
        </w:rPr>
        <w:t>.P. José Gregorio Hernández Galindo.</w:t>
      </w:r>
    </w:p>
  </w:footnote>
  <w:footnote w:id="5">
    <w:p w:rsidR="007E69CD" w:rsidRPr="007E69CD" w:rsidRDefault="007E69CD" w:rsidP="007E69CD">
      <w:pPr>
        <w:pStyle w:val="Textonotapie"/>
        <w:rPr>
          <w:sz w:val="16"/>
          <w:szCs w:val="16"/>
        </w:rPr>
      </w:pPr>
      <w:r w:rsidRPr="007E69CD">
        <w:rPr>
          <w:sz w:val="16"/>
          <w:szCs w:val="16"/>
          <w:vertAlign w:val="superscript"/>
        </w:rPr>
        <w:footnoteRef/>
      </w:r>
      <w:r w:rsidRPr="007E69CD">
        <w:rPr>
          <w:sz w:val="16"/>
          <w:szCs w:val="16"/>
        </w:rPr>
        <w:t xml:space="preserve"> Corte Constitucional, Sentencia C-478 de </w:t>
      </w:r>
      <w:smartTag w:uri="urn:schemas-microsoft-com:office:smarttags" w:element="metricconverter">
        <w:smartTagPr>
          <w:attr w:name="ProductID" w:val="1998, M"/>
        </w:smartTagPr>
        <w:r w:rsidRPr="007E69CD">
          <w:rPr>
            <w:sz w:val="16"/>
            <w:szCs w:val="16"/>
          </w:rPr>
          <w:t>1998, M</w:t>
        </w:r>
      </w:smartTag>
      <w:r w:rsidRPr="007E69CD">
        <w:rPr>
          <w:sz w:val="16"/>
          <w:szCs w:val="16"/>
        </w:rPr>
        <w:t>.P. Alejandro Martínez Caballero.</w:t>
      </w:r>
    </w:p>
  </w:footnote>
  <w:footnote w:id="6">
    <w:p w:rsidR="007E69CD" w:rsidRPr="007E69CD" w:rsidRDefault="007E69CD" w:rsidP="007E69CD">
      <w:pPr>
        <w:pStyle w:val="Textonotapie"/>
        <w:jc w:val="both"/>
        <w:rPr>
          <w:sz w:val="16"/>
          <w:szCs w:val="16"/>
        </w:rPr>
      </w:pPr>
      <w:r w:rsidRPr="007E69CD">
        <w:rPr>
          <w:sz w:val="16"/>
          <w:szCs w:val="16"/>
          <w:vertAlign w:val="superscript"/>
        </w:rPr>
        <w:footnoteRef/>
      </w:r>
      <w:r w:rsidRPr="007E69CD">
        <w:rPr>
          <w:sz w:val="16"/>
          <w:szCs w:val="16"/>
        </w:rPr>
        <w:t xml:space="preserve"> Cfr. Corte Constitucional, Sentencia T-053 de </w:t>
      </w:r>
      <w:smartTag w:uri="urn:schemas-microsoft-com:office:smarttags" w:element="metricconverter">
        <w:smartTagPr>
          <w:attr w:name="ProductID" w:val="2008, M"/>
        </w:smartTagPr>
        <w:r w:rsidRPr="007E69CD">
          <w:rPr>
            <w:sz w:val="16"/>
            <w:szCs w:val="16"/>
          </w:rPr>
          <w:t>2008, M</w:t>
        </w:r>
      </w:smartTag>
      <w:r w:rsidRPr="007E69CD">
        <w:rPr>
          <w:sz w:val="16"/>
          <w:szCs w:val="16"/>
        </w:rPr>
        <w:t>.P. Rodrigo Escobar Gil.</w:t>
      </w:r>
    </w:p>
  </w:footnote>
  <w:footnote w:id="7">
    <w:p w:rsidR="007E69CD" w:rsidRPr="007E69CD" w:rsidRDefault="007E69CD" w:rsidP="007E69CD">
      <w:pPr>
        <w:pStyle w:val="Textonotapie"/>
        <w:rPr>
          <w:sz w:val="16"/>
          <w:szCs w:val="16"/>
        </w:rPr>
      </w:pPr>
      <w:r w:rsidRPr="007E69CD">
        <w:rPr>
          <w:sz w:val="16"/>
          <w:szCs w:val="16"/>
          <w:vertAlign w:val="superscript"/>
        </w:rPr>
        <w:footnoteRef/>
      </w:r>
      <w:r w:rsidRPr="007E69CD">
        <w:rPr>
          <w:sz w:val="16"/>
          <w:szCs w:val="16"/>
        </w:rPr>
        <w:t xml:space="preserve"> Cfr. Corte Constitucional, Sentencia T-020 de </w:t>
      </w:r>
      <w:smartTag w:uri="urn:schemas-microsoft-com:office:smarttags" w:element="metricconverter">
        <w:smartTagPr>
          <w:attr w:name="ProductID" w:val="2000, M"/>
        </w:smartTagPr>
        <w:r w:rsidRPr="007E69CD">
          <w:rPr>
            <w:sz w:val="16"/>
            <w:szCs w:val="16"/>
          </w:rPr>
          <w:t>2000, M</w:t>
        </w:r>
      </w:smartTag>
      <w:r w:rsidRPr="007E69CD">
        <w:rPr>
          <w:sz w:val="16"/>
          <w:szCs w:val="16"/>
        </w:rPr>
        <w:t>.P. José Gregorio Hernández Galindo.</w:t>
      </w:r>
    </w:p>
  </w:footnote>
  <w:footnote w:id="8">
    <w:p w:rsidR="007E69CD" w:rsidRDefault="007E69CD" w:rsidP="007E69CD">
      <w:pPr>
        <w:pStyle w:val="Textonotapie"/>
      </w:pPr>
      <w:r w:rsidRPr="007E69CD">
        <w:rPr>
          <w:sz w:val="16"/>
          <w:szCs w:val="16"/>
          <w:vertAlign w:val="superscript"/>
        </w:rPr>
        <w:footnoteRef/>
      </w:r>
      <w:r w:rsidRPr="007E69CD">
        <w:rPr>
          <w:sz w:val="16"/>
          <w:szCs w:val="16"/>
        </w:rPr>
        <w:t xml:space="preserve"> Cfr. Corte Constitucional, Sentencia T-730 de </w:t>
      </w:r>
      <w:smartTag w:uri="urn:schemas-microsoft-com:office:smarttags" w:element="metricconverter">
        <w:smartTagPr>
          <w:attr w:name="ProductID" w:val="2002, M"/>
        </w:smartTagPr>
        <w:r w:rsidRPr="007E69CD">
          <w:rPr>
            <w:sz w:val="16"/>
            <w:szCs w:val="16"/>
          </w:rPr>
          <w:t>2002, M</w:t>
        </w:r>
      </w:smartTag>
      <w:r w:rsidRPr="007E69CD">
        <w:rPr>
          <w:sz w:val="16"/>
          <w:szCs w:val="16"/>
        </w:rPr>
        <w:t>.P. Manuel José Cepeda Espinosa.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AA" w:rsidRDefault="00EB3DA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B3DAA" w:rsidRDefault="00EB3DA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AA" w:rsidRPr="0002458E" w:rsidRDefault="00EB3DAA" w:rsidP="00451A93">
    <w:pPr>
      <w:pStyle w:val="Puesto"/>
      <w:spacing w:line="240" w:lineRule="auto"/>
      <w:jc w:val="both"/>
      <w:rPr>
        <w:rFonts w:ascii="Times New Roman" w:hAnsi="Times New Roman" w:cs="Times New Roman"/>
        <w:b w:val="0"/>
        <w:sz w:val="16"/>
        <w:szCs w:val="16"/>
      </w:rPr>
    </w:pPr>
    <w:r w:rsidRPr="0002458E">
      <w:rPr>
        <w:rFonts w:ascii="Times New Roman" w:hAnsi="Times New Roman" w:cs="Times New Roman"/>
        <w:b w:val="0"/>
        <w:sz w:val="16"/>
        <w:szCs w:val="16"/>
      </w:rPr>
      <w:t>Radicación No.: 66001-31-05-004-2016-00190-01</w:t>
    </w:r>
  </w:p>
  <w:p w:rsidR="00EB3DAA" w:rsidRPr="0002458E" w:rsidRDefault="00EB3DAA" w:rsidP="00451A93">
    <w:pPr>
      <w:pStyle w:val="Puesto"/>
      <w:spacing w:line="240" w:lineRule="auto"/>
      <w:jc w:val="both"/>
      <w:rPr>
        <w:rFonts w:ascii="Times New Roman" w:hAnsi="Times New Roman" w:cs="Times New Roman"/>
        <w:b w:val="0"/>
        <w:sz w:val="16"/>
        <w:szCs w:val="16"/>
      </w:rPr>
    </w:pPr>
    <w:r w:rsidRPr="0002458E">
      <w:rPr>
        <w:rFonts w:ascii="Times New Roman" w:hAnsi="Times New Roman" w:cs="Times New Roman"/>
        <w:b w:val="0"/>
        <w:sz w:val="16"/>
        <w:szCs w:val="16"/>
      </w:rPr>
      <w:t xml:space="preserve">Demandante: Bertha Inés Agudelo Vega </w:t>
    </w:r>
  </w:p>
  <w:p w:rsidR="00EB3DAA" w:rsidRPr="0002458E" w:rsidRDefault="00EB3DAA" w:rsidP="00451A93">
    <w:pPr>
      <w:pStyle w:val="Puesto"/>
      <w:spacing w:line="240" w:lineRule="auto"/>
      <w:jc w:val="both"/>
      <w:rPr>
        <w:rFonts w:ascii="Times New Roman" w:hAnsi="Times New Roman" w:cs="Times New Roman"/>
        <w:b w:val="0"/>
        <w:sz w:val="16"/>
        <w:szCs w:val="16"/>
      </w:rPr>
    </w:pPr>
    <w:r w:rsidRPr="0002458E">
      <w:rPr>
        <w:rFonts w:ascii="Times New Roman" w:hAnsi="Times New Roman" w:cs="Times New Roman"/>
        <w:b w:val="0"/>
        <w:sz w:val="16"/>
        <w:szCs w:val="16"/>
      </w:rPr>
      <w:t xml:space="preserve">Demandado: Colpensiones  </w:t>
    </w:r>
  </w:p>
  <w:p w:rsidR="00EB3DAA" w:rsidRDefault="00EB3DAA"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4">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8">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9">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4">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5">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8">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3">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4">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5">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6">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7">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9">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0"/>
  </w:num>
  <w:num w:numId="2">
    <w:abstractNumId w:val="28"/>
  </w:num>
  <w:num w:numId="3">
    <w:abstractNumId w:val="18"/>
  </w:num>
  <w:num w:numId="4">
    <w:abstractNumId w:val="17"/>
  </w:num>
  <w:num w:numId="5">
    <w:abstractNumId w:val="14"/>
  </w:num>
  <w:num w:numId="6">
    <w:abstractNumId w:val="12"/>
  </w:num>
  <w:num w:numId="7">
    <w:abstractNumId w:val="11"/>
  </w:num>
  <w:num w:numId="8">
    <w:abstractNumId w:val="4"/>
  </w:num>
  <w:num w:numId="9">
    <w:abstractNumId w:val="8"/>
  </w:num>
  <w:num w:numId="10">
    <w:abstractNumId w:val="9"/>
  </w:num>
  <w:num w:numId="11">
    <w:abstractNumId w:val="6"/>
  </w:num>
  <w:num w:numId="12">
    <w:abstractNumId w:val="2"/>
  </w:num>
  <w:num w:numId="13">
    <w:abstractNumId w:val="1"/>
  </w:num>
  <w:num w:numId="14">
    <w:abstractNumId w:val="22"/>
  </w:num>
  <w:num w:numId="15">
    <w:abstractNumId w:val="24"/>
  </w:num>
  <w:num w:numId="16">
    <w:abstractNumId w:val="23"/>
  </w:num>
  <w:num w:numId="17">
    <w:abstractNumId w:val="13"/>
  </w:num>
  <w:num w:numId="18">
    <w:abstractNumId w:val="26"/>
  </w:num>
  <w:num w:numId="19">
    <w:abstractNumId w:val="27"/>
  </w:num>
  <w:num w:numId="20">
    <w:abstractNumId w:val="19"/>
  </w:num>
  <w:num w:numId="21">
    <w:abstractNumId w:val="25"/>
  </w:num>
  <w:num w:numId="22">
    <w:abstractNumId w:val="21"/>
  </w:num>
  <w:num w:numId="23">
    <w:abstractNumId w:val="20"/>
  </w:num>
  <w:num w:numId="24">
    <w:abstractNumId w:val="0"/>
  </w:num>
  <w:num w:numId="25">
    <w:abstractNumId w:val="16"/>
  </w:num>
  <w:num w:numId="26">
    <w:abstractNumId w:val="15"/>
  </w:num>
  <w:num w:numId="27">
    <w:abstractNumId w:val="5"/>
  </w:num>
  <w:num w:numId="28">
    <w:abstractNumId w:val="29"/>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2AEC"/>
    <w:rsid w:val="000033DB"/>
    <w:rsid w:val="00004003"/>
    <w:rsid w:val="000043B8"/>
    <w:rsid w:val="0000451C"/>
    <w:rsid w:val="000057C8"/>
    <w:rsid w:val="00006084"/>
    <w:rsid w:val="0000616E"/>
    <w:rsid w:val="00006421"/>
    <w:rsid w:val="000067FE"/>
    <w:rsid w:val="00006AB3"/>
    <w:rsid w:val="000108A0"/>
    <w:rsid w:val="000108FA"/>
    <w:rsid w:val="000113A2"/>
    <w:rsid w:val="000117AB"/>
    <w:rsid w:val="00011DC0"/>
    <w:rsid w:val="000138D2"/>
    <w:rsid w:val="00014101"/>
    <w:rsid w:val="00014172"/>
    <w:rsid w:val="00014949"/>
    <w:rsid w:val="000149FB"/>
    <w:rsid w:val="00014F1A"/>
    <w:rsid w:val="000153D6"/>
    <w:rsid w:val="00015677"/>
    <w:rsid w:val="00015C7D"/>
    <w:rsid w:val="00016CEA"/>
    <w:rsid w:val="00020B62"/>
    <w:rsid w:val="00020EAD"/>
    <w:rsid w:val="00021B46"/>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23AA"/>
    <w:rsid w:val="000424DD"/>
    <w:rsid w:val="000424FE"/>
    <w:rsid w:val="00042929"/>
    <w:rsid w:val="00042D64"/>
    <w:rsid w:val="00043582"/>
    <w:rsid w:val="0004475C"/>
    <w:rsid w:val="00044C28"/>
    <w:rsid w:val="00045950"/>
    <w:rsid w:val="00046230"/>
    <w:rsid w:val="0004798C"/>
    <w:rsid w:val="000502A9"/>
    <w:rsid w:val="00050B8B"/>
    <w:rsid w:val="000516FA"/>
    <w:rsid w:val="0005299F"/>
    <w:rsid w:val="00053767"/>
    <w:rsid w:val="000539D9"/>
    <w:rsid w:val="00053BBC"/>
    <w:rsid w:val="00054180"/>
    <w:rsid w:val="00056F1F"/>
    <w:rsid w:val="00057644"/>
    <w:rsid w:val="00057E02"/>
    <w:rsid w:val="0006298A"/>
    <w:rsid w:val="000634C3"/>
    <w:rsid w:val="00063FBC"/>
    <w:rsid w:val="00065677"/>
    <w:rsid w:val="00065765"/>
    <w:rsid w:val="00065E53"/>
    <w:rsid w:val="00067227"/>
    <w:rsid w:val="0007089E"/>
    <w:rsid w:val="00071C2C"/>
    <w:rsid w:val="00073CDD"/>
    <w:rsid w:val="00074717"/>
    <w:rsid w:val="000755E0"/>
    <w:rsid w:val="000758C9"/>
    <w:rsid w:val="00075CDE"/>
    <w:rsid w:val="000768A1"/>
    <w:rsid w:val="000770E2"/>
    <w:rsid w:val="00077395"/>
    <w:rsid w:val="000804F3"/>
    <w:rsid w:val="0008113C"/>
    <w:rsid w:val="000816D0"/>
    <w:rsid w:val="000821A3"/>
    <w:rsid w:val="00082836"/>
    <w:rsid w:val="00082F11"/>
    <w:rsid w:val="000834E1"/>
    <w:rsid w:val="00084F5B"/>
    <w:rsid w:val="00085416"/>
    <w:rsid w:val="00085A34"/>
    <w:rsid w:val="00085F79"/>
    <w:rsid w:val="00086703"/>
    <w:rsid w:val="00087119"/>
    <w:rsid w:val="00090314"/>
    <w:rsid w:val="00090391"/>
    <w:rsid w:val="00090A38"/>
    <w:rsid w:val="00090C03"/>
    <w:rsid w:val="000910A9"/>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129C"/>
    <w:rsid w:val="000A2266"/>
    <w:rsid w:val="000A22BF"/>
    <w:rsid w:val="000A23F4"/>
    <w:rsid w:val="000A36A6"/>
    <w:rsid w:val="000A37DE"/>
    <w:rsid w:val="000A3DFE"/>
    <w:rsid w:val="000A4174"/>
    <w:rsid w:val="000A5C99"/>
    <w:rsid w:val="000A73FC"/>
    <w:rsid w:val="000A7A02"/>
    <w:rsid w:val="000B0F92"/>
    <w:rsid w:val="000B3191"/>
    <w:rsid w:val="000B3201"/>
    <w:rsid w:val="000B408E"/>
    <w:rsid w:val="000B5064"/>
    <w:rsid w:val="000B7C76"/>
    <w:rsid w:val="000B7F7C"/>
    <w:rsid w:val="000C0CA5"/>
    <w:rsid w:val="000C1504"/>
    <w:rsid w:val="000C1808"/>
    <w:rsid w:val="000C2226"/>
    <w:rsid w:val="000C2C37"/>
    <w:rsid w:val="000C49FA"/>
    <w:rsid w:val="000C4CB0"/>
    <w:rsid w:val="000C732F"/>
    <w:rsid w:val="000C7393"/>
    <w:rsid w:val="000C76C5"/>
    <w:rsid w:val="000C79F9"/>
    <w:rsid w:val="000C7DB4"/>
    <w:rsid w:val="000D2236"/>
    <w:rsid w:val="000D2E16"/>
    <w:rsid w:val="000D306C"/>
    <w:rsid w:val="000D33C5"/>
    <w:rsid w:val="000D3ABC"/>
    <w:rsid w:val="000D4C36"/>
    <w:rsid w:val="000D6954"/>
    <w:rsid w:val="000D6E32"/>
    <w:rsid w:val="000D74FA"/>
    <w:rsid w:val="000D7A48"/>
    <w:rsid w:val="000D7BE7"/>
    <w:rsid w:val="000E02E2"/>
    <w:rsid w:val="000E15CE"/>
    <w:rsid w:val="000E18F8"/>
    <w:rsid w:val="000E1CB4"/>
    <w:rsid w:val="000E1F40"/>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34FC"/>
    <w:rsid w:val="000F374C"/>
    <w:rsid w:val="000F44F9"/>
    <w:rsid w:val="000F5060"/>
    <w:rsid w:val="000F52F9"/>
    <w:rsid w:val="000F5EBD"/>
    <w:rsid w:val="000F6B06"/>
    <w:rsid w:val="000F7199"/>
    <w:rsid w:val="000F719F"/>
    <w:rsid w:val="00100D4D"/>
    <w:rsid w:val="001015B5"/>
    <w:rsid w:val="00102482"/>
    <w:rsid w:val="001045F3"/>
    <w:rsid w:val="00104A14"/>
    <w:rsid w:val="0010539E"/>
    <w:rsid w:val="001070DD"/>
    <w:rsid w:val="00107553"/>
    <w:rsid w:val="00107712"/>
    <w:rsid w:val="0010779E"/>
    <w:rsid w:val="00107AB5"/>
    <w:rsid w:val="00110367"/>
    <w:rsid w:val="001103AC"/>
    <w:rsid w:val="00112F15"/>
    <w:rsid w:val="00113705"/>
    <w:rsid w:val="00113870"/>
    <w:rsid w:val="001172A8"/>
    <w:rsid w:val="00120A35"/>
    <w:rsid w:val="00120EAB"/>
    <w:rsid w:val="00122140"/>
    <w:rsid w:val="00122521"/>
    <w:rsid w:val="00123412"/>
    <w:rsid w:val="00123767"/>
    <w:rsid w:val="00124D1E"/>
    <w:rsid w:val="00125BB8"/>
    <w:rsid w:val="00126266"/>
    <w:rsid w:val="00130D74"/>
    <w:rsid w:val="00131250"/>
    <w:rsid w:val="00131C1B"/>
    <w:rsid w:val="0013280B"/>
    <w:rsid w:val="00133DD5"/>
    <w:rsid w:val="001355E4"/>
    <w:rsid w:val="00135707"/>
    <w:rsid w:val="00137BDE"/>
    <w:rsid w:val="00137E1C"/>
    <w:rsid w:val="00141D49"/>
    <w:rsid w:val="001446C7"/>
    <w:rsid w:val="00144DF0"/>
    <w:rsid w:val="00146321"/>
    <w:rsid w:val="001464C6"/>
    <w:rsid w:val="00146FF0"/>
    <w:rsid w:val="00147041"/>
    <w:rsid w:val="00150F76"/>
    <w:rsid w:val="00150FF4"/>
    <w:rsid w:val="001511CE"/>
    <w:rsid w:val="0015175B"/>
    <w:rsid w:val="0015185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E1A"/>
    <w:rsid w:val="0017149D"/>
    <w:rsid w:val="0017184C"/>
    <w:rsid w:val="0017221E"/>
    <w:rsid w:val="00172CAC"/>
    <w:rsid w:val="00175883"/>
    <w:rsid w:val="00175C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7194"/>
    <w:rsid w:val="001971E7"/>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5A7A"/>
    <w:rsid w:val="001A6356"/>
    <w:rsid w:val="001A69F9"/>
    <w:rsid w:val="001A762A"/>
    <w:rsid w:val="001A7850"/>
    <w:rsid w:val="001A7FD7"/>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4178"/>
    <w:rsid w:val="001C4293"/>
    <w:rsid w:val="001C46CD"/>
    <w:rsid w:val="001C4780"/>
    <w:rsid w:val="001C5B1C"/>
    <w:rsid w:val="001C7F1D"/>
    <w:rsid w:val="001D153F"/>
    <w:rsid w:val="001D2276"/>
    <w:rsid w:val="001D305C"/>
    <w:rsid w:val="001D3995"/>
    <w:rsid w:val="001D3A97"/>
    <w:rsid w:val="001D3DC4"/>
    <w:rsid w:val="001D5B31"/>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1452"/>
    <w:rsid w:val="00221E2C"/>
    <w:rsid w:val="00221F05"/>
    <w:rsid w:val="002225AD"/>
    <w:rsid w:val="0022317F"/>
    <w:rsid w:val="0022375A"/>
    <w:rsid w:val="00223AE4"/>
    <w:rsid w:val="002244C1"/>
    <w:rsid w:val="0022458D"/>
    <w:rsid w:val="002248AE"/>
    <w:rsid w:val="002262B8"/>
    <w:rsid w:val="002266BC"/>
    <w:rsid w:val="0022734D"/>
    <w:rsid w:val="002273C1"/>
    <w:rsid w:val="002307F0"/>
    <w:rsid w:val="002314B7"/>
    <w:rsid w:val="00233341"/>
    <w:rsid w:val="002338AC"/>
    <w:rsid w:val="00233BD7"/>
    <w:rsid w:val="00234388"/>
    <w:rsid w:val="002343F1"/>
    <w:rsid w:val="00234BAC"/>
    <w:rsid w:val="00234E83"/>
    <w:rsid w:val="00235D02"/>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6115"/>
    <w:rsid w:val="00246652"/>
    <w:rsid w:val="00247231"/>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E0F"/>
    <w:rsid w:val="00264334"/>
    <w:rsid w:val="002643EE"/>
    <w:rsid w:val="00265644"/>
    <w:rsid w:val="00265B6D"/>
    <w:rsid w:val="0026673D"/>
    <w:rsid w:val="00266836"/>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6BB1"/>
    <w:rsid w:val="00277315"/>
    <w:rsid w:val="002802D1"/>
    <w:rsid w:val="002814C1"/>
    <w:rsid w:val="002818EA"/>
    <w:rsid w:val="002819E9"/>
    <w:rsid w:val="00281F83"/>
    <w:rsid w:val="00282359"/>
    <w:rsid w:val="00283EF3"/>
    <w:rsid w:val="00284A68"/>
    <w:rsid w:val="00285115"/>
    <w:rsid w:val="00285425"/>
    <w:rsid w:val="00286916"/>
    <w:rsid w:val="00287075"/>
    <w:rsid w:val="002871EE"/>
    <w:rsid w:val="00290751"/>
    <w:rsid w:val="00291521"/>
    <w:rsid w:val="00292402"/>
    <w:rsid w:val="00293351"/>
    <w:rsid w:val="0029384D"/>
    <w:rsid w:val="002944C2"/>
    <w:rsid w:val="0029596C"/>
    <w:rsid w:val="00295E8D"/>
    <w:rsid w:val="00295FDC"/>
    <w:rsid w:val="00296CCC"/>
    <w:rsid w:val="00297E38"/>
    <w:rsid w:val="002A07BE"/>
    <w:rsid w:val="002A0AB1"/>
    <w:rsid w:val="002A1141"/>
    <w:rsid w:val="002A2734"/>
    <w:rsid w:val="002A2B23"/>
    <w:rsid w:val="002A2CD2"/>
    <w:rsid w:val="002A47DA"/>
    <w:rsid w:val="002A6E4A"/>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541B"/>
    <w:rsid w:val="002D61C8"/>
    <w:rsid w:val="002D61EE"/>
    <w:rsid w:val="002D7717"/>
    <w:rsid w:val="002E183B"/>
    <w:rsid w:val="002E204B"/>
    <w:rsid w:val="002E2FBA"/>
    <w:rsid w:val="002E31A0"/>
    <w:rsid w:val="002E444D"/>
    <w:rsid w:val="002E4F23"/>
    <w:rsid w:val="002E6272"/>
    <w:rsid w:val="002E65E5"/>
    <w:rsid w:val="002E6783"/>
    <w:rsid w:val="002E6C11"/>
    <w:rsid w:val="002E6C9E"/>
    <w:rsid w:val="002E6DB9"/>
    <w:rsid w:val="002E7ED1"/>
    <w:rsid w:val="002F045E"/>
    <w:rsid w:val="002F0805"/>
    <w:rsid w:val="002F11B1"/>
    <w:rsid w:val="002F347F"/>
    <w:rsid w:val="002F36B3"/>
    <w:rsid w:val="002F394A"/>
    <w:rsid w:val="002F3BB8"/>
    <w:rsid w:val="002F4257"/>
    <w:rsid w:val="002F4962"/>
    <w:rsid w:val="002F5385"/>
    <w:rsid w:val="002F6742"/>
    <w:rsid w:val="002F748E"/>
    <w:rsid w:val="00300150"/>
    <w:rsid w:val="003018EC"/>
    <w:rsid w:val="00301DB0"/>
    <w:rsid w:val="003021A9"/>
    <w:rsid w:val="003035A7"/>
    <w:rsid w:val="00303659"/>
    <w:rsid w:val="003038FB"/>
    <w:rsid w:val="003055F2"/>
    <w:rsid w:val="00305990"/>
    <w:rsid w:val="003060CA"/>
    <w:rsid w:val="003061BB"/>
    <w:rsid w:val="00306290"/>
    <w:rsid w:val="003064FA"/>
    <w:rsid w:val="00306B02"/>
    <w:rsid w:val="0030730A"/>
    <w:rsid w:val="00307FC0"/>
    <w:rsid w:val="0031092F"/>
    <w:rsid w:val="00310C08"/>
    <w:rsid w:val="0031125C"/>
    <w:rsid w:val="00311C3F"/>
    <w:rsid w:val="00312030"/>
    <w:rsid w:val="00312087"/>
    <w:rsid w:val="003135B0"/>
    <w:rsid w:val="003135C5"/>
    <w:rsid w:val="00313C38"/>
    <w:rsid w:val="00313D2B"/>
    <w:rsid w:val="0031435A"/>
    <w:rsid w:val="00314594"/>
    <w:rsid w:val="00314B1E"/>
    <w:rsid w:val="003151DF"/>
    <w:rsid w:val="00315202"/>
    <w:rsid w:val="003153A9"/>
    <w:rsid w:val="003155A0"/>
    <w:rsid w:val="00315918"/>
    <w:rsid w:val="00316687"/>
    <w:rsid w:val="00317201"/>
    <w:rsid w:val="00320D1D"/>
    <w:rsid w:val="0032124D"/>
    <w:rsid w:val="003216D0"/>
    <w:rsid w:val="00322B29"/>
    <w:rsid w:val="00323C2D"/>
    <w:rsid w:val="00325D21"/>
    <w:rsid w:val="00326E13"/>
    <w:rsid w:val="0032713E"/>
    <w:rsid w:val="003274A7"/>
    <w:rsid w:val="00327884"/>
    <w:rsid w:val="00327D30"/>
    <w:rsid w:val="00332594"/>
    <w:rsid w:val="00332F27"/>
    <w:rsid w:val="00333929"/>
    <w:rsid w:val="00333C41"/>
    <w:rsid w:val="00334208"/>
    <w:rsid w:val="00334AB3"/>
    <w:rsid w:val="00334BE1"/>
    <w:rsid w:val="00335549"/>
    <w:rsid w:val="00335AFF"/>
    <w:rsid w:val="00335E64"/>
    <w:rsid w:val="00336559"/>
    <w:rsid w:val="0033658A"/>
    <w:rsid w:val="003366CA"/>
    <w:rsid w:val="00337B89"/>
    <w:rsid w:val="00337C3D"/>
    <w:rsid w:val="003425A9"/>
    <w:rsid w:val="00342B91"/>
    <w:rsid w:val="0034420C"/>
    <w:rsid w:val="00344697"/>
    <w:rsid w:val="00344FE9"/>
    <w:rsid w:val="00345108"/>
    <w:rsid w:val="00346BF8"/>
    <w:rsid w:val="00346D00"/>
    <w:rsid w:val="003470ED"/>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6BFD"/>
    <w:rsid w:val="00366E68"/>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913BF"/>
    <w:rsid w:val="00391F0D"/>
    <w:rsid w:val="003921C9"/>
    <w:rsid w:val="003935DC"/>
    <w:rsid w:val="00394320"/>
    <w:rsid w:val="0039489B"/>
    <w:rsid w:val="00395136"/>
    <w:rsid w:val="003951A5"/>
    <w:rsid w:val="0039610D"/>
    <w:rsid w:val="0039694A"/>
    <w:rsid w:val="003A22EF"/>
    <w:rsid w:val="003A2C58"/>
    <w:rsid w:val="003A388F"/>
    <w:rsid w:val="003A3A6E"/>
    <w:rsid w:val="003A3BBB"/>
    <w:rsid w:val="003A3D86"/>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3278"/>
    <w:rsid w:val="003C485E"/>
    <w:rsid w:val="003C4B44"/>
    <w:rsid w:val="003C5545"/>
    <w:rsid w:val="003C6A58"/>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F97"/>
    <w:rsid w:val="003F52B3"/>
    <w:rsid w:val="003F5592"/>
    <w:rsid w:val="003F5D62"/>
    <w:rsid w:val="003F6DB5"/>
    <w:rsid w:val="003F73AE"/>
    <w:rsid w:val="003F758F"/>
    <w:rsid w:val="003F77AC"/>
    <w:rsid w:val="004004AA"/>
    <w:rsid w:val="004012CA"/>
    <w:rsid w:val="00401559"/>
    <w:rsid w:val="00401BC4"/>
    <w:rsid w:val="00403EE1"/>
    <w:rsid w:val="0040469F"/>
    <w:rsid w:val="00404FCE"/>
    <w:rsid w:val="004052FE"/>
    <w:rsid w:val="00405B51"/>
    <w:rsid w:val="00406C6D"/>
    <w:rsid w:val="00407199"/>
    <w:rsid w:val="0040776C"/>
    <w:rsid w:val="00407C5B"/>
    <w:rsid w:val="00407D53"/>
    <w:rsid w:val="0041273C"/>
    <w:rsid w:val="004127F3"/>
    <w:rsid w:val="00412810"/>
    <w:rsid w:val="00412B4E"/>
    <w:rsid w:val="004130F7"/>
    <w:rsid w:val="00413E1F"/>
    <w:rsid w:val="00413F4B"/>
    <w:rsid w:val="00414B84"/>
    <w:rsid w:val="0041535B"/>
    <w:rsid w:val="00415C0B"/>
    <w:rsid w:val="0041613F"/>
    <w:rsid w:val="00416B10"/>
    <w:rsid w:val="00416F85"/>
    <w:rsid w:val="00417C64"/>
    <w:rsid w:val="0042055D"/>
    <w:rsid w:val="004205AD"/>
    <w:rsid w:val="00422549"/>
    <w:rsid w:val="004228F4"/>
    <w:rsid w:val="004229FF"/>
    <w:rsid w:val="004233E4"/>
    <w:rsid w:val="00425009"/>
    <w:rsid w:val="00425324"/>
    <w:rsid w:val="004261A0"/>
    <w:rsid w:val="00426234"/>
    <w:rsid w:val="004265FE"/>
    <w:rsid w:val="004275E7"/>
    <w:rsid w:val="0042768E"/>
    <w:rsid w:val="00430558"/>
    <w:rsid w:val="004306D0"/>
    <w:rsid w:val="00430C7F"/>
    <w:rsid w:val="004319EF"/>
    <w:rsid w:val="00431F77"/>
    <w:rsid w:val="00433FA1"/>
    <w:rsid w:val="00433FF1"/>
    <w:rsid w:val="0043421D"/>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A76"/>
    <w:rsid w:val="00445F50"/>
    <w:rsid w:val="00446778"/>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DB2"/>
    <w:rsid w:val="00483B84"/>
    <w:rsid w:val="00483BCD"/>
    <w:rsid w:val="00483D44"/>
    <w:rsid w:val="00483D99"/>
    <w:rsid w:val="004848FF"/>
    <w:rsid w:val="00486A4E"/>
    <w:rsid w:val="00487908"/>
    <w:rsid w:val="00487EF1"/>
    <w:rsid w:val="00487FF7"/>
    <w:rsid w:val="004901F4"/>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D0"/>
    <w:rsid w:val="004A26E6"/>
    <w:rsid w:val="004A31E9"/>
    <w:rsid w:val="004A3C31"/>
    <w:rsid w:val="004A48B2"/>
    <w:rsid w:val="004A5036"/>
    <w:rsid w:val="004A504E"/>
    <w:rsid w:val="004A508D"/>
    <w:rsid w:val="004A6247"/>
    <w:rsid w:val="004A7233"/>
    <w:rsid w:val="004A75F4"/>
    <w:rsid w:val="004A7C5D"/>
    <w:rsid w:val="004B0127"/>
    <w:rsid w:val="004B33AE"/>
    <w:rsid w:val="004B3FE6"/>
    <w:rsid w:val="004B42AA"/>
    <w:rsid w:val="004B46ED"/>
    <w:rsid w:val="004B4AA1"/>
    <w:rsid w:val="004B4C02"/>
    <w:rsid w:val="004B5199"/>
    <w:rsid w:val="004B5434"/>
    <w:rsid w:val="004B55A8"/>
    <w:rsid w:val="004B55B0"/>
    <w:rsid w:val="004B7C9C"/>
    <w:rsid w:val="004C0DD4"/>
    <w:rsid w:val="004C36BF"/>
    <w:rsid w:val="004C3D4F"/>
    <w:rsid w:val="004C430C"/>
    <w:rsid w:val="004C45EE"/>
    <w:rsid w:val="004C4B30"/>
    <w:rsid w:val="004C547B"/>
    <w:rsid w:val="004C5772"/>
    <w:rsid w:val="004C5A85"/>
    <w:rsid w:val="004C63C8"/>
    <w:rsid w:val="004C6653"/>
    <w:rsid w:val="004C6957"/>
    <w:rsid w:val="004C70D2"/>
    <w:rsid w:val="004C7CED"/>
    <w:rsid w:val="004D13E2"/>
    <w:rsid w:val="004D1A9D"/>
    <w:rsid w:val="004D3091"/>
    <w:rsid w:val="004D3DBA"/>
    <w:rsid w:val="004D5CA3"/>
    <w:rsid w:val="004D6361"/>
    <w:rsid w:val="004D6AFD"/>
    <w:rsid w:val="004D7BE8"/>
    <w:rsid w:val="004E0697"/>
    <w:rsid w:val="004E16B2"/>
    <w:rsid w:val="004E19FD"/>
    <w:rsid w:val="004E218B"/>
    <w:rsid w:val="004E2C92"/>
    <w:rsid w:val="004E3445"/>
    <w:rsid w:val="004E5E6C"/>
    <w:rsid w:val="004E62E1"/>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51A9"/>
    <w:rsid w:val="00505E54"/>
    <w:rsid w:val="005065A4"/>
    <w:rsid w:val="005079BC"/>
    <w:rsid w:val="005105B7"/>
    <w:rsid w:val="005107E5"/>
    <w:rsid w:val="00512883"/>
    <w:rsid w:val="00512F75"/>
    <w:rsid w:val="00513B9C"/>
    <w:rsid w:val="00513D07"/>
    <w:rsid w:val="00514F16"/>
    <w:rsid w:val="00515180"/>
    <w:rsid w:val="00516131"/>
    <w:rsid w:val="005169AF"/>
    <w:rsid w:val="00516EAE"/>
    <w:rsid w:val="005170B2"/>
    <w:rsid w:val="005205C2"/>
    <w:rsid w:val="00520851"/>
    <w:rsid w:val="00520B83"/>
    <w:rsid w:val="0052170A"/>
    <w:rsid w:val="00522A1B"/>
    <w:rsid w:val="00523032"/>
    <w:rsid w:val="005235DA"/>
    <w:rsid w:val="00523843"/>
    <w:rsid w:val="00523AA8"/>
    <w:rsid w:val="0052426E"/>
    <w:rsid w:val="00524572"/>
    <w:rsid w:val="005248E1"/>
    <w:rsid w:val="005251F3"/>
    <w:rsid w:val="005263AE"/>
    <w:rsid w:val="00526F12"/>
    <w:rsid w:val="0052733E"/>
    <w:rsid w:val="00527593"/>
    <w:rsid w:val="0053068C"/>
    <w:rsid w:val="00531442"/>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5F5"/>
    <w:rsid w:val="00545B55"/>
    <w:rsid w:val="00546BE0"/>
    <w:rsid w:val="00547C05"/>
    <w:rsid w:val="00550451"/>
    <w:rsid w:val="0055210C"/>
    <w:rsid w:val="00552B5A"/>
    <w:rsid w:val="00553A43"/>
    <w:rsid w:val="005544E8"/>
    <w:rsid w:val="0055466E"/>
    <w:rsid w:val="005553CE"/>
    <w:rsid w:val="005563C6"/>
    <w:rsid w:val="00556454"/>
    <w:rsid w:val="00556956"/>
    <w:rsid w:val="00556EC7"/>
    <w:rsid w:val="00557079"/>
    <w:rsid w:val="00560257"/>
    <w:rsid w:val="005602C9"/>
    <w:rsid w:val="00560B96"/>
    <w:rsid w:val="00560C3D"/>
    <w:rsid w:val="005613FF"/>
    <w:rsid w:val="00561ED0"/>
    <w:rsid w:val="00561F1B"/>
    <w:rsid w:val="00562173"/>
    <w:rsid w:val="00562441"/>
    <w:rsid w:val="005627E3"/>
    <w:rsid w:val="00563866"/>
    <w:rsid w:val="00563FC0"/>
    <w:rsid w:val="005649CC"/>
    <w:rsid w:val="005651AD"/>
    <w:rsid w:val="00566226"/>
    <w:rsid w:val="0056774A"/>
    <w:rsid w:val="0056776A"/>
    <w:rsid w:val="00567BED"/>
    <w:rsid w:val="00570552"/>
    <w:rsid w:val="00570C1C"/>
    <w:rsid w:val="00572199"/>
    <w:rsid w:val="005721AB"/>
    <w:rsid w:val="005728DC"/>
    <w:rsid w:val="005735A5"/>
    <w:rsid w:val="00574B14"/>
    <w:rsid w:val="005753F5"/>
    <w:rsid w:val="005759F3"/>
    <w:rsid w:val="00576657"/>
    <w:rsid w:val="005768AD"/>
    <w:rsid w:val="0057796B"/>
    <w:rsid w:val="00577CDE"/>
    <w:rsid w:val="00580128"/>
    <w:rsid w:val="005803F2"/>
    <w:rsid w:val="00580427"/>
    <w:rsid w:val="00580919"/>
    <w:rsid w:val="005819B3"/>
    <w:rsid w:val="00581A30"/>
    <w:rsid w:val="005824BE"/>
    <w:rsid w:val="00582D26"/>
    <w:rsid w:val="005850E4"/>
    <w:rsid w:val="0058542A"/>
    <w:rsid w:val="00585535"/>
    <w:rsid w:val="005872C1"/>
    <w:rsid w:val="00587896"/>
    <w:rsid w:val="00587936"/>
    <w:rsid w:val="00587E7F"/>
    <w:rsid w:val="00590296"/>
    <w:rsid w:val="00591329"/>
    <w:rsid w:val="005918AF"/>
    <w:rsid w:val="00592A13"/>
    <w:rsid w:val="005941FD"/>
    <w:rsid w:val="00594769"/>
    <w:rsid w:val="0059678F"/>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1171"/>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D1E"/>
    <w:rsid w:val="005E2ACF"/>
    <w:rsid w:val="005E3663"/>
    <w:rsid w:val="005E3C0D"/>
    <w:rsid w:val="005E4725"/>
    <w:rsid w:val="005E4884"/>
    <w:rsid w:val="005E4C18"/>
    <w:rsid w:val="005E4C35"/>
    <w:rsid w:val="005E562F"/>
    <w:rsid w:val="005E684E"/>
    <w:rsid w:val="005E6E40"/>
    <w:rsid w:val="005E7DD1"/>
    <w:rsid w:val="005F15EF"/>
    <w:rsid w:val="005F1887"/>
    <w:rsid w:val="005F22AD"/>
    <w:rsid w:val="005F248C"/>
    <w:rsid w:val="005F29D6"/>
    <w:rsid w:val="005F2DC3"/>
    <w:rsid w:val="005F2DE1"/>
    <w:rsid w:val="005F3A42"/>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C21"/>
    <w:rsid w:val="00616F8E"/>
    <w:rsid w:val="006172B6"/>
    <w:rsid w:val="006206DD"/>
    <w:rsid w:val="00620DA9"/>
    <w:rsid w:val="00621A38"/>
    <w:rsid w:val="00622F78"/>
    <w:rsid w:val="00623155"/>
    <w:rsid w:val="00624A9F"/>
    <w:rsid w:val="00625073"/>
    <w:rsid w:val="00625736"/>
    <w:rsid w:val="00625AAF"/>
    <w:rsid w:val="00625F7A"/>
    <w:rsid w:val="00626128"/>
    <w:rsid w:val="006278B9"/>
    <w:rsid w:val="00627A55"/>
    <w:rsid w:val="00630204"/>
    <w:rsid w:val="0063044C"/>
    <w:rsid w:val="00630DF7"/>
    <w:rsid w:val="00630F66"/>
    <w:rsid w:val="00630FB8"/>
    <w:rsid w:val="0063143E"/>
    <w:rsid w:val="0063160D"/>
    <w:rsid w:val="00632C4D"/>
    <w:rsid w:val="0063348A"/>
    <w:rsid w:val="00633727"/>
    <w:rsid w:val="00633C82"/>
    <w:rsid w:val="00633E07"/>
    <w:rsid w:val="006344C0"/>
    <w:rsid w:val="00635ADE"/>
    <w:rsid w:val="00635CE4"/>
    <w:rsid w:val="00636635"/>
    <w:rsid w:val="00636812"/>
    <w:rsid w:val="00636945"/>
    <w:rsid w:val="00637FD8"/>
    <w:rsid w:val="006406AA"/>
    <w:rsid w:val="00643B07"/>
    <w:rsid w:val="00644F38"/>
    <w:rsid w:val="0064502D"/>
    <w:rsid w:val="00645F06"/>
    <w:rsid w:val="00646E28"/>
    <w:rsid w:val="006475D0"/>
    <w:rsid w:val="00647F52"/>
    <w:rsid w:val="00650B3E"/>
    <w:rsid w:val="0065228F"/>
    <w:rsid w:val="006522B0"/>
    <w:rsid w:val="00652678"/>
    <w:rsid w:val="00652B2C"/>
    <w:rsid w:val="00654623"/>
    <w:rsid w:val="00654BAD"/>
    <w:rsid w:val="00654D3D"/>
    <w:rsid w:val="006553DC"/>
    <w:rsid w:val="0065759A"/>
    <w:rsid w:val="006609C0"/>
    <w:rsid w:val="00660F77"/>
    <w:rsid w:val="006621E9"/>
    <w:rsid w:val="00663BEC"/>
    <w:rsid w:val="00664D3D"/>
    <w:rsid w:val="00666B78"/>
    <w:rsid w:val="00667269"/>
    <w:rsid w:val="006677D7"/>
    <w:rsid w:val="00670E02"/>
    <w:rsid w:val="0067116B"/>
    <w:rsid w:val="006713AF"/>
    <w:rsid w:val="00672845"/>
    <w:rsid w:val="00672B23"/>
    <w:rsid w:val="00672FE3"/>
    <w:rsid w:val="00673BB8"/>
    <w:rsid w:val="00673D39"/>
    <w:rsid w:val="0067431F"/>
    <w:rsid w:val="00674D78"/>
    <w:rsid w:val="00676937"/>
    <w:rsid w:val="00676D3D"/>
    <w:rsid w:val="006776BD"/>
    <w:rsid w:val="00677B3F"/>
    <w:rsid w:val="00681774"/>
    <w:rsid w:val="0068233B"/>
    <w:rsid w:val="006834F0"/>
    <w:rsid w:val="0068387E"/>
    <w:rsid w:val="006838B6"/>
    <w:rsid w:val="00683904"/>
    <w:rsid w:val="006840BA"/>
    <w:rsid w:val="006846CE"/>
    <w:rsid w:val="006857A7"/>
    <w:rsid w:val="00687ACE"/>
    <w:rsid w:val="00690700"/>
    <w:rsid w:val="0069102A"/>
    <w:rsid w:val="00693263"/>
    <w:rsid w:val="00693296"/>
    <w:rsid w:val="006936EA"/>
    <w:rsid w:val="00695976"/>
    <w:rsid w:val="006960F1"/>
    <w:rsid w:val="00696D9D"/>
    <w:rsid w:val="00697587"/>
    <w:rsid w:val="00697666"/>
    <w:rsid w:val="00697E72"/>
    <w:rsid w:val="006A24A6"/>
    <w:rsid w:val="006A24AC"/>
    <w:rsid w:val="006A29E7"/>
    <w:rsid w:val="006A2AA7"/>
    <w:rsid w:val="006A2C7E"/>
    <w:rsid w:val="006A4958"/>
    <w:rsid w:val="006A52A2"/>
    <w:rsid w:val="006A58D8"/>
    <w:rsid w:val="006A5C36"/>
    <w:rsid w:val="006A5DD7"/>
    <w:rsid w:val="006A6626"/>
    <w:rsid w:val="006A7C1E"/>
    <w:rsid w:val="006A7CFC"/>
    <w:rsid w:val="006B057C"/>
    <w:rsid w:val="006B108A"/>
    <w:rsid w:val="006B2798"/>
    <w:rsid w:val="006B2831"/>
    <w:rsid w:val="006B2C1E"/>
    <w:rsid w:val="006B2DB9"/>
    <w:rsid w:val="006B4B48"/>
    <w:rsid w:val="006B53B7"/>
    <w:rsid w:val="006B60D9"/>
    <w:rsid w:val="006B6423"/>
    <w:rsid w:val="006B6E8F"/>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C7894"/>
    <w:rsid w:val="006D0A42"/>
    <w:rsid w:val="006D12E7"/>
    <w:rsid w:val="006D18C0"/>
    <w:rsid w:val="006D1EB1"/>
    <w:rsid w:val="006D26AB"/>
    <w:rsid w:val="006D2A26"/>
    <w:rsid w:val="006D3F66"/>
    <w:rsid w:val="006D435F"/>
    <w:rsid w:val="006D4CFE"/>
    <w:rsid w:val="006D5A43"/>
    <w:rsid w:val="006D5FD1"/>
    <w:rsid w:val="006D6152"/>
    <w:rsid w:val="006D6FA1"/>
    <w:rsid w:val="006D791C"/>
    <w:rsid w:val="006E057B"/>
    <w:rsid w:val="006E0CD7"/>
    <w:rsid w:val="006E26B9"/>
    <w:rsid w:val="006E4B16"/>
    <w:rsid w:val="006E6431"/>
    <w:rsid w:val="006E6612"/>
    <w:rsid w:val="006E675C"/>
    <w:rsid w:val="006E72A1"/>
    <w:rsid w:val="006E78E8"/>
    <w:rsid w:val="006E7C2B"/>
    <w:rsid w:val="006E7FC1"/>
    <w:rsid w:val="006F086D"/>
    <w:rsid w:val="006F089B"/>
    <w:rsid w:val="006F0BEA"/>
    <w:rsid w:val="006F16E1"/>
    <w:rsid w:val="006F1A1E"/>
    <w:rsid w:val="006F216B"/>
    <w:rsid w:val="006F23B3"/>
    <w:rsid w:val="006F38E5"/>
    <w:rsid w:val="006F4272"/>
    <w:rsid w:val="006F4C18"/>
    <w:rsid w:val="006F4F3E"/>
    <w:rsid w:val="006F5471"/>
    <w:rsid w:val="006F63B7"/>
    <w:rsid w:val="006F6FFC"/>
    <w:rsid w:val="006F74C5"/>
    <w:rsid w:val="00701153"/>
    <w:rsid w:val="0070134C"/>
    <w:rsid w:val="007014F8"/>
    <w:rsid w:val="00701E01"/>
    <w:rsid w:val="00702DA3"/>
    <w:rsid w:val="007032EF"/>
    <w:rsid w:val="00705943"/>
    <w:rsid w:val="00707856"/>
    <w:rsid w:val="00707D90"/>
    <w:rsid w:val="00710EDE"/>
    <w:rsid w:val="0071154D"/>
    <w:rsid w:val="00711B3E"/>
    <w:rsid w:val="007122E4"/>
    <w:rsid w:val="00713DAF"/>
    <w:rsid w:val="00714338"/>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0B52"/>
    <w:rsid w:val="007310CB"/>
    <w:rsid w:val="00731B40"/>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64"/>
    <w:rsid w:val="00741D8B"/>
    <w:rsid w:val="00741FA4"/>
    <w:rsid w:val="0074262D"/>
    <w:rsid w:val="00742DEE"/>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D29"/>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E64"/>
    <w:rsid w:val="00782109"/>
    <w:rsid w:val="00782D54"/>
    <w:rsid w:val="00783314"/>
    <w:rsid w:val="00785BAE"/>
    <w:rsid w:val="0078749D"/>
    <w:rsid w:val="00787CF8"/>
    <w:rsid w:val="0079079B"/>
    <w:rsid w:val="00790836"/>
    <w:rsid w:val="00790D2F"/>
    <w:rsid w:val="007910C1"/>
    <w:rsid w:val="007916D2"/>
    <w:rsid w:val="00791841"/>
    <w:rsid w:val="00793198"/>
    <w:rsid w:val="007938CC"/>
    <w:rsid w:val="00794113"/>
    <w:rsid w:val="00794CB7"/>
    <w:rsid w:val="007967F5"/>
    <w:rsid w:val="0079708A"/>
    <w:rsid w:val="0079722E"/>
    <w:rsid w:val="007973E2"/>
    <w:rsid w:val="00797511"/>
    <w:rsid w:val="007979E2"/>
    <w:rsid w:val="00797BB8"/>
    <w:rsid w:val="007A02F0"/>
    <w:rsid w:val="007A06F1"/>
    <w:rsid w:val="007A1D95"/>
    <w:rsid w:val="007A3175"/>
    <w:rsid w:val="007A350B"/>
    <w:rsid w:val="007A41F1"/>
    <w:rsid w:val="007A472F"/>
    <w:rsid w:val="007A4D61"/>
    <w:rsid w:val="007A7C37"/>
    <w:rsid w:val="007B0A84"/>
    <w:rsid w:val="007B0C81"/>
    <w:rsid w:val="007B133A"/>
    <w:rsid w:val="007B234E"/>
    <w:rsid w:val="007B427C"/>
    <w:rsid w:val="007B4882"/>
    <w:rsid w:val="007B4A12"/>
    <w:rsid w:val="007B58F5"/>
    <w:rsid w:val="007B5A38"/>
    <w:rsid w:val="007B71CE"/>
    <w:rsid w:val="007C0C4D"/>
    <w:rsid w:val="007C1842"/>
    <w:rsid w:val="007C207A"/>
    <w:rsid w:val="007C257E"/>
    <w:rsid w:val="007C2596"/>
    <w:rsid w:val="007C3028"/>
    <w:rsid w:val="007C383D"/>
    <w:rsid w:val="007C5023"/>
    <w:rsid w:val="007C5FFC"/>
    <w:rsid w:val="007C63D6"/>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E41"/>
    <w:rsid w:val="007F0E86"/>
    <w:rsid w:val="007F0F5B"/>
    <w:rsid w:val="007F2707"/>
    <w:rsid w:val="007F2CD5"/>
    <w:rsid w:val="007F4058"/>
    <w:rsid w:val="007F4D78"/>
    <w:rsid w:val="007F5D10"/>
    <w:rsid w:val="007F6520"/>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7046"/>
    <w:rsid w:val="00807BFD"/>
    <w:rsid w:val="00807E7B"/>
    <w:rsid w:val="008102A8"/>
    <w:rsid w:val="0081058C"/>
    <w:rsid w:val="0081073E"/>
    <w:rsid w:val="00811467"/>
    <w:rsid w:val="0081288C"/>
    <w:rsid w:val="0081288D"/>
    <w:rsid w:val="008130A6"/>
    <w:rsid w:val="00813908"/>
    <w:rsid w:val="00813EAE"/>
    <w:rsid w:val="0081479D"/>
    <w:rsid w:val="00814923"/>
    <w:rsid w:val="00815322"/>
    <w:rsid w:val="00815A7D"/>
    <w:rsid w:val="0081628A"/>
    <w:rsid w:val="008165FB"/>
    <w:rsid w:val="0081673E"/>
    <w:rsid w:val="00816F82"/>
    <w:rsid w:val="00820469"/>
    <w:rsid w:val="00820CB4"/>
    <w:rsid w:val="00820EF2"/>
    <w:rsid w:val="008228FE"/>
    <w:rsid w:val="00823A0F"/>
    <w:rsid w:val="00823BDB"/>
    <w:rsid w:val="00824291"/>
    <w:rsid w:val="008243A5"/>
    <w:rsid w:val="0082471B"/>
    <w:rsid w:val="00824A9D"/>
    <w:rsid w:val="00824DBF"/>
    <w:rsid w:val="008253A9"/>
    <w:rsid w:val="008278C0"/>
    <w:rsid w:val="00827C16"/>
    <w:rsid w:val="00827FFD"/>
    <w:rsid w:val="0083001F"/>
    <w:rsid w:val="00830623"/>
    <w:rsid w:val="008317F2"/>
    <w:rsid w:val="00832619"/>
    <w:rsid w:val="00832B98"/>
    <w:rsid w:val="00833141"/>
    <w:rsid w:val="0083359B"/>
    <w:rsid w:val="00835297"/>
    <w:rsid w:val="00835720"/>
    <w:rsid w:val="00835A9F"/>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5B37"/>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4FCF"/>
    <w:rsid w:val="00895D96"/>
    <w:rsid w:val="008967BE"/>
    <w:rsid w:val="008A0A4C"/>
    <w:rsid w:val="008A0C42"/>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A6FF5"/>
    <w:rsid w:val="008B111D"/>
    <w:rsid w:val="008B24F9"/>
    <w:rsid w:val="008B684D"/>
    <w:rsid w:val="008B69DF"/>
    <w:rsid w:val="008B7A03"/>
    <w:rsid w:val="008C0444"/>
    <w:rsid w:val="008C0B7C"/>
    <w:rsid w:val="008C0D89"/>
    <w:rsid w:val="008C22DA"/>
    <w:rsid w:val="008C26C2"/>
    <w:rsid w:val="008C29CE"/>
    <w:rsid w:val="008C2B48"/>
    <w:rsid w:val="008C2EB1"/>
    <w:rsid w:val="008C30F6"/>
    <w:rsid w:val="008C3F1C"/>
    <w:rsid w:val="008C4417"/>
    <w:rsid w:val="008C5E5B"/>
    <w:rsid w:val="008C6FEC"/>
    <w:rsid w:val="008C762C"/>
    <w:rsid w:val="008C7A13"/>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D71"/>
    <w:rsid w:val="008E130A"/>
    <w:rsid w:val="008E18C6"/>
    <w:rsid w:val="008E1B46"/>
    <w:rsid w:val="008E1CB2"/>
    <w:rsid w:val="008E3270"/>
    <w:rsid w:val="008E40FB"/>
    <w:rsid w:val="008E4311"/>
    <w:rsid w:val="008E4DEE"/>
    <w:rsid w:val="008E6C43"/>
    <w:rsid w:val="008E72F2"/>
    <w:rsid w:val="008F02C2"/>
    <w:rsid w:val="008F0382"/>
    <w:rsid w:val="008F0439"/>
    <w:rsid w:val="008F1C52"/>
    <w:rsid w:val="008F236D"/>
    <w:rsid w:val="008F3386"/>
    <w:rsid w:val="008F43E6"/>
    <w:rsid w:val="008F468C"/>
    <w:rsid w:val="008F4DC3"/>
    <w:rsid w:val="008F4FE1"/>
    <w:rsid w:val="008F5A3A"/>
    <w:rsid w:val="008F5F6E"/>
    <w:rsid w:val="008F6075"/>
    <w:rsid w:val="008F6407"/>
    <w:rsid w:val="008F6664"/>
    <w:rsid w:val="00900280"/>
    <w:rsid w:val="0090154D"/>
    <w:rsid w:val="00901EFB"/>
    <w:rsid w:val="00902A37"/>
    <w:rsid w:val="009035E7"/>
    <w:rsid w:val="00903C8D"/>
    <w:rsid w:val="0090466B"/>
    <w:rsid w:val="00905B2D"/>
    <w:rsid w:val="00905BEF"/>
    <w:rsid w:val="009060BE"/>
    <w:rsid w:val="009063D2"/>
    <w:rsid w:val="00906CB2"/>
    <w:rsid w:val="00907178"/>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30B8"/>
    <w:rsid w:val="00923C8D"/>
    <w:rsid w:val="00924F0D"/>
    <w:rsid w:val="009267D7"/>
    <w:rsid w:val="00927407"/>
    <w:rsid w:val="00927865"/>
    <w:rsid w:val="009279E8"/>
    <w:rsid w:val="0093077C"/>
    <w:rsid w:val="00930DA8"/>
    <w:rsid w:val="00931860"/>
    <w:rsid w:val="00931C36"/>
    <w:rsid w:val="00932757"/>
    <w:rsid w:val="0093294A"/>
    <w:rsid w:val="00932D7A"/>
    <w:rsid w:val="0093391F"/>
    <w:rsid w:val="00933C2D"/>
    <w:rsid w:val="00933D65"/>
    <w:rsid w:val="00934A25"/>
    <w:rsid w:val="009355E0"/>
    <w:rsid w:val="0093685F"/>
    <w:rsid w:val="00940331"/>
    <w:rsid w:val="009403A0"/>
    <w:rsid w:val="00940725"/>
    <w:rsid w:val="00940D13"/>
    <w:rsid w:val="009417F2"/>
    <w:rsid w:val="00941BC6"/>
    <w:rsid w:val="009420F1"/>
    <w:rsid w:val="009425DB"/>
    <w:rsid w:val="00942A3E"/>
    <w:rsid w:val="009432E2"/>
    <w:rsid w:val="009436BC"/>
    <w:rsid w:val="00943D69"/>
    <w:rsid w:val="00944A44"/>
    <w:rsid w:val="009458B5"/>
    <w:rsid w:val="009462C5"/>
    <w:rsid w:val="009476D9"/>
    <w:rsid w:val="00950717"/>
    <w:rsid w:val="009509CC"/>
    <w:rsid w:val="009510BE"/>
    <w:rsid w:val="009516A9"/>
    <w:rsid w:val="00951A53"/>
    <w:rsid w:val="009529F5"/>
    <w:rsid w:val="00952D0A"/>
    <w:rsid w:val="0095406A"/>
    <w:rsid w:val="00955200"/>
    <w:rsid w:val="009555F2"/>
    <w:rsid w:val="00955A0D"/>
    <w:rsid w:val="00955D06"/>
    <w:rsid w:val="00957838"/>
    <w:rsid w:val="00957889"/>
    <w:rsid w:val="00957E5C"/>
    <w:rsid w:val="009621F6"/>
    <w:rsid w:val="009622B1"/>
    <w:rsid w:val="009637CB"/>
    <w:rsid w:val="00964CFD"/>
    <w:rsid w:val="00964F65"/>
    <w:rsid w:val="00966217"/>
    <w:rsid w:val="009662CE"/>
    <w:rsid w:val="00966BDF"/>
    <w:rsid w:val="009700B3"/>
    <w:rsid w:val="0097024E"/>
    <w:rsid w:val="00970A88"/>
    <w:rsid w:val="00970BD9"/>
    <w:rsid w:val="00970C45"/>
    <w:rsid w:val="009712B3"/>
    <w:rsid w:val="009730BE"/>
    <w:rsid w:val="00973BC9"/>
    <w:rsid w:val="00974AF1"/>
    <w:rsid w:val="00974EF9"/>
    <w:rsid w:val="00974FD3"/>
    <w:rsid w:val="0097517E"/>
    <w:rsid w:val="00976097"/>
    <w:rsid w:val="009761C9"/>
    <w:rsid w:val="009771B0"/>
    <w:rsid w:val="00977A65"/>
    <w:rsid w:val="00980FAA"/>
    <w:rsid w:val="0098140C"/>
    <w:rsid w:val="00981E1C"/>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52BF"/>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6407"/>
    <w:rsid w:val="009A6A74"/>
    <w:rsid w:val="009A6B48"/>
    <w:rsid w:val="009A7D79"/>
    <w:rsid w:val="009A7E52"/>
    <w:rsid w:val="009B1643"/>
    <w:rsid w:val="009B175B"/>
    <w:rsid w:val="009B29A6"/>
    <w:rsid w:val="009B3F8F"/>
    <w:rsid w:val="009B43C5"/>
    <w:rsid w:val="009B5C1C"/>
    <w:rsid w:val="009B6875"/>
    <w:rsid w:val="009B6923"/>
    <w:rsid w:val="009B79EE"/>
    <w:rsid w:val="009B7B37"/>
    <w:rsid w:val="009B7D2C"/>
    <w:rsid w:val="009C0108"/>
    <w:rsid w:val="009C1081"/>
    <w:rsid w:val="009C1475"/>
    <w:rsid w:val="009C178C"/>
    <w:rsid w:val="009C23E0"/>
    <w:rsid w:val="009C2B0C"/>
    <w:rsid w:val="009C2BB4"/>
    <w:rsid w:val="009C39E1"/>
    <w:rsid w:val="009C4EE8"/>
    <w:rsid w:val="009C5006"/>
    <w:rsid w:val="009C52EF"/>
    <w:rsid w:val="009C551A"/>
    <w:rsid w:val="009C554B"/>
    <w:rsid w:val="009C5844"/>
    <w:rsid w:val="009C6497"/>
    <w:rsid w:val="009C6934"/>
    <w:rsid w:val="009C6BC6"/>
    <w:rsid w:val="009C7BC7"/>
    <w:rsid w:val="009D0F6C"/>
    <w:rsid w:val="009D12E7"/>
    <w:rsid w:val="009D1FEA"/>
    <w:rsid w:val="009D20D6"/>
    <w:rsid w:val="009D2CEF"/>
    <w:rsid w:val="009D2E73"/>
    <w:rsid w:val="009D43E4"/>
    <w:rsid w:val="009D4A4E"/>
    <w:rsid w:val="009D4AFD"/>
    <w:rsid w:val="009D5ADA"/>
    <w:rsid w:val="009D679E"/>
    <w:rsid w:val="009D694C"/>
    <w:rsid w:val="009D6B15"/>
    <w:rsid w:val="009D7237"/>
    <w:rsid w:val="009D76AF"/>
    <w:rsid w:val="009D772F"/>
    <w:rsid w:val="009E1642"/>
    <w:rsid w:val="009E1650"/>
    <w:rsid w:val="009E27E4"/>
    <w:rsid w:val="009E3C2D"/>
    <w:rsid w:val="009E4107"/>
    <w:rsid w:val="009E411E"/>
    <w:rsid w:val="009E4905"/>
    <w:rsid w:val="009E4E6A"/>
    <w:rsid w:val="009E5C1F"/>
    <w:rsid w:val="009E72A7"/>
    <w:rsid w:val="009F2CDF"/>
    <w:rsid w:val="009F3150"/>
    <w:rsid w:val="009F4358"/>
    <w:rsid w:val="009F4A0B"/>
    <w:rsid w:val="009F7425"/>
    <w:rsid w:val="00A0016D"/>
    <w:rsid w:val="00A01A26"/>
    <w:rsid w:val="00A030B2"/>
    <w:rsid w:val="00A03DD2"/>
    <w:rsid w:val="00A04183"/>
    <w:rsid w:val="00A0445C"/>
    <w:rsid w:val="00A0470B"/>
    <w:rsid w:val="00A05643"/>
    <w:rsid w:val="00A066EB"/>
    <w:rsid w:val="00A076FC"/>
    <w:rsid w:val="00A07C90"/>
    <w:rsid w:val="00A117EC"/>
    <w:rsid w:val="00A119A0"/>
    <w:rsid w:val="00A11EBC"/>
    <w:rsid w:val="00A140FF"/>
    <w:rsid w:val="00A142A0"/>
    <w:rsid w:val="00A147A0"/>
    <w:rsid w:val="00A15541"/>
    <w:rsid w:val="00A15D7E"/>
    <w:rsid w:val="00A15DB2"/>
    <w:rsid w:val="00A16285"/>
    <w:rsid w:val="00A16C21"/>
    <w:rsid w:val="00A17968"/>
    <w:rsid w:val="00A17DA7"/>
    <w:rsid w:val="00A17E34"/>
    <w:rsid w:val="00A206B7"/>
    <w:rsid w:val="00A207D1"/>
    <w:rsid w:val="00A208B3"/>
    <w:rsid w:val="00A220D6"/>
    <w:rsid w:val="00A22D2F"/>
    <w:rsid w:val="00A23597"/>
    <w:rsid w:val="00A2401C"/>
    <w:rsid w:val="00A24052"/>
    <w:rsid w:val="00A24BAA"/>
    <w:rsid w:val="00A25A02"/>
    <w:rsid w:val="00A25C78"/>
    <w:rsid w:val="00A25DC4"/>
    <w:rsid w:val="00A269C2"/>
    <w:rsid w:val="00A272C8"/>
    <w:rsid w:val="00A278E1"/>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33AC"/>
    <w:rsid w:val="00A53625"/>
    <w:rsid w:val="00A55509"/>
    <w:rsid w:val="00A57DE4"/>
    <w:rsid w:val="00A6014B"/>
    <w:rsid w:val="00A60815"/>
    <w:rsid w:val="00A616FE"/>
    <w:rsid w:val="00A61B1C"/>
    <w:rsid w:val="00A61F7C"/>
    <w:rsid w:val="00A6245C"/>
    <w:rsid w:val="00A625EF"/>
    <w:rsid w:val="00A64070"/>
    <w:rsid w:val="00A65508"/>
    <w:rsid w:val="00A656F0"/>
    <w:rsid w:val="00A66012"/>
    <w:rsid w:val="00A664EA"/>
    <w:rsid w:val="00A66547"/>
    <w:rsid w:val="00A66778"/>
    <w:rsid w:val="00A66F02"/>
    <w:rsid w:val="00A67653"/>
    <w:rsid w:val="00A71330"/>
    <w:rsid w:val="00A71908"/>
    <w:rsid w:val="00A725A2"/>
    <w:rsid w:val="00A73674"/>
    <w:rsid w:val="00A737EB"/>
    <w:rsid w:val="00A73C88"/>
    <w:rsid w:val="00A75EC3"/>
    <w:rsid w:val="00A762C5"/>
    <w:rsid w:val="00A77324"/>
    <w:rsid w:val="00A77862"/>
    <w:rsid w:val="00A77BAA"/>
    <w:rsid w:val="00A8142C"/>
    <w:rsid w:val="00A81C64"/>
    <w:rsid w:val="00A81E82"/>
    <w:rsid w:val="00A83722"/>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A66"/>
    <w:rsid w:val="00AA0D24"/>
    <w:rsid w:val="00AA14DF"/>
    <w:rsid w:val="00AA1A90"/>
    <w:rsid w:val="00AA24AB"/>
    <w:rsid w:val="00AA2FDB"/>
    <w:rsid w:val="00AA3FF9"/>
    <w:rsid w:val="00AA4808"/>
    <w:rsid w:val="00AA4869"/>
    <w:rsid w:val="00AA48AF"/>
    <w:rsid w:val="00AA5233"/>
    <w:rsid w:val="00AA5629"/>
    <w:rsid w:val="00AA5D05"/>
    <w:rsid w:val="00AA6E2E"/>
    <w:rsid w:val="00AA74F1"/>
    <w:rsid w:val="00AA7768"/>
    <w:rsid w:val="00AB0A1C"/>
    <w:rsid w:val="00AB1B69"/>
    <w:rsid w:val="00AB2A28"/>
    <w:rsid w:val="00AB31AC"/>
    <w:rsid w:val="00AB3C23"/>
    <w:rsid w:val="00AB3EE5"/>
    <w:rsid w:val="00AB46AD"/>
    <w:rsid w:val="00AB4E10"/>
    <w:rsid w:val="00AB59B2"/>
    <w:rsid w:val="00AB5C0F"/>
    <w:rsid w:val="00AB7B56"/>
    <w:rsid w:val="00AB7D82"/>
    <w:rsid w:val="00AC0705"/>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F87"/>
    <w:rsid w:val="00AD75E9"/>
    <w:rsid w:val="00AD771D"/>
    <w:rsid w:val="00AE0DCC"/>
    <w:rsid w:val="00AE2017"/>
    <w:rsid w:val="00AE2351"/>
    <w:rsid w:val="00AE23DE"/>
    <w:rsid w:val="00AE255E"/>
    <w:rsid w:val="00AE267A"/>
    <w:rsid w:val="00AE2950"/>
    <w:rsid w:val="00AE34D5"/>
    <w:rsid w:val="00AE39BF"/>
    <w:rsid w:val="00AE43D5"/>
    <w:rsid w:val="00AE4BBE"/>
    <w:rsid w:val="00AF0852"/>
    <w:rsid w:val="00AF1552"/>
    <w:rsid w:val="00AF1576"/>
    <w:rsid w:val="00AF1827"/>
    <w:rsid w:val="00AF1C94"/>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9E0"/>
    <w:rsid w:val="00B1188A"/>
    <w:rsid w:val="00B12335"/>
    <w:rsid w:val="00B12DC9"/>
    <w:rsid w:val="00B13258"/>
    <w:rsid w:val="00B13822"/>
    <w:rsid w:val="00B1491A"/>
    <w:rsid w:val="00B14BDF"/>
    <w:rsid w:val="00B14EDC"/>
    <w:rsid w:val="00B158AB"/>
    <w:rsid w:val="00B15C43"/>
    <w:rsid w:val="00B15DED"/>
    <w:rsid w:val="00B16A1C"/>
    <w:rsid w:val="00B16B65"/>
    <w:rsid w:val="00B16F90"/>
    <w:rsid w:val="00B16FAD"/>
    <w:rsid w:val="00B17C1F"/>
    <w:rsid w:val="00B17C94"/>
    <w:rsid w:val="00B23581"/>
    <w:rsid w:val="00B249AB"/>
    <w:rsid w:val="00B25012"/>
    <w:rsid w:val="00B25057"/>
    <w:rsid w:val="00B25A30"/>
    <w:rsid w:val="00B26388"/>
    <w:rsid w:val="00B26618"/>
    <w:rsid w:val="00B2675C"/>
    <w:rsid w:val="00B2682E"/>
    <w:rsid w:val="00B26C35"/>
    <w:rsid w:val="00B26C5D"/>
    <w:rsid w:val="00B26D67"/>
    <w:rsid w:val="00B27C20"/>
    <w:rsid w:val="00B30D4B"/>
    <w:rsid w:val="00B30F21"/>
    <w:rsid w:val="00B30F2B"/>
    <w:rsid w:val="00B31EE0"/>
    <w:rsid w:val="00B320E6"/>
    <w:rsid w:val="00B34F7E"/>
    <w:rsid w:val="00B35666"/>
    <w:rsid w:val="00B35C7F"/>
    <w:rsid w:val="00B363D6"/>
    <w:rsid w:val="00B36581"/>
    <w:rsid w:val="00B36B81"/>
    <w:rsid w:val="00B36C81"/>
    <w:rsid w:val="00B37588"/>
    <w:rsid w:val="00B37CD7"/>
    <w:rsid w:val="00B4219B"/>
    <w:rsid w:val="00B43BEE"/>
    <w:rsid w:val="00B4463E"/>
    <w:rsid w:val="00B459E5"/>
    <w:rsid w:val="00B46330"/>
    <w:rsid w:val="00B47ADC"/>
    <w:rsid w:val="00B540BB"/>
    <w:rsid w:val="00B54344"/>
    <w:rsid w:val="00B54374"/>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6CB4"/>
    <w:rsid w:val="00B67D94"/>
    <w:rsid w:val="00B70629"/>
    <w:rsid w:val="00B70698"/>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2B47"/>
    <w:rsid w:val="00B84528"/>
    <w:rsid w:val="00B8493E"/>
    <w:rsid w:val="00B875BD"/>
    <w:rsid w:val="00B90554"/>
    <w:rsid w:val="00B929BA"/>
    <w:rsid w:val="00B931B7"/>
    <w:rsid w:val="00B9358A"/>
    <w:rsid w:val="00B937D1"/>
    <w:rsid w:val="00B943B5"/>
    <w:rsid w:val="00B9486D"/>
    <w:rsid w:val="00B94B44"/>
    <w:rsid w:val="00B94E3E"/>
    <w:rsid w:val="00B9647A"/>
    <w:rsid w:val="00B96777"/>
    <w:rsid w:val="00B968E5"/>
    <w:rsid w:val="00B96F86"/>
    <w:rsid w:val="00B9700E"/>
    <w:rsid w:val="00B9774A"/>
    <w:rsid w:val="00B97D0C"/>
    <w:rsid w:val="00BA0812"/>
    <w:rsid w:val="00BA0B78"/>
    <w:rsid w:val="00BA109E"/>
    <w:rsid w:val="00BA1604"/>
    <w:rsid w:val="00BA1859"/>
    <w:rsid w:val="00BA2038"/>
    <w:rsid w:val="00BA280A"/>
    <w:rsid w:val="00BA35EF"/>
    <w:rsid w:val="00BA36D7"/>
    <w:rsid w:val="00BA3B10"/>
    <w:rsid w:val="00BA3D41"/>
    <w:rsid w:val="00BA4196"/>
    <w:rsid w:val="00BA5060"/>
    <w:rsid w:val="00BA62A0"/>
    <w:rsid w:val="00BA6DBA"/>
    <w:rsid w:val="00BA75E4"/>
    <w:rsid w:val="00BA7EF5"/>
    <w:rsid w:val="00BB03E6"/>
    <w:rsid w:val="00BB2CF5"/>
    <w:rsid w:val="00BB2DB8"/>
    <w:rsid w:val="00BB3D5A"/>
    <w:rsid w:val="00BB4372"/>
    <w:rsid w:val="00BB49C1"/>
    <w:rsid w:val="00BB6167"/>
    <w:rsid w:val="00BB7253"/>
    <w:rsid w:val="00BC1511"/>
    <w:rsid w:val="00BC17E8"/>
    <w:rsid w:val="00BC18AD"/>
    <w:rsid w:val="00BC1AA0"/>
    <w:rsid w:val="00BC1D27"/>
    <w:rsid w:val="00BC2DAD"/>
    <w:rsid w:val="00BC3A76"/>
    <w:rsid w:val="00BC4A13"/>
    <w:rsid w:val="00BC52FE"/>
    <w:rsid w:val="00BC6080"/>
    <w:rsid w:val="00BC73DE"/>
    <w:rsid w:val="00BC765E"/>
    <w:rsid w:val="00BC7DEB"/>
    <w:rsid w:val="00BD36E0"/>
    <w:rsid w:val="00BD3F2E"/>
    <w:rsid w:val="00BD4A6A"/>
    <w:rsid w:val="00BD6412"/>
    <w:rsid w:val="00BD77FD"/>
    <w:rsid w:val="00BD7A75"/>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F18DD"/>
    <w:rsid w:val="00BF2942"/>
    <w:rsid w:val="00BF297A"/>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0DB"/>
    <w:rsid w:val="00C065B8"/>
    <w:rsid w:val="00C068EF"/>
    <w:rsid w:val="00C1005D"/>
    <w:rsid w:val="00C10B24"/>
    <w:rsid w:val="00C123A5"/>
    <w:rsid w:val="00C14339"/>
    <w:rsid w:val="00C14441"/>
    <w:rsid w:val="00C151E0"/>
    <w:rsid w:val="00C15BBB"/>
    <w:rsid w:val="00C162EE"/>
    <w:rsid w:val="00C1711B"/>
    <w:rsid w:val="00C203EF"/>
    <w:rsid w:val="00C20611"/>
    <w:rsid w:val="00C21135"/>
    <w:rsid w:val="00C212D1"/>
    <w:rsid w:val="00C2166E"/>
    <w:rsid w:val="00C22D36"/>
    <w:rsid w:val="00C22ED8"/>
    <w:rsid w:val="00C22F77"/>
    <w:rsid w:val="00C23D59"/>
    <w:rsid w:val="00C24068"/>
    <w:rsid w:val="00C24285"/>
    <w:rsid w:val="00C2441F"/>
    <w:rsid w:val="00C2518C"/>
    <w:rsid w:val="00C251EA"/>
    <w:rsid w:val="00C25BE3"/>
    <w:rsid w:val="00C2673F"/>
    <w:rsid w:val="00C26902"/>
    <w:rsid w:val="00C26CEE"/>
    <w:rsid w:val="00C277C0"/>
    <w:rsid w:val="00C27F9F"/>
    <w:rsid w:val="00C3137D"/>
    <w:rsid w:val="00C320AB"/>
    <w:rsid w:val="00C32163"/>
    <w:rsid w:val="00C335F2"/>
    <w:rsid w:val="00C36830"/>
    <w:rsid w:val="00C3769B"/>
    <w:rsid w:val="00C37EED"/>
    <w:rsid w:val="00C4008B"/>
    <w:rsid w:val="00C4023D"/>
    <w:rsid w:val="00C40782"/>
    <w:rsid w:val="00C40A92"/>
    <w:rsid w:val="00C41F62"/>
    <w:rsid w:val="00C4234D"/>
    <w:rsid w:val="00C42660"/>
    <w:rsid w:val="00C42C6A"/>
    <w:rsid w:val="00C43477"/>
    <w:rsid w:val="00C43611"/>
    <w:rsid w:val="00C43A2B"/>
    <w:rsid w:val="00C43F11"/>
    <w:rsid w:val="00C45355"/>
    <w:rsid w:val="00C4537C"/>
    <w:rsid w:val="00C461C2"/>
    <w:rsid w:val="00C474EB"/>
    <w:rsid w:val="00C4783E"/>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5CCF"/>
    <w:rsid w:val="00C55E35"/>
    <w:rsid w:val="00C5713A"/>
    <w:rsid w:val="00C57CE2"/>
    <w:rsid w:val="00C60D6A"/>
    <w:rsid w:val="00C60E53"/>
    <w:rsid w:val="00C61DF1"/>
    <w:rsid w:val="00C62BC9"/>
    <w:rsid w:val="00C63381"/>
    <w:rsid w:val="00C63559"/>
    <w:rsid w:val="00C635C0"/>
    <w:rsid w:val="00C6471C"/>
    <w:rsid w:val="00C649C0"/>
    <w:rsid w:val="00C70046"/>
    <w:rsid w:val="00C7207A"/>
    <w:rsid w:val="00C721D7"/>
    <w:rsid w:val="00C738D7"/>
    <w:rsid w:val="00C73ACA"/>
    <w:rsid w:val="00C7546D"/>
    <w:rsid w:val="00C760C5"/>
    <w:rsid w:val="00C76A70"/>
    <w:rsid w:val="00C77274"/>
    <w:rsid w:val="00C77A04"/>
    <w:rsid w:val="00C800AE"/>
    <w:rsid w:val="00C819F1"/>
    <w:rsid w:val="00C8298E"/>
    <w:rsid w:val="00C82A0A"/>
    <w:rsid w:val="00C82E2F"/>
    <w:rsid w:val="00C82E84"/>
    <w:rsid w:val="00C8349A"/>
    <w:rsid w:val="00C83AA2"/>
    <w:rsid w:val="00C83D43"/>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86E"/>
    <w:rsid w:val="00CB3572"/>
    <w:rsid w:val="00CB3C06"/>
    <w:rsid w:val="00CB3F3B"/>
    <w:rsid w:val="00CB4525"/>
    <w:rsid w:val="00CB640E"/>
    <w:rsid w:val="00CB6584"/>
    <w:rsid w:val="00CB7BA0"/>
    <w:rsid w:val="00CB7C32"/>
    <w:rsid w:val="00CC09A2"/>
    <w:rsid w:val="00CC0DC7"/>
    <w:rsid w:val="00CC2B6D"/>
    <w:rsid w:val="00CC2FAF"/>
    <w:rsid w:val="00CC362C"/>
    <w:rsid w:val="00CC3B98"/>
    <w:rsid w:val="00CC3E1B"/>
    <w:rsid w:val="00CC516B"/>
    <w:rsid w:val="00CC60B8"/>
    <w:rsid w:val="00CC63F7"/>
    <w:rsid w:val="00CC6A5B"/>
    <w:rsid w:val="00CC6DB3"/>
    <w:rsid w:val="00CD0326"/>
    <w:rsid w:val="00CD425D"/>
    <w:rsid w:val="00CD4263"/>
    <w:rsid w:val="00CD55CD"/>
    <w:rsid w:val="00CD5941"/>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E34"/>
    <w:rsid w:val="00D01EDD"/>
    <w:rsid w:val="00D022DF"/>
    <w:rsid w:val="00D023E5"/>
    <w:rsid w:val="00D031FC"/>
    <w:rsid w:val="00D032C1"/>
    <w:rsid w:val="00D03475"/>
    <w:rsid w:val="00D05544"/>
    <w:rsid w:val="00D056CB"/>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5826"/>
    <w:rsid w:val="00D359E4"/>
    <w:rsid w:val="00D36126"/>
    <w:rsid w:val="00D3683A"/>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7DF0"/>
    <w:rsid w:val="00D50B5D"/>
    <w:rsid w:val="00D50D0C"/>
    <w:rsid w:val="00D5110D"/>
    <w:rsid w:val="00D52190"/>
    <w:rsid w:val="00D52D7E"/>
    <w:rsid w:val="00D52F23"/>
    <w:rsid w:val="00D52F99"/>
    <w:rsid w:val="00D53F83"/>
    <w:rsid w:val="00D55013"/>
    <w:rsid w:val="00D55531"/>
    <w:rsid w:val="00D5556E"/>
    <w:rsid w:val="00D569F8"/>
    <w:rsid w:val="00D60116"/>
    <w:rsid w:val="00D604D6"/>
    <w:rsid w:val="00D60737"/>
    <w:rsid w:val="00D6118C"/>
    <w:rsid w:val="00D64C01"/>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B5A"/>
    <w:rsid w:val="00D9131B"/>
    <w:rsid w:val="00D918FC"/>
    <w:rsid w:val="00D9214A"/>
    <w:rsid w:val="00D92B53"/>
    <w:rsid w:val="00D93485"/>
    <w:rsid w:val="00D934FA"/>
    <w:rsid w:val="00D9453B"/>
    <w:rsid w:val="00D946A9"/>
    <w:rsid w:val="00D94B76"/>
    <w:rsid w:val="00D94BC4"/>
    <w:rsid w:val="00D957EB"/>
    <w:rsid w:val="00D96830"/>
    <w:rsid w:val="00DA0FD5"/>
    <w:rsid w:val="00DA386E"/>
    <w:rsid w:val="00DA416B"/>
    <w:rsid w:val="00DA5551"/>
    <w:rsid w:val="00DA59D6"/>
    <w:rsid w:val="00DA628A"/>
    <w:rsid w:val="00DA6558"/>
    <w:rsid w:val="00DA7DCB"/>
    <w:rsid w:val="00DB08B1"/>
    <w:rsid w:val="00DB1AF4"/>
    <w:rsid w:val="00DB1D82"/>
    <w:rsid w:val="00DB1DBC"/>
    <w:rsid w:val="00DB243D"/>
    <w:rsid w:val="00DB2B48"/>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4D98"/>
    <w:rsid w:val="00DE0F1D"/>
    <w:rsid w:val="00DE1CF2"/>
    <w:rsid w:val="00DE2020"/>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A64"/>
    <w:rsid w:val="00DF5FD8"/>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76A8"/>
    <w:rsid w:val="00E37778"/>
    <w:rsid w:val="00E40FBC"/>
    <w:rsid w:val="00E41882"/>
    <w:rsid w:val="00E41F7B"/>
    <w:rsid w:val="00E42FC3"/>
    <w:rsid w:val="00E43CD2"/>
    <w:rsid w:val="00E4641F"/>
    <w:rsid w:val="00E4696E"/>
    <w:rsid w:val="00E46C5B"/>
    <w:rsid w:val="00E46DD5"/>
    <w:rsid w:val="00E47542"/>
    <w:rsid w:val="00E523AD"/>
    <w:rsid w:val="00E525E1"/>
    <w:rsid w:val="00E52A14"/>
    <w:rsid w:val="00E52A52"/>
    <w:rsid w:val="00E52F56"/>
    <w:rsid w:val="00E54E3C"/>
    <w:rsid w:val="00E5525F"/>
    <w:rsid w:val="00E56600"/>
    <w:rsid w:val="00E56D30"/>
    <w:rsid w:val="00E56EF9"/>
    <w:rsid w:val="00E570F9"/>
    <w:rsid w:val="00E573BF"/>
    <w:rsid w:val="00E57874"/>
    <w:rsid w:val="00E57AFD"/>
    <w:rsid w:val="00E57B1C"/>
    <w:rsid w:val="00E57FB1"/>
    <w:rsid w:val="00E604E2"/>
    <w:rsid w:val="00E60A07"/>
    <w:rsid w:val="00E61120"/>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C8F"/>
    <w:rsid w:val="00E7167D"/>
    <w:rsid w:val="00E71811"/>
    <w:rsid w:val="00E734D8"/>
    <w:rsid w:val="00E74A60"/>
    <w:rsid w:val="00E753D1"/>
    <w:rsid w:val="00E76A5D"/>
    <w:rsid w:val="00E77B20"/>
    <w:rsid w:val="00E77DB4"/>
    <w:rsid w:val="00E8069F"/>
    <w:rsid w:val="00E812BC"/>
    <w:rsid w:val="00E8198B"/>
    <w:rsid w:val="00E819D3"/>
    <w:rsid w:val="00E81F74"/>
    <w:rsid w:val="00E8211B"/>
    <w:rsid w:val="00E8401D"/>
    <w:rsid w:val="00E853A3"/>
    <w:rsid w:val="00E853F5"/>
    <w:rsid w:val="00E8572F"/>
    <w:rsid w:val="00E8690A"/>
    <w:rsid w:val="00E8747B"/>
    <w:rsid w:val="00E87C61"/>
    <w:rsid w:val="00E90B59"/>
    <w:rsid w:val="00E90C15"/>
    <w:rsid w:val="00E90C53"/>
    <w:rsid w:val="00E90F31"/>
    <w:rsid w:val="00E91817"/>
    <w:rsid w:val="00E91A49"/>
    <w:rsid w:val="00E91C83"/>
    <w:rsid w:val="00E92CA8"/>
    <w:rsid w:val="00E93F2B"/>
    <w:rsid w:val="00E94D03"/>
    <w:rsid w:val="00E94F93"/>
    <w:rsid w:val="00E95175"/>
    <w:rsid w:val="00E95BC1"/>
    <w:rsid w:val="00E96784"/>
    <w:rsid w:val="00EA0160"/>
    <w:rsid w:val="00EA0954"/>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BE7"/>
    <w:rsid w:val="00EF2014"/>
    <w:rsid w:val="00EF27CF"/>
    <w:rsid w:val="00EF3A80"/>
    <w:rsid w:val="00EF40EB"/>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611"/>
    <w:rsid w:val="00F06D6D"/>
    <w:rsid w:val="00F06E13"/>
    <w:rsid w:val="00F10C6E"/>
    <w:rsid w:val="00F10FCC"/>
    <w:rsid w:val="00F134F4"/>
    <w:rsid w:val="00F1429C"/>
    <w:rsid w:val="00F17E0D"/>
    <w:rsid w:val="00F204EF"/>
    <w:rsid w:val="00F206D8"/>
    <w:rsid w:val="00F20E7A"/>
    <w:rsid w:val="00F22898"/>
    <w:rsid w:val="00F23581"/>
    <w:rsid w:val="00F23B68"/>
    <w:rsid w:val="00F24A41"/>
    <w:rsid w:val="00F2554B"/>
    <w:rsid w:val="00F25CF0"/>
    <w:rsid w:val="00F25F18"/>
    <w:rsid w:val="00F27290"/>
    <w:rsid w:val="00F2785B"/>
    <w:rsid w:val="00F279B0"/>
    <w:rsid w:val="00F30251"/>
    <w:rsid w:val="00F305B2"/>
    <w:rsid w:val="00F3226D"/>
    <w:rsid w:val="00F3245D"/>
    <w:rsid w:val="00F335A7"/>
    <w:rsid w:val="00F33E15"/>
    <w:rsid w:val="00F34CDE"/>
    <w:rsid w:val="00F35249"/>
    <w:rsid w:val="00F353F9"/>
    <w:rsid w:val="00F35BAB"/>
    <w:rsid w:val="00F3646F"/>
    <w:rsid w:val="00F373AF"/>
    <w:rsid w:val="00F3754E"/>
    <w:rsid w:val="00F4167E"/>
    <w:rsid w:val="00F416FA"/>
    <w:rsid w:val="00F4314A"/>
    <w:rsid w:val="00F43433"/>
    <w:rsid w:val="00F43450"/>
    <w:rsid w:val="00F44BE8"/>
    <w:rsid w:val="00F44C0F"/>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2AFD"/>
    <w:rsid w:val="00F6310D"/>
    <w:rsid w:val="00F64CAE"/>
    <w:rsid w:val="00F65258"/>
    <w:rsid w:val="00F6531D"/>
    <w:rsid w:val="00F65B99"/>
    <w:rsid w:val="00F6676D"/>
    <w:rsid w:val="00F67785"/>
    <w:rsid w:val="00F677C4"/>
    <w:rsid w:val="00F677FA"/>
    <w:rsid w:val="00F70786"/>
    <w:rsid w:val="00F7114A"/>
    <w:rsid w:val="00F73A09"/>
    <w:rsid w:val="00F73EDF"/>
    <w:rsid w:val="00F74C2B"/>
    <w:rsid w:val="00F74D45"/>
    <w:rsid w:val="00F7527F"/>
    <w:rsid w:val="00F754A7"/>
    <w:rsid w:val="00F75C5A"/>
    <w:rsid w:val="00F768F2"/>
    <w:rsid w:val="00F769B5"/>
    <w:rsid w:val="00F76CC5"/>
    <w:rsid w:val="00F76CDA"/>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F4"/>
    <w:rsid w:val="00FA0C36"/>
    <w:rsid w:val="00FA1C72"/>
    <w:rsid w:val="00FA49F7"/>
    <w:rsid w:val="00FA5348"/>
    <w:rsid w:val="00FB0592"/>
    <w:rsid w:val="00FB0808"/>
    <w:rsid w:val="00FB1198"/>
    <w:rsid w:val="00FB2619"/>
    <w:rsid w:val="00FB276C"/>
    <w:rsid w:val="00FB372D"/>
    <w:rsid w:val="00FB4032"/>
    <w:rsid w:val="00FB42E8"/>
    <w:rsid w:val="00FB4714"/>
    <w:rsid w:val="00FB57FB"/>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7D0A"/>
    <w:rsid w:val="00FD7F59"/>
    <w:rsid w:val="00FE147D"/>
    <w:rsid w:val="00FE18C9"/>
    <w:rsid w:val="00FE1B93"/>
    <w:rsid w:val="00FE2152"/>
    <w:rsid w:val="00FE2CCF"/>
    <w:rsid w:val="00FE3BA0"/>
    <w:rsid w:val="00FE49E5"/>
    <w:rsid w:val="00FE4A5D"/>
    <w:rsid w:val="00FE4AE7"/>
    <w:rsid w:val="00FE6CC2"/>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036"/>
    </o:shapedefaults>
    <o:shapelayout v:ext="edit">
      <o:idmap v:ext="edit" data="1"/>
    </o:shapelayout>
  </w:shapeDefaults>
  <w:decimalSymbol w:val=","/>
  <w:listSeparator w:val=","/>
  <w15:chartTrackingRefBased/>
  <w15:docId w15:val="{A2C5BC5B-CF66-49FF-9175-8F1858D1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aliases w:val="Footnote Text Char Char Char Char Char,Footnote Text Char Char Char Char,Ref. de nota al pie1,FA Fu,Footnote Text Char Char Char"/>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19CD6-5666-4EA8-A932-DF974444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6336</TotalTime>
  <Pages>6</Pages>
  <Words>2759</Words>
  <Characters>15177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Richard Giovanny Diaz Moncayo</cp:lastModifiedBy>
  <cp:revision>129</cp:revision>
  <cp:lastPrinted>2017-10-19T13:51:00Z</cp:lastPrinted>
  <dcterms:created xsi:type="dcterms:W3CDTF">2016-08-26T00:07:00Z</dcterms:created>
  <dcterms:modified xsi:type="dcterms:W3CDTF">2017-10-20T20:27:00Z</dcterms:modified>
  <cp:category>Sala Laboral Tribunal Superior de Periera</cp:category>
</cp:coreProperties>
</file>