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32E10" w:rsidRDefault="00032E10" w:rsidP="00032E10">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032E10" w:rsidRPr="00E756E4" w:rsidRDefault="00032E10" w:rsidP="00032E1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032E10" w:rsidRDefault="00032E10" w:rsidP="00032E10">
      <w:pPr>
        <w:pStyle w:val="Titre"/>
        <w:spacing w:line="240" w:lineRule="auto"/>
        <w:jc w:val="both"/>
        <w:rPr>
          <w:rFonts w:ascii="Tahoma" w:hAnsi="Tahoma" w:cs="Tahoma"/>
          <w:sz w:val="18"/>
          <w:szCs w:val="18"/>
          <w:lang w:val="es-CO"/>
        </w:rPr>
      </w:pPr>
    </w:p>
    <w:bookmarkEnd w:id="0"/>
    <w:p w:rsidR="00032E10" w:rsidRPr="009D41B6" w:rsidRDefault="00032E10" w:rsidP="00032E10">
      <w:pPr>
        <w:pStyle w:val="Titre1"/>
        <w:widowControl/>
        <w:autoSpaceDE/>
        <w:autoSpaceDN/>
        <w:adjustRightInd/>
        <w:rPr>
          <w:rFonts w:ascii="Tahoma" w:hAnsi="Tahoma" w:cs="Tahoma"/>
          <w:bCs/>
          <w:sz w:val="22"/>
          <w:szCs w:val="22"/>
          <w:u w:val="single"/>
        </w:rPr>
      </w:pPr>
      <w:r w:rsidRPr="009D41B6">
        <w:rPr>
          <w:rFonts w:ascii="Tahoma" w:hAnsi="Tahoma" w:cs="Tahoma"/>
          <w:bCs/>
          <w:sz w:val="22"/>
          <w:szCs w:val="22"/>
          <w:u w:val="single"/>
        </w:rPr>
        <w:t>SALVAMENTO DE VOTO</w:t>
      </w:r>
    </w:p>
    <w:p w:rsidR="00032E10" w:rsidRDefault="00032E10" w:rsidP="00095469">
      <w:pPr>
        <w:pStyle w:val="Titre"/>
        <w:spacing w:line="240" w:lineRule="auto"/>
        <w:jc w:val="both"/>
        <w:rPr>
          <w:rFonts w:ascii="Tahoma" w:hAnsi="Tahoma" w:cs="Tahoma"/>
          <w:sz w:val="18"/>
          <w:szCs w:val="18"/>
        </w:rPr>
      </w:pPr>
    </w:p>
    <w:p w:rsidR="00032E10" w:rsidRPr="00095469" w:rsidRDefault="00032E10" w:rsidP="00032E10">
      <w:pPr>
        <w:pStyle w:val="Titre"/>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32E10" w:rsidRDefault="00032E10" w:rsidP="00095469">
      <w:pPr>
        <w:pStyle w:val="Titre"/>
        <w:spacing w:line="240" w:lineRule="auto"/>
        <w:jc w:val="both"/>
        <w:rPr>
          <w:rFonts w:ascii="Tahoma" w:hAnsi="Tahoma" w:cs="Tahoma"/>
          <w:sz w:val="18"/>
          <w:szCs w:val="18"/>
        </w:rPr>
      </w:pP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E94903">
        <w:rPr>
          <w:rFonts w:ascii="Tahoma" w:hAnsi="Tahoma" w:cs="Tahoma"/>
          <w:b w:val="0"/>
          <w:sz w:val="18"/>
          <w:szCs w:val="18"/>
        </w:rPr>
        <w:t xml:space="preserve">Sentencia </w:t>
      </w:r>
      <w:r w:rsidRPr="00095469">
        <w:rPr>
          <w:rFonts w:ascii="Tahoma" w:hAnsi="Tahoma" w:cs="Tahoma"/>
          <w:b w:val="0"/>
          <w:sz w:val="18"/>
          <w:szCs w:val="18"/>
        </w:rPr>
        <w:t xml:space="preserve">del </w:t>
      </w:r>
      <w:r w:rsidR="00E94903">
        <w:rPr>
          <w:rFonts w:ascii="Tahoma" w:hAnsi="Tahoma" w:cs="Tahoma"/>
          <w:b w:val="0"/>
          <w:sz w:val="18"/>
          <w:szCs w:val="18"/>
        </w:rPr>
        <w:t>20</w:t>
      </w:r>
      <w:r>
        <w:rPr>
          <w:rFonts w:ascii="Tahoma" w:hAnsi="Tahoma" w:cs="Tahoma"/>
          <w:b w:val="0"/>
          <w:sz w:val="18"/>
          <w:szCs w:val="18"/>
        </w:rPr>
        <w:t xml:space="preserve"> de </w:t>
      </w:r>
      <w:r w:rsidR="00525C7B">
        <w:rPr>
          <w:rFonts w:ascii="Tahoma" w:hAnsi="Tahoma" w:cs="Tahoma"/>
          <w:b w:val="0"/>
          <w:sz w:val="18"/>
          <w:szCs w:val="18"/>
        </w:rPr>
        <w:t xml:space="preserve">noviembre </w:t>
      </w:r>
      <w:r w:rsidRPr="00095469">
        <w:rPr>
          <w:rFonts w:ascii="Tahoma" w:hAnsi="Tahoma" w:cs="Tahoma"/>
          <w:b w:val="0"/>
          <w:sz w:val="18"/>
          <w:szCs w:val="18"/>
        </w:rPr>
        <w:t>de 2017</w:t>
      </w:r>
    </w:p>
    <w:p w:rsidR="00E94903" w:rsidRPr="00EA3EFB" w:rsidRDefault="00E94903" w:rsidP="00E94903">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r>
      <w:r>
        <w:rPr>
          <w:rFonts w:ascii="Tahoma" w:hAnsi="Tahoma" w:cs="Tahoma"/>
          <w:b w:val="0"/>
          <w:sz w:val="18"/>
          <w:szCs w:val="18"/>
        </w:rPr>
        <w:tab/>
      </w:r>
      <w:r w:rsidRPr="00EA3EFB">
        <w:rPr>
          <w:rFonts w:ascii="Tahoma" w:hAnsi="Tahoma" w:cs="Tahoma"/>
          <w:b w:val="0"/>
          <w:sz w:val="18"/>
          <w:szCs w:val="18"/>
        </w:rPr>
        <w:t>66001-31-05-00</w:t>
      </w:r>
      <w:r>
        <w:rPr>
          <w:rFonts w:ascii="Tahoma" w:hAnsi="Tahoma" w:cs="Tahoma"/>
          <w:b w:val="0"/>
          <w:sz w:val="18"/>
          <w:szCs w:val="18"/>
        </w:rPr>
        <w:t>5</w:t>
      </w:r>
      <w:r w:rsidRPr="00EA3EFB">
        <w:rPr>
          <w:rFonts w:ascii="Tahoma" w:hAnsi="Tahoma" w:cs="Tahoma"/>
          <w:b w:val="0"/>
          <w:sz w:val="18"/>
          <w:szCs w:val="18"/>
        </w:rPr>
        <w:t>-201</w:t>
      </w:r>
      <w:r>
        <w:rPr>
          <w:rFonts w:ascii="Tahoma" w:hAnsi="Tahoma" w:cs="Tahoma"/>
          <w:b w:val="0"/>
          <w:sz w:val="18"/>
          <w:szCs w:val="18"/>
        </w:rPr>
        <w:t>5</w:t>
      </w:r>
      <w:r w:rsidRPr="00EA3EFB">
        <w:rPr>
          <w:rFonts w:ascii="Tahoma" w:hAnsi="Tahoma" w:cs="Tahoma"/>
          <w:b w:val="0"/>
          <w:sz w:val="18"/>
          <w:szCs w:val="18"/>
        </w:rPr>
        <w:t>-00</w:t>
      </w:r>
      <w:r>
        <w:rPr>
          <w:rFonts w:ascii="Tahoma" w:hAnsi="Tahoma" w:cs="Tahoma"/>
          <w:b w:val="0"/>
          <w:sz w:val="18"/>
          <w:szCs w:val="18"/>
        </w:rPr>
        <w:t>174</w:t>
      </w:r>
      <w:r w:rsidRPr="00EA3EFB">
        <w:rPr>
          <w:rFonts w:ascii="Tahoma" w:hAnsi="Tahoma" w:cs="Tahoma"/>
          <w:b w:val="0"/>
          <w:sz w:val="18"/>
          <w:szCs w:val="18"/>
        </w:rPr>
        <w:t>-01</w:t>
      </w:r>
    </w:p>
    <w:p w:rsidR="00E94903" w:rsidRPr="00EA3EFB" w:rsidRDefault="00E94903" w:rsidP="00E94903">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r>
      <w:r>
        <w:rPr>
          <w:rFonts w:ascii="Tahoma" w:hAnsi="Tahoma" w:cs="Tahoma"/>
          <w:b w:val="0"/>
          <w:sz w:val="18"/>
          <w:szCs w:val="18"/>
        </w:rPr>
        <w:tab/>
      </w:r>
      <w:r w:rsidRPr="00EA3EFB">
        <w:rPr>
          <w:rFonts w:ascii="Tahoma" w:hAnsi="Tahoma" w:cs="Tahoma"/>
          <w:b w:val="0"/>
          <w:sz w:val="18"/>
          <w:szCs w:val="18"/>
        </w:rPr>
        <w:t xml:space="preserve">Ordinario laboral </w:t>
      </w:r>
    </w:p>
    <w:p w:rsidR="00E94903" w:rsidRPr="00EA3EFB" w:rsidRDefault="00E94903" w:rsidP="00E94903">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Pr>
          <w:rFonts w:ascii="Tahoma" w:hAnsi="Tahoma" w:cs="Tahoma"/>
          <w:b w:val="0"/>
          <w:sz w:val="18"/>
          <w:szCs w:val="18"/>
        </w:rPr>
        <w:tab/>
        <w:t xml:space="preserve">Omaira Ramírez Ocampo </w:t>
      </w:r>
    </w:p>
    <w:p w:rsidR="00E94903" w:rsidRPr="00EA3EFB" w:rsidRDefault="00E94903" w:rsidP="00E94903">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r>
      <w:r>
        <w:rPr>
          <w:rFonts w:ascii="Tahoma" w:hAnsi="Tahoma" w:cs="Tahoma"/>
          <w:b w:val="0"/>
          <w:sz w:val="18"/>
          <w:szCs w:val="18"/>
        </w:rPr>
        <w:tab/>
      </w:r>
      <w:r w:rsidRPr="00EA3EFB">
        <w:rPr>
          <w:rFonts w:ascii="Tahoma" w:hAnsi="Tahoma" w:cs="Tahoma"/>
          <w:b w:val="0"/>
          <w:sz w:val="18"/>
          <w:szCs w:val="18"/>
        </w:rPr>
        <w:t>Colpensiones</w:t>
      </w:r>
    </w:p>
    <w:p w:rsidR="00095469" w:rsidRPr="00095469" w:rsidRDefault="00095469" w:rsidP="00095469">
      <w:pPr>
        <w:pStyle w:val="Titre"/>
        <w:spacing w:line="240" w:lineRule="auto"/>
        <w:jc w:val="both"/>
        <w:rPr>
          <w:rFonts w:ascii="Tahoma" w:hAnsi="Tahoma" w:cs="Tahoma"/>
          <w:b w:val="0"/>
          <w:sz w:val="18"/>
          <w:szCs w:val="18"/>
        </w:rPr>
      </w:pPr>
      <w:r w:rsidRPr="00095469">
        <w:rPr>
          <w:rFonts w:ascii="Tahoma" w:hAnsi="Tahoma" w:cs="Tahoma"/>
          <w:sz w:val="18"/>
          <w:szCs w:val="18"/>
        </w:rPr>
        <w:t>Magistrad</w:t>
      </w:r>
      <w:r w:rsidR="00E94903">
        <w:rPr>
          <w:rFonts w:ascii="Tahoma" w:hAnsi="Tahoma" w:cs="Tahoma"/>
          <w:sz w:val="18"/>
          <w:szCs w:val="18"/>
        </w:rPr>
        <w:t>o</w:t>
      </w:r>
      <w:r w:rsidRPr="00095469">
        <w:rPr>
          <w:rFonts w:ascii="Tahoma" w:hAnsi="Tahoma" w:cs="Tahoma"/>
          <w:sz w:val="18"/>
          <w:szCs w:val="18"/>
        </w:rPr>
        <w:t xml:space="preserve"> Ponente:</w:t>
      </w:r>
      <w:r w:rsidRPr="00095469">
        <w:rPr>
          <w:rFonts w:ascii="Tahoma" w:hAnsi="Tahoma" w:cs="Tahoma"/>
          <w:b w:val="0"/>
          <w:sz w:val="18"/>
          <w:szCs w:val="18"/>
        </w:rPr>
        <w:tab/>
      </w:r>
      <w:r w:rsidRPr="00095469">
        <w:rPr>
          <w:rFonts w:ascii="Tahoma" w:hAnsi="Tahoma" w:cs="Tahoma"/>
          <w:b w:val="0"/>
          <w:sz w:val="18"/>
          <w:szCs w:val="18"/>
        </w:rPr>
        <w:tab/>
        <w:t xml:space="preserve">Dr. </w:t>
      </w:r>
      <w:r w:rsidR="00E94903">
        <w:rPr>
          <w:rFonts w:ascii="Tahoma" w:hAnsi="Tahoma" w:cs="Tahoma"/>
          <w:b w:val="0"/>
          <w:sz w:val="18"/>
          <w:szCs w:val="18"/>
        </w:rPr>
        <w:t xml:space="preserve">Julio César Salazar Muñoz </w:t>
      </w:r>
      <w:r w:rsidR="00525C7B">
        <w:rPr>
          <w:rFonts w:ascii="Tahoma" w:hAnsi="Tahoma" w:cs="Tahoma"/>
          <w:b w:val="0"/>
          <w:sz w:val="18"/>
          <w:szCs w:val="18"/>
        </w:rPr>
        <w:t xml:space="preserve"> </w:t>
      </w:r>
    </w:p>
    <w:p w:rsidR="00095469" w:rsidRPr="00095469" w:rsidRDefault="00095469" w:rsidP="00095469">
      <w:pPr>
        <w:pStyle w:val="Titre"/>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E94903" w:rsidRPr="008075F0" w:rsidRDefault="00E94903" w:rsidP="00E94903">
      <w:pPr>
        <w:pStyle w:val="Titre"/>
        <w:tabs>
          <w:tab w:val="left" w:pos="567"/>
        </w:tabs>
        <w:spacing w:line="240" w:lineRule="auto"/>
        <w:ind w:left="2805"/>
        <w:jc w:val="both"/>
        <w:rPr>
          <w:rFonts w:ascii="Tahoma" w:hAnsi="Tahoma" w:cs="Tahoma"/>
          <w:b w:val="0"/>
          <w:bCs/>
          <w:sz w:val="18"/>
          <w:szCs w:val="18"/>
        </w:rPr>
      </w:pPr>
      <w:r>
        <w:rPr>
          <w:rFonts w:ascii="Tahoma" w:hAnsi="Tahoma" w:cs="Tahoma"/>
          <w:sz w:val="18"/>
          <w:szCs w:val="18"/>
        </w:rPr>
        <w:t xml:space="preserve">Pensión de vejez Acuerdo 049 de 1990 – Posibilidad de concederla con cotizaciones efectuadas en sector público: </w:t>
      </w:r>
      <w:r w:rsidRPr="008075F0">
        <w:rPr>
          <w:rFonts w:ascii="Tahoma" w:hAnsi="Tahoma" w:cs="Tahoma"/>
          <w:b w:val="0"/>
          <w:bCs/>
          <w:sz w:val="18"/>
          <w:szCs w:val="18"/>
        </w:rPr>
        <w:t xml:space="preserve">La Corte Constitucional en la Sentencia SU-769 de 2014, con ponencia del Magistrado Jorge Iván Palacio </w:t>
      </w:r>
      <w:proofErr w:type="spellStart"/>
      <w:r w:rsidRPr="008075F0">
        <w:rPr>
          <w:rFonts w:ascii="Tahoma" w:hAnsi="Tahoma" w:cs="Tahoma"/>
          <w:b w:val="0"/>
          <w:bCs/>
          <w:sz w:val="18"/>
          <w:szCs w:val="18"/>
        </w:rPr>
        <w:t>Palacio</w:t>
      </w:r>
      <w:proofErr w:type="spellEnd"/>
      <w:r w:rsidRPr="008075F0">
        <w:rPr>
          <w:rFonts w:ascii="Tahoma" w:hAnsi="Tahoma" w:cs="Tahoma"/>
          <w:b w:val="0"/>
          <w:bCs/>
          <w:sz w:val="18"/>
          <w:szCs w:val="18"/>
        </w:rPr>
        <w:t xml:space="preserve">,  precisó </w:t>
      </w:r>
      <w:r w:rsidRPr="00206953">
        <w:rPr>
          <w:rFonts w:ascii="Tahoma" w:hAnsi="Tahoma" w:cs="Tahoma"/>
          <w:b w:val="0"/>
          <w:bCs/>
          <w:i/>
          <w:sz w:val="18"/>
          <w:szCs w:val="18"/>
        </w:rPr>
        <w:t>–en un asunto donde se buscaba la aplicación del Acuerdo 049 de 1990 en virtud del régimen de transición-</w:t>
      </w:r>
      <w:r w:rsidRPr="008075F0">
        <w:rPr>
          <w:rFonts w:ascii="Tahoma" w:hAnsi="Tahoma" w:cs="Tahoma"/>
          <w:b w:val="0"/>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 w:val="0"/>
          <w:bCs/>
          <w:sz w:val="18"/>
          <w:szCs w:val="18"/>
        </w:rPr>
        <w:t>requerida</w:t>
      </w:r>
      <w:r w:rsidRPr="008075F0">
        <w:rPr>
          <w:rFonts w:ascii="Tahoma" w:hAnsi="Tahoma" w:cs="Tahoma"/>
          <w:b w:val="0"/>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 w:val="0"/>
          <w:bCs/>
          <w:sz w:val="18"/>
          <w:szCs w:val="18"/>
        </w:rPr>
        <w:t xml:space="preserve">, y que esta </w:t>
      </w:r>
      <w:r w:rsidRPr="008075F0">
        <w:rPr>
          <w:rFonts w:ascii="Tahoma" w:hAnsi="Tahoma" w:cs="Tahoma"/>
          <w:b w:val="0"/>
          <w:bCs/>
          <w:sz w:val="18"/>
          <w:szCs w:val="18"/>
        </w:rPr>
        <w:t xml:space="preserve">Corporación </w:t>
      </w:r>
      <w:r>
        <w:rPr>
          <w:rFonts w:ascii="Tahoma" w:hAnsi="Tahoma" w:cs="Tahoma"/>
          <w:b w:val="0"/>
          <w:bCs/>
          <w:sz w:val="18"/>
          <w:szCs w:val="18"/>
        </w:rPr>
        <w:t xml:space="preserve">acogió </w:t>
      </w:r>
      <w:r w:rsidRPr="008075F0">
        <w:rPr>
          <w:rFonts w:ascii="Tahoma" w:hAnsi="Tahoma" w:cs="Tahoma"/>
          <w:b w:val="0"/>
          <w:bCs/>
          <w:sz w:val="18"/>
          <w:szCs w:val="18"/>
        </w:rPr>
        <w:t>en sentencia del 30 de octubre de 2015, proferida dentro del proceso radicado con el número 2013-00483, con ponencia de quien aquí cumple igual encargo.</w:t>
      </w:r>
    </w:p>
    <w:p w:rsidR="00095469" w:rsidRPr="00095469" w:rsidRDefault="00095469" w:rsidP="00095469">
      <w:pPr>
        <w:pStyle w:val="Titre"/>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9D41B6" w:rsidRDefault="00095469" w:rsidP="00095469">
      <w:pPr>
        <w:ind w:firstLine="851"/>
        <w:jc w:val="both"/>
        <w:rPr>
          <w:rFonts w:ascii="Tahoma" w:hAnsi="Tahoma" w:cs="Tahoma"/>
          <w:sz w:val="22"/>
          <w:szCs w:val="22"/>
        </w:rPr>
      </w:pPr>
      <w:r w:rsidRPr="009D41B6">
        <w:rPr>
          <w:rFonts w:ascii="Tahoma" w:hAnsi="Tahoma" w:cs="Tahoma"/>
          <w:sz w:val="22"/>
          <w:szCs w:val="22"/>
        </w:rPr>
        <w:t xml:space="preserve">Con mi acostumbrado respeto, manifiesto mi inconformidad frente a la </w:t>
      </w:r>
      <w:r w:rsidR="00525C7B" w:rsidRPr="009D41B6">
        <w:rPr>
          <w:rFonts w:ascii="Tahoma" w:hAnsi="Tahoma" w:cs="Tahoma"/>
          <w:sz w:val="22"/>
          <w:szCs w:val="22"/>
        </w:rPr>
        <w:t>decisión</w:t>
      </w:r>
      <w:r w:rsidRPr="009D41B6">
        <w:rPr>
          <w:rFonts w:ascii="Tahoma" w:hAnsi="Tahoma" w:cs="Tahoma"/>
          <w:sz w:val="22"/>
          <w:szCs w:val="22"/>
        </w:rPr>
        <w:t xml:space="preserve"> mayoritaria, por cuanto considero que en el presente caso había lugar a reconocer</w:t>
      </w:r>
      <w:r w:rsidR="00E94903" w:rsidRPr="009D41B6">
        <w:rPr>
          <w:rFonts w:ascii="Tahoma" w:hAnsi="Tahoma" w:cs="Tahoma"/>
          <w:sz w:val="22"/>
          <w:szCs w:val="22"/>
        </w:rPr>
        <w:t xml:space="preserve"> la pensión de vejez a la demandante p</w:t>
      </w:r>
      <w:r w:rsidRPr="009D41B6">
        <w:rPr>
          <w:rFonts w:ascii="Tahoma" w:hAnsi="Tahoma" w:cs="Tahoma"/>
          <w:sz w:val="22"/>
          <w:szCs w:val="22"/>
        </w:rPr>
        <w:t xml:space="preserve">or las siguientes razones: </w:t>
      </w:r>
    </w:p>
    <w:p w:rsidR="00095469" w:rsidRPr="009D41B6" w:rsidRDefault="00095469" w:rsidP="00095469">
      <w:pPr>
        <w:ind w:firstLine="851"/>
        <w:jc w:val="both"/>
        <w:rPr>
          <w:rFonts w:ascii="Tahoma" w:hAnsi="Tahoma" w:cs="Tahoma"/>
          <w:sz w:val="22"/>
          <w:szCs w:val="22"/>
        </w:rPr>
      </w:pPr>
    </w:p>
    <w:p w:rsidR="009D41B6" w:rsidRPr="009D41B6" w:rsidRDefault="009D41B6" w:rsidP="009D41B6">
      <w:pPr>
        <w:pStyle w:val="Corpsdetexte"/>
        <w:spacing w:line="276" w:lineRule="auto"/>
        <w:ind w:right="51" w:firstLine="708"/>
        <w:rPr>
          <w:rFonts w:ascii="Tahoma" w:hAnsi="Tahoma" w:cs="Tahoma"/>
          <w:bCs/>
          <w:sz w:val="22"/>
          <w:szCs w:val="22"/>
        </w:rPr>
      </w:pPr>
      <w:r w:rsidRPr="009D41B6">
        <w:rPr>
          <w:rFonts w:ascii="Tahoma" w:hAnsi="Tahoma" w:cs="Tahoma"/>
          <w:bCs/>
          <w:sz w:val="22"/>
          <w:szCs w:val="22"/>
        </w:rPr>
        <w:t>Son hechos que se encuentran por fuera de discusión los siguientes:</w:t>
      </w:r>
    </w:p>
    <w:p w:rsidR="009D41B6" w:rsidRPr="009D41B6" w:rsidRDefault="009D41B6" w:rsidP="009D41B6">
      <w:pPr>
        <w:pStyle w:val="Corpsdetexte"/>
        <w:spacing w:line="276" w:lineRule="auto"/>
        <w:ind w:right="51" w:firstLine="708"/>
        <w:rPr>
          <w:rFonts w:ascii="Tahoma" w:hAnsi="Tahoma" w:cs="Tahoma"/>
          <w:bCs/>
          <w:sz w:val="22"/>
          <w:szCs w:val="22"/>
        </w:rPr>
      </w:pPr>
      <w:r w:rsidRPr="009D41B6">
        <w:rPr>
          <w:rFonts w:ascii="Tahoma" w:hAnsi="Tahoma" w:cs="Tahoma"/>
          <w:bCs/>
          <w:sz w:val="22"/>
          <w:szCs w:val="22"/>
        </w:rPr>
        <w:t xml:space="preserve"> </w:t>
      </w:r>
    </w:p>
    <w:p w:rsidR="009D41B6" w:rsidRPr="009D41B6" w:rsidRDefault="009D41B6" w:rsidP="009D41B6">
      <w:pPr>
        <w:pStyle w:val="Corpsdetexte"/>
        <w:numPr>
          <w:ilvl w:val="0"/>
          <w:numId w:val="3"/>
        </w:numPr>
        <w:tabs>
          <w:tab w:val="left" w:pos="1134"/>
        </w:tabs>
        <w:autoSpaceDE/>
        <w:autoSpaceDN/>
        <w:adjustRightInd/>
        <w:spacing w:line="276" w:lineRule="auto"/>
        <w:ind w:left="709" w:right="51" w:firstLine="0"/>
        <w:rPr>
          <w:rFonts w:ascii="Tahoma" w:hAnsi="Tahoma" w:cs="Tahoma"/>
          <w:bCs/>
          <w:sz w:val="22"/>
          <w:szCs w:val="22"/>
        </w:rPr>
      </w:pPr>
      <w:r w:rsidRPr="009D41B6">
        <w:rPr>
          <w:rFonts w:ascii="Tahoma" w:hAnsi="Tahoma" w:cs="Tahoma"/>
          <w:bCs/>
          <w:sz w:val="22"/>
          <w:szCs w:val="22"/>
        </w:rPr>
        <w:t>Que la demandante cumplió los 55 años de edad el 30 de enero del año 1995 (</w:t>
      </w:r>
      <w:proofErr w:type="spellStart"/>
      <w:r w:rsidRPr="009D41B6">
        <w:rPr>
          <w:rFonts w:ascii="Tahoma" w:hAnsi="Tahoma" w:cs="Tahoma"/>
          <w:bCs/>
          <w:sz w:val="22"/>
          <w:szCs w:val="22"/>
        </w:rPr>
        <w:t>fl</w:t>
      </w:r>
      <w:proofErr w:type="spellEnd"/>
      <w:r w:rsidRPr="009D41B6">
        <w:rPr>
          <w:rFonts w:ascii="Tahoma" w:hAnsi="Tahoma" w:cs="Tahoma"/>
          <w:bCs/>
          <w:sz w:val="22"/>
          <w:szCs w:val="22"/>
        </w:rPr>
        <w:t>. 7);</w:t>
      </w:r>
    </w:p>
    <w:p w:rsidR="009D41B6" w:rsidRPr="009D41B6" w:rsidRDefault="009D41B6" w:rsidP="009D41B6">
      <w:pPr>
        <w:pStyle w:val="Corpsdetexte"/>
        <w:tabs>
          <w:tab w:val="left" w:pos="1134"/>
        </w:tabs>
        <w:spacing w:line="276" w:lineRule="auto"/>
        <w:ind w:left="709" w:right="51"/>
        <w:rPr>
          <w:rFonts w:ascii="Tahoma" w:hAnsi="Tahoma" w:cs="Tahoma"/>
          <w:bCs/>
          <w:sz w:val="22"/>
          <w:szCs w:val="22"/>
        </w:rPr>
      </w:pPr>
    </w:p>
    <w:p w:rsidR="009D41B6" w:rsidRPr="009D41B6" w:rsidRDefault="009D41B6" w:rsidP="009D41B6">
      <w:pPr>
        <w:pStyle w:val="Corpsdetexte"/>
        <w:numPr>
          <w:ilvl w:val="0"/>
          <w:numId w:val="3"/>
        </w:numPr>
        <w:tabs>
          <w:tab w:val="left" w:pos="1134"/>
        </w:tabs>
        <w:autoSpaceDE/>
        <w:autoSpaceDN/>
        <w:adjustRightInd/>
        <w:spacing w:line="276" w:lineRule="auto"/>
        <w:ind w:left="709" w:right="51" w:firstLine="0"/>
        <w:rPr>
          <w:rFonts w:ascii="Tahoma" w:hAnsi="Tahoma" w:cs="Tahoma"/>
          <w:bCs/>
          <w:sz w:val="22"/>
          <w:szCs w:val="22"/>
        </w:rPr>
      </w:pPr>
      <w:r w:rsidRPr="009D41B6">
        <w:rPr>
          <w:rFonts w:ascii="Tahoma" w:hAnsi="Tahoma" w:cs="Tahoma"/>
          <w:bCs/>
          <w:sz w:val="22"/>
          <w:szCs w:val="22"/>
        </w:rPr>
        <w:t>Que fue beneficiaria del régimen de transición por contar con más de 35 años al 1º de abril de 1994;</w:t>
      </w:r>
    </w:p>
    <w:p w:rsidR="009D41B6" w:rsidRPr="009D41B6" w:rsidRDefault="009D41B6" w:rsidP="009D41B6">
      <w:pPr>
        <w:pStyle w:val="Paragraphedeliste"/>
        <w:rPr>
          <w:rFonts w:ascii="Tahoma" w:hAnsi="Tahoma" w:cs="Tahoma"/>
          <w:bCs/>
          <w:sz w:val="22"/>
          <w:szCs w:val="22"/>
        </w:rPr>
      </w:pPr>
    </w:p>
    <w:p w:rsidR="009D41B6" w:rsidRPr="009D41B6" w:rsidRDefault="009D41B6" w:rsidP="009D41B6">
      <w:pPr>
        <w:pStyle w:val="Corpsdetexte"/>
        <w:numPr>
          <w:ilvl w:val="0"/>
          <w:numId w:val="3"/>
        </w:numPr>
        <w:tabs>
          <w:tab w:val="left" w:pos="1134"/>
        </w:tabs>
        <w:autoSpaceDE/>
        <w:autoSpaceDN/>
        <w:adjustRightInd/>
        <w:spacing w:line="276" w:lineRule="auto"/>
        <w:ind w:left="709" w:right="51" w:firstLine="0"/>
        <w:rPr>
          <w:rFonts w:ascii="Tahoma" w:hAnsi="Tahoma" w:cs="Tahoma"/>
          <w:bCs/>
          <w:sz w:val="22"/>
          <w:szCs w:val="22"/>
        </w:rPr>
      </w:pPr>
      <w:r w:rsidRPr="009D41B6">
        <w:rPr>
          <w:rFonts w:ascii="Tahoma" w:hAnsi="Tahoma" w:cs="Tahoma"/>
          <w:bCs/>
          <w:sz w:val="22"/>
          <w:szCs w:val="22"/>
        </w:rPr>
        <w:t>Que cotizó 259,86 semanas al seguro social entre el 1º de agosto de 1998 y el 31 de enero de 2004 (</w:t>
      </w:r>
      <w:proofErr w:type="spellStart"/>
      <w:r w:rsidRPr="009D41B6">
        <w:rPr>
          <w:rFonts w:ascii="Tahoma" w:hAnsi="Tahoma" w:cs="Tahoma"/>
          <w:bCs/>
          <w:sz w:val="22"/>
          <w:szCs w:val="22"/>
        </w:rPr>
        <w:t>fl</w:t>
      </w:r>
      <w:proofErr w:type="spellEnd"/>
      <w:r w:rsidRPr="009D41B6">
        <w:rPr>
          <w:rFonts w:ascii="Tahoma" w:hAnsi="Tahoma" w:cs="Tahoma"/>
          <w:bCs/>
          <w:sz w:val="22"/>
          <w:szCs w:val="22"/>
        </w:rPr>
        <w:t>. 87).</w:t>
      </w:r>
    </w:p>
    <w:p w:rsidR="009D41B6" w:rsidRPr="009D41B6" w:rsidRDefault="009D41B6" w:rsidP="009D41B6">
      <w:pPr>
        <w:pStyle w:val="Paragraphedeliste"/>
        <w:rPr>
          <w:rFonts w:ascii="Tahoma" w:hAnsi="Tahoma" w:cs="Tahoma"/>
          <w:bCs/>
          <w:sz w:val="22"/>
          <w:szCs w:val="22"/>
        </w:rPr>
      </w:pPr>
    </w:p>
    <w:p w:rsidR="009D41B6" w:rsidRPr="009D41B6" w:rsidRDefault="009D41B6" w:rsidP="009D41B6">
      <w:pPr>
        <w:pStyle w:val="Corpsdetexte"/>
        <w:numPr>
          <w:ilvl w:val="0"/>
          <w:numId w:val="3"/>
        </w:numPr>
        <w:tabs>
          <w:tab w:val="left" w:pos="1134"/>
        </w:tabs>
        <w:autoSpaceDE/>
        <w:autoSpaceDN/>
        <w:adjustRightInd/>
        <w:spacing w:line="276" w:lineRule="auto"/>
        <w:ind w:left="709" w:right="51" w:firstLine="0"/>
        <w:rPr>
          <w:rFonts w:ascii="Tahoma" w:hAnsi="Tahoma" w:cs="Tahoma"/>
          <w:bCs/>
          <w:sz w:val="22"/>
          <w:szCs w:val="22"/>
        </w:rPr>
      </w:pPr>
      <w:r w:rsidRPr="009D41B6">
        <w:rPr>
          <w:rFonts w:ascii="Tahoma" w:hAnsi="Tahoma" w:cs="Tahoma"/>
          <w:bCs/>
          <w:sz w:val="22"/>
          <w:szCs w:val="22"/>
        </w:rPr>
        <w:t>Que la actora laboró al servicio del Departamento del Tolima entre el 17 de septiembre de 1968 y el 31 de diciembre de 1969 y al servicio del Hospital Universitario San Jorge entre el 12 de mayo de 1977 y el 30 de octubre de 1987 (</w:t>
      </w:r>
      <w:proofErr w:type="spellStart"/>
      <w:r w:rsidRPr="009D41B6">
        <w:rPr>
          <w:rFonts w:ascii="Tahoma" w:hAnsi="Tahoma" w:cs="Tahoma"/>
          <w:bCs/>
          <w:sz w:val="22"/>
          <w:szCs w:val="22"/>
        </w:rPr>
        <w:t>fls</w:t>
      </w:r>
      <w:proofErr w:type="spellEnd"/>
      <w:r w:rsidRPr="009D41B6">
        <w:rPr>
          <w:rFonts w:ascii="Tahoma" w:hAnsi="Tahoma" w:cs="Tahoma"/>
          <w:bCs/>
          <w:sz w:val="22"/>
          <w:szCs w:val="22"/>
        </w:rPr>
        <w:t>. 60 y 95).</w:t>
      </w:r>
    </w:p>
    <w:p w:rsidR="009D41B6" w:rsidRPr="009D41B6" w:rsidRDefault="009D41B6" w:rsidP="009D41B6">
      <w:pPr>
        <w:pStyle w:val="Paragraphedeliste"/>
        <w:rPr>
          <w:rFonts w:ascii="Tahoma" w:hAnsi="Tahoma" w:cs="Tahoma"/>
          <w:sz w:val="22"/>
          <w:szCs w:val="22"/>
        </w:rPr>
      </w:pPr>
    </w:p>
    <w:p w:rsidR="009D41B6" w:rsidRPr="009D41B6" w:rsidRDefault="009D41B6" w:rsidP="009D41B6">
      <w:pPr>
        <w:pStyle w:val="Corpsdetexte"/>
        <w:numPr>
          <w:ilvl w:val="0"/>
          <w:numId w:val="3"/>
        </w:numPr>
        <w:tabs>
          <w:tab w:val="left" w:pos="1134"/>
        </w:tabs>
        <w:autoSpaceDE/>
        <w:autoSpaceDN/>
        <w:adjustRightInd/>
        <w:spacing w:line="276" w:lineRule="auto"/>
        <w:ind w:left="709" w:right="51" w:firstLine="0"/>
        <w:rPr>
          <w:rFonts w:ascii="Tahoma" w:hAnsi="Tahoma" w:cs="Tahoma"/>
          <w:bCs/>
          <w:sz w:val="22"/>
          <w:szCs w:val="22"/>
        </w:rPr>
      </w:pPr>
      <w:r w:rsidRPr="009D41B6">
        <w:rPr>
          <w:rFonts w:ascii="Tahoma" w:hAnsi="Tahoma" w:cs="Tahoma"/>
          <w:bCs/>
          <w:sz w:val="22"/>
          <w:szCs w:val="22"/>
        </w:rPr>
        <w:t>Que en los 20 años anteriores al cumplimiento de la edad mínima para pensionarse la demandante cuenta con 534 semanas, laboradas en el Hospital San Jorge y,</w:t>
      </w:r>
    </w:p>
    <w:p w:rsidR="009D41B6" w:rsidRPr="009D41B6" w:rsidRDefault="009D41B6" w:rsidP="009D41B6">
      <w:pPr>
        <w:pStyle w:val="Paragraphedeliste"/>
        <w:rPr>
          <w:rFonts w:ascii="Tahoma" w:hAnsi="Tahoma" w:cs="Tahoma"/>
          <w:bCs/>
          <w:sz w:val="22"/>
          <w:szCs w:val="22"/>
        </w:rPr>
      </w:pPr>
    </w:p>
    <w:p w:rsidR="009D41B6" w:rsidRPr="009D41B6" w:rsidRDefault="009D41B6" w:rsidP="009D41B6">
      <w:pPr>
        <w:pStyle w:val="Corpsdetexte"/>
        <w:numPr>
          <w:ilvl w:val="0"/>
          <w:numId w:val="3"/>
        </w:numPr>
        <w:tabs>
          <w:tab w:val="left" w:pos="1134"/>
        </w:tabs>
        <w:autoSpaceDE/>
        <w:autoSpaceDN/>
        <w:adjustRightInd/>
        <w:spacing w:line="276" w:lineRule="auto"/>
        <w:ind w:left="709" w:right="51" w:firstLine="0"/>
        <w:rPr>
          <w:rFonts w:ascii="Tahoma" w:hAnsi="Tahoma" w:cs="Tahoma"/>
          <w:bCs/>
          <w:sz w:val="22"/>
          <w:szCs w:val="22"/>
        </w:rPr>
      </w:pPr>
      <w:r w:rsidRPr="009D41B6">
        <w:rPr>
          <w:rFonts w:ascii="Tahoma" w:hAnsi="Tahoma" w:cs="Tahoma"/>
          <w:bCs/>
          <w:sz w:val="22"/>
          <w:szCs w:val="22"/>
        </w:rPr>
        <w:t>Que el 21 de junio de 2010 solicitó el reconocimiento de su pensión de vejez, la cual fue negada por el I.S.S. a través de la Resolución No. 0267 de 2010, tal como consta en el expediente administrativo allegado por la demandada en formato digital (</w:t>
      </w:r>
      <w:proofErr w:type="spellStart"/>
      <w:r w:rsidRPr="009D41B6">
        <w:rPr>
          <w:rFonts w:ascii="Tahoma" w:hAnsi="Tahoma" w:cs="Tahoma"/>
          <w:bCs/>
          <w:sz w:val="22"/>
          <w:szCs w:val="22"/>
        </w:rPr>
        <w:t>fl</w:t>
      </w:r>
      <w:proofErr w:type="spellEnd"/>
      <w:r w:rsidRPr="009D41B6">
        <w:rPr>
          <w:rFonts w:ascii="Tahoma" w:hAnsi="Tahoma" w:cs="Tahoma"/>
          <w:bCs/>
          <w:sz w:val="22"/>
          <w:szCs w:val="22"/>
        </w:rPr>
        <w:t>. 51).</w:t>
      </w:r>
    </w:p>
    <w:p w:rsidR="009D41B6" w:rsidRPr="009D41B6" w:rsidRDefault="009D41B6" w:rsidP="009D41B6">
      <w:pPr>
        <w:pStyle w:val="Paragraphedeliste"/>
        <w:spacing w:line="276" w:lineRule="auto"/>
        <w:rPr>
          <w:rFonts w:ascii="Tahoma" w:hAnsi="Tahoma" w:cs="Tahoma"/>
          <w:bCs/>
          <w:sz w:val="22"/>
          <w:szCs w:val="22"/>
        </w:rPr>
      </w:pPr>
    </w:p>
    <w:p w:rsidR="009D41B6" w:rsidRPr="009D41B6" w:rsidRDefault="009D41B6" w:rsidP="009D41B6">
      <w:pPr>
        <w:pStyle w:val="Corpsdetexte"/>
        <w:spacing w:line="276" w:lineRule="auto"/>
        <w:ind w:right="51" w:firstLine="708"/>
        <w:rPr>
          <w:rFonts w:ascii="Tahoma" w:hAnsi="Tahoma" w:cs="Tahoma"/>
          <w:bCs/>
          <w:sz w:val="22"/>
          <w:szCs w:val="22"/>
        </w:rPr>
      </w:pPr>
      <w:r w:rsidRPr="009D41B6">
        <w:rPr>
          <w:rFonts w:ascii="Tahoma" w:hAnsi="Tahoma" w:cs="Tahoma"/>
          <w:bCs/>
          <w:sz w:val="22"/>
          <w:szCs w:val="22"/>
        </w:rPr>
        <w:t>Así las cosas</w:t>
      </w:r>
      <w:r>
        <w:rPr>
          <w:rFonts w:ascii="Tahoma" w:hAnsi="Tahoma" w:cs="Tahoma"/>
          <w:bCs/>
          <w:sz w:val="22"/>
          <w:szCs w:val="22"/>
        </w:rPr>
        <w:t xml:space="preserve">, </w:t>
      </w:r>
      <w:r w:rsidRPr="009D41B6">
        <w:rPr>
          <w:rFonts w:ascii="Tahoma" w:hAnsi="Tahoma" w:cs="Tahoma"/>
          <w:bCs/>
          <w:sz w:val="22"/>
          <w:szCs w:val="22"/>
        </w:rPr>
        <w:t>se deb</w:t>
      </w:r>
      <w:r>
        <w:rPr>
          <w:rFonts w:ascii="Tahoma" w:hAnsi="Tahoma" w:cs="Tahoma"/>
          <w:bCs/>
          <w:sz w:val="22"/>
          <w:szCs w:val="22"/>
        </w:rPr>
        <w:t>ía</w:t>
      </w:r>
      <w:r w:rsidRPr="009D41B6">
        <w:rPr>
          <w:rFonts w:ascii="Tahoma" w:hAnsi="Tahoma" w:cs="Tahoma"/>
          <w:bCs/>
          <w:sz w:val="22"/>
          <w:szCs w:val="22"/>
        </w:rPr>
        <w:t xml:space="preserve"> establecer si e</w:t>
      </w:r>
      <w:r>
        <w:rPr>
          <w:rFonts w:ascii="Tahoma" w:hAnsi="Tahoma" w:cs="Tahoma"/>
          <w:bCs/>
          <w:sz w:val="22"/>
          <w:szCs w:val="22"/>
        </w:rPr>
        <w:t>ra</w:t>
      </w:r>
      <w:r w:rsidRPr="009D41B6">
        <w:rPr>
          <w:rFonts w:ascii="Tahoma" w:hAnsi="Tahoma" w:cs="Tahoma"/>
          <w:bCs/>
          <w:sz w:val="22"/>
          <w:szCs w:val="22"/>
        </w:rPr>
        <w:t xml:space="preserve"> posible conmutar los periodos cotizados por la aludida trabajadora a través de la E.S.E. Hospital Universitario San Jorge, a efectos de conceder la pensión de vejez establecida en el Acuerdo 049 de 1990. Para ello, es necesario precisar que la Corte Constitucional en la Sentencia SU-769 de 2014, con ponencia del Magistrado Jorge Iván Palacio </w:t>
      </w:r>
      <w:proofErr w:type="spellStart"/>
      <w:r w:rsidRPr="009D41B6">
        <w:rPr>
          <w:rFonts w:ascii="Tahoma" w:hAnsi="Tahoma" w:cs="Tahoma"/>
          <w:bCs/>
          <w:sz w:val="22"/>
          <w:szCs w:val="22"/>
        </w:rPr>
        <w:t>Palacio</w:t>
      </w:r>
      <w:proofErr w:type="spellEnd"/>
      <w:r w:rsidRPr="009D41B6">
        <w:rPr>
          <w:rFonts w:ascii="Tahoma" w:hAnsi="Tahoma" w:cs="Tahoma"/>
          <w:bCs/>
          <w:sz w:val="22"/>
          <w:szCs w:val="22"/>
        </w:rPr>
        <w:t xml:space="preserve">, precisó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w:t>
      </w:r>
      <w:r w:rsidRPr="009D41B6">
        <w:rPr>
          <w:rFonts w:ascii="Tahoma" w:hAnsi="Tahoma" w:cs="Tahoma"/>
          <w:bCs/>
          <w:sz w:val="22"/>
          <w:szCs w:val="22"/>
        </w:rPr>
        <w:lastRenderedPageBreak/>
        <w:t>Sustantivo del Trabajo, y que esta Corporación acogió por mayoría en sentencia del 30 de octubre de 2015, proferida dentro del proceso radicado con el número 2013-00483, con ponencia de quien aquí cumple igual encargo.</w:t>
      </w:r>
    </w:p>
    <w:p w:rsidR="009D41B6" w:rsidRPr="009D41B6" w:rsidRDefault="009D41B6" w:rsidP="009D41B6">
      <w:pPr>
        <w:pStyle w:val="Corpsdetexte"/>
        <w:spacing w:line="276" w:lineRule="auto"/>
        <w:ind w:right="51" w:firstLine="708"/>
        <w:rPr>
          <w:rFonts w:ascii="Tahoma" w:hAnsi="Tahoma" w:cs="Tahoma"/>
          <w:bCs/>
          <w:sz w:val="22"/>
          <w:szCs w:val="22"/>
        </w:rPr>
      </w:pPr>
    </w:p>
    <w:p w:rsidR="009D41B6" w:rsidRPr="009D41B6" w:rsidRDefault="009D41B6" w:rsidP="009D41B6">
      <w:pPr>
        <w:pStyle w:val="Corpsdetexte"/>
        <w:spacing w:line="276" w:lineRule="auto"/>
        <w:ind w:right="51" w:firstLine="708"/>
        <w:rPr>
          <w:rFonts w:ascii="Tahoma" w:hAnsi="Tahoma" w:cs="Tahoma"/>
          <w:bCs/>
          <w:sz w:val="22"/>
          <w:szCs w:val="22"/>
        </w:rPr>
      </w:pPr>
      <w:r w:rsidRPr="009D41B6">
        <w:rPr>
          <w:rFonts w:ascii="Tahoma" w:hAnsi="Tahoma" w:cs="Tahoma"/>
          <w:bCs/>
          <w:sz w:val="22"/>
          <w:szCs w:val="22"/>
        </w:rPr>
        <w:t>Bajo esa óptica, tal como se resaltara previamente</w:t>
      </w:r>
      <w:r>
        <w:rPr>
          <w:rFonts w:ascii="Tahoma" w:hAnsi="Tahoma" w:cs="Tahoma"/>
          <w:bCs/>
          <w:sz w:val="22"/>
          <w:szCs w:val="22"/>
        </w:rPr>
        <w:t xml:space="preserve">, la suscrita Magistrada </w:t>
      </w:r>
      <w:r w:rsidRPr="009D41B6">
        <w:rPr>
          <w:rFonts w:ascii="Tahoma" w:hAnsi="Tahoma" w:cs="Tahoma"/>
          <w:bCs/>
          <w:sz w:val="22"/>
          <w:szCs w:val="22"/>
        </w:rPr>
        <w:t xml:space="preserve">observa que entre el 30 de enero de 1975 y el 30 de enero de 1995 la promotora del litigio cuenta con un total de 534,7 semanas, lo que la hace acreedora de la pensión de vejez consagrada en el Acuerdo 049 de 1990, en cuantía del salario mínimo y por catorce mesadas anuales. No obstante lo anterior, </w:t>
      </w:r>
      <w:r>
        <w:rPr>
          <w:rFonts w:ascii="Tahoma" w:hAnsi="Tahoma" w:cs="Tahoma"/>
          <w:bCs/>
          <w:sz w:val="22"/>
          <w:szCs w:val="22"/>
        </w:rPr>
        <w:t>es claro que</w:t>
      </w:r>
      <w:r w:rsidRPr="009D41B6">
        <w:rPr>
          <w:rFonts w:ascii="Tahoma" w:hAnsi="Tahoma" w:cs="Tahoma"/>
          <w:bCs/>
          <w:sz w:val="22"/>
          <w:szCs w:val="22"/>
        </w:rPr>
        <w:t xml:space="preserve"> la negativa de la entidad demandada obedeció a la aplicación que de dicha normativa se venía dando al interior de la misma e incluso jurisprudencialmente, pues recuérdese que el aludido acuerdo emanó del Consejo Nacional de los Seguros Sociales Obligatorios y, en esa medida, por mucho tiempo se consideró que únicamente aplicaba para quienes tenían la totalidad de cotizaciones en el I.S.S., hoy Colpensiones. </w:t>
      </w:r>
    </w:p>
    <w:p w:rsidR="009D41B6" w:rsidRPr="009D41B6" w:rsidRDefault="009D41B6" w:rsidP="009D41B6">
      <w:pPr>
        <w:pStyle w:val="Corpsdetexte"/>
        <w:spacing w:line="276" w:lineRule="auto"/>
        <w:ind w:right="51" w:firstLine="708"/>
        <w:rPr>
          <w:rFonts w:ascii="Tahoma" w:hAnsi="Tahoma" w:cs="Tahoma"/>
          <w:bCs/>
          <w:sz w:val="22"/>
          <w:szCs w:val="22"/>
        </w:rPr>
      </w:pPr>
    </w:p>
    <w:p w:rsidR="009D41B6" w:rsidRPr="009D41B6" w:rsidRDefault="009D41B6" w:rsidP="009D41B6">
      <w:pPr>
        <w:pStyle w:val="Corpsdetexte"/>
        <w:spacing w:line="276" w:lineRule="auto"/>
        <w:ind w:right="51" w:firstLine="708"/>
        <w:rPr>
          <w:rFonts w:ascii="Tahoma" w:hAnsi="Tahoma" w:cs="Tahoma"/>
          <w:bCs/>
          <w:sz w:val="22"/>
          <w:szCs w:val="22"/>
        </w:rPr>
      </w:pPr>
      <w:r w:rsidRPr="009D41B6">
        <w:rPr>
          <w:rFonts w:ascii="Tahoma" w:hAnsi="Tahoma" w:cs="Tahoma"/>
          <w:bCs/>
          <w:sz w:val="22"/>
          <w:szCs w:val="22"/>
        </w:rPr>
        <w:t xml:space="preserve">Ahora bien, al concederse el derecho a la gracia pensional reclamada en virtud de una interpretación jurisprudencial favorable, se </w:t>
      </w:r>
      <w:r>
        <w:rPr>
          <w:rFonts w:ascii="Tahoma" w:hAnsi="Tahoma" w:cs="Tahoma"/>
          <w:bCs/>
          <w:sz w:val="22"/>
          <w:szCs w:val="22"/>
        </w:rPr>
        <w:t xml:space="preserve">debió </w:t>
      </w:r>
      <w:r w:rsidRPr="009D41B6">
        <w:rPr>
          <w:rFonts w:ascii="Tahoma" w:hAnsi="Tahoma" w:cs="Tahoma"/>
          <w:bCs/>
          <w:sz w:val="22"/>
          <w:szCs w:val="22"/>
        </w:rPr>
        <w:t xml:space="preserve">ordenar, tal como se hiciera en sentencia del 24 de octubre de 2016, dentro del proceso radicado con el número 2014-00453 y con ponencia de quien aquí cumple igual encargo </w:t>
      </w:r>
      <w:r w:rsidRPr="009D41B6">
        <w:rPr>
          <w:rFonts w:ascii="Tahoma" w:hAnsi="Tahoma" w:cs="Tahoma"/>
          <w:bCs/>
          <w:i/>
          <w:sz w:val="22"/>
          <w:szCs w:val="22"/>
        </w:rPr>
        <w:t>–la cual recogió cualquier decisión que la Sala mayoritaria hubiera tomado en       contrario-</w:t>
      </w:r>
      <w:r w:rsidRPr="009D41B6">
        <w:rPr>
          <w:rFonts w:ascii="Tahoma" w:hAnsi="Tahoma" w:cs="Tahoma"/>
          <w:bCs/>
          <w:sz w:val="22"/>
          <w:szCs w:val="22"/>
        </w:rPr>
        <w:t>, el reconocimiento de la prestación a partir de la ejecutoria de la decisión, exonerándose a la entidad demandada del pago de las costas procesales.</w:t>
      </w:r>
    </w:p>
    <w:p w:rsidR="009D41B6" w:rsidRPr="009D41B6" w:rsidRDefault="009D41B6" w:rsidP="009D41B6">
      <w:pPr>
        <w:tabs>
          <w:tab w:val="left" w:pos="748"/>
        </w:tabs>
        <w:spacing w:line="276" w:lineRule="auto"/>
        <w:jc w:val="both"/>
        <w:rPr>
          <w:rFonts w:ascii="Tahoma" w:hAnsi="Tahoma" w:cs="Tahoma"/>
          <w:sz w:val="22"/>
          <w:szCs w:val="22"/>
          <w:lang w:val="es-CO"/>
        </w:rPr>
      </w:pPr>
    </w:p>
    <w:p w:rsidR="009D41B6" w:rsidRPr="009D41B6" w:rsidRDefault="009D41B6" w:rsidP="009D41B6">
      <w:pPr>
        <w:widowControl w:val="0"/>
        <w:autoSpaceDE w:val="0"/>
        <w:autoSpaceDN w:val="0"/>
        <w:adjustRightInd w:val="0"/>
        <w:spacing w:line="276" w:lineRule="auto"/>
        <w:ind w:firstLine="708"/>
        <w:jc w:val="both"/>
        <w:rPr>
          <w:rFonts w:ascii="Tahoma" w:hAnsi="Tahoma" w:cs="Tahoma"/>
          <w:sz w:val="22"/>
          <w:szCs w:val="22"/>
        </w:rPr>
      </w:pPr>
      <w:r w:rsidRPr="009D41B6">
        <w:rPr>
          <w:rFonts w:ascii="Tahoma" w:hAnsi="Tahoma" w:cs="Tahoma"/>
          <w:sz w:val="22"/>
          <w:szCs w:val="22"/>
        </w:rPr>
        <w:t>Igualmente, es del caso precisar que como ni el ISS</w:t>
      </w:r>
      <w:r>
        <w:rPr>
          <w:rFonts w:ascii="Tahoma" w:hAnsi="Tahoma" w:cs="Tahoma"/>
          <w:sz w:val="22"/>
          <w:szCs w:val="22"/>
        </w:rPr>
        <w:t xml:space="preserve">  </w:t>
      </w:r>
      <w:r w:rsidRPr="009D41B6">
        <w:rPr>
          <w:rFonts w:ascii="Tahoma" w:hAnsi="Tahoma" w:cs="Tahoma"/>
          <w:sz w:val="22"/>
          <w:szCs w:val="22"/>
        </w:rPr>
        <w:t>ni Colpensiones tiene</w:t>
      </w:r>
      <w:r>
        <w:rPr>
          <w:rFonts w:ascii="Tahoma" w:hAnsi="Tahoma" w:cs="Tahoma"/>
          <w:sz w:val="22"/>
          <w:szCs w:val="22"/>
        </w:rPr>
        <w:t>n</w:t>
      </w:r>
      <w:r w:rsidRPr="009D41B6">
        <w:rPr>
          <w:rFonts w:ascii="Tahoma" w:hAnsi="Tahoma" w:cs="Tahoma"/>
          <w:sz w:val="22"/>
          <w:szCs w:val="22"/>
        </w:rPr>
        <w:t xml:space="preserve"> en su haber el bono pensional por concepto de los tiempos servidos a la E.S.E. </w:t>
      </w:r>
      <w:r w:rsidRPr="009D41B6">
        <w:rPr>
          <w:rFonts w:ascii="Tahoma" w:hAnsi="Tahoma" w:cs="Tahoma"/>
          <w:bCs/>
          <w:sz w:val="22"/>
          <w:szCs w:val="22"/>
        </w:rPr>
        <w:t>Hospital Universitario San Jorge</w:t>
      </w:r>
      <w:r w:rsidRPr="009D41B6">
        <w:rPr>
          <w:rFonts w:ascii="Tahoma" w:hAnsi="Tahoma" w:cs="Tahoma"/>
          <w:sz w:val="22"/>
          <w:szCs w:val="22"/>
        </w:rPr>
        <w:t>, Colpensiones tendr</w:t>
      </w:r>
      <w:r>
        <w:rPr>
          <w:rFonts w:ascii="Tahoma" w:hAnsi="Tahoma" w:cs="Tahoma"/>
          <w:sz w:val="22"/>
          <w:szCs w:val="22"/>
        </w:rPr>
        <w:t xml:space="preserve">ía </w:t>
      </w:r>
      <w:r w:rsidRPr="009D41B6">
        <w:rPr>
          <w:rFonts w:ascii="Tahoma" w:hAnsi="Tahoma" w:cs="Tahoma"/>
          <w:sz w:val="22"/>
          <w:szCs w:val="22"/>
        </w:rPr>
        <w:t>que tramitar ante esas entidades los bonos pensionales que correspondan. Lo anterior por cuanto es procedente el cómputo del tiempo de servicios como servidor público remunerado, siempre y cuando el empleador, traslade, con base en el cálculo actuarial efectuado por la AFP, el bono pensional que corresponda.</w:t>
      </w:r>
      <w:r>
        <w:rPr>
          <w:rFonts w:ascii="Tahoma" w:hAnsi="Tahoma" w:cs="Tahoma"/>
          <w:sz w:val="22"/>
          <w:szCs w:val="22"/>
        </w:rPr>
        <w:t xml:space="preserve"> </w:t>
      </w:r>
    </w:p>
    <w:p w:rsidR="009D41B6" w:rsidRPr="009D41B6" w:rsidRDefault="009D41B6" w:rsidP="009D41B6">
      <w:pPr>
        <w:pStyle w:val="Sansinterligne"/>
        <w:spacing w:line="276" w:lineRule="auto"/>
        <w:rPr>
          <w:rFonts w:ascii="Tahoma" w:hAnsi="Tahoma" w:cs="Tahoma"/>
          <w:lang w:val="es-ES"/>
        </w:rPr>
      </w:pPr>
    </w:p>
    <w:p w:rsidR="009D41B6" w:rsidRPr="009D41B6" w:rsidRDefault="009D41B6" w:rsidP="009D41B6">
      <w:pPr>
        <w:spacing w:line="276" w:lineRule="auto"/>
        <w:jc w:val="both"/>
        <w:rPr>
          <w:rFonts w:ascii="Tahoma" w:hAnsi="Tahoma" w:cs="Tahoma"/>
          <w:color w:val="000000"/>
          <w:sz w:val="22"/>
          <w:szCs w:val="22"/>
        </w:rPr>
      </w:pPr>
      <w:r w:rsidRPr="009D41B6">
        <w:rPr>
          <w:rFonts w:ascii="Tahoma" w:hAnsi="Tahoma" w:cs="Tahoma"/>
          <w:sz w:val="22"/>
          <w:szCs w:val="22"/>
        </w:rPr>
        <w:tab/>
        <w:t xml:space="preserve">Como corolario de lo hasta aquí discurrido, se </w:t>
      </w:r>
      <w:r>
        <w:rPr>
          <w:rFonts w:ascii="Tahoma" w:hAnsi="Tahoma" w:cs="Tahoma"/>
          <w:sz w:val="22"/>
          <w:szCs w:val="22"/>
        </w:rPr>
        <w:t xml:space="preserve">debió confirmar la decisión por medio de la cual se ordenó el reconocimiento de la pensión de vejez a la promotora del litigio y, a su vez, </w:t>
      </w:r>
      <w:r w:rsidRPr="009D41B6">
        <w:rPr>
          <w:rFonts w:ascii="Tahoma" w:hAnsi="Tahoma" w:cs="Tahoma"/>
          <w:sz w:val="22"/>
          <w:szCs w:val="22"/>
        </w:rPr>
        <w:t xml:space="preserve">modificar los ordinales segundo a cuarto de </w:t>
      </w:r>
      <w:r w:rsidRPr="009D41B6">
        <w:rPr>
          <w:rFonts w:ascii="Tahoma" w:hAnsi="Tahoma" w:cs="Tahoma"/>
          <w:color w:val="000000"/>
          <w:sz w:val="22"/>
          <w:szCs w:val="22"/>
        </w:rPr>
        <w:t>la sentencia de primer grado, en el sentido de que la pensión de vejez se reconocer</w:t>
      </w:r>
      <w:r>
        <w:rPr>
          <w:rFonts w:ascii="Tahoma" w:hAnsi="Tahoma" w:cs="Tahoma"/>
          <w:color w:val="000000"/>
          <w:sz w:val="22"/>
          <w:szCs w:val="22"/>
        </w:rPr>
        <w:t xml:space="preserve">ía </w:t>
      </w:r>
      <w:r w:rsidRPr="009D41B6">
        <w:rPr>
          <w:rFonts w:ascii="Tahoma" w:hAnsi="Tahoma" w:cs="Tahoma"/>
          <w:color w:val="000000"/>
          <w:sz w:val="22"/>
          <w:szCs w:val="22"/>
        </w:rPr>
        <w:t xml:space="preserve">a partir de la ejecutoria de la </w:t>
      </w:r>
      <w:r>
        <w:rPr>
          <w:rFonts w:ascii="Tahoma" w:hAnsi="Tahoma" w:cs="Tahoma"/>
          <w:color w:val="000000"/>
          <w:sz w:val="22"/>
          <w:szCs w:val="22"/>
        </w:rPr>
        <w:t>sentencia</w:t>
      </w:r>
      <w:r w:rsidRPr="009D41B6">
        <w:rPr>
          <w:rFonts w:ascii="Tahoma" w:hAnsi="Tahoma" w:cs="Tahoma"/>
          <w:color w:val="000000"/>
          <w:sz w:val="22"/>
          <w:szCs w:val="22"/>
        </w:rPr>
        <w:t xml:space="preserve">, </w:t>
      </w:r>
      <w:r>
        <w:rPr>
          <w:rFonts w:ascii="Tahoma" w:hAnsi="Tahoma" w:cs="Tahoma"/>
          <w:color w:val="000000"/>
          <w:sz w:val="22"/>
          <w:szCs w:val="22"/>
        </w:rPr>
        <w:t xml:space="preserve">otorgándose </w:t>
      </w:r>
      <w:r w:rsidRPr="009D41B6">
        <w:rPr>
          <w:rFonts w:ascii="Tahoma" w:hAnsi="Tahoma" w:cs="Tahoma"/>
          <w:sz w:val="22"/>
          <w:szCs w:val="22"/>
        </w:rPr>
        <w:t xml:space="preserve">a </w:t>
      </w:r>
      <w:r w:rsidRPr="009D41B6">
        <w:rPr>
          <w:rFonts w:ascii="Tahoma" w:hAnsi="Tahoma" w:cs="Tahoma"/>
          <w:color w:val="000000"/>
          <w:sz w:val="22"/>
          <w:szCs w:val="22"/>
        </w:rPr>
        <w:t xml:space="preserve">Colpensiones el término de un mes  para que gestione  la  expedición del  bono pensional correspondiente a todo el tiempo que la actora </w:t>
      </w:r>
      <w:r w:rsidRPr="009D41B6">
        <w:rPr>
          <w:rFonts w:ascii="Tahoma" w:hAnsi="Tahoma" w:cs="Tahoma"/>
          <w:sz w:val="22"/>
          <w:szCs w:val="22"/>
        </w:rPr>
        <w:t xml:space="preserve">laboró al servicio de la E.S.E. </w:t>
      </w:r>
      <w:r w:rsidRPr="009D41B6">
        <w:rPr>
          <w:rFonts w:ascii="Tahoma" w:hAnsi="Tahoma" w:cs="Tahoma"/>
          <w:bCs/>
          <w:sz w:val="22"/>
          <w:szCs w:val="22"/>
        </w:rPr>
        <w:t>Hospital Universitario San Jorge</w:t>
      </w:r>
      <w:r w:rsidRPr="009D41B6">
        <w:rPr>
          <w:rFonts w:ascii="Tahoma" w:hAnsi="Tahoma" w:cs="Tahoma"/>
          <w:color w:val="000000"/>
          <w:sz w:val="22"/>
          <w:szCs w:val="22"/>
        </w:rPr>
        <w:t xml:space="preserve">; poniendo en conocimiento de dicha entidad la liquidación para que esta transfiera la suma correspondiente. </w:t>
      </w:r>
    </w:p>
    <w:p w:rsidR="00095469" w:rsidRPr="009D41B6" w:rsidRDefault="00095469" w:rsidP="00095469">
      <w:pPr>
        <w:ind w:firstLine="708"/>
        <w:jc w:val="both"/>
        <w:rPr>
          <w:rFonts w:ascii="Tahoma" w:hAnsi="Tahoma" w:cs="Tahoma"/>
          <w:sz w:val="22"/>
          <w:szCs w:val="22"/>
        </w:rPr>
      </w:pPr>
    </w:p>
    <w:p w:rsidR="00095469" w:rsidRPr="009D41B6" w:rsidRDefault="00095469" w:rsidP="009D41B6">
      <w:pPr>
        <w:jc w:val="both"/>
        <w:rPr>
          <w:rFonts w:ascii="Tahoma" w:hAnsi="Tahoma" w:cs="Tahoma"/>
          <w:sz w:val="22"/>
          <w:szCs w:val="22"/>
        </w:rPr>
      </w:pPr>
      <w:r w:rsidRPr="009D41B6">
        <w:rPr>
          <w:rFonts w:ascii="Tahoma" w:hAnsi="Tahoma" w:cs="Tahoma"/>
          <w:spacing w:val="-2"/>
          <w:sz w:val="22"/>
          <w:szCs w:val="22"/>
        </w:rPr>
        <w:tab/>
      </w:r>
    </w:p>
    <w:p w:rsidR="00095469" w:rsidRPr="009D41B6" w:rsidRDefault="00095469" w:rsidP="00095469">
      <w:pPr>
        <w:pStyle w:val="Corpsdetexte"/>
        <w:rPr>
          <w:rFonts w:ascii="Tahoma" w:hAnsi="Tahoma" w:cs="Tahoma"/>
          <w:sz w:val="22"/>
          <w:szCs w:val="22"/>
          <w:lang w:val="es-ES"/>
        </w:rPr>
      </w:pPr>
      <w:r w:rsidRPr="009D41B6">
        <w:rPr>
          <w:rFonts w:ascii="Tahoma" w:hAnsi="Tahoma" w:cs="Tahoma"/>
          <w:sz w:val="22"/>
          <w:szCs w:val="22"/>
          <w:lang w:val="es-ES"/>
        </w:rPr>
        <w:tab/>
        <w:t>En estos términos sustento mi salvamento de voto.</w:t>
      </w:r>
    </w:p>
    <w:p w:rsidR="00095469" w:rsidRPr="009D41B6" w:rsidRDefault="00095469" w:rsidP="00095469">
      <w:pPr>
        <w:pStyle w:val="Corpsdetexte"/>
        <w:autoSpaceDE/>
        <w:autoSpaceDN/>
        <w:adjustRightInd/>
        <w:rPr>
          <w:rFonts w:ascii="Tahoma" w:hAnsi="Tahoma" w:cs="Tahoma"/>
          <w:sz w:val="22"/>
          <w:szCs w:val="22"/>
          <w:lang w:val="es-ES"/>
        </w:rPr>
      </w:pPr>
    </w:p>
    <w:p w:rsidR="00095469" w:rsidRPr="009D41B6" w:rsidRDefault="00095469" w:rsidP="00095469">
      <w:pPr>
        <w:widowControl w:val="0"/>
        <w:autoSpaceDE w:val="0"/>
        <w:autoSpaceDN w:val="0"/>
        <w:adjustRightInd w:val="0"/>
        <w:jc w:val="both"/>
        <w:rPr>
          <w:rFonts w:ascii="Tahoma" w:hAnsi="Tahoma" w:cs="Tahoma"/>
          <w:sz w:val="22"/>
          <w:szCs w:val="22"/>
        </w:rPr>
      </w:pPr>
    </w:p>
    <w:p w:rsidR="008E13A2" w:rsidRPr="009D41B6" w:rsidRDefault="008E13A2" w:rsidP="00095469">
      <w:pPr>
        <w:widowControl w:val="0"/>
        <w:autoSpaceDE w:val="0"/>
        <w:autoSpaceDN w:val="0"/>
        <w:adjustRightInd w:val="0"/>
        <w:jc w:val="both"/>
        <w:rPr>
          <w:rFonts w:ascii="Tahoma" w:hAnsi="Tahoma" w:cs="Tahoma"/>
          <w:sz w:val="22"/>
          <w:szCs w:val="22"/>
        </w:rPr>
      </w:pPr>
    </w:p>
    <w:p w:rsidR="008E13A2" w:rsidRPr="009D41B6" w:rsidRDefault="008E13A2" w:rsidP="00095469">
      <w:pPr>
        <w:widowControl w:val="0"/>
        <w:autoSpaceDE w:val="0"/>
        <w:autoSpaceDN w:val="0"/>
        <w:adjustRightInd w:val="0"/>
        <w:jc w:val="both"/>
        <w:rPr>
          <w:rFonts w:ascii="Tahoma" w:hAnsi="Tahoma" w:cs="Tahoma"/>
          <w:sz w:val="22"/>
          <w:szCs w:val="22"/>
        </w:rPr>
      </w:pPr>
    </w:p>
    <w:p w:rsidR="008E13A2" w:rsidRPr="009D41B6" w:rsidRDefault="008E13A2" w:rsidP="00095469">
      <w:pPr>
        <w:widowControl w:val="0"/>
        <w:autoSpaceDE w:val="0"/>
        <w:autoSpaceDN w:val="0"/>
        <w:adjustRightInd w:val="0"/>
        <w:jc w:val="both"/>
        <w:rPr>
          <w:rFonts w:ascii="Tahoma" w:hAnsi="Tahoma" w:cs="Tahoma"/>
          <w:sz w:val="22"/>
          <w:szCs w:val="22"/>
        </w:rPr>
      </w:pPr>
    </w:p>
    <w:p w:rsidR="00095469" w:rsidRPr="009D41B6" w:rsidRDefault="00095469" w:rsidP="00095469">
      <w:pPr>
        <w:widowControl w:val="0"/>
        <w:autoSpaceDE w:val="0"/>
        <w:autoSpaceDN w:val="0"/>
        <w:adjustRightInd w:val="0"/>
        <w:jc w:val="both"/>
        <w:rPr>
          <w:rFonts w:ascii="Tahoma" w:hAnsi="Tahoma" w:cs="Tahoma"/>
          <w:sz w:val="22"/>
          <w:szCs w:val="22"/>
        </w:rPr>
      </w:pPr>
    </w:p>
    <w:p w:rsidR="00095469" w:rsidRPr="009D41B6" w:rsidRDefault="00095469" w:rsidP="00095469">
      <w:pPr>
        <w:widowControl w:val="0"/>
        <w:autoSpaceDE w:val="0"/>
        <w:autoSpaceDN w:val="0"/>
        <w:adjustRightInd w:val="0"/>
        <w:jc w:val="both"/>
        <w:rPr>
          <w:rFonts w:ascii="Tahoma" w:hAnsi="Tahoma" w:cs="Tahoma"/>
          <w:sz w:val="22"/>
          <w:szCs w:val="22"/>
        </w:rPr>
      </w:pPr>
    </w:p>
    <w:p w:rsidR="00095469" w:rsidRPr="009D41B6" w:rsidRDefault="00095469" w:rsidP="00095469">
      <w:pPr>
        <w:pStyle w:val="Titre3"/>
        <w:spacing w:line="240" w:lineRule="auto"/>
        <w:rPr>
          <w:rFonts w:ascii="Tahoma" w:hAnsi="Tahoma" w:cs="Tahoma"/>
          <w:sz w:val="22"/>
          <w:szCs w:val="22"/>
        </w:rPr>
      </w:pPr>
      <w:r w:rsidRPr="009D41B6">
        <w:rPr>
          <w:rFonts w:ascii="Tahoma" w:hAnsi="Tahoma" w:cs="Tahoma"/>
          <w:sz w:val="22"/>
          <w:szCs w:val="22"/>
        </w:rPr>
        <w:t>ANA LUCÍA CAICEDO CALDERÓN</w:t>
      </w:r>
    </w:p>
    <w:p w:rsidR="00095469" w:rsidRPr="00095469" w:rsidRDefault="00095469" w:rsidP="00095469">
      <w:pPr>
        <w:pStyle w:val="Titre3"/>
        <w:spacing w:line="276" w:lineRule="auto"/>
        <w:rPr>
          <w:rFonts w:ascii="Tahoma" w:hAnsi="Tahoma" w:cs="Tahoma"/>
          <w:sz w:val="20"/>
          <w:szCs w:val="20"/>
        </w:rPr>
      </w:pPr>
    </w:p>
    <w:p w:rsidR="009F69A2" w:rsidRPr="00095469" w:rsidRDefault="009F69A2"/>
    <w:sectPr w:rsidR="009F69A2" w:rsidRPr="00095469" w:rsidSect="005F01A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98" w:rsidRDefault="002C1B98">
      <w:r>
        <w:separator/>
      </w:r>
    </w:p>
  </w:endnote>
  <w:endnote w:type="continuationSeparator" w:id="0">
    <w:p w:rsidR="002C1B98" w:rsidRDefault="002C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2C1B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095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32E10">
      <w:rPr>
        <w:rStyle w:val="Numrodepage"/>
        <w:noProof/>
      </w:rPr>
      <w:t>2</w:t>
    </w:r>
    <w:r>
      <w:rPr>
        <w:rStyle w:val="Numrodepage"/>
      </w:rPr>
      <w:fldChar w:fldCharType="end"/>
    </w:r>
  </w:p>
  <w:p w:rsidR="00F0306B" w:rsidRDefault="002C1B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98" w:rsidRDefault="002C1B98">
      <w:r>
        <w:separator/>
      </w:r>
    </w:p>
  </w:footnote>
  <w:footnote w:type="continuationSeparator" w:id="0">
    <w:p w:rsidR="002C1B98" w:rsidRDefault="002C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9"/>
    <w:rsid w:val="00032E10"/>
    <w:rsid w:val="00056FC6"/>
    <w:rsid w:val="00095469"/>
    <w:rsid w:val="00135F8E"/>
    <w:rsid w:val="001C2D0F"/>
    <w:rsid w:val="00242E3A"/>
    <w:rsid w:val="002C1B98"/>
    <w:rsid w:val="00525C7B"/>
    <w:rsid w:val="005F01A6"/>
    <w:rsid w:val="007D68A4"/>
    <w:rsid w:val="008579C3"/>
    <w:rsid w:val="008E13A2"/>
    <w:rsid w:val="009D41B6"/>
    <w:rsid w:val="009F69A2"/>
    <w:rsid w:val="00A75EEB"/>
    <w:rsid w:val="00AA4AA6"/>
    <w:rsid w:val="00BB7A4D"/>
    <w:rsid w:val="00E94903"/>
    <w:rsid w:val="00F053E2"/>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link w:val="SansinterligneCar"/>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 w:type="character" w:customStyle="1" w:styleId="SansinterligneCar">
    <w:name w:val="Sans interligne Car"/>
    <w:link w:val="Sansinterligne"/>
    <w:uiPriority w:val="1"/>
    <w:locked/>
    <w:rsid w:val="009D41B6"/>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095469"/>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69"/>
    <w:rPr>
      <w:rFonts w:ascii="Arial" w:eastAsia="Times New Roman" w:hAnsi="Arial" w:cs="Arial"/>
      <w:b/>
      <w:sz w:val="28"/>
      <w:szCs w:val="24"/>
      <w:lang w:eastAsia="es-ES"/>
    </w:rPr>
  </w:style>
  <w:style w:type="character" w:customStyle="1" w:styleId="Titre3Car">
    <w:name w:val="Titre 3 Car"/>
    <w:basedOn w:val="Policepardfaut"/>
    <w:link w:val="Titre3"/>
    <w:rsid w:val="00095469"/>
    <w:rPr>
      <w:rFonts w:ascii="Arial" w:eastAsia="Times New Roman" w:hAnsi="Arial" w:cs="Arial"/>
      <w:b/>
      <w:sz w:val="24"/>
      <w:szCs w:val="24"/>
      <w:lang w:eastAsia="es-ES"/>
    </w:rPr>
  </w:style>
  <w:style w:type="paragraph" w:styleId="Corpsdetexte">
    <w:name w:val="Body Text"/>
    <w:basedOn w:val="Normal"/>
    <w:link w:val="CorpsdetexteCar"/>
    <w:rsid w:val="00095469"/>
    <w:pPr>
      <w:autoSpaceDE w:val="0"/>
      <w:autoSpaceDN w:val="0"/>
      <w:adjustRightInd w:val="0"/>
      <w:jc w:val="both"/>
    </w:pPr>
    <w:rPr>
      <w:lang w:val="es-CO"/>
    </w:rPr>
  </w:style>
  <w:style w:type="character" w:customStyle="1" w:styleId="CorpsdetexteCar">
    <w:name w:val="Corps de texte Car"/>
    <w:basedOn w:val="Policepardfaut"/>
    <w:link w:val="Corpsdetexte"/>
    <w:rsid w:val="00095469"/>
    <w:rPr>
      <w:rFonts w:ascii="Times New Roman" w:eastAsia="Times New Roman" w:hAnsi="Times New Roman" w:cs="Times New Roman"/>
      <w:sz w:val="24"/>
      <w:szCs w:val="24"/>
      <w:lang w:val="es-CO" w:eastAsia="es-ES"/>
    </w:rPr>
  </w:style>
  <w:style w:type="paragraph" w:styleId="Titre">
    <w:name w:val="Title"/>
    <w:basedOn w:val="Normal"/>
    <w:link w:val="TitreCar"/>
    <w:qFormat/>
    <w:rsid w:val="0009546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95469"/>
    <w:rPr>
      <w:rFonts w:ascii="Arial" w:eastAsia="Times New Roman" w:hAnsi="Arial" w:cs="Arial"/>
      <w:b/>
      <w:sz w:val="24"/>
      <w:szCs w:val="24"/>
      <w:lang w:eastAsia="es-ES"/>
    </w:rPr>
  </w:style>
  <w:style w:type="paragraph" w:styleId="Pieddepage">
    <w:name w:val="footer"/>
    <w:basedOn w:val="Normal"/>
    <w:link w:val="PieddepageCar"/>
    <w:rsid w:val="00095469"/>
    <w:pPr>
      <w:tabs>
        <w:tab w:val="center" w:pos="4419"/>
        <w:tab w:val="right" w:pos="8838"/>
      </w:tabs>
    </w:pPr>
  </w:style>
  <w:style w:type="character" w:customStyle="1" w:styleId="PieddepageCar">
    <w:name w:val="Pied de page Car"/>
    <w:basedOn w:val="Policepardfaut"/>
    <w:link w:val="Pieddepage"/>
    <w:rsid w:val="00095469"/>
    <w:rPr>
      <w:rFonts w:ascii="Times New Roman" w:eastAsia="Times New Roman" w:hAnsi="Times New Roman" w:cs="Times New Roman"/>
      <w:sz w:val="24"/>
      <w:szCs w:val="24"/>
      <w:lang w:eastAsia="es-ES"/>
    </w:rPr>
  </w:style>
  <w:style w:type="character" w:styleId="Numrodepage">
    <w:name w:val="page number"/>
    <w:basedOn w:val="Policepardfaut"/>
    <w:rsid w:val="00095469"/>
  </w:style>
  <w:style w:type="paragraph" w:styleId="Paragraphedeliste">
    <w:name w:val="List Paragraph"/>
    <w:basedOn w:val="Normal"/>
    <w:uiPriority w:val="34"/>
    <w:qFormat/>
    <w:rsid w:val="00095469"/>
    <w:pPr>
      <w:ind w:left="720"/>
      <w:contextualSpacing/>
    </w:pPr>
  </w:style>
  <w:style w:type="paragraph" w:styleId="Sansinterligne">
    <w:name w:val="No Spacing"/>
    <w:link w:val="SansinterligneCar"/>
    <w:uiPriority w:val="1"/>
    <w:qFormat/>
    <w:rsid w:val="00095469"/>
    <w:pPr>
      <w:spacing w:after="0" w:line="240" w:lineRule="auto"/>
    </w:pPr>
    <w:rPr>
      <w:lang w:val="es-ES_tradnl"/>
    </w:rPr>
  </w:style>
  <w:style w:type="paragraph" w:styleId="Textedebulles">
    <w:name w:val="Balloon Text"/>
    <w:basedOn w:val="Normal"/>
    <w:link w:val="TextedebullesCar"/>
    <w:uiPriority w:val="99"/>
    <w:semiHidden/>
    <w:unhideWhenUsed/>
    <w:rsid w:val="005F01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1A6"/>
    <w:rPr>
      <w:rFonts w:ascii="Segoe UI" w:eastAsia="Times New Roman" w:hAnsi="Segoe UI" w:cs="Segoe UI"/>
      <w:sz w:val="18"/>
      <w:szCs w:val="18"/>
      <w:lang w:eastAsia="es-ES"/>
    </w:rPr>
  </w:style>
  <w:style w:type="character" w:customStyle="1" w:styleId="SansinterligneCar">
    <w:name w:val="Sans interligne Car"/>
    <w:link w:val="Sansinterligne"/>
    <w:uiPriority w:val="1"/>
    <w:locked/>
    <w:rsid w:val="009D41B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5</cp:revision>
  <cp:lastPrinted>2017-11-28T18:49:00Z</cp:lastPrinted>
  <dcterms:created xsi:type="dcterms:W3CDTF">2017-07-31T19:21:00Z</dcterms:created>
  <dcterms:modified xsi:type="dcterms:W3CDTF">2017-12-15T17:31:00Z</dcterms:modified>
</cp:coreProperties>
</file>