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3BBB" w:rsidRPr="00EA3EFB" w:rsidRDefault="003A3BBB" w:rsidP="000E47B8">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bookmarkStart w:id="0" w:name="_GoBack"/>
      <w:bookmarkEnd w:id="0"/>
      <w:r w:rsidRPr="000E47B8">
        <w:rPr>
          <w:rFonts w:ascii="Arial Narrow" w:hAnsi="Arial Narrow" w:cs="Tahoma"/>
          <w:b w:val="0"/>
          <w:color w:val="FF0000"/>
          <w:sz w:val="18"/>
          <w:szCs w:val="18"/>
        </w:rPr>
        <w:t>El contenido total y fiel de la decisión debe ser verificado en el audio que reposa en la Secretaría</w:t>
      </w:r>
      <w:r w:rsidRPr="00EA3EFB">
        <w:rPr>
          <w:rFonts w:ascii="Arial Narrow" w:hAnsi="Arial Narrow" w:cs="Tahoma"/>
          <w:b w:val="0"/>
          <w:sz w:val="18"/>
          <w:szCs w:val="18"/>
        </w:rPr>
        <w:t>.</w:t>
      </w:r>
    </w:p>
    <w:p w:rsidR="003A3BBB" w:rsidRPr="00EA3EFB" w:rsidRDefault="003A3BBB" w:rsidP="00E41882">
      <w:pPr>
        <w:pStyle w:val="Titre"/>
        <w:spacing w:line="240" w:lineRule="auto"/>
        <w:jc w:val="both"/>
        <w:rPr>
          <w:rFonts w:ascii="Tahoma" w:hAnsi="Tahoma" w:cs="Tahoma"/>
          <w:sz w:val="18"/>
          <w:szCs w:val="18"/>
        </w:rPr>
      </w:pP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 xml:space="preserve">Sentencia </w:t>
      </w:r>
      <w:r w:rsidR="000E47B8">
        <w:rPr>
          <w:rFonts w:ascii="Tahoma" w:hAnsi="Tahoma" w:cs="Tahoma"/>
          <w:b w:val="0"/>
          <w:bCs/>
          <w:sz w:val="18"/>
          <w:szCs w:val="18"/>
        </w:rPr>
        <w:t>- 2ª instancia -</w:t>
      </w:r>
      <w:r w:rsidR="00F56DA6" w:rsidRPr="00EA3EFB">
        <w:rPr>
          <w:rFonts w:ascii="Tahoma" w:hAnsi="Tahoma" w:cs="Tahoma"/>
          <w:b w:val="0"/>
          <w:bCs/>
          <w:sz w:val="18"/>
          <w:szCs w:val="18"/>
        </w:rPr>
        <w:t xml:space="preserve"> </w:t>
      </w:r>
      <w:r w:rsidR="00013636">
        <w:rPr>
          <w:rFonts w:ascii="Tahoma" w:hAnsi="Tahoma" w:cs="Tahoma"/>
          <w:b w:val="0"/>
          <w:bCs/>
          <w:sz w:val="18"/>
          <w:szCs w:val="18"/>
        </w:rPr>
        <w:t xml:space="preserve">3 de noviembre </w:t>
      </w:r>
      <w:r w:rsidR="00184CF8" w:rsidRPr="00EA3EFB">
        <w:rPr>
          <w:rFonts w:ascii="Tahoma" w:hAnsi="Tahoma" w:cs="Tahoma"/>
          <w:b w:val="0"/>
          <w:bCs/>
          <w:sz w:val="18"/>
          <w:szCs w:val="18"/>
        </w:rPr>
        <w:t>de 2017</w:t>
      </w:r>
      <w:r w:rsidR="002129EF" w:rsidRPr="00EA3EFB">
        <w:rPr>
          <w:rFonts w:ascii="Tahoma" w:hAnsi="Tahoma" w:cs="Tahoma"/>
          <w:b w:val="0"/>
          <w:bCs/>
          <w:sz w:val="18"/>
          <w:szCs w:val="18"/>
        </w:rPr>
        <w:t xml:space="preserve"> </w:t>
      </w:r>
    </w:p>
    <w:p w:rsidR="000E47B8" w:rsidRPr="00EA3EFB" w:rsidRDefault="000E47B8" w:rsidP="000E47B8">
      <w:pPr>
        <w:pStyle w:val="Titre"/>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r>
        <w:rPr>
          <w:rFonts w:ascii="Tahoma" w:hAnsi="Tahoma" w:cs="Tahoma"/>
          <w:b w:val="0"/>
          <w:sz w:val="18"/>
          <w:szCs w:val="18"/>
        </w:rPr>
        <w:t>– Confirma decisión del a quo que accedió a las pretensiones</w:t>
      </w: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013636">
        <w:rPr>
          <w:rFonts w:ascii="Tahoma" w:hAnsi="Tahoma" w:cs="Tahoma"/>
          <w:b w:val="0"/>
          <w:sz w:val="18"/>
          <w:szCs w:val="18"/>
        </w:rPr>
        <w:t>1</w:t>
      </w:r>
      <w:r w:rsidRPr="00EA3EFB">
        <w:rPr>
          <w:rFonts w:ascii="Tahoma" w:hAnsi="Tahoma" w:cs="Tahoma"/>
          <w:b w:val="0"/>
          <w:sz w:val="18"/>
          <w:szCs w:val="18"/>
        </w:rPr>
        <w:t>-201</w:t>
      </w:r>
      <w:r w:rsidR="00013636">
        <w:rPr>
          <w:rFonts w:ascii="Tahoma" w:hAnsi="Tahoma" w:cs="Tahoma"/>
          <w:b w:val="0"/>
          <w:sz w:val="18"/>
          <w:szCs w:val="18"/>
        </w:rPr>
        <w:t>5</w:t>
      </w:r>
      <w:r w:rsidRPr="00EA3EFB">
        <w:rPr>
          <w:rFonts w:ascii="Tahoma" w:hAnsi="Tahoma" w:cs="Tahoma"/>
          <w:b w:val="0"/>
          <w:sz w:val="18"/>
          <w:szCs w:val="18"/>
        </w:rPr>
        <w:t>-00</w:t>
      </w:r>
      <w:r w:rsidR="00013636">
        <w:rPr>
          <w:rFonts w:ascii="Tahoma" w:hAnsi="Tahoma" w:cs="Tahoma"/>
          <w:b w:val="0"/>
          <w:sz w:val="18"/>
          <w:szCs w:val="18"/>
        </w:rPr>
        <w:t>270</w:t>
      </w:r>
      <w:r w:rsidRPr="00EA3EFB">
        <w:rPr>
          <w:rFonts w:ascii="Tahoma" w:hAnsi="Tahoma" w:cs="Tahoma"/>
          <w:b w:val="0"/>
          <w:sz w:val="18"/>
          <w:szCs w:val="18"/>
        </w:rPr>
        <w:t>-01</w:t>
      </w: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013636">
        <w:rPr>
          <w:rFonts w:ascii="Tahoma" w:hAnsi="Tahoma" w:cs="Tahoma"/>
          <w:b w:val="0"/>
          <w:sz w:val="18"/>
          <w:szCs w:val="18"/>
        </w:rPr>
        <w:t>Herman Alberto Posada Correa</w:t>
      </w:r>
    </w:p>
    <w:p w:rsidR="003A3BBB" w:rsidRPr="00EA3EFB" w:rsidRDefault="003A3BBB" w:rsidP="00E41882">
      <w:pPr>
        <w:pStyle w:val="Titre"/>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013636">
        <w:rPr>
          <w:rFonts w:ascii="Tahoma" w:hAnsi="Tahoma" w:cs="Tahoma"/>
          <w:b w:val="0"/>
          <w:sz w:val="18"/>
          <w:szCs w:val="18"/>
        </w:rPr>
        <w:t>Primer</w:t>
      </w:r>
      <w:r w:rsidR="00AE531D">
        <w:rPr>
          <w:rFonts w:ascii="Tahoma" w:hAnsi="Tahoma" w:cs="Tahoma"/>
          <w:b w:val="0"/>
          <w:sz w:val="18"/>
          <w:szCs w:val="18"/>
        </w:rPr>
        <w:t>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0E47B8" w:rsidRPr="00EA3EFB" w:rsidRDefault="000E47B8" w:rsidP="00E41882">
      <w:pPr>
        <w:pStyle w:val="Titre"/>
        <w:spacing w:line="240" w:lineRule="auto"/>
        <w:jc w:val="both"/>
        <w:rPr>
          <w:rFonts w:ascii="Tahoma" w:hAnsi="Tahoma" w:cs="Tahoma"/>
          <w:b w:val="0"/>
          <w:sz w:val="18"/>
          <w:szCs w:val="18"/>
        </w:rPr>
      </w:pPr>
    </w:p>
    <w:p w:rsidR="003A3BBB" w:rsidRPr="00EA3EFB" w:rsidRDefault="003A3BBB" w:rsidP="00E41882">
      <w:pPr>
        <w:pStyle w:val="Titre"/>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0D786F" w:rsidRDefault="000D786F" w:rsidP="000D786F">
      <w:pPr>
        <w:ind w:left="2127" w:right="51"/>
        <w:jc w:val="both"/>
        <w:rPr>
          <w:rFonts w:ascii="Tahoma" w:hAnsi="Tahoma" w:cs="Tahoma"/>
          <w:sz w:val="18"/>
          <w:szCs w:val="18"/>
        </w:rPr>
      </w:pPr>
      <w:r>
        <w:rPr>
          <w:rFonts w:ascii="Tahoma" w:hAnsi="Tahoma" w:cs="Tahoma"/>
          <w:b/>
          <w:sz w:val="18"/>
          <w:szCs w:val="18"/>
          <w:u w:val="single"/>
        </w:rPr>
        <w:t>Fecha de reconocimiento y pago de la pensión de vejez:</w:t>
      </w:r>
      <w:r>
        <w:rPr>
          <w:rFonts w:ascii="Tahoma" w:hAnsi="Tahoma" w:cs="Tahoma"/>
          <w:sz w:val="18"/>
          <w:szCs w:val="18"/>
        </w:rPr>
        <w:t xml:space="preserve"> “</w:t>
      </w:r>
      <w:r>
        <w:rPr>
          <w:rFonts w:ascii="Tahoma" w:hAnsi="Tahoma" w:cs="Tahoma"/>
          <w:iCs/>
          <w:sz w:val="18"/>
          <w:szCs w:val="18"/>
        </w:rPr>
        <w:t xml:space="preserve">si bien es cierto el </w:t>
      </w:r>
      <w:r>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Pr>
          <w:rFonts w:ascii="Tahoma" w:hAnsi="Tahoma" w:cs="Tahoma"/>
          <w:strike/>
          <w:sz w:val="18"/>
          <w:szCs w:val="18"/>
        </w:rPr>
        <w:t>º</w:t>
      </w:r>
      <w:r>
        <w:rPr>
          <w:rFonts w:ascii="Tahoma" w:hAnsi="Tahoma" w:cs="Tahoma"/>
          <w:sz w:val="18"/>
          <w:szCs w:val="18"/>
        </w:rPr>
        <w:t xml:space="preserve"> de mayo de 2004.”</w:t>
      </w:r>
      <w:r w:rsidRPr="0084154D">
        <w:rPr>
          <w:rStyle w:val="Appelnotedebasdep"/>
          <w:rFonts w:ascii="Tahoma" w:hAnsi="Tahoma" w:cs="Tahoma"/>
          <w:sz w:val="18"/>
          <w:szCs w:val="18"/>
        </w:rPr>
        <w:footnoteReference w:id="1"/>
      </w:r>
    </w:p>
    <w:p w:rsidR="00F768F2" w:rsidRDefault="00F768F2" w:rsidP="001C14EA">
      <w:pPr>
        <w:pStyle w:val="Corpsdetexte"/>
        <w:spacing w:after="0"/>
        <w:ind w:left="2127" w:right="51"/>
        <w:jc w:val="both"/>
        <w:rPr>
          <w:rFonts w:ascii="Tahoma" w:hAnsi="Tahoma" w:cs="Tahoma"/>
          <w:bCs/>
          <w:sz w:val="18"/>
          <w:szCs w:val="18"/>
        </w:rPr>
      </w:pPr>
    </w:p>
    <w:p w:rsidR="00C123A5" w:rsidRDefault="00C123A5" w:rsidP="001C14EA">
      <w:pPr>
        <w:pStyle w:val="Corpsdetexte"/>
        <w:spacing w:after="0"/>
        <w:ind w:left="2127" w:right="51"/>
        <w:jc w:val="both"/>
        <w:rPr>
          <w:rFonts w:ascii="Tahoma" w:hAnsi="Tahoma" w:cs="Tahoma"/>
          <w:bCs/>
          <w:sz w:val="18"/>
          <w:szCs w:val="18"/>
        </w:rPr>
      </w:pPr>
    </w:p>
    <w:p w:rsidR="000A129C" w:rsidRDefault="000A129C" w:rsidP="00E41882">
      <w:pPr>
        <w:pStyle w:val="Titre"/>
        <w:spacing w:line="240" w:lineRule="auto"/>
        <w:ind w:left="2127"/>
        <w:jc w:val="both"/>
        <w:rPr>
          <w:rFonts w:ascii="Tahoma" w:hAnsi="Tahoma" w:cs="Tahoma"/>
          <w:sz w:val="18"/>
          <w:szCs w:val="18"/>
        </w:rPr>
      </w:pPr>
    </w:p>
    <w:p w:rsidR="00815A7D" w:rsidRPr="00EA3EFB" w:rsidRDefault="00815A7D" w:rsidP="00E41882">
      <w:pPr>
        <w:pStyle w:val="Titre"/>
        <w:tabs>
          <w:tab w:val="left" w:pos="567"/>
        </w:tabs>
        <w:spacing w:line="240" w:lineRule="auto"/>
        <w:ind w:left="2127" w:hanging="2805"/>
        <w:jc w:val="both"/>
        <w:rPr>
          <w:rFonts w:ascii="Tahoma" w:hAnsi="Tahoma" w:cs="Tahoma"/>
          <w:b w:val="0"/>
          <w:sz w:val="18"/>
          <w:szCs w:val="18"/>
        </w:rPr>
      </w:pPr>
    </w:p>
    <w:p w:rsidR="003A3BBB" w:rsidRPr="00EA3EFB" w:rsidRDefault="003A3BBB" w:rsidP="00E41882">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E41882">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E41882">
      <w:pPr>
        <w:jc w:val="center"/>
        <w:rPr>
          <w:rFonts w:ascii="Tahoma" w:hAnsi="Tahoma" w:cs="Tahoma"/>
          <w:bCs/>
        </w:rPr>
      </w:pPr>
    </w:p>
    <w:p w:rsidR="003A3BBB" w:rsidRPr="00EA3EFB" w:rsidRDefault="003A3BBB" w:rsidP="00E4188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E41882">
      <w:pPr>
        <w:jc w:val="center"/>
        <w:rPr>
          <w:rFonts w:ascii="Tahoma" w:hAnsi="Tahoma" w:cs="Tahoma"/>
          <w:b/>
          <w:sz w:val="22"/>
          <w:szCs w:val="22"/>
        </w:rPr>
      </w:pPr>
    </w:p>
    <w:p w:rsidR="003A3BBB" w:rsidRPr="00EA3EFB" w:rsidRDefault="003A3BBB" w:rsidP="00E4188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E41882">
      <w:pPr>
        <w:pStyle w:val="Sansinterligne"/>
        <w:rPr>
          <w:sz w:val="22"/>
          <w:szCs w:val="22"/>
        </w:rPr>
      </w:pPr>
    </w:p>
    <w:p w:rsidR="003A3BBB" w:rsidRPr="00EA3EFB" w:rsidRDefault="003A3BBB" w:rsidP="00E41882">
      <w:pPr>
        <w:pStyle w:val="Titre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ansinterligne"/>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013636">
        <w:rPr>
          <w:rFonts w:ascii="Tahoma" w:hAnsi="Tahoma" w:cs="Tahoma"/>
          <w:sz w:val="22"/>
          <w:szCs w:val="22"/>
          <w:lang w:val="es-ES_tradnl"/>
        </w:rPr>
        <w:t>8</w:t>
      </w:r>
      <w:r w:rsidR="004D5CA3" w:rsidRPr="00EA3EFB">
        <w:rPr>
          <w:rFonts w:ascii="Tahoma" w:hAnsi="Tahoma" w:cs="Tahoma"/>
          <w:sz w:val="22"/>
          <w:szCs w:val="22"/>
          <w:lang w:val="es-ES_tradnl"/>
        </w:rPr>
        <w:t>:</w:t>
      </w:r>
      <w:r w:rsidR="00013636">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013636">
        <w:rPr>
          <w:rFonts w:ascii="Tahoma" w:hAnsi="Tahoma" w:cs="Tahoma"/>
          <w:sz w:val="22"/>
          <w:szCs w:val="22"/>
          <w:lang w:val="es-ES_tradnl"/>
        </w:rPr>
        <w:t>3 de noviembre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7818AA" w:rsidRPr="007818AA">
        <w:rPr>
          <w:rFonts w:ascii="Tahoma" w:hAnsi="Tahoma" w:cs="Tahoma"/>
          <w:b/>
          <w:sz w:val="22"/>
          <w:szCs w:val="22"/>
          <w:lang w:val="es-ES_tradnl"/>
        </w:rPr>
        <w:t>Her</w:t>
      </w:r>
      <w:r w:rsidR="007818AA">
        <w:rPr>
          <w:rFonts w:ascii="Tahoma" w:hAnsi="Tahoma" w:cs="Tahoma"/>
          <w:b/>
          <w:sz w:val="22"/>
          <w:szCs w:val="22"/>
          <w:lang w:val="es-ES_tradnl"/>
        </w:rPr>
        <w:t xml:space="preserve">man Alberto Posada </w:t>
      </w:r>
      <w:r w:rsidR="007818AA" w:rsidRPr="007818AA">
        <w:rPr>
          <w:rFonts w:ascii="Tahoma" w:hAnsi="Tahoma" w:cs="Tahoma"/>
          <w:sz w:val="22"/>
          <w:szCs w:val="22"/>
          <w:lang w:val="es-ES_tradnl"/>
        </w:rPr>
        <w:t>co</w:t>
      </w:r>
      <w:r w:rsidRPr="007818AA">
        <w:rPr>
          <w:rFonts w:ascii="Tahoma" w:hAnsi="Tahoma" w:cs="Tahoma"/>
          <w:sz w:val="22"/>
          <w:szCs w:val="22"/>
          <w:lang w:val="es-ES_tradnl"/>
        </w:rPr>
        <w:t>ntra</w:t>
      </w:r>
      <w:r w:rsidRPr="00EA3EFB">
        <w:rPr>
          <w:rFonts w:ascii="Tahoma" w:hAnsi="Tahoma" w:cs="Tahoma"/>
          <w:sz w:val="22"/>
          <w:szCs w:val="22"/>
          <w:lang w:val="es-ES_tradnl"/>
        </w:rPr>
        <w:t xml:space="preserve"> de la </w:t>
      </w:r>
      <w:r w:rsidR="00243E9F" w:rsidRPr="00243E9F">
        <w:rPr>
          <w:rFonts w:ascii="Tahoma" w:hAnsi="Tahoma" w:cs="Tahoma"/>
          <w:b/>
          <w:sz w:val="22"/>
          <w:szCs w:val="22"/>
          <w:lang w:val="es-ES_tradnl"/>
        </w:rPr>
        <w:t>Administradora Colombiana de Pensiones – Colpensiones.</w:t>
      </w:r>
    </w:p>
    <w:p w:rsidR="003A3BBB" w:rsidRPr="00EA3EFB" w:rsidRDefault="003A3BBB" w:rsidP="00E41882">
      <w:pPr>
        <w:pStyle w:val="Sansinterligne"/>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ansinterligne"/>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ansinterligne"/>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ansinterligne"/>
        <w:rPr>
          <w:sz w:val="22"/>
          <w:szCs w:val="22"/>
        </w:rPr>
      </w:pPr>
    </w:p>
    <w:p w:rsidR="005A6E74" w:rsidRPr="00EA3EFB"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7818AA">
        <w:rPr>
          <w:rFonts w:ascii="Tahoma" w:hAnsi="Tahoma" w:cs="Tahoma"/>
          <w:sz w:val="22"/>
          <w:szCs w:val="22"/>
        </w:rPr>
        <w:t xml:space="preserve">Primero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4C2405">
        <w:rPr>
          <w:rFonts w:ascii="Tahoma" w:hAnsi="Tahoma" w:cs="Tahoma"/>
          <w:sz w:val="22"/>
          <w:szCs w:val="22"/>
        </w:rPr>
        <w:t xml:space="preserve">24 de octubre </w:t>
      </w:r>
      <w:r w:rsidR="00D52F23">
        <w:rPr>
          <w:rFonts w:ascii="Tahoma" w:hAnsi="Tahoma" w:cs="Tahoma"/>
          <w:sz w:val="22"/>
          <w:szCs w:val="22"/>
        </w:rPr>
        <w:t>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E41882">
      <w:pPr>
        <w:widowControl w:val="0"/>
        <w:autoSpaceDE w:val="0"/>
        <w:autoSpaceDN w:val="0"/>
        <w:adjustRightInd w:val="0"/>
        <w:ind w:firstLine="708"/>
        <w:jc w:val="both"/>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ansinterligne"/>
        <w:rPr>
          <w:sz w:val="22"/>
          <w:szCs w:val="22"/>
        </w:rPr>
      </w:pPr>
    </w:p>
    <w:p w:rsidR="00DF7364" w:rsidRDefault="00DD4D98" w:rsidP="00966E2B">
      <w:pPr>
        <w:tabs>
          <w:tab w:val="left" w:pos="709"/>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le corresponde a la Sala determinar</w:t>
      </w:r>
      <w:r w:rsidR="00966E2B" w:rsidRPr="00966E2B">
        <w:rPr>
          <w:rFonts w:ascii="Tahoma" w:hAnsi="Tahoma" w:cs="Tahoma"/>
          <w:sz w:val="22"/>
          <w:szCs w:val="22"/>
        </w:rPr>
        <w:t xml:space="preserve"> </w:t>
      </w:r>
      <w:r w:rsidR="00966E2B">
        <w:rPr>
          <w:rFonts w:ascii="Tahoma" w:hAnsi="Tahoma" w:cs="Tahoma"/>
          <w:sz w:val="22"/>
          <w:szCs w:val="22"/>
        </w:rPr>
        <w:t>a partir de cuándo t</w:t>
      </w:r>
      <w:r w:rsidR="00DF7364">
        <w:rPr>
          <w:rFonts w:ascii="Tahoma" w:hAnsi="Tahoma" w:cs="Tahoma"/>
          <w:sz w:val="22"/>
          <w:szCs w:val="22"/>
        </w:rPr>
        <w:t xml:space="preserve">enía </w:t>
      </w:r>
      <w:r w:rsidR="00966E2B">
        <w:rPr>
          <w:rFonts w:ascii="Tahoma" w:hAnsi="Tahoma" w:cs="Tahoma"/>
          <w:sz w:val="22"/>
          <w:szCs w:val="22"/>
        </w:rPr>
        <w:t xml:space="preserve">derecho </w:t>
      </w:r>
      <w:r w:rsidR="00DF7364">
        <w:rPr>
          <w:rFonts w:ascii="Tahoma" w:hAnsi="Tahoma" w:cs="Tahoma"/>
          <w:sz w:val="22"/>
          <w:szCs w:val="22"/>
        </w:rPr>
        <w:t xml:space="preserve">el demandante </w:t>
      </w:r>
      <w:r w:rsidR="00966E2B">
        <w:rPr>
          <w:rFonts w:ascii="Tahoma" w:hAnsi="Tahoma" w:cs="Tahoma"/>
          <w:sz w:val="22"/>
          <w:szCs w:val="22"/>
        </w:rPr>
        <w:t xml:space="preserve">a disfrutar de </w:t>
      </w:r>
      <w:r w:rsidR="00DF7364">
        <w:rPr>
          <w:rFonts w:ascii="Tahoma" w:hAnsi="Tahoma" w:cs="Tahoma"/>
          <w:sz w:val="22"/>
          <w:szCs w:val="22"/>
        </w:rPr>
        <w:t>la pensión de vejez consagrada en el Acuerdo 049 de 1990.</w:t>
      </w:r>
    </w:p>
    <w:p w:rsidR="00966E2B" w:rsidRDefault="00966E2B" w:rsidP="00966E2B">
      <w:pPr>
        <w:tabs>
          <w:tab w:val="left" w:pos="709"/>
        </w:tabs>
        <w:spacing w:line="276" w:lineRule="auto"/>
        <w:jc w:val="both"/>
        <w:rPr>
          <w:rFonts w:ascii="Tahoma" w:hAnsi="Tahoma" w:cs="Tahoma"/>
          <w:sz w:val="22"/>
          <w:szCs w:val="22"/>
        </w:rPr>
      </w:pPr>
      <w:r>
        <w:rPr>
          <w:rFonts w:ascii="Tahoma" w:hAnsi="Tahoma" w:cs="Tahoma"/>
          <w:sz w:val="22"/>
          <w:szCs w:val="22"/>
        </w:rPr>
        <w:t xml:space="preserve"> </w:t>
      </w: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lastRenderedPageBreak/>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7818AA" w:rsidRDefault="007818AA"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o</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Pr>
          <w:rFonts w:ascii="Tahoma" w:hAnsi="Tahoma" w:cs="Tahoma"/>
          <w:sz w:val="22"/>
          <w:szCs w:val="22"/>
        </w:rPr>
        <w:t xml:space="preserve">que se condene a Colpensiones, previa declaración del derecho, </w:t>
      </w:r>
      <w:r w:rsidR="007F7CCB">
        <w:rPr>
          <w:rFonts w:ascii="Tahoma" w:hAnsi="Tahoma" w:cs="Tahoma"/>
          <w:sz w:val="22"/>
          <w:szCs w:val="22"/>
        </w:rPr>
        <w:t>a cancelarle el retroactivo de su pensión de vejez a partir del 2 de mayo de 2012</w:t>
      </w:r>
      <w:r w:rsidR="00DF7364">
        <w:rPr>
          <w:rFonts w:ascii="Tahoma" w:hAnsi="Tahoma" w:cs="Tahoma"/>
          <w:sz w:val="22"/>
          <w:szCs w:val="22"/>
        </w:rPr>
        <w:t>, debidamente indexado, más las costas procesales.</w:t>
      </w:r>
    </w:p>
    <w:p w:rsidR="007818AA" w:rsidRDefault="007818AA" w:rsidP="00F762A6">
      <w:pPr>
        <w:widowControl w:val="0"/>
        <w:autoSpaceDE w:val="0"/>
        <w:autoSpaceDN w:val="0"/>
        <w:adjustRightInd w:val="0"/>
        <w:spacing w:line="276" w:lineRule="auto"/>
        <w:ind w:firstLine="708"/>
        <w:jc w:val="both"/>
        <w:rPr>
          <w:rFonts w:ascii="Tahoma" w:hAnsi="Tahoma" w:cs="Tahoma"/>
          <w:sz w:val="22"/>
          <w:szCs w:val="22"/>
        </w:rPr>
      </w:pPr>
    </w:p>
    <w:p w:rsidR="00FD58B1" w:rsidRDefault="000277B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D462F7">
        <w:rPr>
          <w:rFonts w:ascii="Tahoma" w:hAnsi="Tahoma" w:cs="Tahoma"/>
          <w:sz w:val="22"/>
          <w:szCs w:val="22"/>
        </w:rPr>
        <w:t xml:space="preserve"> nació </w:t>
      </w:r>
      <w:r w:rsidR="009A6D71">
        <w:rPr>
          <w:rFonts w:ascii="Tahoma" w:hAnsi="Tahoma" w:cs="Tahoma"/>
          <w:sz w:val="22"/>
          <w:szCs w:val="22"/>
        </w:rPr>
        <w:t xml:space="preserve">el 2 de mayo de 1952 y que </w:t>
      </w:r>
      <w:r w:rsidR="00512888">
        <w:rPr>
          <w:rFonts w:ascii="Tahoma" w:hAnsi="Tahoma" w:cs="Tahoma"/>
          <w:sz w:val="22"/>
          <w:szCs w:val="22"/>
        </w:rPr>
        <w:t>mediante Resolución GNR 239944 del 2</w:t>
      </w:r>
      <w:r w:rsidR="002321BD">
        <w:rPr>
          <w:rFonts w:ascii="Tahoma" w:hAnsi="Tahoma" w:cs="Tahoma"/>
          <w:sz w:val="22"/>
          <w:szCs w:val="22"/>
        </w:rPr>
        <w:t>5</w:t>
      </w:r>
      <w:r w:rsidR="00512888">
        <w:rPr>
          <w:rFonts w:ascii="Tahoma" w:hAnsi="Tahoma" w:cs="Tahoma"/>
          <w:sz w:val="22"/>
          <w:szCs w:val="22"/>
        </w:rPr>
        <w:t xml:space="preserve"> de s</w:t>
      </w:r>
      <w:r w:rsidR="009A6D71">
        <w:rPr>
          <w:rFonts w:ascii="Tahoma" w:hAnsi="Tahoma" w:cs="Tahoma"/>
          <w:sz w:val="22"/>
          <w:szCs w:val="22"/>
        </w:rPr>
        <w:t>eptiembre de 2013</w:t>
      </w:r>
      <w:r w:rsidR="00FD58B1">
        <w:rPr>
          <w:rFonts w:ascii="Tahoma" w:hAnsi="Tahoma" w:cs="Tahoma"/>
          <w:sz w:val="22"/>
          <w:szCs w:val="22"/>
        </w:rPr>
        <w:t xml:space="preserve"> Colpensiones le reconoció la pensión de vejez contenida en el Acuerdo 049 de 1990, en cuantía de $771.964 y a partir del 1º de octubre de 2013. Agrega que contra dicha providencia </w:t>
      </w:r>
      <w:r w:rsidR="003377A1">
        <w:rPr>
          <w:rFonts w:ascii="Tahoma" w:hAnsi="Tahoma" w:cs="Tahoma"/>
          <w:sz w:val="22"/>
          <w:szCs w:val="22"/>
        </w:rPr>
        <w:t>interpuso recurso de reposición y en subsidio apelación</w:t>
      </w:r>
      <w:r w:rsidR="00512888">
        <w:rPr>
          <w:rFonts w:ascii="Tahoma" w:hAnsi="Tahoma" w:cs="Tahoma"/>
          <w:sz w:val="22"/>
          <w:szCs w:val="22"/>
        </w:rPr>
        <w:t>, solicitando que se reconociera la prestación a partir del 2 de mayo de 2012, fecha en la que se cumplió las exigencias para acceder a la aludida prestación.</w:t>
      </w:r>
    </w:p>
    <w:p w:rsidR="00512888" w:rsidRDefault="00512888" w:rsidP="00E41882">
      <w:pPr>
        <w:widowControl w:val="0"/>
        <w:autoSpaceDE w:val="0"/>
        <w:autoSpaceDN w:val="0"/>
        <w:adjustRightInd w:val="0"/>
        <w:spacing w:line="276" w:lineRule="auto"/>
        <w:ind w:firstLine="708"/>
        <w:jc w:val="both"/>
        <w:rPr>
          <w:rFonts w:ascii="Tahoma" w:hAnsi="Tahoma" w:cs="Tahoma"/>
          <w:sz w:val="22"/>
          <w:szCs w:val="22"/>
        </w:rPr>
      </w:pPr>
    </w:p>
    <w:p w:rsidR="00512888" w:rsidRDefault="00512888"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indica que </w:t>
      </w:r>
      <w:r w:rsidR="00C046D7">
        <w:rPr>
          <w:rFonts w:ascii="Tahoma" w:hAnsi="Tahoma" w:cs="Tahoma"/>
          <w:sz w:val="22"/>
          <w:szCs w:val="22"/>
        </w:rPr>
        <w:t xml:space="preserve">a través de la Resolución 120357 del 7 de abril de 2014 confirmó en todas sus partes las Resolución GNR 239944 del 25 de septiembre de 2013, quedando agotada de esta manera la reclamación </w:t>
      </w:r>
      <w:r w:rsidR="00AE32E5">
        <w:rPr>
          <w:rFonts w:ascii="Tahoma" w:hAnsi="Tahoma" w:cs="Tahoma"/>
          <w:sz w:val="22"/>
          <w:szCs w:val="22"/>
        </w:rPr>
        <w:t>administrativa</w:t>
      </w:r>
      <w:r w:rsidR="00C046D7">
        <w:rPr>
          <w:rFonts w:ascii="Tahoma" w:hAnsi="Tahoma" w:cs="Tahoma"/>
          <w:sz w:val="22"/>
          <w:szCs w:val="22"/>
        </w:rPr>
        <w:t>.</w:t>
      </w:r>
    </w:p>
    <w:p w:rsidR="00BE7996" w:rsidRDefault="00BE7996" w:rsidP="00E41882">
      <w:pPr>
        <w:widowControl w:val="0"/>
        <w:autoSpaceDE w:val="0"/>
        <w:autoSpaceDN w:val="0"/>
        <w:adjustRightInd w:val="0"/>
        <w:spacing w:line="276" w:lineRule="auto"/>
        <w:ind w:firstLine="708"/>
        <w:jc w:val="both"/>
        <w:rPr>
          <w:rFonts w:ascii="Tahoma" w:hAnsi="Tahoma" w:cs="Tahoma"/>
          <w:sz w:val="22"/>
          <w:szCs w:val="22"/>
        </w:rPr>
      </w:pPr>
    </w:p>
    <w:p w:rsidR="00D2316A"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aceptó los hechos relacionados con</w:t>
      </w:r>
      <w:r w:rsidR="00D2316A">
        <w:rPr>
          <w:rFonts w:ascii="Tahoma" w:hAnsi="Tahoma" w:cs="Tahoma"/>
          <w:sz w:val="22"/>
          <w:szCs w:val="22"/>
        </w:rPr>
        <w:t xml:space="preserve"> el contenido de la</w:t>
      </w:r>
      <w:r w:rsidR="00A57624">
        <w:rPr>
          <w:rFonts w:ascii="Tahoma" w:hAnsi="Tahoma" w:cs="Tahoma"/>
          <w:sz w:val="22"/>
          <w:szCs w:val="22"/>
        </w:rPr>
        <w:t xml:space="preserve"> </w:t>
      </w:r>
      <w:r w:rsidR="00D2316A">
        <w:rPr>
          <w:rFonts w:ascii="Tahoma" w:hAnsi="Tahoma" w:cs="Tahoma"/>
          <w:sz w:val="22"/>
          <w:szCs w:val="22"/>
        </w:rPr>
        <w:t xml:space="preserve">Resolución GNR 239944 del 25 de septiembre de 2013, </w:t>
      </w:r>
      <w:r w:rsidR="00243D9E">
        <w:rPr>
          <w:rFonts w:ascii="Tahoma" w:hAnsi="Tahoma" w:cs="Tahoma"/>
          <w:sz w:val="22"/>
          <w:szCs w:val="22"/>
        </w:rPr>
        <w:t xml:space="preserve">los recursos interpuestos contra esta y que mediante la </w:t>
      </w:r>
      <w:r w:rsidR="00D2316A">
        <w:rPr>
          <w:rFonts w:ascii="Tahoma" w:hAnsi="Tahoma" w:cs="Tahoma"/>
          <w:sz w:val="22"/>
          <w:szCs w:val="22"/>
        </w:rPr>
        <w:t>Resolución 120357 del 7 de abril de 2014</w:t>
      </w:r>
      <w:r w:rsidR="00243D9E">
        <w:rPr>
          <w:rFonts w:ascii="Tahoma" w:hAnsi="Tahoma" w:cs="Tahoma"/>
          <w:sz w:val="22"/>
          <w:szCs w:val="22"/>
        </w:rPr>
        <w:t xml:space="preserve"> negó el retroactivo solicitado.</w:t>
      </w:r>
      <w:r w:rsidR="00D2316A">
        <w:rPr>
          <w:rFonts w:ascii="Tahoma" w:hAnsi="Tahoma" w:cs="Tahoma"/>
          <w:sz w:val="22"/>
          <w:szCs w:val="22"/>
        </w:rPr>
        <w:t xml:space="preserve"> </w:t>
      </w:r>
      <w:r w:rsidR="00243D9E">
        <w:rPr>
          <w:rFonts w:ascii="Tahoma" w:hAnsi="Tahoma" w:cs="Tahoma"/>
          <w:sz w:val="22"/>
          <w:szCs w:val="22"/>
        </w:rPr>
        <w:t xml:space="preserve">Frente </w:t>
      </w:r>
      <w:r w:rsidR="00D2316A">
        <w:rPr>
          <w:rFonts w:ascii="Tahoma" w:hAnsi="Tahoma" w:cs="Tahoma"/>
          <w:sz w:val="22"/>
          <w:szCs w:val="22"/>
        </w:rPr>
        <w:t>a los demás hechos indicó que no le constaban.</w:t>
      </w:r>
    </w:p>
    <w:p w:rsidR="00D2316A" w:rsidRDefault="00D2316A" w:rsidP="00E41882">
      <w:pPr>
        <w:widowControl w:val="0"/>
        <w:autoSpaceDE w:val="0"/>
        <w:autoSpaceDN w:val="0"/>
        <w:adjustRightInd w:val="0"/>
        <w:spacing w:line="276" w:lineRule="auto"/>
        <w:ind w:firstLine="708"/>
        <w:jc w:val="both"/>
        <w:rPr>
          <w:rFonts w:ascii="Tahoma" w:hAnsi="Tahoma" w:cs="Tahoma"/>
          <w:sz w:val="22"/>
          <w:szCs w:val="22"/>
        </w:rPr>
      </w:pPr>
    </w:p>
    <w:p w:rsidR="00472C5D" w:rsidRDefault="00D51576" w:rsidP="00472C5D">
      <w:pPr>
        <w:widowControl w:val="0"/>
        <w:tabs>
          <w:tab w:val="left" w:pos="574"/>
        </w:tabs>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del demandante y propuso las excepciones de mérito que denominó “</w:t>
      </w:r>
      <w:r w:rsidR="00472C5D">
        <w:rPr>
          <w:rFonts w:ascii="Tahoma" w:hAnsi="Tahoma" w:cs="Tahoma"/>
          <w:sz w:val="22"/>
          <w:szCs w:val="22"/>
        </w:rPr>
        <w:t>Estricto cumplimiento de los mandatos legales”; “Inexistencia de la obligación” y “Prescripción.</w:t>
      </w:r>
    </w:p>
    <w:p w:rsidR="00644D88" w:rsidRDefault="00644D88"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ansinterligne"/>
        <w:rPr>
          <w:sz w:val="22"/>
          <w:szCs w:val="22"/>
        </w:rPr>
      </w:pPr>
    </w:p>
    <w:p w:rsidR="00F4752C"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A281E">
        <w:rPr>
          <w:rFonts w:ascii="Tahoma" w:hAnsi="Tahoma" w:cs="Tahoma"/>
          <w:sz w:val="22"/>
          <w:szCs w:val="22"/>
        </w:rPr>
        <w:t xml:space="preserve">declaró no probadas las excepciones propuestas por la parte demandada y determinó que </w:t>
      </w:r>
      <w:r w:rsidR="00F4752C">
        <w:rPr>
          <w:rFonts w:ascii="Tahoma" w:hAnsi="Tahoma" w:cs="Tahoma"/>
          <w:sz w:val="22"/>
          <w:szCs w:val="22"/>
        </w:rPr>
        <w:t>el señor Herman Alberto Posada</w:t>
      </w:r>
      <w:r w:rsidR="00C5264C">
        <w:rPr>
          <w:rFonts w:ascii="Tahoma" w:hAnsi="Tahoma" w:cs="Tahoma"/>
          <w:sz w:val="22"/>
          <w:szCs w:val="22"/>
        </w:rPr>
        <w:t xml:space="preserve"> tiene derecho a que Colpensiones le reconozca su pensión de vejez desde el 17 de mayo de 2012.</w:t>
      </w:r>
    </w:p>
    <w:p w:rsidR="00C5264C" w:rsidRDefault="00C5264C" w:rsidP="00E41882">
      <w:pPr>
        <w:widowControl w:val="0"/>
        <w:autoSpaceDE w:val="0"/>
        <w:autoSpaceDN w:val="0"/>
        <w:adjustRightInd w:val="0"/>
        <w:spacing w:line="276" w:lineRule="auto"/>
        <w:ind w:firstLine="708"/>
        <w:jc w:val="both"/>
        <w:rPr>
          <w:rFonts w:ascii="Tahoma" w:hAnsi="Tahoma" w:cs="Tahoma"/>
          <w:sz w:val="22"/>
          <w:szCs w:val="22"/>
        </w:rPr>
      </w:pPr>
    </w:p>
    <w:p w:rsidR="00C5264C" w:rsidRDefault="00BA05D3"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Como consecuencia de lo anterior, condenó a la aludida entidad a</w:t>
      </w:r>
      <w:r w:rsidR="00C5264C">
        <w:rPr>
          <w:rFonts w:ascii="Tahoma" w:hAnsi="Tahoma" w:cs="Tahoma"/>
          <w:sz w:val="22"/>
          <w:szCs w:val="22"/>
        </w:rPr>
        <w:t xml:space="preserve"> cancelar al actor las mesadas retroactivas causadas de</w:t>
      </w:r>
      <w:r w:rsidR="003B0E40">
        <w:rPr>
          <w:rFonts w:ascii="Tahoma" w:hAnsi="Tahoma" w:cs="Tahoma"/>
          <w:sz w:val="22"/>
          <w:szCs w:val="22"/>
        </w:rPr>
        <w:t>sde</w:t>
      </w:r>
      <w:r w:rsidR="00C5264C">
        <w:rPr>
          <w:rFonts w:ascii="Tahoma" w:hAnsi="Tahoma" w:cs="Tahoma"/>
          <w:sz w:val="22"/>
          <w:szCs w:val="22"/>
        </w:rPr>
        <w:t xml:space="preserve"> esa fecha hasta el 30 de septiembre</w:t>
      </w:r>
      <w:r w:rsidR="00B965AA">
        <w:rPr>
          <w:rFonts w:ascii="Tahoma" w:hAnsi="Tahoma" w:cs="Tahoma"/>
          <w:sz w:val="22"/>
          <w:szCs w:val="22"/>
        </w:rPr>
        <w:t xml:space="preserve"> de 2013</w:t>
      </w:r>
      <w:r w:rsidR="004A349C">
        <w:rPr>
          <w:rFonts w:ascii="Tahoma" w:hAnsi="Tahoma" w:cs="Tahoma"/>
          <w:sz w:val="22"/>
          <w:szCs w:val="22"/>
        </w:rPr>
        <w:t>, el cual estimó en la suma de $12.576.899</w:t>
      </w:r>
      <w:r w:rsidR="00A848D6">
        <w:rPr>
          <w:rFonts w:ascii="Tahoma" w:hAnsi="Tahoma" w:cs="Tahoma"/>
          <w:sz w:val="22"/>
          <w:szCs w:val="22"/>
        </w:rPr>
        <w:t xml:space="preserve">, debidamente indexada. </w:t>
      </w:r>
      <w:r w:rsidR="003B0E40">
        <w:rPr>
          <w:rFonts w:ascii="Tahoma" w:hAnsi="Tahoma" w:cs="Tahoma"/>
          <w:sz w:val="22"/>
          <w:szCs w:val="22"/>
        </w:rPr>
        <w:t xml:space="preserve">Por otra parte, autorizó a Colpensiones </w:t>
      </w:r>
      <w:r w:rsidR="00D12D0E">
        <w:rPr>
          <w:rFonts w:ascii="Tahoma" w:hAnsi="Tahoma" w:cs="Tahoma"/>
          <w:sz w:val="22"/>
          <w:szCs w:val="22"/>
        </w:rPr>
        <w:t xml:space="preserve">a </w:t>
      </w:r>
      <w:r w:rsidR="003B0E40">
        <w:rPr>
          <w:rFonts w:ascii="Tahoma" w:hAnsi="Tahoma" w:cs="Tahoma"/>
          <w:sz w:val="22"/>
          <w:szCs w:val="22"/>
        </w:rPr>
        <w:t>que descontara del retroactivo los aportes por concepto de salud, y la condenó al pago de las costas procesales.</w:t>
      </w:r>
    </w:p>
    <w:p w:rsidR="00C5264C" w:rsidRDefault="00C5264C" w:rsidP="00E41882">
      <w:pPr>
        <w:widowControl w:val="0"/>
        <w:autoSpaceDE w:val="0"/>
        <w:autoSpaceDN w:val="0"/>
        <w:adjustRightInd w:val="0"/>
        <w:spacing w:line="276" w:lineRule="auto"/>
        <w:ind w:firstLine="708"/>
        <w:jc w:val="both"/>
        <w:rPr>
          <w:rFonts w:ascii="Tahoma" w:hAnsi="Tahoma" w:cs="Tahoma"/>
          <w:sz w:val="22"/>
          <w:szCs w:val="22"/>
        </w:rPr>
      </w:pPr>
    </w:p>
    <w:p w:rsidR="003B0E40" w:rsidRDefault="00235D95"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A-quo consideró, en síntesis, que</w:t>
      </w:r>
      <w:r w:rsidR="00094661">
        <w:rPr>
          <w:rFonts w:ascii="Tahoma" w:hAnsi="Tahoma" w:cs="Tahoma"/>
          <w:sz w:val="22"/>
          <w:szCs w:val="22"/>
        </w:rPr>
        <w:t xml:space="preserve"> al haber solicitado el reconocimiento de la prestación el 16 de mayo de 2012, cuando cumplía la totalidad de los requisitos consagrados en el Acuerdo 049 de 1990, </w:t>
      </w:r>
      <w:r w:rsidR="00243D9E">
        <w:rPr>
          <w:rFonts w:ascii="Tahoma" w:hAnsi="Tahoma" w:cs="Tahoma"/>
          <w:sz w:val="22"/>
          <w:szCs w:val="22"/>
        </w:rPr>
        <w:t xml:space="preserve">el actor tenía </w:t>
      </w:r>
      <w:r w:rsidR="00234B63">
        <w:rPr>
          <w:rFonts w:ascii="Tahoma" w:hAnsi="Tahoma" w:cs="Tahoma"/>
          <w:sz w:val="22"/>
          <w:szCs w:val="22"/>
        </w:rPr>
        <w:t xml:space="preserve">derecho </w:t>
      </w:r>
      <w:r w:rsidR="00094661">
        <w:rPr>
          <w:rFonts w:ascii="Tahoma" w:hAnsi="Tahoma" w:cs="Tahoma"/>
          <w:sz w:val="22"/>
          <w:szCs w:val="22"/>
        </w:rPr>
        <w:t xml:space="preserve">a disfrutar de la </w:t>
      </w:r>
      <w:r w:rsidR="00234B63">
        <w:rPr>
          <w:rFonts w:ascii="Tahoma" w:hAnsi="Tahoma" w:cs="Tahoma"/>
          <w:sz w:val="22"/>
          <w:szCs w:val="22"/>
        </w:rPr>
        <w:t xml:space="preserve">pensión de vejez </w:t>
      </w:r>
      <w:r w:rsidR="00D12D0E">
        <w:rPr>
          <w:rFonts w:ascii="Tahoma" w:hAnsi="Tahoma" w:cs="Tahoma"/>
          <w:sz w:val="22"/>
          <w:szCs w:val="22"/>
        </w:rPr>
        <w:t xml:space="preserve"> </w:t>
      </w:r>
      <w:r w:rsidR="00094661">
        <w:rPr>
          <w:rFonts w:ascii="Tahoma" w:hAnsi="Tahoma" w:cs="Tahoma"/>
          <w:sz w:val="22"/>
          <w:szCs w:val="22"/>
        </w:rPr>
        <w:t xml:space="preserve">a partir del día siguiente. De esta manera, teniendo en cuenta que la demandada reconoció la pensión de vejez al actor a través de la Resolución </w:t>
      </w:r>
      <w:r w:rsidR="00234B63">
        <w:rPr>
          <w:rFonts w:ascii="Tahoma" w:hAnsi="Tahoma" w:cs="Tahoma"/>
          <w:sz w:val="22"/>
          <w:szCs w:val="22"/>
        </w:rPr>
        <w:t>GNR 239944 de 2013,</w:t>
      </w:r>
      <w:r w:rsidR="00094661">
        <w:rPr>
          <w:rFonts w:ascii="Tahoma" w:hAnsi="Tahoma" w:cs="Tahoma"/>
          <w:sz w:val="22"/>
          <w:szCs w:val="22"/>
        </w:rPr>
        <w:t xml:space="preserve"> a partir del 1º de </w:t>
      </w:r>
      <w:r w:rsidR="00234B63">
        <w:rPr>
          <w:rFonts w:ascii="Tahoma" w:hAnsi="Tahoma" w:cs="Tahoma"/>
          <w:sz w:val="22"/>
          <w:szCs w:val="22"/>
        </w:rPr>
        <w:t>octubre del mismo año</w:t>
      </w:r>
      <w:r w:rsidR="00094661">
        <w:rPr>
          <w:rFonts w:ascii="Tahoma" w:hAnsi="Tahoma" w:cs="Tahoma"/>
          <w:sz w:val="22"/>
          <w:szCs w:val="22"/>
        </w:rPr>
        <w:t xml:space="preserve">, el retroactivo </w:t>
      </w:r>
      <w:r w:rsidR="00234B63">
        <w:rPr>
          <w:rFonts w:ascii="Tahoma" w:hAnsi="Tahoma" w:cs="Tahoma"/>
          <w:sz w:val="22"/>
          <w:szCs w:val="22"/>
        </w:rPr>
        <w:t>debía reconocerse desde el 17 de mayo de 2012 hasta el 30 de septiembre de 2013</w:t>
      </w:r>
      <w:r w:rsidR="00094661">
        <w:rPr>
          <w:rFonts w:ascii="Tahoma" w:hAnsi="Tahoma" w:cs="Tahoma"/>
          <w:sz w:val="22"/>
          <w:szCs w:val="22"/>
        </w:rPr>
        <w:t xml:space="preserve">, suma </w:t>
      </w:r>
      <w:r w:rsidR="00F26712">
        <w:rPr>
          <w:rFonts w:ascii="Tahoma" w:hAnsi="Tahoma" w:cs="Tahoma"/>
          <w:sz w:val="22"/>
          <w:szCs w:val="22"/>
        </w:rPr>
        <w:t xml:space="preserve">a la que debía </w:t>
      </w:r>
      <w:r w:rsidR="00243D9E">
        <w:rPr>
          <w:rFonts w:ascii="Tahoma" w:hAnsi="Tahoma" w:cs="Tahoma"/>
          <w:sz w:val="22"/>
          <w:szCs w:val="22"/>
        </w:rPr>
        <w:t xml:space="preserve">descontar </w:t>
      </w:r>
      <w:r w:rsidR="00F26712">
        <w:rPr>
          <w:rFonts w:ascii="Tahoma" w:hAnsi="Tahoma" w:cs="Tahoma"/>
          <w:sz w:val="22"/>
          <w:szCs w:val="22"/>
        </w:rPr>
        <w:t xml:space="preserve">el 12% de cada mesada pensional, por concepto de aportes en salud, </w:t>
      </w:r>
      <w:r w:rsidR="00EF5F01">
        <w:rPr>
          <w:rFonts w:ascii="Tahoma" w:hAnsi="Tahoma" w:cs="Tahoma"/>
          <w:sz w:val="22"/>
          <w:szCs w:val="22"/>
        </w:rPr>
        <w:t xml:space="preserve">y </w:t>
      </w:r>
      <w:r w:rsidR="00094661">
        <w:rPr>
          <w:rFonts w:ascii="Tahoma" w:hAnsi="Tahoma" w:cs="Tahoma"/>
          <w:sz w:val="22"/>
          <w:szCs w:val="22"/>
        </w:rPr>
        <w:t>que debía indexarse al momento del pago efectivo de la obligación a efectos de solventar la pérdida del poder adquisitivo de la moneda.</w:t>
      </w:r>
    </w:p>
    <w:p w:rsidR="00F26712" w:rsidRDefault="00F26712" w:rsidP="00E41882">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7E4040"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924F0D" w:rsidRDefault="00924F0D" w:rsidP="00E41882">
      <w:pPr>
        <w:spacing w:line="276" w:lineRule="auto"/>
        <w:ind w:firstLine="708"/>
        <w:jc w:val="both"/>
        <w:rPr>
          <w:rFonts w:ascii="Tahoma" w:hAnsi="Tahoma" w:cs="Tahoma"/>
          <w:sz w:val="22"/>
          <w:szCs w:val="22"/>
        </w:rPr>
      </w:pPr>
    </w:p>
    <w:p w:rsidR="00167EBE" w:rsidRDefault="00AB3EE5" w:rsidP="00E41882">
      <w:pPr>
        <w:spacing w:line="276" w:lineRule="auto"/>
        <w:ind w:firstLine="708"/>
        <w:jc w:val="both"/>
        <w:rPr>
          <w:rFonts w:ascii="Tahoma" w:hAnsi="Tahoma" w:cs="Tahoma"/>
          <w:sz w:val="22"/>
          <w:szCs w:val="22"/>
        </w:rPr>
      </w:pPr>
      <w:r>
        <w:rPr>
          <w:rFonts w:ascii="Tahoma" w:hAnsi="Tahoma" w:cs="Tahoma"/>
          <w:sz w:val="22"/>
          <w:szCs w:val="22"/>
        </w:rPr>
        <w:t xml:space="preserve">Como quiera que la decisión de primera instancia fue desfavorable para los intereses de </w:t>
      </w:r>
      <w:r w:rsidR="00644D88">
        <w:rPr>
          <w:rFonts w:ascii="Tahoma" w:hAnsi="Tahoma" w:cs="Tahoma"/>
          <w:sz w:val="22"/>
          <w:szCs w:val="22"/>
        </w:rPr>
        <w:t xml:space="preserve">la </w:t>
      </w:r>
      <w:r w:rsidR="00D12D0E">
        <w:rPr>
          <w:rFonts w:ascii="Tahoma" w:hAnsi="Tahoma" w:cs="Tahoma"/>
          <w:sz w:val="22"/>
          <w:szCs w:val="22"/>
        </w:rPr>
        <w:t>entidad demandada</w:t>
      </w:r>
      <w:r>
        <w:rPr>
          <w:rFonts w:ascii="Tahoma" w:hAnsi="Tahoma" w:cs="Tahoma"/>
          <w:sz w:val="22"/>
          <w:szCs w:val="22"/>
        </w:rPr>
        <w:t>, se dispuso el grado jurisdiccional de consulta.</w:t>
      </w: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lastRenderedPageBreak/>
        <w:t>Consideraciones</w:t>
      </w:r>
    </w:p>
    <w:p w:rsidR="00E34515" w:rsidRDefault="00E34515" w:rsidP="00E34515">
      <w:pPr>
        <w:widowControl w:val="0"/>
        <w:autoSpaceDE w:val="0"/>
        <w:autoSpaceDN w:val="0"/>
        <w:adjustRightInd w:val="0"/>
        <w:spacing w:line="276" w:lineRule="auto"/>
        <w:ind w:left="1080"/>
        <w:rPr>
          <w:rFonts w:ascii="Tahoma" w:hAnsi="Tahoma" w:cs="Tahoma"/>
          <w:b/>
          <w:sz w:val="22"/>
          <w:szCs w:val="22"/>
        </w:rPr>
      </w:pPr>
    </w:p>
    <w:p w:rsidR="005E04A9" w:rsidRPr="005E04A9" w:rsidRDefault="005E04A9" w:rsidP="005E04A9">
      <w:pPr>
        <w:pStyle w:val="Paragraphedeliste"/>
        <w:widowControl w:val="0"/>
        <w:numPr>
          <w:ilvl w:val="1"/>
          <w:numId w:val="8"/>
        </w:numPr>
        <w:autoSpaceDE w:val="0"/>
        <w:autoSpaceDN w:val="0"/>
        <w:adjustRightInd w:val="0"/>
        <w:spacing w:line="276" w:lineRule="auto"/>
        <w:ind w:hanging="371"/>
        <w:jc w:val="both"/>
        <w:rPr>
          <w:rFonts w:ascii="Tahoma" w:hAnsi="Tahoma" w:cs="Tahoma"/>
          <w:b/>
          <w:sz w:val="22"/>
          <w:szCs w:val="22"/>
        </w:rPr>
      </w:pPr>
      <w:r>
        <w:rPr>
          <w:rFonts w:ascii="Tahoma" w:hAnsi="Tahoma" w:cs="Tahoma"/>
          <w:b/>
          <w:sz w:val="22"/>
          <w:szCs w:val="22"/>
        </w:rPr>
        <w:t xml:space="preserve"> </w:t>
      </w:r>
      <w:r w:rsidRPr="005E04A9">
        <w:rPr>
          <w:rFonts w:ascii="Tahoma" w:hAnsi="Tahoma" w:cs="Tahoma"/>
          <w:b/>
          <w:sz w:val="22"/>
          <w:szCs w:val="22"/>
        </w:rPr>
        <w:t>Supuestos fácticos demostrados</w:t>
      </w:r>
    </w:p>
    <w:p w:rsidR="005E04A9" w:rsidRPr="005E04A9" w:rsidRDefault="005E04A9" w:rsidP="005E04A9">
      <w:pPr>
        <w:pStyle w:val="Paragraphedeliste"/>
        <w:spacing w:line="276" w:lineRule="auto"/>
        <w:ind w:left="1080"/>
        <w:jc w:val="both"/>
        <w:rPr>
          <w:rFonts w:ascii="Tahoma" w:hAnsi="Tahoma" w:cs="Tahoma"/>
          <w:sz w:val="22"/>
          <w:szCs w:val="22"/>
        </w:rPr>
      </w:pPr>
    </w:p>
    <w:p w:rsidR="00625821" w:rsidRDefault="005E04A9" w:rsidP="005E04A9">
      <w:pPr>
        <w:spacing w:line="276" w:lineRule="auto"/>
        <w:ind w:firstLine="708"/>
        <w:jc w:val="both"/>
        <w:rPr>
          <w:rFonts w:ascii="Tahoma" w:hAnsi="Tahoma" w:cs="Tahoma"/>
          <w:sz w:val="22"/>
          <w:szCs w:val="22"/>
        </w:rPr>
      </w:pPr>
      <w:r w:rsidRPr="005E04A9">
        <w:rPr>
          <w:rFonts w:ascii="Tahoma" w:hAnsi="Tahoma" w:cs="Tahoma"/>
          <w:sz w:val="22"/>
          <w:szCs w:val="22"/>
        </w:rPr>
        <w:t>Son hechos que se encuentran por fuera de debate los siguientes: i) Que el señor</w:t>
      </w:r>
      <w:r>
        <w:rPr>
          <w:rFonts w:ascii="Tahoma" w:hAnsi="Tahoma" w:cs="Tahoma"/>
          <w:sz w:val="22"/>
          <w:szCs w:val="22"/>
        </w:rPr>
        <w:t xml:space="preserve"> Herman Alberto Posada Correa </w:t>
      </w:r>
      <w:r w:rsidRPr="005E04A9">
        <w:rPr>
          <w:rFonts w:ascii="Tahoma" w:hAnsi="Tahoma" w:cs="Tahoma"/>
          <w:sz w:val="22"/>
          <w:szCs w:val="22"/>
        </w:rPr>
        <w:t xml:space="preserve">nació el </w:t>
      </w:r>
      <w:r>
        <w:rPr>
          <w:rFonts w:ascii="Tahoma" w:hAnsi="Tahoma" w:cs="Tahoma"/>
          <w:sz w:val="22"/>
          <w:szCs w:val="22"/>
        </w:rPr>
        <w:t>2</w:t>
      </w:r>
      <w:r w:rsidRPr="005E04A9">
        <w:rPr>
          <w:rFonts w:ascii="Tahoma" w:hAnsi="Tahoma" w:cs="Tahoma"/>
          <w:sz w:val="22"/>
          <w:szCs w:val="22"/>
        </w:rPr>
        <w:t xml:space="preserve"> de </w:t>
      </w:r>
      <w:r>
        <w:rPr>
          <w:rFonts w:ascii="Tahoma" w:hAnsi="Tahoma" w:cs="Tahoma"/>
          <w:sz w:val="22"/>
          <w:szCs w:val="22"/>
        </w:rPr>
        <w:t xml:space="preserve">mayo de 1952 </w:t>
      </w:r>
      <w:r w:rsidRPr="005E04A9">
        <w:rPr>
          <w:rFonts w:ascii="Tahoma" w:hAnsi="Tahoma" w:cs="Tahoma"/>
          <w:sz w:val="22"/>
          <w:szCs w:val="22"/>
        </w:rPr>
        <w:t>(</w:t>
      </w:r>
      <w:proofErr w:type="spellStart"/>
      <w:r w:rsidRPr="005E04A9">
        <w:rPr>
          <w:rFonts w:ascii="Tahoma" w:hAnsi="Tahoma" w:cs="Tahoma"/>
          <w:sz w:val="22"/>
          <w:szCs w:val="22"/>
        </w:rPr>
        <w:t>fl</w:t>
      </w:r>
      <w:proofErr w:type="spellEnd"/>
      <w:r w:rsidRPr="005E04A9">
        <w:rPr>
          <w:rFonts w:ascii="Tahoma" w:hAnsi="Tahoma" w:cs="Tahoma"/>
          <w:sz w:val="22"/>
          <w:szCs w:val="22"/>
        </w:rPr>
        <w:t>. 1</w:t>
      </w:r>
      <w:r>
        <w:rPr>
          <w:rFonts w:ascii="Tahoma" w:hAnsi="Tahoma" w:cs="Tahoma"/>
          <w:sz w:val="22"/>
          <w:szCs w:val="22"/>
        </w:rPr>
        <w:t>1</w:t>
      </w:r>
      <w:r w:rsidRPr="005E04A9">
        <w:rPr>
          <w:rFonts w:ascii="Tahoma" w:hAnsi="Tahoma" w:cs="Tahoma"/>
          <w:sz w:val="22"/>
          <w:szCs w:val="22"/>
        </w:rPr>
        <w:t xml:space="preserve">); ii) Que a través de la Resolución </w:t>
      </w:r>
      <w:r>
        <w:rPr>
          <w:rFonts w:ascii="Tahoma" w:hAnsi="Tahoma" w:cs="Tahoma"/>
          <w:sz w:val="22"/>
          <w:szCs w:val="22"/>
        </w:rPr>
        <w:t xml:space="preserve">GNR 239944 del 25 de septiembre de 2013 Colpensiones </w:t>
      </w:r>
      <w:r w:rsidRPr="005E04A9">
        <w:rPr>
          <w:rFonts w:ascii="Tahoma" w:hAnsi="Tahoma" w:cs="Tahoma"/>
          <w:sz w:val="22"/>
          <w:szCs w:val="22"/>
        </w:rPr>
        <w:t xml:space="preserve">le reconoció la pensión de vejez consagrada en </w:t>
      </w:r>
      <w:r w:rsidR="00B479EA">
        <w:rPr>
          <w:rFonts w:ascii="Tahoma" w:hAnsi="Tahoma" w:cs="Tahoma"/>
          <w:sz w:val="22"/>
          <w:szCs w:val="22"/>
        </w:rPr>
        <w:t>el Acuerdo 049 de 1990</w:t>
      </w:r>
      <w:r w:rsidRPr="005E04A9">
        <w:rPr>
          <w:rFonts w:ascii="Tahoma" w:hAnsi="Tahoma" w:cs="Tahoma"/>
          <w:sz w:val="22"/>
          <w:szCs w:val="22"/>
        </w:rPr>
        <w:t xml:space="preserve">, en su calidad de beneficiario del régimen de transición, a partir del 1º de </w:t>
      </w:r>
      <w:r w:rsidR="00B479EA">
        <w:rPr>
          <w:rFonts w:ascii="Tahoma" w:hAnsi="Tahoma" w:cs="Tahoma"/>
          <w:sz w:val="22"/>
          <w:szCs w:val="22"/>
        </w:rPr>
        <w:t>octubre de 2013</w:t>
      </w:r>
      <w:r w:rsidRPr="005E04A9">
        <w:rPr>
          <w:rFonts w:ascii="Tahoma" w:hAnsi="Tahoma" w:cs="Tahoma"/>
          <w:sz w:val="22"/>
          <w:szCs w:val="22"/>
        </w:rPr>
        <w:t xml:space="preserve"> (</w:t>
      </w:r>
      <w:proofErr w:type="spellStart"/>
      <w:r w:rsidRPr="005E04A9">
        <w:rPr>
          <w:rFonts w:ascii="Tahoma" w:hAnsi="Tahoma" w:cs="Tahoma"/>
          <w:sz w:val="22"/>
          <w:szCs w:val="22"/>
        </w:rPr>
        <w:t>fl</w:t>
      </w:r>
      <w:proofErr w:type="spellEnd"/>
      <w:r w:rsidRPr="005E04A9">
        <w:rPr>
          <w:rFonts w:ascii="Tahoma" w:hAnsi="Tahoma" w:cs="Tahoma"/>
          <w:sz w:val="22"/>
          <w:szCs w:val="22"/>
        </w:rPr>
        <w:t>. 1</w:t>
      </w:r>
      <w:r w:rsidR="00B479EA">
        <w:rPr>
          <w:rFonts w:ascii="Tahoma" w:hAnsi="Tahoma" w:cs="Tahoma"/>
          <w:sz w:val="22"/>
          <w:szCs w:val="22"/>
        </w:rPr>
        <w:t>3</w:t>
      </w:r>
      <w:r w:rsidRPr="005E04A9">
        <w:rPr>
          <w:rFonts w:ascii="Tahoma" w:hAnsi="Tahoma" w:cs="Tahoma"/>
          <w:sz w:val="22"/>
          <w:szCs w:val="22"/>
        </w:rPr>
        <w:t xml:space="preserve"> y s.s.) y, </w:t>
      </w:r>
      <w:r w:rsidR="00625821">
        <w:rPr>
          <w:rFonts w:ascii="Tahoma" w:hAnsi="Tahoma" w:cs="Tahoma"/>
          <w:sz w:val="22"/>
          <w:szCs w:val="22"/>
        </w:rPr>
        <w:t>iii</w:t>
      </w:r>
      <w:r w:rsidRPr="005E04A9">
        <w:rPr>
          <w:rFonts w:ascii="Tahoma" w:hAnsi="Tahoma" w:cs="Tahoma"/>
          <w:sz w:val="22"/>
          <w:szCs w:val="22"/>
        </w:rPr>
        <w:t xml:space="preserve">) Que por medio de la Resolución GNR </w:t>
      </w:r>
      <w:r w:rsidR="00625821">
        <w:rPr>
          <w:rFonts w:ascii="Tahoma" w:hAnsi="Tahoma" w:cs="Tahoma"/>
          <w:sz w:val="22"/>
          <w:szCs w:val="22"/>
        </w:rPr>
        <w:t>120357</w:t>
      </w:r>
      <w:r w:rsidRPr="005E04A9">
        <w:rPr>
          <w:rFonts w:ascii="Tahoma" w:hAnsi="Tahoma" w:cs="Tahoma"/>
          <w:sz w:val="22"/>
          <w:szCs w:val="22"/>
        </w:rPr>
        <w:t xml:space="preserve"> del </w:t>
      </w:r>
      <w:r w:rsidR="00625821">
        <w:rPr>
          <w:rFonts w:ascii="Tahoma" w:hAnsi="Tahoma" w:cs="Tahoma"/>
          <w:sz w:val="22"/>
          <w:szCs w:val="22"/>
        </w:rPr>
        <w:t>7 de abril de 2014 se confirmó la Resolución GNR 239944 del 25 de septiembre de 2013, negándose el retroactivo reclamado.</w:t>
      </w:r>
    </w:p>
    <w:p w:rsidR="00625821" w:rsidRDefault="00625821" w:rsidP="005E04A9">
      <w:pPr>
        <w:spacing w:line="276" w:lineRule="auto"/>
        <w:ind w:firstLine="708"/>
        <w:jc w:val="both"/>
        <w:rPr>
          <w:rFonts w:ascii="Tahoma" w:hAnsi="Tahoma" w:cs="Tahoma"/>
          <w:sz w:val="22"/>
          <w:szCs w:val="22"/>
        </w:rPr>
      </w:pPr>
    </w:p>
    <w:p w:rsidR="005E04A9" w:rsidRPr="005E04A9" w:rsidRDefault="005E04A9" w:rsidP="005E04A9">
      <w:pPr>
        <w:pStyle w:val="Paragraphedeliste"/>
        <w:widowControl w:val="0"/>
        <w:numPr>
          <w:ilvl w:val="1"/>
          <w:numId w:val="8"/>
        </w:numPr>
        <w:autoSpaceDE w:val="0"/>
        <w:autoSpaceDN w:val="0"/>
        <w:adjustRightInd w:val="0"/>
        <w:spacing w:line="276" w:lineRule="auto"/>
        <w:ind w:hanging="371"/>
        <w:jc w:val="both"/>
        <w:rPr>
          <w:rFonts w:ascii="Tahoma" w:hAnsi="Tahoma" w:cs="Tahoma"/>
          <w:b/>
          <w:sz w:val="22"/>
          <w:szCs w:val="22"/>
        </w:rPr>
      </w:pPr>
      <w:r>
        <w:rPr>
          <w:rFonts w:ascii="Tahoma" w:hAnsi="Tahoma" w:cs="Tahoma"/>
          <w:b/>
          <w:sz w:val="22"/>
          <w:szCs w:val="22"/>
        </w:rPr>
        <w:t xml:space="preserve"> </w:t>
      </w:r>
      <w:r w:rsidRPr="005E04A9">
        <w:rPr>
          <w:rFonts w:ascii="Tahoma" w:hAnsi="Tahoma" w:cs="Tahoma"/>
          <w:b/>
          <w:sz w:val="22"/>
          <w:szCs w:val="22"/>
        </w:rPr>
        <w:t>Caso concreto</w:t>
      </w:r>
    </w:p>
    <w:p w:rsidR="005E04A9" w:rsidRPr="005E04A9" w:rsidRDefault="005E04A9" w:rsidP="005E04A9">
      <w:pPr>
        <w:pStyle w:val="Paragraphedeliste"/>
        <w:spacing w:line="276" w:lineRule="auto"/>
        <w:ind w:left="1080"/>
        <w:jc w:val="both"/>
        <w:rPr>
          <w:rFonts w:ascii="Tahoma" w:hAnsi="Tahoma" w:cs="Tahoma"/>
          <w:sz w:val="22"/>
          <w:szCs w:val="22"/>
        </w:rPr>
      </w:pPr>
    </w:p>
    <w:p w:rsidR="005E04A9" w:rsidRPr="005E04A9" w:rsidRDefault="005E04A9" w:rsidP="005E04A9">
      <w:pPr>
        <w:spacing w:line="276" w:lineRule="auto"/>
        <w:ind w:firstLine="708"/>
        <w:jc w:val="both"/>
        <w:rPr>
          <w:rFonts w:ascii="Tahoma" w:hAnsi="Tahoma" w:cs="Tahoma"/>
          <w:sz w:val="22"/>
          <w:szCs w:val="22"/>
        </w:rPr>
      </w:pPr>
      <w:r w:rsidRPr="005E04A9">
        <w:rPr>
          <w:rFonts w:ascii="Tahoma" w:hAnsi="Tahoma" w:cs="Tahoma"/>
          <w:sz w:val="22"/>
          <w:szCs w:val="22"/>
        </w:rPr>
        <w:t xml:space="preserve">En respuesta al problema jurídico planteado, debe manifestar la Sala que al haber alcanzado los 60 años de edad el </w:t>
      </w:r>
      <w:r w:rsidR="00BD0F02">
        <w:rPr>
          <w:rFonts w:ascii="Tahoma" w:hAnsi="Tahoma" w:cs="Tahoma"/>
          <w:sz w:val="22"/>
          <w:szCs w:val="22"/>
        </w:rPr>
        <w:t>2</w:t>
      </w:r>
      <w:r w:rsidRPr="005E04A9">
        <w:rPr>
          <w:rFonts w:ascii="Tahoma" w:hAnsi="Tahoma" w:cs="Tahoma"/>
          <w:sz w:val="22"/>
          <w:szCs w:val="22"/>
        </w:rPr>
        <w:t xml:space="preserve"> de </w:t>
      </w:r>
      <w:r w:rsidR="00BD0F02">
        <w:rPr>
          <w:rFonts w:ascii="Tahoma" w:hAnsi="Tahoma" w:cs="Tahoma"/>
          <w:sz w:val="22"/>
          <w:szCs w:val="22"/>
        </w:rPr>
        <w:t>mayo</w:t>
      </w:r>
      <w:r w:rsidRPr="005E04A9">
        <w:rPr>
          <w:rFonts w:ascii="Tahoma" w:hAnsi="Tahoma" w:cs="Tahoma"/>
          <w:sz w:val="22"/>
          <w:szCs w:val="22"/>
        </w:rPr>
        <w:t xml:space="preserve"> de 201</w:t>
      </w:r>
      <w:r w:rsidR="00BD0F02">
        <w:rPr>
          <w:rFonts w:ascii="Tahoma" w:hAnsi="Tahoma" w:cs="Tahoma"/>
          <w:sz w:val="22"/>
          <w:szCs w:val="22"/>
        </w:rPr>
        <w:t>2</w:t>
      </w:r>
      <w:r w:rsidR="004469B0">
        <w:rPr>
          <w:rFonts w:ascii="Tahoma" w:hAnsi="Tahoma" w:cs="Tahoma"/>
          <w:sz w:val="22"/>
          <w:szCs w:val="22"/>
        </w:rPr>
        <w:t xml:space="preserve"> (</w:t>
      </w:r>
      <w:proofErr w:type="spellStart"/>
      <w:r w:rsidR="004469B0">
        <w:rPr>
          <w:rFonts w:ascii="Tahoma" w:hAnsi="Tahoma" w:cs="Tahoma"/>
          <w:sz w:val="22"/>
          <w:szCs w:val="22"/>
        </w:rPr>
        <w:t>fl</w:t>
      </w:r>
      <w:proofErr w:type="spellEnd"/>
      <w:r w:rsidR="004469B0">
        <w:rPr>
          <w:rFonts w:ascii="Tahoma" w:hAnsi="Tahoma" w:cs="Tahoma"/>
          <w:sz w:val="22"/>
          <w:szCs w:val="22"/>
        </w:rPr>
        <w:t>. 11)</w:t>
      </w:r>
      <w:r w:rsidRPr="005E04A9">
        <w:rPr>
          <w:rFonts w:ascii="Tahoma" w:hAnsi="Tahoma" w:cs="Tahoma"/>
          <w:sz w:val="22"/>
          <w:szCs w:val="22"/>
        </w:rPr>
        <w:t xml:space="preserve">; haber efectuado cotizaciones hasta el </w:t>
      </w:r>
      <w:r w:rsidR="004469B0">
        <w:rPr>
          <w:rFonts w:ascii="Tahoma" w:hAnsi="Tahoma" w:cs="Tahoma"/>
          <w:sz w:val="22"/>
          <w:szCs w:val="22"/>
        </w:rPr>
        <w:t>30 de abril de la misma anualidad</w:t>
      </w:r>
      <w:r w:rsidRPr="005E04A9">
        <w:rPr>
          <w:rFonts w:ascii="Tahoma" w:hAnsi="Tahoma" w:cs="Tahoma"/>
          <w:sz w:val="22"/>
          <w:szCs w:val="22"/>
        </w:rPr>
        <w:t xml:space="preserve"> (</w:t>
      </w:r>
      <w:proofErr w:type="spellStart"/>
      <w:r w:rsidRPr="005E04A9">
        <w:rPr>
          <w:rFonts w:ascii="Tahoma" w:hAnsi="Tahoma" w:cs="Tahoma"/>
          <w:sz w:val="22"/>
          <w:szCs w:val="22"/>
        </w:rPr>
        <w:t>fl</w:t>
      </w:r>
      <w:proofErr w:type="spellEnd"/>
      <w:r w:rsidRPr="005E04A9">
        <w:rPr>
          <w:rFonts w:ascii="Tahoma" w:hAnsi="Tahoma" w:cs="Tahoma"/>
          <w:sz w:val="22"/>
          <w:szCs w:val="22"/>
        </w:rPr>
        <w:t>. 1</w:t>
      </w:r>
      <w:r w:rsidR="004469B0">
        <w:rPr>
          <w:rFonts w:ascii="Tahoma" w:hAnsi="Tahoma" w:cs="Tahoma"/>
          <w:sz w:val="22"/>
          <w:szCs w:val="22"/>
        </w:rPr>
        <w:t>36</w:t>
      </w:r>
      <w:r w:rsidRPr="005E04A9">
        <w:rPr>
          <w:rFonts w:ascii="Tahoma" w:hAnsi="Tahoma" w:cs="Tahoma"/>
          <w:sz w:val="22"/>
          <w:szCs w:val="22"/>
        </w:rPr>
        <w:t xml:space="preserve"> </w:t>
      </w:r>
      <w:proofErr w:type="spellStart"/>
      <w:r w:rsidRPr="005E04A9">
        <w:rPr>
          <w:rFonts w:ascii="Tahoma" w:hAnsi="Tahoma" w:cs="Tahoma"/>
          <w:sz w:val="22"/>
          <w:szCs w:val="22"/>
        </w:rPr>
        <w:t>vto</w:t>
      </w:r>
      <w:proofErr w:type="spellEnd"/>
      <w:r w:rsidRPr="005E04A9">
        <w:rPr>
          <w:rFonts w:ascii="Tahoma" w:hAnsi="Tahoma" w:cs="Tahoma"/>
          <w:sz w:val="22"/>
          <w:szCs w:val="22"/>
        </w:rPr>
        <w:t xml:space="preserve">)  </w:t>
      </w:r>
      <w:r w:rsidRPr="005E04A9">
        <w:rPr>
          <w:rFonts w:ascii="Tahoma" w:hAnsi="Tahoma" w:cs="Tahoma"/>
          <w:i/>
          <w:sz w:val="22"/>
          <w:szCs w:val="22"/>
        </w:rPr>
        <w:t>–cuando contaba con 14</w:t>
      </w:r>
      <w:r w:rsidR="004469B0">
        <w:rPr>
          <w:rFonts w:ascii="Tahoma" w:hAnsi="Tahoma" w:cs="Tahoma"/>
          <w:i/>
          <w:sz w:val="22"/>
          <w:szCs w:val="22"/>
        </w:rPr>
        <w:t>57,86</w:t>
      </w:r>
      <w:r w:rsidRPr="005E04A9">
        <w:rPr>
          <w:rFonts w:ascii="Tahoma" w:hAnsi="Tahoma" w:cs="Tahoma"/>
          <w:i/>
          <w:sz w:val="22"/>
          <w:szCs w:val="22"/>
        </w:rPr>
        <w:t xml:space="preserve"> s</w:t>
      </w:r>
      <w:r w:rsidR="004469B0">
        <w:rPr>
          <w:rFonts w:ascii="Tahoma" w:hAnsi="Tahoma" w:cs="Tahoma"/>
          <w:i/>
          <w:sz w:val="22"/>
          <w:szCs w:val="22"/>
        </w:rPr>
        <w:t>emanas cotizadas</w:t>
      </w:r>
      <w:r w:rsidRPr="005E04A9">
        <w:rPr>
          <w:rFonts w:ascii="Tahoma" w:hAnsi="Tahoma" w:cs="Tahoma"/>
          <w:i/>
          <w:sz w:val="22"/>
          <w:szCs w:val="22"/>
        </w:rPr>
        <w:t>-</w:t>
      </w:r>
      <w:r w:rsidRPr="005E04A9">
        <w:rPr>
          <w:rFonts w:ascii="Tahoma" w:hAnsi="Tahoma" w:cs="Tahoma"/>
          <w:sz w:val="22"/>
          <w:szCs w:val="22"/>
        </w:rPr>
        <w:t xml:space="preserve">; y haber solicitado la prestación el </w:t>
      </w:r>
      <w:r w:rsidR="004469B0">
        <w:rPr>
          <w:rFonts w:ascii="Tahoma" w:hAnsi="Tahoma" w:cs="Tahoma"/>
          <w:sz w:val="22"/>
          <w:szCs w:val="22"/>
        </w:rPr>
        <w:t>16</w:t>
      </w:r>
      <w:r w:rsidRPr="005E04A9">
        <w:rPr>
          <w:rFonts w:ascii="Tahoma" w:hAnsi="Tahoma" w:cs="Tahoma"/>
          <w:sz w:val="22"/>
          <w:szCs w:val="22"/>
        </w:rPr>
        <w:t xml:space="preserve"> de </w:t>
      </w:r>
      <w:r w:rsidR="004469B0">
        <w:rPr>
          <w:rFonts w:ascii="Tahoma" w:hAnsi="Tahoma" w:cs="Tahoma"/>
          <w:sz w:val="22"/>
          <w:szCs w:val="22"/>
        </w:rPr>
        <w:t xml:space="preserve">mayo de 2012 </w:t>
      </w:r>
      <w:r w:rsidRPr="005E04A9">
        <w:rPr>
          <w:rFonts w:ascii="Tahoma" w:hAnsi="Tahoma" w:cs="Tahoma"/>
          <w:sz w:val="22"/>
          <w:szCs w:val="22"/>
        </w:rPr>
        <w:t>(</w:t>
      </w:r>
      <w:proofErr w:type="spellStart"/>
      <w:r w:rsidRPr="005E04A9">
        <w:rPr>
          <w:rFonts w:ascii="Tahoma" w:hAnsi="Tahoma" w:cs="Tahoma"/>
          <w:sz w:val="22"/>
          <w:szCs w:val="22"/>
        </w:rPr>
        <w:t>fl</w:t>
      </w:r>
      <w:proofErr w:type="spellEnd"/>
      <w:r w:rsidRPr="005E04A9">
        <w:rPr>
          <w:rFonts w:ascii="Tahoma" w:hAnsi="Tahoma" w:cs="Tahoma"/>
          <w:sz w:val="22"/>
          <w:szCs w:val="22"/>
        </w:rPr>
        <w:t xml:space="preserve">. </w:t>
      </w:r>
      <w:r w:rsidR="004469B0">
        <w:rPr>
          <w:rFonts w:ascii="Tahoma" w:hAnsi="Tahoma" w:cs="Tahoma"/>
          <w:sz w:val="22"/>
          <w:szCs w:val="22"/>
        </w:rPr>
        <w:t>45</w:t>
      </w:r>
      <w:r w:rsidRPr="005E04A9">
        <w:rPr>
          <w:rFonts w:ascii="Tahoma" w:hAnsi="Tahoma" w:cs="Tahoma"/>
          <w:sz w:val="22"/>
          <w:szCs w:val="22"/>
        </w:rPr>
        <w:t xml:space="preserve">), la fecha en la que el señor </w:t>
      </w:r>
      <w:r w:rsidR="004469B0">
        <w:rPr>
          <w:rFonts w:ascii="Tahoma" w:hAnsi="Tahoma" w:cs="Tahoma"/>
          <w:sz w:val="22"/>
          <w:szCs w:val="22"/>
        </w:rPr>
        <w:t xml:space="preserve">Herman Posada Correa </w:t>
      </w:r>
      <w:r w:rsidRPr="005E04A9">
        <w:rPr>
          <w:rFonts w:ascii="Tahoma" w:hAnsi="Tahoma" w:cs="Tahoma"/>
          <w:sz w:val="22"/>
          <w:szCs w:val="22"/>
        </w:rPr>
        <w:t xml:space="preserve">tenía derecho a disfrutar de la pensión no era otro que el día </w:t>
      </w:r>
      <w:r w:rsidR="004469B0">
        <w:rPr>
          <w:rFonts w:ascii="Tahoma" w:hAnsi="Tahoma" w:cs="Tahoma"/>
          <w:sz w:val="22"/>
          <w:szCs w:val="22"/>
        </w:rPr>
        <w:t>en que cumplió los 60 años de edad</w:t>
      </w:r>
      <w:r w:rsidRPr="005E04A9">
        <w:rPr>
          <w:rFonts w:ascii="Tahoma" w:hAnsi="Tahoma" w:cs="Tahoma"/>
          <w:sz w:val="22"/>
          <w:szCs w:val="22"/>
        </w:rPr>
        <w:t xml:space="preserve">, esto es, el </w:t>
      </w:r>
      <w:r w:rsidR="004469B0">
        <w:rPr>
          <w:rFonts w:ascii="Tahoma" w:hAnsi="Tahoma" w:cs="Tahoma"/>
          <w:sz w:val="22"/>
          <w:szCs w:val="22"/>
        </w:rPr>
        <w:t>2 de mayo de 2012</w:t>
      </w:r>
      <w:r w:rsidRPr="005E04A9">
        <w:rPr>
          <w:rFonts w:ascii="Tahoma" w:hAnsi="Tahoma" w:cs="Tahoma"/>
          <w:sz w:val="22"/>
          <w:szCs w:val="22"/>
        </w:rPr>
        <w:t xml:space="preserve">. Esta intelección la sostiene la Sala de Casación Laboral de la Corte Suprema de Justicia en sentencia del 11 de marzo de 2015, con radicado número 56171, ponencia del Magistrado Luis Gabriel Miranda </w:t>
      </w:r>
      <w:proofErr w:type="spellStart"/>
      <w:r w:rsidRPr="005E04A9">
        <w:rPr>
          <w:rFonts w:ascii="Tahoma" w:hAnsi="Tahoma" w:cs="Tahoma"/>
          <w:sz w:val="22"/>
          <w:szCs w:val="22"/>
        </w:rPr>
        <w:t>Buelvas</w:t>
      </w:r>
      <w:proofErr w:type="spellEnd"/>
      <w:r w:rsidRPr="005E04A9">
        <w:rPr>
          <w:rFonts w:ascii="Tahoma" w:hAnsi="Tahoma" w:cs="Tahoma"/>
          <w:sz w:val="22"/>
          <w:szCs w:val="22"/>
        </w:rPr>
        <w:t xml:space="preserve">, </w:t>
      </w:r>
      <w:r w:rsidRPr="005E04A9">
        <w:rPr>
          <w:rFonts w:ascii="Tahoma" w:hAnsi="Tahoma" w:cs="Tahoma"/>
          <w:i/>
          <w:sz w:val="22"/>
          <w:szCs w:val="22"/>
        </w:rPr>
        <w:t>-reiterada en la sentencia SL5603-2016-</w:t>
      </w:r>
      <w:r w:rsidRPr="005E04A9">
        <w:rPr>
          <w:rFonts w:ascii="Tahoma" w:hAnsi="Tahoma" w:cs="Tahoma"/>
          <w:sz w:val="22"/>
          <w:szCs w:val="22"/>
        </w:rPr>
        <w:t>, en la cual se expuso:</w:t>
      </w:r>
    </w:p>
    <w:p w:rsidR="005E04A9" w:rsidRPr="005E04A9" w:rsidRDefault="005E04A9" w:rsidP="005E04A9">
      <w:pPr>
        <w:pStyle w:val="Paragraphedeliste"/>
        <w:spacing w:line="276" w:lineRule="auto"/>
        <w:ind w:left="1080"/>
        <w:jc w:val="both"/>
        <w:rPr>
          <w:rFonts w:ascii="Tahoma" w:hAnsi="Tahoma" w:cs="Tahoma"/>
          <w:bCs/>
          <w:sz w:val="22"/>
          <w:szCs w:val="22"/>
        </w:rPr>
      </w:pPr>
    </w:p>
    <w:p w:rsidR="005E04A9" w:rsidRPr="005E04A9" w:rsidRDefault="005E04A9" w:rsidP="005E04A9">
      <w:pPr>
        <w:pStyle w:val="Paragraphedeliste"/>
        <w:ind w:left="709" w:right="335"/>
        <w:jc w:val="both"/>
        <w:rPr>
          <w:rFonts w:ascii="Arial Narrow" w:hAnsi="Arial Narrow"/>
          <w:sz w:val="22"/>
          <w:szCs w:val="22"/>
        </w:rPr>
      </w:pPr>
      <w:r w:rsidRPr="005E04A9">
        <w:rPr>
          <w:rFonts w:ascii="Arial Narrow" w:hAnsi="Arial Narrow" w:cs="Estrangelo Edessa"/>
          <w:iCs/>
          <w:sz w:val="22"/>
          <w:szCs w:val="22"/>
        </w:rPr>
        <w:t xml:space="preserve">“Además de las anteriores consideraciones debe precisar la Corte que si bien es cierto el </w:t>
      </w:r>
      <w:r w:rsidRPr="005E04A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5E04A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5E04A9">
        <w:rPr>
          <w:rFonts w:ascii="Arial Narrow" w:hAnsi="Arial Narrow"/>
          <w:strike/>
          <w:sz w:val="22"/>
          <w:szCs w:val="22"/>
        </w:rPr>
        <w:t>º</w:t>
      </w:r>
      <w:r w:rsidRPr="005E04A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w:t>
      </w:r>
      <w:r w:rsidR="00243D9E">
        <w:rPr>
          <w:rFonts w:ascii="Arial Narrow" w:hAnsi="Arial Narrow"/>
          <w:sz w:val="22"/>
          <w:szCs w:val="22"/>
        </w:rPr>
        <w:t>.</w:t>
      </w:r>
      <w:r w:rsidRPr="005E04A9">
        <w:rPr>
          <w:rFonts w:ascii="Arial Narrow" w:hAnsi="Arial Narrow"/>
          <w:sz w:val="22"/>
          <w:szCs w:val="22"/>
        </w:rPr>
        <w:t>”</w:t>
      </w:r>
    </w:p>
    <w:p w:rsidR="005E04A9" w:rsidRPr="005E04A9" w:rsidRDefault="005E04A9" w:rsidP="005E04A9">
      <w:pPr>
        <w:pStyle w:val="Paragraphedeliste"/>
        <w:ind w:left="1080"/>
        <w:jc w:val="both"/>
        <w:rPr>
          <w:rFonts w:ascii="Tahoma" w:hAnsi="Tahoma" w:cs="Tahoma"/>
          <w:sz w:val="22"/>
          <w:szCs w:val="22"/>
        </w:rPr>
      </w:pPr>
    </w:p>
    <w:p w:rsidR="005E04A9" w:rsidRDefault="004469B0" w:rsidP="004A349C">
      <w:pPr>
        <w:pStyle w:val="Paragraphedeliste"/>
        <w:spacing w:line="276" w:lineRule="auto"/>
        <w:ind w:left="0" w:firstLine="709"/>
        <w:jc w:val="both"/>
        <w:rPr>
          <w:rFonts w:ascii="Tahoma" w:hAnsi="Tahoma" w:cs="Tahoma"/>
          <w:sz w:val="22"/>
          <w:szCs w:val="22"/>
        </w:rPr>
      </w:pPr>
      <w:r>
        <w:rPr>
          <w:rFonts w:ascii="Tahoma" w:hAnsi="Tahoma" w:cs="Tahoma"/>
          <w:sz w:val="22"/>
          <w:szCs w:val="22"/>
        </w:rPr>
        <w:t xml:space="preserve">No obstante, al conocerse el presente asunto en virtud del grado jurisdiccional de consulta, no se modificará la determinación de la </w:t>
      </w:r>
      <w:r w:rsidRPr="005E04A9">
        <w:rPr>
          <w:rFonts w:ascii="Tahoma" w:hAnsi="Tahoma" w:cs="Tahoma"/>
          <w:sz w:val="22"/>
          <w:szCs w:val="22"/>
        </w:rPr>
        <w:t>Jueza de instancia</w:t>
      </w:r>
      <w:r>
        <w:rPr>
          <w:rFonts w:ascii="Tahoma" w:hAnsi="Tahoma" w:cs="Tahoma"/>
          <w:sz w:val="22"/>
          <w:szCs w:val="22"/>
        </w:rPr>
        <w:t>, quien ordenó el reconocimiento desde el día siguiente en que se hizo la reclamación</w:t>
      </w:r>
      <w:r w:rsidR="0027552B">
        <w:rPr>
          <w:rFonts w:ascii="Tahoma" w:hAnsi="Tahoma" w:cs="Tahoma"/>
          <w:sz w:val="22"/>
          <w:szCs w:val="22"/>
        </w:rPr>
        <w:t>, esto es, desde el 17 de mayo de 2012</w:t>
      </w:r>
      <w:r>
        <w:rPr>
          <w:rFonts w:ascii="Tahoma" w:hAnsi="Tahoma" w:cs="Tahoma"/>
          <w:sz w:val="22"/>
          <w:szCs w:val="22"/>
        </w:rPr>
        <w:t>.</w:t>
      </w:r>
      <w:r w:rsidR="005E04A9" w:rsidRPr="005E04A9">
        <w:rPr>
          <w:rFonts w:ascii="Tahoma" w:hAnsi="Tahoma" w:cs="Tahoma"/>
          <w:sz w:val="22"/>
          <w:szCs w:val="22"/>
        </w:rPr>
        <w:t xml:space="preserve"> </w:t>
      </w:r>
      <w:r w:rsidR="004A349C" w:rsidRPr="005E04A9">
        <w:rPr>
          <w:rFonts w:ascii="Tahoma" w:hAnsi="Tahoma" w:cs="Tahoma"/>
          <w:sz w:val="22"/>
          <w:szCs w:val="22"/>
        </w:rPr>
        <w:t xml:space="preserve">Por </w:t>
      </w:r>
      <w:r w:rsidR="005E04A9" w:rsidRPr="005E04A9">
        <w:rPr>
          <w:rFonts w:ascii="Tahoma" w:hAnsi="Tahoma" w:cs="Tahoma"/>
          <w:sz w:val="22"/>
          <w:szCs w:val="22"/>
        </w:rPr>
        <w:t>otra parte, fue acertado el hito final hasta el cual calculó el retroactivo, 3</w:t>
      </w:r>
      <w:r w:rsidR="004A349C">
        <w:rPr>
          <w:rFonts w:ascii="Tahoma" w:hAnsi="Tahoma" w:cs="Tahoma"/>
          <w:sz w:val="22"/>
          <w:szCs w:val="22"/>
        </w:rPr>
        <w:t>0</w:t>
      </w:r>
      <w:r w:rsidR="005E04A9" w:rsidRPr="005E04A9">
        <w:rPr>
          <w:rFonts w:ascii="Tahoma" w:hAnsi="Tahoma" w:cs="Tahoma"/>
          <w:sz w:val="22"/>
          <w:szCs w:val="22"/>
        </w:rPr>
        <w:t xml:space="preserve"> de agosto de 201</w:t>
      </w:r>
      <w:r w:rsidR="004A349C">
        <w:rPr>
          <w:rFonts w:ascii="Tahoma" w:hAnsi="Tahoma" w:cs="Tahoma"/>
          <w:sz w:val="22"/>
          <w:szCs w:val="22"/>
        </w:rPr>
        <w:t>3</w:t>
      </w:r>
      <w:r w:rsidR="005E04A9" w:rsidRPr="005E04A9">
        <w:rPr>
          <w:rFonts w:ascii="Tahoma" w:hAnsi="Tahoma" w:cs="Tahoma"/>
          <w:sz w:val="22"/>
          <w:szCs w:val="22"/>
        </w:rPr>
        <w:t>, pues la prestación se reconoció a partir del día siguiente, 1º de septiembre.</w:t>
      </w:r>
    </w:p>
    <w:p w:rsidR="004A349C" w:rsidRPr="005E04A9" w:rsidRDefault="004A349C" w:rsidP="004A349C">
      <w:pPr>
        <w:pStyle w:val="Paragraphedeliste"/>
        <w:spacing w:line="276" w:lineRule="auto"/>
        <w:ind w:left="0" w:firstLine="709"/>
        <w:jc w:val="both"/>
        <w:rPr>
          <w:rFonts w:ascii="Tahoma" w:hAnsi="Tahoma" w:cs="Tahoma"/>
          <w:sz w:val="22"/>
          <w:szCs w:val="22"/>
        </w:rPr>
      </w:pPr>
    </w:p>
    <w:p w:rsidR="004A349C" w:rsidRDefault="004A349C" w:rsidP="000513E3">
      <w:pPr>
        <w:pStyle w:val="Paragraphedeliste"/>
        <w:spacing w:line="276" w:lineRule="auto"/>
        <w:ind w:left="0" w:firstLine="709"/>
        <w:jc w:val="both"/>
        <w:rPr>
          <w:rFonts w:ascii="Tahoma" w:hAnsi="Tahoma" w:cs="Tahoma"/>
          <w:sz w:val="22"/>
          <w:szCs w:val="22"/>
        </w:rPr>
      </w:pPr>
      <w:r>
        <w:rPr>
          <w:rFonts w:ascii="Tahoma" w:hAnsi="Tahoma" w:cs="Tahoma"/>
          <w:sz w:val="22"/>
          <w:szCs w:val="22"/>
        </w:rPr>
        <w:t>Así las cosas, la Sala procedió a verificar si el retroactivo decretado en primer grado se encuentra ajustado a derecho. Para ello,</w:t>
      </w:r>
      <w:r w:rsidR="000513E3">
        <w:rPr>
          <w:rFonts w:ascii="Tahoma" w:hAnsi="Tahoma" w:cs="Tahoma"/>
          <w:sz w:val="22"/>
          <w:szCs w:val="22"/>
        </w:rPr>
        <w:t xml:space="preserve"> se avalará como primera medida la disposición por la cual se calculó el monto adeudado por trece mesadas anuales, como quiera que la pensión supera los 3 salarios mínimos legales y se causó con posterioridad al 31 de julio de 2011.</w:t>
      </w:r>
    </w:p>
    <w:p w:rsidR="000513E3" w:rsidRDefault="000513E3" w:rsidP="000513E3">
      <w:pPr>
        <w:pStyle w:val="Paragraphedeliste"/>
        <w:spacing w:line="276" w:lineRule="auto"/>
        <w:ind w:left="0" w:firstLine="709"/>
        <w:jc w:val="both"/>
        <w:rPr>
          <w:rFonts w:ascii="Tahoma" w:hAnsi="Tahoma" w:cs="Tahoma"/>
          <w:sz w:val="22"/>
          <w:szCs w:val="22"/>
        </w:rPr>
      </w:pPr>
    </w:p>
    <w:p w:rsidR="00DE6687" w:rsidRDefault="000513E3" w:rsidP="000513E3">
      <w:pPr>
        <w:spacing w:line="276" w:lineRule="auto"/>
        <w:ind w:firstLine="709"/>
        <w:jc w:val="both"/>
        <w:rPr>
          <w:rFonts w:ascii="Tahoma" w:hAnsi="Tahoma" w:cs="Tahoma"/>
          <w:sz w:val="22"/>
          <w:szCs w:val="22"/>
        </w:rPr>
      </w:pPr>
      <w:r>
        <w:rPr>
          <w:rFonts w:ascii="Tahoma" w:hAnsi="Tahoma" w:cs="Tahoma"/>
          <w:sz w:val="22"/>
          <w:szCs w:val="22"/>
        </w:rPr>
        <w:t xml:space="preserve">Ahora bien, debe decirse que a </w:t>
      </w:r>
      <w:r w:rsidRPr="00DE6687">
        <w:rPr>
          <w:rFonts w:ascii="Tahoma" w:hAnsi="Tahoma" w:cs="Tahoma"/>
          <w:sz w:val="22"/>
          <w:szCs w:val="22"/>
        </w:rPr>
        <w:t>pesar de que el valor que tomó la Jueza de instancia para el año 201</w:t>
      </w:r>
      <w:r w:rsidR="0027552B" w:rsidRPr="00DE6687">
        <w:rPr>
          <w:rFonts w:ascii="Tahoma" w:hAnsi="Tahoma" w:cs="Tahoma"/>
          <w:sz w:val="22"/>
          <w:szCs w:val="22"/>
        </w:rPr>
        <w:t>2</w:t>
      </w:r>
      <w:r w:rsidR="000824C9" w:rsidRPr="00DE6687">
        <w:rPr>
          <w:rFonts w:ascii="Tahoma" w:hAnsi="Tahoma" w:cs="Tahoma"/>
          <w:sz w:val="22"/>
          <w:szCs w:val="22"/>
        </w:rPr>
        <w:t xml:space="preserve">, </w:t>
      </w:r>
      <w:r w:rsidRPr="00DE6687">
        <w:rPr>
          <w:rFonts w:ascii="Tahoma" w:hAnsi="Tahoma" w:cs="Tahoma"/>
          <w:sz w:val="22"/>
          <w:szCs w:val="22"/>
        </w:rPr>
        <w:t>por $</w:t>
      </w:r>
      <w:r w:rsidR="0027552B" w:rsidRPr="00DE6687">
        <w:rPr>
          <w:rFonts w:ascii="Tahoma" w:hAnsi="Tahoma" w:cs="Tahoma"/>
          <w:sz w:val="22"/>
          <w:szCs w:val="22"/>
        </w:rPr>
        <w:t>753.577</w:t>
      </w:r>
      <w:r w:rsidRPr="00DE6687">
        <w:rPr>
          <w:rFonts w:ascii="Tahoma" w:hAnsi="Tahoma" w:cs="Tahoma"/>
          <w:sz w:val="22"/>
          <w:szCs w:val="22"/>
        </w:rPr>
        <w:t xml:space="preserve">, </w:t>
      </w:r>
      <w:r w:rsidR="00DE6687" w:rsidRPr="00DE6687">
        <w:rPr>
          <w:rFonts w:ascii="Tahoma" w:hAnsi="Tahoma" w:cs="Tahoma"/>
          <w:i/>
          <w:sz w:val="22"/>
          <w:szCs w:val="22"/>
        </w:rPr>
        <w:t>-</w:t>
      </w:r>
      <w:r w:rsidRPr="00DE6687">
        <w:rPr>
          <w:rFonts w:ascii="Tahoma" w:hAnsi="Tahoma" w:cs="Tahoma"/>
          <w:i/>
          <w:sz w:val="22"/>
          <w:szCs w:val="22"/>
        </w:rPr>
        <w:t>con base en la mesada reconocida por Colpensiones para el año 201</w:t>
      </w:r>
      <w:r w:rsidR="0027552B" w:rsidRPr="00DE6687">
        <w:rPr>
          <w:rFonts w:ascii="Tahoma" w:hAnsi="Tahoma" w:cs="Tahoma"/>
          <w:i/>
          <w:sz w:val="22"/>
          <w:szCs w:val="22"/>
        </w:rPr>
        <w:t>3</w:t>
      </w:r>
      <w:r w:rsidR="00DE6687" w:rsidRPr="00DE6687">
        <w:rPr>
          <w:rFonts w:ascii="Tahoma" w:hAnsi="Tahoma" w:cs="Tahoma"/>
          <w:i/>
          <w:sz w:val="22"/>
          <w:szCs w:val="22"/>
        </w:rPr>
        <w:t>-</w:t>
      </w:r>
      <w:r w:rsidRPr="00DE6687">
        <w:rPr>
          <w:rFonts w:ascii="Tahoma" w:hAnsi="Tahoma" w:cs="Tahoma"/>
          <w:i/>
          <w:sz w:val="22"/>
          <w:szCs w:val="22"/>
        </w:rPr>
        <w:t xml:space="preserve">, </w:t>
      </w:r>
      <w:r w:rsidRPr="00DE6687">
        <w:rPr>
          <w:rFonts w:ascii="Tahoma" w:hAnsi="Tahoma" w:cs="Tahoma"/>
          <w:sz w:val="22"/>
          <w:szCs w:val="22"/>
        </w:rPr>
        <w:t xml:space="preserve">es </w:t>
      </w:r>
      <w:r w:rsidR="0027552B" w:rsidRPr="00DE6687">
        <w:rPr>
          <w:rFonts w:ascii="Tahoma" w:hAnsi="Tahoma" w:cs="Tahoma"/>
          <w:sz w:val="22"/>
          <w:szCs w:val="22"/>
        </w:rPr>
        <w:t>acertado</w:t>
      </w:r>
      <w:r w:rsidR="00DE6687">
        <w:rPr>
          <w:rFonts w:ascii="Tahoma" w:hAnsi="Tahoma" w:cs="Tahoma"/>
          <w:sz w:val="22"/>
          <w:szCs w:val="22"/>
        </w:rPr>
        <w:t xml:space="preserve">, erró al calcular las mesadas causadas en el año 2012, pues sólo tomo </w:t>
      </w:r>
      <w:r w:rsidR="00DE6687" w:rsidRPr="00DE6687">
        <w:rPr>
          <w:rFonts w:ascii="Tahoma" w:hAnsi="Tahoma" w:cs="Tahoma"/>
          <w:sz w:val="22"/>
          <w:szCs w:val="22"/>
        </w:rPr>
        <w:t>7,47</w:t>
      </w:r>
      <w:r w:rsidR="00DE6687">
        <w:rPr>
          <w:rFonts w:ascii="Tahoma" w:hAnsi="Tahoma" w:cs="Tahoma"/>
          <w:sz w:val="22"/>
          <w:szCs w:val="22"/>
        </w:rPr>
        <w:t xml:space="preserve">, cuando realmente correspondía a 8,466, por lo que el retroactivo ascendía a </w:t>
      </w:r>
      <w:r w:rsidR="00DE6687" w:rsidRPr="000824C9">
        <w:rPr>
          <w:rFonts w:ascii="Tahoma" w:hAnsi="Tahoma" w:cs="Tahoma"/>
          <w:sz w:val="22"/>
          <w:szCs w:val="22"/>
        </w:rPr>
        <w:t>$13.327.914</w:t>
      </w:r>
      <w:r w:rsidR="00DE6687">
        <w:rPr>
          <w:rFonts w:ascii="Tahoma" w:hAnsi="Tahoma" w:cs="Tahoma"/>
          <w:sz w:val="22"/>
          <w:szCs w:val="22"/>
        </w:rPr>
        <w:t xml:space="preserve"> y no a $12.576.899, tal como se observa en la liquidación que se pone de presente a los asistentes y que hará parte del acta que se levante con ocasión de la presente diligencia; sin embargo</w:t>
      </w:r>
      <w:r w:rsidRPr="00DE6687">
        <w:rPr>
          <w:rFonts w:ascii="Tahoma" w:hAnsi="Tahoma" w:cs="Tahoma"/>
          <w:sz w:val="22"/>
          <w:szCs w:val="22"/>
        </w:rPr>
        <w:t xml:space="preserve">, se mantendrá incólume la condena </w:t>
      </w:r>
      <w:r w:rsidR="00DE6687">
        <w:rPr>
          <w:rFonts w:ascii="Tahoma" w:hAnsi="Tahoma" w:cs="Tahoma"/>
          <w:sz w:val="22"/>
          <w:szCs w:val="22"/>
        </w:rPr>
        <w:t>por conocerse el presentes asunto en virtud del grado jurisdiccional de consulta.</w:t>
      </w:r>
    </w:p>
    <w:p w:rsidR="005E04A9" w:rsidRPr="005E04A9" w:rsidRDefault="005E04A9" w:rsidP="005E04A9">
      <w:pPr>
        <w:spacing w:line="276" w:lineRule="auto"/>
        <w:ind w:firstLine="708"/>
        <w:jc w:val="both"/>
        <w:rPr>
          <w:rFonts w:ascii="Tahoma" w:hAnsi="Tahoma" w:cs="Tahoma"/>
          <w:sz w:val="22"/>
          <w:szCs w:val="22"/>
        </w:rPr>
      </w:pPr>
      <w:r w:rsidRPr="005E04A9">
        <w:rPr>
          <w:rFonts w:ascii="Tahoma" w:hAnsi="Tahoma" w:cs="Tahoma"/>
          <w:sz w:val="22"/>
          <w:szCs w:val="22"/>
        </w:rPr>
        <w:lastRenderedPageBreak/>
        <w:t>Finalmente, se dirá que ninguna de las mesadas reclamadas se vio afectada por el fenómeno de la prescripción en razón que entre la fecha en que quedó en firme la Resolución</w:t>
      </w:r>
      <w:r w:rsidR="004A349C" w:rsidRPr="004A349C">
        <w:rPr>
          <w:rFonts w:ascii="Tahoma" w:hAnsi="Tahoma" w:cs="Tahoma"/>
          <w:sz w:val="22"/>
          <w:szCs w:val="22"/>
        </w:rPr>
        <w:t xml:space="preserve"> </w:t>
      </w:r>
      <w:r w:rsidR="004A349C" w:rsidRPr="005E04A9">
        <w:rPr>
          <w:rFonts w:ascii="Tahoma" w:hAnsi="Tahoma" w:cs="Tahoma"/>
          <w:sz w:val="22"/>
          <w:szCs w:val="22"/>
        </w:rPr>
        <w:t xml:space="preserve">GNR </w:t>
      </w:r>
      <w:r w:rsidR="004A349C">
        <w:rPr>
          <w:rFonts w:ascii="Tahoma" w:hAnsi="Tahoma" w:cs="Tahoma"/>
          <w:sz w:val="22"/>
          <w:szCs w:val="22"/>
        </w:rPr>
        <w:t>120357</w:t>
      </w:r>
      <w:r w:rsidR="004A349C" w:rsidRPr="005E04A9">
        <w:rPr>
          <w:rFonts w:ascii="Tahoma" w:hAnsi="Tahoma" w:cs="Tahoma"/>
          <w:sz w:val="22"/>
          <w:szCs w:val="22"/>
        </w:rPr>
        <w:t xml:space="preserve"> del </w:t>
      </w:r>
      <w:r w:rsidR="004A349C">
        <w:rPr>
          <w:rFonts w:ascii="Tahoma" w:hAnsi="Tahoma" w:cs="Tahoma"/>
          <w:sz w:val="22"/>
          <w:szCs w:val="22"/>
        </w:rPr>
        <w:t>7 de abril de 2014</w:t>
      </w:r>
      <w:r w:rsidRPr="005E04A9">
        <w:rPr>
          <w:rFonts w:ascii="Tahoma" w:hAnsi="Tahoma" w:cs="Tahoma"/>
          <w:sz w:val="22"/>
          <w:szCs w:val="22"/>
        </w:rPr>
        <w:t>, por medio de la cual se resolvió el recurso de reposición interpuesto en contra de la Resolución</w:t>
      </w:r>
      <w:r w:rsidR="004A349C" w:rsidRPr="005E04A9">
        <w:rPr>
          <w:rFonts w:ascii="Tahoma" w:hAnsi="Tahoma" w:cs="Tahoma"/>
          <w:sz w:val="22"/>
          <w:szCs w:val="22"/>
        </w:rPr>
        <w:t xml:space="preserve"> </w:t>
      </w:r>
      <w:r w:rsidR="00BF2D2C">
        <w:rPr>
          <w:rFonts w:ascii="Tahoma" w:hAnsi="Tahoma" w:cs="Tahoma"/>
          <w:sz w:val="22"/>
          <w:szCs w:val="22"/>
        </w:rPr>
        <w:t>03140 de 2012</w:t>
      </w:r>
      <w:r w:rsidRPr="005E04A9">
        <w:rPr>
          <w:rFonts w:ascii="Tahoma" w:hAnsi="Tahoma" w:cs="Tahoma"/>
          <w:sz w:val="22"/>
          <w:szCs w:val="22"/>
        </w:rPr>
        <w:t>, y la presentación de la demanda, no transcurrieron más de 3 años; y que con ocasión de la pérdida del poder adquisitivo de la moneda el actor tiene derecho a que el retroactivo sea debidamente indexado al momento del pago de la obligación.</w:t>
      </w:r>
    </w:p>
    <w:p w:rsidR="005E04A9" w:rsidRPr="005E04A9" w:rsidRDefault="005E04A9" w:rsidP="005E04A9">
      <w:pPr>
        <w:pStyle w:val="Paragraphedeliste"/>
        <w:spacing w:line="276" w:lineRule="auto"/>
        <w:ind w:left="1080"/>
        <w:jc w:val="both"/>
        <w:rPr>
          <w:rFonts w:ascii="Tahoma" w:hAnsi="Tahoma" w:cs="Tahoma"/>
          <w:sz w:val="22"/>
          <w:szCs w:val="22"/>
        </w:rPr>
      </w:pPr>
    </w:p>
    <w:p w:rsidR="005E04A9" w:rsidRPr="005E04A9" w:rsidRDefault="005E04A9" w:rsidP="005E04A9">
      <w:pPr>
        <w:spacing w:line="276" w:lineRule="auto"/>
        <w:ind w:firstLine="708"/>
        <w:jc w:val="both"/>
        <w:rPr>
          <w:rFonts w:ascii="Tahoma" w:hAnsi="Tahoma" w:cs="Tahoma"/>
          <w:bCs/>
          <w:sz w:val="22"/>
          <w:szCs w:val="22"/>
        </w:rPr>
      </w:pPr>
      <w:r w:rsidRPr="005E04A9">
        <w:rPr>
          <w:rFonts w:ascii="Tahoma" w:hAnsi="Tahoma" w:cs="Tahoma"/>
          <w:sz w:val="22"/>
          <w:szCs w:val="22"/>
        </w:rPr>
        <w:t>No siendo otro el objeto de debate, se confirmará la sentencia de primer</w:t>
      </w:r>
      <w:r w:rsidR="004A349C">
        <w:rPr>
          <w:rFonts w:ascii="Tahoma" w:hAnsi="Tahoma" w:cs="Tahoma"/>
          <w:sz w:val="22"/>
          <w:szCs w:val="22"/>
        </w:rPr>
        <w:t>a instancia</w:t>
      </w:r>
      <w:r w:rsidRPr="005E04A9">
        <w:rPr>
          <w:rFonts w:ascii="Tahoma" w:hAnsi="Tahoma" w:cs="Tahoma"/>
          <w:sz w:val="22"/>
          <w:szCs w:val="22"/>
        </w:rPr>
        <w:t xml:space="preserve">. </w:t>
      </w:r>
      <w:r w:rsidRPr="005E04A9">
        <w:rPr>
          <w:rFonts w:ascii="Tahoma" w:hAnsi="Tahoma" w:cs="Tahoma"/>
          <w:bCs/>
          <w:sz w:val="22"/>
          <w:szCs w:val="22"/>
        </w:rPr>
        <w:t>Sin lugar a costas en este grado jurisdiccional.</w:t>
      </w:r>
    </w:p>
    <w:p w:rsidR="005E04A9" w:rsidRDefault="005E04A9" w:rsidP="005E04A9">
      <w:pPr>
        <w:pStyle w:val="Corpsdetexte"/>
        <w:spacing w:after="0" w:line="276" w:lineRule="auto"/>
        <w:ind w:right="51"/>
        <w:jc w:val="both"/>
        <w:rPr>
          <w:rFonts w:ascii="Tahoma" w:hAnsi="Tahoma" w:cs="Tahoma"/>
          <w:sz w:val="22"/>
          <w:szCs w:val="22"/>
        </w:rPr>
      </w:pPr>
    </w:p>
    <w:p w:rsidR="005E04A9" w:rsidRDefault="005E04A9" w:rsidP="005E04A9">
      <w:pPr>
        <w:pStyle w:val="Retraitcorpsdetexte"/>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5E04A9" w:rsidRPr="005E04A9" w:rsidRDefault="005E04A9" w:rsidP="005E04A9">
      <w:pPr>
        <w:pStyle w:val="Paragraphedeliste"/>
        <w:tabs>
          <w:tab w:val="left" w:pos="748"/>
        </w:tabs>
        <w:spacing w:line="276" w:lineRule="auto"/>
        <w:ind w:left="1080"/>
        <w:jc w:val="both"/>
        <w:rPr>
          <w:sz w:val="22"/>
          <w:szCs w:val="22"/>
        </w:rPr>
      </w:pPr>
    </w:p>
    <w:p w:rsidR="005E04A9" w:rsidRPr="005E04A9" w:rsidRDefault="005E04A9" w:rsidP="005E04A9">
      <w:pPr>
        <w:pStyle w:val="Paragraphedeliste"/>
        <w:widowControl w:val="0"/>
        <w:numPr>
          <w:ilvl w:val="0"/>
          <w:numId w:val="8"/>
        </w:numPr>
        <w:autoSpaceDE w:val="0"/>
        <w:autoSpaceDN w:val="0"/>
        <w:adjustRightInd w:val="0"/>
        <w:spacing w:line="276" w:lineRule="auto"/>
        <w:jc w:val="center"/>
        <w:rPr>
          <w:rFonts w:ascii="Tahoma" w:hAnsi="Tahoma" w:cs="Tahoma"/>
          <w:b/>
          <w:sz w:val="22"/>
          <w:szCs w:val="22"/>
        </w:rPr>
      </w:pPr>
      <w:r w:rsidRPr="005E04A9">
        <w:rPr>
          <w:rFonts w:ascii="Tahoma" w:hAnsi="Tahoma" w:cs="Tahoma"/>
          <w:b/>
          <w:sz w:val="22"/>
          <w:szCs w:val="22"/>
        </w:rPr>
        <w:t>RESUELVE:</w:t>
      </w:r>
    </w:p>
    <w:p w:rsidR="005E04A9" w:rsidRPr="005E04A9" w:rsidRDefault="005E04A9" w:rsidP="005E04A9">
      <w:pPr>
        <w:pStyle w:val="Paragraphedeliste"/>
        <w:widowControl w:val="0"/>
        <w:autoSpaceDE w:val="0"/>
        <w:autoSpaceDN w:val="0"/>
        <w:adjustRightInd w:val="0"/>
        <w:spacing w:line="276" w:lineRule="auto"/>
        <w:ind w:left="1080"/>
        <w:jc w:val="both"/>
        <w:rPr>
          <w:rFonts w:ascii="Tahoma" w:hAnsi="Tahoma" w:cs="Tahoma"/>
          <w:sz w:val="22"/>
          <w:szCs w:val="22"/>
        </w:rPr>
      </w:pPr>
    </w:p>
    <w:p w:rsidR="005E04A9" w:rsidRPr="005E04A9" w:rsidRDefault="005E04A9" w:rsidP="005E04A9">
      <w:pPr>
        <w:pStyle w:val="Paragraphedeliste"/>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Pr="005E04A9">
        <w:rPr>
          <w:rFonts w:ascii="Tahoma" w:hAnsi="Tahoma" w:cs="Tahoma"/>
          <w:b/>
          <w:sz w:val="22"/>
          <w:szCs w:val="22"/>
        </w:rPr>
        <w:t>CONFIRMAR</w:t>
      </w:r>
      <w:r w:rsidRPr="005E04A9">
        <w:rPr>
          <w:rFonts w:ascii="Tahoma" w:hAnsi="Tahoma" w:cs="Tahoma"/>
          <w:sz w:val="22"/>
          <w:szCs w:val="22"/>
        </w:rPr>
        <w:t xml:space="preserve"> la sentencia proferida por el Juzgado </w:t>
      </w:r>
      <w:r w:rsidR="00DE6687">
        <w:rPr>
          <w:rFonts w:ascii="Tahoma" w:hAnsi="Tahoma" w:cs="Tahoma"/>
          <w:sz w:val="22"/>
          <w:szCs w:val="22"/>
        </w:rPr>
        <w:t>Primer</w:t>
      </w:r>
      <w:r w:rsidRPr="005E04A9">
        <w:rPr>
          <w:rFonts w:ascii="Tahoma" w:hAnsi="Tahoma" w:cs="Tahoma"/>
          <w:sz w:val="22"/>
          <w:szCs w:val="22"/>
        </w:rPr>
        <w:t xml:space="preserve">o Laboral del Circuito de Pereira, dentro del proceso iniciado por </w:t>
      </w:r>
      <w:r w:rsidR="00BF2D2C" w:rsidRPr="00BF2D2C">
        <w:rPr>
          <w:rFonts w:ascii="Tahoma" w:hAnsi="Tahoma" w:cs="Tahoma"/>
          <w:b/>
          <w:sz w:val="22"/>
          <w:szCs w:val="22"/>
        </w:rPr>
        <w:t>Javier Ramírez Pino</w:t>
      </w:r>
      <w:r w:rsidRPr="005E04A9">
        <w:rPr>
          <w:rFonts w:ascii="Tahoma" w:hAnsi="Tahoma" w:cs="Tahoma"/>
          <w:b/>
          <w:sz w:val="22"/>
          <w:szCs w:val="22"/>
        </w:rPr>
        <w:t xml:space="preserv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Pr="005E04A9">
        <w:rPr>
          <w:rFonts w:ascii="Tahoma" w:hAnsi="Tahoma" w:cs="Tahoma"/>
          <w:sz w:val="22"/>
          <w:szCs w:val="22"/>
        </w:rPr>
        <w:t>.</w:t>
      </w:r>
    </w:p>
    <w:p w:rsidR="005E04A9" w:rsidRPr="005E04A9" w:rsidRDefault="005E04A9" w:rsidP="005E04A9">
      <w:pPr>
        <w:pStyle w:val="Paragraphedeliste"/>
        <w:spacing w:line="276" w:lineRule="auto"/>
        <w:ind w:left="0" w:firstLine="709"/>
        <w:jc w:val="both"/>
        <w:rPr>
          <w:rFonts w:ascii="Tahoma" w:hAnsi="Tahoma" w:cs="Tahoma"/>
          <w:sz w:val="22"/>
          <w:szCs w:val="22"/>
        </w:rPr>
      </w:pPr>
    </w:p>
    <w:p w:rsidR="005E04A9" w:rsidRPr="005E04A9" w:rsidRDefault="005E04A9" w:rsidP="005E04A9">
      <w:pPr>
        <w:pStyle w:val="Paragraphedeliste"/>
        <w:spacing w:line="276" w:lineRule="auto"/>
        <w:ind w:left="0" w:firstLine="709"/>
        <w:jc w:val="both"/>
        <w:rPr>
          <w:rFonts w:ascii="Tahoma" w:hAnsi="Tahoma" w:cs="Tahoma"/>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Pr="005E04A9">
        <w:rPr>
          <w:rFonts w:ascii="Tahoma" w:hAnsi="Tahoma" w:cs="Tahoma"/>
          <w:sz w:val="22"/>
          <w:szCs w:val="22"/>
        </w:rPr>
        <w:t>Sin condena en costas en este grado jurisdiccional.</w:t>
      </w:r>
    </w:p>
    <w:p w:rsidR="005E04A9" w:rsidRPr="005E04A9" w:rsidRDefault="005E04A9" w:rsidP="005E04A9">
      <w:pPr>
        <w:pStyle w:val="Paragraphedeliste"/>
        <w:spacing w:line="276" w:lineRule="auto"/>
        <w:ind w:left="0" w:firstLine="709"/>
        <w:jc w:val="both"/>
        <w:rPr>
          <w:rFonts w:ascii="Tahoma" w:hAnsi="Tahoma" w:cs="Tahoma"/>
          <w:sz w:val="22"/>
          <w:szCs w:val="22"/>
        </w:rPr>
      </w:pPr>
    </w:p>
    <w:p w:rsidR="005E04A9" w:rsidRPr="005E04A9" w:rsidRDefault="005E04A9" w:rsidP="005E04A9">
      <w:pPr>
        <w:pStyle w:val="Paragraphedeliste"/>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5E04A9" w:rsidRPr="005E04A9" w:rsidRDefault="005E04A9" w:rsidP="005E04A9">
      <w:pPr>
        <w:pStyle w:val="Paragraphedeliste"/>
        <w:widowControl w:val="0"/>
        <w:autoSpaceDE w:val="0"/>
        <w:autoSpaceDN w:val="0"/>
        <w:adjustRightInd w:val="0"/>
        <w:ind w:left="0" w:firstLine="709"/>
        <w:jc w:val="both"/>
        <w:rPr>
          <w:rFonts w:ascii="Tahoma" w:hAnsi="Tahoma" w:cs="Tahoma"/>
          <w:b/>
          <w:bCs/>
          <w:sz w:val="22"/>
          <w:szCs w:val="22"/>
        </w:rPr>
      </w:pPr>
    </w:p>
    <w:p w:rsidR="005E04A9" w:rsidRPr="005E04A9" w:rsidRDefault="005E04A9" w:rsidP="005E04A9">
      <w:pPr>
        <w:pStyle w:val="Paragraphedeliste"/>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5E04A9" w:rsidRPr="005E04A9" w:rsidRDefault="005E04A9" w:rsidP="005E04A9">
      <w:pPr>
        <w:pStyle w:val="Paragraphedeliste"/>
        <w:widowControl w:val="0"/>
        <w:autoSpaceDE w:val="0"/>
        <w:autoSpaceDN w:val="0"/>
        <w:adjustRightInd w:val="0"/>
        <w:spacing w:line="276" w:lineRule="auto"/>
        <w:ind w:left="0" w:firstLine="709"/>
        <w:jc w:val="both"/>
        <w:rPr>
          <w:rFonts w:ascii="Tahoma" w:hAnsi="Tahoma" w:cs="Tahoma"/>
          <w:sz w:val="22"/>
          <w:szCs w:val="22"/>
        </w:rPr>
      </w:pPr>
    </w:p>
    <w:p w:rsidR="005E04A9" w:rsidRPr="005E04A9" w:rsidRDefault="005E04A9" w:rsidP="005E04A9">
      <w:pPr>
        <w:pStyle w:val="Paragraphedeliste"/>
        <w:ind w:left="0" w:firstLine="709"/>
        <w:jc w:val="both"/>
        <w:rPr>
          <w:rFonts w:ascii="Tahoma" w:hAnsi="Tahoma" w:cs="Tahoma"/>
          <w:sz w:val="22"/>
          <w:szCs w:val="22"/>
        </w:rPr>
      </w:pPr>
      <w:r w:rsidRPr="005E04A9">
        <w:rPr>
          <w:rFonts w:ascii="Tahoma" w:hAnsi="Tahoma" w:cs="Tahoma"/>
          <w:sz w:val="22"/>
          <w:szCs w:val="22"/>
        </w:rPr>
        <w:t>La Magistrada,</w:t>
      </w:r>
    </w:p>
    <w:p w:rsidR="005E04A9" w:rsidRPr="005E04A9" w:rsidRDefault="005E04A9" w:rsidP="005E04A9">
      <w:pPr>
        <w:pStyle w:val="Paragraphedeliste"/>
        <w:ind w:left="1080"/>
        <w:jc w:val="center"/>
        <w:rPr>
          <w:rFonts w:ascii="Tahoma" w:hAnsi="Tahoma" w:cs="Tahoma"/>
          <w:sz w:val="22"/>
          <w:szCs w:val="22"/>
        </w:rPr>
      </w:pPr>
    </w:p>
    <w:p w:rsidR="005E04A9" w:rsidRPr="005E04A9" w:rsidRDefault="005E04A9" w:rsidP="005E04A9">
      <w:pPr>
        <w:pStyle w:val="Paragraphedeliste"/>
        <w:ind w:left="1080"/>
        <w:jc w:val="center"/>
        <w:rPr>
          <w:rFonts w:ascii="Tahoma" w:hAnsi="Tahoma" w:cs="Tahoma"/>
          <w:sz w:val="22"/>
          <w:szCs w:val="22"/>
        </w:rPr>
      </w:pPr>
    </w:p>
    <w:p w:rsidR="005E04A9" w:rsidRPr="005E04A9" w:rsidRDefault="005E04A9" w:rsidP="005E04A9">
      <w:pPr>
        <w:pStyle w:val="Paragraphedeliste"/>
        <w:ind w:left="1080"/>
        <w:jc w:val="center"/>
        <w:rPr>
          <w:rFonts w:ascii="Tahoma" w:hAnsi="Tahoma" w:cs="Tahoma"/>
          <w:sz w:val="22"/>
          <w:szCs w:val="22"/>
        </w:rPr>
      </w:pPr>
    </w:p>
    <w:p w:rsidR="005E04A9" w:rsidRDefault="005E04A9" w:rsidP="005E04A9">
      <w:pPr>
        <w:pStyle w:val="Titre3"/>
        <w:spacing w:before="0" w:after="0"/>
        <w:ind w:left="1080"/>
        <w:jc w:val="center"/>
        <w:rPr>
          <w:rFonts w:ascii="Tahoma" w:hAnsi="Tahoma" w:cs="Tahoma"/>
          <w:bCs w:val="0"/>
          <w:sz w:val="22"/>
          <w:szCs w:val="22"/>
        </w:rPr>
      </w:pPr>
      <w:r>
        <w:rPr>
          <w:rFonts w:ascii="Tahoma" w:hAnsi="Tahoma" w:cs="Tahoma"/>
          <w:bCs w:val="0"/>
          <w:sz w:val="22"/>
          <w:szCs w:val="22"/>
        </w:rPr>
        <w:t>ANA LUCÍA CAICEDO CALDERÓN</w:t>
      </w:r>
    </w:p>
    <w:p w:rsidR="005E04A9" w:rsidRPr="005E04A9" w:rsidRDefault="005E04A9" w:rsidP="005E04A9">
      <w:pPr>
        <w:pStyle w:val="Paragraphedeliste"/>
        <w:ind w:left="1080"/>
        <w:jc w:val="both"/>
        <w:rPr>
          <w:rFonts w:ascii="Tahoma" w:hAnsi="Tahoma" w:cs="Tahoma"/>
          <w:sz w:val="22"/>
          <w:szCs w:val="22"/>
        </w:rPr>
      </w:pPr>
    </w:p>
    <w:p w:rsidR="005E04A9" w:rsidRPr="005E04A9" w:rsidRDefault="005E04A9" w:rsidP="005E04A9">
      <w:pPr>
        <w:pStyle w:val="Paragraphedeliste"/>
        <w:ind w:left="1080"/>
        <w:jc w:val="both"/>
        <w:rPr>
          <w:rFonts w:ascii="Tahoma" w:hAnsi="Tahoma" w:cs="Tahoma"/>
          <w:sz w:val="22"/>
          <w:szCs w:val="22"/>
        </w:rPr>
      </w:pPr>
      <w:r w:rsidRPr="005E04A9">
        <w:rPr>
          <w:rFonts w:ascii="Tahoma" w:hAnsi="Tahoma" w:cs="Tahoma"/>
          <w:sz w:val="22"/>
          <w:szCs w:val="22"/>
        </w:rPr>
        <w:t>Los Magistrados,</w:t>
      </w:r>
    </w:p>
    <w:p w:rsidR="005E04A9" w:rsidRPr="005E04A9" w:rsidRDefault="005E04A9" w:rsidP="005E04A9">
      <w:pPr>
        <w:pStyle w:val="Paragraphedeliste"/>
        <w:ind w:left="1080"/>
        <w:jc w:val="both"/>
        <w:rPr>
          <w:rFonts w:ascii="Tahoma" w:hAnsi="Tahoma" w:cs="Tahoma"/>
          <w:sz w:val="22"/>
          <w:szCs w:val="22"/>
        </w:rPr>
      </w:pPr>
    </w:p>
    <w:p w:rsidR="005E04A9" w:rsidRPr="005E04A9" w:rsidRDefault="005E04A9" w:rsidP="005E04A9">
      <w:pPr>
        <w:pStyle w:val="Paragraphedeliste"/>
        <w:ind w:left="1080"/>
        <w:rPr>
          <w:rFonts w:ascii="Tahoma" w:hAnsi="Tahoma" w:cs="Tahoma"/>
          <w:b/>
          <w:sz w:val="22"/>
          <w:szCs w:val="22"/>
        </w:rPr>
      </w:pPr>
    </w:p>
    <w:p w:rsidR="005E04A9" w:rsidRPr="005E04A9" w:rsidRDefault="005E04A9" w:rsidP="005E04A9">
      <w:pPr>
        <w:pStyle w:val="Paragraphedeliste"/>
        <w:ind w:left="1080"/>
        <w:rPr>
          <w:rFonts w:ascii="Tahoma" w:hAnsi="Tahoma" w:cs="Tahoma"/>
          <w:b/>
          <w:sz w:val="22"/>
          <w:szCs w:val="22"/>
        </w:rPr>
      </w:pPr>
    </w:p>
    <w:p w:rsidR="005E04A9" w:rsidRPr="005E04A9" w:rsidRDefault="005E04A9" w:rsidP="005E04A9">
      <w:pPr>
        <w:pStyle w:val="Paragraphedeliste"/>
        <w:ind w:left="1080"/>
        <w:rPr>
          <w:rFonts w:ascii="Tahoma" w:hAnsi="Tahoma" w:cs="Tahoma"/>
          <w:b/>
          <w:sz w:val="22"/>
          <w:szCs w:val="22"/>
        </w:rPr>
      </w:pPr>
    </w:p>
    <w:p w:rsidR="005E04A9" w:rsidRPr="005E04A9" w:rsidRDefault="005E04A9" w:rsidP="005E04A9">
      <w:pPr>
        <w:pStyle w:val="Paragraphedeliste"/>
        <w:ind w:left="1080"/>
        <w:jc w:val="both"/>
        <w:rPr>
          <w:rFonts w:ascii="Tahoma" w:hAnsi="Tahoma" w:cs="Tahoma"/>
          <w:b/>
          <w:sz w:val="22"/>
          <w:szCs w:val="22"/>
        </w:rPr>
      </w:pPr>
      <w:r w:rsidRPr="005E04A9">
        <w:rPr>
          <w:rFonts w:ascii="Tahoma" w:hAnsi="Tahoma" w:cs="Tahoma"/>
          <w:b/>
          <w:sz w:val="22"/>
          <w:szCs w:val="22"/>
        </w:rPr>
        <w:t>JULIO CÉSAR SALAZAR MUÑOZ             FRANCISCO JAVIER TAMAYO TABARES</w:t>
      </w:r>
    </w:p>
    <w:p w:rsidR="00924F0D" w:rsidRDefault="00924F0D"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C3137D" w:rsidRDefault="00C3137D" w:rsidP="00E41882">
      <w:pPr>
        <w:pStyle w:val="Sansinterligne"/>
        <w:spacing w:line="276" w:lineRule="auto"/>
        <w:ind w:firstLine="709"/>
        <w:rPr>
          <w:b/>
          <w:sz w:val="22"/>
          <w:szCs w:val="22"/>
        </w:rPr>
      </w:pPr>
    </w:p>
    <w:p w:rsidR="00062B7F" w:rsidRDefault="00062B7F"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0E47B8" w:rsidRDefault="000E47B8" w:rsidP="00E41882">
      <w:pPr>
        <w:pStyle w:val="Sansinterligne"/>
        <w:spacing w:line="276" w:lineRule="auto"/>
        <w:ind w:firstLine="709"/>
        <w:rPr>
          <w:b/>
          <w:sz w:val="22"/>
          <w:szCs w:val="22"/>
        </w:rPr>
      </w:pPr>
    </w:p>
    <w:p w:rsidR="00924F0D" w:rsidRPr="00C3137D" w:rsidRDefault="00C3137D" w:rsidP="00C3137D">
      <w:pPr>
        <w:pStyle w:val="Sansinterligne"/>
        <w:spacing w:line="276" w:lineRule="auto"/>
        <w:ind w:firstLine="709"/>
        <w:jc w:val="center"/>
        <w:rPr>
          <w:rFonts w:ascii="Tahoma" w:hAnsi="Tahoma" w:cs="Tahoma"/>
          <w:b/>
          <w:sz w:val="22"/>
          <w:szCs w:val="22"/>
        </w:rPr>
      </w:pPr>
      <w:r w:rsidRPr="00C3137D">
        <w:rPr>
          <w:rFonts w:ascii="Tahoma" w:hAnsi="Tahoma" w:cs="Tahoma"/>
          <w:b/>
          <w:sz w:val="22"/>
          <w:szCs w:val="22"/>
        </w:rPr>
        <w:lastRenderedPageBreak/>
        <w:t xml:space="preserve">Retroactivo </w:t>
      </w:r>
      <w:r w:rsidR="00BF2D2C">
        <w:rPr>
          <w:rFonts w:ascii="Tahoma" w:hAnsi="Tahoma" w:cs="Tahoma"/>
          <w:b/>
          <w:sz w:val="22"/>
          <w:szCs w:val="22"/>
        </w:rPr>
        <w:t>Javier Ramírez Pino</w:t>
      </w:r>
      <w:r w:rsidR="00374743" w:rsidRPr="005E04A9">
        <w:rPr>
          <w:rFonts w:ascii="Tahoma" w:hAnsi="Tahoma" w:cs="Tahoma"/>
          <w:b/>
          <w:sz w:val="22"/>
          <w:szCs w:val="22"/>
        </w:rPr>
        <w:t xml:space="preserve"> </w:t>
      </w:r>
    </w:p>
    <w:p w:rsidR="00924F0D" w:rsidRPr="00042881" w:rsidRDefault="00924F0D" w:rsidP="00E41882">
      <w:pPr>
        <w:pStyle w:val="Sansinterligne"/>
        <w:ind w:left="708"/>
        <w:rPr>
          <w:sz w:val="22"/>
          <w:szCs w:val="22"/>
        </w:rPr>
      </w:pPr>
    </w:p>
    <w:tbl>
      <w:tblPr>
        <w:tblW w:w="7180" w:type="dxa"/>
        <w:jc w:val="center"/>
        <w:tblCellMar>
          <w:left w:w="70" w:type="dxa"/>
          <w:right w:w="70" w:type="dxa"/>
        </w:tblCellMar>
        <w:tblLook w:val="04A0" w:firstRow="1" w:lastRow="0" w:firstColumn="1" w:lastColumn="0" w:noHBand="0" w:noVBand="1"/>
      </w:tblPr>
      <w:tblGrid>
        <w:gridCol w:w="1100"/>
        <w:gridCol w:w="1000"/>
        <w:gridCol w:w="940"/>
        <w:gridCol w:w="1040"/>
        <w:gridCol w:w="1660"/>
        <w:gridCol w:w="1440"/>
      </w:tblGrid>
      <w:tr w:rsidR="00BF2D2C" w:rsidRPr="00BF2D2C" w:rsidTr="00BF2D2C">
        <w:trPr>
          <w:trHeight w:val="20"/>
          <w:jc w:val="center"/>
        </w:trPr>
        <w:tc>
          <w:tcPr>
            <w:tcW w:w="1100"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BF2D2C" w:rsidRPr="00BF2D2C" w:rsidRDefault="00BF2D2C">
            <w:pPr>
              <w:jc w:val="center"/>
              <w:rPr>
                <w:rFonts w:ascii="Calibri" w:hAnsi="Calibri"/>
                <w:b/>
                <w:bCs/>
                <w:color w:val="000000"/>
                <w:sz w:val="18"/>
                <w:szCs w:val="18"/>
              </w:rPr>
            </w:pPr>
            <w:r w:rsidRPr="00BF2D2C">
              <w:rPr>
                <w:rFonts w:ascii="Calibri" w:hAnsi="Calibri"/>
                <w:b/>
                <w:bCs/>
                <w:color w:val="000000"/>
                <w:sz w:val="18"/>
                <w:szCs w:val="18"/>
              </w:rPr>
              <w:t>IPC</w:t>
            </w:r>
            <w:r w:rsidRPr="00BF2D2C">
              <w:rPr>
                <w:rFonts w:ascii="Calibri" w:hAnsi="Calibri"/>
                <w:b/>
                <w:bCs/>
                <w:sz w:val="18"/>
                <w:szCs w:val="18"/>
              </w:rPr>
              <w:t xml:space="preserve">   (Var. Año anterior)</w:t>
            </w:r>
          </w:p>
        </w:tc>
        <w:tc>
          <w:tcPr>
            <w:tcW w:w="1000" w:type="dxa"/>
            <w:tcBorders>
              <w:top w:val="single" w:sz="8" w:space="0" w:color="auto"/>
              <w:left w:val="nil"/>
              <w:bottom w:val="single" w:sz="8" w:space="0" w:color="auto"/>
              <w:right w:val="single" w:sz="4" w:space="0" w:color="808000"/>
            </w:tcBorders>
            <w:shd w:val="clear" w:color="000000" w:fill="FFFF99"/>
            <w:vAlign w:val="center"/>
            <w:hideMark/>
          </w:tcPr>
          <w:p w:rsidR="00BF2D2C" w:rsidRPr="00BF2D2C" w:rsidRDefault="00BF2D2C">
            <w:pPr>
              <w:jc w:val="center"/>
              <w:rPr>
                <w:rFonts w:ascii="Calibri" w:hAnsi="Calibri"/>
                <w:b/>
                <w:bCs/>
                <w:color w:val="000000"/>
                <w:sz w:val="18"/>
                <w:szCs w:val="18"/>
              </w:rPr>
            </w:pPr>
            <w:r w:rsidRPr="00BF2D2C">
              <w:rPr>
                <w:rFonts w:ascii="Calibri" w:hAnsi="Calibri"/>
                <w:b/>
                <w:bCs/>
                <w:color w:val="000000"/>
                <w:sz w:val="18"/>
                <w:szCs w:val="18"/>
              </w:rPr>
              <w:t>Desde</w:t>
            </w:r>
          </w:p>
        </w:tc>
        <w:tc>
          <w:tcPr>
            <w:tcW w:w="940" w:type="dxa"/>
            <w:tcBorders>
              <w:top w:val="single" w:sz="8" w:space="0" w:color="auto"/>
              <w:left w:val="nil"/>
              <w:bottom w:val="single" w:sz="8" w:space="0" w:color="auto"/>
              <w:right w:val="single" w:sz="4" w:space="0" w:color="808000"/>
            </w:tcBorders>
            <w:shd w:val="clear" w:color="000000" w:fill="FFFF99"/>
            <w:vAlign w:val="center"/>
            <w:hideMark/>
          </w:tcPr>
          <w:p w:rsidR="00BF2D2C" w:rsidRPr="00BF2D2C" w:rsidRDefault="00BF2D2C">
            <w:pPr>
              <w:jc w:val="center"/>
              <w:rPr>
                <w:rFonts w:ascii="Calibri" w:hAnsi="Calibri"/>
                <w:b/>
                <w:bCs/>
                <w:color w:val="000000"/>
                <w:sz w:val="18"/>
                <w:szCs w:val="18"/>
              </w:rPr>
            </w:pPr>
            <w:r w:rsidRPr="00BF2D2C">
              <w:rPr>
                <w:rFonts w:ascii="Calibri" w:hAnsi="Calibri"/>
                <w:b/>
                <w:bCs/>
                <w:color w:val="000000"/>
                <w:sz w:val="18"/>
                <w:szCs w:val="18"/>
              </w:rPr>
              <w:t>Hasta</w:t>
            </w:r>
          </w:p>
        </w:tc>
        <w:tc>
          <w:tcPr>
            <w:tcW w:w="1040" w:type="dxa"/>
            <w:tcBorders>
              <w:top w:val="single" w:sz="8" w:space="0" w:color="auto"/>
              <w:left w:val="nil"/>
              <w:bottom w:val="single" w:sz="8" w:space="0" w:color="auto"/>
              <w:right w:val="single" w:sz="4" w:space="0" w:color="808000"/>
            </w:tcBorders>
            <w:shd w:val="clear" w:color="000000" w:fill="FFFF99"/>
            <w:vAlign w:val="center"/>
            <w:hideMark/>
          </w:tcPr>
          <w:p w:rsidR="00BF2D2C" w:rsidRPr="00BF2D2C" w:rsidRDefault="00BF2D2C">
            <w:pPr>
              <w:jc w:val="center"/>
              <w:rPr>
                <w:rFonts w:ascii="Calibri" w:hAnsi="Calibri"/>
                <w:b/>
                <w:bCs/>
                <w:color w:val="000000"/>
                <w:sz w:val="18"/>
                <w:szCs w:val="18"/>
              </w:rPr>
            </w:pPr>
            <w:r w:rsidRPr="00BF2D2C">
              <w:rPr>
                <w:rFonts w:ascii="Calibri" w:hAnsi="Calibri"/>
                <w:b/>
                <w:bCs/>
                <w:color w:val="000000"/>
                <w:sz w:val="18"/>
                <w:szCs w:val="18"/>
              </w:rPr>
              <w:t>Causadas</w:t>
            </w:r>
          </w:p>
        </w:tc>
        <w:tc>
          <w:tcPr>
            <w:tcW w:w="1660" w:type="dxa"/>
            <w:tcBorders>
              <w:top w:val="single" w:sz="8" w:space="0" w:color="auto"/>
              <w:left w:val="nil"/>
              <w:bottom w:val="single" w:sz="8" w:space="0" w:color="auto"/>
              <w:right w:val="single" w:sz="4" w:space="0" w:color="808000"/>
            </w:tcBorders>
            <w:shd w:val="clear" w:color="000000" w:fill="FFFF99"/>
            <w:vAlign w:val="center"/>
            <w:hideMark/>
          </w:tcPr>
          <w:p w:rsidR="00BF2D2C" w:rsidRPr="00BF2D2C" w:rsidRDefault="00BF2D2C">
            <w:pPr>
              <w:jc w:val="center"/>
              <w:rPr>
                <w:rFonts w:ascii="Calibri" w:hAnsi="Calibri"/>
                <w:b/>
                <w:bCs/>
                <w:color w:val="000000"/>
                <w:sz w:val="18"/>
                <w:szCs w:val="18"/>
              </w:rPr>
            </w:pPr>
            <w:r w:rsidRPr="00BF2D2C">
              <w:rPr>
                <w:rFonts w:ascii="Calibri" w:hAnsi="Calibri"/>
                <w:b/>
                <w:bCs/>
                <w:color w:val="000000"/>
                <w:sz w:val="18"/>
                <w:szCs w:val="18"/>
              </w:rPr>
              <w:t>Valor mesada</w:t>
            </w:r>
          </w:p>
        </w:tc>
        <w:tc>
          <w:tcPr>
            <w:tcW w:w="1440" w:type="dxa"/>
            <w:tcBorders>
              <w:top w:val="single" w:sz="8" w:space="0" w:color="auto"/>
              <w:left w:val="nil"/>
              <w:bottom w:val="single" w:sz="8" w:space="0" w:color="auto"/>
              <w:right w:val="single" w:sz="4" w:space="0" w:color="808000"/>
            </w:tcBorders>
            <w:shd w:val="clear" w:color="000000" w:fill="FFFF99"/>
            <w:vAlign w:val="center"/>
            <w:hideMark/>
          </w:tcPr>
          <w:p w:rsidR="00BF2D2C" w:rsidRPr="00BF2D2C" w:rsidRDefault="00BF2D2C">
            <w:pPr>
              <w:jc w:val="center"/>
              <w:rPr>
                <w:rFonts w:ascii="Calibri" w:hAnsi="Calibri"/>
                <w:b/>
                <w:bCs/>
                <w:color w:val="000000"/>
                <w:sz w:val="18"/>
                <w:szCs w:val="18"/>
              </w:rPr>
            </w:pPr>
            <w:r w:rsidRPr="00BF2D2C">
              <w:rPr>
                <w:rFonts w:ascii="Calibri" w:hAnsi="Calibri"/>
                <w:b/>
                <w:bCs/>
                <w:color w:val="000000"/>
                <w:sz w:val="18"/>
                <w:szCs w:val="18"/>
              </w:rPr>
              <w:t xml:space="preserve"> Valor adeudado </w:t>
            </w:r>
          </w:p>
        </w:tc>
      </w:tr>
      <w:tr w:rsidR="00BF2D2C" w:rsidRPr="00BF2D2C" w:rsidTr="00BF2D2C">
        <w:trPr>
          <w:trHeight w:val="20"/>
          <w:jc w:val="center"/>
        </w:trPr>
        <w:tc>
          <w:tcPr>
            <w:tcW w:w="1100" w:type="dxa"/>
            <w:tcBorders>
              <w:top w:val="nil"/>
              <w:left w:val="single" w:sz="8" w:space="0" w:color="auto"/>
              <w:bottom w:val="single" w:sz="4" w:space="0" w:color="003366"/>
              <w:right w:val="single" w:sz="4" w:space="0" w:color="003366"/>
            </w:tcBorders>
            <w:shd w:val="clear" w:color="000000" w:fill="FFFFCC"/>
            <w:noWrap/>
            <w:vAlign w:val="bottom"/>
            <w:hideMark/>
          </w:tcPr>
          <w:p w:rsidR="00BF2D2C" w:rsidRPr="00BF2D2C" w:rsidRDefault="00BF2D2C">
            <w:pPr>
              <w:jc w:val="center"/>
              <w:rPr>
                <w:rFonts w:ascii="Calibri" w:hAnsi="Calibri"/>
                <w:sz w:val="18"/>
                <w:szCs w:val="18"/>
              </w:rPr>
            </w:pPr>
            <w:r w:rsidRPr="00BF2D2C">
              <w:rPr>
                <w:rFonts w:ascii="Calibri" w:hAnsi="Calibri"/>
                <w:sz w:val="18"/>
                <w:szCs w:val="18"/>
              </w:rPr>
              <w:t>3,17</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BF2D2C" w:rsidRPr="00BF2D2C" w:rsidRDefault="00BF2D2C">
            <w:pPr>
              <w:jc w:val="right"/>
              <w:rPr>
                <w:rFonts w:ascii="Calibri" w:hAnsi="Calibri"/>
                <w:color w:val="000000"/>
                <w:sz w:val="18"/>
                <w:szCs w:val="18"/>
              </w:rPr>
            </w:pPr>
            <w:r w:rsidRPr="00BF2D2C">
              <w:rPr>
                <w:rFonts w:ascii="Calibri" w:hAnsi="Calibri"/>
                <w:color w:val="000000"/>
                <w:sz w:val="18"/>
                <w:szCs w:val="18"/>
              </w:rPr>
              <w:t>01-dic-10</w:t>
            </w:r>
          </w:p>
        </w:tc>
        <w:tc>
          <w:tcPr>
            <w:tcW w:w="940" w:type="dxa"/>
            <w:tcBorders>
              <w:top w:val="nil"/>
              <w:left w:val="nil"/>
              <w:bottom w:val="single" w:sz="4" w:space="0" w:color="808000"/>
              <w:right w:val="single" w:sz="4" w:space="0" w:color="808000"/>
            </w:tcBorders>
            <w:shd w:val="clear" w:color="auto" w:fill="auto"/>
            <w:noWrap/>
            <w:vAlign w:val="center"/>
            <w:hideMark/>
          </w:tcPr>
          <w:p w:rsidR="00BF2D2C" w:rsidRPr="00BF2D2C" w:rsidRDefault="00BF2D2C">
            <w:pPr>
              <w:jc w:val="right"/>
              <w:rPr>
                <w:rFonts w:ascii="Calibri" w:hAnsi="Calibri"/>
                <w:color w:val="000000"/>
                <w:sz w:val="18"/>
                <w:szCs w:val="18"/>
              </w:rPr>
            </w:pPr>
            <w:r w:rsidRPr="00BF2D2C">
              <w:rPr>
                <w:rFonts w:ascii="Calibri" w:hAnsi="Calibri"/>
                <w:color w:val="000000"/>
                <w:sz w:val="18"/>
                <w:szCs w:val="18"/>
              </w:rPr>
              <w:t>31-dic-10</w:t>
            </w:r>
          </w:p>
        </w:tc>
        <w:tc>
          <w:tcPr>
            <w:tcW w:w="1040" w:type="dxa"/>
            <w:tcBorders>
              <w:top w:val="nil"/>
              <w:left w:val="nil"/>
              <w:bottom w:val="nil"/>
              <w:right w:val="nil"/>
            </w:tcBorders>
            <w:shd w:val="clear" w:color="000000" w:fill="FFFFCC"/>
            <w:noWrap/>
            <w:vAlign w:val="bottom"/>
            <w:hideMark/>
          </w:tcPr>
          <w:p w:rsidR="00BF2D2C" w:rsidRPr="00BF2D2C" w:rsidRDefault="00BF2D2C">
            <w:pPr>
              <w:jc w:val="center"/>
              <w:rPr>
                <w:rFonts w:ascii="Calibri" w:hAnsi="Calibri"/>
                <w:sz w:val="18"/>
                <w:szCs w:val="18"/>
              </w:rPr>
            </w:pPr>
            <w:r w:rsidRPr="00BF2D2C">
              <w:rPr>
                <w:rFonts w:ascii="Calibri" w:hAnsi="Calibri"/>
                <w:sz w:val="18"/>
                <w:szCs w:val="18"/>
              </w:rPr>
              <w:t>2,00</w:t>
            </w:r>
          </w:p>
        </w:tc>
        <w:tc>
          <w:tcPr>
            <w:tcW w:w="1660"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BF2D2C" w:rsidRPr="00BF2D2C" w:rsidRDefault="00BF2D2C">
            <w:pPr>
              <w:rPr>
                <w:rFonts w:ascii="Calibri" w:hAnsi="Calibri"/>
                <w:sz w:val="18"/>
                <w:szCs w:val="18"/>
              </w:rPr>
            </w:pPr>
            <w:r w:rsidRPr="00BF2D2C">
              <w:rPr>
                <w:rFonts w:ascii="Calibri" w:hAnsi="Calibri"/>
                <w:sz w:val="18"/>
                <w:szCs w:val="18"/>
              </w:rPr>
              <w:t xml:space="preserve"> $               729.090 </w:t>
            </w:r>
          </w:p>
        </w:tc>
        <w:tc>
          <w:tcPr>
            <w:tcW w:w="1440" w:type="dxa"/>
            <w:tcBorders>
              <w:top w:val="nil"/>
              <w:left w:val="single" w:sz="4" w:space="0" w:color="808000"/>
              <w:bottom w:val="single" w:sz="4" w:space="0" w:color="808000"/>
              <w:right w:val="single" w:sz="4" w:space="0" w:color="808000"/>
            </w:tcBorders>
            <w:shd w:val="clear" w:color="000000" w:fill="FFFFCC"/>
            <w:noWrap/>
            <w:vAlign w:val="center"/>
            <w:hideMark/>
          </w:tcPr>
          <w:p w:rsidR="00BF2D2C" w:rsidRPr="00BF2D2C" w:rsidRDefault="00BF2D2C">
            <w:pPr>
              <w:rPr>
                <w:rFonts w:ascii="Calibri" w:hAnsi="Calibri"/>
                <w:color w:val="000000"/>
                <w:sz w:val="18"/>
                <w:szCs w:val="18"/>
              </w:rPr>
            </w:pPr>
            <w:r w:rsidRPr="00BF2D2C">
              <w:rPr>
                <w:rFonts w:ascii="Calibri" w:hAnsi="Calibri"/>
                <w:color w:val="000000"/>
                <w:sz w:val="18"/>
                <w:szCs w:val="18"/>
              </w:rPr>
              <w:t xml:space="preserve"> $       1.458.181 </w:t>
            </w:r>
          </w:p>
        </w:tc>
      </w:tr>
      <w:tr w:rsidR="00BF2D2C" w:rsidRPr="00BF2D2C" w:rsidTr="00BF2D2C">
        <w:trPr>
          <w:trHeight w:val="20"/>
          <w:jc w:val="center"/>
        </w:trPr>
        <w:tc>
          <w:tcPr>
            <w:tcW w:w="1100" w:type="dxa"/>
            <w:tcBorders>
              <w:top w:val="nil"/>
              <w:left w:val="single" w:sz="8" w:space="0" w:color="auto"/>
              <w:bottom w:val="single" w:sz="4" w:space="0" w:color="003366"/>
              <w:right w:val="single" w:sz="4" w:space="0" w:color="003366"/>
            </w:tcBorders>
            <w:shd w:val="clear" w:color="000000" w:fill="FFFFCC"/>
            <w:noWrap/>
            <w:vAlign w:val="bottom"/>
            <w:hideMark/>
          </w:tcPr>
          <w:p w:rsidR="00BF2D2C" w:rsidRPr="00BF2D2C" w:rsidRDefault="00BF2D2C">
            <w:pPr>
              <w:jc w:val="center"/>
              <w:rPr>
                <w:rFonts w:ascii="Calibri" w:hAnsi="Calibri"/>
                <w:sz w:val="18"/>
                <w:szCs w:val="18"/>
              </w:rPr>
            </w:pPr>
            <w:r w:rsidRPr="00BF2D2C">
              <w:rPr>
                <w:rFonts w:ascii="Calibri" w:hAnsi="Calibri"/>
                <w:sz w:val="18"/>
                <w:szCs w:val="18"/>
              </w:rPr>
              <w:t>3,73</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BF2D2C" w:rsidRPr="00BF2D2C" w:rsidRDefault="00BF2D2C">
            <w:pPr>
              <w:jc w:val="right"/>
              <w:rPr>
                <w:rFonts w:ascii="Calibri" w:hAnsi="Calibri"/>
                <w:color w:val="000000"/>
                <w:sz w:val="18"/>
                <w:szCs w:val="18"/>
              </w:rPr>
            </w:pPr>
            <w:r w:rsidRPr="00BF2D2C">
              <w:rPr>
                <w:rFonts w:ascii="Calibri" w:hAnsi="Calibri"/>
                <w:color w:val="000000"/>
                <w:sz w:val="18"/>
                <w:szCs w:val="18"/>
              </w:rPr>
              <w:t>01-ene-11</w:t>
            </w:r>
          </w:p>
        </w:tc>
        <w:tc>
          <w:tcPr>
            <w:tcW w:w="940" w:type="dxa"/>
            <w:tcBorders>
              <w:top w:val="nil"/>
              <w:left w:val="nil"/>
              <w:bottom w:val="single" w:sz="4" w:space="0" w:color="808000"/>
              <w:right w:val="single" w:sz="4" w:space="0" w:color="808000"/>
            </w:tcBorders>
            <w:shd w:val="clear" w:color="auto" w:fill="auto"/>
            <w:noWrap/>
            <w:vAlign w:val="center"/>
            <w:hideMark/>
          </w:tcPr>
          <w:p w:rsidR="00BF2D2C" w:rsidRPr="00BF2D2C" w:rsidRDefault="00BF2D2C">
            <w:pPr>
              <w:jc w:val="right"/>
              <w:rPr>
                <w:rFonts w:ascii="Calibri" w:hAnsi="Calibri"/>
                <w:color w:val="000000"/>
                <w:sz w:val="18"/>
                <w:szCs w:val="18"/>
              </w:rPr>
            </w:pPr>
            <w:r w:rsidRPr="00BF2D2C">
              <w:rPr>
                <w:rFonts w:ascii="Calibri" w:hAnsi="Calibri"/>
                <w:color w:val="000000"/>
                <w:sz w:val="18"/>
                <w:szCs w:val="18"/>
              </w:rPr>
              <w:t>31-dic-11</w:t>
            </w:r>
          </w:p>
        </w:tc>
        <w:tc>
          <w:tcPr>
            <w:tcW w:w="1040" w:type="dxa"/>
            <w:tcBorders>
              <w:top w:val="nil"/>
              <w:left w:val="nil"/>
              <w:bottom w:val="nil"/>
              <w:right w:val="nil"/>
            </w:tcBorders>
            <w:shd w:val="clear" w:color="000000" w:fill="FFFFCC"/>
            <w:noWrap/>
            <w:vAlign w:val="bottom"/>
            <w:hideMark/>
          </w:tcPr>
          <w:p w:rsidR="00BF2D2C" w:rsidRPr="00BF2D2C" w:rsidRDefault="00BF2D2C">
            <w:pPr>
              <w:jc w:val="center"/>
              <w:rPr>
                <w:rFonts w:ascii="Calibri" w:hAnsi="Calibri"/>
                <w:sz w:val="18"/>
                <w:szCs w:val="18"/>
              </w:rPr>
            </w:pPr>
            <w:r w:rsidRPr="00BF2D2C">
              <w:rPr>
                <w:rFonts w:ascii="Calibri" w:hAnsi="Calibri"/>
                <w:sz w:val="18"/>
                <w:szCs w:val="18"/>
              </w:rPr>
              <w:t>14,00</w:t>
            </w:r>
          </w:p>
        </w:tc>
        <w:tc>
          <w:tcPr>
            <w:tcW w:w="1660" w:type="dxa"/>
            <w:tcBorders>
              <w:top w:val="nil"/>
              <w:left w:val="single" w:sz="4" w:space="0" w:color="003366"/>
              <w:bottom w:val="single" w:sz="4" w:space="0" w:color="003366"/>
              <w:right w:val="single" w:sz="4" w:space="0" w:color="003366"/>
            </w:tcBorders>
            <w:shd w:val="clear" w:color="000000" w:fill="FFFFCC"/>
            <w:vAlign w:val="bottom"/>
            <w:hideMark/>
          </w:tcPr>
          <w:p w:rsidR="00BF2D2C" w:rsidRPr="00BF2D2C" w:rsidRDefault="00BF2D2C">
            <w:pPr>
              <w:rPr>
                <w:rFonts w:ascii="Calibri" w:hAnsi="Calibri"/>
                <w:sz w:val="18"/>
                <w:szCs w:val="18"/>
              </w:rPr>
            </w:pPr>
            <w:r w:rsidRPr="00BF2D2C">
              <w:rPr>
                <w:rFonts w:ascii="Calibri" w:hAnsi="Calibri"/>
                <w:sz w:val="18"/>
                <w:szCs w:val="18"/>
              </w:rPr>
              <w:t xml:space="preserve"> $               752.211 </w:t>
            </w:r>
          </w:p>
        </w:tc>
        <w:tc>
          <w:tcPr>
            <w:tcW w:w="1440" w:type="dxa"/>
            <w:tcBorders>
              <w:top w:val="nil"/>
              <w:left w:val="single" w:sz="4" w:space="0" w:color="808000"/>
              <w:bottom w:val="single" w:sz="4" w:space="0" w:color="808000"/>
              <w:right w:val="single" w:sz="4" w:space="0" w:color="808000"/>
            </w:tcBorders>
            <w:shd w:val="clear" w:color="000000" w:fill="FFFFCC"/>
            <w:noWrap/>
            <w:vAlign w:val="center"/>
            <w:hideMark/>
          </w:tcPr>
          <w:p w:rsidR="00BF2D2C" w:rsidRPr="00BF2D2C" w:rsidRDefault="00BF2D2C">
            <w:pPr>
              <w:rPr>
                <w:rFonts w:ascii="Calibri" w:hAnsi="Calibri"/>
                <w:color w:val="000000"/>
                <w:sz w:val="18"/>
                <w:szCs w:val="18"/>
              </w:rPr>
            </w:pPr>
            <w:r w:rsidRPr="00BF2D2C">
              <w:rPr>
                <w:rFonts w:ascii="Calibri" w:hAnsi="Calibri"/>
                <w:color w:val="000000"/>
                <w:sz w:val="18"/>
                <w:szCs w:val="18"/>
              </w:rPr>
              <w:t xml:space="preserve"> $     10.530.961 </w:t>
            </w:r>
          </w:p>
        </w:tc>
      </w:tr>
      <w:tr w:rsidR="00BF2D2C" w:rsidRPr="00BF2D2C" w:rsidTr="00BF2D2C">
        <w:trPr>
          <w:trHeight w:val="20"/>
          <w:jc w:val="center"/>
        </w:trPr>
        <w:tc>
          <w:tcPr>
            <w:tcW w:w="1100" w:type="dxa"/>
            <w:tcBorders>
              <w:top w:val="nil"/>
              <w:left w:val="single" w:sz="8" w:space="0" w:color="auto"/>
              <w:bottom w:val="single" w:sz="4" w:space="0" w:color="003366"/>
              <w:right w:val="single" w:sz="4" w:space="0" w:color="003366"/>
            </w:tcBorders>
            <w:shd w:val="clear" w:color="000000" w:fill="FFFFCC"/>
            <w:noWrap/>
            <w:vAlign w:val="bottom"/>
            <w:hideMark/>
          </w:tcPr>
          <w:p w:rsidR="00BF2D2C" w:rsidRPr="00BF2D2C" w:rsidRDefault="00BF2D2C">
            <w:pPr>
              <w:jc w:val="center"/>
              <w:rPr>
                <w:rFonts w:ascii="Calibri" w:hAnsi="Calibri"/>
                <w:sz w:val="18"/>
                <w:szCs w:val="18"/>
              </w:rPr>
            </w:pPr>
            <w:r w:rsidRPr="00BF2D2C">
              <w:rPr>
                <w:rFonts w:ascii="Calibri" w:hAnsi="Calibri"/>
                <w:sz w:val="18"/>
                <w:szCs w:val="18"/>
              </w:rPr>
              <w:t>2,44</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BF2D2C" w:rsidRPr="00BF2D2C" w:rsidRDefault="00BF2D2C">
            <w:pPr>
              <w:jc w:val="right"/>
              <w:rPr>
                <w:rFonts w:ascii="Calibri" w:hAnsi="Calibri"/>
                <w:color w:val="000000"/>
                <w:sz w:val="18"/>
                <w:szCs w:val="18"/>
              </w:rPr>
            </w:pPr>
            <w:r w:rsidRPr="00BF2D2C">
              <w:rPr>
                <w:rFonts w:ascii="Calibri" w:hAnsi="Calibri"/>
                <w:color w:val="000000"/>
                <w:sz w:val="18"/>
                <w:szCs w:val="18"/>
              </w:rPr>
              <w:t>01-ene-12</w:t>
            </w:r>
          </w:p>
        </w:tc>
        <w:tc>
          <w:tcPr>
            <w:tcW w:w="940" w:type="dxa"/>
            <w:tcBorders>
              <w:top w:val="nil"/>
              <w:left w:val="nil"/>
              <w:bottom w:val="single" w:sz="4" w:space="0" w:color="808000"/>
              <w:right w:val="single" w:sz="4" w:space="0" w:color="808000"/>
            </w:tcBorders>
            <w:shd w:val="clear" w:color="auto" w:fill="auto"/>
            <w:noWrap/>
            <w:vAlign w:val="center"/>
            <w:hideMark/>
          </w:tcPr>
          <w:p w:rsidR="00BF2D2C" w:rsidRPr="00BF2D2C" w:rsidRDefault="00BF2D2C">
            <w:pPr>
              <w:jc w:val="right"/>
              <w:rPr>
                <w:rFonts w:ascii="Calibri" w:hAnsi="Calibri"/>
                <w:color w:val="000000"/>
                <w:sz w:val="18"/>
                <w:szCs w:val="18"/>
              </w:rPr>
            </w:pPr>
            <w:r w:rsidRPr="00BF2D2C">
              <w:rPr>
                <w:rFonts w:ascii="Calibri" w:hAnsi="Calibri"/>
                <w:color w:val="000000"/>
                <w:sz w:val="18"/>
                <w:szCs w:val="18"/>
              </w:rPr>
              <w:t>31-dic-12</w:t>
            </w:r>
          </w:p>
        </w:tc>
        <w:tc>
          <w:tcPr>
            <w:tcW w:w="1040" w:type="dxa"/>
            <w:tcBorders>
              <w:top w:val="nil"/>
              <w:left w:val="nil"/>
              <w:bottom w:val="nil"/>
              <w:right w:val="nil"/>
            </w:tcBorders>
            <w:shd w:val="clear" w:color="000000" w:fill="FFFFCC"/>
            <w:noWrap/>
            <w:vAlign w:val="bottom"/>
            <w:hideMark/>
          </w:tcPr>
          <w:p w:rsidR="00BF2D2C" w:rsidRPr="00BF2D2C" w:rsidRDefault="00BF2D2C">
            <w:pPr>
              <w:jc w:val="center"/>
              <w:rPr>
                <w:rFonts w:ascii="Calibri" w:hAnsi="Calibri"/>
                <w:sz w:val="18"/>
                <w:szCs w:val="18"/>
              </w:rPr>
            </w:pPr>
            <w:r w:rsidRPr="00BF2D2C">
              <w:rPr>
                <w:rFonts w:ascii="Calibri" w:hAnsi="Calibri"/>
                <w:sz w:val="18"/>
                <w:szCs w:val="18"/>
              </w:rPr>
              <w:t>7,00</w:t>
            </w:r>
          </w:p>
        </w:tc>
        <w:tc>
          <w:tcPr>
            <w:tcW w:w="1660" w:type="dxa"/>
            <w:tcBorders>
              <w:top w:val="nil"/>
              <w:left w:val="single" w:sz="4" w:space="0" w:color="003366"/>
              <w:bottom w:val="single" w:sz="4" w:space="0" w:color="003366"/>
              <w:right w:val="single" w:sz="4" w:space="0" w:color="003366"/>
            </w:tcBorders>
            <w:shd w:val="clear" w:color="000000" w:fill="FFFFCC"/>
            <w:vAlign w:val="bottom"/>
            <w:hideMark/>
          </w:tcPr>
          <w:p w:rsidR="00BF2D2C" w:rsidRPr="00BF2D2C" w:rsidRDefault="00BF2D2C">
            <w:pPr>
              <w:rPr>
                <w:rFonts w:ascii="Calibri" w:hAnsi="Calibri"/>
                <w:sz w:val="18"/>
                <w:szCs w:val="18"/>
              </w:rPr>
            </w:pPr>
            <w:r w:rsidRPr="00BF2D2C">
              <w:rPr>
                <w:rFonts w:ascii="Calibri" w:hAnsi="Calibri"/>
                <w:sz w:val="18"/>
                <w:szCs w:val="18"/>
              </w:rPr>
              <w:t xml:space="preserve"> $               780.269 </w:t>
            </w:r>
          </w:p>
        </w:tc>
        <w:tc>
          <w:tcPr>
            <w:tcW w:w="1440" w:type="dxa"/>
            <w:tcBorders>
              <w:top w:val="nil"/>
              <w:left w:val="single" w:sz="4" w:space="0" w:color="808000"/>
              <w:bottom w:val="single" w:sz="4" w:space="0" w:color="808000"/>
              <w:right w:val="single" w:sz="4" w:space="0" w:color="808000"/>
            </w:tcBorders>
            <w:shd w:val="clear" w:color="000000" w:fill="FFFFCC"/>
            <w:noWrap/>
            <w:vAlign w:val="center"/>
            <w:hideMark/>
          </w:tcPr>
          <w:p w:rsidR="00BF2D2C" w:rsidRPr="00BF2D2C" w:rsidRDefault="00BF2D2C">
            <w:pPr>
              <w:rPr>
                <w:rFonts w:ascii="Calibri" w:hAnsi="Calibri"/>
                <w:color w:val="000000"/>
                <w:sz w:val="18"/>
                <w:szCs w:val="18"/>
              </w:rPr>
            </w:pPr>
            <w:r w:rsidRPr="00BF2D2C">
              <w:rPr>
                <w:rFonts w:ascii="Calibri" w:hAnsi="Calibri"/>
                <w:color w:val="000000"/>
                <w:sz w:val="18"/>
                <w:szCs w:val="18"/>
              </w:rPr>
              <w:t xml:space="preserve"> $       5.461.883 </w:t>
            </w:r>
          </w:p>
        </w:tc>
      </w:tr>
      <w:tr w:rsidR="00BF2D2C" w:rsidRPr="00BF2D2C" w:rsidTr="00BF2D2C">
        <w:trPr>
          <w:trHeight w:val="20"/>
          <w:jc w:val="center"/>
        </w:trPr>
        <w:tc>
          <w:tcPr>
            <w:tcW w:w="1100" w:type="dxa"/>
            <w:tcBorders>
              <w:top w:val="nil"/>
              <w:left w:val="single" w:sz="8" w:space="0" w:color="auto"/>
              <w:bottom w:val="nil"/>
              <w:right w:val="nil"/>
            </w:tcBorders>
            <w:shd w:val="clear" w:color="auto" w:fill="auto"/>
            <w:noWrap/>
            <w:vAlign w:val="bottom"/>
            <w:hideMark/>
          </w:tcPr>
          <w:p w:rsidR="00BF2D2C" w:rsidRPr="00BF2D2C" w:rsidRDefault="00BF2D2C">
            <w:pPr>
              <w:jc w:val="center"/>
              <w:rPr>
                <w:rFonts w:ascii="Calibri" w:hAnsi="Calibri"/>
                <w:sz w:val="18"/>
                <w:szCs w:val="18"/>
              </w:rPr>
            </w:pPr>
            <w:r w:rsidRPr="00BF2D2C">
              <w:rPr>
                <w:rFonts w:ascii="Calibri" w:hAnsi="Calibri"/>
                <w:sz w:val="18"/>
                <w:szCs w:val="18"/>
              </w:rPr>
              <w:t> </w:t>
            </w:r>
          </w:p>
        </w:tc>
        <w:tc>
          <w:tcPr>
            <w:tcW w:w="1000" w:type="dxa"/>
            <w:tcBorders>
              <w:top w:val="nil"/>
              <w:left w:val="nil"/>
              <w:bottom w:val="nil"/>
              <w:right w:val="nil"/>
            </w:tcBorders>
            <w:shd w:val="clear" w:color="auto" w:fill="auto"/>
            <w:noWrap/>
            <w:vAlign w:val="center"/>
            <w:hideMark/>
          </w:tcPr>
          <w:p w:rsidR="00BF2D2C" w:rsidRPr="00BF2D2C" w:rsidRDefault="00BF2D2C">
            <w:pPr>
              <w:jc w:val="center"/>
              <w:rPr>
                <w:rFonts w:ascii="Calibri" w:hAnsi="Calibri"/>
                <w:sz w:val="18"/>
                <w:szCs w:val="18"/>
              </w:rPr>
            </w:pPr>
          </w:p>
        </w:tc>
        <w:tc>
          <w:tcPr>
            <w:tcW w:w="940" w:type="dxa"/>
            <w:tcBorders>
              <w:top w:val="nil"/>
              <w:left w:val="nil"/>
              <w:bottom w:val="nil"/>
              <w:right w:val="nil"/>
            </w:tcBorders>
            <w:shd w:val="clear" w:color="auto" w:fill="auto"/>
            <w:noWrap/>
            <w:vAlign w:val="center"/>
            <w:hideMark/>
          </w:tcPr>
          <w:p w:rsidR="00BF2D2C" w:rsidRPr="00BF2D2C" w:rsidRDefault="00BF2D2C">
            <w:pPr>
              <w:rPr>
                <w:sz w:val="18"/>
                <w:szCs w:val="18"/>
              </w:rPr>
            </w:pPr>
          </w:p>
        </w:tc>
        <w:tc>
          <w:tcPr>
            <w:tcW w:w="1040" w:type="dxa"/>
            <w:tcBorders>
              <w:top w:val="nil"/>
              <w:left w:val="nil"/>
              <w:bottom w:val="nil"/>
              <w:right w:val="nil"/>
            </w:tcBorders>
            <w:shd w:val="clear" w:color="auto" w:fill="auto"/>
            <w:noWrap/>
            <w:vAlign w:val="bottom"/>
            <w:hideMark/>
          </w:tcPr>
          <w:p w:rsidR="00BF2D2C" w:rsidRPr="00BF2D2C" w:rsidRDefault="00BF2D2C">
            <w:pPr>
              <w:rPr>
                <w:sz w:val="18"/>
                <w:szCs w:val="18"/>
              </w:rPr>
            </w:pPr>
          </w:p>
        </w:tc>
        <w:tc>
          <w:tcPr>
            <w:tcW w:w="1660" w:type="dxa"/>
            <w:tcBorders>
              <w:top w:val="nil"/>
              <w:left w:val="nil"/>
              <w:bottom w:val="nil"/>
              <w:right w:val="nil"/>
            </w:tcBorders>
            <w:shd w:val="clear" w:color="auto" w:fill="auto"/>
            <w:vAlign w:val="bottom"/>
            <w:hideMark/>
          </w:tcPr>
          <w:p w:rsidR="00BF2D2C" w:rsidRPr="00BF2D2C" w:rsidRDefault="00BF2D2C">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D2C" w:rsidRPr="00BF2D2C" w:rsidRDefault="00BF2D2C">
            <w:pPr>
              <w:rPr>
                <w:rFonts w:ascii="Calibri" w:hAnsi="Calibri"/>
                <w:color w:val="000000"/>
                <w:sz w:val="18"/>
                <w:szCs w:val="18"/>
              </w:rPr>
            </w:pPr>
            <w:r w:rsidRPr="00BF2D2C">
              <w:rPr>
                <w:rFonts w:ascii="Calibri" w:hAnsi="Calibri"/>
                <w:color w:val="000000"/>
                <w:sz w:val="18"/>
                <w:szCs w:val="18"/>
              </w:rPr>
              <w:t xml:space="preserve"> $     17.451.024 </w:t>
            </w:r>
          </w:p>
        </w:tc>
      </w:tr>
    </w:tbl>
    <w:p w:rsidR="00924F0D" w:rsidRDefault="00924F0D" w:rsidP="00E41882">
      <w:pPr>
        <w:pStyle w:val="Sansinterligne"/>
        <w:ind w:left="708"/>
        <w:rPr>
          <w:sz w:val="20"/>
          <w:szCs w:val="20"/>
        </w:rPr>
      </w:pPr>
    </w:p>
    <w:p w:rsidR="00C3137D" w:rsidRDefault="00C3137D" w:rsidP="00C3137D">
      <w:pPr>
        <w:pStyle w:val="Sansinterligne"/>
        <w:spacing w:line="276" w:lineRule="auto"/>
        <w:ind w:firstLine="709"/>
        <w:rPr>
          <w:sz w:val="22"/>
          <w:szCs w:val="22"/>
        </w:rPr>
      </w:pPr>
    </w:p>
    <w:p w:rsidR="00C3137D" w:rsidRDefault="00C3137D" w:rsidP="00C3137D">
      <w:pPr>
        <w:pStyle w:val="Sansinterligne"/>
        <w:spacing w:line="276" w:lineRule="auto"/>
        <w:ind w:firstLine="709"/>
        <w:rPr>
          <w:sz w:val="22"/>
          <w:szCs w:val="22"/>
        </w:rPr>
      </w:pPr>
    </w:p>
    <w:p w:rsidR="00C3137D" w:rsidRDefault="00C3137D" w:rsidP="00C3137D">
      <w:pPr>
        <w:pStyle w:val="Sansinterligne"/>
        <w:spacing w:line="276" w:lineRule="auto"/>
        <w:ind w:firstLine="709"/>
        <w:rPr>
          <w:sz w:val="22"/>
          <w:szCs w:val="22"/>
        </w:rPr>
      </w:pPr>
    </w:p>
    <w:p w:rsidR="00C3137D" w:rsidRPr="00EA6BEB" w:rsidRDefault="00C3137D" w:rsidP="00C3137D">
      <w:pPr>
        <w:pStyle w:val="Sansinterligne"/>
        <w:spacing w:line="276" w:lineRule="auto"/>
        <w:ind w:firstLine="709"/>
        <w:rPr>
          <w:sz w:val="22"/>
          <w:szCs w:val="22"/>
        </w:rPr>
      </w:pPr>
    </w:p>
    <w:p w:rsidR="00C3137D" w:rsidRPr="00EA6BEB" w:rsidRDefault="00C3137D" w:rsidP="00C3137D">
      <w:pPr>
        <w:pStyle w:val="Titre3"/>
        <w:spacing w:before="0" w:after="0" w:line="276" w:lineRule="auto"/>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C3137D" w:rsidRPr="00042881" w:rsidRDefault="00C3137D" w:rsidP="00C3137D">
      <w:pPr>
        <w:pStyle w:val="Sansinterligne"/>
        <w:ind w:left="708"/>
        <w:jc w:val="center"/>
        <w:rPr>
          <w:sz w:val="20"/>
          <w:szCs w:val="20"/>
        </w:rPr>
      </w:pPr>
      <w:r w:rsidRPr="00EA6BEB">
        <w:rPr>
          <w:rFonts w:ascii="Tahoma" w:hAnsi="Tahoma" w:cs="Tahoma"/>
          <w:sz w:val="22"/>
          <w:szCs w:val="22"/>
        </w:rPr>
        <w:t>Magistrada</w:t>
      </w:r>
    </w:p>
    <w:sectPr w:rsidR="00C3137D" w:rsidRPr="00042881" w:rsidSect="002E3685">
      <w:headerReference w:type="even" r:id="rId9"/>
      <w:headerReference w:type="default" r:id="rId10"/>
      <w:footerReference w:type="default" r:id="rId11"/>
      <w:footerReference w:type="first" r:id="rId12"/>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74" w:rsidRDefault="00167D74">
      <w:r>
        <w:separator/>
      </w:r>
    </w:p>
  </w:endnote>
  <w:endnote w:type="continuationSeparator" w:id="0">
    <w:p w:rsidR="00167D74" w:rsidRDefault="0016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BB" w:rsidRPr="0002458E" w:rsidRDefault="001F48BB">
    <w:pPr>
      <w:pStyle w:val="Pieddepage"/>
      <w:jc w:val="right"/>
    </w:pPr>
    <w:r w:rsidRPr="0002458E">
      <w:fldChar w:fldCharType="begin"/>
    </w:r>
    <w:r w:rsidRPr="0002458E">
      <w:instrText>PAGE   \* MERGEFORMAT</w:instrText>
    </w:r>
    <w:r w:rsidRPr="0002458E">
      <w:fldChar w:fldCharType="separate"/>
    </w:r>
    <w:r w:rsidR="000E47B8">
      <w:rPr>
        <w:noProof/>
      </w:rPr>
      <w:t>4</w:t>
    </w:r>
    <w:r w:rsidRPr="0002458E">
      <w:fldChar w:fldCharType="end"/>
    </w:r>
  </w:p>
  <w:p w:rsidR="001F48BB" w:rsidRDefault="001F48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BB" w:rsidRDefault="001F48BB">
    <w:pPr>
      <w:pStyle w:val="Pieddepage"/>
      <w:jc w:val="right"/>
    </w:pPr>
    <w:r>
      <w:fldChar w:fldCharType="begin"/>
    </w:r>
    <w:r>
      <w:instrText>PAGE   \* MERGEFORMAT</w:instrText>
    </w:r>
    <w:r>
      <w:fldChar w:fldCharType="separate"/>
    </w:r>
    <w:r w:rsidR="000E47B8">
      <w:rPr>
        <w:noProof/>
      </w:rPr>
      <w:t>1</w:t>
    </w:r>
    <w:r>
      <w:fldChar w:fldCharType="end"/>
    </w:r>
  </w:p>
  <w:p w:rsidR="001F48BB" w:rsidRDefault="001F48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74" w:rsidRDefault="00167D74">
      <w:r>
        <w:separator/>
      </w:r>
    </w:p>
  </w:footnote>
  <w:footnote w:type="continuationSeparator" w:id="0">
    <w:p w:rsidR="00167D74" w:rsidRDefault="00167D74">
      <w:r>
        <w:continuationSeparator/>
      </w:r>
    </w:p>
  </w:footnote>
  <w:footnote w:id="1">
    <w:p w:rsidR="000D786F" w:rsidRDefault="000D786F" w:rsidP="000D786F">
      <w:pPr>
        <w:pStyle w:val="Notedebasdepage"/>
        <w:jc w:val="both"/>
        <w:rPr>
          <w:lang w:val="es-CO"/>
        </w:rPr>
      </w:pPr>
      <w:r>
        <w:rPr>
          <w:rStyle w:val="Appelnotedebasdep"/>
        </w:rPr>
        <w:footnoteRef/>
      </w:r>
      <w:r>
        <w:t xml:space="preserve"> </w:t>
      </w:r>
      <w:r>
        <w:rPr>
          <w:sz w:val="16"/>
          <w:szCs w:val="16"/>
        </w:rPr>
        <w:t xml:space="preserve">Corte Suprema de Justicia, Sala de Casación Laboral. Sentencia del 11 de marzo de 2015, con Radicado número 56171. M.P. Luis Gabriel Miranda </w:t>
      </w:r>
      <w:proofErr w:type="spellStart"/>
      <w:r>
        <w:rPr>
          <w:sz w:val="16"/>
          <w:szCs w:val="16"/>
        </w:rPr>
        <w:t>Buelvas</w:t>
      </w:r>
      <w:proofErr w:type="spellEnd"/>
      <w:r>
        <w:rPr>
          <w:sz w:val="16"/>
          <w:szCs w:val="16"/>
        </w:rPr>
        <w:t>; postura reiterada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BB" w:rsidRDefault="001F48B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F48BB" w:rsidRDefault="001F48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AA" w:rsidRPr="007818AA" w:rsidRDefault="007818AA" w:rsidP="007818AA">
    <w:pPr>
      <w:pStyle w:val="Titre"/>
      <w:spacing w:line="240" w:lineRule="auto"/>
      <w:jc w:val="both"/>
      <w:rPr>
        <w:rFonts w:ascii="Times New Roman" w:hAnsi="Times New Roman" w:cs="Times New Roman"/>
        <w:b w:val="0"/>
        <w:sz w:val="16"/>
        <w:szCs w:val="16"/>
      </w:rPr>
    </w:pPr>
    <w:r w:rsidRPr="007818AA">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7818AA">
      <w:rPr>
        <w:rFonts w:ascii="Times New Roman" w:hAnsi="Times New Roman" w:cs="Times New Roman"/>
        <w:b w:val="0"/>
        <w:sz w:val="16"/>
        <w:szCs w:val="16"/>
      </w:rPr>
      <w:t>66001-31-05-001-2015-00270-01</w:t>
    </w:r>
  </w:p>
  <w:p w:rsidR="007818AA" w:rsidRPr="007818AA" w:rsidRDefault="007818AA" w:rsidP="007818AA">
    <w:pPr>
      <w:pStyle w:val="Titre"/>
      <w:spacing w:line="240" w:lineRule="auto"/>
      <w:jc w:val="both"/>
      <w:rPr>
        <w:rFonts w:ascii="Times New Roman" w:hAnsi="Times New Roman" w:cs="Times New Roman"/>
        <w:b w:val="0"/>
        <w:sz w:val="16"/>
        <w:szCs w:val="16"/>
      </w:rPr>
    </w:pPr>
    <w:r w:rsidRPr="007818AA">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7818AA">
      <w:rPr>
        <w:rFonts w:ascii="Times New Roman" w:hAnsi="Times New Roman" w:cs="Times New Roman"/>
        <w:b w:val="0"/>
        <w:sz w:val="16"/>
        <w:szCs w:val="16"/>
      </w:rPr>
      <w:t>Herman Alberto Posada Correa</w:t>
    </w:r>
  </w:p>
  <w:p w:rsidR="007818AA" w:rsidRPr="007818AA" w:rsidRDefault="007818AA" w:rsidP="007818AA">
    <w:pPr>
      <w:pStyle w:val="Titre"/>
      <w:spacing w:line="240" w:lineRule="auto"/>
      <w:jc w:val="both"/>
      <w:rPr>
        <w:rFonts w:ascii="Times New Roman" w:hAnsi="Times New Roman" w:cs="Times New Roman"/>
        <w:b w:val="0"/>
        <w:sz w:val="16"/>
        <w:szCs w:val="16"/>
      </w:rPr>
    </w:pPr>
    <w:r w:rsidRPr="007818AA">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7818AA">
      <w:rPr>
        <w:rFonts w:ascii="Times New Roman" w:hAnsi="Times New Roman" w:cs="Times New Roman"/>
        <w:b w:val="0"/>
        <w:sz w:val="16"/>
        <w:szCs w:val="16"/>
      </w:rPr>
      <w:t xml:space="preserve">Colpensiones </w:t>
    </w:r>
  </w:p>
  <w:p w:rsidR="001F48BB" w:rsidRDefault="001F48BB" w:rsidP="005107E5">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2"/>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0"/>
  </w:num>
  <w:num w:numId="19">
    <w:abstractNumId w:val="31"/>
  </w:num>
  <w:num w:numId="20">
    <w:abstractNumId w:val="23"/>
  </w:num>
  <w:num w:numId="21">
    <w:abstractNumId w:val="29"/>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3"/>
  </w:num>
  <w:num w:numId="29">
    <w:abstractNumId w:val="10"/>
  </w:num>
  <w:num w:numId="30">
    <w:abstractNumId w:val="5"/>
  </w:num>
  <w:num w:numId="31">
    <w:abstractNumId w:val="8"/>
  </w:num>
  <w:num w:numId="32">
    <w:abstractNumId w:val="4"/>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138"/>
    <w:rsid w:val="00013636"/>
    <w:rsid w:val="000138D2"/>
    <w:rsid w:val="00014101"/>
    <w:rsid w:val="00014172"/>
    <w:rsid w:val="00014949"/>
    <w:rsid w:val="000149FB"/>
    <w:rsid w:val="00014F1A"/>
    <w:rsid w:val="000153D6"/>
    <w:rsid w:val="00015677"/>
    <w:rsid w:val="00015C7D"/>
    <w:rsid w:val="00016CEA"/>
    <w:rsid w:val="00020B62"/>
    <w:rsid w:val="00020EAD"/>
    <w:rsid w:val="00021B46"/>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3E3"/>
    <w:rsid w:val="000516FA"/>
    <w:rsid w:val="0005299F"/>
    <w:rsid w:val="00053767"/>
    <w:rsid w:val="000539D9"/>
    <w:rsid w:val="00053BBC"/>
    <w:rsid w:val="00054180"/>
    <w:rsid w:val="00056F1F"/>
    <w:rsid w:val="00057644"/>
    <w:rsid w:val="00057E02"/>
    <w:rsid w:val="0006298A"/>
    <w:rsid w:val="00062B7F"/>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4C9"/>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661"/>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6F"/>
    <w:rsid w:val="000D7A48"/>
    <w:rsid w:val="000D7BE7"/>
    <w:rsid w:val="000E02E2"/>
    <w:rsid w:val="000E15CE"/>
    <w:rsid w:val="000E18F8"/>
    <w:rsid w:val="000E1CB4"/>
    <w:rsid w:val="000E1F40"/>
    <w:rsid w:val="000E2911"/>
    <w:rsid w:val="000E2B6D"/>
    <w:rsid w:val="000E2C96"/>
    <w:rsid w:val="000E2F2F"/>
    <w:rsid w:val="000E3D17"/>
    <w:rsid w:val="000E46A6"/>
    <w:rsid w:val="000E47B8"/>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DD5"/>
    <w:rsid w:val="001355E4"/>
    <w:rsid w:val="00135707"/>
    <w:rsid w:val="00137BDE"/>
    <w:rsid w:val="00137E1C"/>
    <w:rsid w:val="00141D49"/>
    <w:rsid w:val="00143418"/>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D74"/>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21BD"/>
    <w:rsid w:val="00233341"/>
    <w:rsid w:val="002338AC"/>
    <w:rsid w:val="00233BD7"/>
    <w:rsid w:val="00234388"/>
    <w:rsid w:val="002343F1"/>
    <w:rsid w:val="00234B63"/>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D9E"/>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552B"/>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6C74"/>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7A1"/>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4743"/>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0E40"/>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69B0"/>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2C5D"/>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49C"/>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07E5"/>
    <w:rsid w:val="00512883"/>
    <w:rsid w:val="00512888"/>
    <w:rsid w:val="00512F75"/>
    <w:rsid w:val="00513B9C"/>
    <w:rsid w:val="00513D07"/>
    <w:rsid w:val="00514368"/>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4B14"/>
    <w:rsid w:val="005753F5"/>
    <w:rsid w:val="005759F3"/>
    <w:rsid w:val="00576657"/>
    <w:rsid w:val="005768AD"/>
    <w:rsid w:val="0057796B"/>
    <w:rsid w:val="00577CDE"/>
    <w:rsid w:val="00577F67"/>
    <w:rsid w:val="00580128"/>
    <w:rsid w:val="005803F2"/>
    <w:rsid w:val="00580427"/>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2A13"/>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80C"/>
    <w:rsid w:val="005D5AE3"/>
    <w:rsid w:val="005D651C"/>
    <w:rsid w:val="005D6E3A"/>
    <w:rsid w:val="005D6EA7"/>
    <w:rsid w:val="005D7364"/>
    <w:rsid w:val="005E04A9"/>
    <w:rsid w:val="005E0DF3"/>
    <w:rsid w:val="005E1D1E"/>
    <w:rsid w:val="005E2ACF"/>
    <w:rsid w:val="005E3663"/>
    <w:rsid w:val="005E3C0D"/>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821"/>
    <w:rsid w:val="00625AAF"/>
    <w:rsid w:val="00625F7A"/>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21E9"/>
    <w:rsid w:val="0066269A"/>
    <w:rsid w:val="00663BEC"/>
    <w:rsid w:val="00664D3D"/>
    <w:rsid w:val="00666B78"/>
    <w:rsid w:val="00667269"/>
    <w:rsid w:val="006672AD"/>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B86"/>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8AA"/>
    <w:rsid w:val="00781E64"/>
    <w:rsid w:val="00782109"/>
    <w:rsid w:val="00782D54"/>
    <w:rsid w:val="00783314"/>
    <w:rsid w:val="007833A8"/>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7BC4"/>
    <w:rsid w:val="007F7CCB"/>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7046"/>
    <w:rsid w:val="00807BFD"/>
    <w:rsid w:val="00807E7B"/>
    <w:rsid w:val="008102A8"/>
    <w:rsid w:val="0081058C"/>
    <w:rsid w:val="0081073E"/>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175C6"/>
    <w:rsid w:val="0081782E"/>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684D"/>
    <w:rsid w:val="008B69DF"/>
    <w:rsid w:val="008B7A03"/>
    <w:rsid w:val="008C0444"/>
    <w:rsid w:val="008C0B7C"/>
    <w:rsid w:val="008C0D89"/>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6E2B"/>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6D71"/>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9F7588"/>
    <w:rsid w:val="00A0016D"/>
    <w:rsid w:val="00A01A26"/>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5ACE"/>
    <w:rsid w:val="00A4627C"/>
    <w:rsid w:val="00A46822"/>
    <w:rsid w:val="00A50E2A"/>
    <w:rsid w:val="00A511F8"/>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2F87"/>
    <w:rsid w:val="00A83722"/>
    <w:rsid w:val="00A848D6"/>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2E5"/>
    <w:rsid w:val="00AE34D5"/>
    <w:rsid w:val="00AE39BF"/>
    <w:rsid w:val="00AE43D5"/>
    <w:rsid w:val="00AE4BBE"/>
    <w:rsid w:val="00AE531D"/>
    <w:rsid w:val="00AF0852"/>
    <w:rsid w:val="00AF1552"/>
    <w:rsid w:val="00AF1576"/>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79EA"/>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2B2"/>
    <w:rsid w:val="00B71470"/>
    <w:rsid w:val="00B719B4"/>
    <w:rsid w:val="00B71D5C"/>
    <w:rsid w:val="00B72662"/>
    <w:rsid w:val="00B73734"/>
    <w:rsid w:val="00B73B18"/>
    <w:rsid w:val="00B746B8"/>
    <w:rsid w:val="00B74D7C"/>
    <w:rsid w:val="00B74F47"/>
    <w:rsid w:val="00B7518A"/>
    <w:rsid w:val="00B758F4"/>
    <w:rsid w:val="00B77503"/>
    <w:rsid w:val="00B778DA"/>
    <w:rsid w:val="00B77F3D"/>
    <w:rsid w:val="00B80AA6"/>
    <w:rsid w:val="00B82B47"/>
    <w:rsid w:val="00B84528"/>
    <w:rsid w:val="00B8493E"/>
    <w:rsid w:val="00B875BD"/>
    <w:rsid w:val="00B90554"/>
    <w:rsid w:val="00B929BA"/>
    <w:rsid w:val="00B931B7"/>
    <w:rsid w:val="00B9358A"/>
    <w:rsid w:val="00B937D1"/>
    <w:rsid w:val="00B943B5"/>
    <w:rsid w:val="00B9486D"/>
    <w:rsid w:val="00B94B44"/>
    <w:rsid w:val="00B94E3E"/>
    <w:rsid w:val="00B9647A"/>
    <w:rsid w:val="00B965A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0F02"/>
    <w:rsid w:val="00BD1142"/>
    <w:rsid w:val="00BD36E0"/>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D2C"/>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46D7"/>
    <w:rsid w:val="00C05441"/>
    <w:rsid w:val="00C058B7"/>
    <w:rsid w:val="00C05AA6"/>
    <w:rsid w:val="00C05C85"/>
    <w:rsid w:val="00C060DB"/>
    <w:rsid w:val="00C065B8"/>
    <w:rsid w:val="00C068EF"/>
    <w:rsid w:val="00C1005D"/>
    <w:rsid w:val="00C10B24"/>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64C"/>
    <w:rsid w:val="00C528B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65733"/>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03F"/>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07C1D"/>
    <w:rsid w:val="00D103EF"/>
    <w:rsid w:val="00D10F44"/>
    <w:rsid w:val="00D11FCD"/>
    <w:rsid w:val="00D12B22"/>
    <w:rsid w:val="00D12B43"/>
    <w:rsid w:val="00D12D0E"/>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16A"/>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D98"/>
    <w:rsid w:val="00DD5F21"/>
    <w:rsid w:val="00DE0F1D"/>
    <w:rsid w:val="00DE1CF2"/>
    <w:rsid w:val="00DE2020"/>
    <w:rsid w:val="00DE3A97"/>
    <w:rsid w:val="00DE3FAA"/>
    <w:rsid w:val="00DE5002"/>
    <w:rsid w:val="00DE5D5E"/>
    <w:rsid w:val="00DE5E8D"/>
    <w:rsid w:val="00DE6687"/>
    <w:rsid w:val="00DE7825"/>
    <w:rsid w:val="00DF0309"/>
    <w:rsid w:val="00DF03D7"/>
    <w:rsid w:val="00DF239B"/>
    <w:rsid w:val="00DF2E56"/>
    <w:rsid w:val="00DF3BFF"/>
    <w:rsid w:val="00DF3E97"/>
    <w:rsid w:val="00DF46D4"/>
    <w:rsid w:val="00DF4C92"/>
    <w:rsid w:val="00DF524A"/>
    <w:rsid w:val="00DF5A64"/>
    <w:rsid w:val="00DF5FD8"/>
    <w:rsid w:val="00DF7364"/>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515"/>
    <w:rsid w:val="00E355DA"/>
    <w:rsid w:val="00E3591B"/>
    <w:rsid w:val="00E35D84"/>
    <w:rsid w:val="00E36028"/>
    <w:rsid w:val="00E3641B"/>
    <w:rsid w:val="00E36F1F"/>
    <w:rsid w:val="00E376A8"/>
    <w:rsid w:val="00E37778"/>
    <w:rsid w:val="00E40FBC"/>
    <w:rsid w:val="00E41882"/>
    <w:rsid w:val="00E41F7B"/>
    <w:rsid w:val="00E42FC3"/>
    <w:rsid w:val="00E43CD2"/>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C8F"/>
    <w:rsid w:val="00E7167D"/>
    <w:rsid w:val="00E71811"/>
    <w:rsid w:val="00E734D8"/>
    <w:rsid w:val="00E74A60"/>
    <w:rsid w:val="00E753D1"/>
    <w:rsid w:val="00E76A5D"/>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241B"/>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0FAE"/>
    <w:rsid w:val="00EB13EB"/>
    <w:rsid w:val="00EB1EAC"/>
    <w:rsid w:val="00EB2326"/>
    <w:rsid w:val="00EB2B0E"/>
    <w:rsid w:val="00EB2EA6"/>
    <w:rsid w:val="00EB306E"/>
    <w:rsid w:val="00EB37C1"/>
    <w:rsid w:val="00EB3D47"/>
    <w:rsid w:val="00EB3DAA"/>
    <w:rsid w:val="00EB4ACF"/>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D7C41"/>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5F01"/>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6712"/>
    <w:rsid w:val="00F27290"/>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52C"/>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85"/>
    <w:rsid w:val="00F677C4"/>
    <w:rsid w:val="00F677FA"/>
    <w:rsid w:val="00F70786"/>
    <w:rsid w:val="00F709AF"/>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8B1"/>
    <w:rsid w:val="00FD7D0A"/>
    <w:rsid w:val="00FD7F59"/>
    <w:rsid w:val="00FE147D"/>
    <w:rsid w:val="00FE18C9"/>
    <w:rsid w:val="00FE1B93"/>
    <w:rsid w:val="00FE2152"/>
    <w:rsid w:val="00FE2CCF"/>
    <w:rsid w:val="00FE3BA0"/>
    <w:rsid w:val="00FE49E5"/>
    <w:rsid w:val="00FE4A5D"/>
    <w:rsid w:val="00FE4AE7"/>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aliases w:val="Footnote Text Char Char Char Char Char,Footnote Text Char Char Char Char,Ref. de nota al pie1,FA Fu,Footnote Text Char Char Char,Texto de nota al pie,referencia nota al pie,Footnote Text Char"/>
    <w:basedOn w:val="Normal"/>
    <w:link w:val="NotedebasdepageCar"/>
    <w:rsid w:val="00AF702B"/>
    <w:rPr>
      <w:sz w:val="20"/>
      <w:szCs w:val="20"/>
    </w:rPr>
  </w:style>
  <w:style w:type="character" w:customStyle="1" w:styleId="NotedebasdepageCar">
    <w:name w:val="Note de bas de page Car"/>
    <w:aliases w:val="Footnote Text Char Char Char Char Char Car1,Footnote Text Char Char Char Char Car1,Ref. de nota al pie1 Car1,FA Fu Car1,Footnote Text Char Char Char Car1,Texto de nota al pie Car,referencia nota al pie Car,Footnote Text Char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styleId="Emphaseple">
    <w:name w:val="Subtle Emphasis"/>
    <w:basedOn w:val="Policepardfaut"/>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Policepardfaut"/>
    <w:uiPriority w:val="99"/>
    <w:semiHidden/>
    <w:rsid w:val="007E69CD"/>
    <w:rPr>
      <w:sz w:val="20"/>
      <w:szCs w:val="2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aliases w:val="Footnote Text Char Char Char Char Char,Footnote Text Char Char Char Char,Ref. de nota al pie1,FA Fu,Footnote Text Char Char Char,Texto de nota al pie,referencia nota al pie,Footnote Text Char"/>
    <w:basedOn w:val="Normal"/>
    <w:link w:val="NotedebasdepageCar"/>
    <w:rsid w:val="00AF702B"/>
    <w:rPr>
      <w:sz w:val="20"/>
      <w:szCs w:val="20"/>
    </w:rPr>
  </w:style>
  <w:style w:type="character" w:customStyle="1" w:styleId="NotedebasdepageCar">
    <w:name w:val="Note de bas de page Car"/>
    <w:aliases w:val="Footnote Text Char Char Char Char Char Car1,Footnote Text Char Char Char Char Car1,Ref. de nota al pie1 Car1,FA Fu Car1,Footnote Text Char Char Char Car1,Texto de nota al pie Car,referencia nota al pie Car,Footnote Text Char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styleId="Emphaseple">
    <w:name w:val="Subtle Emphasis"/>
    <w:basedOn w:val="Policepardfaut"/>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Policepardfaut"/>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13505826">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199383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491913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3353-4414-4591-A4BF-90DA0791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7446</TotalTime>
  <Pages>5</Pages>
  <Words>1846</Words>
  <Characters>10157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Malucimedina</cp:lastModifiedBy>
  <cp:revision>191</cp:revision>
  <cp:lastPrinted>2017-10-25T22:42:00Z</cp:lastPrinted>
  <dcterms:created xsi:type="dcterms:W3CDTF">2016-08-26T00:07:00Z</dcterms:created>
  <dcterms:modified xsi:type="dcterms:W3CDTF">2017-12-15T17:45:00Z</dcterms:modified>
  <cp:category>Sala Laboral Tribunal Superior de Periera</cp:category>
</cp:coreProperties>
</file>