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43" w:rsidRPr="00A817A6" w:rsidRDefault="00433443" w:rsidP="00433443">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433443" w:rsidRPr="009275F8" w:rsidRDefault="00433443" w:rsidP="00433443">
      <w:pPr>
        <w:pStyle w:val="Sinespaciado"/>
        <w:rPr>
          <w:rFonts w:asciiTheme="minorHAnsi" w:hAnsiTheme="minorHAnsi"/>
          <w:sz w:val="18"/>
          <w:szCs w:val="18"/>
        </w:rPr>
      </w:pPr>
    </w:p>
    <w:p w:rsidR="00671E77" w:rsidRPr="002979DE" w:rsidRDefault="00671E77" w:rsidP="002979DE">
      <w:pPr>
        <w:pStyle w:val="Puesto"/>
        <w:spacing w:line="240" w:lineRule="auto"/>
        <w:jc w:val="both"/>
        <w:rPr>
          <w:rFonts w:ascii="Tahoma" w:hAnsi="Tahoma" w:cs="Tahoma"/>
          <w:b w:val="0"/>
          <w:bCs/>
          <w:sz w:val="18"/>
          <w:szCs w:val="18"/>
        </w:rPr>
      </w:pPr>
      <w:bookmarkStart w:id="0" w:name="_GoBack"/>
      <w:bookmarkEnd w:id="0"/>
      <w:r w:rsidRPr="002979DE">
        <w:rPr>
          <w:rFonts w:ascii="Tahoma" w:hAnsi="Tahoma" w:cs="Tahoma"/>
          <w:b w:val="0"/>
          <w:sz w:val="18"/>
          <w:szCs w:val="18"/>
        </w:rPr>
        <w:t>Providencia</w:t>
      </w:r>
      <w:r w:rsidRPr="002979DE">
        <w:rPr>
          <w:rFonts w:ascii="Tahoma" w:hAnsi="Tahoma" w:cs="Tahoma"/>
          <w:b w:val="0"/>
          <w:sz w:val="18"/>
          <w:szCs w:val="18"/>
        </w:rPr>
        <w:tab/>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992528">
        <w:rPr>
          <w:rFonts w:ascii="Tahoma" w:hAnsi="Tahoma" w:cs="Tahoma"/>
          <w:b w:val="0"/>
          <w:bCs/>
          <w:sz w:val="18"/>
          <w:szCs w:val="18"/>
        </w:rPr>
        <w:t>1</w:t>
      </w:r>
      <w:r w:rsidR="00B11A1B">
        <w:rPr>
          <w:rFonts w:ascii="Tahoma" w:hAnsi="Tahoma" w:cs="Tahoma"/>
          <w:b w:val="0"/>
          <w:bCs/>
          <w:sz w:val="18"/>
          <w:szCs w:val="18"/>
        </w:rPr>
        <w:t>5</w:t>
      </w:r>
      <w:r w:rsidR="00992528">
        <w:rPr>
          <w:rFonts w:ascii="Tahoma" w:hAnsi="Tahoma" w:cs="Tahoma"/>
          <w:b w:val="0"/>
          <w:bCs/>
          <w:sz w:val="18"/>
          <w:szCs w:val="18"/>
        </w:rPr>
        <w:t xml:space="preserve"> de diciembre</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r>
      <w:r w:rsidR="002979DE">
        <w:rPr>
          <w:rFonts w:ascii="Tahoma" w:hAnsi="Tahoma" w:cs="Tahoma"/>
          <w:b w:val="0"/>
          <w:sz w:val="18"/>
          <w:szCs w:val="18"/>
        </w:rPr>
        <w:tab/>
      </w:r>
      <w:r w:rsidR="00D3635B" w:rsidRPr="002979DE">
        <w:rPr>
          <w:rFonts w:ascii="Tahoma" w:hAnsi="Tahoma" w:cs="Tahoma"/>
          <w:b w:val="0"/>
          <w:sz w:val="18"/>
          <w:szCs w:val="18"/>
        </w:rPr>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D315EC">
        <w:rPr>
          <w:rFonts w:ascii="Tahoma" w:hAnsi="Tahoma" w:cs="Tahoma"/>
          <w:b w:val="0"/>
          <w:sz w:val="18"/>
          <w:szCs w:val="18"/>
        </w:rPr>
        <w:t>005-2009-00108 A</w:t>
      </w:r>
      <w:r w:rsidR="00FF6D3B">
        <w:rPr>
          <w:rFonts w:ascii="Tahoma" w:hAnsi="Tahoma" w:cs="Tahoma"/>
          <w:b w:val="0"/>
          <w:sz w:val="18"/>
          <w:szCs w:val="18"/>
        </w:rPr>
        <w:t>-02</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r>
      <w:r w:rsidR="002979DE">
        <w:rPr>
          <w:rFonts w:ascii="Tahoma" w:hAnsi="Tahoma" w:cs="Tahoma"/>
          <w:b w:val="0"/>
          <w:sz w:val="18"/>
          <w:szCs w:val="18"/>
        </w:rPr>
        <w:tab/>
      </w:r>
      <w:r w:rsidRPr="002979DE">
        <w:rPr>
          <w:rFonts w:ascii="Tahoma" w:hAnsi="Tahoma" w:cs="Tahoma"/>
          <w:b w:val="0"/>
          <w:sz w:val="18"/>
          <w:szCs w:val="18"/>
        </w:rPr>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D315EC">
        <w:rPr>
          <w:rFonts w:ascii="Tahoma" w:hAnsi="Tahoma" w:cs="Tahoma"/>
          <w:b w:val="0"/>
          <w:sz w:val="18"/>
          <w:szCs w:val="18"/>
        </w:rPr>
        <w:t>OCTAVIO QUINCHÍA GRISALES</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D315EC">
        <w:rPr>
          <w:rFonts w:ascii="Tahoma" w:hAnsi="Tahoma" w:cs="Tahoma"/>
          <w:b w:val="0"/>
          <w:sz w:val="18"/>
          <w:szCs w:val="18"/>
        </w:rPr>
        <w:t>ROSALBA GRAJALES DE RENDÓN</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w:t>
      </w:r>
      <w:r w:rsidRPr="002979DE">
        <w:rPr>
          <w:rFonts w:ascii="Tahoma" w:hAnsi="Tahoma" w:cs="Tahoma"/>
          <w:b w:val="0"/>
          <w:sz w:val="18"/>
          <w:szCs w:val="18"/>
        </w:rPr>
        <w:tab/>
        <w:t>Dra. ANA LUCÍA CAICEDO CALDERÓN</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Juzgado de Origen</w:t>
      </w:r>
      <w:r w:rsidRPr="002979DE">
        <w:rPr>
          <w:rFonts w:ascii="Tahoma" w:hAnsi="Tahoma" w:cs="Tahoma"/>
          <w:b w:val="0"/>
          <w:sz w:val="18"/>
          <w:szCs w:val="18"/>
        </w:rPr>
        <w:tab/>
        <w:t xml:space="preserve">: </w:t>
      </w:r>
      <w:r w:rsidRPr="002979DE">
        <w:rPr>
          <w:rFonts w:ascii="Tahoma" w:hAnsi="Tahoma" w:cs="Tahoma"/>
          <w:b w:val="0"/>
          <w:sz w:val="18"/>
          <w:szCs w:val="18"/>
        </w:rPr>
        <w:tab/>
      </w:r>
      <w:r w:rsidR="00D315EC">
        <w:rPr>
          <w:rFonts w:ascii="Tahoma" w:hAnsi="Tahoma" w:cs="Tahoma"/>
          <w:b w:val="0"/>
          <w:sz w:val="18"/>
          <w:szCs w:val="18"/>
        </w:rPr>
        <w:t>Quinto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594EE9" w:rsidRPr="00594EE9" w:rsidRDefault="00CA266A" w:rsidP="008155BF">
      <w:pPr>
        <w:pStyle w:val="Puesto"/>
        <w:tabs>
          <w:tab w:val="left" w:pos="2127"/>
        </w:tabs>
        <w:spacing w:line="240" w:lineRule="auto"/>
        <w:ind w:left="2835" w:hanging="2835"/>
        <w:jc w:val="both"/>
        <w:rPr>
          <w:rFonts w:ascii="Tahoma" w:hAnsi="Tahoma" w:cs="Tahoma"/>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8155BF">
        <w:rPr>
          <w:rFonts w:ascii="Tahoma" w:hAnsi="Tahoma" w:cs="Tahoma"/>
          <w:sz w:val="18"/>
          <w:szCs w:val="18"/>
        </w:rPr>
        <w:t xml:space="preserve">EN EL </w:t>
      </w:r>
      <w:r w:rsidR="00992528">
        <w:rPr>
          <w:rFonts w:ascii="Tahoma" w:hAnsi="Tahoma" w:cs="Tahoma"/>
          <w:sz w:val="18"/>
          <w:szCs w:val="18"/>
        </w:rPr>
        <w:t>I</w:t>
      </w:r>
      <w:r w:rsidR="008155BF">
        <w:rPr>
          <w:rFonts w:ascii="Tahoma" w:hAnsi="Tahoma" w:cs="Tahoma"/>
          <w:sz w:val="18"/>
          <w:szCs w:val="18"/>
        </w:rPr>
        <w:t xml:space="preserve">NCIDENTE DE LEVANTAMIENTO DE EMBARGO DE QUIEN SE REPUTA TERCERO POSEEDOR,  </w:t>
      </w:r>
      <w:r w:rsidR="003001FD" w:rsidRPr="003001FD">
        <w:rPr>
          <w:rFonts w:ascii="Tahoma" w:hAnsi="Tahoma" w:cs="Tahoma"/>
          <w:bCs/>
          <w:spacing w:val="2"/>
          <w:sz w:val="18"/>
          <w:szCs w:val="18"/>
        </w:rPr>
        <w:t xml:space="preserve">LOS </w:t>
      </w:r>
      <w:r w:rsidR="008155BF">
        <w:rPr>
          <w:rFonts w:ascii="Tahoma" w:hAnsi="Tahoma" w:cs="Tahoma"/>
          <w:bCs/>
          <w:spacing w:val="2"/>
          <w:sz w:val="18"/>
          <w:szCs w:val="18"/>
        </w:rPr>
        <w:t>ACTOS DE POSESIÓN DEBEN SER ANTERIORES A LA DILIGENCIA DE SECUESTRO:</w:t>
      </w:r>
      <w:r w:rsidR="003001FD" w:rsidRPr="003001FD">
        <w:rPr>
          <w:rFonts w:ascii="Tahoma" w:hAnsi="Tahoma" w:cs="Tahoma"/>
          <w:bCs/>
          <w:spacing w:val="2"/>
          <w:sz w:val="18"/>
          <w:szCs w:val="18"/>
        </w:rPr>
        <w:t xml:space="preserve"> </w:t>
      </w:r>
      <w:r w:rsidR="008155BF" w:rsidRPr="008155BF">
        <w:rPr>
          <w:rFonts w:ascii="Tahoma" w:hAnsi="Tahoma" w:cs="Tahoma"/>
          <w:b w:val="0"/>
          <w:bCs/>
          <w:spacing w:val="2"/>
          <w:sz w:val="18"/>
          <w:szCs w:val="18"/>
        </w:rPr>
        <w:t>[</w:t>
      </w:r>
      <w:r w:rsidR="00594EE9" w:rsidRPr="008155BF">
        <w:rPr>
          <w:rFonts w:ascii="Tahoma" w:hAnsi="Tahoma" w:cs="Tahoma"/>
          <w:b w:val="0"/>
          <w:sz w:val="18"/>
          <w:szCs w:val="18"/>
        </w:rPr>
        <w:t>e</w:t>
      </w:r>
      <w:r w:rsidR="008155BF" w:rsidRPr="008155BF">
        <w:rPr>
          <w:rFonts w:ascii="Tahoma" w:hAnsi="Tahoma" w:cs="Tahoma"/>
          <w:b w:val="0"/>
          <w:sz w:val="18"/>
          <w:szCs w:val="18"/>
        </w:rPr>
        <w:t>]</w:t>
      </w:r>
      <w:r w:rsidR="00594EE9" w:rsidRPr="008155BF">
        <w:rPr>
          <w:rFonts w:ascii="Tahoma" w:hAnsi="Tahoma" w:cs="Tahoma"/>
          <w:b w:val="0"/>
          <w:sz w:val="18"/>
          <w:szCs w:val="18"/>
        </w:rPr>
        <w:t xml:space="preserve">l </w:t>
      </w:r>
      <w:proofErr w:type="spellStart"/>
      <w:r w:rsidR="00594EE9" w:rsidRPr="008155BF">
        <w:rPr>
          <w:rFonts w:ascii="Tahoma" w:hAnsi="Tahoma" w:cs="Tahoma"/>
          <w:b w:val="0"/>
          <w:sz w:val="18"/>
          <w:szCs w:val="18"/>
        </w:rPr>
        <w:t>incidentista</w:t>
      </w:r>
      <w:proofErr w:type="spellEnd"/>
      <w:r w:rsidR="00594EE9" w:rsidRPr="008155BF">
        <w:rPr>
          <w:rFonts w:ascii="Tahoma" w:hAnsi="Tahoma" w:cs="Tahoma"/>
          <w:b w:val="0"/>
          <w:sz w:val="18"/>
          <w:szCs w:val="18"/>
        </w:rPr>
        <w:t xml:space="preserve"> por cuenta de la suscripción de esa promesa de compraventa alega que se convirtió en poseedor de las mejoras, de suerte que lo que hay que analizar no es la validez o no de la promesa de compraventa sino de que efectivamente LUIS ALBERTO GIRALDO GARCÍA a partir de la celebración de esa promesa de compraventa realizó verdaderos actos de señor y dueño sobre las mejoras con antelación a la diligencia de secuestro. El interregno temporal de tales actos se circunscriben entre el 31 de agosto de 2012 (fecha de suscripción de la referida promesa) y la diligencia de secuestro que se hizo el 6 de ese mismo mes y año conforme se ve a folio 239 y ss., esto es, a lo sumo durante 7 días.</w:t>
      </w:r>
      <w:r w:rsidR="00594EE9" w:rsidRPr="00594EE9">
        <w:rPr>
          <w:rFonts w:ascii="Tahoma" w:hAnsi="Tahoma" w:cs="Tahoma"/>
          <w:sz w:val="18"/>
          <w:szCs w:val="18"/>
        </w:rPr>
        <w:t xml:space="preserve"> </w:t>
      </w:r>
    </w:p>
    <w:p w:rsidR="00594EE9" w:rsidRPr="00594EE9" w:rsidRDefault="00594EE9" w:rsidP="00594EE9">
      <w:pPr>
        <w:widowControl w:val="0"/>
        <w:autoSpaceDE w:val="0"/>
        <w:autoSpaceDN w:val="0"/>
        <w:adjustRightInd w:val="0"/>
        <w:ind w:left="2835" w:firstLine="709"/>
        <w:jc w:val="both"/>
        <w:rPr>
          <w:rFonts w:ascii="Tahoma" w:hAnsi="Tahoma" w:cs="Tahoma"/>
          <w:sz w:val="18"/>
          <w:szCs w:val="18"/>
        </w:rPr>
      </w:pPr>
    </w:p>
    <w:p w:rsidR="00594EE9" w:rsidRPr="00594EE9" w:rsidRDefault="00594EE9" w:rsidP="008155BF">
      <w:pPr>
        <w:widowControl w:val="0"/>
        <w:autoSpaceDE w:val="0"/>
        <w:autoSpaceDN w:val="0"/>
        <w:adjustRightInd w:val="0"/>
        <w:ind w:left="2835"/>
        <w:jc w:val="both"/>
        <w:rPr>
          <w:rFonts w:ascii="Tahoma" w:hAnsi="Tahoma" w:cs="Tahoma"/>
          <w:sz w:val="18"/>
          <w:szCs w:val="18"/>
        </w:rPr>
      </w:pPr>
      <w:r w:rsidRPr="00594EE9">
        <w:rPr>
          <w:rFonts w:ascii="Tahoma" w:hAnsi="Tahoma" w:cs="Tahoma"/>
          <w:sz w:val="18"/>
          <w:szCs w:val="18"/>
        </w:rPr>
        <w:t xml:space="preserve">En términos prácticos resulta supremamente difícil realizar actos de señor y dueño sobre las mejoras de un inmueble durante tan corto tiempo, pero el </w:t>
      </w:r>
      <w:proofErr w:type="spellStart"/>
      <w:r w:rsidRPr="00594EE9">
        <w:rPr>
          <w:rFonts w:ascii="Tahoma" w:hAnsi="Tahoma" w:cs="Tahoma"/>
          <w:sz w:val="18"/>
          <w:szCs w:val="18"/>
        </w:rPr>
        <w:t>incidentista</w:t>
      </w:r>
      <w:proofErr w:type="spellEnd"/>
      <w:r w:rsidRPr="00594EE9">
        <w:rPr>
          <w:rFonts w:ascii="Tahoma" w:hAnsi="Tahoma" w:cs="Tahoma"/>
          <w:sz w:val="18"/>
          <w:szCs w:val="18"/>
        </w:rPr>
        <w:t xml:space="preserve"> insiste en que las mismas se contraen en la celebración de la promesa de compraventa, las comunicaciones enviadas a los arrendatarios de los dos locales comerciales que posee el inmueble, una serie de reparaciones locativas que hizo en el sitio y la recepción para sí de los cánones de arrendamiento.   </w:t>
      </w:r>
    </w:p>
    <w:p w:rsidR="00594EE9" w:rsidRPr="00594EE9" w:rsidRDefault="00594EE9" w:rsidP="00594EE9">
      <w:pPr>
        <w:widowControl w:val="0"/>
        <w:autoSpaceDE w:val="0"/>
        <w:autoSpaceDN w:val="0"/>
        <w:adjustRightInd w:val="0"/>
        <w:ind w:left="2835" w:firstLine="709"/>
        <w:jc w:val="both"/>
        <w:rPr>
          <w:rFonts w:ascii="Tahoma" w:hAnsi="Tahoma" w:cs="Tahoma"/>
          <w:sz w:val="18"/>
          <w:szCs w:val="18"/>
        </w:rPr>
      </w:pPr>
    </w:p>
    <w:p w:rsidR="00594EE9" w:rsidRPr="00594EE9" w:rsidRDefault="00594EE9" w:rsidP="008155BF">
      <w:pPr>
        <w:widowControl w:val="0"/>
        <w:autoSpaceDE w:val="0"/>
        <w:autoSpaceDN w:val="0"/>
        <w:adjustRightInd w:val="0"/>
        <w:ind w:left="2835"/>
        <w:jc w:val="both"/>
        <w:rPr>
          <w:rFonts w:ascii="Tahoma" w:hAnsi="Tahoma" w:cs="Tahoma"/>
          <w:sz w:val="18"/>
          <w:szCs w:val="18"/>
        </w:rPr>
      </w:pPr>
      <w:r w:rsidRPr="00594EE9">
        <w:rPr>
          <w:rFonts w:ascii="Tahoma" w:hAnsi="Tahoma" w:cs="Tahoma"/>
          <w:sz w:val="18"/>
          <w:szCs w:val="18"/>
        </w:rPr>
        <w:t xml:space="preserve">De tales actos, los únicos que se realizaron durante los 7 días fueron los dos primero, es decir, la suscripción de la promesa de compraventa y la remisión de las misivas a los arrendatarios anunciándoles dicha negociación. Sobre el particular, sobra decir que la celebración de una promesa de compraventa no es un acto de señor y dueño, sino todo lo contrario, porque con la misma se reconoce que el dominio de la cosa prometida está en cabeza de la promitente vendedora, y que sólo cuando se perfeccione el negocio prometido, pasará el dominio y posesión del bien en cabeza del promitente comprador. El sólo reconocimiento de un dueño distinto a quien se reputa poseedor, riñe abiertamente con la figura de la posesión. </w:t>
      </w:r>
    </w:p>
    <w:p w:rsidR="00594EE9" w:rsidRPr="00594EE9" w:rsidRDefault="00594EE9" w:rsidP="00594EE9">
      <w:pPr>
        <w:widowControl w:val="0"/>
        <w:autoSpaceDE w:val="0"/>
        <w:autoSpaceDN w:val="0"/>
        <w:adjustRightInd w:val="0"/>
        <w:ind w:left="2835" w:firstLine="709"/>
        <w:jc w:val="both"/>
        <w:rPr>
          <w:rFonts w:ascii="Tahoma" w:hAnsi="Tahoma" w:cs="Tahoma"/>
          <w:sz w:val="18"/>
          <w:szCs w:val="18"/>
        </w:rPr>
      </w:pPr>
    </w:p>
    <w:p w:rsidR="003001FD" w:rsidRPr="000E359D" w:rsidRDefault="00594EE9" w:rsidP="000E359D">
      <w:pPr>
        <w:widowControl w:val="0"/>
        <w:autoSpaceDE w:val="0"/>
        <w:autoSpaceDN w:val="0"/>
        <w:adjustRightInd w:val="0"/>
        <w:ind w:left="2835"/>
        <w:jc w:val="both"/>
        <w:rPr>
          <w:rFonts w:ascii="Tahoma" w:hAnsi="Tahoma" w:cs="Tahoma"/>
          <w:sz w:val="18"/>
          <w:szCs w:val="18"/>
        </w:rPr>
      </w:pPr>
      <w:r w:rsidRPr="00594EE9">
        <w:rPr>
          <w:rFonts w:ascii="Tahoma" w:hAnsi="Tahoma" w:cs="Tahoma"/>
          <w:sz w:val="18"/>
          <w:szCs w:val="18"/>
        </w:rPr>
        <w:t xml:space="preserve">(…) En relación con los otros actos de posesión alegados por el </w:t>
      </w:r>
      <w:proofErr w:type="spellStart"/>
      <w:r w:rsidRPr="00594EE9">
        <w:rPr>
          <w:rFonts w:ascii="Tahoma" w:hAnsi="Tahoma" w:cs="Tahoma"/>
          <w:sz w:val="18"/>
          <w:szCs w:val="18"/>
        </w:rPr>
        <w:t>incidentista</w:t>
      </w:r>
      <w:proofErr w:type="spellEnd"/>
      <w:r w:rsidRPr="00594EE9">
        <w:rPr>
          <w:rFonts w:ascii="Tahoma" w:hAnsi="Tahoma" w:cs="Tahoma"/>
          <w:sz w:val="18"/>
          <w:szCs w:val="18"/>
        </w:rPr>
        <w:t>, a saber, arreglos locativos, la interposición de una acción de tutela, la recepción de los cánones de arrendamiento, en vista de que todos fueron hechos con posterioridad a la diligencia de secuestro (prácticamente a partir del 2015) ellos no producen efecto jurídico alguno respecto a la pretensión de levantar el embargo y secuestro de las mejoras, de manera que resulta inútil valorar las pruebas que sobre tal</w:t>
      </w:r>
      <w:r w:rsidR="000E359D">
        <w:rPr>
          <w:rFonts w:ascii="Tahoma" w:hAnsi="Tahoma" w:cs="Tahoma"/>
          <w:sz w:val="18"/>
          <w:szCs w:val="18"/>
        </w:rPr>
        <w:t xml:space="preserve">es actos existe en el expediente, </w:t>
      </w:r>
      <w:r w:rsidR="000E359D" w:rsidRPr="000E359D">
        <w:rPr>
          <w:rFonts w:ascii="Tahoma" w:hAnsi="Tahoma" w:cs="Tahoma"/>
          <w:sz w:val="18"/>
          <w:szCs w:val="18"/>
        </w:rPr>
        <w:t xml:space="preserve">toda vez que en el incidente de levantamiento de embargo promovido por quien se reputa tercero poseedor,  </w:t>
      </w:r>
      <w:r w:rsidR="000E359D" w:rsidRPr="000E359D">
        <w:rPr>
          <w:rFonts w:ascii="Tahoma" w:hAnsi="Tahoma" w:cs="Tahoma"/>
          <w:bCs/>
          <w:spacing w:val="2"/>
          <w:sz w:val="18"/>
          <w:szCs w:val="18"/>
        </w:rPr>
        <w:t>los actos de posesión deben ser anteriores a la diligencia de secuestro</w:t>
      </w:r>
      <w:r w:rsidR="000E359D" w:rsidRPr="000E359D">
        <w:rPr>
          <w:rFonts w:ascii="Tahoma" w:hAnsi="Tahoma" w:cs="Tahoma"/>
          <w:sz w:val="18"/>
          <w:szCs w:val="18"/>
        </w:rPr>
        <w:t>.</w:t>
      </w:r>
    </w:p>
    <w:p w:rsidR="00594EE9" w:rsidRDefault="00594EE9" w:rsidP="003001FD">
      <w:pPr>
        <w:pStyle w:val="Puesto"/>
        <w:tabs>
          <w:tab w:val="left" w:pos="2127"/>
        </w:tabs>
        <w:spacing w:line="276" w:lineRule="auto"/>
        <w:jc w:val="both"/>
        <w:rPr>
          <w:rFonts w:ascii="Tahoma" w:hAnsi="Tahoma" w:cs="Tahoma"/>
          <w:sz w:val="22"/>
          <w:szCs w:val="22"/>
        </w:rPr>
      </w:pPr>
    </w:p>
    <w:p w:rsidR="00CF1BD0" w:rsidRPr="003F6675" w:rsidRDefault="00CF1BD0" w:rsidP="00653B3E">
      <w:pPr>
        <w:pStyle w:val="Puesto"/>
        <w:tabs>
          <w:tab w:val="left" w:pos="2127"/>
        </w:tabs>
        <w:spacing w:line="276" w:lineRule="auto"/>
        <w:ind w:left="4253" w:hanging="2835"/>
        <w:jc w:val="both"/>
        <w:rPr>
          <w:rFonts w:ascii="Tahoma" w:hAnsi="Tahoma" w:cs="Tahoma"/>
          <w:b w:val="0"/>
          <w:sz w:val="22"/>
          <w:szCs w:val="22"/>
        </w:rPr>
      </w:pPr>
    </w:p>
    <w:p w:rsidR="00D3635B" w:rsidRPr="00B4310C" w:rsidRDefault="00D3635B" w:rsidP="00CF1BD0">
      <w:pPr>
        <w:pStyle w:val="Ttulo4"/>
        <w:widowControl w:val="0"/>
        <w:tabs>
          <w:tab w:val="clear" w:pos="0"/>
        </w:tabs>
        <w:spacing w:line="276" w:lineRule="auto"/>
        <w:rPr>
          <w:rFonts w:ascii="Tahoma" w:hAnsi="Tahoma" w:cs="Tahoma"/>
          <w:bCs/>
          <w:sz w:val="22"/>
          <w:szCs w:val="22"/>
          <w:lang w:eastAsia="es-MX"/>
        </w:rPr>
      </w:pPr>
      <w:r w:rsidRPr="00B4310C">
        <w:rPr>
          <w:rFonts w:ascii="Tahoma" w:hAnsi="Tahoma" w:cs="Tahoma"/>
          <w:bCs/>
          <w:sz w:val="22"/>
          <w:szCs w:val="22"/>
          <w:lang w:eastAsia="es-MX"/>
        </w:rPr>
        <w:t>TRIBUNAL SUPERIOR DEL DISTRITO JUDICIAL DE PEREIRA</w:t>
      </w:r>
    </w:p>
    <w:p w:rsidR="00D3635B" w:rsidRPr="00B4310C" w:rsidRDefault="00D3635B" w:rsidP="00CF1BD0">
      <w:pPr>
        <w:pStyle w:val="Ttulo4"/>
        <w:widowControl w:val="0"/>
        <w:tabs>
          <w:tab w:val="clear" w:pos="0"/>
        </w:tabs>
        <w:spacing w:line="276" w:lineRule="auto"/>
        <w:rPr>
          <w:rFonts w:ascii="Tahoma" w:hAnsi="Tahoma" w:cs="Tahoma"/>
          <w:bCs/>
          <w:sz w:val="22"/>
          <w:szCs w:val="22"/>
          <w:lang w:eastAsia="es-MX"/>
        </w:rPr>
      </w:pPr>
      <w:r w:rsidRPr="00B4310C">
        <w:rPr>
          <w:rFonts w:ascii="Tahoma" w:hAnsi="Tahoma" w:cs="Tahoma"/>
          <w:bCs/>
          <w:sz w:val="22"/>
          <w:szCs w:val="22"/>
          <w:lang w:eastAsia="es-MX"/>
        </w:rPr>
        <w:t>SALA LABORAL</w:t>
      </w:r>
    </w:p>
    <w:p w:rsidR="00D3635B" w:rsidRPr="00B4310C" w:rsidRDefault="00D3635B" w:rsidP="003F6675">
      <w:pPr>
        <w:spacing w:line="276" w:lineRule="auto"/>
        <w:jc w:val="center"/>
        <w:rPr>
          <w:rFonts w:ascii="Tahoma" w:hAnsi="Tahoma" w:cs="Tahoma"/>
          <w:bCs/>
          <w:sz w:val="22"/>
          <w:szCs w:val="22"/>
        </w:rPr>
      </w:pPr>
    </w:p>
    <w:p w:rsidR="00CF1BD0" w:rsidRPr="00B4310C" w:rsidRDefault="00CF1BD0" w:rsidP="003F6675">
      <w:pPr>
        <w:spacing w:line="276" w:lineRule="auto"/>
        <w:jc w:val="center"/>
        <w:rPr>
          <w:rFonts w:ascii="Tahoma" w:hAnsi="Tahoma" w:cs="Tahoma"/>
          <w:bCs/>
          <w:sz w:val="22"/>
          <w:szCs w:val="22"/>
        </w:rPr>
      </w:pPr>
    </w:p>
    <w:p w:rsidR="00D3635B" w:rsidRPr="00B4310C" w:rsidRDefault="00D3635B" w:rsidP="003F6675">
      <w:pPr>
        <w:spacing w:line="276" w:lineRule="auto"/>
        <w:jc w:val="center"/>
        <w:rPr>
          <w:rFonts w:ascii="Tahoma" w:hAnsi="Tahoma" w:cs="Tahoma"/>
          <w:b/>
          <w:bCs/>
          <w:sz w:val="22"/>
          <w:szCs w:val="22"/>
        </w:rPr>
      </w:pPr>
      <w:r w:rsidRPr="00B4310C">
        <w:rPr>
          <w:rFonts w:ascii="Tahoma" w:hAnsi="Tahoma" w:cs="Tahoma"/>
          <w:bCs/>
          <w:sz w:val="22"/>
          <w:szCs w:val="22"/>
        </w:rPr>
        <w:t>Magistrada Ponente:</w:t>
      </w:r>
      <w:r w:rsidRPr="00B4310C">
        <w:rPr>
          <w:rFonts w:ascii="Tahoma" w:hAnsi="Tahoma" w:cs="Tahoma"/>
          <w:b/>
          <w:bCs/>
          <w:sz w:val="22"/>
          <w:szCs w:val="22"/>
        </w:rPr>
        <w:t xml:space="preserve"> ANA LUCÍA CAICEDO CALDERÓN</w:t>
      </w:r>
    </w:p>
    <w:p w:rsidR="00D3635B" w:rsidRPr="00B4310C" w:rsidRDefault="00D3635B" w:rsidP="003F6675">
      <w:pPr>
        <w:spacing w:line="276" w:lineRule="auto"/>
        <w:jc w:val="center"/>
        <w:rPr>
          <w:rFonts w:ascii="Tahoma" w:hAnsi="Tahoma" w:cs="Tahoma"/>
          <w:b/>
          <w:sz w:val="22"/>
          <w:szCs w:val="22"/>
        </w:rPr>
      </w:pPr>
    </w:p>
    <w:p w:rsidR="00FB2D4B" w:rsidRPr="00B4310C" w:rsidRDefault="00FB2D4B" w:rsidP="003F6675">
      <w:pPr>
        <w:spacing w:line="276" w:lineRule="auto"/>
        <w:jc w:val="center"/>
        <w:rPr>
          <w:rFonts w:ascii="Tahoma" w:hAnsi="Tahoma" w:cs="Tahoma"/>
          <w:b/>
          <w:sz w:val="22"/>
          <w:szCs w:val="22"/>
        </w:rPr>
      </w:pPr>
      <w:r w:rsidRPr="00B4310C">
        <w:rPr>
          <w:rFonts w:ascii="Tahoma" w:hAnsi="Tahoma" w:cs="Tahoma"/>
          <w:b/>
          <w:sz w:val="22"/>
          <w:szCs w:val="22"/>
        </w:rPr>
        <w:t>ACTA No.____</w:t>
      </w:r>
    </w:p>
    <w:p w:rsidR="00D628A4" w:rsidRPr="00B4310C" w:rsidRDefault="00D628A4" w:rsidP="003F6675">
      <w:pPr>
        <w:spacing w:line="276" w:lineRule="auto"/>
        <w:jc w:val="center"/>
        <w:rPr>
          <w:rFonts w:ascii="Tahoma" w:hAnsi="Tahoma" w:cs="Tahoma"/>
          <w:b/>
          <w:sz w:val="22"/>
          <w:szCs w:val="22"/>
        </w:rPr>
      </w:pPr>
    </w:p>
    <w:p w:rsidR="00671E77" w:rsidRPr="00B4310C" w:rsidRDefault="00671E77" w:rsidP="003F6675">
      <w:pPr>
        <w:spacing w:line="276" w:lineRule="auto"/>
        <w:jc w:val="center"/>
        <w:rPr>
          <w:rFonts w:ascii="Tahoma" w:hAnsi="Tahoma" w:cs="Tahoma"/>
          <w:b/>
          <w:sz w:val="22"/>
          <w:szCs w:val="22"/>
        </w:rPr>
      </w:pPr>
    </w:p>
    <w:p w:rsidR="001F5F54" w:rsidRPr="00B4310C" w:rsidRDefault="001F5F54" w:rsidP="003F6675">
      <w:pPr>
        <w:spacing w:line="276" w:lineRule="auto"/>
        <w:jc w:val="center"/>
        <w:rPr>
          <w:rFonts w:ascii="Tahoma" w:hAnsi="Tahoma" w:cs="Tahoma"/>
          <w:b/>
          <w:sz w:val="22"/>
          <w:szCs w:val="22"/>
        </w:rPr>
      </w:pPr>
      <w:r w:rsidRPr="00B4310C">
        <w:rPr>
          <w:rFonts w:ascii="Tahoma" w:hAnsi="Tahoma" w:cs="Tahoma"/>
          <w:b/>
          <w:sz w:val="22"/>
          <w:szCs w:val="22"/>
        </w:rPr>
        <w:t>AUTO INTERLOCUTORIO</w:t>
      </w:r>
    </w:p>
    <w:p w:rsidR="001F5F54" w:rsidRPr="00B4310C" w:rsidRDefault="001F5F54" w:rsidP="003F6675">
      <w:pPr>
        <w:spacing w:line="276" w:lineRule="auto"/>
        <w:jc w:val="both"/>
        <w:rPr>
          <w:rFonts w:ascii="Tahoma" w:hAnsi="Tahoma" w:cs="Tahoma"/>
          <w:b/>
          <w:sz w:val="22"/>
          <w:szCs w:val="22"/>
        </w:rPr>
      </w:pPr>
    </w:p>
    <w:p w:rsidR="00F37868" w:rsidRPr="00B4310C" w:rsidRDefault="00F37868" w:rsidP="003F6675">
      <w:pPr>
        <w:spacing w:line="276" w:lineRule="auto"/>
        <w:jc w:val="center"/>
        <w:rPr>
          <w:rFonts w:ascii="Tahoma" w:hAnsi="Tahoma" w:cs="Tahoma"/>
          <w:sz w:val="22"/>
          <w:szCs w:val="22"/>
          <w:lang w:val="es-ES_tradnl"/>
        </w:rPr>
      </w:pPr>
      <w:r w:rsidRPr="00B4310C">
        <w:rPr>
          <w:rFonts w:ascii="Tahoma" w:hAnsi="Tahoma" w:cs="Tahoma"/>
          <w:spacing w:val="2"/>
          <w:sz w:val="22"/>
          <w:szCs w:val="22"/>
          <w:lang w:val="es-ES_tradnl"/>
        </w:rPr>
        <w:t>P</w:t>
      </w:r>
      <w:r w:rsidRPr="00B4310C">
        <w:rPr>
          <w:rFonts w:ascii="Tahoma" w:hAnsi="Tahoma" w:cs="Tahoma"/>
          <w:sz w:val="22"/>
          <w:szCs w:val="22"/>
          <w:lang w:val="es-ES_tradnl"/>
        </w:rPr>
        <w:t xml:space="preserve">ereira (Risaralda), </w:t>
      </w:r>
      <w:r w:rsidR="00992528">
        <w:rPr>
          <w:rFonts w:ascii="Tahoma" w:hAnsi="Tahoma" w:cs="Tahoma"/>
          <w:sz w:val="22"/>
          <w:szCs w:val="22"/>
          <w:lang w:val="es-ES_tradnl"/>
        </w:rPr>
        <w:t>1</w:t>
      </w:r>
      <w:r w:rsidR="00B11A1B">
        <w:rPr>
          <w:rFonts w:ascii="Tahoma" w:hAnsi="Tahoma" w:cs="Tahoma"/>
          <w:sz w:val="22"/>
          <w:szCs w:val="22"/>
          <w:lang w:val="es-ES_tradnl"/>
        </w:rPr>
        <w:t>5</w:t>
      </w:r>
      <w:r w:rsidR="00992528">
        <w:rPr>
          <w:rFonts w:ascii="Tahoma" w:hAnsi="Tahoma" w:cs="Tahoma"/>
          <w:sz w:val="22"/>
          <w:szCs w:val="22"/>
          <w:lang w:val="es-ES_tradnl"/>
        </w:rPr>
        <w:t xml:space="preserve"> de diciembre</w:t>
      </w:r>
      <w:r w:rsidR="00FF6D3B" w:rsidRPr="00B4310C">
        <w:rPr>
          <w:rFonts w:ascii="Tahoma" w:hAnsi="Tahoma" w:cs="Tahoma"/>
          <w:sz w:val="22"/>
          <w:szCs w:val="22"/>
          <w:lang w:val="es-ES_tradnl"/>
        </w:rPr>
        <w:t xml:space="preserve"> de 2017</w:t>
      </w:r>
      <w:r w:rsidR="000B16B9" w:rsidRPr="00B4310C">
        <w:rPr>
          <w:rFonts w:ascii="Tahoma" w:hAnsi="Tahoma" w:cs="Tahoma"/>
          <w:sz w:val="22"/>
          <w:szCs w:val="22"/>
          <w:lang w:val="es-ES_tradnl"/>
        </w:rPr>
        <w:t>.</w:t>
      </w:r>
    </w:p>
    <w:p w:rsidR="00F37868" w:rsidRPr="00B4310C" w:rsidRDefault="00F37868" w:rsidP="003F6675">
      <w:pPr>
        <w:spacing w:line="276" w:lineRule="auto"/>
        <w:jc w:val="both"/>
        <w:rPr>
          <w:rFonts w:ascii="Tahoma" w:hAnsi="Tahoma" w:cs="Tahoma"/>
          <w:sz w:val="22"/>
          <w:szCs w:val="22"/>
          <w:lang w:val="es-ES_tradnl"/>
        </w:rPr>
      </w:pPr>
    </w:p>
    <w:p w:rsidR="00F37868" w:rsidRPr="00B4310C" w:rsidRDefault="00F37868" w:rsidP="003F6675">
      <w:pPr>
        <w:spacing w:line="276" w:lineRule="auto"/>
        <w:jc w:val="center"/>
        <w:rPr>
          <w:rFonts w:ascii="Tahoma" w:hAnsi="Tahoma" w:cs="Tahoma"/>
          <w:b/>
          <w:sz w:val="22"/>
          <w:szCs w:val="22"/>
          <w:lang w:val="es-ES_tradnl"/>
        </w:rPr>
      </w:pPr>
      <w:r w:rsidRPr="00B4310C">
        <w:rPr>
          <w:rFonts w:ascii="Tahoma" w:hAnsi="Tahoma" w:cs="Tahoma"/>
          <w:b/>
          <w:sz w:val="22"/>
          <w:szCs w:val="22"/>
          <w:u w:val="single"/>
          <w:lang w:val="es-ES_tradnl"/>
        </w:rPr>
        <w:t>PUNTO A TRATAR</w:t>
      </w:r>
      <w:r w:rsidRPr="00B4310C">
        <w:rPr>
          <w:rFonts w:ascii="Tahoma" w:hAnsi="Tahoma" w:cs="Tahoma"/>
          <w:b/>
          <w:sz w:val="22"/>
          <w:szCs w:val="22"/>
          <w:lang w:val="es-ES_tradnl"/>
        </w:rPr>
        <w:t>:</w:t>
      </w:r>
    </w:p>
    <w:p w:rsidR="00F37868" w:rsidRPr="00B4310C" w:rsidRDefault="00F37868" w:rsidP="003F6675">
      <w:pPr>
        <w:spacing w:line="276" w:lineRule="auto"/>
        <w:jc w:val="center"/>
        <w:rPr>
          <w:rFonts w:ascii="Tahoma" w:hAnsi="Tahoma" w:cs="Tahoma"/>
          <w:b/>
          <w:sz w:val="22"/>
          <w:szCs w:val="22"/>
          <w:lang w:val="es-ES_tradnl"/>
        </w:rPr>
      </w:pPr>
    </w:p>
    <w:p w:rsidR="004E506D" w:rsidRPr="00B4310C" w:rsidRDefault="00F37868" w:rsidP="003F6675">
      <w:pPr>
        <w:spacing w:line="276" w:lineRule="auto"/>
        <w:ind w:firstLine="708"/>
        <w:jc w:val="both"/>
        <w:rPr>
          <w:rFonts w:ascii="Tahoma" w:hAnsi="Tahoma" w:cs="Tahoma"/>
          <w:sz w:val="22"/>
          <w:szCs w:val="22"/>
          <w:lang w:val="es-ES_tradnl"/>
        </w:rPr>
      </w:pPr>
      <w:r w:rsidRPr="00B4310C">
        <w:rPr>
          <w:rFonts w:ascii="Tahoma" w:hAnsi="Tahoma" w:cs="Tahoma"/>
          <w:sz w:val="22"/>
          <w:szCs w:val="22"/>
          <w:lang w:val="es-ES_tradnl"/>
        </w:rPr>
        <w:t>Por medio de la presente providencia se entra a desatar el recurso de apelación</w:t>
      </w:r>
      <w:r w:rsidR="00BA5A54" w:rsidRPr="00B4310C">
        <w:rPr>
          <w:rFonts w:ascii="Tahoma" w:hAnsi="Tahoma" w:cs="Tahoma"/>
          <w:sz w:val="22"/>
          <w:szCs w:val="22"/>
          <w:lang w:val="es-ES_tradnl"/>
        </w:rPr>
        <w:t xml:space="preserve"> </w:t>
      </w:r>
      <w:r w:rsidRPr="00B4310C">
        <w:rPr>
          <w:rFonts w:ascii="Tahoma" w:hAnsi="Tahoma" w:cs="Tahoma"/>
          <w:sz w:val="22"/>
          <w:szCs w:val="22"/>
          <w:lang w:val="es-ES_tradnl"/>
        </w:rPr>
        <w:t xml:space="preserve">interpuesto por </w:t>
      </w:r>
      <w:r w:rsidR="00951ABB">
        <w:rPr>
          <w:rFonts w:ascii="Tahoma" w:hAnsi="Tahoma" w:cs="Tahoma"/>
          <w:sz w:val="22"/>
          <w:szCs w:val="22"/>
          <w:lang w:val="es-ES_tradnl"/>
        </w:rPr>
        <w:t xml:space="preserve">el tercero </w:t>
      </w:r>
      <w:proofErr w:type="spellStart"/>
      <w:r w:rsidR="00951ABB">
        <w:rPr>
          <w:rFonts w:ascii="Tahoma" w:hAnsi="Tahoma" w:cs="Tahoma"/>
          <w:sz w:val="22"/>
          <w:szCs w:val="22"/>
          <w:lang w:val="es-ES_tradnl"/>
        </w:rPr>
        <w:t>incidentista</w:t>
      </w:r>
      <w:proofErr w:type="spellEnd"/>
      <w:r w:rsidR="00EE7F24" w:rsidRPr="00B4310C">
        <w:rPr>
          <w:rFonts w:ascii="Tahoma" w:hAnsi="Tahoma" w:cs="Tahoma"/>
          <w:sz w:val="22"/>
          <w:szCs w:val="22"/>
          <w:lang w:val="es-ES_tradnl"/>
        </w:rPr>
        <w:t xml:space="preserve"> contra el </w:t>
      </w:r>
      <w:r w:rsidR="00800A27" w:rsidRPr="00B4310C">
        <w:rPr>
          <w:rFonts w:ascii="Tahoma" w:hAnsi="Tahoma" w:cs="Tahoma"/>
          <w:sz w:val="22"/>
          <w:szCs w:val="22"/>
          <w:lang w:val="es-ES_tradnl"/>
        </w:rPr>
        <w:t xml:space="preserve">auto que </w:t>
      </w:r>
      <w:r w:rsidR="00857233" w:rsidRPr="00B4310C">
        <w:rPr>
          <w:rFonts w:ascii="Tahoma" w:hAnsi="Tahoma" w:cs="Tahoma"/>
          <w:sz w:val="22"/>
          <w:szCs w:val="22"/>
          <w:lang w:val="es-ES_tradnl"/>
        </w:rPr>
        <w:t xml:space="preserve">negó el </w:t>
      </w:r>
      <w:r w:rsidR="00951ABB">
        <w:rPr>
          <w:rFonts w:ascii="Tahoma" w:hAnsi="Tahoma" w:cs="Tahoma"/>
          <w:sz w:val="22"/>
          <w:szCs w:val="22"/>
          <w:lang w:val="es-ES_tradnl"/>
        </w:rPr>
        <w:t xml:space="preserve">levantamiento de la medida de secuestro de la posesión de las mejoras en un inmueble. </w:t>
      </w:r>
      <w:r w:rsidR="00EE7F24" w:rsidRPr="00B4310C">
        <w:rPr>
          <w:rFonts w:ascii="Tahoma" w:hAnsi="Tahoma" w:cs="Tahoma"/>
          <w:sz w:val="22"/>
          <w:szCs w:val="22"/>
          <w:lang w:val="es-ES_tradnl"/>
        </w:rPr>
        <w:t xml:space="preserve"> </w:t>
      </w:r>
    </w:p>
    <w:p w:rsidR="00EE7F24" w:rsidRPr="00B4310C" w:rsidRDefault="00EE7F24" w:rsidP="003F6675">
      <w:pPr>
        <w:spacing w:line="276" w:lineRule="auto"/>
        <w:ind w:firstLine="708"/>
        <w:jc w:val="both"/>
        <w:rPr>
          <w:rFonts w:ascii="Tahoma" w:hAnsi="Tahoma" w:cs="Tahoma"/>
          <w:sz w:val="22"/>
          <w:szCs w:val="22"/>
          <w:lang w:val="es-ES_tradnl"/>
        </w:rPr>
      </w:pPr>
    </w:p>
    <w:p w:rsidR="00CB7166" w:rsidRPr="00B4310C" w:rsidRDefault="00F37868" w:rsidP="003F6675">
      <w:pPr>
        <w:spacing w:line="276" w:lineRule="auto"/>
        <w:ind w:firstLine="708"/>
        <w:jc w:val="both"/>
        <w:rPr>
          <w:rFonts w:ascii="Tahoma" w:hAnsi="Tahoma" w:cs="Tahoma"/>
          <w:sz w:val="22"/>
          <w:szCs w:val="22"/>
        </w:rPr>
      </w:pPr>
      <w:r w:rsidRPr="00B4310C">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4310C">
        <w:rPr>
          <w:rFonts w:ascii="Tahoma" w:hAnsi="Tahoma" w:cs="Tahoma"/>
          <w:b/>
          <w:sz w:val="22"/>
          <w:szCs w:val="22"/>
          <w:lang w:val="es-ES_tradnl"/>
        </w:rPr>
        <w:t>auto interlocutorio</w:t>
      </w:r>
      <w:r w:rsidRPr="00B4310C">
        <w:rPr>
          <w:rFonts w:ascii="Tahoma" w:hAnsi="Tahoma" w:cs="Tahoma"/>
          <w:sz w:val="22"/>
          <w:szCs w:val="22"/>
        </w:rPr>
        <w:t>:</w:t>
      </w:r>
    </w:p>
    <w:p w:rsidR="0069065B" w:rsidRPr="00B4310C" w:rsidRDefault="0069065B" w:rsidP="003F6675">
      <w:pPr>
        <w:spacing w:line="276" w:lineRule="auto"/>
        <w:ind w:firstLine="708"/>
        <w:jc w:val="both"/>
        <w:rPr>
          <w:rFonts w:ascii="Tahoma" w:hAnsi="Tahoma" w:cs="Tahoma"/>
          <w:sz w:val="22"/>
          <w:szCs w:val="22"/>
        </w:rPr>
      </w:pPr>
    </w:p>
    <w:p w:rsidR="00CB7166" w:rsidRPr="00B4310C" w:rsidRDefault="008A5C50" w:rsidP="00667E32">
      <w:pPr>
        <w:pStyle w:val="Prrafodelista"/>
        <w:numPr>
          <w:ilvl w:val="0"/>
          <w:numId w:val="15"/>
        </w:numPr>
        <w:spacing w:line="276" w:lineRule="auto"/>
        <w:jc w:val="center"/>
        <w:rPr>
          <w:rFonts w:ascii="Tahoma" w:hAnsi="Tahoma" w:cs="Tahoma"/>
          <w:b/>
          <w:sz w:val="22"/>
          <w:szCs w:val="22"/>
        </w:rPr>
      </w:pPr>
      <w:r w:rsidRPr="00B4310C">
        <w:rPr>
          <w:rFonts w:ascii="Tahoma" w:hAnsi="Tahoma" w:cs="Tahoma"/>
          <w:b/>
          <w:sz w:val="22"/>
          <w:szCs w:val="22"/>
          <w:u w:val="single"/>
        </w:rPr>
        <w:t>ANTECEDENTES PROCESALES</w:t>
      </w:r>
      <w:r w:rsidR="00CB7166" w:rsidRPr="00B4310C">
        <w:rPr>
          <w:rFonts w:ascii="Tahoma" w:hAnsi="Tahoma" w:cs="Tahoma"/>
          <w:b/>
          <w:sz w:val="22"/>
          <w:szCs w:val="22"/>
        </w:rPr>
        <w:t>:</w:t>
      </w:r>
    </w:p>
    <w:p w:rsidR="00CB7166" w:rsidRPr="00B4310C" w:rsidRDefault="00CB7166" w:rsidP="003F6675">
      <w:pPr>
        <w:spacing w:line="276" w:lineRule="auto"/>
        <w:ind w:firstLine="708"/>
        <w:jc w:val="center"/>
        <w:rPr>
          <w:rFonts w:ascii="Tahoma" w:hAnsi="Tahoma" w:cs="Tahoma"/>
          <w:b/>
          <w:sz w:val="22"/>
          <w:szCs w:val="22"/>
        </w:rPr>
      </w:pPr>
    </w:p>
    <w:p w:rsidR="00BC477C" w:rsidRPr="00B4310C" w:rsidRDefault="008A5C50" w:rsidP="00BC477C">
      <w:pPr>
        <w:spacing w:line="276" w:lineRule="auto"/>
        <w:ind w:firstLine="708"/>
        <w:jc w:val="both"/>
        <w:rPr>
          <w:rFonts w:ascii="Tahoma" w:hAnsi="Tahoma" w:cs="Tahoma"/>
          <w:sz w:val="22"/>
          <w:szCs w:val="22"/>
        </w:rPr>
      </w:pPr>
      <w:r w:rsidRPr="00B4310C">
        <w:rPr>
          <w:rFonts w:ascii="Tahoma" w:hAnsi="Tahoma" w:cs="Tahoma"/>
          <w:sz w:val="22"/>
          <w:szCs w:val="22"/>
        </w:rPr>
        <w:t xml:space="preserve">Para mejor proveer </w:t>
      </w:r>
      <w:r w:rsidR="00DA7CA9" w:rsidRPr="00B4310C">
        <w:rPr>
          <w:rFonts w:ascii="Tahoma" w:hAnsi="Tahoma" w:cs="Tahoma"/>
          <w:sz w:val="22"/>
          <w:szCs w:val="22"/>
        </w:rPr>
        <w:t>hay que decir</w:t>
      </w:r>
      <w:r w:rsidRPr="00B4310C">
        <w:rPr>
          <w:rFonts w:ascii="Tahoma" w:hAnsi="Tahoma" w:cs="Tahoma"/>
          <w:sz w:val="22"/>
          <w:szCs w:val="22"/>
        </w:rPr>
        <w:t xml:space="preserve"> que el presente proceso ejecutivo se inició para que se diera cumplimiento a la sentencia de </w:t>
      </w:r>
      <w:r w:rsidR="00AA3DFF" w:rsidRPr="00B4310C">
        <w:rPr>
          <w:rFonts w:ascii="Tahoma" w:hAnsi="Tahoma" w:cs="Tahoma"/>
          <w:sz w:val="22"/>
          <w:szCs w:val="22"/>
        </w:rPr>
        <w:t>primera</w:t>
      </w:r>
      <w:r w:rsidR="00BC477C" w:rsidRPr="00B4310C">
        <w:rPr>
          <w:rFonts w:ascii="Tahoma" w:hAnsi="Tahoma" w:cs="Tahoma"/>
          <w:sz w:val="22"/>
          <w:szCs w:val="22"/>
        </w:rPr>
        <w:t xml:space="preserve"> instancia </w:t>
      </w:r>
      <w:r w:rsidRPr="00B4310C">
        <w:rPr>
          <w:rFonts w:ascii="Tahoma" w:hAnsi="Tahoma" w:cs="Tahoma"/>
          <w:sz w:val="22"/>
          <w:szCs w:val="22"/>
        </w:rPr>
        <w:t xml:space="preserve">proferida </w:t>
      </w:r>
      <w:r w:rsidR="00802EF6" w:rsidRPr="00B4310C">
        <w:rPr>
          <w:rFonts w:ascii="Tahoma" w:hAnsi="Tahoma" w:cs="Tahoma"/>
          <w:sz w:val="22"/>
          <w:szCs w:val="22"/>
        </w:rPr>
        <w:t xml:space="preserve">el </w:t>
      </w:r>
      <w:r w:rsidR="002A5AE2">
        <w:rPr>
          <w:rFonts w:ascii="Tahoma" w:hAnsi="Tahoma" w:cs="Tahoma"/>
          <w:sz w:val="22"/>
          <w:szCs w:val="22"/>
        </w:rPr>
        <w:t xml:space="preserve">4 de noviembre </w:t>
      </w:r>
      <w:r w:rsidR="00AA3DFF" w:rsidRPr="00B4310C">
        <w:rPr>
          <w:rFonts w:ascii="Tahoma" w:hAnsi="Tahoma" w:cs="Tahoma"/>
          <w:sz w:val="22"/>
          <w:szCs w:val="22"/>
        </w:rPr>
        <w:t>de 2011</w:t>
      </w:r>
      <w:r w:rsidR="00802EF6" w:rsidRPr="00B4310C">
        <w:rPr>
          <w:rFonts w:ascii="Tahoma" w:hAnsi="Tahoma" w:cs="Tahoma"/>
          <w:sz w:val="22"/>
          <w:szCs w:val="22"/>
        </w:rPr>
        <w:t xml:space="preserve"> (folios </w:t>
      </w:r>
      <w:r w:rsidR="002A5AE2">
        <w:rPr>
          <w:rFonts w:ascii="Tahoma" w:hAnsi="Tahoma" w:cs="Tahoma"/>
          <w:sz w:val="22"/>
          <w:szCs w:val="22"/>
        </w:rPr>
        <w:t>185 a 192</w:t>
      </w:r>
      <w:r w:rsidR="00C01B2A" w:rsidRPr="00B4310C">
        <w:rPr>
          <w:rFonts w:ascii="Tahoma" w:hAnsi="Tahoma" w:cs="Tahoma"/>
          <w:sz w:val="22"/>
          <w:szCs w:val="22"/>
        </w:rPr>
        <w:t>)</w:t>
      </w:r>
      <w:r w:rsidR="00802EF6" w:rsidRPr="00B4310C">
        <w:rPr>
          <w:rFonts w:ascii="Tahoma" w:hAnsi="Tahoma" w:cs="Tahoma"/>
          <w:sz w:val="22"/>
          <w:szCs w:val="22"/>
        </w:rPr>
        <w:t xml:space="preserve">, </w:t>
      </w:r>
      <w:r w:rsidR="00E350AC" w:rsidRPr="00B4310C">
        <w:rPr>
          <w:rFonts w:ascii="Tahoma" w:hAnsi="Tahoma" w:cs="Tahoma"/>
          <w:sz w:val="22"/>
          <w:szCs w:val="22"/>
        </w:rPr>
        <w:t>mediante la cual</w:t>
      </w:r>
      <w:r w:rsidR="00BC477C" w:rsidRPr="00B4310C">
        <w:rPr>
          <w:rFonts w:ascii="Tahoma" w:hAnsi="Tahoma" w:cs="Tahoma"/>
          <w:sz w:val="22"/>
          <w:szCs w:val="22"/>
        </w:rPr>
        <w:t xml:space="preserve"> se </w:t>
      </w:r>
      <w:r w:rsidR="002A5AE2">
        <w:rPr>
          <w:rFonts w:ascii="Tahoma" w:hAnsi="Tahoma" w:cs="Tahoma"/>
          <w:sz w:val="22"/>
          <w:szCs w:val="22"/>
        </w:rPr>
        <w:t xml:space="preserve">declaró que entre el abogado OCTAVIO QUINCHÍA GRISALES y la señora ROSALBA GRAJALES DE RENDÓN se celebró un contrato de prestación de servicios profesionales cuyo objeto era asumir la defensa de los señores GUSTAVO y LUZ DARY RENDÓN en el proceso de restitución de inmueble arrendado adelantado en contra de ellos por LUZ MERY QUINTERO DE RODRÍGUEZ en el Juzgado Séptimo Municipal de esta ciudad. En consecuencia </w:t>
      </w:r>
      <w:r w:rsidR="00C01B2A" w:rsidRPr="00B4310C">
        <w:rPr>
          <w:rFonts w:ascii="Tahoma" w:hAnsi="Tahoma" w:cs="Tahoma"/>
          <w:sz w:val="22"/>
          <w:szCs w:val="22"/>
        </w:rPr>
        <w:t xml:space="preserve">condenó </w:t>
      </w:r>
      <w:r w:rsidR="002A5AE2">
        <w:rPr>
          <w:rFonts w:ascii="Tahoma" w:hAnsi="Tahoma" w:cs="Tahoma"/>
          <w:sz w:val="22"/>
          <w:szCs w:val="22"/>
        </w:rPr>
        <w:t>a la demandada a pag</w:t>
      </w:r>
      <w:r w:rsidR="00C01B2A" w:rsidRPr="00B4310C">
        <w:rPr>
          <w:rFonts w:ascii="Tahoma" w:hAnsi="Tahoma" w:cs="Tahoma"/>
          <w:sz w:val="22"/>
          <w:szCs w:val="22"/>
        </w:rPr>
        <w:t>a</w:t>
      </w:r>
      <w:r w:rsidR="002A5AE2">
        <w:rPr>
          <w:rFonts w:ascii="Tahoma" w:hAnsi="Tahoma" w:cs="Tahoma"/>
          <w:sz w:val="22"/>
          <w:szCs w:val="22"/>
        </w:rPr>
        <w:t xml:space="preserve">r en pro del demandante las siguientes sumas de dinero: a) $15.000.000 por concepto de honoraros profesionales, más los intereses de mora establecidos en el artículo 1617 del Código Civil; y, </w:t>
      </w:r>
      <w:r w:rsidR="00A05314" w:rsidRPr="00B4310C">
        <w:rPr>
          <w:rFonts w:ascii="Tahoma" w:hAnsi="Tahoma" w:cs="Tahoma"/>
          <w:sz w:val="22"/>
          <w:szCs w:val="22"/>
        </w:rPr>
        <w:t>b</w:t>
      </w:r>
      <w:r w:rsidR="00AA3DFF" w:rsidRPr="00B4310C">
        <w:rPr>
          <w:rFonts w:ascii="Tahoma" w:hAnsi="Tahoma" w:cs="Tahoma"/>
          <w:sz w:val="22"/>
          <w:szCs w:val="22"/>
        </w:rPr>
        <w:t>) por las costas procesales</w:t>
      </w:r>
      <w:r w:rsidR="00A05314" w:rsidRPr="00B4310C">
        <w:rPr>
          <w:rFonts w:ascii="Tahoma" w:hAnsi="Tahoma" w:cs="Tahoma"/>
          <w:sz w:val="22"/>
          <w:szCs w:val="22"/>
        </w:rPr>
        <w:t>, cuyas agencias en derecho se fijaron en $2.</w:t>
      </w:r>
      <w:r w:rsidR="00600925">
        <w:rPr>
          <w:rFonts w:ascii="Tahoma" w:hAnsi="Tahoma" w:cs="Tahoma"/>
          <w:sz w:val="22"/>
          <w:szCs w:val="22"/>
        </w:rPr>
        <w:t>800.000</w:t>
      </w:r>
      <w:r w:rsidR="00A05314" w:rsidRPr="00B4310C">
        <w:rPr>
          <w:rFonts w:ascii="Tahoma" w:hAnsi="Tahoma" w:cs="Tahoma"/>
          <w:sz w:val="22"/>
          <w:szCs w:val="22"/>
        </w:rPr>
        <w:t>.</w:t>
      </w:r>
      <w:r w:rsidR="00AA3DFF" w:rsidRPr="00B4310C">
        <w:rPr>
          <w:rFonts w:ascii="Tahoma" w:hAnsi="Tahoma" w:cs="Tahoma"/>
          <w:sz w:val="22"/>
          <w:szCs w:val="22"/>
        </w:rPr>
        <w:t xml:space="preserve"> </w:t>
      </w:r>
    </w:p>
    <w:p w:rsidR="005B45ED" w:rsidRPr="00B4310C" w:rsidRDefault="005B45ED" w:rsidP="003F6675">
      <w:pPr>
        <w:spacing w:line="276" w:lineRule="auto"/>
        <w:ind w:firstLine="708"/>
        <w:jc w:val="both"/>
        <w:rPr>
          <w:rFonts w:ascii="Tahoma" w:hAnsi="Tahoma" w:cs="Tahoma"/>
          <w:sz w:val="22"/>
          <w:szCs w:val="22"/>
        </w:rPr>
      </w:pPr>
    </w:p>
    <w:p w:rsidR="001A4D03" w:rsidRDefault="005B45ED" w:rsidP="003F6675">
      <w:pPr>
        <w:spacing w:line="276" w:lineRule="auto"/>
        <w:ind w:firstLine="708"/>
        <w:jc w:val="both"/>
        <w:rPr>
          <w:rFonts w:ascii="Tahoma" w:hAnsi="Tahoma" w:cs="Tahoma"/>
          <w:sz w:val="22"/>
          <w:szCs w:val="22"/>
        </w:rPr>
      </w:pPr>
      <w:r w:rsidRPr="00B4310C">
        <w:rPr>
          <w:rFonts w:ascii="Tahoma" w:hAnsi="Tahoma" w:cs="Tahoma"/>
          <w:sz w:val="22"/>
          <w:szCs w:val="22"/>
        </w:rPr>
        <w:t xml:space="preserve">Como quiera que </w:t>
      </w:r>
      <w:r w:rsidR="00600925">
        <w:rPr>
          <w:rFonts w:ascii="Tahoma" w:hAnsi="Tahoma" w:cs="Tahoma"/>
          <w:sz w:val="22"/>
          <w:szCs w:val="22"/>
        </w:rPr>
        <w:t>la parte demandada</w:t>
      </w:r>
      <w:r w:rsidR="00CF0410" w:rsidRPr="00B4310C">
        <w:rPr>
          <w:rFonts w:ascii="Tahoma" w:hAnsi="Tahoma" w:cs="Tahoma"/>
          <w:sz w:val="22"/>
          <w:szCs w:val="22"/>
        </w:rPr>
        <w:t xml:space="preserve"> </w:t>
      </w:r>
      <w:r w:rsidRPr="00B4310C">
        <w:rPr>
          <w:rFonts w:ascii="Tahoma" w:hAnsi="Tahoma" w:cs="Tahoma"/>
          <w:sz w:val="22"/>
          <w:szCs w:val="22"/>
        </w:rPr>
        <w:t xml:space="preserve">no cumplió el fallo, </w:t>
      </w:r>
      <w:r w:rsidR="00CF0410" w:rsidRPr="00B4310C">
        <w:rPr>
          <w:rFonts w:ascii="Tahoma" w:hAnsi="Tahoma" w:cs="Tahoma"/>
          <w:sz w:val="22"/>
          <w:szCs w:val="22"/>
        </w:rPr>
        <w:t>a petición de parte</w:t>
      </w:r>
      <w:r w:rsidR="0088254C" w:rsidRPr="00B4310C">
        <w:rPr>
          <w:rFonts w:ascii="Tahoma" w:hAnsi="Tahoma" w:cs="Tahoma"/>
          <w:sz w:val="22"/>
          <w:szCs w:val="22"/>
        </w:rPr>
        <w:t>,</w:t>
      </w:r>
      <w:r w:rsidR="00CF0410" w:rsidRPr="00B4310C">
        <w:rPr>
          <w:rFonts w:ascii="Tahoma" w:hAnsi="Tahoma" w:cs="Tahoma"/>
          <w:sz w:val="22"/>
          <w:szCs w:val="22"/>
        </w:rPr>
        <w:t xml:space="preserve"> </w:t>
      </w:r>
      <w:r w:rsidR="00A05314" w:rsidRPr="00B4310C">
        <w:rPr>
          <w:rFonts w:ascii="Tahoma" w:hAnsi="Tahoma" w:cs="Tahoma"/>
          <w:sz w:val="22"/>
          <w:szCs w:val="22"/>
          <w:lang w:val="es-CO"/>
        </w:rPr>
        <w:t xml:space="preserve">el </w:t>
      </w:r>
      <w:r w:rsidR="00600925">
        <w:rPr>
          <w:rFonts w:ascii="Tahoma" w:hAnsi="Tahoma" w:cs="Tahoma"/>
          <w:sz w:val="22"/>
          <w:szCs w:val="22"/>
          <w:lang w:val="es-CO"/>
        </w:rPr>
        <w:t>10 de mayo</w:t>
      </w:r>
      <w:r w:rsidR="00A05314" w:rsidRPr="00B4310C">
        <w:rPr>
          <w:rFonts w:ascii="Tahoma" w:hAnsi="Tahoma" w:cs="Tahoma"/>
          <w:sz w:val="22"/>
          <w:szCs w:val="22"/>
          <w:lang w:val="es-CO"/>
        </w:rPr>
        <w:t xml:space="preserve"> de 2012, el Juzgado </w:t>
      </w:r>
      <w:r w:rsidR="00615E4E" w:rsidRPr="00B4310C">
        <w:rPr>
          <w:rFonts w:ascii="Tahoma" w:hAnsi="Tahoma" w:cs="Tahoma"/>
          <w:sz w:val="22"/>
          <w:szCs w:val="22"/>
          <w:lang w:val="es-CO"/>
        </w:rPr>
        <w:t>de conocimiento</w:t>
      </w:r>
      <w:r w:rsidR="00A05314" w:rsidRPr="00B4310C">
        <w:rPr>
          <w:rFonts w:ascii="Tahoma" w:hAnsi="Tahoma" w:cs="Tahoma"/>
          <w:sz w:val="22"/>
          <w:szCs w:val="22"/>
          <w:lang w:val="es-CO"/>
        </w:rPr>
        <w:t xml:space="preserve"> libró mandamiento ejecutivo</w:t>
      </w:r>
      <w:r w:rsidR="00615E4E" w:rsidRPr="00B4310C">
        <w:rPr>
          <w:rFonts w:ascii="Tahoma" w:hAnsi="Tahoma" w:cs="Tahoma"/>
          <w:sz w:val="22"/>
          <w:szCs w:val="22"/>
          <w:lang w:val="es-CO"/>
        </w:rPr>
        <w:t xml:space="preserve"> </w:t>
      </w:r>
      <w:r w:rsidR="00600925">
        <w:rPr>
          <w:rFonts w:ascii="Tahoma" w:hAnsi="Tahoma" w:cs="Tahoma"/>
          <w:sz w:val="22"/>
          <w:szCs w:val="22"/>
          <w:lang w:val="es-CO"/>
        </w:rPr>
        <w:t xml:space="preserve">en su </w:t>
      </w:r>
      <w:r w:rsidR="00615E4E" w:rsidRPr="00B4310C">
        <w:rPr>
          <w:rFonts w:ascii="Tahoma" w:hAnsi="Tahoma" w:cs="Tahoma"/>
          <w:sz w:val="22"/>
          <w:szCs w:val="22"/>
          <w:lang w:val="es-CO"/>
        </w:rPr>
        <w:t xml:space="preserve">contra </w:t>
      </w:r>
      <w:r w:rsidR="00A05314" w:rsidRPr="00B4310C">
        <w:rPr>
          <w:rFonts w:ascii="Tahoma" w:hAnsi="Tahoma" w:cs="Tahoma"/>
          <w:sz w:val="22"/>
          <w:szCs w:val="22"/>
          <w:lang w:val="es-CO"/>
        </w:rPr>
        <w:t>por la</w:t>
      </w:r>
      <w:r w:rsidR="00600925">
        <w:rPr>
          <w:rFonts w:ascii="Tahoma" w:hAnsi="Tahoma" w:cs="Tahoma"/>
          <w:sz w:val="22"/>
          <w:szCs w:val="22"/>
          <w:lang w:val="es-CO"/>
        </w:rPr>
        <w:t>s referidas</w:t>
      </w:r>
      <w:r w:rsidR="00A05314" w:rsidRPr="00B4310C">
        <w:rPr>
          <w:rFonts w:ascii="Tahoma" w:hAnsi="Tahoma" w:cs="Tahoma"/>
          <w:sz w:val="22"/>
          <w:szCs w:val="22"/>
          <w:lang w:val="es-CO"/>
        </w:rPr>
        <w:t xml:space="preserve"> suma</w:t>
      </w:r>
      <w:r w:rsidR="00600925">
        <w:rPr>
          <w:rFonts w:ascii="Tahoma" w:hAnsi="Tahoma" w:cs="Tahoma"/>
          <w:sz w:val="22"/>
          <w:szCs w:val="22"/>
          <w:lang w:val="es-CO"/>
        </w:rPr>
        <w:t xml:space="preserve">s y </w:t>
      </w:r>
      <w:r w:rsidR="00600925" w:rsidRPr="00600925">
        <w:rPr>
          <w:rFonts w:ascii="Tahoma" w:hAnsi="Tahoma" w:cs="Tahoma"/>
          <w:b/>
          <w:sz w:val="22"/>
          <w:szCs w:val="22"/>
          <w:lang w:val="es-CO"/>
        </w:rPr>
        <w:t>decretó el embargo y secuestro, entre otras, de las mejoras sobre un inmueble ubicado en esta ciudad</w:t>
      </w:r>
      <w:r w:rsidR="00600925">
        <w:rPr>
          <w:rFonts w:ascii="Tahoma" w:hAnsi="Tahoma" w:cs="Tahoma"/>
          <w:b/>
          <w:sz w:val="22"/>
          <w:szCs w:val="22"/>
          <w:lang w:val="es-CO"/>
        </w:rPr>
        <w:t xml:space="preserve">, </w:t>
      </w:r>
      <w:r w:rsidR="00600925">
        <w:rPr>
          <w:rFonts w:ascii="Tahoma" w:hAnsi="Tahoma" w:cs="Tahoma"/>
          <w:sz w:val="22"/>
          <w:szCs w:val="22"/>
          <w:lang w:val="es-CO"/>
        </w:rPr>
        <w:t>para lo cual libró el respectivo despacho comisorio</w:t>
      </w:r>
      <w:r w:rsidR="00CF0410" w:rsidRPr="00B4310C">
        <w:rPr>
          <w:rFonts w:ascii="Tahoma" w:hAnsi="Tahoma" w:cs="Tahoma"/>
          <w:sz w:val="22"/>
          <w:szCs w:val="22"/>
        </w:rPr>
        <w:t xml:space="preserve"> </w:t>
      </w:r>
      <w:r w:rsidR="00C4284A" w:rsidRPr="00B4310C">
        <w:rPr>
          <w:rFonts w:ascii="Tahoma" w:hAnsi="Tahoma" w:cs="Tahoma"/>
          <w:sz w:val="22"/>
          <w:szCs w:val="22"/>
        </w:rPr>
        <w:t xml:space="preserve">(folio </w:t>
      </w:r>
      <w:r w:rsidR="00600925">
        <w:rPr>
          <w:rFonts w:ascii="Tahoma" w:hAnsi="Tahoma" w:cs="Tahoma"/>
          <w:sz w:val="22"/>
          <w:szCs w:val="22"/>
        </w:rPr>
        <w:t>212 y 213</w:t>
      </w:r>
      <w:r w:rsidR="00C4284A" w:rsidRPr="00B4310C">
        <w:rPr>
          <w:rFonts w:ascii="Tahoma" w:hAnsi="Tahoma" w:cs="Tahoma"/>
          <w:sz w:val="22"/>
          <w:szCs w:val="22"/>
        </w:rPr>
        <w:t>)</w:t>
      </w:r>
      <w:r w:rsidR="0088254C" w:rsidRPr="00B4310C">
        <w:rPr>
          <w:rFonts w:ascii="Tahoma" w:hAnsi="Tahoma" w:cs="Tahoma"/>
          <w:sz w:val="22"/>
          <w:szCs w:val="22"/>
        </w:rPr>
        <w:t xml:space="preserve">. </w:t>
      </w:r>
      <w:r w:rsidR="00615E4E" w:rsidRPr="00B4310C">
        <w:rPr>
          <w:rFonts w:ascii="Tahoma" w:hAnsi="Tahoma" w:cs="Tahoma"/>
          <w:sz w:val="22"/>
          <w:szCs w:val="22"/>
        </w:rPr>
        <w:t xml:space="preserve">En su oportunidad la </w:t>
      </w:r>
      <w:r w:rsidR="00600925">
        <w:rPr>
          <w:rFonts w:ascii="Tahoma" w:hAnsi="Tahoma" w:cs="Tahoma"/>
          <w:sz w:val="22"/>
          <w:szCs w:val="22"/>
        </w:rPr>
        <w:t xml:space="preserve">parte ejecutada guardó silencio, razón por la cual </w:t>
      </w:r>
      <w:r w:rsidR="00AC287C">
        <w:rPr>
          <w:rFonts w:ascii="Tahoma" w:hAnsi="Tahoma" w:cs="Tahoma"/>
          <w:sz w:val="22"/>
          <w:szCs w:val="22"/>
        </w:rPr>
        <w:t xml:space="preserve">la parte </w:t>
      </w:r>
      <w:r w:rsidR="00BF1CCA">
        <w:rPr>
          <w:rFonts w:ascii="Tahoma" w:hAnsi="Tahoma" w:cs="Tahoma"/>
          <w:sz w:val="22"/>
          <w:szCs w:val="22"/>
        </w:rPr>
        <w:t>ejecutante</w:t>
      </w:r>
      <w:r w:rsidR="00AC287C">
        <w:rPr>
          <w:rFonts w:ascii="Tahoma" w:hAnsi="Tahoma" w:cs="Tahoma"/>
          <w:sz w:val="22"/>
          <w:szCs w:val="22"/>
        </w:rPr>
        <w:t xml:space="preserve"> presentó la </w:t>
      </w:r>
      <w:r w:rsidR="00BF1CCA">
        <w:rPr>
          <w:rFonts w:ascii="Tahoma" w:hAnsi="Tahoma" w:cs="Tahoma"/>
          <w:sz w:val="22"/>
          <w:szCs w:val="22"/>
        </w:rPr>
        <w:t>respectiva</w:t>
      </w:r>
      <w:r w:rsidR="00AC287C">
        <w:rPr>
          <w:rFonts w:ascii="Tahoma" w:hAnsi="Tahoma" w:cs="Tahoma"/>
          <w:sz w:val="22"/>
          <w:szCs w:val="22"/>
        </w:rPr>
        <w:t xml:space="preserve"> liquidación del crédito (folio 224)</w:t>
      </w:r>
      <w:r w:rsidR="002639BA">
        <w:rPr>
          <w:rFonts w:ascii="Tahoma" w:hAnsi="Tahoma" w:cs="Tahoma"/>
          <w:sz w:val="22"/>
          <w:szCs w:val="22"/>
        </w:rPr>
        <w:t xml:space="preserve">. A folios 239 y 240 obra la diligencia de secuestro de las referidas mejoras, realizada el 6 de septiembre de ese mismo año por la Inspección 18 de Policía, en cuya acta se dejó constancias de que </w:t>
      </w:r>
      <w:r w:rsidR="001A3C60">
        <w:rPr>
          <w:rFonts w:ascii="Tahoma" w:hAnsi="Tahoma" w:cs="Tahoma"/>
          <w:sz w:val="22"/>
          <w:szCs w:val="22"/>
        </w:rPr>
        <w:t xml:space="preserve">secuestraron dos </w:t>
      </w:r>
      <w:r w:rsidR="00BF1CCA">
        <w:rPr>
          <w:rFonts w:ascii="Tahoma" w:hAnsi="Tahoma" w:cs="Tahoma"/>
          <w:sz w:val="22"/>
          <w:szCs w:val="22"/>
        </w:rPr>
        <w:t>locales</w:t>
      </w:r>
      <w:r w:rsidR="001A3C60">
        <w:rPr>
          <w:rFonts w:ascii="Tahoma" w:hAnsi="Tahoma" w:cs="Tahoma"/>
          <w:sz w:val="22"/>
          <w:szCs w:val="22"/>
        </w:rPr>
        <w:t xml:space="preserve">: el primero </w:t>
      </w:r>
      <w:r w:rsidR="002639BA">
        <w:rPr>
          <w:rFonts w:ascii="Tahoma" w:hAnsi="Tahoma" w:cs="Tahoma"/>
          <w:sz w:val="22"/>
          <w:szCs w:val="22"/>
        </w:rPr>
        <w:t xml:space="preserve">ubicado en la carrera 7 No. 29-15 </w:t>
      </w:r>
      <w:r w:rsidR="001A3C60">
        <w:rPr>
          <w:rFonts w:ascii="Tahoma" w:hAnsi="Tahoma" w:cs="Tahoma"/>
          <w:sz w:val="22"/>
          <w:szCs w:val="22"/>
        </w:rPr>
        <w:t xml:space="preserve">en el que </w:t>
      </w:r>
      <w:r w:rsidR="002639BA">
        <w:rPr>
          <w:rFonts w:ascii="Tahoma" w:hAnsi="Tahoma" w:cs="Tahoma"/>
          <w:sz w:val="22"/>
          <w:szCs w:val="22"/>
        </w:rPr>
        <w:t xml:space="preserve">fueron atendidos por la señora LINA OSPINA quien se presentó como la </w:t>
      </w:r>
      <w:r w:rsidR="00747194">
        <w:rPr>
          <w:rFonts w:ascii="Tahoma" w:hAnsi="Tahoma" w:cs="Tahoma"/>
          <w:sz w:val="22"/>
          <w:szCs w:val="22"/>
        </w:rPr>
        <w:t>arrendataria</w:t>
      </w:r>
      <w:r w:rsidR="002639BA">
        <w:rPr>
          <w:rFonts w:ascii="Tahoma" w:hAnsi="Tahoma" w:cs="Tahoma"/>
          <w:sz w:val="22"/>
          <w:szCs w:val="22"/>
        </w:rPr>
        <w:t xml:space="preserve"> de la casa y el local</w:t>
      </w:r>
      <w:r w:rsidR="002779BD">
        <w:rPr>
          <w:rFonts w:ascii="Tahoma" w:hAnsi="Tahoma" w:cs="Tahoma"/>
          <w:sz w:val="22"/>
          <w:szCs w:val="22"/>
        </w:rPr>
        <w:t xml:space="preserve">, manifestando que le paga el </w:t>
      </w:r>
      <w:r w:rsidR="00BF1CCA">
        <w:rPr>
          <w:rFonts w:ascii="Tahoma" w:hAnsi="Tahoma" w:cs="Tahoma"/>
          <w:sz w:val="22"/>
          <w:szCs w:val="22"/>
        </w:rPr>
        <w:t>canon</w:t>
      </w:r>
      <w:r w:rsidR="002779BD">
        <w:rPr>
          <w:rFonts w:ascii="Tahoma" w:hAnsi="Tahoma" w:cs="Tahoma"/>
          <w:sz w:val="22"/>
          <w:szCs w:val="22"/>
        </w:rPr>
        <w:t xml:space="preserve"> de arrendamiento a ROSALBA GRAJALES DE RENDÓN por la suma de $500.000 mensuales</w:t>
      </w:r>
      <w:r w:rsidR="001A3C60">
        <w:rPr>
          <w:rFonts w:ascii="Tahoma" w:hAnsi="Tahoma" w:cs="Tahoma"/>
          <w:sz w:val="22"/>
          <w:szCs w:val="22"/>
        </w:rPr>
        <w:t xml:space="preserve">. El segundo </w:t>
      </w:r>
      <w:r w:rsidR="00BF1CCA">
        <w:rPr>
          <w:rFonts w:ascii="Tahoma" w:hAnsi="Tahoma" w:cs="Tahoma"/>
          <w:sz w:val="22"/>
          <w:szCs w:val="22"/>
        </w:rPr>
        <w:t>local</w:t>
      </w:r>
      <w:r w:rsidR="001A3C60">
        <w:rPr>
          <w:rFonts w:ascii="Tahoma" w:hAnsi="Tahoma" w:cs="Tahoma"/>
          <w:sz w:val="22"/>
          <w:szCs w:val="22"/>
        </w:rPr>
        <w:t xml:space="preserve"> contiguo ubicado en</w:t>
      </w:r>
      <w:r w:rsidR="001A4D03">
        <w:rPr>
          <w:rFonts w:ascii="Tahoma" w:hAnsi="Tahoma" w:cs="Tahoma"/>
          <w:sz w:val="22"/>
          <w:szCs w:val="22"/>
        </w:rPr>
        <w:t xml:space="preserve"> </w:t>
      </w:r>
      <w:r w:rsidR="001A3C60">
        <w:rPr>
          <w:rFonts w:ascii="Tahoma" w:hAnsi="Tahoma" w:cs="Tahoma"/>
          <w:sz w:val="22"/>
          <w:szCs w:val="22"/>
        </w:rPr>
        <w:t>la carrera 7 No. 29-15 en donde f</w:t>
      </w:r>
      <w:r w:rsidR="001A4D03">
        <w:rPr>
          <w:rFonts w:ascii="Tahoma" w:hAnsi="Tahoma" w:cs="Tahoma"/>
          <w:sz w:val="22"/>
          <w:szCs w:val="22"/>
        </w:rPr>
        <w:t xml:space="preserve">ueron atendidos por un señor de nombre Fernando quien no </w:t>
      </w:r>
      <w:r w:rsidR="00747194">
        <w:rPr>
          <w:rFonts w:ascii="Tahoma" w:hAnsi="Tahoma" w:cs="Tahoma"/>
          <w:sz w:val="22"/>
          <w:szCs w:val="22"/>
        </w:rPr>
        <w:t>quiso</w:t>
      </w:r>
      <w:r w:rsidR="001A4D03">
        <w:rPr>
          <w:rFonts w:ascii="Tahoma" w:hAnsi="Tahoma" w:cs="Tahoma"/>
          <w:sz w:val="22"/>
          <w:szCs w:val="22"/>
        </w:rPr>
        <w:t xml:space="preserve"> dar más datos pero expresó que es colaborador y familiar del nuevo dueño del establecimiento que se va a llamar “SERVI GAS PEREIRA” pues hasta ese momento no se encontraba funcionando. Los dos </w:t>
      </w:r>
      <w:r w:rsidR="00BF1CCA">
        <w:rPr>
          <w:rFonts w:ascii="Tahoma" w:hAnsi="Tahoma" w:cs="Tahoma"/>
          <w:sz w:val="22"/>
          <w:szCs w:val="22"/>
        </w:rPr>
        <w:t>locales</w:t>
      </w:r>
      <w:r w:rsidR="001A4D03">
        <w:rPr>
          <w:rFonts w:ascii="Tahoma" w:hAnsi="Tahoma" w:cs="Tahoma"/>
          <w:sz w:val="22"/>
          <w:szCs w:val="22"/>
        </w:rPr>
        <w:t xml:space="preserve"> fueron entregados al señor secuestre y se les advirtió a los residentes que en adelante se entender</w:t>
      </w:r>
      <w:r w:rsidR="00BF1CCA">
        <w:rPr>
          <w:rFonts w:ascii="Tahoma" w:hAnsi="Tahoma" w:cs="Tahoma"/>
          <w:sz w:val="22"/>
          <w:szCs w:val="22"/>
        </w:rPr>
        <w:t>ían</w:t>
      </w:r>
      <w:r w:rsidR="001A4D03">
        <w:rPr>
          <w:rFonts w:ascii="Tahoma" w:hAnsi="Tahoma" w:cs="Tahoma"/>
          <w:sz w:val="22"/>
          <w:szCs w:val="22"/>
        </w:rPr>
        <w:t xml:space="preserve"> con él para todos los efectos de los contratos de arrendamiento. </w:t>
      </w:r>
      <w:r w:rsidR="001A4D03" w:rsidRPr="001A4D03">
        <w:rPr>
          <w:rFonts w:ascii="Tahoma" w:hAnsi="Tahoma" w:cs="Tahoma"/>
          <w:b/>
          <w:sz w:val="22"/>
          <w:szCs w:val="22"/>
        </w:rPr>
        <w:t>En la diligencia no se presentó oposición alguna.</w:t>
      </w:r>
    </w:p>
    <w:p w:rsidR="001A4D03" w:rsidRDefault="001A4D03" w:rsidP="003F6675">
      <w:pPr>
        <w:spacing w:line="276" w:lineRule="auto"/>
        <w:ind w:firstLine="708"/>
        <w:jc w:val="both"/>
        <w:rPr>
          <w:rFonts w:ascii="Tahoma" w:hAnsi="Tahoma" w:cs="Tahoma"/>
          <w:sz w:val="22"/>
          <w:szCs w:val="22"/>
        </w:rPr>
      </w:pPr>
    </w:p>
    <w:p w:rsidR="00747194" w:rsidRDefault="001A4D03" w:rsidP="003F6675">
      <w:pPr>
        <w:spacing w:line="276" w:lineRule="auto"/>
        <w:ind w:firstLine="708"/>
        <w:jc w:val="both"/>
        <w:rPr>
          <w:rFonts w:ascii="Tahoma" w:hAnsi="Tahoma" w:cs="Tahoma"/>
          <w:sz w:val="22"/>
          <w:szCs w:val="22"/>
        </w:rPr>
      </w:pPr>
      <w:r>
        <w:rPr>
          <w:rFonts w:ascii="Tahoma" w:hAnsi="Tahoma" w:cs="Tahoma"/>
          <w:sz w:val="22"/>
          <w:szCs w:val="22"/>
        </w:rPr>
        <w:t xml:space="preserve"> </w:t>
      </w:r>
      <w:r w:rsidR="002639BA">
        <w:rPr>
          <w:rFonts w:ascii="Tahoma" w:hAnsi="Tahoma" w:cs="Tahoma"/>
          <w:sz w:val="22"/>
          <w:szCs w:val="22"/>
        </w:rPr>
        <w:t xml:space="preserve"> </w:t>
      </w:r>
      <w:r w:rsidR="003D6FB3">
        <w:rPr>
          <w:rFonts w:ascii="Tahoma" w:hAnsi="Tahoma" w:cs="Tahoma"/>
          <w:sz w:val="22"/>
          <w:szCs w:val="22"/>
        </w:rPr>
        <w:t xml:space="preserve">El 19 de diciembre de 2012 se presentó al proceso el señor LUIS ALBERTO GIRALDO GARCÍA en calidad de tercero poseedor de las mejoras </w:t>
      </w:r>
      <w:r w:rsidR="00747194">
        <w:rPr>
          <w:rFonts w:ascii="Tahoma" w:hAnsi="Tahoma" w:cs="Tahoma"/>
          <w:sz w:val="22"/>
          <w:szCs w:val="22"/>
        </w:rPr>
        <w:t>objeto</w:t>
      </w:r>
      <w:r w:rsidR="003D6FB3">
        <w:rPr>
          <w:rFonts w:ascii="Tahoma" w:hAnsi="Tahoma" w:cs="Tahoma"/>
          <w:sz w:val="22"/>
          <w:szCs w:val="22"/>
        </w:rPr>
        <w:t xml:space="preserve"> de embargo, quien </w:t>
      </w:r>
      <w:r w:rsidR="00747194">
        <w:rPr>
          <w:rFonts w:ascii="Tahoma" w:hAnsi="Tahoma" w:cs="Tahoma"/>
          <w:sz w:val="22"/>
          <w:szCs w:val="22"/>
        </w:rPr>
        <w:t>a través</w:t>
      </w:r>
      <w:r w:rsidR="003D6FB3">
        <w:rPr>
          <w:rFonts w:ascii="Tahoma" w:hAnsi="Tahoma" w:cs="Tahoma"/>
          <w:sz w:val="22"/>
          <w:szCs w:val="22"/>
        </w:rPr>
        <w:t xml:space="preserve"> de mandataria judicial formuló incidente de levantamiento de embargo y secuestro. </w:t>
      </w:r>
    </w:p>
    <w:p w:rsidR="00747194" w:rsidRDefault="00747194" w:rsidP="003F6675">
      <w:pPr>
        <w:spacing w:line="276" w:lineRule="auto"/>
        <w:ind w:firstLine="708"/>
        <w:jc w:val="both"/>
        <w:rPr>
          <w:rFonts w:ascii="Tahoma" w:hAnsi="Tahoma" w:cs="Tahoma"/>
          <w:sz w:val="22"/>
          <w:szCs w:val="22"/>
        </w:rPr>
      </w:pPr>
    </w:p>
    <w:p w:rsidR="00AD77A7" w:rsidRDefault="00747194" w:rsidP="008A3FE7">
      <w:pPr>
        <w:spacing w:line="276" w:lineRule="auto"/>
        <w:ind w:firstLine="708"/>
        <w:jc w:val="both"/>
        <w:rPr>
          <w:rFonts w:ascii="Tahoma" w:hAnsi="Tahoma" w:cs="Tahoma"/>
          <w:sz w:val="22"/>
          <w:szCs w:val="22"/>
        </w:rPr>
      </w:pPr>
      <w:r>
        <w:rPr>
          <w:rFonts w:ascii="Tahoma" w:hAnsi="Tahoma" w:cs="Tahoma"/>
          <w:sz w:val="22"/>
          <w:szCs w:val="22"/>
        </w:rPr>
        <w:t>El 16 de enero de 2013, el Juzgado, entre otras cosas aprobó la liquidación del crédito y negó por extemporánea el incidente de levantamiento embargo (folio</w:t>
      </w:r>
      <w:r w:rsidR="00C94561">
        <w:rPr>
          <w:rFonts w:ascii="Tahoma" w:hAnsi="Tahoma" w:cs="Tahoma"/>
          <w:sz w:val="22"/>
          <w:szCs w:val="22"/>
        </w:rPr>
        <w:t xml:space="preserve"> 270). El tercero poseedor apeló la decisión anterior y esta C</w:t>
      </w:r>
      <w:r>
        <w:rPr>
          <w:rFonts w:ascii="Tahoma" w:hAnsi="Tahoma" w:cs="Tahoma"/>
          <w:sz w:val="22"/>
          <w:szCs w:val="22"/>
        </w:rPr>
        <w:t xml:space="preserve">orporación mediante providencia de fecha </w:t>
      </w:r>
      <w:r w:rsidR="00C94561">
        <w:rPr>
          <w:rFonts w:ascii="Tahoma" w:hAnsi="Tahoma" w:cs="Tahoma"/>
          <w:sz w:val="22"/>
          <w:szCs w:val="22"/>
        </w:rPr>
        <w:t xml:space="preserve">29 de </w:t>
      </w:r>
      <w:r w:rsidR="00C94561">
        <w:rPr>
          <w:rFonts w:ascii="Tahoma" w:hAnsi="Tahoma" w:cs="Tahoma"/>
          <w:sz w:val="22"/>
          <w:szCs w:val="22"/>
        </w:rPr>
        <w:lastRenderedPageBreak/>
        <w:t>abril de 2013</w:t>
      </w:r>
      <w:r>
        <w:rPr>
          <w:rFonts w:ascii="Tahoma" w:hAnsi="Tahoma" w:cs="Tahoma"/>
          <w:sz w:val="22"/>
          <w:szCs w:val="22"/>
        </w:rPr>
        <w:t xml:space="preserve"> </w:t>
      </w:r>
      <w:r w:rsidR="00C94561">
        <w:rPr>
          <w:rFonts w:ascii="Tahoma" w:hAnsi="Tahoma" w:cs="Tahoma"/>
          <w:sz w:val="22"/>
          <w:szCs w:val="22"/>
        </w:rPr>
        <w:t xml:space="preserve">ordenó al Despacho de primer grado </w:t>
      </w:r>
      <w:r>
        <w:rPr>
          <w:rFonts w:ascii="Tahoma" w:hAnsi="Tahoma" w:cs="Tahoma"/>
          <w:sz w:val="22"/>
          <w:szCs w:val="22"/>
        </w:rPr>
        <w:t xml:space="preserve">que diera el </w:t>
      </w:r>
      <w:r w:rsidR="00BF1CCA">
        <w:rPr>
          <w:rFonts w:ascii="Tahoma" w:hAnsi="Tahoma" w:cs="Tahoma"/>
          <w:sz w:val="22"/>
          <w:szCs w:val="22"/>
        </w:rPr>
        <w:t>trámite</w:t>
      </w:r>
      <w:r>
        <w:rPr>
          <w:rFonts w:ascii="Tahoma" w:hAnsi="Tahoma" w:cs="Tahoma"/>
          <w:sz w:val="22"/>
          <w:szCs w:val="22"/>
        </w:rPr>
        <w:t xml:space="preserve"> pertinente a dicho incidente </w:t>
      </w:r>
      <w:r w:rsidR="00C94561">
        <w:rPr>
          <w:rFonts w:ascii="Tahoma" w:hAnsi="Tahoma" w:cs="Tahoma"/>
          <w:sz w:val="22"/>
          <w:szCs w:val="22"/>
        </w:rPr>
        <w:t>(folios 300 a 305). La decisión del Tribunal fue objeto de acción de tutela, razón por la cual el trámite del incidente sufrió demoras</w:t>
      </w:r>
      <w:r w:rsidR="006B1758">
        <w:rPr>
          <w:rFonts w:ascii="Tahoma" w:hAnsi="Tahoma" w:cs="Tahoma"/>
          <w:sz w:val="22"/>
          <w:szCs w:val="22"/>
        </w:rPr>
        <w:t xml:space="preserve"> mientras se dirimía dicho amparo</w:t>
      </w:r>
      <w:r w:rsidR="00C94561">
        <w:rPr>
          <w:rFonts w:ascii="Tahoma" w:hAnsi="Tahoma" w:cs="Tahoma"/>
          <w:sz w:val="22"/>
          <w:szCs w:val="22"/>
        </w:rPr>
        <w:t>. Entre tanto,</w:t>
      </w:r>
      <w:r w:rsidR="006B1758">
        <w:rPr>
          <w:rFonts w:ascii="Tahoma" w:hAnsi="Tahoma" w:cs="Tahoma"/>
          <w:sz w:val="22"/>
          <w:szCs w:val="22"/>
        </w:rPr>
        <w:t xml:space="preserve"> por una parte, </w:t>
      </w:r>
      <w:r w:rsidR="00C94561">
        <w:rPr>
          <w:rFonts w:ascii="Tahoma" w:hAnsi="Tahoma" w:cs="Tahoma"/>
          <w:sz w:val="22"/>
          <w:szCs w:val="22"/>
        </w:rPr>
        <w:t>el señor secuestre consignó a órdenes del juzgado varios cánones de arrendamiento</w:t>
      </w:r>
      <w:r w:rsidR="00AD77A7">
        <w:rPr>
          <w:rFonts w:ascii="Tahoma" w:hAnsi="Tahoma" w:cs="Tahoma"/>
          <w:sz w:val="22"/>
          <w:szCs w:val="22"/>
        </w:rPr>
        <w:t xml:space="preserve"> (folios 332 a 359) y</w:t>
      </w:r>
      <w:r w:rsidR="006B1758">
        <w:rPr>
          <w:rFonts w:ascii="Tahoma" w:hAnsi="Tahoma" w:cs="Tahoma"/>
          <w:sz w:val="22"/>
          <w:szCs w:val="22"/>
        </w:rPr>
        <w:t xml:space="preserve"> por otra parte el </w:t>
      </w:r>
      <w:r w:rsidR="00C23EDE">
        <w:rPr>
          <w:rFonts w:ascii="Tahoma" w:hAnsi="Tahoma" w:cs="Tahoma"/>
          <w:sz w:val="22"/>
          <w:szCs w:val="22"/>
        </w:rPr>
        <w:t xml:space="preserve">juzgado fijó caución al </w:t>
      </w:r>
      <w:r w:rsidR="006B1758">
        <w:rPr>
          <w:rFonts w:ascii="Tahoma" w:hAnsi="Tahoma" w:cs="Tahoma"/>
          <w:sz w:val="22"/>
          <w:szCs w:val="22"/>
        </w:rPr>
        <w:t xml:space="preserve">tercero poseedor </w:t>
      </w:r>
      <w:r w:rsidR="00C23EDE">
        <w:rPr>
          <w:rFonts w:ascii="Tahoma" w:hAnsi="Tahoma" w:cs="Tahoma"/>
          <w:sz w:val="22"/>
          <w:szCs w:val="22"/>
        </w:rPr>
        <w:t xml:space="preserve">a efectos de dar el </w:t>
      </w:r>
      <w:r w:rsidR="006B1758">
        <w:rPr>
          <w:rFonts w:ascii="Tahoma" w:hAnsi="Tahoma" w:cs="Tahoma"/>
          <w:sz w:val="22"/>
          <w:szCs w:val="22"/>
        </w:rPr>
        <w:t xml:space="preserve">correspondiente trámite </w:t>
      </w:r>
      <w:r w:rsidR="00C23EDE">
        <w:rPr>
          <w:rFonts w:ascii="Tahoma" w:hAnsi="Tahoma" w:cs="Tahoma"/>
          <w:sz w:val="22"/>
          <w:szCs w:val="22"/>
        </w:rPr>
        <w:t>al</w:t>
      </w:r>
      <w:r w:rsidR="006B1758">
        <w:rPr>
          <w:rFonts w:ascii="Tahoma" w:hAnsi="Tahoma" w:cs="Tahoma"/>
          <w:sz w:val="22"/>
          <w:szCs w:val="22"/>
        </w:rPr>
        <w:t xml:space="preserve"> incidente, pero el proceso tuvo que interrumpirse ante el fallecimiento del demandante (auto del 16 de septiembre de 2014, folio 375). </w:t>
      </w:r>
    </w:p>
    <w:p w:rsidR="00AD77A7" w:rsidRDefault="00AD77A7" w:rsidP="008A3FE7">
      <w:pPr>
        <w:spacing w:line="276" w:lineRule="auto"/>
        <w:ind w:firstLine="708"/>
        <w:jc w:val="both"/>
        <w:rPr>
          <w:rFonts w:ascii="Tahoma" w:hAnsi="Tahoma" w:cs="Tahoma"/>
          <w:sz w:val="22"/>
          <w:szCs w:val="22"/>
        </w:rPr>
      </w:pPr>
    </w:p>
    <w:p w:rsidR="00C23EDE" w:rsidRDefault="00AD77A7" w:rsidP="008A3FE7">
      <w:pPr>
        <w:spacing w:line="276" w:lineRule="auto"/>
        <w:ind w:firstLine="708"/>
        <w:jc w:val="both"/>
        <w:rPr>
          <w:rFonts w:ascii="Tahoma" w:hAnsi="Tahoma" w:cs="Tahoma"/>
          <w:sz w:val="22"/>
          <w:szCs w:val="22"/>
        </w:rPr>
      </w:pPr>
      <w:r>
        <w:rPr>
          <w:rFonts w:ascii="Tahoma" w:hAnsi="Tahoma" w:cs="Tahoma"/>
          <w:sz w:val="22"/>
          <w:szCs w:val="22"/>
        </w:rPr>
        <w:t xml:space="preserve">El 10 de marzo de 2015, </w:t>
      </w:r>
      <w:r w:rsidR="00CE126B">
        <w:rPr>
          <w:rFonts w:ascii="Tahoma" w:hAnsi="Tahoma" w:cs="Tahoma"/>
          <w:sz w:val="22"/>
          <w:szCs w:val="22"/>
        </w:rPr>
        <w:t xml:space="preserve">el juzgado de conocimiento declaró terminado el proceso por pago total de la obligación, levantó las medidas cautelares y archivó el proceso (folio 393). La parte </w:t>
      </w:r>
      <w:proofErr w:type="spellStart"/>
      <w:r w:rsidR="00CE126B">
        <w:rPr>
          <w:rFonts w:ascii="Tahoma" w:hAnsi="Tahoma" w:cs="Tahoma"/>
          <w:sz w:val="22"/>
          <w:szCs w:val="22"/>
        </w:rPr>
        <w:t>incidentista</w:t>
      </w:r>
      <w:proofErr w:type="spellEnd"/>
      <w:r w:rsidR="00CE126B">
        <w:rPr>
          <w:rFonts w:ascii="Tahoma" w:hAnsi="Tahoma" w:cs="Tahoma"/>
          <w:sz w:val="22"/>
          <w:szCs w:val="22"/>
        </w:rPr>
        <w:t xml:space="preserve"> recurrió en reposición y apelación la decisión anterior (folio 394 a 398), recursos que fueron denegados por falta de legitimación del tercero poseedor en este proceso (folio 405), lo que conllevó a que el tercero poseedor interpusiera una acción de tutela en contra del juzgado, la cual se decidió en su favor, en virtud de la cual se ordenó al juzgado de instancia dar trámite a los respectivos recursos (sentencia de tutela del 20 de mayo de 2015, folios a 418)</w:t>
      </w:r>
      <w:r w:rsidR="00C23EDE">
        <w:rPr>
          <w:rFonts w:ascii="Tahoma" w:hAnsi="Tahoma" w:cs="Tahoma"/>
          <w:sz w:val="22"/>
          <w:szCs w:val="22"/>
        </w:rPr>
        <w:t xml:space="preserve">. Previo a cumplir el fallo de tutela, primera instancia ordenó vincular a los sucesores procesales de la parte demandante (auto del 26 de mayo de 2015, folio 419), para cuyo efecto fue necesario emplazarlos y nombrarles curador ad </w:t>
      </w:r>
      <w:proofErr w:type="spellStart"/>
      <w:r w:rsidR="00C23EDE">
        <w:rPr>
          <w:rFonts w:ascii="Tahoma" w:hAnsi="Tahoma" w:cs="Tahoma"/>
          <w:sz w:val="22"/>
          <w:szCs w:val="22"/>
        </w:rPr>
        <w:t>litem</w:t>
      </w:r>
      <w:proofErr w:type="spellEnd"/>
      <w:r w:rsidR="00C23EDE">
        <w:rPr>
          <w:rFonts w:ascii="Tahoma" w:hAnsi="Tahoma" w:cs="Tahoma"/>
          <w:sz w:val="22"/>
          <w:szCs w:val="22"/>
        </w:rPr>
        <w:t xml:space="preserve"> conforme puede verse en el expediente, folios 427 a 457.</w:t>
      </w:r>
    </w:p>
    <w:p w:rsidR="00C23EDE" w:rsidRDefault="00C23EDE" w:rsidP="008A3FE7">
      <w:pPr>
        <w:spacing w:line="276" w:lineRule="auto"/>
        <w:ind w:firstLine="708"/>
        <w:jc w:val="both"/>
        <w:rPr>
          <w:rFonts w:ascii="Tahoma" w:hAnsi="Tahoma" w:cs="Tahoma"/>
          <w:sz w:val="22"/>
          <w:szCs w:val="22"/>
        </w:rPr>
      </w:pPr>
    </w:p>
    <w:p w:rsidR="00CC15A8" w:rsidRDefault="00C23EDE" w:rsidP="00CC15A8">
      <w:pPr>
        <w:spacing w:line="276" w:lineRule="auto"/>
        <w:ind w:firstLine="708"/>
        <w:jc w:val="both"/>
        <w:rPr>
          <w:rFonts w:ascii="Tahoma" w:hAnsi="Tahoma" w:cs="Tahoma"/>
          <w:sz w:val="22"/>
          <w:szCs w:val="22"/>
        </w:rPr>
      </w:pPr>
      <w:r>
        <w:rPr>
          <w:rFonts w:ascii="Tahoma" w:hAnsi="Tahoma" w:cs="Tahoma"/>
          <w:sz w:val="22"/>
          <w:szCs w:val="22"/>
        </w:rPr>
        <w:t xml:space="preserve">Después de todas estas vicisitudes, por fin se dio cumplimiento al fallo de tutela y mediante auto del 3 de mayo de 2016, </w:t>
      </w:r>
      <w:r w:rsidR="00CC15A8">
        <w:rPr>
          <w:rFonts w:ascii="Tahoma" w:hAnsi="Tahoma" w:cs="Tahoma"/>
          <w:sz w:val="22"/>
          <w:szCs w:val="22"/>
        </w:rPr>
        <w:t>en atención al</w:t>
      </w:r>
      <w:r>
        <w:rPr>
          <w:rFonts w:ascii="Tahoma" w:hAnsi="Tahoma" w:cs="Tahoma"/>
          <w:sz w:val="22"/>
          <w:szCs w:val="22"/>
        </w:rPr>
        <w:t xml:space="preserve"> recurso</w:t>
      </w:r>
      <w:r w:rsidR="00CC15A8">
        <w:rPr>
          <w:rFonts w:ascii="Tahoma" w:hAnsi="Tahoma" w:cs="Tahoma"/>
          <w:sz w:val="22"/>
          <w:szCs w:val="22"/>
        </w:rPr>
        <w:t xml:space="preserve"> de reposición </w:t>
      </w:r>
      <w:r>
        <w:rPr>
          <w:rFonts w:ascii="Tahoma" w:hAnsi="Tahoma" w:cs="Tahoma"/>
          <w:sz w:val="22"/>
          <w:szCs w:val="22"/>
        </w:rPr>
        <w:t xml:space="preserve">del tercero poseedor </w:t>
      </w:r>
      <w:r w:rsidR="00CC15A8">
        <w:rPr>
          <w:rFonts w:ascii="Tahoma" w:hAnsi="Tahoma" w:cs="Tahoma"/>
          <w:sz w:val="22"/>
          <w:szCs w:val="22"/>
        </w:rPr>
        <w:t xml:space="preserve">se revocó la decisión de dar por terminado el proceso y en su lugar se ordenó reanudar el término procesal de 5 días para que el </w:t>
      </w:r>
      <w:proofErr w:type="spellStart"/>
      <w:r w:rsidR="00CC15A8">
        <w:rPr>
          <w:rFonts w:ascii="Tahoma" w:hAnsi="Tahoma" w:cs="Tahoma"/>
          <w:sz w:val="22"/>
          <w:szCs w:val="22"/>
        </w:rPr>
        <w:t>incidentista</w:t>
      </w:r>
      <w:proofErr w:type="spellEnd"/>
      <w:r w:rsidR="00CC15A8">
        <w:rPr>
          <w:rFonts w:ascii="Tahoma" w:hAnsi="Tahoma" w:cs="Tahoma"/>
          <w:sz w:val="22"/>
          <w:szCs w:val="22"/>
        </w:rPr>
        <w:t xml:space="preserve"> prestara la respectiva caución (458 y 459), prestada la cual a través de providencia del 16 de mayo de ese mismo </w:t>
      </w:r>
      <w:r w:rsidR="00BF1CCA">
        <w:rPr>
          <w:rFonts w:ascii="Tahoma" w:hAnsi="Tahoma" w:cs="Tahoma"/>
          <w:sz w:val="22"/>
          <w:szCs w:val="22"/>
        </w:rPr>
        <w:t>año</w:t>
      </w:r>
      <w:r w:rsidR="00CC15A8">
        <w:rPr>
          <w:rFonts w:ascii="Tahoma" w:hAnsi="Tahoma" w:cs="Tahoma"/>
          <w:sz w:val="22"/>
          <w:szCs w:val="22"/>
        </w:rPr>
        <w:t xml:space="preserve"> se decretaron las pruebas pedidas por las partes dentro del incidente de levantamiento de embargo (folio 163). El 15 de marzo de 2017 se llevó a cabo la primera audiencia para la recepción de las pruebas (folio 570) y el 6 de julio próximo se celebró la segunda audiencia para igual propósito. </w:t>
      </w:r>
    </w:p>
    <w:p w:rsidR="00E320D0" w:rsidRDefault="00E320D0" w:rsidP="00CC15A8">
      <w:pPr>
        <w:spacing w:line="276" w:lineRule="auto"/>
        <w:ind w:firstLine="708"/>
        <w:jc w:val="both"/>
        <w:rPr>
          <w:rFonts w:ascii="Tahoma" w:hAnsi="Tahoma" w:cs="Tahoma"/>
          <w:sz w:val="22"/>
          <w:szCs w:val="22"/>
        </w:rPr>
      </w:pPr>
    </w:p>
    <w:p w:rsidR="000416B6" w:rsidRDefault="00CC15A8" w:rsidP="00CC15A8">
      <w:pPr>
        <w:spacing w:line="276" w:lineRule="auto"/>
        <w:ind w:firstLine="708"/>
        <w:jc w:val="both"/>
        <w:rPr>
          <w:rFonts w:ascii="Tahoma" w:hAnsi="Tahoma" w:cs="Tahoma"/>
          <w:sz w:val="22"/>
          <w:szCs w:val="22"/>
        </w:rPr>
      </w:pPr>
      <w:r>
        <w:rPr>
          <w:rFonts w:ascii="Tahoma" w:hAnsi="Tahoma" w:cs="Tahoma"/>
          <w:sz w:val="22"/>
          <w:szCs w:val="22"/>
        </w:rPr>
        <w:t xml:space="preserve">Mediante auto del 10 de julio de este año </w:t>
      </w:r>
      <w:r w:rsidR="00C23EDE">
        <w:rPr>
          <w:rFonts w:ascii="Tahoma" w:hAnsi="Tahoma" w:cs="Tahoma"/>
          <w:sz w:val="22"/>
          <w:szCs w:val="22"/>
        </w:rPr>
        <w:t xml:space="preserve">se </w:t>
      </w:r>
      <w:r>
        <w:rPr>
          <w:rFonts w:ascii="Tahoma" w:hAnsi="Tahoma" w:cs="Tahoma"/>
          <w:sz w:val="22"/>
          <w:szCs w:val="22"/>
        </w:rPr>
        <w:t xml:space="preserve">resolvió el citado incidente negando el levantamiento de la medida de secuestro sobre las mejoras </w:t>
      </w:r>
      <w:r w:rsidR="000416B6">
        <w:rPr>
          <w:rFonts w:ascii="Tahoma" w:hAnsi="Tahoma" w:cs="Tahoma"/>
          <w:sz w:val="22"/>
          <w:szCs w:val="22"/>
        </w:rPr>
        <w:t xml:space="preserve">del inmueble y se condenó al tercero poseedor al pago de los perjuicios y las costas procesales. Contra dicho auto se interpuso el recurso de </w:t>
      </w:r>
      <w:r w:rsidR="00BF1CCA">
        <w:rPr>
          <w:rFonts w:ascii="Tahoma" w:hAnsi="Tahoma" w:cs="Tahoma"/>
          <w:sz w:val="22"/>
          <w:szCs w:val="22"/>
        </w:rPr>
        <w:t>apelación</w:t>
      </w:r>
      <w:r w:rsidR="000416B6">
        <w:rPr>
          <w:rFonts w:ascii="Tahoma" w:hAnsi="Tahoma" w:cs="Tahoma"/>
          <w:sz w:val="22"/>
          <w:szCs w:val="22"/>
        </w:rPr>
        <w:t xml:space="preserve">, objeto de análisis en esta providencia. </w:t>
      </w:r>
    </w:p>
    <w:p w:rsidR="000416B6" w:rsidRDefault="000416B6" w:rsidP="00CC15A8">
      <w:pPr>
        <w:spacing w:line="276" w:lineRule="auto"/>
        <w:ind w:firstLine="708"/>
        <w:jc w:val="both"/>
        <w:rPr>
          <w:rFonts w:ascii="Tahoma" w:hAnsi="Tahoma" w:cs="Tahoma"/>
          <w:sz w:val="22"/>
          <w:szCs w:val="22"/>
        </w:rPr>
      </w:pPr>
    </w:p>
    <w:p w:rsidR="004F4012" w:rsidRPr="00B4310C" w:rsidRDefault="004F4012" w:rsidP="00FE1E5D">
      <w:pPr>
        <w:spacing w:line="276" w:lineRule="auto"/>
        <w:ind w:firstLine="708"/>
        <w:jc w:val="both"/>
        <w:rPr>
          <w:rFonts w:ascii="Tahoma" w:hAnsi="Tahoma" w:cs="Tahoma"/>
          <w:sz w:val="22"/>
          <w:szCs w:val="22"/>
        </w:rPr>
      </w:pPr>
    </w:p>
    <w:p w:rsidR="000F780E" w:rsidRPr="00B4310C" w:rsidRDefault="000F780E" w:rsidP="00667E32">
      <w:pPr>
        <w:pStyle w:val="Prrafodelista"/>
        <w:numPr>
          <w:ilvl w:val="0"/>
          <w:numId w:val="15"/>
        </w:numPr>
        <w:spacing w:line="276" w:lineRule="auto"/>
        <w:jc w:val="center"/>
        <w:rPr>
          <w:rFonts w:ascii="Tahoma" w:hAnsi="Tahoma" w:cs="Tahoma"/>
          <w:b/>
          <w:sz w:val="22"/>
          <w:szCs w:val="22"/>
          <w:u w:val="single"/>
        </w:rPr>
      </w:pPr>
      <w:r w:rsidRPr="00B4310C">
        <w:rPr>
          <w:rFonts w:ascii="Tahoma" w:hAnsi="Tahoma" w:cs="Tahoma"/>
          <w:b/>
          <w:sz w:val="22"/>
          <w:szCs w:val="22"/>
          <w:u w:val="single"/>
        </w:rPr>
        <w:t>AUTO APELADO</w:t>
      </w:r>
    </w:p>
    <w:p w:rsidR="00803E0B" w:rsidRPr="00B4310C" w:rsidRDefault="00803E0B" w:rsidP="003F6675">
      <w:pPr>
        <w:spacing w:line="276" w:lineRule="auto"/>
        <w:jc w:val="center"/>
        <w:rPr>
          <w:rFonts w:ascii="Tahoma" w:hAnsi="Tahoma" w:cs="Tahoma"/>
          <w:b/>
          <w:sz w:val="22"/>
          <w:szCs w:val="22"/>
          <w:u w:val="single"/>
        </w:rPr>
      </w:pPr>
    </w:p>
    <w:p w:rsidR="00E5331C" w:rsidRDefault="00DE724A" w:rsidP="00E320D0">
      <w:pPr>
        <w:spacing w:line="276" w:lineRule="auto"/>
        <w:ind w:firstLine="708"/>
        <w:jc w:val="both"/>
        <w:rPr>
          <w:rFonts w:ascii="Tahoma" w:hAnsi="Tahoma" w:cs="Tahoma"/>
          <w:sz w:val="22"/>
          <w:szCs w:val="22"/>
        </w:rPr>
      </w:pPr>
      <w:r>
        <w:rPr>
          <w:rFonts w:ascii="Tahoma" w:hAnsi="Tahoma" w:cs="Tahoma"/>
          <w:sz w:val="22"/>
          <w:szCs w:val="22"/>
        </w:rPr>
        <w:t xml:space="preserve">Después de transcribir las normas pertinentes y jurisprudencia de la Sala de Casación Civil de la Corte Suprema respecto a lo que se entiende por “posesión”, </w:t>
      </w:r>
      <w:r w:rsidR="003941E1" w:rsidRPr="00B4310C">
        <w:rPr>
          <w:rFonts w:ascii="Tahoma" w:hAnsi="Tahoma" w:cs="Tahoma"/>
          <w:sz w:val="22"/>
          <w:szCs w:val="22"/>
        </w:rPr>
        <w:t>la</w:t>
      </w:r>
      <w:r w:rsidR="005B45ED" w:rsidRPr="00B4310C">
        <w:rPr>
          <w:rFonts w:ascii="Tahoma" w:hAnsi="Tahoma" w:cs="Tahoma"/>
          <w:sz w:val="22"/>
          <w:szCs w:val="22"/>
        </w:rPr>
        <w:t xml:space="preserve"> </w:t>
      </w:r>
      <w:r w:rsidR="00803E0B" w:rsidRPr="00B4310C">
        <w:rPr>
          <w:rFonts w:ascii="Tahoma" w:hAnsi="Tahoma" w:cs="Tahoma"/>
          <w:sz w:val="22"/>
          <w:szCs w:val="22"/>
        </w:rPr>
        <w:t>juez</w:t>
      </w:r>
      <w:r w:rsidR="003941E1" w:rsidRPr="00B4310C">
        <w:rPr>
          <w:rFonts w:ascii="Tahoma" w:hAnsi="Tahoma" w:cs="Tahoma"/>
          <w:sz w:val="22"/>
          <w:szCs w:val="22"/>
        </w:rPr>
        <w:t>a</w:t>
      </w:r>
      <w:r w:rsidR="00803E0B" w:rsidRPr="00B4310C">
        <w:rPr>
          <w:rFonts w:ascii="Tahoma" w:hAnsi="Tahoma" w:cs="Tahoma"/>
          <w:sz w:val="22"/>
          <w:szCs w:val="22"/>
        </w:rPr>
        <w:t xml:space="preserve"> de instancia</w:t>
      </w:r>
      <w:r w:rsidR="00667E32" w:rsidRPr="00B4310C">
        <w:rPr>
          <w:rFonts w:ascii="Tahoma" w:hAnsi="Tahoma" w:cs="Tahoma"/>
          <w:sz w:val="22"/>
          <w:szCs w:val="22"/>
        </w:rPr>
        <w:t xml:space="preserve"> </w:t>
      </w:r>
      <w:r w:rsidR="005C6062" w:rsidRPr="00B4310C">
        <w:rPr>
          <w:rFonts w:ascii="Tahoma" w:hAnsi="Tahoma" w:cs="Tahoma"/>
          <w:sz w:val="22"/>
          <w:szCs w:val="22"/>
        </w:rPr>
        <w:t>consideró</w:t>
      </w:r>
      <w:r w:rsidR="005F418F" w:rsidRPr="00B4310C">
        <w:rPr>
          <w:rFonts w:ascii="Tahoma" w:hAnsi="Tahoma" w:cs="Tahoma"/>
          <w:sz w:val="22"/>
          <w:szCs w:val="22"/>
        </w:rPr>
        <w:t xml:space="preserve"> que </w:t>
      </w:r>
      <w:r>
        <w:rPr>
          <w:rFonts w:ascii="Tahoma" w:hAnsi="Tahoma" w:cs="Tahoma"/>
          <w:sz w:val="22"/>
          <w:szCs w:val="22"/>
        </w:rPr>
        <w:t xml:space="preserve">el tercero poseedor no probó que hubiera ejercido actos de señor y dueño sobre las mejoras del inmueble con anterioridad a la diligencia de secuestro realizada el </w:t>
      </w:r>
      <w:r w:rsidR="008120B3">
        <w:rPr>
          <w:rFonts w:ascii="Tahoma" w:hAnsi="Tahoma" w:cs="Tahoma"/>
          <w:sz w:val="22"/>
          <w:szCs w:val="22"/>
        </w:rPr>
        <w:t>6</w:t>
      </w:r>
      <w:r>
        <w:rPr>
          <w:rFonts w:ascii="Tahoma" w:hAnsi="Tahoma" w:cs="Tahoma"/>
          <w:sz w:val="22"/>
          <w:szCs w:val="22"/>
        </w:rPr>
        <w:t xml:space="preserve"> de septiembre de 2012, con base en </w:t>
      </w:r>
      <w:r w:rsidR="00E320D0">
        <w:rPr>
          <w:rFonts w:ascii="Tahoma" w:hAnsi="Tahoma" w:cs="Tahoma"/>
          <w:sz w:val="22"/>
          <w:szCs w:val="22"/>
        </w:rPr>
        <w:t xml:space="preserve">la siguiente valoración probatoria: 1) </w:t>
      </w:r>
      <w:r w:rsidR="008120B3">
        <w:rPr>
          <w:rFonts w:ascii="Tahoma" w:hAnsi="Tahoma" w:cs="Tahoma"/>
          <w:sz w:val="22"/>
          <w:szCs w:val="22"/>
        </w:rPr>
        <w:t xml:space="preserve">Que si bien el contrato de promesa de compraventa de las mejoras embargadas celebrado entre ROSALBA GRAJALES DE RENDÓN (ejecutada) y LUIS ALBERTO GIRALDO GARCÍA (tercero </w:t>
      </w:r>
      <w:proofErr w:type="spellStart"/>
      <w:r w:rsidR="008120B3">
        <w:rPr>
          <w:rFonts w:ascii="Tahoma" w:hAnsi="Tahoma" w:cs="Tahoma"/>
          <w:sz w:val="22"/>
          <w:szCs w:val="22"/>
        </w:rPr>
        <w:t>incidentista</w:t>
      </w:r>
      <w:proofErr w:type="spellEnd"/>
      <w:r w:rsidR="008120B3">
        <w:rPr>
          <w:rFonts w:ascii="Tahoma" w:hAnsi="Tahoma" w:cs="Tahoma"/>
          <w:sz w:val="22"/>
          <w:szCs w:val="22"/>
        </w:rPr>
        <w:t>) se suscribió el 31 de agosto de 2012, no existe evidencia de que dicho negocio se hubiera perfeccionado pues no existe reporte bancario, ni tributario ni mucho menos cambiario que respalde el préstamo pese a que el monto de la transacción era considerable (</w:t>
      </w:r>
      <w:r w:rsidR="005A4C4C">
        <w:rPr>
          <w:rFonts w:ascii="Tahoma" w:hAnsi="Tahoma" w:cs="Tahoma"/>
          <w:sz w:val="22"/>
          <w:szCs w:val="22"/>
        </w:rPr>
        <w:t xml:space="preserve">$100.000.000). 2) Tampoco </w:t>
      </w:r>
      <w:r w:rsidR="000D7C6B">
        <w:rPr>
          <w:rFonts w:ascii="Tahoma" w:hAnsi="Tahoma" w:cs="Tahoma"/>
          <w:sz w:val="22"/>
          <w:szCs w:val="22"/>
        </w:rPr>
        <w:t xml:space="preserve">hay prueba de que para la fecha del secuestro de las mejoras, el </w:t>
      </w:r>
      <w:proofErr w:type="spellStart"/>
      <w:r w:rsidR="000D7C6B">
        <w:rPr>
          <w:rFonts w:ascii="Tahoma" w:hAnsi="Tahoma" w:cs="Tahoma"/>
          <w:sz w:val="22"/>
          <w:szCs w:val="22"/>
        </w:rPr>
        <w:t>incidentista</w:t>
      </w:r>
      <w:proofErr w:type="spellEnd"/>
      <w:r w:rsidR="000D7C6B">
        <w:rPr>
          <w:rFonts w:ascii="Tahoma" w:hAnsi="Tahoma" w:cs="Tahoma"/>
          <w:sz w:val="22"/>
          <w:szCs w:val="22"/>
        </w:rPr>
        <w:t xml:space="preserve"> hubiere </w:t>
      </w:r>
      <w:r w:rsidR="00BF1CCA">
        <w:rPr>
          <w:rFonts w:ascii="Tahoma" w:hAnsi="Tahoma" w:cs="Tahoma"/>
          <w:sz w:val="22"/>
          <w:szCs w:val="22"/>
        </w:rPr>
        <w:t>ejercido</w:t>
      </w:r>
      <w:r w:rsidR="000D7C6B">
        <w:rPr>
          <w:rFonts w:ascii="Tahoma" w:hAnsi="Tahoma" w:cs="Tahoma"/>
          <w:sz w:val="22"/>
          <w:szCs w:val="22"/>
        </w:rPr>
        <w:t xml:space="preserve"> el </w:t>
      </w:r>
      <w:r w:rsidR="000D7C6B">
        <w:rPr>
          <w:rFonts w:ascii="Tahoma" w:hAnsi="Tahoma" w:cs="Tahoma"/>
          <w:i/>
          <w:sz w:val="22"/>
          <w:szCs w:val="22"/>
        </w:rPr>
        <w:t xml:space="preserve">animus </w:t>
      </w:r>
      <w:r w:rsidR="000D7C6B">
        <w:rPr>
          <w:rFonts w:ascii="Tahoma" w:hAnsi="Tahoma" w:cs="Tahoma"/>
          <w:sz w:val="22"/>
          <w:szCs w:val="22"/>
        </w:rPr>
        <w:t xml:space="preserve">elemento </w:t>
      </w:r>
      <w:r w:rsidR="00BF1CCA">
        <w:rPr>
          <w:rFonts w:ascii="Tahoma" w:hAnsi="Tahoma" w:cs="Tahoma"/>
          <w:sz w:val="22"/>
          <w:szCs w:val="22"/>
        </w:rPr>
        <w:t>configurativo</w:t>
      </w:r>
      <w:r w:rsidR="000D7C6B">
        <w:rPr>
          <w:rFonts w:ascii="Tahoma" w:hAnsi="Tahoma" w:cs="Tahoma"/>
          <w:sz w:val="22"/>
          <w:szCs w:val="22"/>
        </w:rPr>
        <w:t xml:space="preserve"> de la posesión, toda vez que los testigos SONIA FERNANDA TOVAR DUQUE y JOSÉ RODRIGO RODRIGUEZ (llamados por el propio tercero poseedor) </w:t>
      </w:r>
      <w:r w:rsidR="000D7C6B">
        <w:rPr>
          <w:rFonts w:ascii="Tahoma" w:hAnsi="Tahoma" w:cs="Tahoma"/>
          <w:sz w:val="22"/>
          <w:szCs w:val="22"/>
        </w:rPr>
        <w:lastRenderedPageBreak/>
        <w:t xml:space="preserve">manifestaron que LUIS ALBERTO ejerció actos de señor y dueño cobrando los cánones de arrendamiento mucho después de dicha diligencia, específicamente en los años 2015 y 2016, y que realizó reparaciones locativas en el inmueble a partir del 2015. </w:t>
      </w:r>
      <w:r w:rsidR="0061409B">
        <w:rPr>
          <w:rFonts w:ascii="Tahoma" w:hAnsi="Tahoma" w:cs="Tahoma"/>
          <w:sz w:val="22"/>
          <w:szCs w:val="22"/>
        </w:rPr>
        <w:t xml:space="preserve">Adicionalmente declararon que LUIS ALBERTO ha estado pendiente de la administración y los cuidados de la casa pero desde el año 2015, tal como lo confesó el propio </w:t>
      </w:r>
      <w:proofErr w:type="spellStart"/>
      <w:r w:rsidR="0061409B">
        <w:rPr>
          <w:rFonts w:ascii="Tahoma" w:hAnsi="Tahoma" w:cs="Tahoma"/>
          <w:sz w:val="22"/>
          <w:szCs w:val="22"/>
        </w:rPr>
        <w:t>incidentista</w:t>
      </w:r>
      <w:proofErr w:type="spellEnd"/>
      <w:r w:rsidR="0061409B">
        <w:rPr>
          <w:rFonts w:ascii="Tahoma" w:hAnsi="Tahoma" w:cs="Tahoma"/>
          <w:sz w:val="22"/>
          <w:szCs w:val="22"/>
        </w:rPr>
        <w:t xml:space="preserve">. </w:t>
      </w:r>
      <w:r w:rsidR="000D7C6B">
        <w:rPr>
          <w:rFonts w:ascii="Tahoma" w:hAnsi="Tahoma" w:cs="Tahoma"/>
          <w:sz w:val="22"/>
          <w:szCs w:val="22"/>
        </w:rPr>
        <w:t xml:space="preserve">3) </w:t>
      </w:r>
      <w:r w:rsidR="0061409B">
        <w:rPr>
          <w:rFonts w:ascii="Tahoma" w:hAnsi="Tahoma" w:cs="Tahoma"/>
          <w:sz w:val="22"/>
          <w:szCs w:val="22"/>
        </w:rPr>
        <w:t xml:space="preserve">Con respecto a las comunicaciones que la señora ROSALBA envió a los arrendatarios de las mejoras, en las que les informaba que por la venta del inmueble, </w:t>
      </w:r>
      <w:r w:rsidR="001A318A">
        <w:rPr>
          <w:rFonts w:ascii="Tahoma" w:hAnsi="Tahoma" w:cs="Tahoma"/>
          <w:sz w:val="22"/>
          <w:szCs w:val="22"/>
        </w:rPr>
        <w:t xml:space="preserve">los locales </w:t>
      </w:r>
      <w:r w:rsidR="0061409B">
        <w:rPr>
          <w:rFonts w:ascii="Tahoma" w:hAnsi="Tahoma" w:cs="Tahoma"/>
          <w:sz w:val="22"/>
          <w:szCs w:val="22"/>
        </w:rPr>
        <w:t>quedaba</w:t>
      </w:r>
      <w:r w:rsidR="001A318A">
        <w:rPr>
          <w:rFonts w:ascii="Tahoma" w:hAnsi="Tahoma" w:cs="Tahoma"/>
          <w:sz w:val="22"/>
          <w:szCs w:val="22"/>
        </w:rPr>
        <w:t>n</w:t>
      </w:r>
      <w:r w:rsidR="0061409B">
        <w:rPr>
          <w:rFonts w:ascii="Tahoma" w:hAnsi="Tahoma" w:cs="Tahoma"/>
          <w:sz w:val="22"/>
          <w:szCs w:val="22"/>
        </w:rPr>
        <w:t xml:space="preserve"> a cargo del nuevo propietario LUIS ALBERTO GIRALDO GARCÍA, dichos documentos no dan cuenta de acciones reales de señor y dueño de parte de aquel, amén de que resulta inexplicable que los arrendatarios de los locales no hubieran informado al momento de la diligencia de secuestro, al inspector de polic</w:t>
      </w:r>
      <w:r w:rsidR="001A318A">
        <w:rPr>
          <w:rFonts w:ascii="Tahoma" w:hAnsi="Tahoma" w:cs="Tahoma"/>
          <w:sz w:val="22"/>
          <w:szCs w:val="22"/>
        </w:rPr>
        <w:t xml:space="preserve">ía que </w:t>
      </w:r>
      <w:r w:rsidR="0061409B">
        <w:rPr>
          <w:rFonts w:ascii="Tahoma" w:hAnsi="Tahoma" w:cs="Tahoma"/>
          <w:sz w:val="22"/>
          <w:szCs w:val="22"/>
        </w:rPr>
        <w:t xml:space="preserve">el </w:t>
      </w:r>
      <w:r w:rsidR="001A318A">
        <w:rPr>
          <w:rFonts w:ascii="Tahoma" w:hAnsi="Tahoma" w:cs="Tahoma"/>
          <w:sz w:val="22"/>
          <w:szCs w:val="22"/>
        </w:rPr>
        <w:t xml:space="preserve">nuevo arrendador era el señor GIRALDO GARCÍA y no la señora GRAJALES DE RENDÓN, cuando tan solo 2 o 3 días antes, habían recibido las referidas comunicaciones, las cuales incluso pudieron haber exhibido. </w:t>
      </w:r>
      <w:r w:rsidR="004C152D">
        <w:rPr>
          <w:rFonts w:ascii="Tahoma" w:hAnsi="Tahoma" w:cs="Tahoma"/>
          <w:sz w:val="22"/>
          <w:szCs w:val="22"/>
        </w:rPr>
        <w:t xml:space="preserve">4) </w:t>
      </w:r>
      <w:r w:rsidR="00E5331C">
        <w:rPr>
          <w:rFonts w:ascii="Tahoma" w:hAnsi="Tahoma" w:cs="Tahoma"/>
          <w:sz w:val="22"/>
          <w:szCs w:val="22"/>
        </w:rPr>
        <w:t xml:space="preserve">Tampoco pasó inadvertido que la promesa de compraventa se suscribió cuando las mejoras </w:t>
      </w:r>
      <w:r w:rsidR="00C51331">
        <w:rPr>
          <w:rFonts w:ascii="Tahoma" w:hAnsi="Tahoma" w:cs="Tahoma"/>
          <w:sz w:val="22"/>
          <w:szCs w:val="22"/>
        </w:rPr>
        <w:t xml:space="preserve">ya </w:t>
      </w:r>
      <w:r w:rsidR="00E5331C">
        <w:rPr>
          <w:rFonts w:ascii="Tahoma" w:hAnsi="Tahoma" w:cs="Tahoma"/>
          <w:sz w:val="22"/>
          <w:szCs w:val="22"/>
        </w:rPr>
        <w:t xml:space="preserve">estaban secuestradas por el </w:t>
      </w:r>
      <w:r w:rsidR="00C51331">
        <w:rPr>
          <w:rFonts w:ascii="Tahoma" w:hAnsi="Tahoma" w:cs="Tahoma"/>
          <w:sz w:val="22"/>
          <w:szCs w:val="22"/>
        </w:rPr>
        <w:t>Despacho desde</w:t>
      </w:r>
      <w:r w:rsidR="00E5331C">
        <w:rPr>
          <w:rFonts w:ascii="Tahoma" w:hAnsi="Tahoma" w:cs="Tahoma"/>
          <w:sz w:val="22"/>
          <w:szCs w:val="22"/>
        </w:rPr>
        <w:t xml:space="preserve"> el 10 de mayo de 2012.</w:t>
      </w:r>
    </w:p>
    <w:p w:rsidR="00E5331C" w:rsidRDefault="00E5331C" w:rsidP="00E320D0">
      <w:pPr>
        <w:spacing w:line="276" w:lineRule="auto"/>
        <w:ind w:firstLine="708"/>
        <w:jc w:val="both"/>
        <w:rPr>
          <w:rFonts w:ascii="Tahoma" w:hAnsi="Tahoma" w:cs="Tahoma"/>
          <w:sz w:val="22"/>
          <w:szCs w:val="22"/>
        </w:rPr>
      </w:pPr>
    </w:p>
    <w:p w:rsidR="00E5331C" w:rsidRDefault="00E5331C" w:rsidP="00E320D0">
      <w:pPr>
        <w:spacing w:line="276" w:lineRule="auto"/>
        <w:ind w:firstLine="708"/>
        <w:jc w:val="both"/>
        <w:rPr>
          <w:rFonts w:ascii="Tahoma" w:hAnsi="Tahoma" w:cs="Tahoma"/>
          <w:sz w:val="22"/>
          <w:szCs w:val="22"/>
        </w:rPr>
      </w:pPr>
      <w:r>
        <w:rPr>
          <w:rFonts w:ascii="Tahoma" w:hAnsi="Tahoma" w:cs="Tahoma"/>
          <w:sz w:val="22"/>
          <w:szCs w:val="22"/>
        </w:rPr>
        <w:t xml:space="preserve">En virtud de lo anterior negó el levantamiento de la medida cautelar sobre las mejoras del inmueble. </w:t>
      </w:r>
    </w:p>
    <w:p w:rsidR="00E5331C" w:rsidRDefault="00E5331C" w:rsidP="00E320D0">
      <w:pPr>
        <w:spacing w:line="276" w:lineRule="auto"/>
        <w:ind w:firstLine="708"/>
        <w:jc w:val="both"/>
        <w:rPr>
          <w:rFonts w:ascii="Tahoma" w:hAnsi="Tahoma" w:cs="Tahoma"/>
          <w:sz w:val="22"/>
          <w:szCs w:val="22"/>
        </w:rPr>
      </w:pPr>
    </w:p>
    <w:p w:rsidR="00694EE5" w:rsidRPr="00B4310C" w:rsidRDefault="00694EE5" w:rsidP="003F6675">
      <w:pPr>
        <w:spacing w:line="276" w:lineRule="auto"/>
        <w:jc w:val="both"/>
        <w:rPr>
          <w:rFonts w:ascii="Tahoma" w:hAnsi="Tahoma" w:cs="Tahoma"/>
          <w:sz w:val="22"/>
          <w:szCs w:val="22"/>
        </w:rPr>
      </w:pPr>
    </w:p>
    <w:p w:rsidR="00F37868" w:rsidRPr="00B4310C" w:rsidRDefault="00F37868" w:rsidP="00667E32">
      <w:pPr>
        <w:pStyle w:val="Prrafodelista"/>
        <w:numPr>
          <w:ilvl w:val="0"/>
          <w:numId w:val="15"/>
        </w:numPr>
        <w:spacing w:line="276" w:lineRule="auto"/>
        <w:jc w:val="center"/>
        <w:rPr>
          <w:rFonts w:ascii="Tahoma" w:hAnsi="Tahoma" w:cs="Tahoma"/>
          <w:b/>
          <w:sz w:val="22"/>
          <w:szCs w:val="22"/>
          <w:u w:val="single"/>
        </w:rPr>
      </w:pPr>
      <w:r w:rsidRPr="00B4310C">
        <w:rPr>
          <w:rFonts w:ascii="Tahoma" w:hAnsi="Tahoma" w:cs="Tahoma"/>
          <w:b/>
          <w:sz w:val="22"/>
          <w:szCs w:val="22"/>
          <w:u w:val="single"/>
        </w:rPr>
        <w:t>FUNDAMENTOS DE LA APELACIÓN</w:t>
      </w:r>
    </w:p>
    <w:p w:rsidR="00F37868" w:rsidRPr="00B4310C" w:rsidRDefault="00F37868" w:rsidP="003F6675">
      <w:pPr>
        <w:spacing w:line="276" w:lineRule="auto"/>
        <w:jc w:val="center"/>
        <w:rPr>
          <w:rFonts w:ascii="Tahoma" w:hAnsi="Tahoma" w:cs="Tahoma"/>
          <w:b/>
          <w:sz w:val="22"/>
          <w:szCs w:val="22"/>
          <w:u w:val="single"/>
        </w:rPr>
      </w:pPr>
    </w:p>
    <w:p w:rsidR="00FD7918" w:rsidRDefault="00F37868" w:rsidP="00FD7918">
      <w:pPr>
        <w:widowControl w:val="0"/>
        <w:autoSpaceDE w:val="0"/>
        <w:autoSpaceDN w:val="0"/>
        <w:adjustRightInd w:val="0"/>
        <w:spacing w:line="276" w:lineRule="auto"/>
        <w:ind w:firstLine="708"/>
        <w:jc w:val="both"/>
        <w:rPr>
          <w:rFonts w:ascii="Tahoma" w:hAnsi="Tahoma" w:cs="Tahoma"/>
          <w:sz w:val="22"/>
          <w:szCs w:val="22"/>
        </w:rPr>
      </w:pPr>
      <w:r w:rsidRPr="00B4310C">
        <w:rPr>
          <w:rFonts w:ascii="Tahoma" w:hAnsi="Tahoma" w:cs="Tahoma"/>
          <w:sz w:val="22"/>
          <w:szCs w:val="22"/>
        </w:rPr>
        <w:t xml:space="preserve">Inconforme con lo decidido la parte </w:t>
      </w:r>
      <w:proofErr w:type="spellStart"/>
      <w:r w:rsidR="00E5331C">
        <w:rPr>
          <w:rFonts w:ascii="Tahoma" w:hAnsi="Tahoma" w:cs="Tahoma"/>
          <w:sz w:val="22"/>
          <w:szCs w:val="22"/>
        </w:rPr>
        <w:t>incidentista</w:t>
      </w:r>
      <w:proofErr w:type="spellEnd"/>
      <w:r w:rsidRPr="00B4310C">
        <w:rPr>
          <w:rFonts w:ascii="Tahoma" w:hAnsi="Tahoma" w:cs="Tahoma"/>
          <w:sz w:val="22"/>
          <w:szCs w:val="22"/>
        </w:rPr>
        <w:t xml:space="preserve"> presentó recurso de apelación</w:t>
      </w:r>
      <w:r w:rsidR="00CB3933" w:rsidRPr="00B4310C">
        <w:rPr>
          <w:rFonts w:ascii="Tahoma" w:hAnsi="Tahoma" w:cs="Tahoma"/>
          <w:sz w:val="22"/>
          <w:szCs w:val="22"/>
        </w:rPr>
        <w:t xml:space="preserve"> </w:t>
      </w:r>
      <w:r w:rsidR="001A1CF4" w:rsidRPr="00B4310C">
        <w:rPr>
          <w:rFonts w:ascii="Tahoma" w:hAnsi="Tahoma" w:cs="Tahoma"/>
          <w:sz w:val="22"/>
          <w:szCs w:val="22"/>
        </w:rPr>
        <w:t xml:space="preserve">(folio </w:t>
      </w:r>
      <w:r w:rsidR="004814B6" w:rsidRPr="00B4310C">
        <w:rPr>
          <w:rFonts w:ascii="Tahoma" w:hAnsi="Tahoma" w:cs="Tahoma"/>
          <w:sz w:val="22"/>
          <w:szCs w:val="22"/>
        </w:rPr>
        <w:t>5</w:t>
      </w:r>
      <w:r w:rsidR="00534D95">
        <w:rPr>
          <w:rFonts w:ascii="Tahoma" w:hAnsi="Tahoma" w:cs="Tahoma"/>
          <w:sz w:val="22"/>
          <w:szCs w:val="22"/>
        </w:rPr>
        <w:t>83 a 589</w:t>
      </w:r>
      <w:r w:rsidR="001A1CF4" w:rsidRPr="00B4310C">
        <w:rPr>
          <w:rFonts w:ascii="Tahoma" w:hAnsi="Tahoma" w:cs="Tahoma"/>
          <w:sz w:val="22"/>
          <w:szCs w:val="22"/>
        </w:rPr>
        <w:t>)</w:t>
      </w:r>
      <w:r w:rsidR="00B90B91" w:rsidRPr="00B4310C">
        <w:rPr>
          <w:rFonts w:ascii="Tahoma" w:hAnsi="Tahoma" w:cs="Tahoma"/>
          <w:sz w:val="22"/>
          <w:szCs w:val="22"/>
        </w:rPr>
        <w:t xml:space="preserve"> argumentando</w:t>
      </w:r>
      <w:r w:rsidR="004814B6" w:rsidRPr="00B4310C">
        <w:rPr>
          <w:rFonts w:ascii="Tahoma" w:hAnsi="Tahoma" w:cs="Tahoma"/>
          <w:sz w:val="22"/>
          <w:szCs w:val="22"/>
        </w:rPr>
        <w:t>, en síntesis</w:t>
      </w:r>
      <w:r w:rsidR="00534D95">
        <w:rPr>
          <w:rFonts w:ascii="Tahoma" w:hAnsi="Tahoma" w:cs="Tahoma"/>
          <w:sz w:val="22"/>
          <w:szCs w:val="22"/>
        </w:rPr>
        <w:t>,</w:t>
      </w:r>
      <w:r w:rsidR="004814B6" w:rsidRPr="00B4310C">
        <w:rPr>
          <w:rFonts w:ascii="Tahoma" w:hAnsi="Tahoma" w:cs="Tahoma"/>
          <w:sz w:val="22"/>
          <w:szCs w:val="22"/>
        </w:rPr>
        <w:t xml:space="preserve"> </w:t>
      </w:r>
      <w:r w:rsidR="00534D95">
        <w:rPr>
          <w:rFonts w:ascii="Tahoma" w:hAnsi="Tahoma" w:cs="Tahoma"/>
          <w:sz w:val="22"/>
          <w:szCs w:val="22"/>
        </w:rPr>
        <w:t xml:space="preserve">lo siguiente: 1) Que no hubo por parte de la jueza un análisis profundo de las pruebas toda vez que las preguntas que se le hicieron al </w:t>
      </w:r>
      <w:proofErr w:type="spellStart"/>
      <w:r w:rsidR="00534D95">
        <w:rPr>
          <w:rFonts w:ascii="Tahoma" w:hAnsi="Tahoma" w:cs="Tahoma"/>
          <w:sz w:val="22"/>
          <w:szCs w:val="22"/>
        </w:rPr>
        <w:t>incidentista</w:t>
      </w:r>
      <w:proofErr w:type="spellEnd"/>
      <w:r w:rsidR="00534D95">
        <w:rPr>
          <w:rFonts w:ascii="Tahoma" w:hAnsi="Tahoma" w:cs="Tahoma"/>
          <w:sz w:val="22"/>
          <w:szCs w:val="22"/>
        </w:rPr>
        <w:t xml:space="preserve"> se dirigieron más a escarbar su parte económica, como si el presente asunto fuera un proceso de simulación y no un incidente de levantamiento. La jueza no valoró adecuadamente la promesa de compraventa la cual cumple los requisitos de ley</w:t>
      </w:r>
      <w:r w:rsidR="00CC2B0A">
        <w:rPr>
          <w:rFonts w:ascii="Tahoma" w:hAnsi="Tahoma" w:cs="Tahoma"/>
          <w:sz w:val="22"/>
          <w:szCs w:val="22"/>
        </w:rPr>
        <w:t>,</w:t>
      </w:r>
      <w:r w:rsidR="00ED09BA">
        <w:rPr>
          <w:rFonts w:ascii="Tahoma" w:hAnsi="Tahoma" w:cs="Tahoma"/>
          <w:sz w:val="22"/>
          <w:szCs w:val="22"/>
        </w:rPr>
        <w:t xml:space="preserve"> ni las cesiones del contrato de arrendamiento del inmueble</w:t>
      </w:r>
      <w:r w:rsidR="00534D95">
        <w:rPr>
          <w:rFonts w:ascii="Tahoma" w:hAnsi="Tahoma" w:cs="Tahoma"/>
          <w:sz w:val="22"/>
          <w:szCs w:val="22"/>
        </w:rPr>
        <w:t xml:space="preserve">. </w:t>
      </w:r>
      <w:r w:rsidR="00ED09BA">
        <w:rPr>
          <w:rFonts w:ascii="Tahoma" w:hAnsi="Tahoma" w:cs="Tahoma"/>
          <w:sz w:val="22"/>
          <w:szCs w:val="22"/>
        </w:rPr>
        <w:t xml:space="preserve">2) </w:t>
      </w:r>
      <w:r w:rsidR="00CC2B0A">
        <w:rPr>
          <w:rFonts w:ascii="Tahoma" w:hAnsi="Tahoma" w:cs="Tahoma"/>
          <w:sz w:val="22"/>
          <w:szCs w:val="22"/>
        </w:rPr>
        <w:t>L</w:t>
      </w:r>
      <w:r w:rsidR="00ED09BA">
        <w:rPr>
          <w:rFonts w:ascii="Tahoma" w:hAnsi="Tahoma" w:cs="Tahoma"/>
          <w:sz w:val="22"/>
          <w:szCs w:val="22"/>
        </w:rPr>
        <w:t>a</w:t>
      </w:r>
      <w:r w:rsidR="00D9310B">
        <w:rPr>
          <w:rFonts w:ascii="Tahoma" w:hAnsi="Tahoma" w:cs="Tahoma"/>
          <w:sz w:val="22"/>
          <w:szCs w:val="22"/>
        </w:rPr>
        <w:t xml:space="preserve"> jueza </w:t>
      </w:r>
      <w:r w:rsidR="00CC2B0A">
        <w:rPr>
          <w:rFonts w:ascii="Tahoma" w:hAnsi="Tahoma" w:cs="Tahoma"/>
          <w:sz w:val="22"/>
          <w:szCs w:val="22"/>
        </w:rPr>
        <w:t xml:space="preserve">hizo </w:t>
      </w:r>
      <w:r w:rsidR="00D9310B">
        <w:rPr>
          <w:rFonts w:ascii="Tahoma" w:hAnsi="Tahoma" w:cs="Tahoma"/>
          <w:sz w:val="22"/>
          <w:szCs w:val="22"/>
        </w:rPr>
        <w:t xml:space="preserve">una apreciación errónea de los elementos que configuran la posesión por parte </w:t>
      </w:r>
      <w:r w:rsidR="00ED09BA">
        <w:rPr>
          <w:rFonts w:ascii="Tahoma" w:hAnsi="Tahoma" w:cs="Tahoma"/>
          <w:sz w:val="22"/>
          <w:szCs w:val="22"/>
        </w:rPr>
        <w:t>del tercero poseedor</w:t>
      </w:r>
      <w:r w:rsidR="00CC2B0A">
        <w:rPr>
          <w:rFonts w:ascii="Tahoma" w:hAnsi="Tahoma" w:cs="Tahoma"/>
          <w:sz w:val="22"/>
          <w:szCs w:val="22"/>
        </w:rPr>
        <w:t xml:space="preserve">, quien ha ejercido actos de señor y dueño </w:t>
      </w:r>
      <w:r w:rsidR="00BF1CCA">
        <w:rPr>
          <w:rFonts w:ascii="Tahoma" w:hAnsi="Tahoma" w:cs="Tahoma"/>
          <w:sz w:val="22"/>
          <w:szCs w:val="22"/>
        </w:rPr>
        <w:t>desde</w:t>
      </w:r>
      <w:r w:rsidR="00CC2B0A">
        <w:rPr>
          <w:rFonts w:ascii="Tahoma" w:hAnsi="Tahoma" w:cs="Tahoma"/>
          <w:sz w:val="22"/>
          <w:szCs w:val="22"/>
        </w:rPr>
        <w:t xml:space="preserve"> el momento en que suscribió la promesa de compraventa, tales como </w:t>
      </w:r>
      <w:r w:rsidR="001B5420">
        <w:rPr>
          <w:rFonts w:ascii="Tahoma" w:hAnsi="Tahoma" w:cs="Tahoma"/>
          <w:sz w:val="22"/>
          <w:szCs w:val="22"/>
        </w:rPr>
        <w:t>cobro de los cánones de arrendamiento, notificación del contrato de arrendamiento a los arrendatarios, arreglos en la vivienda para mejorar las condiciones del inmueble, reconocim</w:t>
      </w:r>
      <w:r w:rsidR="00E2443C">
        <w:rPr>
          <w:rFonts w:ascii="Tahoma" w:hAnsi="Tahoma" w:cs="Tahoma"/>
          <w:sz w:val="22"/>
          <w:szCs w:val="22"/>
        </w:rPr>
        <w:t xml:space="preserve">iento por </w:t>
      </w:r>
      <w:r w:rsidR="00BF1CCA">
        <w:rPr>
          <w:rFonts w:ascii="Tahoma" w:hAnsi="Tahoma" w:cs="Tahoma"/>
          <w:sz w:val="22"/>
          <w:szCs w:val="22"/>
        </w:rPr>
        <w:t>parte</w:t>
      </w:r>
      <w:r w:rsidR="00E2443C">
        <w:rPr>
          <w:rFonts w:ascii="Tahoma" w:hAnsi="Tahoma" w:cs="Tahoma"/>
          <w:sz w:val="22"/>
          <w:szCs w:val="22"/>
        </w:rPr>
        <w:t xml:space="preserve"> de vecinos y</w:t>
      </w:r>
      <w:r w:rsidR="001B5420">
        <w:rPr>
          <w:rFonts w:ascii="Tahoma" w:hAnsi="Tahoma" w:cs="Tahoma"/>
          <w:sz w:val="22"/>
          <w:szCs w:val="22"/>
        </w:rPr>
        <w:t xml:space="preserve"> amigos como propietario del inmueble. 3) Se hizo un análisis de los conceptos de corpus y animus desde el punto legal y </w:t>
      </w:r>
      <w:r w:rsidR="00BF1CCA">
        <w:rPr>
          <w:rFonts w:ascii="Tahoma" w:hAnsi="Tahoma" w:cs="Tahoma"/>
          <w:sz w:val="22"/>
          <w:szCs w:val="22"/>
        </w:rPr>
        <w:t>jurisprudencial</w:t>
      </w:r>
      <w:r w:rsidR="001B5420">
        <w:rPr>
          <w:rFonts w:ascii="Tahoma" w:hAnsi="Tahoma" w:cs="Tahoma"/>
          <w:sz w:val="22"/>
          <w:szCs w:val="22"/>
        </w:rPr>
        <w:t xml:space="preserve"> de manera aislada sin ubica</w:t>
      </w:r>
      <w:r w:rsidR="00B7442C">
        <w:rPr>
          <w:rFonts w:ascii="Tahoma" w:hAnsi="Tahoma" w:cs="Tahoma"/>
          <w:sz w:val="22"/>
          <w:szCs w:val="22"/>
        </w:rPr>
        <w:t xml:space="preserve">rlo en el contexto del litigio: En cuanto al CORPUS </w:t>
      </w:r>
      <w:r w:rsidR="00784977">
        <w:rPr>
          <w:rFonts w:ascii="Tahoma" w:hAnsi="Tahoma" w:cs="Tahoma"/>
          <w:sz w:val="22"/>
          <w:szCs w:val="22"/>
        </w:rPr>
        <w:t xml:space="preserve">se hicieron arreglos al inmueble consistente en pintura, reparación de tuberías, construcción en material de paredes, arreglos eléctricos, y en cuanto al ANIMUS, el cobro de los arrendamientos e interponer una tutela cuando el juzgado de conocimiento decidió terminar el proceso por pago total de la obligación. Además se demostró que el </w:t>
      </w:r>
      <w:proofErr w:type="spellStart"/>
      <w:r w:rsidR="00784977">
        <w:rPr>
          <w:rFonts w:ascii="Tahoma" w:hAnsi="Tahoma" w:cs="Tahoma"/>
          <w:sz w:val="22"/>
          <w:szCs w:val="22"/>
        </w:rPr>
        <w:t>incidentista</w:t>
      </w:r>
      <w:proofErr w:type="spellEnd"/>
      <w:r w:rsidR="00784977">
        <w:rPr>
          <w:rFonts w:ascii="Tahoma" w:hAnsi="Tahoma" w:cs="Tahoma"/>
          <w:sz w:val="22"/>
          <w:szCs w:val="22"/>
        </w:rPr>
        <w:t xml:space="preserve"> tenía los medios económicos suficientes para realizar la compraventa en el momento en que se suscribió la respectiva promesa de compra venta, demostrado con los extractos bancarios y las declaraciones de renta del año en que se realizó la promesa y los subsiguientes a ella</w:t>
      </w:r>
      <w:r w:rsidR="00FD7918">
        <w:rPr>
          <w:rFonts w:ascii="Tahoma" w:hAnsi="Tahoma" w:cs="Tahoma"/>
          <w:sz w:val="22"/>
          <w:szCs w:val="22"/>
        </w:rPr>
        <w:t>. Sin embargo, acto seguido, alega que la capacidad económica no es razón relevante en el presente asunto, porque lo que se debía demostrar es que a la fecha del secuestro se tenía como poseedor de las mejoras. 4) La decisión se fundamentó de manera literal en lo señalado en el artículo 597 del Código General del Proceso por cuanto los actos que supuestamente debía realizar antes de la diligencia de secuestro estaban supeditados al fallo de segunda instancia sobre la titularidad de la posesión.</w:t>
      </w:r>
    </w:p>
    <w:p w:rsidR="00FD7918" w:rsidRDefault="00FD7918" w:rsidP="00FD7918">
      <w:pPr>
        <w:widowControl w:val="0"/>
        <w:autoSpaceDE w:val="0"/>
        <w:autoSpaceDN w:val="0"/>
        <w:adjustRightInd w:val="0"/>
        <w:spacing w:line="276" w:lineRule="auto"/>
        <w:ind w:firstLine="708"/>
        <w:jc w:val="both"/>
        <w:rPr>
          <w:rFonts w:ascii="Tahoma" w:hAnsi="Tahoma" w:cs="Tahoma"/>
          <w:sz w:val="22"/>
          <w:szCs w:val="22"/>
        </w:rPr>
      </w:pPr>
    </w:p>
    <w:p w:rsidR="00665C86" w:rsidRPr="00B4310C" w:rsidRDefault="00665C86" w:rsidP="003F6675">
      <w:pPr>
        <w:spacing w:line="276" w:lineRule="auto"/>
        <w:rPr>
          <w:sz w:val="22"/>
          <w:szCs w:val="22"/>
        </w:rPr>
      </w:pPr>
    </w:p>
    <w:p w:rsidR="00D3635B" w:rsidRPr="00B4310C" w:rsidRDefault="00D3635B" w:rsidP="00667E32">
      <w:pPr>
        <w:pStyle w:val="Prrafodelista"/>
        <w:numPr>
          <w:ilvl w:val="0"/>
          <w:numId w:val="15"/>
        </w:numPr>
        <w:spacing w:line="276" w:lineRule="auto"/>
        <w:jc w:val="center"/>
        <w:rPr>
          <w:rFonts w:ascii="Tahoma" w:hAnsi="Tahoma" w:cs="Tahoma"/>
          <w:b/>
          <w:spacing w:val="2"/>
          <w:sz w:val="22"/>
          <w:szCs w:val="22"/>
          <w:u w:val="single"/>
        </w:rPr>
      </w:pPr>
      <w:r w:rsidRPr="00B4310C">
        <w:rPr>
          <w:rFonts w:ascii="Tahoma" w:hAnsi="Tahoma" w:cs="Tahoma"/>
          <w:b/>
          <w:spacing w:val="2"/>
          <w:sz w:val="22"/>
          <w:szCs w:val="22"/>
          <w:u w:val="single"/>
        </w:rPr>
        <w:t>CONSIDERACIONES</w:t>
      </w:r>
    </w:p>
    <w:p w:rsidR="00216556" w:rsidRPr="00B4310C"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4310C"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B4310C">
        <w:rPr>
          <w:rFonts w:ascii="Tahoma" w:hAnsi="Tahoma" w:cs="Tahoma"/>
          <w:b/>
          <w:bCs/>
          <w:spacing w:val="2"/>
          <w:sz w:val="22"/>
          <w:szCs w:val="22"/>
        </w:rPr>
        <w:t>Problema</w:t>
      </w:r>
      <w:r w:rsidR="003F297E" w:rsidRPr="00B4310C">
        <w:rPr>
          <w:rFonts w:ascii="Tahoma" w:hAnsi="Tahoma" w:cs="Tahoma"/>
          <w:b/>
          <w:bCs/>
          <w:spacing w:val="2"/>
          <w:sz w:val="22"/>
          <w:szCs w:val="22"/>
        </w:rPr>
        <w:t>s</w:t>
      </w:r>
      <w:r w:rsidRPr="00B4310C">
        <w:rPr>
          <w:rFonts w:ascii="Tahoma" w:hAnsi="Tahoma" w:cs="Tahoma"/>
          <w:b/>
          <w:bCs/>
          <w:spacing w:val="2"/>
          <w:sz w:val="22"/>
          <w:szCs w:val="22"/>
        </w:rPr>
        <w:t xml:space="preserve"> jurídico</w:t>
      </w:r>
      <w:r w:rsidR="003F297E" w:rsidRPr="00B4310C">
        <w:rPr>
          <w:rFonts w:ascii="Tahoma" w:hAnsi="Tahoma" w:cs="Tahoma"/>
          <w:b/>
          <w:bCs/>
          <w:spacing w:val="2"/>
          <w:sz w:val="22"/>
          <w:szCs w:val="22"/>
        </w:rPr>
        <w:t>s</w:t>
      </w:r>
      <w:r w:rsidRPr="00B4310C">
        <w:rPr>
          <w:rFonts w:ascii="Tahoma" w:hAnsi="Tahoma" w:cs="Tahoma"/>
          <w:b/>
          <w:bCs/>
          <w:spacing w:val="2"/>
          <w:sz w:val="22"/>
          <w:szCs w:val="22"/>
        </w:rPr>
        <w:t xml:space="preserve"> por resolver:</w:t>
      </w:r>
    </w:p>
    <w:p w:rsidR="007D4D1B" w:rsidRPr="00B4310C" w:rsidRDefault="007D4D1B" w:rsidP="003F6675">
      <w:pPr>
        <w:spacing w:line="276" w:lineRule="auto"/>
        <w:rPr>
          <w:sz w:val="22"/>
          <w:szCs w:val="22"/>
        </w:rPr>
      </w:pPr>
    </w:p>
    <w:p w:rsidR="00C51331" w:rsidRPr="00C51331" w:rsidRDefault="00527CDA" w:rsidP="003F6675">
      <w:pPr>
        <w:numPr>
          <w:ilvl w:val="0"/>
          <w:numId w:val="4"/>
        </w:numPr>
        <w:spacing w:line="276" w:lineRule="auto"/>
        <w:jc w:val="both"/>
        <w:rPr>
          <w:rFonts w:ascii="Tahoma" w:hAnsi="Tahoma" w:cs="Tahoma"/>
          <w:spacing w:val="2"/>
          <w:sz w:val="22"/>
          <w:szCs w:val="22"/>
        </w:rPr>
      </w:pPr>
      <w:r w:rsidRPr="00B4310C">
        <w:rPr>
          <w:rFonts w:ascii="Tahoma" w:hAnsi="Tahoma" w:cs="Tahoma"/>
          <w:sz w:val="22"/>
          <w:szCs w:val="22"/>
          <w:lang w:val="es-MX"/>
        </w:rPr>
        <w:t>¿</w:t>
      </w:r>
      <w:r w:rsidR="00C51331">
        <w:rPr>
          <w:rFonts w:ascii="Tahoma" w:hAnsi="Tahoma" w:cs="Tahoma"/>
          <w:sz w:val="22"/>
          <w:szCs w:val="22"/>
          <w:lang w:val="es-MX"/>
        </w:rPr>
        <w:t>Logró demostrar el tercero poseedor que ejercía actos de señor y dueño sobre l</w:t>
      </w:r>
      <w:r w:rsidR="00992528">
        <w:rPr>
          <w:rFonts w:ascii="Tahoma" w:hAnsi="Tahoma" w:cs="Tahoma"/>
          <w:sz w:val="22"/>
          <w:szCs w:val="22"/>
          <w:lang w:val="es-MX"/>
        </w:rPr>
        <w:t>as</w:t>
      </w:r>
      <w:r w:rsidR="00F81D4F">
        <w:rPr>
          <w:rFonts w:ascii="Tahoma" w:hAnsi="Tahoma" w:cs="Tahoma"/>
          <w:sz w:val="22"/>
          <w:szCs w:val="22"/>
          <w:lang w:val="es-MX"/>
        </w:rPr>
        <w:t xml:space="preserve"> </w:t>
      </w:r>
      <w:r w:rsidR="00992528">
        <w:rPr>
          <w:rFonts w:ascii="Tahoma" w:hAnsi="Tahoma" w:cs="Tahoma"/>
          <w:sz w:val="22"/>
          <w:szCs w:val="22"/>
          <w:lang w:val="es-MX"/>
        </w:rPr>
        <w:t>mejoras</w:t>
      </w:r>
      <w:r w:rsidR="00C51331">
        <w:rPr>
          <w:rFonts w:ascii="Tahoma" w:hAnsi="Tahoma" w:cs="Tahoma"/>
          <w:sz w:val="22"/>
          <w:szCs w:val="22"/>
          <w:lang w:val="es-MX"/>
        </w:rPr>
        <w:t xml:space="preserve"> embargad</w:t>
      </w:r>
      <w:r w:rsidR="00992528">
        <w:rPr>
          <w:rFonts w:ascii="Tahoma" w:hAnsi="Tahoma" w:cs="Tahoma"/>
          <w:sz w:val="22"/>
          <w:szCs w:val="22"/>
          <w:lang w:val="es-MX"/>
        </w:rPr>
        <w:t>a</w:t>
      </w:r>
      <w:r w:rsidR="00C51331">
        <w:rPr>
          <w:rFonts w:ascii="Tahoma" w:hAnsi="Tahoma" w:cs="Tahoma"/>
          <w:sz w:val="22"/>
          <w:szCs w:val="22"/>
          <w:lang w:val="es-MX"/>
        </w:rPr>
        <w:t>s y secuestrad</w:t>
      </w:r>
      <w:r w:rsidR="00992528">
        <w:rPr>
          <w:rFonts w:ascii="Tahoma" w:hAnsi="Tahoma" w:cs="Tahoma"/>
          <w:sz w:val="22"/>
          <w:szCs w:val="22"/>
          <w:lang w:val="es-MX"/>
        </w:rPr>
        <w:t>a</w:t>
      </w:r>
      <w:r w:rsidR="00C51331">
        <w:rPr>
          <w:rFonts w:ascii="Tahoma" w:hAnsi="Tahoma" w:cs="Tahoma"/>
          <w:sz w:val="22"/>
          <w:szCs w:val="22"/>
          <w:lang w:val="es-MX"/>
        </w:rPr>
        <w:t>s en este asunto?</w:t>
      </w:r>
    </w:p>
    <w:p w:rsidR="00C51331" w:rsidRPr="00C51331" w:rsidRDefault="00C51331"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¿Dichos actos de posesión se ejercieron con anterioridad a la diligencia de secuestro?</w:t>
      </w:r>
    </w:p>
    <w:p w:rsidR="00C51331" w:rsidRPr="00C51331" w:rsidRDefault="00C51331" w:rsidP="003F6675">
      <w:pPr>
        <w:numPr>
          <w:ilvl w:val="0"/>
          <w:numId w:val="4"/>
        </w:numPr>
        <w:spacing w:line="276" w:lineRule="auto"/>
        <w:jc w:val="both"/>
        <w:rPr>
          <w:rFonts w:ascii="Tahoma" w:hAnsi="Tahoma" w:cs="Tahoma"/>
          <w:spacing w:val="2"/>
          <w:sz w:val="22"/>
          <w:szCs w:val="22"/>
        </w:rPr>
      </w:pPr>
      <w:r>
        <w:rPr>
          <w:rFonts w:ascii="Tahoma" w:hAnsi="Tahoma" w:cs="Tahoma"/>
          <w:sz w:val="22"/>
          <w:szCs w:val="22"/>
          <w:lang w:val="es-MX"/>
        </w:rPr>
        <w:t>¿Son válidos los actos de señor y dueño realizados con posterioridad a la diligencia de secuestro?</w:t>
      </w:r>
    </w:p>
    <w:p w:rsidR="00633395" w:rsidRDefault="00633395" w:rsidP="00633395">
      <w:pPr>
        <w:pStyle w:val="Prrafodelista"/>
        <w:rPr>
          <w:rFonts w:ascii="Tahoma" w:hAnsi="Tahoma" w:cs="Tahoma"/>
          <w:sz w:val="22"/>
          <w:szCs w:val="22"/>
          <w:lang w:val="es-MX"/>
        </w:rPr>
      </w:pPr>
    </w:p>
    <w:p w:rsidR="00C51331" w:rsidRPr="00B4310C" w:rsidRDefault="00C51331" w:rsidP="00633395">
      <w:pPr>
        <w:pStyle w:val="Prrafodelista"/>
        <w:rPr>
          <w:rFonts w:ascii="Tahoma" w:hAnsi="Tahoma" w:cs="Tahoma"/>
          <w:sz w:val="22"/>
          <w:szCs w:val="22"/>
          <w:lang w:val="es-MX"/>
        </w:rPr>
      </w:pPr>
    </w:p>
    <w:p w:rsidR="008C3CAB" w:rsidRPr="003F6675" w:rsidRDefault="00C51331" w:rsidP="00C51331">
      <w:pPr>
        <w:pStyle w:val="Textoindependiente"/>
        <w:widowControl w:val="0"/>
        <w:numPr>
          <w:ilvl w:val="1"/>
          <w:numId w:val="13"/>
        </w:numPr>
        <w:autoSpaceDE w:val="0"/>
        <w:autoSpaceDN w:val="0"/>
        <w:adjustRightInd w:val="0"/>
        <w:spacing w:after="0" w:line="276" w:lineRule="auto"/>
        <w:jc w:val="both"/>
        <w:rPr>
          <w:rFonts w:ascii="Tahoma" w:hAnsi="Tahoma" w:cs="Tahoma"/>
          <w:b/>
          <w:bCs/>
          <w:spacing w:val="2"/>
          <w:sz w:val="22"/>
          <w:szCs w:val="22"/>
        </w:rPr>
      </w:pPr>
      <w:r>
        <w:rPr>
          <w:rFonts w:ascii="Tahoma" w:hAnsi="Tahoma" w:cs="Tahoma"/>
          <w:b/>
          <w:bCs/>
          <w:spacing w:val="2"/>
          <w:sz w:val="22"/>
          <w:szCs w:val="22"/>
        </w:rPr>
        <w:t>Fundamentos fácticos que sustentan el incidente de levantamiento del embargo y secuestro de las mejoras:</w:t>
      </w:r>
    </w:p>
    <w:p w:rsidR="008C3CAB" w:rsidRPr="003F6675" w:rsidRDefault="008C3CAB" w:rsidP="008C3CAB">
      <w:pPr>
        <w:widowControl w:val="0"/>
        <w:autoSpaceDE w:val="0"/>
        <w:autoSpaceDN w:val="0"/>
        <w:adjustRightInd w:val="0"/>
        <w:spacing w:line="276" w:lineRule="auto"/>
        <w:ind w:firstLine="1080"/>
        <w:jc w:val="both"/>
        <w:rPr>
          <w:rFonts w:ascii="Tahoma" w:hAnsi="Tahoma" w:cs="Tahoma"/>
          <w:sz w:val="22"/>
          <w:szCs w:val="22"/>
        </w:rPr>
      </w:pPr>
    </w:p>
    <w:p w:rsidR="002B27CB" w:rsidRDefault="00471A5C" w:rsidP="008C3CA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El señor LUIS ALBERTO GIRALDO GARCÍA arguye que es tercero poseedor de las mejoras del inmueble ubicado en la carrera 7 No. 29-15 y 29-13, embargadas y secuestradas en este asunto, </w:t>
      </w:r>
      <w:r w:rsidR="001F4A8A">
        <w:rPr>
          <w:rFonts w:ascii="Tahoma" w:hAnsi="Tahoma" w:cs="Tahoma"/>
          <w:sz w:val="22"/>
          <w:szCs w:val="22"/>
        </w:rPr>
        <w:t>con base en</w:t>
      </w:r>
      <w:r w:rsidR="002B27CB">
        <w:rPr>
          <w:rFonts w:ascii="Tahoma" w:hAnsi="Tahoma" w:cs="Tahoma"/>
          <w:sz w:val="22"/>
          <w:szCs w:val="22"/>
        </w:rPr>
        <w:t xml:space="preserve"> los siguientes supuestos fácticos</w:t>
      </w:r>
      <w:r w:rsidR="002A19FD">
        <w:rPr>
          <w:rFonts w:ascii="Tahoma" w:hAnsi="Tahoma" w:cs="Tahoma"/>
          <w:sz w:val="22"/>
          <w:szCs w:val="22"/>
        </w:rPr>
        <w:t xml:space="preserve"> (folios 248 a 254)</w:t>
      </w:r>
      <w:r w:rsidR="002B27CB">
        <w:rPr>
          <w:rFonts w:ascii="Tahoma" w:hAnsi="Tahoma" w:cs="Tahoma"/>
          <w:sz w:val="22"/>
          <w:szCs w:val="22"/>
        </w:rPr>
        <w:t>:</w:t>
      </w:r>
    </w:p>
    <w:p w:rsidR="002B27CB" w:rsidRDefault="002B27CB" w:rsidP="008C3CAB">
      <w:pPr>
        <w:widowControl w:val="0"/>
        <w:autoSpaceDE w:val="0"/>
        <w:autoSpaceDN w:val="0"/>
        <w:adjustRightInd w:val="0"/>
        <w:spacing w:line="276" w:lineRule="auto"/>
        <w:ind w:firstLine="1080"/>
        <w:jc w:val="both"/>
        <w:rPr>
          <w:rFonts w:ascii="Tahoma" w:hAnsi="Tahoma" w:cs="Tahoma"/>
          <w:sz w:val="22"/>
          <w:szCs w:val="22"/>
        </w:rPr>
      </w:pPr>
    </w:p>
    <w:p w:rsidR="002B27CB" w:rsidRDefault="002A19FD"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w:t>
      </w:r>
      <w:r w:rsidR="002B27CB">
        <w:rPr>
          <w:rFonts w:ascii="Tahoma" w:hAnsi="Tahoma" w:cs="Tahoma"/>
          <w:sz w:val="22"/>
          <w:szCs w:val="22"/>
        </w:rPr>
        <w:t>celebr</w:t>
      </w:r>
      <w:r>
        <w:rPr>
          <w:rFonts w:ascii="Tahoma" w:hAnsi="Tahoma" w:cs="Tahoma"/>
          <w:sz w:val="22"/>
          <w:szCs w:val="22"/>
        </w:rPr>
        <w:t>ó</w:t>
      </w:r>
      <w:r w:rsidR="002B27CB">
        <w:rPr>
          <w:rFonts w:ascii="Tahoma" w:hAnsi="Tahoma" w:cs="Tahoma"/>
          <w:sz w:val="22"/>
          <w:szCs w:val="22"/>
        </w:rPr>
        <w:t xml:space="preserve"> una </w:t>
      </w:r>
      <w:r w:rsidR="00471A5C" w:rsidRPr="002B27CB">
        <w:rPr>
          <w:rFonts w:ascii="Tahoma" w:hAnsi="Tahoma" w:cs="Tahoma"/>
          <w:sz w:val="22"/>
          <w:szCs w:val="22"/>
        </w:rPr>
        <w:t xml:space="preserve">promesa de compraventa </w:t>
      </w:r>
      <w:r>
        <w:rPr>
          <w:rFonts w:ascii="Tahoma" w:hAnsi="Tahoma" w:cs="Tahoma"/>
          <w:sz w:val="22"/>
          <w:szCs w:val="22"/>
        </w:rPr>
        <w:t>con</w:t>
      </w:r>
      <w:r w:rsidR="002B27CB" w:rsidRPr="002B27CB">
        <w:rPr>
          <w:rFonts w:ascii="Tahoma" w:hAnsi="Tahoma" w:cs="Tahoma"/>
          <w:sz w:val="22"/>
          <w:szCs w:val="22"/>
        </w:rPr>
        <w:t xml:space="preserve"> la señora ROSALBA GRAJALES DE RENDON en virtud de</w:t>
      </w:r>
      <w:r w:rsidR="002B27CB">
        <w:rPr>
          <w:rFonts w:ascii="Tahoma" w:hAnsi="Tahoma" w:cs="Tahoma"/>
          <w:sz w:val="22"/>
          <w:szCs w:val="22"/>
        </w:rPr>
        <w:t xml:space="preserve"> la</w:t>
      </w:r>
      <w:r w:rsidR="002B27CB" w:rsidRPr="002B27CB">
        <w:rPr>
          <w:rFonts w:ascii="Tahoma" w:hAnsi="Tahoma" w:cs="Tahoma"/>
          <w:sz w:val="22"/>
          <w:szCs w:val="22"/>
        </w:rPr>
        <w:t xml:space="preserve"> cual adquirió el derecho de posesión, uso, goce y disfrute del </w:t>
      </w:r>
      <w:r w:rsidR="002B27CB">
        <w:rPr>
          <w:rFonts w:ascii="Tahoma" w:hAnsi="Tahoma" w:cs="Tahoma"/>
          <w:sz w:val="22"/>
          <w:szCs w:val="22"/>
        </w:rPr>
        <w:t xml:space="preserve">referido </w:t>
      </w:r>
      <w:r w:rsidR="002B27CB" w:rsidRPr="002B27CB">
        <w:rPr>
          <w:rFonts w:ascii="Tahoma" w:hAnsi="Tahoma" w:cs="Tahoma"/>
          <w:sz w:val="22"/>
          <w:szCs w:val="22"/>
        </w:rPr>
        <w:t>inmueble</w:t>
      </w:r>
      <w:r w:rsidR="002B27CB">
        <w:rPr>
          <w:rFonts w:ascii="Tahoma" w:hAnsi="Tahoma" w:cs="Tahoma"/>
          <w:sz w:val="22"/>
          <w:szCs w:val="22"/>
        </w:rPr>
        <w:t>.</w:t>
      </w:r>
    </w:p>
    <w:p w:rsidR="00141AC4" w:rsidRDefault="00141AC4"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la señora </w:t>
      </w:r>
      <w:r w:rsidR="00BF1CCA">
        <w:rPr>
          <w:rFonts w:ascii="Tahoma" w:hAnsi="Tahoma" w:cs="Tahoma"/>
          <w:sz w:val="22"/>
          <w:szCs w:val="22"/>
        </w:rPr>
        <w:t>ROSALBA GRAJALES DE RENDÓN</w:t>
      </w:r>
      <w:r>
        <w:rPr>
          <w:rFonts w:ascii="Tahoma" w:hAnsi="Tahoma" w:cs="Tahoma"/>
          <w:sz w:val="22"/>
          <w:szCs w:val="22"/>
        </w:rPr>
        <w:t xml:space="preserve"> </w:t>
      </w:r>
      <w:r w:rsidR="002A19FD">
        <w:rPr>
          <w:rFonts w:ascii="Tahoma" w:hAnsi="Tahoma" w:cs="Tahoma"/>
          <w:sz w:val="22"/>
          <w:szCs w:val="22"/>
        </w:rPr>
        <w:t xml:space="preserve">le adeudaba </w:t>
      </w:r>
      <w:r>
        <w:rPr>
          <w:rFonts w:ascii="Tahoma" w:hAnsi="Tahoma" w:cs="Tahoma"/>
          <w:sz w:val="22"/>
          <w:szCs w:val="22"/>
        </w:rPr>
        <w:t xml:space="preserve">varias sumas de dinero, prestadas en diferentes ocasiones, de las cuales no pudo cancelar ni capital ni intereses, razón por la cual se acordó que </w:t>
      </w:r>
      <w:r w:rsidR="002A19FD">
        <w:rPr>
          <w:rFonts w:ascii="Tahoma" w:hAnsi="Tahoma" w:cs="Tahoma"/>
          <w:sz w:val="22"/>
          <w:szCs w:val="22"/>
        </w:rPr>
        <w:t xml:space="preserve">la deudora </w:t>
      </w:r>
      <w:r>
        <w:rPr>
          <w:rFonts w:ascii="Tahoma" w:hAnsi="Tahoma" w:cs="Tahoma"/>
          <w:sz w:val="22"/>
          <w:szCs w:val="22"/>
        </w:rPr>
        <w:t>le entregaría el inmueble en calidad de pago, pero no obstante la promesa figuraría como compraventa.</w:t>
      </w:r>
    </w:p>
    <w:p w:rsidR="00141AC4" w:rsidRDefault="002A19FD"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Que</w:t>
      </w:r>
      <w:r w:rsidR="00141AC4">
        <w:rPr>
          <w:rFonts w:ascii="Tahoma" w:hAnsi="Tahoma" w:cs="Tahoma"/>
          <w:sz w:val="22"/>
          <w:szCs w:val="22"/>
        </w:rPr>
        <w:t xml:space="preserve"> conocía el pleito pendiente que existía entre la Señora LUZ MERY QUINTERO DE RODRIGUEZ y </w:t>
      </w:r>
      <w:r w:rsidR="00BF1CCA">
        <w:rPr>
          <w:rFonts w:ascii="Tahoma" w:hAnsi="Tahoma" w:cs="Tahoma"/>
          <w:sz w:val="22"/>
          <w:szCs w:val="22"/>
        </w:rPr>
        <w:t>ROSALBA GRAJALES DE RENDÓN</w:t>
      </w:r>
      <w:r w:rsidR="00141AC4">
        <w:rPr>
          <w:rFonts w:ascii="Tahoma" w:hAnsi="Tahoma" w:cs="Tahoma"/>
          <w:sz w:val="22"/>
          <w:szCs w:val="22"/>
        </w:rPr>
        <w:t xml:space="preserve"> y por eso la promesa de compraventa se firmó una vez quedó en firme la sentencia de segunda instancia, comprometiéndose aquél a sanear el inmueble.</w:t>
      </w:r>
    </w:p>
    <w:p w:rsidR="00A24BEF" w:rsidRDefault="002A19FD" w:rsidP="002B27CB">
      <w:pPr>
        <w:pStyle w:val="Prrafodelista"/>
        <w:widowControl w:val="0"/>
        <w:numPr>
          <w:ilvl w:val="0"/>
          <w:numId w:val="19"/>
        </w:num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Que </w:t>
      </w:r>
      <w:r w:rsidR="00141AC4">
        <w:rPr>
          <w:rFonts w:ascii="Tahoma" w:hAnsi="Tahoma" w:cs="Tahoma"/>
          <w:sz w:val="22"/>
          <w:szCs w:val="22"/>
        </w:rPr>
        <w:t xml:space="preserve">ha ejercido actos de señor y dueño sobre el inmueble </w:t>
      </w:r>
      <w:r w:rsidR="00A24BEF">
        <w:rPr>
          <w:rFonts w:ascii="Tahoma" w:hAnsi="Tahoma" w:cs="Tahoma"/>
          <w:sz w:val="22"/>
          <w:szCs w:val="22"/>
        </w:rPr>
        <w:t xml:space="preserve">como se evidencia con la notificación a los señores arrendatarios de la venta, la cual se hizo por correo certificado. </w:t>
      </w:r>
    </w:p>
    <w:p w:rsidR="00341929" w:rsidRDefault="00341929" w:rsidP="00341929">
      <w:pPr>
        <w:widowControl w:val="0"/>
        <w:autoSpaceDE w:val="0"/>
        <w:autoSpaceDN w:val="0"/>
        <w:adjustRightInd w:val="0"/>
        <w:spacing w:line="276" w:lineRule="auto"/>
        <w:jc w:val="both"/>
        <w:rPr>
          <w:rFonts w:ascii="Tahoma" w:hAnsi="Tahoma" w:cs="Tahoma"/>
          <w:sz w:val="22"/>
          <w:szCs w:val="22"/>
        </w:rPr>
      </w:pPr>
    </w:p>
    <w:p w:rsidR="00ED1083" w:rsidRDefault="00ED1083" w:rsidP="00ED1083">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Como prueba a</w:t>
      </w:r>
      <w:r w:rsidR="00341929">
        <w:rPr>
          <w:rFonts w:ascii="Tahoma" w:hAnsi="Tahoma" w:cs="Tahoma"/>
          <w:sz w:val="22"/>
          <w:szCs w:val="22"/>
        </w:rPr>
        <w:t>djuntó la referida promesa de compraventa</w:t>
      </w:r>
      <w:r>
        <w:rPr>
          <w:rFonts w:ascii="Tahoma" w:hAnsi="Tahoma" w:cs="Tahoma"/>
          <w:sz w:val="22"/>
          <w:szCs w:val="22"/>
        </w:rPr>
        <w:t xml:space="preserve"> suscrita el 3</w:t>
      </w:r>
      <w:r w:rsidR="001F4A8A">
        <w:rPr>
          <w:rFonts w:ascii="Tahoma" w:hAnsi="Tahoma" w:cs="Tahoma"/>
          <w:sz w:val="22"/>
          <w:szCs w:val="22"/>
        </w:rPr>
        <w:t>1 de agosto</w:t>
      </w:r>
      <w:r>
        <w:rPr>
          <w:rFonts w:ascii="Tahoma" w:hAnsi="Tahoma" w:cs="Tahoma"/>
          <w:sz w:val="22"/>
          <w:szCs w:val="22"/>
        </w:rPr>
        <w:t xml:space="preserve"> de 2012 </w:t>
      </w:r>
      <w:r w:rsidRPr="002B27CB">
        <w:rPr>
          <w:rFonts w:ascii="Tahoma" w:hAnsi="Tahoma" w:cs="Tahoma"/>
          <w:sz w:val="22"/>
          <w:szCs w:val="22"/>
        </w:rPr>
        <w:t>(folios 261 y 262)</w:t>
      </w:r>
      <w:r>
        <w:rPr>
          <w:rFonts w:ascii="Tahoma" w:hAnsi="Tahoma" w:cs="Tahoma"/>
          <w:sz w:val="22"/>
          <w:szCs w:val="22"/>
        </w:rPr>
        <w:t xml:space="preserve">, el certificado de tradición del inmueble (folio 255), 2 comunicaciones firmadas por la señora </w:t>
      </w:r>
      <w:r w:rsidR="00BF1CCA">
        <w:rPr>
          <w:rFonts w:ascii="Tahoma" w:hAnsi="Tahoma" w:cs="Tahoma"/>
          <w:sz w:val="22"/>
          <w:szCs w:val="22"/>
        </w:rPr>
        <w:t>ROSALBA GRAJALES DE RENDÓN</w:t>
      </w:r>
      <w:r>
        <w:rPr>
          <w:rFonts w:ascii="Tahoma" w:hAnsi="Tahoma" w:cs="Tahoma"/>
          <w:sz w:val="22"/>
          <w:szCs w:val="22"/>
        </w:rPr>
        <w:t xml:space="preserve"> y dirigidas a los señores CARLOS ARTURO TABARES y LINA JULIANA OSPINA JARAMILLO, calendadas el 3 de septiembre de 2012 (folios 256 y 257) y 2 facturas de la empresa de correo 472 fechadas el 4 de septiembre de ese mismo año que dan cuenta del envío de 2 misivas a los mencionados (folios 258 y 259).</w:t>
      </w:r>
    </w:p>
    <w:p w:rsidR="00ED1083" w:rsidRDefault="00ED1083" w:rsidP="00ED1083">
      <w:pPr>
        <w:widowControl w:val="0"/>
        <w:autoSpaceDE w:val="0"/>
        <w:autoSpaceDN w:val="0"/>
        <w:adjustRightInd w:val="0"/>
        <w:spacing w:line="276" w:lineRule="auto"/>
        <w:ind w:firstLine="709"/>
        <w:jc w:val="both"/>
        <w:rPr>
          <w:rFonts w:ascii="Tahoma" w:hAnsi="Tahoma" w:cs="Tahoma"/>
          <w:sz w:val="22"/>
          <w:szCs w:val="22"/>
        </w:rPr>
      </w:pP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p>
    <w:p w:rsidR="00651E52" w:rsidRPr="00B4310C" w:rsidRDefault="00651E52" w:rsidP="00651E52">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Pr>
          <w:rFonts w:ascii="Tahoma" w:hAnsi="Tahoma" w:cs="Tahoma"/>
          <w:b/>
          <w:bCs/>
          <w:spacing w:val="2"/>
          <w:sz w:val="22"/>
          <w:szCs w:val="22"/>
        </w:rPr>
        <w:t>Valoración probatoria</w:t>
      </w:r>
      <w:r w:rsidRPr="00B4310C">
        <w:rPr>
          <w:rFonts w:ascii="Tahoma" w:hAnsi="Tahoma" w:cs="Tahoma"/>
          <w:b/>
          <w:bCs/>
          <w:spacing w:val="2"/>
          <w:sz w:val="22"/>
          <w:szCs w:val="22"/>
        </w:rPr>
        <w:t>:</w:t>
      </w: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Previo a la valoración probatoria, resulta relevante para la resolución del problema jurídico advertir</w:t>
      </w:r>
      <w:r w:rsidR="00ED1083">
        <w:rPr>
          <w:rFonts w:ascii="Tahoma" w:hAnsi="Tahoma" w:cs="Tahoma"/>
          <w:sz w:val="22"/>
          <w:szCs w:val="22"/>
        </w:rPr>
        <w:t xml:space="preserve"> que </w:t>
      </w:r>
      <w:r w:rsidR="00BF1CCA">
        <w:rPr>
          <w:rFonts w:ascii="Tahoma" w:hAnsi="Tahoma" w:cs="Tahoma"/>
          <w:sz w:val="22"/>
          <w:szCs w:val="22"/>
        </w:rPr>
        <w:t>ROSALBA GRAJALES DE RENDÓN</w:t>
      </w:r>
      <w:r>
        <w:rPr>
          <w:rFonts w:ascii="Tahoma" w:hAnsi="Tahoma" w:cs="Tahoma"/>
          <w:sz w:val="22"/>
          <w:szCs w:val="22"/>
        </w:rPr>
        <w:t xml:space="preserve"> se notificó personalmente d</w:t>
      </w:r>
      <w:r w:rsidR="00ED1083">
        <w:rPr>
          <w:rFonts w:ascii="Tahoma" w:hAnsi="Tahoma" w:cs="Tahoma"/>
          <w:sz w:val="22"/>
          <w:szCs w:val="22"/>
        </w:rPr>
        <w:t xml:space="preserve">el mandamiento de pago </w:t>
      </w:r>
      <w:r>
        <w:rPr>
          <w:rFonts w:ascii="Tahoma" w:hAnsi="Tahoma" w:cs="Tahoma"/>
          <w:sz w:val="22"/>
          <w:szCs w:val="22"/>
        </w:rPr>
        <w:t xml:space="preserve">proferido en su contra </w:t>
      </w:r>
      <w:r w:rsidR="00F25D7A" w:rsidRPr="00651E52">
        <w:rPr>
          <w:rFonts w:ascii="Tahoma" w:hAnsi="Tahoma" w:cs="Tahoma"/>
          <w:b/>
          <w:sz w:val="22"/>
          <w:szCs w:val="22"/>
        </w:rPr>
        <w:t>el 18 de julio de 2012</w:t>
      </w:r>
      <w:r w:rsidR="00F25D7A">
        <w:rPr>
          <w:rFonts w:ascii="Tahoma" w:hAnsi="Tahoma" w:cs="Tahoma"/>
          <w:sz w:val="22"/>
          <w:szCs w:val="22"/>
        </w:rPr>
        <w:t xml:space="preserve"> (folio 222), de manera que desde esa fecha la ejecutada se enteró de la medida cautelar objeto de este </w:t>
      </w:r>
      <w:r>
        <w:rPr>
          <w:rFonts w:ascii="Tahoma" w:hAnsi="Tahoma" w:cs="Tahoma"/>
          <w:sz w:val="22"/>
          <w:szCs w:val="22"/>
        </w:rPr>
        <w:t>incidente, toda vez que en esa misma providencia se embargó las mejoras que ella tenía sobre el inmueble identificado con la matrícula inmobiliaria No. 290-125241</w:t>
      </w:r>
      <w:r w:rsidR="00F25D7A">
        <w:rPr>
          <w:rFonts w:ascii="Tahoma" w:hAnsi="Tahoma" w:cs="Tahoma"/>
          <w:sz w:val="22"/>
          <w:szCs w:val="22"/>
        </w:rPr>
        <w:t>.</w:t>
      </w:r>
      <w:r>
        <w:rPr>
          <w:rFonts w:ascii="Tahoma" w:hAnsi="Tahoma" w:cs="Tahoma"/>
          <w:sz w:val="22"/>
          <w:szCs w:val="22"/>
        </w:rPr>
        <w:t xml:space="preserve"> </w:t>
      </w:r>
    </w:p>
    <w:p w:rsidR="00651E52" w:rsidRDefault="00651E52" w:rsidP="00ED1083">
      <w:pPr>
        <w:widowControl w:val="0"/>
        <w:autoSpaceDE w:val="0"/>
        <w:autoSpaceDN w:val="0"/>
        <w:adjustRightInd w:val="0"/>
        <w:spacing w:line="276" w:lineRule="auto"/>
        <w:ind w:firstLine="709"/>
        <w:jc w:val="both"/>
        <w:rPr>
          <w:rFonts w:ascii="Tahoma" w:hAnsi="Tahoma" w:cs="Tahoma"/>
          <w:sz w:val="22"/>
          <w:szCs w:val="22"/>
        </w:rPr>
      </w:pPr>
    </w:p>
    <w:p w:rsidR="00D92124" w:rsidRDefault="00651E52" w:rsidP="00ED1083">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Lo anterior significa que para cuando suscribió la promesa de compraventa de dichas </w:t>
      </w:r>
      <w:r>
        <w:rPr>
          <w:rFonts w:ascii="Tahoma" w:hAnsi="Tahoma" w:cs="Tahoma"/>
          <w:sz w:val="22"/>
          <w:szCs w:val="22"/>
        </w:rPr>
        <w:lastRenderedPageBreak/>
        <w:t xml:space="preserve">mejoras con el señor </w:t>
      </w:r>
      <w:r w:rsidR="00BF1CCA">
        <w:rPr>
          <w:rFonts w:ascii="Tahoma" w:hAnsi="Tahoma" w:cs="Tahoma"/>
          <w:sz w:val="22"/>
          <w:szCs w:val="22"/>
        </w:rPr>
        <w:t>LUIS ALBERTO GIRALDO GARCÍA</w:t>
      </w:r>
      <w:r>
        <w:rPr>
          <w:rFonts w:ascii="Tahoma" w:hAnsi="Tahoma" w:cs="Tahoma"/>
          <w:sz w:val="22"/>
          <w:szCs w:val="22"/>
        </w:rPr>
        <w:t>, tenía plena conciencia de que las mismas estaban afectadas por una m</w:t>
      </w:r>
      <w:r w:rsidR="001F4A8A">
        <w:rPr>
          <w:rFonts w:ascii="Tahoma" w:hAnsi="Tahoma" w:cs="Tahoma"/>
          <w:sz w:val="22"/>
          <w:szCs w:val="22"/>
        </w:rPr>
        <w:t xml:space="preserve">edida cautelar, que aunque al 31 de agosto </w:t>
      </w:r>
      <w:r>
        <w:rPr>
          <w:rFonts w:ascii="Tahoma" w:hAnsi="Tahoma" w:cs="Tahoma"/>
          <w:sz w:val="22"/>
          <w:szCs w:val="22"/>
        </w:rPr>
        <w:t xml:space="preserve">aún no se había perfeccionado </w:t>
      </w:r>
      <w:r>
        <w:rPr>
          <w:rFonts w:ascii="Tahoma" w:hAnsi="Tahoma" w:cs="Tahoma"/>
          <w:i/>
          <w:sz w:val="22"/>
          <w:szCs w:val="22"/>
        </w:rPr>
        <w:t xml:space="preserve">–la medida cautelar- </w:t>
      </w:r>
      <w:r>
        <w:rPr>
          <w:rFonts w:ascii="Tahoma" w:hAnsi="Tahoma" w:cs="Tahoma"/>
          <w:sz w:val="22"/>
          <w:szCs w:val="22"/>
        </w:rPr>
        <w:t xml:space="preserve">estaban ad-portas de quedar por fuera de comercio. </w:t>
      </w:r>
      <w:r w:rsidR="00D92124">
        <w:rPr>
          <w:rFonts w:ascii="Tahoma" w:hAnsi="Tahoma" w:cs="Tahoma"/>
          <w:sz w:val="22"/>
          <w:szCs w:val="22"/>
        </w:rPr>
        <w:t xml:space="preserve">Y aunque en principio </w:t>
      </w:r>
      <w:r w:rsidR="00BF1CCA">
        <w:rPr>
          <w:rFonts w:ascii="Tahoma" w:hAnsi="Tahoma" w:cs="Tahoma"/>
          <w:sz w:val="22"/>
          <w:szCs w:val="22"/>
        </w:rPr>
        <w:t>LUIS ALBERTO GIRALDO GARCÍA</w:t>
      </w:r>
      <w:r w:rsidR="00D92124">
        <w:rPr>
          <w:rFonts w:ascii="Tahoma" w:hAnsi="Tahoma" w:cs="Tahoma"/>
          <w:sz w:val="22"/>
          <w:szCs w:val="22"/>
        </w:rPr>
        <w:t xml:space="preserve"> no tiene nada que ver con esta treta, resulta reprochable la conducta de la demandada frente a su acreedor, porque deja al descubierto la urgencia de </w:t>
      </w:r>
      <w:proofErr w:type="spellStart"/>
      <w:r w:rsidR="00D92124">
        <w:rPr>
          <w:rFonts w:ascii="Tahoma" w:hAnsi="Tahoma" w:cs="Tahoma"/>
          <w:sz w:val="22"/>
          <w:szCs w:val="22"/>
        </w:rPr>
        <w:t>insolventarse</w:t>
      </w:r>
      <w:proofErr w:type="spellEnd"/>
      <w:r w:rsidR="00D92124">
        <w:rPr>
          <w:rFonts w:ascii="Tahoma" w:hAnsi="Tahoma" w:cs="Tahoma"/>
          <w:sz w:val="22"/>
          <w:szCs w:val="22"/>
        </w:rPr>
        <w:t>.</w:t>
      </w:r>
    </w:p>
    <w:p w:rsidR="00D92124" w:rsidRDefault="00D92124" w:rsidP="00ED1083">
      <w:pPr>
        <w:widowControl w:val="0"/>
        <w:autoSpaceDE w:val="0"/>
        <w:autoSpaceDN w:val="0"/>
        <w:adjustRightInd w:val="0"/>
        <w:spacing w:line="276" w:lineRule="auto"/>
        <w:ind w:firstLine="709"/>
        <w:jc w:val="both"/>
        <w:rPr>
          <w:rFonts w:ascii="Tahoma" w:hAnsi="Tahoma" w:cs="Tahoma"/>
          <w:sz w:val="22"/>
          <w:szCs w:val="22"/>
        </w:rPr>
      </w:pPr>
    </w:p>
    <w:p w:rsidR="00AD1B24" w:rsidRDefault="00D92124" w:rsidP="00AD1B2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Por otra parte, queda claro que lo embargado no es el inmueble </w:t>
      </w:r>
      <w:r w:rsidRPr="00D92124">
        <w:rPr>
          <w:rFonts w:ascii="Tahoma" w:hAnsi="Tahoma" w:cs="Tahoma"/>
          <w:i/>
          <w:sz w:val="22"/>
          <w:szCs w:val="22"/>
        </w:rPr>
        <w:t>-cuyo dominio de acuerdo al certificado de tradición pertenece a la Señora LUZ MERY QUINTERO DE RODRIGUEZ</w:t>
      </w:r>
      <w:r>
        <w:rPr>
          <w:rFonts w:ascii="Tahoma" w:hAnsi="Tahoma" w:cs="Tahoma"/>
          <w:i/>
          <w:sz w:val="22"/>
          <w:szCs w:val="22"/>
        </w:rPr>
        <w:t>-</w:t>
      </w:r>
      <w:r w:rsidRPr="00D92124">
        <w:rPr>
          <w:rFonts w:ascii="Tahoma" w:hAnsi="Tahoma" w:cs="Tahoma"/>
          <w:i/>
          <w:sz w:val="22"/>
          <w:szCs w:val="22"/>
        </w:rPr>
        <w:t xml:space="preserve"> </w:t>
      </w:r>
      <w:r>
        <w:rPr>
          <w:rFonts w:ascii="Tahoma" w:hAnsi="Tahoma" w:cs="Tahoma"/>
          <w:sz w:val="22"/>
          <w:szCs w:val="22"/>
        </w:rPr>
        <w:t xml:space="preserve">sino de las mejoras que sobre aquél poseía la ejecutada, de modo que la venta de las mismas no necesariamente tenía que hacerse a través de escritura pública ni </w:t>
      </w:r>
      <w:r w:rsidR="00AD1B24">
        <w:rPr>
          <w:rFonts w:ascii="Tahoma" w:hAnsi="Tahoma" w:cs="Tahoma"/>
          <w:sz w:val="22"/>
          <w:szCs w:val="22"/>
        </w:rPr>
        <w:t xml:space="preserve">conllevaba la inscripción en la oficina de instrumentos públicos. </w:t>
      </w: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También resulta claro que lo celebrado entre </w:t>
      </w:r>
      <w:r w:rsidR="00BF1CCA">
        <w:rPr>
          <w:rFonts w:ascii="Tahoma" w:hAnsi="Tahoma" w:cs="Tahoma"/>
          <w:sz w:val="22"/>
          <w:szCs w:val="22"/>
        </w:rPr>
        <w:t>ROSALBA GRAJALES DE RENDÓN</w:t>
      </w:r>
      <w:r>
        <w:rPr>
          <w:rFonts w:ascii="Tahoma" w:hAnsi="Tahoma" w:cs="Tahoma"/>
          <w:sz w:val="22"/>
          <w:szCs w:val="22"/>
        </w:rPr>
        <w:t xml:space="preserve"> y </w:t>
      </w:r>
      <w:r w:rsidR="00BF1CCA">
        <w:rPr>
          <w:rFonts w:ascii="Tahoma" w:hAnsi="Tahoma" w:cs="Tahoma"/>
          <w:sz w:val="22"/>
          <w:szCs w:val="22"/>
        </w:rPr>
        <w:t>LUIS ALBERTO GIRALDO GARCÍA</w:t>
      </w:r>
      <w:r>
        <w:rPr>
          <w:rFonts w:ascii="Tahoma" w:hAnsi="Tahoma" w:cs="Tahoma"/>
          <w:sz w:val="22"/>
          <w:szCs w:val="22"/>
        </w:rPr>
        <w:t xml:space="preserve"> fue una promesa de compraventa y no el contrato de compraventa y que l</w:t>
      </w:r>
      <w:r w:rsidRPr="00AD1B24">
        <w:rPr>
          <w:rFonts w:ascii="Tahoma" w:hAnsi="Tahoma" w:cs="Tahoma"/>
          <w:sz w:val="22"/>
          <w:szCs w:val="22"/>
        </w:rPr>
        <w:t>os derechos y obligaciones que surgen de la promesa no son los mismos que la compraventa genera</w:t>
      </w:r>
      <w:r>
        <w:rPr>
          <w:rFonts w:ascii="Tahoma" w:hAnsi="Tahoma" w:cs="Tahoma"/>
          <w:sz w:val="22"/>
          <w:szCs w:val="22"/>
        </w:rPr>
        <w:t xml:space="preserve">, por cuanto </w:t>
      </w:r>
      <w:r w:rsidRPr="00AD1B24">
        <w:rPr>
          <w:rFonts w:ascii="Tahoma" w:hAnsi="Tahoma" w:cs="Tahoma"/>
          <w:sz w:val="22"/>
          <w:szCs w:val="22"/>
        </w:rPr>
        <w:t xml:space="preserve">la promesa no da al prometiente </w:t>
      </w:r>
      <w:r>
        <w:rPr>
          <w:rFonts w:ascii="Tahoma" w:hAnsi="Tahoma" w:cs="Tahoma"/>
          <w:sz w:val="22"/>
          <w:szCs w:val="22"/>
        </w:rPr>
        <w:t>compra</w:t>
      </w:r>
      <w:r w:rsidRPr="00AD1B24">
        <w:rPr>
          <w:rFonts w:ascii="Tahoma" w:hAnsi="Tahoma" w:cs="Tahoma"/>
          <w:sz w:val="22"/>
          <w:szCs w:val="22"/>
        </w:rPr>
        <w:t>dor título alguno para exigir la entrega del bien inmueble, efectos que solamente genera la compraventa en cuanto sea celebrada.</w:t>
      </w:r>
      <w:r>
        <w:rPr>
          <w:rFonts w:ascii="Tahoma" w:hAnsi="Tahoma" w:cs="Tahoma"/>
          <w:sz w:val="22"/>
          <w:szCs w:val="22"/>
        </w:rPr>
        <w:t xml:space="preserve"> </w:t>
      </w: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r w:rsidRPr="00AD1B24">
        <w:rPr>
          <w:rFonts w:ascii="Tahoma" w:hAnsi="Tahoma" w:cs="Tahoma"/>
          <w:sz w:val="22"/>
          <w:szCs w:val="22"/>
        </w:rPr>
        <w:t>La promesa de compraventa no es un título traslaticio de dominio, no es un acto de enajenación, ni da origen a la mutación del derecho real, lo que si sucede con la compraventa, directamente orientada con la concurrencia del modo, al desplazamiento de este derecho y, por ello, es una convención nula por objeto ilícito si al instante de su celebración el inmueble se halla embargado</w:t>
      </w:r>
      <w:r w:rsidR="00521F51">
        <w:rPr>
          <w:rFonts w:ascii="Tahoma" w:hAnsi="Tahoma" w:cs="Tahoma"/>
          <w:sz w:val="22"/>
          <w:szCs w:val="22"/>
        </w:rPr>
        <w:t>, conforme reza el artículo 1521 numeral 1° del C.C.</w:t>
      </w:r>
      <w:r>
        <w:rPr>
          <w:rFonts w:ascii="Tahoma" w:hAnsi="Tahoma" w:cs="Tahoma"/>
          <w:sz w:val="22"/>
          <w:szCs w:val="22"/>
        </w:rPr>
        <w:t xml:space="preserve"> </w:t>
      </w:r>
    </w:p>
    <w:p w:rsidR="00AD1B24" w:rsidRDefault="00AD1B24" w:rsidP="00AD1B24">
      <w:pPr>
        <w:widowControl w:val="0"/>
        <w:autoSpaceDE w:val="0"/>
        <w:autoSpaceDN w:val="0"/>
        <w:adjustRightInd w:val="0"/>
        <w:spacing w:line="276" w:lineRule="auto"/>
        <w:ind w:firstLine="709"/>
        <w:jc w:val="both"/>
        <w:rPr>
          <w:rFonts w:ascii="Tahoma" w:hAnsi="Tahoma" w:cs="Tahoma"/>
          <w:sz w:val="22"/>
          <w:szCs w:val="22"/>
        </w:rPr>
      </w:pPr>
    </w:p>
    <w:p w:rsidR="00260C74" w:rsidRDefault="00260C74" w:rsidP="00521F51">
      <w:pPr>
        <w:widowControl w:val="0"/>
        <w:autoSpaceDE w:val="0"/>
        <w:autoSpaceDN w:val="0"/>
        <w:adjustRightInd w:val="0"/>
        <w:spacing w:line="276" w:lineRule="auto"/>
        <w:ind w:firstLine="709"/>
        <w:jc w:val="both"/>
        <w:rPr>
          <w:rFonts w:ascii="Tahoma" w:hAnsi="Tahoma" w:cs="Tahoma"/>
          <w:sz w:val="22"/>
          <w:szCs w:val="22"/>
        </w:rPr>
      </w:pPr>
      <w:r w:rsidRPr="00AD1B24">
        <w:rPr>
          <w:rFonts w:ascii="Tahoma" w:hAnsi="Tahoma" w:cs="Tahoma"/>
          <w:sz w:val="22"/>
          <w:szCs w:val="22"/>
        </w:rPr>
        <w:t xml:space="preserve">Con lo anterior se quiere significar que </w:t>
      </w:r>
      <w:r w:rsidR="00AD1B24">
        <w:rPr>
          <w:rFonts w:ascii="Tahoma" w:hAnsi="Tahoma" w:cs="Tahoma"/>
          <w:sz w:val="22"/>
          <w:szCs w:val="22"/>
        </w:rPr>
        <w:t xml:space="preserve">aunque es reprochable la conducta de la </w:t>
      </w:r>
      <w:r w:rsidRPr="00AD1B24">
        <w:rPr>
          <w:rFonts w:ascii="Tahoma" w:hAnsi="Tahoma" w:cs="Tahoma"/>
          <w:sz w:val="22"/>
          <w:szCs w:val="22"/>
        </w:rPr>
        <w:t xml:space="preserve">señora </w:t>
      </w:r>
      <w:r w:rsidR="00BF1CCA">
        <w:rPr>
          <w:rFonts w:ascii="Tahoma" w:hAnsi="Tahoma" w:cs="Tahoma"/>
          <w:sz w:val="22"/>
          <w:szCs w:val="22"/>
        </w:rPr>
        <w:t>ROSALBA GRAJALES DE RENDÓN</w:t>
      </w:r>
      <w:r w:rsidR="00AD1B24">
        <w:rPr>
          <w:rFonts w:ascii="Tahoma" w:hAnsi="Tahoma" w:cs="Tahoma"/>
          <w:sz w:val="22"/>
          <w:szCs w:val="22"/>
        </w:rPr>
        <w:t xml:space="preserve"> al prometer en venta unas mejoras afectadas con una medida cautelar, en est</w:t>
      </w:r>
      <w:r w:rsidR="00521F51">
        <w:rPr>
          <w:rFonts w:ascii="Tahoma" w:hAnsi="Tahoma" w:cs="Tahoma"/>
          <w:sz w:val="22"/>
          <w:szCs w:val="22"/>
        </w:rPr>
        <w:t>r</w:t>
      </w:r>
      <w:r w:rsidR="00AD1B24">
        <w:rPr>
          <w:rFonts w:ascii="Tahoma" w:hAnsi="Tahoma" w:cs="Tahoma"/>
          <w:sz w:val="22"/>
          <w:szCs w:val="22"/>
        </w:rPr>
        <w:t>icto derecho ella</w:t>
      </w:r>
      <w:r w:rsidRPr="00AD1B24">
        <w:rPr>
          <w:rFonts w:ascii="Tahoma" w:hAnsi="Tahoma" w:cs="Tahoma"/>
          <w:sz w:val="22"/>
          <w:szCs w:val="22"/>
        </w:rPr>
        <w:t xml:space="preserve"> p</w:t>
      </w:r>
      <w:r w:rsidR="00AD1B24">
        <w:rPr>
          <w:rFonts w:ascii="Tahoma" w:hAnsi="Tahoma" w:cs="Tahoma"/>
          <w:sz w:val="22"/>
          <w:szCs w:val="22"/>
        </w:rPr>
        <w:t>odía</w:t>
      </w:r>
      <w:r w:rsidRPr="00AD1B24">
        <w:rPr>
          <w:rFonts w:ascii="Tahoma" w:hAnsi="Tahoma" w:cs="Tahoma"/>
          <w:sz w:val="22"/>
          <w:szCs w:val="22"/>
        </w:rPr>
        <w:t xml:space="preserve"> prometer en venta </w:t>
      </w:r>
      <w:r w:rsidR="00521F51">
        <w:rPr>
          <w:rFonts w:ascii="Tahoma" w:hAnsi="Tahoma" w:cs="Tahoma"/>
          <w:sz w:val="22"/>
          <w:szCs w:val="22"/>
        </w:rPr>
        <w:t xml:space="preserve">tales </w:t>
      </w:r>
      <w:r w:rsidR="00AD1B24">
        <w:rPr>
          <w:rFonts w:ascii="Tahoma" w:hAnsi="Tahoma" w:cs="Tahoma"/>
          <w:sz w:val="22"/>
          <w:szCs w:val="22"/>
        </w:rPr>
        <w:t>mejoras</w:t>
      </w:r>
      <w:r w:rsidR="00521F51">
        <w:rPr>
          <w:rFonts w:ascii="Tahoma" w:hAnsi="Tahoma" w:cs="Tahoma"/>
          <w:sz w:val="22"/>
          <w:szCs w:val="22"/>
        </w:rPr>
        <w:t xml:space="preserve">, en primer lugar porque aún no se había perfeccionado la medida cautelar con el secuestro, y, en segundo lugar, </w:t>
      </w:r>
      <w:r w:rsidRPr="00AD1B24">
        <w:rPr>
          <w:rFonts w:ascii="Tahoma" w:hAnsi="Tahoma" w:cs="Tahoma"/>
          <w:sz w:val="22"/>
          <w:szCs w:val="22"/>
        </w:rPr>
        <w:t>porque p</w:t>
      </w:r>
      <w:r w:rsidR="00521F51">
        <w:rPr>
          <w:rFonts w:ascii="Tahoma" w:hAnsi="Tahoma" w:cs="Tahoma"/>
          <w:sz w:val="22"/>
          <w:szCs w:val="22"/>
        </w:rPr>
        <w:t>odía</w:t>
      </w:r>
      <w:r w:rsidRPr="00AD1B24">
        <w:rPr>
          <w:rFonts w:ascii="Tahoma" w:hAnsi="Tahoma" w:cs="Tahoma"/>
          <w:sz w:val="22"/>
          <w:szCs w:val="22"/>
        </w:rPr>
        <w:t xml:space="preserve"> lograr el levantamiento de esa medida con antelación al</w:t>
      </w:r>
      <w:r w:rsidR="00521F51">
        <w:rPr>
          <w:rFonts w:ascii="Tahoma" w:hAnsi="Tahoma" w:cs="Tahoma"/>
          <w:sz w:val="22"/>
          <w:szCs w:val="22"/>
        </w:rPr>
        <w:t xml:space="preserve"> perfeccionamiento de la compraventa, a efectos de que la enajenación resultara válida. En otras palabras, s</w:t>
      </w:r>
      <w:r w:rsidRPr="00AD1B24">
        <w:rPr>
          <w:rFonts w:ascii="Tahoma" w:hAnsi="Tahoma" w:cs="Tahoma"/>
          <w:sz w:val="22"/>
          <w:szCs w:val="22"/>
        </w:rPr>
        <w:t>i por cualquier motivo el embargo est</w:t>
      </w:r>
      <w:r w:rsidR="00521F51">
        <w:rPr>
          <w:rFonts w:ascii="Tahoma" w:hAnsi="Tahoma" w:cs="Tahoma"/>
          <w:sz w:val="22"/>
          <w:szCs w:val="22"/>
        </w:rPr>
        <w:t>uviera</w:t>
      </w:r>
      <w:r w:rsidRPr="00AD1B24">
        <w:rPr>
          <w:rFonts w:ascii="Tahoma" w:hAnsi="Tahoma" w:cs="Tahoma"/>
          <w:sz w:val="22"/>
          <w:szCs w:val="22"/>
        </w:rPr>
        <w:t xml:space="preserve"> vigente a la fecha de celebr</w:t>
      </w:r>
      <w:r w:rsidR="00521F51">
        <w:rPr>
          <w:rFonts w:ascii="Tahoma" w:hAnsi="Tahoma" w:cs="Tahoma"/>
          <w:sz w:val="22"/>
          <w:szCs w:val="22"/>
        </w:rPr>
        <w:t>arse el contrato de compraventa,</w:t>
      </w:r>
      <w:r w:rsidRPr="00AD1B24">
        <w:rPr>
          <w:rFonts w:ascii="Tahoma" w:hAnsi="Tahoma" w:cs="Tahoma"/>
          <w:sz w:val="22"/>
          <w:szCs w:val="22"/>
        </w:rPr>
        <w:t xml:space="preserve"> se habr</w:t>
      </w:r>
      <w:r w:rsidR="00521F51">
        <w:rPr>
          <w:rFonts w:ascii="Tahoma" w:hAnsi="Tahoma" w:cs="Tahoma"/>
          <w:sz w:val="22"/>
          <w:szCs w:val="22"/>
        </w:rPr>
        <w:t>ía</w:t>
      </w:r>
      <w:r w:rsidRPr="00AD1B24">
        <w:rPr>
          <w:rFonts w:ascii="Tahoma" w:hAnsi="Tahoma" w:cs="Tahoma"/>
          <w:sz w:val="22"/>
          <w:szCs w:val="22"/>
        </w:rPr>
        <w:t xml:space="preserve"> incumplido con las obligaciones contraídas en la promesa, evento que el legislador castiga con acciones diferentes a la nulidad.</w:t>
      </w:r>
    </w:p>
    <w:p w:rsidR="00521F51" w:rsidRDefault="00521F51" w:rsidP="00521F51">
      <w:pPr>
        <w:widowControl w:val="0"/>
        <w:autoSpaceDE w:val="0"/>
        <w:autoSpaceDN w:val="0"/>
        <w:adjustRightInd w:val="0"/>
        <w:spacing w:line="276" w:lineRule="auto"/>
        <w:ind w:firstLine="709"/>
        <w:jc w:val="both"/>
        <w:rPr>
          <w:rFonts w:ascii="Tahoma" w:hAnsi="Tahoma" w:cs="Tahoma"/>
          <w:sz w:val="22"/>
          <w:szCs w:val="22"/>
        </w:rPr>
      </w:pPr>
    </w:p>
    <w:p w:rsidR="00096354" w:rsidRDefault="00521F51"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Aclarado lo anterior, hay que decir que el </w:t>
      </w:r>
      <w:proofErr w:type="spellStart"/>
      <w:r>
        <w:rPr>
          <w:rFonts w:ascii="Tahoma" w:hAnsi="Tahoma" w:cs="Tahoma"/>
          <w:sz w:val="22"/>
          <w:szCs w:val="22"/>
        </w:rPr>
        <w:t>incidentista</w:t>
      </w:r>
      <w:proofErr w:type="spellEnd"/>
      <w:r>
        <w:rPr>
          <w:rFonts w:ascii="Tahoma" w:hAnsi="Tahoma" w:cs="Tahoma"/>
          <w:sz w:val="22"/>
          <w:szCs w:val="22"/>
        </w:rPr>
        <w:t xml:space="preserve"> por cuenta de la suscripción de esa promesa de compraventa alega que se convirtió en poseedor de las mejoras, de suerte que lo que hay que </w:t>
      </w:r>
      <w:r w:rsidR="00096354">
        <w:rPr>
          <w:rFonts w:ascii="Tahoma" w:hAnsi="Tahoma" w:cs="Tahoma"/>
          <w:sz w:val="22"/>
          <w:szCs w:val="22"/>
        </w:rPr>
        <w:t xml:space="preserve">analizar no es la validez o no de la promesa de compraventa sino de que efectivamente </w:t>
      </w:r>
      <w:r w:rsidR="00BF1CCA">
        <w:rPr>
          <w:rFonts w:ascii="Tahoma" w:hAnsi="Tahoma" w:cs="Tahoma"/>
          <w:sz w:val="22"/>
          <w:szCs w:val="22"/>
        </w:rPr>
        <w:t>LUIS ALBERTO GIRALDO GARCÍA</w:t>
      </w:r>
      <w:r w:rsidR="00096354">
        <w:rPr>
          <w:rFonts w:ascii="Tahoma" w:hAnsi="Tahoma" w:cs="Tahoma"/>
          <w:sz w:val="22"/>
          <w:szCs w:val="22"/>
        </w:rPr>
        <w:t xml:space="preserve"> a partir de la celebración de esa promesa de compraventa realizó verdaderos actos de señor y dueño sobre las mejoras con antelación a la diligencia de secuestro. El interregno temporal de tales actos se circunscriben entre el 3</w:t>
      </w:r>
      <w:r w:rsidR="001F4A8A">
        <w:rPr>
          <w:rFonts w:ascii="Tahoma" w:hAnsi="Tahoma" w:cs="Tahoma"/>
          <w:sz w:val="22"/>
          <w:szCs w:val="22"/>
        </w:rPr>
        <w:t>1 de agosto</w:t>
      </w:r>
      <w:r w:rsidR="00096354">
        <w:rPr>
          <w:rFonts w:ascii="Tahoma" w:hAnsi="Tahoma" w:cs="Tahoma"/>
          <w:sz w:val="22"/>
          <w:szCs w:val="22"/>
        </w:rPr>
        <w:t xml:space="preserve"> de 2012 (fecha de suscripción de la referida promesa) y la diligencia de secuestro que se hizo el 6 de ese mismo mes y año conforme se ve a folio 239 y ss., esto es,</w:t>
      </w:r>
      <w:r w:rsidR="003E299B">
        <w:rPr>
          <w:rFonts w:ascii="Tahoma" w:hAnsi="Tahoma" w:cs="Tahoma"/>
          <w:sz w:val="22"/>
          <w:szCs w:val="22"/>
        </w:rPr>
        <w:t xml:space="preserve"> a lo</w:t>
      </w:r>
      <w:r w:rsidR="00096354">
        <w:rPr>
          <w:rFonts w:ascii="Tahoma" w:hAnsi="Tahoma" w:cs="Tahoma"/>
          <w:sz w:val="22"/>
          <w:szCs w:val="22"/>
        </w:rPr>
        <w:t xml:space="preserve"> sumo durante </w:t>
      </w:r>
      <w:r w:rsidR="001F4A8A">
        <w:rPr>
          <w:rFonts w:ascii="Tahoma" w:hAnsi="Tahoma" w:cs="Tahoma"/>
          <w:sz w:val="22"/>
          <w:szCs w:val="22"/>
        </w:rPr>
        <w:t>7</w:t>
      </w:r>
      <w:r w:rsidR="00096354">
        <w:rPr>
          <w:rFonts w:ascii="Tahoma" w:hAnsi="Tahoma" w:cs="Tahoma"/>
          <w:sz w:val="22"/>
          <w:szCs w:val="22"/>
        </w:rPr>
        <w:t xml:space="preserve"> días. </w:t>
      </w:r>
    </w:p>
    <w:p w:rsidR="00096354" w:rsidRDefault="00096354" w:rsidP="00521F51">
      <w:pPr>
        <w:widowControl w:val="0"/>
        <w:autoSpaceDE w:val="0"/>
        <w:autoSpaceDN w:val="0"/>
        <w:adjustRightInd w:val="0"/>
        <w:spacing w:line="276" w:lineRule="auto"/>
        <w:ind w:firstLine="709"/>
        <w:jc w:val="both"/>
        <w:rPr>
          <w:rFonts w:ascii="Tahoma" w:hAnsi="Tahoma" w:cs="Tahoma"/>
          <w:sz w:val="22"/>
          <w:szCs w:val="22"/>
        </w:rPr>
      </w:pPr>
    </w:p>
    <w:p w:rsidR="00096354" w:rsidRDefault="00096354"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términos prácticos resulta supremamente difícil realizar actos de señor y dueño sobre las mejoras de un inmueble durante tan corto tiempo, pero el </w:t>
      </w:r>
      <w:proofErr w:type="spellStart"/>
      <w:r>
        <w:rPr>
          <w:rFonts w:ascii="Tahoma" w:hAnsi="Tahoma" w:cs="Tahoma"/>
          <w:sz w:val="22"/>
          <w:szCs w:val="22"/>
        </w:rPr>
        <w:t>incidentista</w:t>
      </w:r>
      <w:proofErr w:type="spellEnd"/>
      <w:r>
        <w:rPr>
          <w:rFonts w:ascii="Tahoma" w:hAnsi="Tahoma" w:cs="Tahoma"/>
          <w:sz w:val="22"/>
          <w:szCs w:val="22"/>
        </w:rPr>
        <w:t xml:space="preserve"> insiste en que las mismas se contraen en la celebración de la promesa de compraventa, las comunicaciones enviadas a los arrendatarios de los dos locales comerciales que posee el inmueble, una serie de reparaciones locativas que hizo en el sitio y la recepción </w:t>
      </w:r>
      <w:r w:rsidR="003E299B">
        <w:rPr>
          <w:rFonts w:ascii="Tahoma" w:hAnsi="Tahoma" w:cs="Tahoma"/>
          <w:sz w:val="22"/>
          <w:szCs w:val="22"/>
        </w:rPr>
        <w:t xml:space="preserve">para sí </w:t>
      </w:r>
      <w:r>
        <w:rPr>
          <w:rFonts w:ascii="Tahoma" w:hAnsi="Tahoma" w:cs="Tahoma"/>
          <w:sz w:val="22"/>
          <w:szCs w:val="22"/>
        </w:rPr>
        <w:t xml:space="preserve">de los cánones de </w:t>
      </w:r>
      <w:r>
        <w:rPr>
          <w:rFonts w:ascii="Tahoma" w:hAnsi="Tahoma" w:cs="Tahoma"/>
          <w:sz w:val="22"/>
          <w:szCs w:val="22"/>
        </w:rPr>
        <w:lastRenderedPageBreak/>
        <w:t xml:space="preserve">arrendamiento.   </w:t>
      </w:r>
    </w:p>
    <w:p w:rsidR="00096354" w:rsidRDefault="00096354" w:rsidP="00521F51">
      <w:pPr>
        <w:widowControl w:val="0"/>
        <w:autoSpaceDE w:val="0"/>
        <w:autoSpaceDN w:val="0"/>
        <w:adjustRightInd w:val="0"/>
        <w:spacing w:line="276" w:lineRule="auto"/>
        <w:ind w:firstLine="709"/>
        <w:jc w:val="both"/>
        <w:rPr>
          <w:rFonts w:ascii="Tahoma" w:hAnsi="Tahoma" w:cs="Tahoma"/>
          <w:sz w:val="22"/>
          <w:szCs w:val="22"/>
        </w:rPr>
      </w:pPr>
    </w:p>
    <w:p w:rsidR="003E299B" w:rsidRDefault="003E299B"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De tales actos, los únicos que se realizaron durante los </w:t>
      </w:r>
      <w:r w:rsidR="001F4A8A">
        <w:rPr>
          <w:rFonts w:ascii="Tahoma" w:hAnsi="Tahoma" w:cs="Tahoma"/>
          <w:sz w:val="22"/>
          <w:szCs w:val="22"/>
        </w:rPr>
        <w:t>7</w:t>
      </w:r>
      <w:r>
        <w:rPr>
          <w:rFonts w:ascii="Tahoma" w:hAnsi="Tahoma" w:cs="Tahoma"/>
          <w:sz w:val="22"/>
          <w:szCs w:val="22"/>
        </w:rPr>
        <w:t xml:space="preserve"> días fueron los dos primero, es decir, la suscripción de la promesa de compraventa y la remisión de las misivas a los arrendatarios anunciándoles dicha negociación. Sobre el particular, sobra decir que la celebración de una promesa de compraventa no es un acto de señor y dueño, sino todo lo contrario, porque con la misma se reconoce que el dominio de la cosa prometida está en cabeza de la promitente vendedora, y que sólo cuando se perfeccione el negocio prometido, pasará el dominio y posesión del bien en cabeza del promitente comprador. El sólo reconocimiento de un dueño distinto a quien se reputa poseedor, riñe abiertamente con la figura de la posesión. </w:t>
      </w:r>
    </w:p>
    <w:p w:rsidR="003E299B" w:rsidRDefault="003E299B" w:rsidP="00521F51">
      <w:pPr>
        <w:widowControl w:val="0"/>
        <w:autoSpaceDE w:val="0"/>
        <w:autoSpaceDN w:val="0"/>
        <w:adjustRightInd w:val="0"/>
        <w:spacing w:line="276" w:lineRule="auto"/>
        <w:ind w:firstLine="709"/>
        <w:jc w:val="both"/>
        <w:rPr>
          <w:rFonts w:ascii="Tahoma" w:hAnsi="Tahoma" w:cs="Tahoma"/>
          <w:sz w:val="22"/>
          <w:szCs w:val="22"/>
        </w:rPr>
      </w:pPr>
    </w:p>
    <w:p w:rsidR="003E299B" w:rsidRDefault="003E299B"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Respecto a las 2 comunicaciones que se enviaron a los arrendatarios de los locales, mediante los cuales la propia </w:t>
      </w:r>
      <w:r w:rsidR="00BF1CCA">
        <w:rPr>
          <w:rFonts w:ascii="Tahoma" w:hAnsi="Tahoma" w:cs="Tahoma"/>
          <w:sz w:val="22"/>
          <w:szCs w:val="22"/>
        </w:rPr>
        <w:t>ROSALBA GRAJALES DE RENDÓN</w:t>
      </w:r>
      <w:r>
        <w:rPr>
          <w:rFonts w:ascii="Tahoma" w:hAnsi="Tahoma" w:cs="Tahoma"/>
          <w:sz w:val="22"/>
          <w:szCs w:val="22"/>
        </w:rPr>
        <w:t xml:space="preserve"> les anuncia que el inmueble fue vendido el pasado 1° de septiembre de 2012 al señor </w:t>
      </w:r>
      <w:r w:rsidR="00BF1CCA">
        <w:rPr>
          <w:rFonts w:ascii="Tahoma" w:hAnsi="Tahoma" w:cs="Tahoma"/>
          <w:sz w:val="22"/>
          <w:szCs w:val="22"/>
        </w:rPr>
        <w:t>LUIS ALBERTO GIRALDO GARCÍA</w:t>
      </w:r>
      <w:r>
        <w:rPr>
          <w:rFonts w:ascii="Tahoma" w:hAnsi="Tahoma" w:cs="Tahoma"/>
          <w:sz w:val="22"/>
          <w:szCs w:val="22"/>
        </w:rPr>
        <w:t xml:space="preserve"> y que por tanto </w:t>
      </w:r>
      <w:r>
        <w:rPr>
          <w:rFonts w:ascii="Tahoma" w:hAnsi="Tahoma" w:cs="Tahoma"/>
          <w:i/>
          <w:sz w:val="22"/>
          <w:szCs w:val="22"/>
        </w:rPr>
        <w:t xml:space="preserve">“a partir de la fecha” </w:t>
      </w:r>
      <w:r>
        <w:rPr>
          <w:rFonts w:ascii="Tahoma" w:hAnsi="Tahoma" w:cs="Tahoma"/>
          <w:sz w:val="22"/>
          <w:szCs w:val="22"/>
        </w:rPr>
        <w:t xml:space="preserve">el local que ocupa queda a cargo del nuevo propietario </w:t>
      </w:r>
      <w:r w:rsidR="007A09FA">
        <w:rPr>
          <w:rFonts w:ascii="Tahoma" w:hAnsi="Tahoma" w:cs="Tahoma"/>
          <w:sz w:val="22"/>
          <w:szCs w:val="22"/>
        </w:rPr>
        <w:t xml:space="preserve">con quien debe seguir entendiéndose para todos los efectos del contrato de arrendamiento, debe decir la Sala que no constituyen actos de señor y dueño del </w:t>
      </w:r>
      <w:proofErr w:type="spellStart"/>
      <w:r w:rsidR="007A09FA">
        <w:rPr>
          <w:rFonts w:ascii="Tahoma" w:hAnsi="Tahoma" w:cs="Tahoma"/>
          <w:sz w:val="22"/>
          <w:szCs w:val="22"/>
        </w:rPr>
        <w:t>incidentista</w:t>
      </w:r>
      <w:proofErr w:type="spellEnd"/>
      <w:r w:rsidR="007A09FA">
        <w:rPr>
          <w:rFonts w:ascii="Tahoma" w:hAnsi="Tahoma" w:cs="Tahoma"/>
          <w:sz w:val="22"/>
          <w:szCs w:val="22"/>
        </w:rPr>
        <w:t xml:space="preserve"> por cuanto quien los suscribe no es él sino la ejecutada, amen que, por una parte, se anuncia una fecha y un negocio diferente al realmente celebrado, pues en realidad no se convino una venta sino una promesa de venta que se hizo el 3</w:t>
      </w:r>
      <w:r w:rsidR="00C854DF">
        <w:rPr>
          <w:rFonts w:ascii="Tahoma" w:hAnsi="Tahoma" w:cs="Tahoma"/>
          <w:sz w:val="22"/>
          <w:szCs w:val="22"/>
        </w:rPr>
        <w:t>1 de agosto</w:t>
      </w:r>
      <w:r w:rsidR="007A09FA">
        <w:rPr>
          <w:rFonts w:ascii="Tahoma" w:hAnsi="Tahoma" w:cs="Tahoma"/>
          <w:sz w:val="22"/>
          <w:szCs w:val="22"/>
        </w:rPr>
        <w:t xml:space="preserve"> y no el 1° de septiembre. Por otras parte, de acuerdo a las facturas de la empresa de correo 472, tales misivas se </w:t>
      </w:r>
      <w:proofErr w:type="spellStart"/>
      <w:r w:rsidR="007A09FA">
        <w:rPr>
          <w:rFonts w:ascii="Tahoma" w:hAnsi="Tahoma" w:cs="Tahoma"/>
          <w:sz w:val="22"/>
          <w:szCs w:val="22"/>
        </w:rPr>
        <w:t>recepcionaron</w:t>
      </w:r>
      <w:proofErr w:type="spellEnd"/>
      <w:r w:rsidR="007A09FA">
        <w:rPr>
          <w:rFonts w:ascii="Tahoma" w:hAnsi="Tahoma" w:cs="Tahoma"/>
          <w:sz w:val="22"/>
          <w:szCs w:val="22"/>
        </w:rPr>
        <w:t xml:space="preserve"> en esa empresa el 4 de septiembre y no se sabe cuándo fueron recibidas por los arrendatarios toda vez que en tratándose de la modalidad de correo certificado, por regla general, la correspondencia no se entrega inmediatamente sino</w:t>
      </w:r>
      <w:r w:rsidR="007A09FA">
        <w:rPr>
          <w:rFonts w:ascii="Tahoma" w:hAnsi="Tahoma" w:cs="Tahoma"/>
          <w:i/>
          <w:sz w:val="22"/>
          <w:szCs w:val="22"/>
        </w:rPr>
        <w:t xml:space="preserve"> </w:t>
      </w:r>
      <w:r w:rsidR="007A09FA">
        <w:rPr>
          <w:rFonts w:ascii="Tahoma" w:hAnsi="Tahoma" w:cs="Tahoma"/>
          <w:sz w:val="22"/>
          <w:szCs w:val="22"/>
        </w:rPr>
        <w:t xml:space="preserve">dos o tres días después, cosa que al fin de cuentas jamás se probó en este asunto por parte del </w:t>
      </w:r>
      <w:proofErr w:type="spellStart"/>
      <w:r w:rsidR="007A09FA">
        <w:rPr>
          <w:rFonts w:ascii="Tahoma" w:hAnsi="Tahoma" w:cs="Tahoma"/>
          <w:sz w:val="22"/>
          <w:szCs w:val="22"/>
        </w:rPr>
        <w:t>incidentista</w:t>
      </w:r>
      <w:proofErr w:type="spellEnd"/>
      <w:r w:rsidR="007A09FA">
        <w:rPr>
          <w:rFonts w:ascii="Tahoma" w:hAnsi="Tahoma" w:cs="Tahoma"/>
          <w:sz w:val="22"/>
          <w:szCs w:val="22"/>
        </w:rPr>
        <w:t>. Llama la atención que el 6 de septiembre de 2012, fecha de la diligencia de secuestro, una de las arrendatarias, señora LINA OSPINA, no le hubiera comentado al Señor Inspector dicha circunstancia</w:t>
      </w:r>
      <w:r w:rsidR="003424ED">
        <w:rPr>
          <w:rFonts w:ascii="Tahoma" w:hAnsi="Tahoma" w:cs="Tahoma"/>
          <w:sz w:val="22"/>
          <w:szCs w:val="22"/>
        </w:rPr>
        <w:t xml:space="preserve">, y por el contrario claramente identificó como su arrendadora a la Señora </w:t>
      </w:r>
      <w:r w:rsidR="00BF1CCA">
        <w:rPr>
          <w:rFonts w:ascii="Tahoma" w:hAnsi="Tahoma" w:cs="Tahoma"/>
          <w:sz w:val="22"/>
          <w:szCs w:val="22"/>
        </w:rPr>
        <w:t>ROSALBA GRAJALES DE RENDÓN</w:t>
      </w:r>
      <w:r w:rsidR="003424ED">
        <w:rPr>
          <w:rFonts w:ascii="Tahoma" w:hAnsi="Tahoma" w:cs="Tahoma"/>
          <w:sz w:val="22"/>
          <w:szCs w:val="22"/>
        </w:rPr>
        <w:t>.</w:t>
      </w:r>
    </w:p>
    <w:p w:rsidR="003424ED" w:rsidRDefault="003424ED" w:rsidP="00521F51">
      <w:pPr>
        <w:widowControl w:val="0"/>
        <w:autoSpaceDE w:val="0"/>
        <w:autoSpaceDN w:val="0"/>
        <w:adjustRightInd w:val="0"/>
        <w:spacing w:line="276" w:lineRule="auto"/>
        <w:ind w:firstLine="709"/>
        <w:jc w:val="both"/>
        <w:rPr>
          <w:rFonts w:ascii="Tahoma" w:hAnsi="Tahoma" w:cs="Tahoma"/>
          <w:sz w:val="22"/>
          <w:szCs w:val="22"/>
        </w:rPr>
      </w:pPr>
    </w:p>
    <w:p w:rsidR="003424ED" w:rsidRDefault="003424ED"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En relación con los otros actos de posesión alegados por el </w:t>
      </w:r>
      <w:proofErr w:type="spellStart"/>
      <w:r>
        <w:rPr>
          <w:rFonts w:ascii="Tahoma" w:hAnsi="Tahoma" w:cs="Tahoma"/>
          <w:sz w:val="22"/>
          <w:szCs w:val="22"/>
        </w:rPr>
        <w:t>incidentista</w:t>
      </w:r>
      <w:proofErr w:type="spellEnd"/>
      <w:r>
        <w:rPr>
          <w:rFonts w:ascii="Tahoma" w:hAnsi="Tahoma" w:cs="Tahoma"/>
          <w:sz w:val="22"/>
          <w:szCs w:val="22"/>
        </w:rPr>
        <w:t xml:space="preserve">, </w:t>
      </w:r>
      <w:r w:rsidR="00C854DF">
        <w:rPr>
          <w:rFonts w:ascii="Tahoma" w:hAnsi="Tahoma" w:cs="Tahoma"/>
          <w:sz w:val="22"/>
          <w:szCs w:val="22"/>
        </w:rPr>
        <w:t xml:space="preserve">a saber, arreglos locativos, la interposición de una acción de tutela, la recepción de los cánones de arrendamiento, </w:t>
      </w:r>
      <w:r>
        <w:rPr>
          <w:rFonts w:ascii="Tahoma" w:hAnsi="Tahoma" w:cs="Tahoma"/>
          <w:sz w:val="22"/>
          <w:szCs w:val="22"/>
        </w:rPr>
        <w:t>en vista de que todos fueron hechos con posteriorida</w:t>
      </w:r>
      <w:r w:rsidR="00C854DF">
        <w:rPr>
          <w:rFonts w:ascii="Tahoma" w:hAnsi="Tahoma" w:cs="Tahoma"/>
          <w:sz w:val="22"/>
          <w:szCs w:val="22"/>
        </w:rPr>
        <w:t xml:space="preserve">d a la diligencia de secuestro (prácticamente a partir del 2015) </w:t>
      </w:r>
      <w:r>
        <w:rPr>
          <w:rFonts w:ascii="Tahoma" w:hAnsi="Tahoma" w:cs="Tahoma"/>
          <w:sz w:val="22"/>
          <w:szCs w:val="22"/>
        </w:rPr>
        <w:t xml:space="preserve">ellos no producen efecto jurídico alguno respecto a la pretensión de levantar el embargo y secuestro de las mejoras, de manera que resulta inútil valorar las pruebas que sobre tales actos existe en el </w:t>
      </w:r>
      <w:r w:rsidR="000E359D">
        <w:rPr>
          <w:rFonts w:ascii="Tahoma" w:hAnsi="Tahoma" w:cs="Tahoma"/>
          <w:sz w:val="22"/>
          <w:szCs w:val="22"/>
        </w:rPr>
        <w:t>expediente</w:t>
      </w:r>
      <w:r w:rsidR="008155BF">
        <w:rPr>
          <w:rFonts w:ascii="Tahoma" w:hAnsi="Tahoma" w:cs="Tahoma"/>
          <w:sz w:val="22"/>
          <w:szCs w:val="22"/>
        </w:rPr>
        <w:t xml:space="preserve">, toda vez que </w:t>
      </w:r>
      <w:r w:rsidR="008155BF" w:rsidRPr="008155BF">
        <w:rPr>
          <w:rFonts w:ascii="Tahoma" w:hAnsi="Tahoma" w:cs="Tahoma"/>
          <w:sz w:val="22"/>
          <w:szCs w:val="22"/>
        </w:rPr>
        <w:t xml:space="preserve">en el </w:t>
      </w:r>
      <w:r w:rsidR="008155BF">
        <w:rPr>
          <w:rFonts w:ascii="Tahoma" w:hAnsi="Tahoma" w:cs="Tahoma"/>
          <w:sz w:val="22"/>
          <w:szCs w:val="22"/>
        </w:rPr>
        <w:t>i</w:t>
      </w:r>
      <w:r w:rsidR="008155BF" w:rsidRPr="008155BF">
        <w:rPr>
          <w:rFonts w:ascii="Tahoma" w:hAnsi="Tahoma" w:cs="Tahoma"/>
          <w:sz w:val="22"/>
          <w:szCs w:val="22"/>
        </w:rPr>
        <w:t xml:space="preserve">ncidente de levantamiento de embargo </w:t>
      </w:r>
      <w:r w:rsidR="000E359D">
        <w:rPr>
          <w:rFonts w:ascii="Tahoma" w:hAnsi="Tahoma" w:cs="Tahoma"/>
          <w:sz w:val="22"/>
          <w:szCs w:val="22"/>
        </w:rPr>
        <w:t>promovido por</w:t>
      </w:r>
      <w:r w:rsidR="008155BF" w:rsidRPr="008155BF">
        <w:rPr>
          <w:rFonts w:ascii="Tahoma" w:hAnsi="Tahoma" w:cs="Tahoma"/>
          <w:sz w:val="22"/>
          <w:szCs w:val="22"/>
        </w:rPr>
        <w:t xml:space="preserve"> quien se reputa tercero poseedor,  </w:t>
      </w:r>
      <w:r w:rsidR="008155BF" w:rsidRPr="008155BF">
        <w:rPr>
          <w:rFonts w:ascii="Tahoma" w:hAnsi="Tahoma" w:cs="Tahoma"/>
          <w:bCs/>
          <w:spacing w:val="2"/>
          <w:sz w:val="22"/>
          <w:szCs w:val="22"/>
        </w:rPr>
        <w:t>los actos de posesión deben ser anteriores a la diligencia de secuestro</w:t>
      </w:r>
      <w:r>
        <w:rPr>
          <w:rFonts w:ascii="Tahoma" w:hAnsi="Tahoma" w:cs="Tahoma"/>
          <w:sz w:val="22"/>
          <w:szCs w:val="22"/>
        </w:rPr>
        <w:t>.</w:t>
      </w:r>
      <w:r w:rsidR="00C854DF">
        <w:rPr>
          <w:rFonts w:ascii="Tahoma" w:hAnsi="Tahoma" w:cs="Tahoma"/>
          <w:sz w:val="22"/>
          <w:szCs w:val="22"/>
        </w:rPr>
        <w:t xml:space="preserve"> Con todo, no puede pasar inadvertido esta Sala que desde el 6 de septiembre de 2012 en realidad las mejoras (los locales comerciales y los contratos de arrendamiento) quedaron por cuenta del señor Secuestre, lo que explica, por ejemplo, que el </w:t>
      </w:r>
      <w:proofErr w:type="spellStart"/>
      <w:r w:rsidR="00C854DF">
        <w:rPr>
          <w:rFonts w:ascii="Tahoma" w:hAnsi="Tahoma" w:cs="Tahoma"/>
          <w:sz w:val="22"/>
          <w:szCs w:val="22"/>
        </w:rPr>
        <w:t>incidentista</w:t>
      </w:r>
      <w:proofErr w:type="spellEnd"/>
      <w:r w:rsidR="00C854DF">
        <w:rPr>
          <w:rFonts w:ascii="Tahoma" w:hAnsi="Tahoma" w:cs="Tahoma"/>
          <w:sz w:val="22"/>
          <w:szCs w:val="22"/>
        </w:rPr>
        <w:t xml:space="preserve"> sólo pudo recibir el canon de arrendamiento una vez el señor secuestre terminó su actuación, toda vez que, recuérdese, el 10 de marzo de 2015, el juzgado de conocimiento terminó el proceso por pago total de la obligación, decisión que si bien fue revocada con posterioridad, a las claras indica que hasta esa fecha las mejoras estaban a cargo del señor secuestre y no de LUIS ALBERTO. Es más, fíjese que incluso las reparaciones locativas </w:t>
      </w:r>
      <w:r w:rsidR="00594EE9">
        <w:rPr>
          <w:rFonts w:ascii="Tahoma" w:hAnsi="Tahoma" w:cs="Tahoma"/>
          <w:sz w:val="22"/>
          <w:szCs w:val="22"/>
        </w:rPr>
        <w:t xml:space="preserve">de </w:t>
      </w:r>
      <w:r w:rsidR="00C854DF">
        <w:rPr>
          <w:rFonts w:ascii="Tahoma" w:hAnsi="Tahoma" w:cs="Tahoma"/>
          <w:sz w:val="22"/>
          <w:szCs w:val="22"/>
        </w:rPr>
        <w:t xml:space="preserve">que dan cuenta los testigos </w:t>
      </w:r>
      <w:r w:rsidR="005A385A">
        <w:rPr>
          <w:rFonts w:ascii="Tahoma" w:hAnsi="Tahoma" w:cs="Tahoma"/>
          <w:sz w:val="22"/>
          <w:szCs w:val="22"/>
        </w:rPr>
        <w:t>SONIA FERNANDA TOVAR DUQUE y JOSÉ RODRIGO RODRIGUEZ</w:t>
      </w:r>
      <w:r w:rsidR="00C854DF">
        <w:rPr>
          <w:rFonts w:ascii="Tahoma" w:hAnsi="Tahoma" w:cs="Tahoma"/>
          <w:sz w:val="22"/>
          <w:szCs w:val="22"/>
        </w:rPr>
        <w:t xml:space="preserve"> también se realizaron </w:t>
      </w:r>
      <w:r w:rsidR="00594EE9">
        <w:rPr>
          <w:rFonts w:ascii="Tahoma" w:hAnsi="Tahoma" w:cs="Tahoma"/>
          <w:sz w:val="22"/>
          <w:szCs w:val="22"/>
        </w:rPr>
        <w:t xml:space="preserve">a partir de </w:t>
      </w:r>
      <w:r w:rsidR="00C854DF">
        <w:rPr>
          <w:rFonts w:ascii="Tahoma" w:hAnsi="Tahoma" w:cs="Tahoma"/>
          <w:sz w:val="22"/>
          <w:szCs w:val="22"/>
        </w:rPr>
        <w:t xml:space="preserve">ese año y no antes. </w:t>
      </w:r>
      <w:r>
        <w:rPr>
          <w:rFonts w:ascii="Tahoma" w:hAnsi="Tahoma" w:cs="Tahoma"/>
          <w:sz w:val="22"/>
          <w:szCs w:val="22"/>
        </w:rPr>
        <w:t xml:space="preserve"> </w:t>
      </w:r>
    </w:p>
    <w:p w:rsidR="00521F51" w:rsidRDefault="00096354" w:rsidP="00521F51">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 </w:t>
      </w:r>
      <w:r w:rsidR="003424ED">
        <w:rPr>
          <w:rFonts w:ascii="Tahoma" w:hAnsi="Tahoma" w:cs="Tahoma"/>
          <w:sz w:val="22"/>
          <w:szCs w:val="22"/>
        </w:rPr>
        <w:t xml:space="preserve"> </w:t>
      </w:r>
    </w:p>
    <w:p w:rsidR="00F337B9" w:rsidRDefault="00773E9E" w:rsidP="009964A0">
      <w:pPr>
        <w:widowControl w:val="0"/>
        <w:autoSpaceDE w:val="0"/>
        <w:autoSpaceDN w:val="0"/>
        <w:adjustRightInd w:val="0"/>
        <w:spacing w:line="276" w:lineRule="auto"/>
        <w:jc w:val="both"/>
        <w:rPr>
          <w:rFonts w:ascii="Tahoma" w:hAnsi="Tahoma" w:cs="Tahoma"/>
          <w:sz w:val="22"/>
          <w:szCs w:val="22"/>
        </w:rPr>
      </w:pPr>
      <w:r>
        <w:rPr>
          <w:rFonts w:ascii="Tahoma" w:hAnsi="Tahoma" w:cs="Tahoma"/>
          <w:i/>
          <w:sz w:val="22"/>
          <w:szCs w:val="22"/>
        </w:rPr>
        <w:t xml:space="preserve"> </w:t>
      </w:r>
      <w:r>
        <w:rPr>
          <w:rFonts w:ascii="Tahoma" w:hAnsi="Tahoma" w:cs="Tahoma"/>
          <w:sz w:val="22"/>
          <w:szCs w:val="22"/>
        </w:rPr>
        <w:t xml:space="preserve">    </w:t>
      </w:r>
      <w:r w:rsidR="000D376C">
        <w:rPr>
          <w:rFonts w:ascii="Tahoma" w:hAnsi="Tahoma" w:cs="Tahoma"/>
          <w:sz w:val="22"/>
          <w:szCs w:val="22"/>
        </w:rPr>
        <w:t xml:space="preserve"> </w:t>
      </w:r>
      <w:r w:rsidR="009964A0">
        <w:rPr>
          <w:rFonts w:ascii="Tahoma" w:hAnsi="Tahoma" w:cs="Tahoma"/>
          <w:sz w:val="22"/>
          <w:szCs w:val="22"/>
        </w:rPr>
        <w:t>En consecuencia</w:t>
      </w:r>
      <w:r w:rsidR="009B0924">
        <w:rPr>
          <w:rFonts w:ascii="Tahoma" w:hAnsi="Tahoma" w:cs="Tahoma"/>
          <w:sz w:val="22"/>
          <w:szCs w:val="22"/>
        </w:rPr>
        <w:t>, se confirmará el auto apelado.</w:t>
      </w:r>
    </w:p>
    <w:p w:rsidR="00F337B9" w:rsidRDefault="00F337B9" w:rsidP="002D4FCB">
      <w:pPr>
        <w:widowControl w:val="0"/>
        <w:autoSpaceDE w:val="0"/>
        <w:autoSpaceDN w:val="0"/>
        <w:adjustRightInd w:val="0"/>
        <w:spacing w:line="276" w:lineRule="auto"/>
        <w:ind w:firstLine="709"/>
        <w:jc w:val="both"/>
        <w:rPr>
          <w:rFonts w:ascii="Tahoma" w:hAnsi="Tahoma" w:cs="Tahoma"/>
          <w:sz w:val="22"/>
          <w:szCs w:val="22"/>
        </w:rPr>
      </w:pPr>
    </w:p>
    <w:p w:rsidR="00AA4699" w:rsidRPr="003F6675" w:rsidRDefault="003424ED" w:rsidP="003424ED">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C</w:t>
      </w:r>
      <w:r w:rsidR="00AA4699" w:rsidRPr="003F6675">
        <w:rPr>
          <w:rFonts w:ascii="Tahoma" w:hAnsi="Tahoma" w:cs="Tahoma"/>
          <w:sz w:val="22"/>
          <w:szCs w:val="22"/>
        </w:rPr>
        <w:t xml:space="preserve">ostas en esta instancia </w:t>
      </w:r>
      <w:r>
        <w:rPr>
          <w:rFonts w:ascii="Tahoma" w:hAnsi="Tahoma" w:cs="Tahoma"/>
          <w:sz w:val="22"/>
          <w:szCs w:val="22"/>
        </w:rPr>
        <w:t xml:space="preserve">a cargo del </w:t>
      </w:r>
      <w:proofErr w:type="spellStart"/>
      <w:r>
        <w:rPr>
          <w:rFonts w:ascii="Tahoma" w:hAnsi="Tahoma" w:cs="Tahoma"/>
          <w:sz w:val="22"/>
          <w:szCs w:val="22"/>
        </w:rPr>
        <w:t>incidentista</w:t>
      </w:r>
      <w:proofErr w:type="spellEnd"/>
      <w:r>
        <w:rPr>
          <w:rFonts w:ascii="Tahoma" w:hAnsi="Tahoma" w:cs="Tahoma"/>
          <w:sz w:val="22"/>
          <w:szCs w:val="22"/>
        </w:rPr>
        <w:t xml:space="preserve"> </w:t>
      </w:r>
      <w:r w:rsidR="00BF1CCA">
        <w:rPr>
          <w:rFonts w:ascii="Tahoma" w:hAnsi="Tahoma" w:cs="Tahoma"/>
          <w:sz w:val="22"/>
          <w:szCs w:val="22"/>
        </w:rPr>
        <w:t>LUIS ALBERTO GIRALDO GARCÍA</w:t>
      </w:r>
      <w:r>
        <w:rPr>
          <w:rFonts w:ascii="Tahoma" w:hAnsi="Tahoma" w:cs="Tahoma"/>
          <w:sz w:val="22"/>
          <w:szCs w:val="22"/>
        </w:rPr>
        <w:t xml:space="preserve"> </w:t>
      </w:r>
      <w:r w:rsidR="00AA4699" w:rsidRPr="003F6675">
        <w:rPr>
          <w:rFonts w:ascii="Tahoma" w:hAnsi="Tahoma" w:cs="Tahoma"/>
          <w:sz w:val="22"/>
          <w:szCs w:val="22"/>
        </w:rPr>
        <w:t xml:space="preserve">por </w:t>
      </w:r>
      <w:r w:rsidR="009964A0">
        <w:rPr>
          <w:rFonts w:ascii="Tahoma" w:hAnsi="Tahoma" w:cs="Tahoma"/>
          <w:sz w:val="22"/>
          <w:szCs w:val="22"/>
        </w:rPr>
        <w:t xml:space="preserve">no </w:t>
      </w:r>
      <w:r w:rsidR="00910696" w:rsidRPr="003F6675">
        <w:rPr>
          <w:rFonts w:ascii="Tahoma" w:hAnsi="Tahoma" w:cs="Tahoma"/>
          <w:sz w:val="22"/>
          <w:szCs w:val="22"/>
        </w:rPr>
        <w:t>haber</w:t>
      </w:r>
      <w:r>
        <w:rPr>
          <w:rFonts w:ascii="Tahoma" w:hAnsi="Tahoma" w:cs="Tahoma"/>
          <w:sz w:val="22"/>
          <w:szCs w:val="22"/>
        </w:rPr>
        <w:t xml:space="preserve"> </w:t>
      </w:r>
      <w:r w:rsidR="00BF1CCA">
        <w:rPr>
          <w:rFonts w:ascii="Tahoma" w:hAnsi="Tahoma" w:cs="Tahoma"/>
          <w:sz w:val="22"/>
          <w:szCs w:val="22"/>
        </w:rPr>
        <w:t>prosperado</w:t>
      </w:r>
      <w:r>
        <w:rPr>
          <w:rFonts w:ascii="Tahoma" w:hAnsi="Tahoma" w:cs="Tahoma"/>
          <w:sz w:val="22"/>
          <w:szCs w:val="22"/>
        </w:rPr>
        <w:t xml:space="preserve"> el recurso de apelación, a favor de la parte ejecutante, sucesores </w:t>
      </w:r>
      <w:r>
        <w:rPr>
          <w:rFonts w:ascii="Tahoma" w:hAnsi="Tahoma" w:cs="Tahoma"/>
          <w:sz w:val="22"/>
          <w:szCs w:val="22"/>
        </w:rPr>
        <w:lastRenderedPageBreak/>
        <w:t>procesales del Sr. OCTAVIO QUINCHÍA GRISALES</w:t>
      </w:r>
      <w:r w:rsidR="009964A0">
        <w:rPr>
          <w:rFonts w:ascii="Tahoma" w:hAnsi="Tahoma" w:cs="Tahoma"/>
          <w:sz w:val="22"/>
          <w:szCs w:val="22"/>
        </w:rPr>
        <w:t xml:space="preserve">. </w:t>
      </w:r>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Default="00165F01" w:rsidP="003F6675">
      <w:pPr>
        <w:spacing w:line="276" w:lineRule="auto"/>
        <w:ind w:firstLine="1122"/>
        <w:jc w:val="both"/>
        <w:rPr>
          <w:rFonts w:ascii="Tahoma" w:hAnsi="Tahoma" w:cs="Tahoma"/>
          <w:spacing w:val="-2"/>
          <w:sz w:val="22"/>
          <w:szCs w:val="22"/>
        </w:rPr>
      </w:pPr>
    </w:p>
    <w:p w:rsidR="00FC25F8" w:rsidRPr="003F6675" w:rsidRDefault="00FC25F8"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Default="007D4D1B" w:rsidP="003F6675">
      <w:pPr>
        <w:widowControl w:val="0"/>
        <w:autoSpaceDE w:val="0"/>
        <w:autoSpaceDN w:val="0"/>
        <w:adjustRightInd w:val="0"/>
        <w:spacing w:line="276" w:lineRule="auto"/>
        <w:jc w:val="both"/>
        <w:rPr>
          <w:rFonts w:ascii="Tahoma" w:hAnsi="Tahoma" w:cs="Tahoma"/>
          <w:sz w:val="22"/>
          <w:szCs w:val="22"/>
        </w:rPr>
      </w:pPr>
    </w:p>
    <w:p w:rsidR="00FC25F8" w:rsidRPr="003F6675" w:rsidRDefault="00FC25F8" w:rsidP="003F6675">
      <w:pPr>
        <w:widowControl w:val="0"/>
        <w:autoSpaceDE w:val="0"/>
        <w:autoSpaceDN w:val="0"/>
        <w:adjustRightInd w:val="0"/>
        <w:spacing w:line="276" w:lineRule="auto"/>
        <w:jc w:val="both"/>
        <w:rPr>
          <w:rFonts w:ascii="Tahoma" w:hAnsi="Tahoma" w:cs="Tahoma"/>
          <w:sz w:val="22"/>
          <w:szCs w:val="22"/>
        </w:rPr>
      </w:pPr>
    </w:p>
    <w:p w:rsidR="00853D9C" w:rsidRPr="003F6675" w:rsidRDefault="007D4D1B" w:rsidP="003F6675">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9964A0">
        <w:rPr>
          <w:rFonts w:ascii="Tahoma" w:hAnsi="Tahoma" w:cs="Tahoma"/>
          <w:b/>
          <w:sz w:val="22"/>
          <w:szCs w:val="22"/>
        </w:rPr>
        <w:t>CONFIRMAR</w:t>
      </w:r>
      <w:r w:rsidR="005E0803">
        <w:rPr>
          <w:rFonts w:ascii="Tahoma" w:hAnsi="Tahoma" w:cs="Tahoma"/>
          <w:b/>
          <w:sz w:val="22"/>
          <w:szCs w:val="22"/>
        </w:rPr>
        <w:t xml:space="preserve"> </w:t>
      </w:r>
      <w:r w:rsidR="005E0803">
        <w:rPr>
          <w:rFonts w:ascii="Tahoma" w:hAnsi="Tahoma" w:cs="Tahoma"/>
          <w:sz w:val="22"/>
          <w:szCs w:val="22"/>
        </w:rPr>
        <w:t xml:space="preserve">el </w:t>
      </w:r>
      <w:r w:rsidR="00F337B9">
        <w:rPr>
          <w:rFonts w:ascii="Tahoma" w:hAnsi="Tahoma" w:cs="Tahoma"/>
          <w:sz w:val="22"/>
          <w:szCs w:val="22"/>
        </w:rPr>
        <w:t xml:space="preserve">auto </w:t>
      </w:r>
      <w:r w:rsidR="009964A0">
        <w:rPr>
          <w:rFonts w:ascii="Tahoma" w:hAnsi="Tahoma" w:cs="Tahoma"/>
          <w:sz w:val="22"/>
          <w:szCs w:val="22"/>
        </w:rPr>
        <w:t>apelado por razones expresadas en la parte motiva de esta decisión.</w:t>
      </w:r>
      <w:r w:rsidR="00AF50EA" w:rsidRPr="003F6675">
        <w:rPr>
          <w:rFonts w:ascii="Tahoma" w:hAnsi="Tahoma" w:cs="Tahoma"/>
          <w:sz w:val="22"/>
          <w:szCs w:val="22"/>
        </w:rPr>
        <w:t xml:space="preserve">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Pr="003F6675" w:rsidRDefault="00BF5E0B" w:rsidP="009964A0">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3424ED">
        <w:rPr>
          <w:rFonts w:ascii="Tahoma" w:hAnsi="Tahoma" w:cs="Tahoma"/>
          <w:sz w:val="22"/>
          <w:szCs w:val="22"/>
        </w:rPr>
        <w:t>C</w:t>
      </w:r>
      <w:r w:rsidR="003424ED" w:rsidRPr="003F6675">
        <w:rPr>
          <w:rFonts w:ascii="Tahoma" w:hAnsi="Tahoma" w:cs="Tahoma"/>
          <w:sz w:val="22"/>
          <w:szCs w:val="22"/>
        </w:rPr>
        <w:t xml:space="preserve">ostas en esta instancia </w:t>
      </w:r>
      <w:r w:rsidR="003424ED">
        <w:rPr>
          <w:rFonts w:ascii="Tahoma" w:hAnsi="Tahoma" w:cs="Tahoma"/>
          <w:sz w:val="22"/>
          <w:szCs w:val="22"/>
        </w:rPr>
        <w:t xml:space="preserve">a cargo del </w:t>
      </w:r>
      <w:proofErr w:type="spellStart"/>
      <w:r w:rsidR="003424ED">
        <w:rPr>
          <w:rFonts w:ascii="Tahoma" w:hAnsi="Tahoma" w:cs="Tahoma"/>
          <w:sz w:val="22"/>
          <w:szCs w:val="22"/>
        </w:rPr>
        <w:t>incidentista</w:t>
      </w:r>
      <w:proofErr w:type="spellEnd"/>
      <w:r w:rsidR="003424ED">
        <w:rPr>
          <w:rFonts w:ascii="Tahoma" w:hAnsi="Tahoma" w:cs="Tahoma"/>
          <w:sz w:val="22"/>
          <w:szCs w:val="22"/>
        </w:rPr>
        <w:t xml:space="preserve"> </w:t>
      </w:r>
      <w:r w:rsidR="00BF1CCA">
        <w:rPr>
          <w:rFonts w:ascii="Tahoma" w:hAnsi="Tahoma" w:cs="Tahoma"/>
          <w:sz w:val="22"/>
          <w:szCs w:val="22"/>
        </w:rPr>
        <w:t>LUIS ALBERTO GIRALDO GARCÍA</w:t>
      </w:r>
      <w:r w:rsidR="003424ED">
        <w:rPr>
          <w:rFonts w:ascii="Tahoma" w:hAnsi="Tahoma" w:cs="Tahoma"/>
          <w:sz w:val="22"/>
          <w:szCs w:val="22"/>
        </w:rPr>
        <w:t xml:space="preserve"> a favor de la parte ejecutante, sucesores procesales del Sr. OCTAVIO QUINCHÍA GRISALES. </w:t>
      </w:r>
      <w:r w:rsidR="00AA4699" w:rsidRPr="003F6675">
        <w:rPr>
          <w:rFonts w:ascii="Tahoma" w:hAnsi="Tahoma" w:cs="Tahoma"/>
          <w:sz w:val="22"/>
          <w:szCs w:val="22"/>
        </w:rPr>
        <w:t xml:space="preserve"> </w:t>
      </w:r>
    </w:p>
    <w:p w:rsidR="00797D49"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FC25F8" w:rsidRPr="003F6675" w:rsidRDefault="00FC25F8"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653B3E" w:rsidRDefault="00653B3E" w:rsidP="003F6675">
      <w:pPr>
        <w:widowControl w:val="0"/>
        <w:autoSpaceDE w:val="0"/>
        <w:autoSpaceDN w:val="0"/>
        <w:adjustRightInd w:val="0"/>
        <w:spacing w:line="276" w:lineRule="auto"/>
        <w:jc w:val="both"/>
        <w:rPr>
          <w:rFonts w:ascii="Tahoma" w:hAnsi="Tahoma" w:cs="Tahoma"/>
          <w:sz w:val="22"/>
          <w:szCs w:val="22"/>
        </w:rPr>
      </w:pPr>
    </w:p>
    <w:p w:rsidR="00653B3E" w:rsidRDefault="00653B3E"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D974A4" w:rsidRDefault="00D974A4" w:rsidP="003F6675">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t>Aclara voto</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Aclara voto</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9425C5">
      <w:headerReference w:type="even" r:id="rId8"/>
      <w:headerReference w:type="default" r:id="rId9"/>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96" w:rsidRDefault="001B0E96">
      <w:r>
        <w:separator/>
      </w:r>
    </w:p>
  </w:endnote>
  <w:endnote w:type="continuationSeparator" w:id="0">
    <w:p w:rsidR="001B0E96" w:rsidRDefault="001B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96" w:rsidRDefault="001B0E96">
      <w:r>
        <w:separator/>
      </w:r>
    </w:p>
  </w:footnote>
  <w:footnote w:type="continuationSeparator" w:id="0">
    <w:p w:rsidR="001B0E96" w:rsidRDefault="001B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1E" w:rsidRDefault="00945C1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5C1E" w:rsidRDefault="00945C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1E" w:rsidRDefault="00945C1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3443">
      <w:rPr>
        <w:rStyle w:val="Nmerodepgina"/>
        <w:noProof/>
      </w:rPr>
      <w:t>3</w:t>
    </w:r>
    <w:r>
      <w:rPr>
        <w:rStyle w:val="Nmerodepgina"/>
      </w:rPr>
      <w:fldChar w:fldCharType="end"/>
    </w:r>
  </w:p>
  <w:p w:rsidR="00945C1E" w:rsidRPr="003111A3" w:rsidRDefault="00945C1E">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05-005-2009-00108 A-02</w:t>
    </w:r>
  </w:p>
  <w:p w:rsidR="00945C1E" w:rsidRPr="003111A3" w:rsidRDefault="00945C1E">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Pr>
        <w:rFonts w:ascii="Verdana" w:hAnsi="Verdana"/>
        <w:i/>
        <w:sz w:val="14"/>
        <w:szCs w:val="14"/>
      </w:rPr>
      <w:t>OCTAVIO QUINCHÍA GRISALES</w:t>
    </w:r>
  </w:p>
  <w:p w:rsidR="00945C1E" w:rsidRPr="003111A3" w:rsidRDefault="00945C1E">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Pr>
        <w:rFonts w:ascii="Verdana" w:hAnsi="Verdana"/>
        <w:i/>
        <w:sz w:val="14"/>
        <w:szCs w:val="14"/>
      </w:rPr>
      <w:t>ROSALBA GRAJALES DE RENDÓN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457D2C"/>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90534"/>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D96FCE"/>
    <w:multiLevelType w:val="multilevel"/>
    <w:tmpl w:val="18B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441832"/>
    <w:multiLevelType w:val="multilevel"/>
    <w:tmpl w:val="BBAA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4">
    <w:nsid w:val="40FD59FA"/>
    <w:multiLevelType w:val="multilevel"/>
    <w:tmpl w:val="29C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5B02693"/>
    <w:multiLevelType w:val="multilevel"/>
    <w:tmpl w:val="0F84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3163241"/>
    <w:multiLevelType w:val="multilevel"/>
    <w:tmpl w:val="354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F5F7D45"/>
    <w:multiLevelType w:val="hybridMultilevel"/>
    <w:tmpl w:val="B2AA9DC4"/>
    <w:lvl w:ilvl="0" w:tplc="E2A8DE1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8120F84"/>
    <w:multiLevelType w:val="multilevel"/>
    <w:tmpl w:val="FBE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4"/>
  </w:num>
  <w:num w:numId="4">
    <w:abstractNumId w:val="3"/>
  </w:num>
  <w:num w:numId="5">
    <w:abstractNumId w:val="2"/>
  </w:num>
  <w:num w:numId="6">
    <w:abstractNumId w:val="1"/>
  </w:num>
  <w:num w:numId="7">
    <w:abstractNumId w:val="10"/>
  </w:num>
  <w:num w:numId="8">
    <w:abstractNumId w:val="0"/>
  </w:num>
  <w:num w:numId="9">
    <w:abstractNumId w:val="6"/>
  </w:num>
  <w:num w:numId="10">
    <w:abstractNumId w:val="17"/>
  </w:num>
  <w:num w:numId="11">
    <w:abstractNumId w:val="19"/>
  </w:num>
  <w:num w:numId="12">
    <w:abstractNumId w:val="15"/>
  </w:num>
  <w:num w:numId="13">
    <w:abstractNumId w:val="13"/>
  </w:num>
  <w:num w:numId="14">
    <w:abstractNumId w:val="11"/>
  </w:num>
  <w:num w:numId="15">
    <w:abstractNumId w:val="23"/>
  </w:num>
  <w:num w:numId="16">
    <w:abstractNumId w:val="22"/>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20"/>
  </w:num>
  <w:num w:numId="20">
    <w:abstractNumId w:val="9"/>
  </w:num>
  <w:num w:numId="21">
    <w:abstractNumId w:val="12"/>
    <w:lvlOverride w:ilvl="0">
      <w:startOverride w:val="1"/>
    </w:lvlOverride>
  </w:num>
  <w:num w:numId="22">
    <w:abstractNumId w:val="12"/>
    <w:lvlOverride w:ilvl="0">
      <w:startOverride w:val="2"/>
    </w:lvlOverride>
  </w:num>
  <w:num w:numId="23">
    <w:abstractNumId w:val="12"/>
    <w:lvlOverride w:ilvl="0">
      <w:startOverride w:val="3"/>
    </w:lvlOverride>
  </w:num>
  <w:num w:numId="24">
    <w:abstractNumId w:val="12"/>
    <w:lvlOverride w:ilvl="0">
      <w:startOverride w:val="4"/>
    </w:lvlOverride>
  </w:num>
  <w:num w:numId="25">
    <w:abstractNumId w:val="16"/>
  </w:num>
  <w:num w:numId="26">
    <w:abstractNumId w:val="18"/>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1FE9"/>
    <w:rsid w:val="00023947"/>
    <w:rsid w:val="000239ED"/>
    <w:rsid w:val="00024695"/>
    <w:rsid w:val="0002731B"/>
    <w:rsid w:val="000323B0"/>
    <w:rsid w:val="000326B7"/>
    <w:rsid w:val="000334D8"/>
    <w:rsid w:val="00036047"/>
    <w:rsid w:val="00036B66"/>
    <w:rsid w:val="000406C1"/>
    <w:rsid w:val="00040B5F"/>
    <w:rsid w:val="000416B6"/>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163A"/>
    <w:rsid w:val="00093A10"/>
    <w:rsid w:val="000940AB"/>
    <w:rsid w:val="00096354"/>
    <w:rsid w:val="000A06D2"/>
    <w:rsid w:val="000A0BC0"/>
    <w:rsid w:val="000A2294"/>
    <w:rsid w:val="000A2D16"/>
    <w:rsid w:val="000A5ACC"/>
    <w:rsid w:val="000A7FA7"/>
    <w:rsid w:val="000B16B9"/>
    <w:rsid w:val="000B34E6"/>
    <w:rsid w:val="000B3B7C"/>
    <w:rsid w:val="000C2DE8"/>
    <w:rsid w:val="000C324A"/>
    <w:rsid w:val="000C6145"/>
    <w:rsid w:val="000D03E8"/>
    <w:rsid w:val="000D04E1"/>
    <w:rsid w:val="000D0F0C"/>
    <w:rsid w:val="000D1161"/>
    <w:rsid w:val="000D2AB7"/>
    <w:rsid w:val="000D376C"/>
    <w:rsid w:val="000D7C6B"/>
    <w:rsid w:val="000E1A4F"/>
    <w:rsid w:val="000E359D"/>
    <w:rsid w:val="000E5530"/>
    <w:rsid w:val="000E5B32"/>
    <w:rsid w:val="000F0121"/>
    <w:rsid w:val="000F0E9B"/>
    <w:rsid w:val="000F17CF"/>
    <w:rsid w:val="000F39DC"/>
    <w:rsid w:val="000F50CF"/>
    <w:rsid w:val="000F5112"/>
    <w:rsid w:val="000F6C20"/>
    <w:rsid w:val="000F780E"/>
    <w:rsid w:val="00100996"/>
    <w:rsid w:val="00104046"/>
    <w:rsid w:val="0010649B"/>
    <w:rsid w:val="00111D7E"/>
    <w:rsid w:val="00112396"/>
    <w:rsid w:val="0011296D"/>
    <w:rsid w:val="00113859"/>
    <w:rsid w:val="00113D50"/>
    <w:rsid w:val="00114110"/>
    <w:rsid w:val="0011491F"/>
    <w:rsid w:val="00114C98"/>
    <w:rsid w:val="0011618C"/>
    <w:rsid w:val="001165DF"/>
    <w:rsid w:val="00120040"/>
    <w:rsid w:val="00120781"/>
    <w:rsid w:val="00120F3B"/>
    <w:rsid w:val="00122B78"/>
    <w:rsid w:val="00123325"/>
    <w:rsid w:val="00123645"/>
    <w:rsid w:val="001269BE"/>
    <w:rsid w:val="00134FE6"/>
    <w:rsid w:val="00135133"/>
    <w:rsid w:val="00137A8B"/>
    <w:rsid w:val="00141AC4"/>
    <w:rsid w:val="00143467"/>
    <w:rsid w:val="001438EE"/>
    <w:rsid w:val="00144AEE"/>
    <w:rsid w:val="00145295"/>
    <w:rsid w:val="00145B2F"/>
    <w:rsid w:val="00150439"/>
    <w:rsid w:val="00153B83"/>
    <w:rsid w:val="00153B85"/>
    <w:rsid w:val="00165F01"/>
    <w:rsid w:val="001669F1"/>
    <w:rsid w:val="00170ADE"/>
    <w:rsid w:val="0017202B"/>
    <w:rsid w:val="001722DB"/>
    <w:rsid w:val="00173416"/>
    <w:rsid w:val="001745AA"/>
    <w:rsid w:val="00177192"/>
    <w:rsid w:val="00180701"/>
    <w:rsid w:val="00180AA1"/>
    <w:rsid w:val="00182A53"/>
    <w:rsid w:val="0018506B"/>
    <w:rsid w:val="001866BB"/>
    <w:rsid w:val="0018723F"/>
    <w:rsid w:val="00187FA4"/>
    <w:rsid w:val="00190095"/>
    <w:rsid w:val="001905D5"/>
    <w:rsid w:val="00195396"/>
    <w:rsid w:val="001A1CF4"/>
    <w:rsid w:val="001A1E4E"/>
    <w:rsid w:val="001A318A"/>
    <w:rsid w:val="001A3C60"/>
    <w:rsid w:val="001A40A6"/>
    <w:rsid w:val="001A4D03"/>
    <w:rsid w:val="001B0368"/>
    <w:rsid w:val="001B0678"/>
    <w:rsid w:val="001B0E96"/>
    <w:rsid w:val="001B1CEC"/>
    <w:rsid w:val="001B2D98"/>
    <w:rsid w:val="001B464C"/>
    <w:rsid w:val="001B5420"/>
    <w:rsid w:val="001B6117"/>
    <w:rsid w:val="001C19A7"/>
    <w:rsid w:val="001C1FFA"/>
    <w:rsid w:val="001C29BE"/>
    <w:rsid w:val="001C2BDC"/>
    <w:rsid w:val="001C3849"/>
    <w:rsid w:val="001C5DCD"/>
    <w:rsid w:val="001C6C1E"/>
    <w:rsid w:val="001D21EA"/>
    <w:rsid w:val="001D25B8"/>
    <w:rsid w:val="001D385F"/>
    <w:rsid w:val="001D4661"/>
    <w:rsid w:val="001D631A"/>
    <w:rsid w:val="001D6842"/>
    <w:rsid w:val="001D7243"/>
    <w:rsid w:val="001D7543"/>
    <w:rsid w:val="001E20ED"/>
    <w:rsid w:val="001E4ABF"/>
    <w:rsid w:val="001E7461"/>
    <w:rsid w:val="001E78D4"/>
    <w:rsid w:val="001F0587"/>
    <w:rsid w:val="001F3236"/>
    <w:rsid w:val="001F4A8A"/>
    <w:rsid w:val="001F5302"/>
    <w:rsid w:val="001F5F54"/>
    <w:rsid w:val="001F75DB"/>
    <w:rsid w:val="0020058F"/>
    <w:rsid w:val="00201EB5"/>
    <w:rsid w:val="0020402E"/>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0C74"/>
    <w:rsid w:val="00262CF1"/>
    <w:rsid w:val="0026331F"/>
    <w:rsid w:val="002639BA"/>
    <w:rsid w:val="002643CE"/>
    <w:rsid w:val="00270182"/>
    <w:rsid w:val="00274107"/>
    <w:rsid w:val="0027777C"/>
    <w:rsid w:val="002779BD"/>
    <w:rsid w:val="00280A51"/>
    <w:rsid w:val="00281499"/>
    <w:rsid w:val="00282A22"/>
    <w:rsid w:val="00282A6B"/>
    <w:rsid w:val="0028499E"/>
    <w:rsid w:val="00286723"/>
    <w:rsid w:val="00287926"/>
    <w:rsid w:val="0029128F"/>
    <w:rsid w:val="00292FD7"/>
    <w:rsid w:val="002932F3"/>
    <w:rsid w:val="002947C1"/>
    <w:rsid w:val="00297726"/>
    <w:rsid w:val="002979DE"/>
    <w:rsid w:val="002A0211"/>
    <w:rsid w:val="002A193A"/>
    <w:rsid w:val="002A19FD"/>
    <w:rsid w:val="002A5AE2"/>
    <w:rsid w:val="002A600A"/>
    <w:rsid w:val="002A67C3"/>
    <w:rsid w:val="002A7EB8"/>
    <w:rsid w:val="002B0062"/>
    <w:rsid w:val="002B27CB"/>
    <w:rsid w:val="002B27FB"/>
    <w:rsid w:val="002B34A0"/>
    <w:rsid w:val="002B3F86"/>
    <w:rsid w:val="002B3F9A"/>
    <w:rsid w:val="002B6847"/>
    <w:rsid w:val="002C2855"/>
    <w:rsid w:val="002C3EDB"/>
    <w:rsid w:val="002C6D27"/>
    <w:rsid w:val="002C719E"/>
    <w:rsid w:val="002D0B52"/>
    <w:rsid w:val="002D0F75"/>
    <w:rsid w:val="002D475F"/>
    <w:rsid w:val="002D4FCB"/>
    <w:rsid w:val="002D647C"/>
    <w:rsid w:val="002D6AE5"/>
    <w:rsid w:val="002D7A0A"/>
    <w:rsid w:val="002E101A"/>
    <w:rsid w:val="002E16CE"/>
    <w:rsid w:val="002E1A6E"/>
    <w:rsid w:val="002E2273"/>
    <w:rsid w:val="002E271F"/>
    <w:rsid w:val="002E44C0"/>
    <w:rsid w:val="002E62D3"/>
    <w:rsid w:val="002F002E"/>
    <w:rsid w:val="002F1E32"/>
    <w:rsid w:val="002F2298"/>
    <w:rsid w:val="002F363D"/>
    <w:rsid w:val="003001FD"/>
    <w:rsid w:val="003045C3"/>
    <w:rsid w:val="00305B40"/>
    <w:rsid w:val="00307897"/>
    <w:rsid w:val="00310E03"/>
    <w:rsid w:val="003111A3"/>
    <w:rsid w:val="00312A49"/>
    <w:rsid w:val="00314C72"/>
    <w:rsid w:val="003154A0"/>
    <w:rsid w:val="00321633"/>
    <w:rsid w:val="003220E3"/>
    <w:rsid w:val="00323001"/>
    <w:rsid w:val="003233A9"/>
    <w:rsid w:val="00326E27"/>
    <w:rsid w:val="00330758"/>
    <w:rsid w:val="00330E19"/>
    <w:rsid w:val="00332B14"/>
    <w:rsid w:val="00334511"/>
    <w:rsid w:val="003356E7"/>
    <w:rsid w:val="00336B9B"/>
    <w:rsid w:val="00337D6F"/>
    <w:rsid w:val="00341929"/>
    <w:rsid w:val="003424ED"/>
    <w:rsid w:val="00343A04"/>
    <w:rsid w:val="00343C01"/>
    <w:rsid w:val="003452F2"/>
    <w:rsid w:val="00347727"/>
    <w:rsid w:val="00350817"/>
    <w:rsid w:val="00351118"/>
    <w:rsid w:val="003559B2"/>
    <w:rsid w:val="00355C7A"/>
    <w:rsid w:val="00355D70"/>
    <w:rsid w:val="00356B6A"/>
    <w:rsid w:val="00357AAD"/>
    <w:rsid w:val="0036044B"/>
    <w:rsid w:val="00360E18"/>
    <w:rsid w:val="00361BE7"/>
    <w:rsid w:val="00364940"/>
    <w:rsid w:val="0036678C"/>
    <w:rsid w:val="0037329B"/>
    <w:rsid w:val="00381997"/>
    <w:rsid w:val="00387F5C"/>
    <w:rsid w:val="00390C4E"/>
    <w:rsid w:val="003941E1"/>
    <w:rsid w:val="003949D3"/>
    <w:rsid w:val="00395308"/>
    <w:rsid w:val="003A07C5"/>
    <w:rsid w:val="003A09E9"/>
    <w:rsid w:val="003A5B83"/>
    <w:rsid w:val="003A6EDD"/>
    <w:rsid w:val="003B1C54"/>
    <w:rsid w:val="003B1D1C"/>
    <w:rsid w:val="003B2C79"/>
    <w:rsid w:val="003B2CCF"/>
    <w:rsid w:val="003B306F"/>
    <w:rsid w:val="003B3C5A"/>
    <w:rsid w:val="003B4ECB"/>
    <w:rsid w:val="003B7A50"/>
    <w:rsid w:val="003B7B42"/>
    <w:rsid w:val="003B7E03"/>
    <w:rsid w:val="003C0C2E"/>
    <w:rsid w:val="003C18C7"/>
    <w:rsid w:val="003C271A"/>
    <w:rsid w:val="003C2AFB"/>
    <w:rsid w:val="003C5AC3"/>
    <w:rsid w:val="003C6BF3"/>
    <w:rsid w:val="003D08BC"/>
    <w:rsid w:val="003D372A"/>
    <w:rsid w:val="003D6FB3"/>
    <w:rsid w:val="003E0624"/>
    <w:rsid w:val="003E299B"/>
    <w:rsid w:val="003E42AD"/>
    <w:rsid w:val="003E74C1"/>
    <w:rsid w:val="003E7D06"/>
    <w:rsid w:val="003F2590"/>
    <w:rsid w:val="003F297E"/>
    <w:rsid w:val="003F2FCE"/>
    <w:rsid w:val="003F4BCE"/>
    <w:rsid w:val="003F5B05"/>
    <w:rsid w:val="003F6675"/>
    <w:rsid w:val="00401240"/>
    <w:rsid w:val="00402DE0"/>
    <w:rsid w:val="0040388C"/>
    <w:rsid w:val="004041E0"/>
    <w:rsid w:val="00406486"/>
    <w:rsid w:val="00406C19"/>
    <w:rsid w:val="00406F75"/>
    <w:rsid w:val="004156B8"/>
    <w:rsid w:val="004161EA"/>
    <w:rsid w:val="004169AA"/>
    <w:rsid w:val="00417498"/>
    <w:rsid w:val="00417805"/>
    <w:rsid w:val="00422560"/>
    <w:rsid w:val="00422F18"/>
    <w:rsid w:val="00424017"/>
    <w:rsid w:val="0042631F"/>
    <w:rsid w:val="00427396"/>
    <w:rsid w:val="004312EE"/>
    <w:rsid w:val="00431F4D"/>
    <w:rsid w:val="004322A8"/>
    <w:rsid w:val="00433443"/>
    <w:rsid w:val="00433F2B"/>
    <w:rsid w:val="0043434E"/>
    <w:rsid w:val="004367AA"/>
    <w:rsid w:val="0043748C"/>
    <w:rsid w:val="004403B9"/>
    <w:rsid w:val="00440C4E"/>
    <w:rsid w:val="0044115F"/>
    <w:rsid w:val="00442D39"/>
    <w:rsid w:val="00445615"/>
    <w:rsid w:val="0044710B"/>
    <w:rsid w:val="00450985"/>
    <w:rsid w:val="004525FF"/>
    <w:rsid w:val="00454C98"/>
    <w:rsid w:val="00455B64"/>
    <w:rsid w:val="00456848"/>
    <w:rsid w:val="004578C7"/>
    <w:rsid w:val="00460DA7"/>
    <w:rsid w:val="00463814"/>
    <w:rsid w:val="00464E65"/>
    <w:rsid w:val="00467145"/>
    <w:rsid w:val="00467425"/>
    <w:rsid w:val="00471988"/>
    <w:rsid w:val="00471A5C"/>
    <w:rsid w:val="00472724"/>
    <w:rsid w:val="004814B6"/>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152D"/>
    <w:rsid w:val="004C27C8"/>
    <w:rsid w:val="004C2EE1"/>
    <w:rsid w:val="004C582A"/>
    <w:rsid w:val="004C6639"/>
    <w:rsid w:val="004D1DE9"/>
    <w:rsid w:val="004D31E6"/>
    <w:rsid w:val="004D658D"/>
    <w:rsid w:val="004E0CB5"/>
    <w:rsid w:val="004E2638"/>
    <w:rsid w:val="004E3F8B"/>
    <w:rsid w:val="004E506D"/>
    <w:rsid w:val="004E515F"/>
    <w:rsid w:val="004E5F49"/>
    <w:rsid w:val="004E60E8"/>
    <w:rsid w:val="004F4012"/>
    <w:rsid w:val="004F5600"/>
    <w:rsid w:val="004F70D2"/>
    <w:rsid w:val="004F768E"/>
    <w:rsid w:val="00507C23"/>
    <w:rsid w:val="00520BA6"/>
    <w:rsid w:val="00521F51"/>
    <w:rsid w:val="00524273"/>
    <w:rsid w:val="00527338"/>
    <w:rsid w:val="00527CDA"/>
    <w:rsid w:val="00527D7F"/>
    <w:rsid w:val="0053305F"/>
    <w:rsid w:val="00534D30"/>
    <w:rsid w:val="00534D95"/>
    <w:rsid w:val="005352C6"/>
    <w:rsid w:val="00543420"/>
    <w:rsid w:val="005440EB"/>
    <w:rsid w:val="005459E8"/>
    <w:rsid w:val="00550084"/>
    <w:rsid w:val="0055036C"/>
    <w:rsid w:val="005505BF"/>
    <w:rsid w:val="0055094C"/>
    <w:rsid w:val="00552824"/>
    <w:rsid w:val="00554593"/>
    <w:rsid w:val="00555394"/>
    <w:rsid w:val="00563016"/>
    <w:rsid w:val="00563B12"/>
    <w:rsid w:val="00564046"/>
    <w:rsid w:val="005722C8"/>
    <w:rsid w:val="00572517"/>
    <w:rsid w:val="00573C3B"/>
    <w:rsid w:val="005743F2"/>
    <w:rsid w:val="00574AB6"/>
    <w:rsid w:val="00575E70"/>
    <w:rsid w:val="00576945"/>
    <w:rsid w:val="0058455A"/>
    <w:rsid w:val="005848B2"/>
    <w:rsid w:val="005912BF"/>
    <w:rsid w:val="0059189F"/>
    <w:rsid w:val="00592AB0"/>
    <w:rsid w:val="00594EE9"/>
    <w:rsid w:val="00595E53"/>
    <w:rsid w:val="00596E39"/>
    <w:rsid w:val="005974C1"/>
    <w:rsid w:val="005A1ADB"/>
    <w:rsid w:val="005A385A"/>
    <w:rsid w:val="005A4516"/>
    <w:rsid w:val="005A4C4C"/>
    <w:rsid w:val="005A7C19"/>
    <w:rsid w:val="005B1443"/>
    <w:rsid w:val="005B45ED"/>
    <w:rsid w:val="005B46E6"/>
    <w:rsid w:val="005B53EC"/>
    <w:rsid w:val="005B6C2E"/>
    <w:rsid w:val="005C0D5C"/>
    <w:rsid w:val="005C5EAE"/>
    <w:rsid w:val="005C6062"/>
    <w:rsid w:val="005C6E75"/>
    <w:rsid w:val="005C7F80"/>
    <w:rsid w:val="005D0402"/>
    <w:rsid w:val="005D34A6"/>
    <w:rsid w:val="005D5285"/>
    <w:rsid w:val="005D7348"/>
    <w:rsid w:val="005E0803"/>
    <w:rsid w:val="005E13B4"/>
    <w:rsid w:val="005E2614"/>
    <w:rsid w:val="005E2BE1"/>
    <w:rsid w:val="005E347B"/>
    <w:rsid w:val="005F1D0C"/>
    <w:rsid w:val="005F2E44"/>
    <w:rsid w:val="005F418F"/>
    <w:rsid w:val="005F63B1"/>
    <w:rsid w:val="00600925"/>
    <w:rsid w:val="00604C40"/>
    <w:rsid w:val="00605BDF"/>
    <w:rsid w:val="00606C7B"/>
    <w:rsid w:val="00611748"/>
    <w:rsid w:val="0061409B"/>
    <w:rsid w:val="0061476B"/>
    <w:rsid w:val="00615E4E"/>
    <w:rsid w:val="00617180"/>
    <w:rsid w:val="00621A86"/>
    <w:rsid w:val="00621B26"/>
    <w:rsid w:val="006249DD"/>
    <w:rsid w:val="0062612E"/>
    <w:rsid w:val="00626FAE"/>
    <w:rsid w:val="00627A56"/>
    <w:rsid w:val="00633395"/>
    <w:rsid w:val="00636087"/>
    <w:rsid w:val="006369D3"/>
    <w:rsid w:val="0063794B"/>
    <w:rsid w:val="00643BD5"/>
    <w:rsid w:val="00651197"/>
    <w:rsid w:val="00651E52"/>
    <w:rsid w:val="00652107"/>
    <w:rsid w:val="0065307B"/>
    <w:rsid w:val="00653B3E"/>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684C"/>
    <w:rsid w:val="006817DE"/>
    <w:rsid w:val="00683B34"/>
    <w:rsid w:val="0068479C"/>
    <w:rsid w:val="00685E2A"/>
    <w:rsid w:val="00687D3E"/>
    <w:rsid w:val="0069065B"/>
    <w:rsid w:val="00690B5B"/>
    <w:rsid w:val="006921D7"/>
    <w:rsid w:val="00693732"/>
    <w:rsid w:val="00694EE5"/>
    <w:rsid w:val="0069710D"/>
    <w:rsid w:val="006A17E2"/>
    <w:rsid w:val="006A1C66"/>
    <w:rsid w:val="006A565A"/>
    <w:rsid w:val="006A6E47"/>
    <w:rsid w:val="006B030A"/>
    <w:rsid w:val="006B0A44"/>
    <w:rsid w:val="006B1758"/>
    <w:rsid w:val="006B23E4"/>
    <w:rsid w:val="006B387F"/>
    <w:rsid w:val="006B792C"/>
    <w:rsid w:val="006C0845"/>
    <w:rsid w:val="006C64B9"/>
    <w:rsid w:val="006C709B"/>
    <w:rsid w:val="006D52FA"/>
    <w:rsid w:val="006D7C0A"/>
    <w:rsid w:val="006D7FA5"/>
    <w:rsid w:val="006E0347"/>
    <w:rsid w:val="006E4B78"/>
    <w:rsid w:val="006E515C"/>
    <w:rsid w:val="006E6624"/>
    <w:rsid w:val="006E676C"/>
    <w:rsid w:val="006E776A"/>
    <w:rsid w:val="006F0705"/>
    <w:rsid w:val="006F0ABB"/>
    <w:rsid w:val="006F1082"/>
    <w:rsid w:val="006F1746"/>
    <w:rsid w:val="006F7D8B"/>
    <w:rsid w:val="0070197E"/>
    <w:rsid w:val="00702460"/>
    <w:rsid w:val="007069C4"/>
    <w:rsid w:val="00706DF9"/>
    <w:rsid w:val="00711984"/>
    <w:rsid w:val="00711D63"/>
    <w:rsid w:val="00712ACE"/>
    <w:rsid w:val="00715C75"/>
    <w:rsid w:val="007163D0"/>
    <w:rsid w:val="00720D2F"/>
    <w:rsid w:val="00725470"/>
    <w:rsid w:val="00725AF0"/>
    <w:rsid w:val="00725EF3"/>
    <w:rsid w:val="0072708A"/>
    <w:rsid w:val="0073316B"/>
    <w:rsid w:val="00734BD7"/>
    <w:rsid w:val="0073590F"/>
    <w:rsid w:val="00737162"/>
    <w:rsid w:val="007406EB"/>
    <w:rsid w:val="0074151C"/>
    <w:rsid w:val="00741F9E"/>
    <w:rsid w:val="007432B1"/>
    <w:rsid w:val="00744EA3"/>
    <w:rsid w:val="00746AC9"/>
    <w:rsid w:val="00747194"/>
    <w:rsid w:val="00752095"/>
    <w:rsid w:val="007550F0"/>
    <w:rsid w:val="007564D7"/>
    <w:rsid w:val="00760011"/>
    <w:rsid w:val="007626E8"/>
    <w:rsid w:val="007633EE"/>
    <w:rsid w:val="00764B20"/>
    <w:rsid w:val="0076525C"/>
    <w:rsid w:val="00767BCA"/>
    <w:rsid w:val="00767EAD"/>
    <w:rsid w:val="0077047A"/>
    <w:rsid w:val="00773E9E"/>
    <w:rsid w:val="00774143"/>
    <w:rsid w:val="00775E8D"/>
    <w:rsid w:val="007764DE"/>
    <w:rsid w:val="00783CEF"/>
    <w:rsid w:val="00784977"/>
    <w:rsid w:val="00792CBB"/>
    <w:rsid w:val="00792E9F"/>
    <w:rsid w:val="00796FD8"/>
    <w:rsid w:val="007978DA"/>
    <w:rsid w:val="00797D49"/>
    <w:rsid w:val="007A09FA"/>
    <w:rsid w:val="007A3913"/>
    <w:rsid w:val="007B0E4C"/>
    <w:rsid w:val="007B1781"/>
    <w:rsid w:val="007B48AC"/>
    <w:rsid w:val="007B5E9E"/>
    <w:rsid w:val="007C032D"/>
    <w:rsid w:val="007C303B"/>
    <w:rsid w:val="007C4541"/>
    <w:rsid w:val="007D0BCA"/>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0A27"/>
    <w:rsid w:val="00802EF6"/>
    <w:rsid w:val="00803E0B"/>
    <w:rsid w:val="0080487B"/>
    <w:rsid w:val="00805442"/>
    <w:rsid w:val="00805A6B"/>
    <w:rsid w:val="00805B99"/>
    <w:rsid w:val="0081089F"/>
    <w:rsid w:val="00811ED6"/>
    <w:rsid w:val="008120B3"/>
    <w:rsid w:val="0081225F"/>
    <w:rsid w:val="008138E2"/>
    <w:rsid w:val="008155BF"/>
    <w:rsid w:val="00815CF0"/>
    <w:rsid w:val="00817230"/>
    <w:rsid w:val="00822D96"/>
    <w:rsid w:val="00824488"/>
    <w:rsid w:val="00824A2F"/>
    <w:rsid w:val="008251DE"/>
    <w:rsid w:val="0082538D"/>
    <w:rsid w:val="0082579D"/>
    <w:rsid w:val="0082707C"/>
    <w:rsid w:val="008303B6"/>
    <w:rsid w:val="00834461"/>
    <w:rsid w:val="00834745"/>
    <w:rsid w:val="0083611E"/>
    <w:rsid w:val="008500E7"/>
    <w:rsid w:val="00850A32"/>
    <w:rsid w:val="00851806"/>
    <w:rsid w:val="00853D9C"/>
    <w:rsid w:val="00854CFD"/>
    <w:rsid w:val="00856406"/>
    <w:rsid w:val="00857233"/>
    <w:rsid w:val="00857358"/>
    <w:rsid w:val="0085791F"/>
    <w:rsid w:val="00862266"/>
    <w:rsid w:val="008714DD"/>
    <w:rsid w:val="00873EA9"/>
    <w:rsid w:val="00874A27"/>
    <w:rsid w:val="00875E61"/>
    <w:rsid w:val="0088254C"/>
    <w:rsid w:val="0088338B"/>
    <w:rsid w:val="00885245"/>
    <w:rsid w:val="00890D2D"/>
    <w:rsid w:val="00891235"/>
    <w:rsid w:val="00894C9F"/>
    <w:rsid w:val="00895A46"/>
    <w:rsid w:val="008A0B12"/>
    <w:rsid w:val="008A1E44"/>
    <w:rsid w:val="008A1EA2"/>
    <w:rsid w:val="008A1F25"/>
    <w:rsid w:val="008A3FE7"/>
    <w:rsid w:val="008A46FC"/>
    <w:rsid w:val="008A5C50"/>
    <w:rsid w:val="008B04BB"/>
    <w:rsid w:val="008B27B1"/>
    <w:rsid w:val="008B48A7"/>
    <w:rsid w:val="008B4B8B"/>
    <w:rsid w:val="008B56FA"/>
    <w:rsid w:val="008B6360"/>
    <w:rsid w:val="008C2AD4"/>
    <w:rsid w:val="008C3CAB"/>
    <w:rsid w:val="008D2157"/>
    <w:rsid w:val="008D249C"/>
    <w:rsid w:val="008D32CC"/>
    <w:rsid w:val="008D4015"/>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2AC"/>
    <w:rsid w:val="00916437"/>
    <w:rsid w:val="00916F1A"/>
    <w:rsid w:val="0091742D"/>
    <w:rsid w:val="009230C5"/>
    <w:rsid w:val="00923384"/>
    <w:rsid w:val="00923C31"/>
    <w:rsid w:val="00923D5C"/>
    <w:rsid w:val="009257E1"/>
    <w:rsid w:val="00926CAC"/>
    <w:rsid w:val="0093203A"/>
    <w:rsid w:val="009322DB"/>
    <w:rsid w:val="00933D88"/>
    <w:rsid w:val="00934098"/>
    <w:rsid w:val="00934AD6"/>
    <w:rsid w:val="00937023"/>
    <w:rsid w:val="0094052F"/>
    <w:rsid w:val="00941349"/>
    <w:rsid w:val="00941F15"/>
    <w:rsid w:val="009425C5"/>
    <w:rsid w:val="009441CD"/>
    <w:rsid w:val="00945486"/>
    <w:rsid w:val="00945C1E"/>
    <w:rsid w:val="00946719"/>
    <w:rsid w:val="009479E2"/>
    <w:rsid w:val="00951ABB"/>
    <w:rsid w:val="009522B6"/>
    <w:rsid w:val="00952E62"/>
    <w:rsid w:val="00954925"/>
    <w:rsid w:val="00963879"/>
    <w:rsid w:val="00963B40"/>
    <w:rsid w:val="00964A82"/>
    <w:rsid w:val="009653D4"/>
    <w:rsid w:val="00970D35"/>
    <w:rsid w:val="00970F26"/>
    <w:rsid w:val="00976B06"/>
    <w:rsid w:val="009805B3"/>
    <w:rsid w:val="00985435"/>
    <w:rsid w:val="00991850"/>
    <w:rsid w:val="00992528"/>
    <w:rsid w:val="009964A0"/>
    <w:rsid w:val="00996F4A"/>
    <w:rsid w:val="009A116D"/>
    <w:rsid w:val="009A2C52"/>
    <w:rsid w:val="009A395A"/>
    <w:rsid w:val="009A46B4"/>
    <w:rsid w:val="009B026D"/>
    <w:rsid w:val="009B0924"/>
    <w:rsid w:val="009B0ED6"/>
    <w:rsid w:val="009B3B1E"/>
    <w:rsid w:val="009B598C"/>
    <w:rsid w:val="009C2AD1"/>
    <w:rsid w:val="009C57B6"/>
    <w:rsid w:val="009D0A19"/>
    <w:rsid w:val="009D64D3"/>
    <w:rsid w:val="009E2FBC"/>
    <w:rsid w:val="009E734E"/>
    <w:rsid w:val="009E7F20"/>
    <w:rsid w:val="009F132C"/>
    <w:rsid w:val="00A01A02"/>
    <w:rsid w:val="00A025AC"/>
    <w:rsid w:val="00A04DF8"/>
    <w:rsid w:val="00A05314"/>
    <w:rsid w:val="00A067A3"/>
    <w:rsid w:val="00A06809"/>
    <w:rsid w:val="00A06D01"/>
    <w:rsid w:val="00A12C46"/>
    <w:rsid w:val="00A12FAC"/>
    <w:rsid w:val="00A162D8"/>
    <w:rsid w:val="00A16F4D"/>
    <w:rsid w:val="00A2005B"/>
    <w:rsid w:val="00A21457"/>
    <w:rsid w:val="00A22B70"/>
    <w:rsid w:val="00A2305D"/>
    <w:rsid w:val="00A24BEF"/>
    <w:rsid w:val="00A25DB9"/>
    <w:rsid w:val="00A27CAA"/>
    <w:rsid w:val="00A323F9"/>
    <w:rsid w:val="00A36BF6"/>
    <w:rsid w:val="00A37A7E"/>
    <w:rsid w:val="00A37EA7"/>
    <w:rsid w:val="00A41195"/>
    <w:rsid w:val="00A43284"/>
    <w:rsid w:val="00A44A5C"/>
    <w:rsid w:val="00A46497"/>
    <w:rsid w:val="00A51653"/>
    <w:rsid w:val="00A523C2"/>
    <w:rsid w:val="00A53F45"/>
    <w:rsid w:val="00A55CA2"/>
    <w:rsid w:val="00A61E91"/>
    <w:rsid w:val="00A64B1C"/>
    <w:rsid w:val="00A66640"/>
    <w:rsid w:val="00A66E3A"/>
    <w:rsid w:val="00A676CC"/>
    <w:rsid w:val="00A716C1"/>
    <w:rsid w:val="00A72142"/>
    <w:rsid w:val="00A74A24"/>
    <w:rsid w:val="00A775CE"/>
    <w:rsid w:val="00A776CD"/>
    <w:rsid w:val="00A805C7"/>
    <w:rsid w:val="00A80AD4"/>
    <w:rsid w:val="00A82AA3"/>
    <w:rsid w:val="00A85C80"/>
    <w:rsid w:val="00A90F5C"/>
    <w:rsid w:val="00A91F08"/>
    <w:rsid w:val="00A94F97"/>
    <w:rsid w:val="00AA3DA4"/>
    <w:rsid w:val="00AA3DFF"/>
    <w:rsid w:val="00AA4348"/>
    <w:rsid w:val="00AA4699"/>
    <w:rsid w:val="00AA5B4C"/>
    <w:rsid w:val="00AA68F9"/>
    <w:rsid w:val="00AB23A2"/>
    <w:rsid w:val="00AB2BAF"/>
    <w:rsid w:val="00AB491A"/>
    <w:rsid w:val="00AB4DDE"/>
    <w:rsid w:val="00AB5DBE"/>
    <w:rsid w:val="00AB6112"/>
    <w:rsid w:val="00AB6D65"/>
    <w:rsid w:val="00AC287C"/>
    <w:rsid w:val="00AC65E3"/>
    <w:rsid w:val="00AC7105"/>
    <w:rsid w:val="00AD1B24"/>
    <w:rsid w:val="00AD1F6F"/>
    <w:rsid w:val="00AD24FB"/>
    <w:rsid w:val="00AD2AFA"/>
    <w:rsid w:val="00AD49FA"/>
    <w:rsid w:val="00AD4DF3"/>
    <w:rsid w:val="00AD4FF8"/>
    <w:rsid w:val="00AD77A7"/>
    <w:rsid w:val="00AE0B72"/>
    <w:rsid w:val="00AE1C53"/>
    <w:rsid w:val="00AE43B4"/>
    <w:rsid w:val="00AE68B2"/>
    <w:rsid w:val="00AE75FB"/>
    <w:rsid w:val="00AF01EE"/>
    <w:rsid w:val="00AF1C0A"/>
    <w:rsid w:val="00AF50EA"/>
    <w:rsid w:val="00AF5A94"/>
    <w:rsid w:val="00AF6FF2"/>
    <w:rsid w:val="00AF76F5"/>
    <w:rsid w:val="00B016B3"/>
    <w:rsid w:val="00B04146"/>
    <w:rsid w:val="00B10EE6"/>
    <w:rsid w:val="00B11A1B"/>
    <w:rsid w:val="00B13882"/>
    <w:rsid w:val="00B1445F"/>
    <w:rsid w:val="00B14D9A"/>
    <w:rsid w:val="00B15202"/>
    <w:rsid w:val="00B153F2"/>
    <w:rsid w:val="00B17115"/>
    <w:rsid w:val="00B17DC3"/>
    <w:rsid w:val="00B17FFB"/>
    <w:rsid w:val="00B20184"/>
    <w:rsid w:val="00B21536"/>
    <w:rsid w:val="00B21FE8"/>
    <w:rsid w:val="00B23190"/>
    <w:rsid w:val="00B24B7E"/>
    <w:rsid w:val="00B278B3"/>
    <w:rsid w:val="00B36691"/>
    <w:rsid w:val="00B40409"/>
    <w:rsid w:val="00B405AE"/>
    <w:rsid w:val="00B41E4B"/>
    <w:rsid w:val="00B4310C"/>
    <w:rsid w:val="00B5020E"/>
    <w:rsid w:val="00B51920"/>
    <w:rsid w:val="00B5267E"/>
    <w:rsid w:val="00B52C2D"/>
    <w:rsid w:val="00B5500C"/>
    <w:rsid w:val="00B55487"/>
    <w:rsid w:val="00B5604A"/>
    <w:rsid w:val="00B6050A"/>
    <w:rsid w:val="00B6250E"/>
    <w:rsid w:val="00B63755"/>
    <w:rsid w:val="00B657FB"/>
    <w:rsid w:val="00B65C30"/>
    <w:rsid w:val="00B7442C"/>
    <w:rsid w:val="00B76AB2"/>
    <w:rsid w:val="00B76F17"/>
    <w:rsid w:val="00B86FD4"/>
    <w:rsid w:val="00B907F3"/>
    <w:rsid w:val="00B90B91"/>
    <w:rsid w:val="00B96411"/>
    <w:rsid w:val="00B964FF"/>
    <w:rsid w:val="00BA212A"/>
    <w:rsid w:val="00BA3283"/>
    <w:rsid w:val="00BA536A"/>
    <w:rsid w:val="00BA5789"/>
    <w:rsid w:val="00BA5A54"/>
    <w:rsid w:val="00BA70E6"/>
    <w:rsid w:val="00BB0060"/>
    <w:rsid w:val="00BB250D"/>
    <w:rsid w:val="00BB337E"/>
    <w:rsid w:val="00BB718A"/>
    <w:rsid w:val="00BC30CC"/>
    <w:rsid w:val="00BC477C"/>
    <w:rsid w:val="00BD0A60"/>
    <w:rsid w:val="00BD1CD4"/>
    <w:rsid w:val="00BD4C8E"/>
    <w:rsid w:val="00BD652A"/>
    <w:rsid w:val="00BD6531"/>
    <w:rsid w:val="00BE22CE"/>
    <w:rsid w:val="00BE3E74"/>
    <w:rsid w:val="00BE41E8"/>
    <w:rsid w:val="00BE74EC"/>
    <w:rsid w:val="00BE7AFA"/>
    <w:rsid w:val="00BE7EEC"/>
    <w:rsid w:val="00BF06A7"/>
    <w:rsid w:val="00BF0942"/>
    <w:rsid w:val="00BF15D7"/>
    <w:rsid w:val="00BF1CCA"/>
    <w:rsid w:val="00BF35FF"/>
    <w:rsid w:val="00BF54A9"/>
    <w:rsid w:val="00BF5E0B"/>
    <w:rsid w:val="00C01B2A"/>
    <w:rsid w:val="00C03D50"/>
    <w:rsid w:val="00C0544C"/>
    <w:rsid w:val="00C05D42"/>
    <w:rsid w:val="00C06FA9"/>
    <w:rsid w:val="00C15AB8"/>
    <w:rsid w:val="00C171B3"/>
    <w:rsid w:val="00C22C85"/>
    <w:rsid w:val="00C23207"/>
    <w:rsid w:val="00C23570"/>
    <w:rsid w:val="00C23EDE"/>
    <w:rsid w:val="00C243F0"/>
    <w:rsid w:val="00C253F9"/>
    <w:rsid w:val="00C2620B"/>
    <w:rsid w:val="00C30402"/>
    <w:rsid w:val="00C31026"/>
    <w:rsid w:val="00C33DFD"/>
    <w:rsid w:val="00C3413F"/>
    <w:rsid w:val="00C358AD"/>
    <w:rsid w:val="00C40D5D"/>
    <w:rsid w:val="00C4158D"/>
    <w:rsid w:val="00C417B3"/>
    <w:rsid w:val="00C4205E"/>
    <w:rsid w:val="00C423A9"/>
    <w:rsid w:val="00C4284A"/>
    <w:rsid w:val="00C44797"/>
    <w:rsid w:val="00C44DBA"/>
    <w:rsid w:val="00C4742A"/>
    <w:rsid w:val="00C51331"/>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77362"/>
    <w:rsid w:val="00C82E78"/>
    <w:rsid w:val="00C8339E"/>
    <w:rsid w:val="00C854DF"/>
    <w:rsid w:val="00C90A12"/>
    <w:rsid w:val="00C94561"/>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15A8"/>
    <w:rsid w:val="00CC26B7"/>
    <w:rsid w:val="00CC2B0A"/>
    <w:rsid w:val="00CC366D"/>
    <w:rsid w:val="00CC502B"/>
    <w:rsid w:val="00CC755E"/>
    <w:rsid w:val="00CC7D03"/>
    <w:rsid w:val="00CD27AB"/>
    <w:rsid w:val="00CD4EB3"/>
    <w:rsid w:val="00CD5D3D"/>
    <w:rsid w:val="00CD7A4F"/>
    <w:rsid w:val="00CE126B"/>
    <w:rsid w:val="00CE2C3E"/>
    <w:rsid w:val="00CE3B50"/>
    <w:rsid w:val="00CE4F13"/>
    <w:rsid w:val="00CF0410"/>
    <w:rsid w:val="00CF1571"/>
    <w:rsid w:val="00CF1BD0"/>
    <w:rsid w:val="00CF1C7B"/>
    <w:rsid w:val="00CF4421"/>
    <w:rsid w:val="00CF5AB5"/>
    <w:rsid w:val="00CF715F"/>
    <w:rsid w:val="00D016BA"/>
    <w:rsid w:val="00D10141"/>
    <w:rsid w:val="00D1103C"/>
    <w:rsid w:val="00D112B3"/>
    <w:rsid w:val="00D113AB"/>
    <w:rsid w:val="00D22608"/>
    <w:rsid w:val="00D236B1"/>
    <w:rsid w:val="00D23C64"/>
    <w:rsid w:val="00D315EC"/>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63643"/>
    <w:rsid w:val="00D756B3"/>
    <w:rsid w:val="00D75FAC"/>
    <w:rsid w:val="00D76E9B"/>
    <w:rsid w:val="00D77A95"/>
    <w:rsid w:val="00D803AD"/>
    <w:rsid w:val="00D80659"/>
    <w:rsid w:val="00D8225A"/>
    <w:rsid w:val="00D826FB"/>
    <w:rsid w:val="00D83CF7"/>
    <w:rsid w:val="00D85098"/>
    <w:rsid w:val="00D86D02"/>
    <w:rsid w:val="00D92124"/>
    <w:rsid w:val="00D9310B"/>
    <w:rsid w:val="00D933F6"/>
    <w:rsid w:val="00D94AFB"/>
    <w:rsid w:val="00D960E3"/>
    <w:rsid w:val="00D974A4"/>
    <w:rsid w:val="00DA1167"/>
    <w:rsid w:val="00DA20AF"/>
    <w:rsid w:val="00DA27ED"/>
    <w:rsid w:val="00DA2975"/>
    <w:rsid w:val="00DA4603"/>
    <w:rsid w:val="00DA5383"/>
    <w:rsid w:val="00DA7CA9"/>
    <w:rsid w:val="00DC0BFB"/>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E724A"/>
    <w:rsid w:val="00DF0E18"/>
    <w:rsid w:val="00DF1EFF"/>
    <w:rsid w:val="00DF2FF5"/>
    <w:rsid w:val="00DF3263"/>
    <w:rsid w:val="00DF350C"/>
    <w:rsid w:val="00DF4CEA"/>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2801"/>
    <w:rsid w:val="00E2355D"/>
    <w:rsid w:val="00E2443C"/>
    <w:rsid w:val="00E24FAC"/>
    <w:rsid w:val="00E25781"/>
    <w:rsid w:val="00E26303"/>
    <w:rsid w:val="00E302B8"/>
    <w:rsid w:val="00E30C2A"/>
    <w:rsid w:val="00E320D0"/>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331C"/>
    <w:rsid w:val="00E5694C"/>
    <w:rsid w:val="00E60424"/>
    <w:rsid w:val="00E606A9"/>
    <w:rsid w:val="00E61142"/>
    <w:rsid w:val="00E617DF"/>
    <w:rsid w:val="00E62028"/>
    <w:rsid w:val="00E624E1"/>
    <w:rsid w:val="00E6496A"/>
    <w:rsid w:val="00E64A17"/>
    <w:rsid w:val="00E6775C"/>
    <w:rsid w:val="00E706AC"/>
    <w:rsid w:val="00E72890"/>
    <w:rsid w:val="00E73D0D"/>
    <w:rsid w:val="00E80B52"/>
    <w:rsid w:val="00E81AFE"/>
    <w:rsid w:val="00E8221D"/>
    <w:rsid w:val="00E865FF"/>
    <w:rsid w:val="00E908B8"/>
    <w:rsid w:val="00E90EA9"/>
    <w:rsid w:val="00E918F3"/>
    <w:rsid w:val="00E9253C"/>
    <w:rsid w:val="00E9428E"/>
    <w:rsid w:val="00E951AA"/>
    <w:rsid w:val="00EA1309"/>
    <w:rsid w:val="00EA2018"/>
    <w:rsid w:val="00EA2AA6"/>
    <w:rsid w:val="00EA49D2"/>
    <w:rsid w:val="00EA580C"/>
    <w:rsid w:val="00EB11FD"/>
    <w:rsid w:val="00EB3D3F"/>
    <w:rsid w:val="00EB4FBB"/>
    <w:rsid w:val="00EB7D57"/>
    <w:rsid w:val="00ED09BA"/>
    <w:rsid w:val="00ED1083"/>
    <w:rsid w:val="00ED1BBB"/>
    <w:rsid w:val="00ED6EA3"/>
    <w:rsid w:val="00EE0BFD"/>
    <w:rsid w:val="00EE0D49"/>
    <w:rsid w:val="00EE1546"/>
    <w:rsid w:val="00EE1AB3"/>
    <w:rsid w:val="00EE1DC7"/>
    <w:rsid w:val="00EE2371"/>
    <w:rsid w:val="00EE2442"/>
    <w:rsid w:val="00EE2535"/>
    <w:rsid w:val="00EE38E0"/>
    <w:rsid w:val="00EE7F24"/>
    <w:rsid w:val="00EF112C"/>
    <w:rsid w:val="00EF1965"/>
    <w:rsid w:val="00EF2E32"/>
    <w:rsid w:val="00EF65BF"/>
    <w:rsid w:val="00EF6A25"/>
    <w:rsid w:val="00F02705"/>
    <w:rsid w:val="00F1112A"/>
    <w:rsid w:val="00F11FFF"/>
    <w:rsid w:val="00F1223B"/>
    <w:rsid w:val="00F1335D"/>
    <w:rsid w:val="00F144BD"/>
    <w:rsid w:val="00F14EFA"/>
    <w:rsid w:val="00F173A1"/>
    <w:rsid w:val="00F22561"/>
    <w:rsid w:val="00F23F3F"/>
    <w:rsid w:val="00F24A4C"/>
    <w:rsid w:val="00F25D7A"/>
    <w:rsid w:val="00F30414"/>
    <w:rsid w:val="00F32743"/>
    <w:rsid w:val="00F337B9"/>
    <w:rsid w:val="00F36995"/>
    <w:rsid w:val="00F3737C"/>
    <w:rsid w:val="00F37868"/>
    <w:rsid w:val="00F40E37"/>
    <w:rsid w:val="00F44281"/>
    <w:rsid w:val="00F47C8F"/>
    <w:rsid w:val="00F502CC"/>
    <w:rsid w:val="00F534DC"/>
    <w:rsid w:val="00F5661E"/>
    <w:rsid w:val="00F6011D"/>
    <w:rsid w:val="00F65DBA"/>
    <w:rsid w:val="00F66BD4"/>
    <w:rsid w:val="00F67DAA"/>
    <w:rsid w:val="00F71E97"/>
    <w:rsid w:val="00F76A21"/>
    <w:rsid w:val="00F7771E"/>
    <w:rsid w:val="00F77FBC"/>
    <w:rsid w:val="00F80C78"/>
    <w:rsid w:val="00F8158D"/>
    <w:rsid w:val="00F81D4F"/>
    <w:rsid w:val="00F81D58"/>
    <w:rsid w:val="00F8304F"/>
    <w:rsid w:val="00F85F64"/>
    <w:rsid w:val="00F872C9"/>
    <w:rsid w:val="00F87595"/>
    <w:rsid w:val="00F91850"/>
    <w:rsid w:val="00F920B1"/>
    <w:rsid w:val="00F9780F"/>
    <w:rsid w:val="00FA130E"/>
    <w:rsid w:val="00FA28B8"/>
    <w:rsid w:val="00FA56F5"/>
    <w:rsid w:val="00FA7F4E"/>
    <w:rsid w:val="00FB2D4B"/>
    <w:rsid w:val="00FB31A2"/>
    <w:rsid w:val="00FB627A"/>
    <w:rsid w:val="00FC25F8"/>
    <w:rsid w:val="00FD0349"/>
    <w:rsid w:val="00FD6A87"/>
    <w:rsid w:val="00FD6C46"/>
    <w:rsid w:val="00FD6F15"/>
    <w:rsid w:val="00FD7918"/>
    <w:rsid w:val="00FD7CF3"/>
    <w:rsid w:val="00FE10C2"/>
    <w:rsid w:val="00FE1664"/>
    <w:rsid w:val="00FE1822"/>
    <w:rsid w:val="00FE1DC7"/>
    <w:rsid w:val="00FE1E5D"/>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50327-CAB5-4183-AF83-85399AB5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NormalJustificado">
    <w:name w:val="Normal + Justificado"/>
    <w:basedOn w:val="Normal"/>
    <w:rsid w:val="004525FF"/>
    <w:pPr>
      <w:overflowPunct w:val="0"/>
      <w:autoSpaceDE w:val="0"/>
      <w:autoSpaceDN w:val="0"/>
      <w:adjustRightInd w:val="0"/>
      <w:jc w:val="both"/>
      <w:textAlignment w:val="baseline"/>
    </w:pPr>
    <w:rPr>
      <w:sz w:val="28"/>
      <w:szCs w:val="28"/>
      <w:u w:val="single"/>
    </w:rPr>
  </w:style>
  <w:style w:type="paragraph" w:styleId="Sinespaciado">
    <w:name w:val="No Spacing"/>
    <w:link w:val="SinespaciadoCar"/>
    <w:uiPriority w:val="1"/>
    <w:qFormat/>
    <w:rsid w:val="00D22608"/>
    <w:rPr>
      <w:sz w:val="24"/>
      <w:szCs w:val="24"/>
    </w:rPr>
  </w:style>
  <w:style w:type="paragraph" w:customStyle="1" w:styleId="contenido">
    <w:name w:val="contenido"/>
    <w:basedOn w:val="Normal"/>
    <w:rsid w:val="00260C74"/>
    <w:pPr>
      <w:spacing w:before="100" w:beforeAutospacing="1" w:after="100" w:afterAutospacing="1"/>
    </w:pPr>
    <w:rPr>
      <w:lang w:val="es-CO" w:eastAsia="es-CO"/>
    </w:rPr>
  </w:style>
  <w:style w:type="character" w:customStyle="1" w:styleId="trcadcwrapper">
    <w:name w:val="trc_adc_wrapper"/>
    <w:basedOn w:val="Fuentedeprrafopredeter"/>
    <w:rsid w:val="00260C74"/>
  </w:style>
  <w:style w:type="character" w:customStyle="1" w:styleId="trclogosvalign">
    <w:name w:val="trc_logos_v_align"/>
    <w:basedOn w:val="Fuentedeprrafopredeter"/>
    <w:rsid w:val="00260C74"/>
  </w:style>
  <w:style w:type="character" w:customStyle="1" w:styleId="trcrboxheaderspan">
    <w:name w:val="trc_rbox_header_span"/>
    <w:basedOn w:val="Fuentedeprrafopredeter"/>
    <w:rsid w:val="00260C74"/>
  </w:style>
  <w:style w:type="character" w:customStyle="1" w:styleId="video-label">
    <w:name w:val="video-label"/>
    <w:basedOn w:val="Fuentedeprrafopredeter"/>
    <w:rsid w:val="00260C74"/>
  </w:style>
  <w:style w:type="character" w:customStyle="1" w:styleId="branding">
    <w:name w:val="branding"/>
    <w:basedOn w:val="Fuentedeprrafopredeter"/>
    <w:rsid w:val="00260C74"/>
  </w:style>
  <w:style w:type="character" w:customStyle="1" w:styleId="vidspn">
    <w:name w:val="vid_spn"/>
    <w:basedOn w:val="Fuentedeprrafopredeter"/>
    <w:rsid w:val="00260C74"/>
  </w:style>
  <w:style w:type="paragraph" w:customStyle="1" w:styleId="ta3">
    <w:name w:val="ta3"/>
    <w:basedOn w:val="Normal"/>
    <w:rsid w:val="00260C74"/>
    <w:pPr>
      <w:spacing w:before="100" w:beforeAutospacing="1" w:after="100" w:afterAutospacing="1"/>
    </w:pPr>
    <w:rPr>
      <w:lang w:val="es-CO" w:eastAsia="es-CO"/>
    </w:rPr>
  </w:style>
  <w:style w:type="character" w:customStyle="1" w:styleId="to-ft">
    <w:name w:val="to-ft"/>
    <w:basedOn w:val="Fuentedeprrafopredeter"/>
    <w:rsid w:val="00260C74"/>
  </w:style>
  <w:style w:type="character" w:customStyle="1" w:styleId="ancestor">
    <w:name w:val="ancestor"/>
    <w:basedOn w:val="Fuentedeprrafopredeter"/>
    <w:rsid w:val="00260C74"/>
  </w:style>
  <w:style w:type="paragraph" w:customStyle="1" w:styleId="ta5-grey">
    <w:name w:val="ta5-grey"/>
    <w:basedOn w:val="Normal"/>
    <w:rsid w:val="00260C74"/>
    <w:pPr>
      <w:spacing w:before="100" w:beforeAutospacing="1" w:after="100" w:afterAutospacing="1"/>
    </w:pPr>
    <w:rPr>
      <w:lang w:val="es-CO" w:eastAsia="es-CO"/>
    </w:rPr>
  </w:style>
  <w:style w:type="character" w:customStyle="1" w:styleId="SinespaciadoCar">
    <w:name w:val="Sin espaciado Car"/>
    <w:link w:val="Sinespaciado"/>
    <w:uiPriority w:val="1"/>
    <w:locked/>
    <w:rsid w:val="00433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09">
      <w:bodyDiv w:val="1"/>
      <w:marLeft w:val="0"/>
      <w:marRight w:val="0"/>
      <w:marTop w:val="0"/>
      <w:marBottom w:val="0"/>
      <w:divBdr>
        <w:top w:val="none" w:sz="0" w:space="0" w:color="auto"/>
        <w:left w:val="none" w:sz="0" w:space="0" w:color="auto"/>
        <w:bottom w:val="none" w:sz="0" w:space="0" w:color="auto"/>
        <w:right w:val="none" w:sz="0" w:space="0" w:color="auto"/>
      </w:divBdr>
    </w:div>
    <w:div w:id="245847277">
      <w:bodyDiv w:val="1"/>
      <w:marLeft w:val="0"/>
      <w:marRight w:val="0"/>
      <w:marTop w:val="0"/>
      <w:marBottom w:val="0"/>
      <w:divBdr>
        <w:top w:val="none" w:sz="0" w:space="0" w:color="auto"/>
        <w:left w:val="none" w:sz="0" w:space="0" w:color="auto"/>
        <w:bottom w:val="none" w:sz="0" w:space="0" w:color="auto"/>
        <w:right w:val="none" w:sz="0" w:space="0" w:color="auto"/>
      </w:divBdr>
    </w:div>
    <w:div w:id="1216087347">
      <w:bodyDiv w:val="1"/>
      <w:marLeft w:val="0"/>
      <w:marRight w:val="0"/>
      <w:marTop w:val="0"/>
      <w:marBottom w:val="0"/>
      <w:divBdr>
        <w:top w:val="none" w:sz="0" w:space="0" w:color="auto"/>
        <w:left w:val="none" w:sz="0" w:space="0" w:color="auto"/>
        <w:bottom w:val="none" w:sz="0" w:space="0" w:color="auto"/>
        <w:right w:val="none" w:sz="0" w:space="0" w:color="auto"/>
      </w:divBdr>
      <w:divsChild>
        <w:div w:id="1356809039">
          <w:marLeft w:val="-630"/>
          <w:marRight w:val="0"/>
          <w:marTop w:val="0"/>
          <w:marBottom w:val="0"/>
          <w:divBdr>
            <w:top w:val="none" w:sz="0" w:space="0" w:color="auto"/>
            <w:left w:val="none" w:sz="0" w:space="0" w:color="auto"/>
            <w:bottom w:val="none" w:sz="0" w:space="0" w:color="auto"/>
            <w:right w:val="none" w:sz="0" w:space="0" w:color="auto"/>
          </w:divBdr>
          <w:divsChild>
            <w:div w:id="290017525">
              <w:marLeft w:val="630"/>
              <w:marRight w:val="0"/>
              <w:marTop w:val="0"/>
              <w:marBottom w:val="0"/>
              <w:divBdr>
                <w:top w:val="none" w:sz="0" w:space="0" w:color="auto"/>
                <w:left w:val="none" w:sz="0" w:space="0" w:color="auto"/>
                <w:bottom w:val="none" w:sz="0" w:space="0" w:color="auto"/>
                <w:right w:val="none" w:sz="0" w:space="0" w:color="auto"/>
              </w:divBdr>
              <w:divsChild>
                <w:div w:id="1860049128">
                  <w:marLeft w:val="0"/>
                  <w:marRight w:val="0"/>
                  <w:marTop w:val="0"/>
                  <w:marBottom w:val="450"/>
                  <w:divBdr>
                    <w:top w:val="none" w:sz="0" w:space="0" w:color="auto"/>
                    <w:left w:val="none" w:sz="0" w:space="0" w:color="auto"/>
                    <w:bottom w:val="none" w:sz="0" w:space="0" w:color="auto"/>
                    <w:right w:val="none" w:sz="0" w:space="0" w:color="auto"/>
                  </w:divBdr>
                  <w:divsChild>
                    <w:div w:id="190191137">
                      <w:marLeft w:val="0"/>
                      <w:marRight w:val="0"/>
                      <w:marTop w:val="0"/>
                      <w:marBottom w:val="750"/>
                      <w:divBdr>
                        <w:top w:val="none" w:sz="0" w:space="0" w:color="auto"/>
                        <w:left w:val="none" w:sz="0" w:space="0" w:color="auto"/>
                        <w:bottom w:val="single" w:sz="6" w:space="23" w:color="E7E7E7"/>
                        <w:right w:val="none" w:sz="0" w:space="0" w:color="auto"/>
                      </w:divBdr>
                      <w:divsChild>
                        <w:div w:id="1453018678">
                          <w:marLeft w:val="0"/>
                          <w:marRight w:val="0"/>
                          <w:marTop w:val="0"/>
                          <w:marBottom w:val="0"/>
                          <w:divBdr>
                            <w:top w:val="none" w:sz="0" w:space="0" w:color="auto"/>
                            <w:left w:val="none" w:sz="0" w:space="0" w:color="auto"/>
                            <w:bottom w:val="none" w:sz="0" w:space="0" w:color="auto"/>
                            <w:right w:val="none" w:sz="0" w:space="0" w:color="auto"/>
                          </w:divBdr>
                          <w:divsChild>
                            <w:div w:id="125008243">
                              <w:marLeft w:val="0"/>
                              <w:marRight w:val="0"/>
                              <w:marTop w:val="0"/>
                              <w:marBottom w:val="0"/>
                              <w:divBdr>
                                <w:top w:val="none" w:sz="0" w:space="0" w:color="auto"/>
                                <w:left w:val="none" w:sz="0" w:space="0" w:color="auto"/>
                                <w:bottom w:val="none" w:sz="0" w:space="0" w:color="auto"/>
                                <w:right w:val="none" w:sz="0" w:space="0" w:color="auto"/>
                              </w:divBdr>
                              <w:divsChild>
                                <w:div w:id="1521898198">
                                  <w:marLeft w:val="0"/>
                                  <w:marRight w:val="0"/>
                                  <w:marTop w:val="0"/>
                                  <w:marBottom w:val="0"/>
                                  <w:divBdr>
                                    <w:top w:val="none" w:sz="0" w:space="0" w:color="auto"/>
                                    <w:left w:val="none" w:sz="0" w:space="0" w:color="auto"/>
                                    <w:bottom w:val="none" w:sz="0" w:space="0" w:color="auto"/>
                                    <w:right w:val="none" w:sz="0" w:space="0" w:color="auto"/>
                                  </w:divBdr>
                                  <w:divsChild>
                                    <w:div w:id="6112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07464">
              <w:marLeft w:val="630"/>
              <w:marRight w:val="0"/>
              <w:marTop w:val="0"/>
              <w:marBottom w:val="0"/>
              <w:divBdr>
                <w:top w:val="none" w:sz="0" w:space="0" w:color="auto"/>
                <w:left w:val="none" w:sz="0" w:space="0" w:color="auto"/>
                <w:bottom w:val="none" w:sz="0" w:space="0" w:color="auto"/>
                <w:right w:val="none" w:sz="0" w:space="0" w:color="auto"/>
              </w:divBdr>
              <w:divsChild>
                <w:div w:id="1160655407">
                  <w:marLeft w:val="0"/>
                  <w:marRight w:val="0"/>
                  <w:marTop w:val="0"/>
                  <w:marBottom w:val="0"/>
                  <w:divBdr>
                    <w:top w:val="none" w:sz="0" w:space="0" w:color="auto"/>
                    <w:left w:val="none" w:sz="0" w:space="0" w:color="auto"/>
                    <w:bottom w:val="none" w:sz="0" w:space="0" w:color="auto"/>
                    <w:right w:val="none" w:sz="0" w:space="0" w:color="auto"/>
                  </w:divBdr>
                  <w:divsChild>
                    <w:div w:id="2034989707">
                      <w:marLeft w:val="0"/>
                      <w:marRight w:val="0"/>
                      <w:marTop w:val="0"/>
                      <w:marBottom w:val="300"/>
                      <w:divBdr>
                        <w:top w:val="none" w:sz="0" w:space="0" w:color="auto"/>
                        <w:left w:val="none" w:sz="0" w:space="0" w:color="auto"/>
                        <w:bottom w:val="none" w:sz="0" w:space="0" w:color="auto"/>
                        <w:right w:val="none" w:sz="0" w:space="0" w:color="auto"/>
                      </w:divBdr>
                      <w:divsChild>
                        <w:div w:id="1874417305">
                          <w:marLeft w:val="0"/>
                          <w:marRight w:val="0"/>
                          <w:marTop w:val="0"/>
                          <w:marBottom w:val="180"/>
                          <w:divBdr>
                            <w:top w:val="none" w:sz="0" w:space="0" w:color="auto"/>
                            <w:left w:val="none" w:sz="0" w:space="0" w:color="auto"/>
                            <w:bottom w:val="single" w:sz="6" w:space="0" w:color="DEDEDB"/>
                            <w:right w:val="none" w:sz="0" w:space="0" w:color="auto"/>
                          </w:divBdr>
                        </w:div>
                      </w:divsChild>
                    </w:div>
                  </w:divsChild>
                </w:div>
                <w:div w:id="1689404522">
                  <w:marLeft w:val="0"/>
                  <w:marRight w:val="0"/>
                  <w:marTop w:val="0"/>
                  <w:marBottom w:val="0"/>
                  <w:divBdr>
                    <w:top w:val="none" w:sz="0" w:space="0" w:color="auto"/>
                    <w:left w:val="none" w:sz="0" w:space="0" w:color="auto"/>
                    <w:bottom w:val="none" w:sz="0" w:space="0" w:color="auto"/>
                    <w:right w:val="none" w:sz="0" w:space="0" w:color="auto"/>
                  </w:divBdr>
                  <w:divsChild>
                    <w:div w:id="979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5626">
          <w:marLeft w:val="0"/>
          <w:marRight w:val="0"/>
          <w:marTop w:val="0"/>
          <w:marBottom w:val="0"/>
          <w:divBdr>
            <w:top w:val="none" w:sz="0" w:space="0" w:color="auto"/>
            <w:left w:val="none" w:sz="0" w:space="0" w:color="auto"/>
            <w:bottom w:val="none" w:sz="0" w:space="0" w:color="auto"/>
            <w:right w:val="none" w:sz="0" w:space="0" w:color="auto"/>
          </w:divBdr>
        </w:div>
      </w:divsChild>
    </w:div>
    <w:div w:id="1387603081">
      <w:bodyDiv w:val="1"/>
      <w:marLeft w:val="0"/>
      <w:marRight w:val="0"/>
      <w:marTop w:val="0"/>
      <w:marBottom w:val="0"/>
      <w:divBdr>
        <w:top w:val="none" w:sz="0" w:space="0" w:color="auto"/>
        <w:left w:val="none" w:sz="0" w:space="0" w:color="auto"/>
        <w:bottom w:val="none" w:sz="0" w:space="0" w:color="auto"/>
        <w:right w:val="none" w:sz="0" w:space="0" w:color="auto"/>
      </w:divBdr>
    </w:div>
    <w:div w:id="1459108646">
      <w:bodyDiv w:val="1"/>
      <w:marLeft w:val="0"/>
      <w:marRight w:val="0"/>
      <w:marTop w:val="0"/>
      <w:marBottom w:val="0"/>
      <w:divBdr>
        <w:top w:val="none" w:sz="0" w:space="0" w:color="auto"/>
        <w:left w:val="none" w:sz="0" w:space="0" w:color="auto"/>
        <w:bottom w:val="none" w:sz="0" w:space="0" w:color="auto"/>
        <w:right w:val="none" w:sz="0" w:space="0" w:color="auto"/>
      </w:divBdr>
      <w:divsChild>
        <w:div w:id="1259099674">
          <w:marLeft w:val="0"/>
          <w:marRight w:val="0"/>
          <w:marTop w:val="0"/>
          <w:marBottom w:val="0"/>
          <w:divBdr>
            <w:top w:val="none" w:sz="0" w:space="0" w:color="auto"/>
            <w:left w:val="none" w:sz="0" w:space="0" w:color="auto"/>
            <w:bottom w:val="none" w:sz="0" w:space="0" w:color="auto"/>
            <w:right w:val="none" w:sz="0" w:space="0" w:color="auto"/>
          </w:divBdr>
          <w:divsChild>
            <w:div w:id="950547317">
              <w:marLeft w:val="0"/>
              <w:marRight w:val="0"/>
              <w:marTop w:val="0"/>
              <w:marBottom w:val="0"/>
              <w:divBdr>
                <w:top w:val="none" w:sz="0" w:space="0" w:color="auto"/>
                <w:left w:val="none" w:sz="0" w:space="0" w:color="auto"/>
                <w:bottom w:val="none" w:sz="0" w:space="0" w:color="auto"/>
                <w:right w:val="none" w:sz="0" w:space="0" w:color="auto"/>
              </w:divBdr>
              <w:divsChild>
                <w:div w:id="1320497203">
                  <w:marLeft w:val="0"/>
                  <w:marRight w:val="0"/>
                  <w:marTop w:val="0"/>
                  <w:marBottom w:val="0"/>
                  <w:divBdr>
                    <w:top w:val="none" w:sz="0" w:space="0" w:color="auto"/>
                    <w:left w:val="none" w:sz="0" w:space="0" w:color="auto"/>
                    <w:bottom w:val="none" w:sz="0" w:space="0" w:color="auto"/>
                    <w:right w:val="none" w:sz="0" w:space="0" w:color="auto"/>
                  </w:divBdr>
                  <w:divsChild>
                    <w:div w:id="1650598524">
                      <w:marLeft w:val="0"/>
                      <w:marRight w:val="450"/>
                      <w:marTop w:val="0"/>
                      <w:marBottom w:val="0"/>
                      <w:divBdr>
                        <w:top w:val="none" w:sz="0" w:space="0" w:color="auto"/>
                        <w:left w:val="none" w:sz="0" w:space="0" w:color="auto"/>
                        <w:bottom w:val="none" w:sz="0" w:space="0" w:color="auto"/>
                        <w:right w:val="none" w:sz="0" w:space="0" w:color="auto"/>
                      </w:divBdr>
                      <w:divsChild>
                        <w:div w:id="1319767143">
                          <w:marLeft w:val="0"/>
                          <w:marRight w:val="0"/>
                          <w:marTop w:val="0"/>
                          <w:marBottom w:val="0"/>
                          <w:divBdr>
                            <w:top w:val="none" w:sz="0" w:space="0" w:color="auto"/>
                            <w:left w:val="none" w:sz="0" w:space="0" w:color="auto"/>
                            <w:bottom w:val="none" w:sz="0" w:space="0" w:color="auto"/>
                            <w:right w:val="none" w:sz="0" w:space="0" w:color="auto"/>
                          </w:divBdr>
                        </w:div>
                      </w:divsChild>
                    </w:div>
                    <w:div w:id="68574900">
                      <w:marLeft w:val="0"/>
                      <w:marRight w:val="0"/>
                      <w:marTop w:val="0"/>
                      <w:marBottom w:val="0"/>
                      <w:divBdr>
                        <w:top w:val="none" w:sz="0" w:space="0" w:color="auto"/>
                        <w:left w:val="none" w:sz="0" w:space="0" w:color="auto"/>
                        <w:bottom w:val="none" w:sz="0" w:space="0" w:color="auto"/>
                        <w:right w:val="none" w:sz="0" w:space="0" w:color="auto"/>
                      </w:divBdr>
                      <w:divsChild>
                        <w:div w:id="2082213609">
                          <w:marLeft w:val="0"/>
                          <w:marRight w:val="0"/>
                          <w:marTop w:val="450"/>
                          <w:marBottom w:val="0"/>
                          <w:divBdr>
                            <w:top w:val="none" w:sz="0" w:space="0" w:color="auto"/>
                            <w:left w:val="none" w:sz="0" w:space="0" w:color="auto"/>
                            <w:bottom w:val="none" w:sz="0" w:space="0" w:color="auto"/>
                            <w:right w:val="none" w:sz="0" w:space="0" w:color="auto"/>
                          </w:divBdr>
                          <w:divsChild>
                            <w:div w:id="404567674">
                              <w:marLeft w:val="0"/>
                              <w:marRight w:val="0"/>
                              <w:marTop w:val="0"/>
                              <w:marBottom w:val="0"/>
                              <w:divBdr>
                                <w:top w:val="none" w:sz="0" w:space="0" w:color="auto"/>
                                <w:left w:val="none" w:sz="0" w:space="0" w:color="auto"/>
                                <w:bottom w:val="none" w:sz="0" w:space="0" w:color="auto"/>
                                <w:right w:val="none" w:sz="0" w:space="0" w:color="auto"/>
                              </w:divBdr>
                              <w:divsChild>
                                <w:div w:id="21379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7">
                          <w:marLeft w:val="0"/>
                          <w:marRight w:val="0"/>
                          <w:marTop w:val="0"/>
                          <w:marBottom w:val="0"/>
                          <w:divBdr>
                            <w:top w:val="none" w:sz="0" w:space="0" w:color="auto"/>
                            <w:left w:val="none" w:sz="0" w:space="0" w:color="auto"/>
                            <w:bottom w:val="none" w:sz="0" w:space="0" w:color="auto"/>
                            <w:right w:val="none" w:sz="0" w:space="0" w:color="auto"/>
                          </w:divBdr>
                          <w:divsChild>
                            <w:div w:id="1940794902">
                              <w:marLeft w:val="0"/>
                              <w:marRight w:val="0"/>
                              <w:marTop w:val="0"/>
                              <w:marBottom w:val="0"/>
                              <w:divBdr>
                                <w:top w:val="none" w:sz="0" w:space="0" w:color="auto"/>
                                <w:left w:val="none" w:sz="0" w:space="0" w:color="auto"/>
                                <w:bottom w:val="none" w:sz="0" w:space="0" w:color="auto"/>
                                <w:right w:val="none" w:sz="0" w:space="0" w:color="auto"/>
                              </w:divBdr>
                              <w:divsChild>
                                <w:div w:id="523324374">
                                  <w:marLeft w:val="0"/>
                                  <w:marRight w:val="0"/>
                                  <w:marTop w:val="0"/>
                                  <w:marBottom w:val="0"/>
                                  <w:divBdr>
                                    <w:top w:val="none" w:sz="0" w:space="0" w:color="auto"/>
                                    <w:left w:val="none" w:sz="0" w:space="0" w:color="auto"/>
                                    <w:bottom w:val="none" w:sz="0" w:space="0" w:color="auto"/>
                                    <w:right w:val="none" w:sz="0" w:space="0" w:color="auto"/>
                                  </w:divBdr>
                                  <w:divsChild>
                                    <w:div w:id="2107773190">
                                      <w:marLeft w:val="0"/>
                                      <w:marRight w:val="0"/>
                                      <w:marTop w:val="0"/>
                                      <w:marBottom w:val="0"/>
                                      <w:divBdr>
                                        <w:top w:val="none" w:sz="0" w:space="0" w:color="auto"/>
                                        <w:left w:val="none" w:sz="0" w:space="0" w:color="auto"/>
                                        <w:bottom w:val="none" w:sz="0" w:space="0" w:color="auto"/>
                                        <w:right w:val="none" w:sz="0" w:space="0" w:color="auto"/>
                                      </w:divBdr>
                                      <w:divsChild>
                                        <w:div w:id="2139495269">
                                          <w:marLeft w:val="0"/>
                                          <w:marRight w:val="0"/>
                                          <w:marTop w:val="0"/>
                                          <w:marBottom w:val="0"/>
                                          <w:divBdr>
                                            <w:top w:val="single" w:sz="6" w:space="8" w:color="DFDFDF"/>
                                            <w:left w:val="single" w:sz="2" w:space="0" w:color="DFDFDF"/>
                                            <w:bottom w:val="single" w:sz="2" w:space="0" w:color="DFDFDF"/>
                                            <w:right w:val="single" w:sz="2" w:space="0" w:color="DFDFDF"/>
                                          </w:divBdr>
                                          <w:divsChild>
                                            <w:div w:id="1186166331">
                                              <w:marLeft w:val="0"/>
                                              <w:marRight w:val="0"/>
                                              <w:marTop w:val="0"/>
                                              <w:marBottom w:val="0"/>
                                              <w:divBdr>
                                                <w:top w:val="none" w:sz="0" w:space="0" w:color="auto"/>
                                                <w:left w:val="none" w:sz="0" w:space="0" w:color="auto"/>
                                                <w:bottom w:val="none" w:sz="0" w:space="0" w:color="auto"/>
                                                <w:right w:val="none" w:sz="0" w:space="0" w:color="auto"/>
                                              </w:divBdr>
                                              <w:divsChild>
                                                <w:div w:id="1886597172">
                                                  <w:marLeft w:val="0"/>
                                                  <w:marRight w:val="0"/>
                                                  <w:marTop w:val="0"/>
                                                  <w:marBottom w:val="0"/>
                                                  <w:divBdr>
                                                    <w:top w:val="none" w:sz="0" w:space="0" w:color="auto"/>
                                                    <w:left w:val="none" w:sz="0" w:space="0" w:color="auto"/>
                                                    <w:bottom w:val="none" w:sz="0" w:space="0" w:color="auto"/>
                                                    <w:right w:val="none" w:sz="0" w:space="0" w:color="auto"/>
                                                  </w:divBdr>
                                                  <w:divsChild>
                                                    <w:div w:id="376517634">
                                                      <w:marLeft w:val="0"/>
                                                      <w:marRight w:val="0"/>
                                                      <w:marTop w:val="0"/>
                                                      <w:marBottom w:val="0"/>
                                                      <w:divBdr>
                                                        <w:top w:val="none" w:sz="0" w:space="0" w:color="auto"/>
                                                        <w:left w:val="none" w:sz="0" w:space="0" w:color="auto"/>
                                                        <w:bottom w:val="none" w:sz="0" w:space="0" w:color="auto"/>
                                                        <w:right w:val="none" w:sz="0" w:space="0" w:color="auto"/>
                                                      </w:divBdr>
                                                    </w:div>
                                                    <w:div w:id="1014652644">
                                                      <w:marLeft w:val="0"/>
                                                      <w:marRight w:val="30"/>
                                                      <w:marTop w:val="0"/>
                                                      <w:marBottom w:val="0"/>
                                                      <w:divBdr>
                                                        <w:top w:val="none" w:sz="0" w:space="0" w:color="auto"/>
                                                        <w:left w:val="none" w:sz="0" w:space="0" w:color="auto"/>
                                                        <w:bottom w:val="none" w:sz="0" w:space="0" w:color="auto"/>
                                                        <w:right w:val="none" w:sz="0" w:space="0" w:color="auto"/>
                                                      </w:divBdr>
                                                    </w:div>
                                                    <w:div w:id="209854855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18504765">
                                              <w:marLeft w:val="-90"/>
                                              <w:marRight w:val="0"/>
                                              <w:marTop w:val="0"/>
                                              <w:marBottom w:val="0"/>
                                              <w:divBdr>
                                                <w:top w:val="none" w:sz="0" w:space="0" w:color="auto"/>
                                                <w:left w:val="none" w:sz="0" w:space="0" w:color="auto"/>
                                                <w:bottom w:val="none" w:sz="0" w:space="0" w:color="auto"/>
                                                <w:right w:val="none" w:sz="0" w:space="0" w:color="auto"/>
                                              </w:divBdr>
                                              <w:divsChild>
                                                <w:div w:id="1546991391">
                                                  <w:marLeft w:val="0"/>
                                                  <w:marRight w:val="0"/>
                                                  <w:marTop w:val="0"/>
                                                  <w:marBottom w:val="0"/>
                                                  <w:divBdr>
                                                    <w:top w:val="single" w:sz="2" w:space="0" w:color="A9A9A9"/>
                                                    <w:left w:val="single" w:sz="2" w:space="0" w:color="A9A9A9"/>
                                                    <w:bottom w:val="single" w:sz="2" w:space="0" w:color="A9A9A9"/>
                                                    <w:right w:val="single" w:sz="2" w:space="0" w:color="A9A9A9"/>
                                                  </w:divBdr>
                                                  <w:divsChild>
                                                    <w:div w:id="40250133">
                                                      <w:marLeft w:val="0"/>
                                                      <w:marRight w:val="0"/>
                                                      <w:marTop w:val="0"/>
                                                      <w:marBottom w:val="0"/>
                                                      <w:divBdr>
                                                        <w:top w:val="none" w:sz="0" w:space="0" w:color="auto"/>
                                                        <w:left w:val="none" w:sz="0" w:space="0" w:color="auto"/>
                                                        <w:bottom w:val="none" w:sz="0" w:space="0" w:color="auto"/>
                                                        <w:right w:val="none" w:sz="0" w:space="0" w:color="auto"/>
                                                      </w:divBdr>
                                                      <w:divsChild>
                                                        <w:div w:id="236669483">
                                                          <w:marLeft w:val="92"/>
                                                          <w:marRight w:val="0"/>
                                                          <w:marTop w:val="0"/>
                                                          <w:marBottom w:val="150"/>
                                                          <w:divBdr>
                                                            <w:top w:val="single" w:sz="6" w:space="15" w:color="DDDDDD"/>
                                                            <w:left w:val="single" w:sz="2" w:space="0" w:color="DDDDDD"/>
                                                            <w:bottom w:val="single" w:sz="2" w:space="11" w:color="DDDDDD"/>
                                                            <w:right w:val="single" w:sz="2" w:space="0" w:color="DDDDDD"/>
                                                          </w:divBdr>
                                                        </w:div>
                                                        <w:div w:id="1633903938">
                                                          <w:marLeft w:val="92"/>
                                                          <w:marRight w:val="0"/>
                                                          <w:marTop w:val="0"/>
                                                          <w:marBottom w:val="150"/>
                                                          <w:divBdr>
                                                            <w:top w:val="single" w:sz="6" w:space="15" w:color="DDDDDD"/>
                                                            <w:left w:val="single" w:sz="2" w:space="0" w:color="DDDDDD"/>
                                                            <w:bottom w:val="single" w:sz="2" w:space="11" w:color="DDDDDD"/>
                                                            <w:right w:val="single" w:sz="2" w:space="0" w:color="DDDDDD"/>
                                                          </w:divBdr>
                                                        </w:div>
                                                        <w:div w:id="986011978">
                                                          <w:marLeft w:val="92"/>
                                                          <w:marRight w:val="0"/>
                                                          <w:marTop w:val="0"/>
                                                          <w:marBottom w:val="150"/>
                                                          <w:divBdr>
                                                            <w:top w:val="single" w:sz="6" w:space="15" w:color="DDDDDD"/>
                                                            <w:left w:val="single" w:sz="2" w:space="0" w:color="DDDDDD"/>
                                                            <w:bottom w:val="single" w:sz="2" w:space="11" w:color="DDDDDD"/>
                                                            <w:right w:val="single" w:sz="2" w:space="0" w:color="DDDDDD"/>
                                                          </w:divBdr>
                                                        </w:div>
                                                      </w:divsChild>
                                                    </w:div>
                                                  </w:divsChild>
                                                </w:div>
                                              </w:divsChild>
                                            </w:div>
                                          </w:divsChild>
                                        </w:div>
                                      </w:divsChild>
                                    </w:div>
                                  </w:divsChild>
                                </w:div>
                              </w:divsChild>
                            </w:div>
                          </w:divsChild>
                        </w:div>
                      </w:divsChild>
                    </w:div>
                  </w:divsChild>
                </w:div>
              </w:divsChild>
            </w:div>
            <w:div w:id="425612506">
              <w:marLeft w:val="0"/>
              <w:marRight w:val="0"/>
              <w:marTop w:val="0"/>
              <w:marBottom w:val="0"/>
              <w:divBdr>
                <w:top w:val="none" w:sz="0" w:space="0" w:color="auto"/>
                <w:left w:val="none" w:sz="0" w:space="0" w:color="auto"/>
                <w:bottom w:val="none" w:sz="0" w:space="0" w:color="auto"/>
                <w:right w:val="none" w:sz="0" w:space="0" w:color="auto"/>
              </w:divBdr>
              <w:divsChild>
                <w:div w:id="1539396081">
                  <w:marLeft w:val="0"/>
                  <w:marRight w:val="0"/>
                  <w:marTop w:val="0"/>
                  <w:marBottom w:val="0"/>
                  <w:divBdr>
                    <w:top w:val="single" w:sz="18" w:space="0" w:color="0C5991"/>
                    <w:left w:val="none" w:sz="0" w:space="0" w:color="auto"/>
                    <w:bottom w:val="none" w:sz="0" w:space="8" w:color="auto"/>
                    <w:right w:val="none" w:sz="0" w:space="0" w:color="auto"/>
                  </w:divBdr>
                  <w:divsChild>
                    <w:div w:id="1515076498">
                      <w:marLeft w:val="0"/>
                      <w:marRight w:val="0"/>
                      <w:marTop w:val="0"/>
                      <w:marBottom w:val="0"/>
                      <w:divBdr>
                        <w:top w:val="none" w:sz="0" w:space="0" w:color="auto"/>
                        <w:left w:val="none" w:sz="0" w:space="0" w:color="auto"/>
                        <w:bottom w:val="none" w:sz="0" w:space="0" w:color="auto"/>
                        <w:right w:val="none" w:sz="0" w:space="0" w:color="auto"/>
                      </w:divBdr>
                      <w:divsChild>
                        <w:div w:id="884558956">
                          <w:marLeft w:val="0"/>
                          <w:marRight w:val="0"/>
                          <w:marTop w:val="150"/>
                          <w:marBottom w:val="0"/>
                          <w:divBdr>
                            <w:top w:val="none" w:sz="0" w:space="0" w:color="auto"/>
                            <w:left w:val="none" w:sz="0" w:space="0" w:color="auto"/>
                            <w:bottom w:val="none" w:sz="0" w:space="0" w:color="auto"/>
                            <w:right w:val="none" w:sz="0" w:space="0" w:color="auto"/>
                          </w:divBdr>
                          <w:divsChild>
                            <w:div w:id="571086981">
                              <w:marLeft w:val="0"/>
                              <w:marRight w:val="0"/>
                              <w:marTop w:val="0"/>
                              <w:marBottom w:val="0"/>
                              <w:divBdr>
                                <w:top w:val="none" w:sz="0" w:space="0" w:color="auto"/>
                                <w:left w:val="none" w:sz="0" w:space="0" w:color="auto"/>
                                <w:bottom w:val="none" w:sz="0" w:space="0" w:color="auto"/>
                                <w:right w:val="none" w:sz="0" w:space="0" w:color="auto"/>
                              </w:divBdr>
                            </w:div>
                          </w:divsChild>
                        </w:div>
                        <w:div w:id="422411480">
                          <w:marLeft w:val="450"/>
                          <w:marRight w:val="0"/>
                          <w:marTop w:val="0"/>
                          <w:marBottom w:val="0"/>
                          <w:divBdr>
                            <w:top w:val="none" w:sz="0" w:space="0" w:color="auto"/>
                            <w:left w:val="none" w:sz="0" w:space="0" w:color="auto"/>
                            <w:bottom w:val="none" w:sz="0" w:space="0" w:color="auto"/>
                            <w:right w:val="none" w:sz="0" w:space="0" w:color="auto"/>
                          </w:divBdr>
                          <w:divsChild>
                            <w:div w:id="2039353969">
                              <w:marLeft w:val="0"/>
                              <w:marRight w:val="0"/>
                              <w:marTop w:val="0"/>
                              <w:marBottom w:val="0"/>
                              <w:divBdr>
                                <w:top w:val="none" w:sz="0" w:space="0" w:color="auto"/>
                                <w:left w:val="none" w:sz="0" w:space="0" w:color="auto"/>
                                <w:bottom w:val="none" w:sz="0" w:space="0" w:color="auto"/>
                                <w:right w:val="none" w:sz="0" w:space="0" w:color="auto"/>
                              </w:divBdr>
                            </w:div>
                          </w:divsChild>
                        </w:div>
                        <w:div w:id="230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BFAB-D30C-4608-8D41-7FCF9693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3984</Words>
  <Characters>21915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5</cp:revision>
  <cp:lastPrinted>2017-12-14T14:33:00Z</cp:lastPrinted>
  <dcterms:created xsi:type="dcterms:W3CDTF">2017-12-12T20:52:00Z</dcterms:created>
  <dcterms:modified xsi:type="dcterms:W3CDTF">2018-01-24T13:38:00Z</dcterms:modified>
</cp:coreProperties>
</file>