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693" w:rsidRPr="0094372D" w:rsidRDefault="00C74693" w:rsidP="00C74693">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bookmarkStart w:id="0" w:name="_GoBack"/>
      <w:bookmarkEnd w:id="0"/>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007B72" w:rsidRPr="00C74693" w:rsidRDefault="00007B72" w:rsidP="002D566E">
      <w:pPr>
        <w:spacing w:line="276" w:lineRule="auto"/>
        <w:ind w:left="2127"/>
        <w:contextualSpacing/>
        <w:jc w:val="both"/>
        <w:rPr>
          <w:rFonts w:ascii="Arial" w:hAnsi="Arial" w:cs="Arial"/>
          <w:bCs/>
          <w:i/>
          <w:sz w:val="18"/>
          <w:szCs w:val="18"/>
          <w:lang w:val="es-CO"/>
        </w:rPr>
      </w:pPr>
    </w:p>
    <w:p w:rsidR="00226D5F" w:rsidRPr="00AC486E" w:rsidRDefault="00226D5F" w:rsidP="002D566E">
      <w:pPr>
        <w:spacing w:line="276" w:lineRule="auto"/>
        <w:ind w:left="2127" w:hanging="2127"/>
        <w:contextualSpacing/>
        <w:jc w:val="both"/>
        <w:rPr>
          <w:rFonts w:ascii="Arial" w:hAnsi="Arial" w:cs="Arial"/>
          <w:bCs/>
          <w:i/>
          <w:color w:val="00B0F0"/>
          <w:sz w:val="18"/>
          <w:szCs w:val="18"/>
          <w:lang w:val="es-ES"/>
        </w:rPr>
      </w:pP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2D566E">
      <w:pPr>
        <w:spacing w:line="276" w:lineRule="auto"/>
        <w:ind w:left="2127" w:hanging="1276"/>
        <w:contextualSpacing/>
        <w:jc w:val="center"/>
        <w:rPr>
          <w:rFonts w:ascii="Arial" w:hAnsi="Arial" w:cs="Arial"/>
          <w:b/>
          <w:szCs w:val="24"/>
        </w:rPr>
      </w:pPr>
    </w:p>
    <w:p w:rsidR="003440CA" w:rsidRPr="003440CA" w:rsidRDefault="00695334" w:rsidP="002D566E">
      <w:pPr>
        <w:spacing w:line="276" w:lineRule="auto"/>
        <w:ind w:left="2127" w:hanging="1276"/>
        <w:contextualSpacing/>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SEPÚLVEDA </w:t>
      </w:r>
    </w:p>
    <w:p w:rsidR="003440CA" w:rsidRDefault="003440CA" w:rsidP="002D566E">
      <w:pPr>
        <w:spacing w:line="276" w:lineRule="auto"/>
        <w:ind w:left="2127" w:hanging="1276"/>
        <w:contextualSpacing/>
        <w:jc w:val="center"/>
        <w:rPr>
          <w:rFonts w:ascii="Arial" w:hAnsi="Arial" w:cs="Arial"/>
          <w:b/>
          <w:szCs w:val="24"/>
          <w:u w:val="single"/>
        </w:rPr>
      </w:pPr>
    </w:p>
    <w:p w:rsidR="00C74693" w:rsidRPr="007C5A02" w:rsidRDefault="00C74693" w:rsidP="00C74693">
      <w:pPr>
        <w:spacing w:line="276" w:lineRule="auto"/>
        <w:ind w:left="1416" w:firstLine="2"/>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Pr="007C5A02">
        <w:rPr>
          <w:rFonts w:ascii="Arial" w:hAnsi="Arial" w:cs="Arial"/>
          <w:sz w:val="18"/>
          <w:szCs w:val="18"/>
        </w:rPr>
        <w:tab/>
        <w:t xml:space="preserve">Sentencia </w:t>
      </w:r>
      <w:r>
        <w:rPr>
          <w:rFonts w:ascii="Arial" w:hAnsi="Arial" w:cs="Arial"/>
          <w:sz w:val="18"/>
          <w:szCs w:val="18"/>
        </w:rPr>
        <w:t>– Grado de consulta – 28 de marzo de 2017</w:t>
      </w:r>
    </w:p>
    <w:p w:rsidR="00C74693" w:rsidRPr="007C5A02" w:rsidRDefault="00C74693" w:rsidP="00C74693">
      <w:pPr>
        <w:spacing w:line="276" w:lineRule="auto"/>
        <w:ind w:left="3533" w:hanging="2115"/>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r>
        <w:rPr>
          <w:rFonts w:ascii="Arial" w:hAnsi="Arial" w:cs="Arial"/>
          <w:iCs/>
          <w:sz w:val="18"/>
          <w:szCs w:val="18"/>
        </w:rPr>
        <w:t xml:space="preserve"> – Confirma sentencia que accedió a las pretensiones</w:t>
      </w:r>
    </w:p>
    <w:p w:rsidR="00C74693" w:rsidRPr="007C5A02" w:rsidRDefault="00C74693" w:rsidP="00C74693">
      <w:pPr>
        <w:spacing w:line="276" w:lineRule="auto"/>
        <w:ind w:left="1416" w:firstLine="2"/>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Pr>
          <w:rFonts w:ascii="Arial" w:hAnsi="Arial" w:cs="Arial"/>
          <w:bCs/>
          <w:sz w:val="18"/>
          <w:szCs w:val="18"/>
        </w:rPr>
        <w:t>66001-31-05-004-2015-00448-01</w:t>
      </w:r>
    </w:p>
    <w:p w:rsidR="00C74693" w:rsidRPr="007C5A02" w:rsidRDefault="00C74693" w:rsidP="00C74693">
      <w:pPr>
        <w:spacing w:line="276" w:lineRule="auto"/>
        <w:ind w:left="1416" w:firstLine="2"/>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Pr>
          <w:rFonts w:ascii="Arial" w:hAnsi="Arial" w:cs="Arial"/>
          <w:iCs/>
          <w:sz w:val="18"/>
          <w:szCs w:val="18"/>
        </w:rPr>
        <w:t xml:space="preserve">Esperanza Sánchez </w:t>
      </w:r>
      <w:proofErr w:type="spellStart"/>
      <w:r>
        <w:rPr>
          <w:rFonts w:ascii="Arial" w:hAnsi="Arial" w:cs="Arial"/>
          <w:iCs/>
          <w:sz w:val="18"/>
          <w:szCs w:val="18"/>
        </w:rPr>
        <w:t>Aristizabal</w:t>
      </w:r>
      <w:proofErr w:type="spellEnd"/>
    </w:p>
    <w:p w:rsidR="00C74693" w:rsidRPr="007C5A02" w:rsidRDefault="00C74693" w:rsidP="00C74693">
      <w:pPr>
        <w:spacing w:line="276" w:lineRule="auto"/>
        <w:ind w:left="1416" w:firstLine="2"/>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p>
    <w:p w:rsidR="00C74693" w:rsidRDefault="00C74693" w:rsidP="00C74693">
      <w:pPr>
        <w:spacing w:line="276" w:lineRule="auto"/>
        <w:ind w:left="1416" w:firstLine="2"/>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Pr>
          <w:rFonts w:ascii="Arial" w:hAnsi="Arial" w:cs="Arial"/>
          <w:sz w:val="18"/>
          <w:szCs w:val="18"/>
        </w:rPr>
        <w:t>Cuarto Laboral del Circuito de Pereira</w:t>
      </w:r>
    </w:p>
    <w:p w:rsidR="00C74693" w:rsidRPr="00907F08" w:rsidRDefault="00C74693" w:rsidP="00C74693">
      <w:pPr>
        <w:spacing w:line="276" w:lineRule="auto"/>
        <w:ind w:left="1416" w:firstLine="2"/>
        <w:contextualSpacing/>
        <w:jc w:val="both"/>
        <w:rPr>
          <w:rFonts w:ascii="Arial" w:hAnsi="Arial" w:cs="Arial"/>
          <w:sz w:val="18"/>
          <w:szCs w:val="18"/>
        </w:rPr>
      </w:pPr>
    </w:p>
    <w:p w:rsidR="00C74693" w:rsidRPr="00C74693" w:rsidRDefault="00C74693" w:rsidP="00C74693">
      <w:pPr>
        <w:spacing w:line="276" w:lineRule="auto"/>
        <w:ind w:left="1416" w:firstLine="2"/>
        <w:contextualSpacing/>
        <w:jc w:val="both"/>
        <w:rPr>
          <w:rFonts w:ascii="Arial" w:hAnsi="Arial" w:cs="Arial"/>
          <w:b/>
          <w:bCs/>
          <w:sz w:val="18"/>
          <w:szCs w:val="18"/>
          <w:lang w:val="es-ES"/>
        </w:rPr>
      </w:pPr>
      <w:r w:rsidRPr="00007B72">
        <w:rPr>
          <w:rFonts w:ascii="Arial" w:hAnsi="Arial" w:cs="Arial"/>
          <w:b/>
          <w:bCs/>
          <w:sz w:val="18"/>
          <w:szCs w:val="18"/>
        </w:rPr>
        <w:t xml:space="preserve">Tema a tratar: </w:t>
      </w:r>
      <w:r w:rsidRPr="00007B72">
        <w:rPr>
          <w:rFonts w:ascii="Arial" w:hAnsi="Arial" w:cs="Arial"/>
          <w:b/>
          <w:bCs/>
          <w:sz w:val="18"/>
          <w:szCs w:val="18"/>
        </w:rPr>
        <w:tab/>
      </w:r>
      <w:r>
        <w:rPr>
          <w:rFonts w:ascii="Arial" w:hAnsi="Arial" w:cs="Arial"/>
          <w:b/>
          <w:bCs/>
          <w:sz w:val="18"/>
          <w:szCs w:val="18"/>
        </w:rPr>
        <w:tab/>
      </w:r>
      <w:r w:rsidRPr="00007B72">
        <w:rPr>
          <w:rFonts w:ascii="Arial" w:hAnsi="Arial" w:cs="Arial"/>
          <w:b/>
          <w:bCs/>
          <w:sz w:val="18"/>
          <w:szCs w:val="18"/>
        </w:rPr>
        <w:t>PENSIÓN DE SOBREVIVIENT</w:t>
      </w:r>
      <w:r>
        <w:rPr>
          <w:rFonts w:ascii="Arial" w:hAnsi="Arial" w:cs="Arial"/>
          <w:b/>
          <w:bCs/>
          <w:sz w:val="18"/>
          <w:szCs w:val="18"/>
        </w:rPr>
        <w:t xml:space="preserve">ES – CONDICIÓN MÁS BENEFICIOSA. </w:t>
      </w:r>
      <w:r w:rsidRPr="00C74693">
        <w:rPr>
          <w:rFonts w:ascii="Arial" w:hAnsi="Arial" w:cs="Arial"/>
          <w:bCs/>
          <w:sz w:val="18"/>
          <w:szCs w:val="18"/>
        </w:rPr>
        <w:t>“</w:t>
      </w:r>
      <w:r w:rsidRPr="00C74693">
        <w:rPr>
          <w:rFonts w:ascii="Arial" w:hAnsi="Arial" w:cs="Arial"/>
          <w:bCs/>
          <w:sz w:val="18"/>
          <w:szCs w:val="18"/>
          <w:lang w:val="es-ES"/>
        </w:rPr>
        <w:t>[E]l principio de la condición más beneficiosa no le permite al juzgador aplicar a un caso en particular cualquier norma legal que en el pasado haya regulado el asunto, sino que, de darse las condiciones necesarias para su aplicación, ello sería respecto a la norma inmediatamente anterior a la vigente en el momento en que se estructuró el derecho, tesis que se comparte y no la de la Corte Constitucional, por ser aquel el órgano de cierre de la jurisdicción laboral. Respecto del valor normativo de las sentencias de la Corte Suprema de Justicia, inclusive, su homóloga constitucional ha manifestado</w:t>
      </w:r>
      <w:r w:rsidRPr="00C74693">
        <w:rPr>
          <w:rFonts w:ascii="Arial" w:hAnsi="Arial" w:cs="Arial"/>
          <w:bCs/>
          <w:sz w:val="18"/>
          <w:szCs w:val="18"/>
          <w:vertAlign w:val="superscript"/>
          <w:lang w:val="es-ES"/>
        </w:rPr>
        <w:footnoteReference w:id="1"/>
      </w:r>
      <w:r w:rsidRPr="00C74693">
        <w:rPr>
          <w:rFonts w:ascii="Arial" w:hAnsi="Arial" w:cs="Arial"/>
          <w:bCs/>
          <w:sz w:val="18"/>
          <w:szCs w:val="18"/>
          <w:lang w:val="es-ES"/>
        </w:rPr>
        <w:t xml:space="preserve"> que las decisiones adoptadas por la primera, deben ser atendidas por todos los jueces que conforman esa jurisdicción, sin que puedan apartarse de ellas a su arbitrio, pues ello solo es posible bajo un sólido argumento justificativo. Ahora, frente a las sentencias de tutela proferidas por el Tribunal Constitucional, no existe duda que las mismas producen efectos inter partes</w:t>
      </w:r>
      <w:r w:rsidRPr="00C74693">
        <w:rPr>
          <w:rFonts w:ascii="Arial" w:hAnsi="Arial" w:cs="Arial"/>
          <w:bCs/>
          <w:sz w:val="18"/>
          <w:szCs w:val="18"/>
          <w:vertAlign w:val="superscript"/>
          <w:lang w:val="es-ES"/>
        </w:rPr>
        <w:footnoteReference w:id="2"/>
      </w:r>
      <w:r w:rsidRPr="00C74693">
        <w:rPr>
          <w:rFonts w:ascii="Arial" w:hAnsi="Arial" w:cs="Arial"/>
          <w:bCs/>
          <w:sz w:val="18"/>
          <w:szCs w:val="18"/>
          <w:lang w:val="es-ES"/>
        </w:rPr>
        <w:t>, pero acerca de las sentencias de unificación dictadas por esa misma Corporación, si bien revisten carácter obligatorio, ha de entenderse que lo es dentro de la esfera constitucional y no dentro del conocimiento de los procesos ordinarios, sin perjuicio de que puedan acatarse al compartirse sus argumentaciones, que no es este el caso.”.</w:t>
      </w:r>
    </w:p>
    <w:p w:rsidR="00C74693" w:rsidRPr="00C74693" w:rsidRDefault="00C74693" w:rsidP="00C74693">
      <w:pPr>
        <w:spacing w:line="276" w:lineRule="auto"/>
        <w:ind w:left="1416" w:firstLine="2"/>
        <w:contextualSpacing/>
        <w:jc w:val="both"/>
        <w:rPr>
          <w:rFonts w:ascii="Arial" w:hAnsi="Arial" w:cs="Arial"/>
          <w:b/>
          <w:bCs/>
          <w:sz w:val="18"/>
          <w:szCs w:val="18"/>
          <w:lang w:val="es-ES"/>
        </w:rPr>
      </w:pPr>
    </w:p>
    <w:p w:rsidR="00C74693" w:rsidRDefault="00C74693" w:rsidP="002D566E">
      <w:pPr>
        <w:spacing w:line="276" w:lineRule="auto"/>
        <w:ind w:left="2127" w:hanging="1276"/>
        <w:contextualSpacing/>
        <w:jc w:val="center"/>
        <w:rPr>
          <w:rFonts w:ascii="Arial" w:hAnsi="Arial" w:cs="Arial"/>
          <w:b/>
          <w:szCs w:val="24"/>
          <w:u w:val="single"/>
        </w:rPr>
      </w:pPr>
    </w:p>
    <w:p w:rsidR="00226D5F" w:rsidRPr="00AC486E" w:rsidRDefault="00226D5F" w:rsidP="002D566E">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2D566E">
      <w:pPr>
        <w:pStyle w:val="Sansinterligne"/>
        <w:spacing w:line="276" w:lineRule="auto"/>
        <w:contextualSpacing/>
        <w:rPr>
          <w:rFonts w:ascii="Arial" w:hAnsi="Arial" w:cs="Arial"/>
          <w:sz w:val="24"/>
          <w:szCs w:val="24"/>
        </w:rPr>
      </w:pPr>
    </w:p>
    <w:p w:rsidR="00226D5F" w:rsidRPr="00AD7995" w:rsidRDefault="00226D5F" w:rsidP="002D566E">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2D2217">
        <w:rPr>
          <w:rFonts w:ascii="Arial" w:eastAsia="Calibri" w:hAnsi="Arial" w:cs="Arial"/>
          <w:szCs w:val="24"/>
          <w:lang w:val="es-CO" w:eastAsia="en-US"/>
        </w:rPr>
        <w:t xml:space="preserve">veintiocho </w:t>
      </w:r>
      <w:r w:rsidRPr="00AC486E">
        <w:rPr>
          <w:rFonts w:ascii="Arial" w:eastAsia="Calibri" w:hAnsi="Arial" w:cs="Arial"/>
          <w:szCs w:val="24"/>
          <w:lang w:val="es-CO" w:eastAsia="en-US"/>
        </w:rPr>
        <w:t>(</w:t>
      </w:r>
      <w:r w:rsidR="002D2217">
        <w:rPr>
          <w:rFonts w:ascii="Arial" w:eastAsia="Calibri" w:hAnsi="Arial" w:cs="Arial"/>
          <w:szCs w:val="24"/>
          <w:lang w:val="es-CO" w:eastAsia="en-US"/>
        </w:rPr>
        <w:t>28</w:t>
      </w:r>
      <w:r w:rsidRPr="00AC486E">
        <w:rPr>
          <w:rFonts w:ascii="Arial" w:eastAsia="Calibri" w:hAnsi="Arial" w:cs="Arial"/>
          <w:szCs w:val="24"/>
          <w:lang w:val="es-CO" w:eastAsia="en-US"/>
        </w:rPr>
        <w:t xml:space="preserve">) días del mes de </w:t>
      </w:r>
      <w:r w:rsidR="007970D0">
        <w:rPr>
          <w:rFonts w:ascii="Arial" w:eastAsia="Calibri" w:hAnsi="Arial" w:cs="Arial"/>
          <w:szCs w:val="24"/>
          <w:lang w:val="es-CO" w:eastAsia="en-US"/>
        </w:rPr>
        <w:t xml:space="preserve">marzo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E34538">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E34538">
        <w:rPr>
          <w:rFonts w:ascii="Arial" w:eastAsia="Calibri" w:hAnsi="Arial" w:cs="Arial"/>
          <w:szCs w:val="24"/>
          <w:lang w:val="es-CO" w:eastAsia="en-US"/>
        </w:rPr>
        <w:t>7</w:t>
      </w:r>
      <w:r w:rsidRPr="00AC486E">
        <w:rPr>
          <w:rFonts w:ascii="Arial" w:eastAsia="Calibri" w:hAnsi="Arial" w:cs="Arial"/>
          <w:szCs w:val="24"/>
          <w:lang w:val="es-CO" w:eastAsia="en-US"/>
        </w:rPr>
        <w:t xml:space="preserve">), siendo las </w:t>
      </w:r>
      <w:r w:rsidR="002D2217">
        <w:rPr>
          <w:rFonts w:ascii="Arial" w:eastAsia="Calibri" w:hAnsi="Arial" w:cs="Arial"/>
          <w:szCs w:val="24"/>
          <w:lang w:val="es-CO" w:eastAsia="en-US"/>
        </w:rPr>
        <w:t xml:space="preserve">nueve y treinta </w:t>
      </w:r>
      <w:r w:rsidR="00C1062A" w:rsidRPr="00AC486E">
        <w:rPr>
          <w:rFonts w:ascii="Arial" w:eastAsia="Calibri" w:hAnsi="Arial" w:cs="Arial"/>
          <w:szCs w:val="24"/>
          <w:lang w:val="es-CO" w:eastAsia="en-US"/>
        </w:rPr>
        <w:t>de la mañana (</w:t>
      </w:r>
      <w:r w:rsidR="002D2217">
        <w:rPr>
          <w:rFonts w:ascii="Arial" w:eastAsia="Calibri" w:hAnsi="Arial" w:cs="Arial"/>
          <w:szCs w:val="24"/>
          <w:lang w:val="es-CO" w:eastAsia="en-US"/>
        </w:rPr>
        <w:t>09:30</w:t>
      </w:r>
      <w:r w:rsidR="00C1062A" w:rsidRPr="00AC486E">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w:t>
      </w:r>
      <w:r w:rsidR="00381816">
        <w:rPr>
          <w:rFonts w:ascii="Arial" w:hAnsi="Arial" w:cs="Arial"/>
          <w:bCs/>
          <w:color w:val="000000"/>
          <w:szCs w:val="24"/>
          <w:lang w:eastAsia="es-CO"/>
        </w:rPr>
        <w:t xml:space="preserve"> con el propósito de resolver </w:t>
      </w:r>
      <w:r w:rsidR="009A5558">
        <w:rPr>
          <w:rFonts w:ascii="Arial" w:hAnsi="Arial" w:cs="Arial"/>
          <w:bCs/>
          <w:color w:val="000000"/>
          <w:szCs w:val="24"/>
          <w:lang w:eastAsia="es-CO"/>
        </w:rPr>
        <w:t>el</w:t>
      </w:r>
      <w:r w:rsidR="007C5A02">
        <w:rPr>
          <w:rFonts w:ascii="Arial" w:hAnsi="Arial" w:cs="Arial"/>
          <w:bCs/>
          <w:color w:val="000000"/>
          <w:szCs w:val="24"/>
          <w:lang w:eastAsia="es-CO"/>
        </w:rPr>
        <w:t xml:space="preserve"> </w:t>
      </w:r>
      <w:r w:rsidR="002D2217">
        <w:rPr>
          <w:rFonts w:ascii="Arial" w:hAnsi="Arial" w:cs="Arial"/>
          <w:bCs/>
          <w:color w:val="000000"/>
          <w:szCs w:val="24"/>
          <w:lang w:eastAsia="es-CO"/>
        </w:rPr>
        <w:t xml:space="preserve">grado jurisdiccional de consulta </w:t>
      </w:r>
      <w:r w:rsidR="00766E35">
        <w:rPr>
          <w:rFonts w:ascii="Arial" w:hAnsi="Arial" w:cs="Arial"/>
          <w:bCs/>
          <w:color w:val="000000"/>
          <w:szCs w:val="24"/>
          <w:lang w:eastAsia="es-CO"/>
        </w:rPr>
        <w:t xml:space="preserve">respecto </w:t>
      </w:r>
      <w:r w:rsidR="002D2217">
        <w:rPr>
          <w:rFonts w:ascii="Arial" w:hAnsi="Arial" w:cs="Arial"/>
          <w:bCs/>
          <w:color w:val="000000"/>
          <w:szCs w:val="24"/>
          <w:lang w:eastAsia="es-CO"/>
        </w:rPr>
        <w:t>de</w:t>
      </w:r>
      <w:r w:rsidRPr="00AC486E">
        <w:rPr>
          <w:rFonts w:ascii="Arial" w:hAnsi="Arial" w:cs="Arial"/>
          <w:bCs/>
          <w:color w:val="000000"/>
          <w:szCs w:val="24"/>
          <w:lang w:eastAsia="es-CO"/>
        </w:rPr>
        <w:t xml:space="preserve"> la sentencia p</w:t>
      </w:r>
      <w:r w:rsidRPr="00AC486E">
        <w:rPr>
          <w:rFonts w:ascii="Arial" w:hAnsi="Arial" w:cs="Arial"/>
          <w:szCs w:val="24"/>
        </w:rPr>
        <w:t xml:space="preserve">roferida el </w:t>
      </w:r>
      <w:r w:rsidR="007970D0">
        <w:rPr>
          <w:rFonts w:ascii="Arial" w:hAnsi="Arial" w:cs="Arial"/>
          <w:szCs w:val="24"/>
        </w:rPr>
        <w:t>1</w:t>
      </w:r>
      <w:r w:rsidR="002D2217">
        <w:rPr>
          <w:rFonts w:ascii="Arial" w:hAnsi="Arial" w:cs="Arial"/>
          <w:szCs w:val="24"/>
        </w:rPr>
        <w:t>1</w:t>
      </w:r>
      <w:r w:rsidR="007970D0">
        <w:rPr>
          <w:rFonts w:ascii="Arial" w:hAnsi="Arial" w:cs="Arial"/>
          <w:szCs w:val="24"/>
        </w:rPr>
        <w:t xml:space="preserve"> </w:t>
      </w:r>
      <w:r w:rsidRPr="00AC486E">
        <w:rPr>
          <w:rFonts w:ascii="Arial" w:hAnsi="Arial" w:cs="Arial"/>
          <w:szCs w:val="24"/>
        </w:rPr>
        <w:t xml:space="preserve">de </w:t>
      </w:r>
      <w:r w:rsidR="002D2217">
        <w:rPr>
          <w:rFonts w:ascii="Arial" w:hAnsi="Arial" w:cs="Arial"/>
          <w:szCs w:val="24"/>
        </w:rPr>
        <w:t xml:space="preserve">mayo </w:t>
      </w:r>
      <w:r w:rsidRPr="00AC486E">
        <w:rPr>
          <w:rFonts w:ascii="Arial" w:hAnsi="Arial" w:cs="Arial"/>
          <w:szCs w:val="24"/>
        </w:rPr>
        <w:t>de 201</w:t>
      </w:r>
      <w:r w:rsidR="00381816">
        <w:rPr>
          <w:rFonts w:ascii="Arial" w:hAnsi="Arial" w:cs="Arial"/>
          <w:szCs w:val="24"/>
        </w:rPr>
        <w:t>6</w:t>
      </w:r>
      <w:r w:rsidRPr="00AC486E">
        <w:rPr>
          <w:rFonts w:ascii="Arial" w:hAnsi="Arial" w:cs="Arial"/>
          <w:szCs w:val="24"/>
        </w:rPr>
        <w:t xml:space="preserve"> por el Juzgado </w:t>
      </w:r>
      <w:r w:rsidR="002D2217">
        <w:rPr>
          <w:rFonts w:ascii="Arial" w:hAnsi="Arial" w:cs="Arial"/>
          <w:szCs w:val="24"/>
        </w:rPr>
        <w:t xml:space="preserve">Cuarto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CA3DF9">
        <w:rPr>
          <w:rFonts w:ascii="Arial" w:hAnsi="Arial" w:cs="Arial"/>
          <w:szCs w:val="24"/>
        </w:rPr>
        <w:t xml:space="preserve">la </w:t>
      </w:r>
      <w:r w:rsidR="003440CA">
        <w:rPr>
          <w:rFonts w:ascii="Arial" w:hAnsi="Arial" w:cs="Arial"/>
          <w:szCs w:val="24"/>
        </w:rPr>
        <w:t>señor</w:t>
      </w:r>
      <w:r w:rsidR="00CA3DF9">
        <w:rPr>
          <w:rFonts w:ascii="Arial" w:hAnsi="Arial" w:cs="Arial"/>
          <w:szCs w:val="24"/>
        </w:rPr>
        <w:t>a</w:t>
      </w:r>
      <w:r w:rsidR="003440CA">
        <w:rPr>
          <w:rFonts w:ascii="Arial" w:hAnsi="Arial" w:cs="Arial"/>
          <w:szCs w:val="24"/>
        </w:rPr>
        <w:t xml:space="preserve"> </w:t>
      </w:r>
      <w:r w:rsidR="002D2217">
        <w:rPr>
          <w:rFonts w:ascii="Arial" w:hAnsi="Arial" w:cs="Arial"/>
          <w:b/>
          <w:szCs w:val="24"/>
        </w:rPr>
        <w:t xml:space="preserve">Esperanza Sánchez </w:t>
      </w:r>
      <w:proofErr w:type="spellStart"/>
      <w:r w:rsidR="002D2217">
        <w:rPr>
          <w:rFonts w:ascii="Arial" w:hAnsi="Arial" w:cs="Arial"/>
          <w:b/>
          <w:szCs w:val="24"/>
        </w:rPr>
        <w:t>Aristizabal</w:t>
      </w:r>
      <w:proofErr w:type="spellEnd"/>
      <w:r w:rsidR="00CA3DF9">
        <w:rPr>
          <w:rFonts w:ascii="Arial" w:hAnsi="Arial" w:cs="Arial"/>
          <w:b/>
          <w:szCs w:val="24"/>
        </w:rPr>
        <w:t xml:space="preserve"> </w:t>
      </w:r>
      <w:r w:rsidRPr="003440CA">
        <w:rPr>
          <w:rFonts w:ascii="Arial" w:hAnsi="Arial" w:cs="Arial"/>
          <w:szCs w:val="24"/>
        </w:rPr>
        <w:t xml:space="preserve">contra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AD7995">
        <w:rPr>
          <w:rFonts w:ascii="Arial" w:hAnsi="Arial" w:cs="Arial"/>
          <w:bCs/>
          <w:iCs/>
          <w:szCs w:val="24"/>
        </w:rPr>
        <w:t>, radicado bajo el N° 66001-31-05-00</w:t>
      </w:r>
      <w:r w:rsidR="002D2217">
        <w:rPr>
          <w:rFonts w:ascii="Arial" w:hAnsi="Arial" w:cs="Arial"/>
          <w:bCs/>
          <w:iCs/>
          <w:szCs w:val="24"/>
        </w:rPr>
        <w:t>4</w:t>
      </w:r>
      <w:r w:rsidR="00EB368F">
        <w:rPr>
          <w:rFonts w:ascii="Arial" w:hAnsi="Arial" w:cs="Arial"/>
          <w:bCs/>
          <w:iCs/>
          <w:szCs w:val="24"/>
        </w:rPr>
        <w:t>-</w:t>
      </w:r>
      <w:r w:rsidR="00AD7995">
        <w:rPr>
          <w:rFonts w:ascii="Arial" w:hAnsi="Arial" w:cs="Arial"/>
          <w:bCs/>
          <w:iCs/>
          <w:szCs w:val="24"/>
        </w:rPr>
        <w:t>201</w:t>
      </w:r>
      <w:r w:rsidR="00381816">
        <w:rPr>
          <w:rFonts w:ascii="Arial" w:hAnsi="Arial" w:cs="Arial"/>
          <w:bCs/>
          <w:iCs/>
          <w:szCs w:val="24"/>
        </w:rPr>
        <w:t>5</w:t>
      </w:r>
      <w:r w:rsidR="00AD7995">
        <w:rPr>
          <w:rFonts w:ascii="Arial" w:hAnsi="Arial" w:cs="Arial"/>
          <w:bCs/>
          <w:iCs/>
          <w:szCs w:val="24"/>
        </w:rPr>
        <w:t>-00</w:t>
      </w:r>
      <w:r w:rsidR="002D2217">
        <w:rPr>
          <w:rFonts w:ascii="Arial" w:hAnsi="Arial" w:cs="Arial"/>
          <w:bCs/>
          <w:iCs/>
          <w:szCs w:val="24"/>
        </w:rPr>
        <w:t>448</w:t>
      </w:r>
      <w:r w:rsidR="001B22B4">
        <w:rPr>
          <w:rFonts w:ascii="Arial" w:hAnsi="Arial" w:cs="Arial"/>
          <w:bCs/>
          <w:iCs/>
          <w:szCs w:val="24"/>
        </w:rPr>
        <w:t>-01</w:t>
      </w:r>
      <w:r w:rsidR="00AD7995">
        <w:rPr>
          <w:rFonts w:ascii="Arial" w:hAnsi="Arial" w:cs="Arial"/>
          <w:bCs/>
          <w:iCs/>
          <w:szCs w:val="24"/>
        </w:rPr>
        <w:t>.</w:t>
      </w:r>
    </w:p>
    <w:p w:rsidR="00226D5F" w:rsidRPr="00AC486E" w:rsidRDefault="00226D5F" w:rsidP="002D566E">
      <w:pPr>
        <w:spacing w:line="276" w:lineRule="auto"/>
        <w:ind w:firstLine="851"/>
        <w:contextualSpacing/>
        <w:jc w:val="both"/>
        <w:rPr>
          <w:rFonts w:ascii="Arial" w:hAnsi="Arial" w:cs="Arial"/>
          <w:bCs/>
          <w:iCs/>
          <w:szCs w:val="24"/>
        </w:rPr>
      </w:pPr>
    </w:p>
    <w:p w:rsidR="00695334" w:rsidRPr="00502691" w:rsidRDefault="00695334" w:rsidP="002D566E">
      <w:pPr>
        <w:spacing w:line="276" w:lineRule="auto"/>
        <w:contextualSpacing/>
        <w:rPr>
          <w:rFonts w:ascii="Arial" w:hAnsi="Arial" w:cs="Arial"/>
          <w:b/>
          <w:szCs w:val="24"/>
        </w:rPr>
      </w:pPr>
      <w:r w:rsidRPr="00502691">
        <w:rPr>
          <w:rFonts w:ascii="Arial" w:hAnsi="Arial" w:cs="Arial"/>
          <w:b/>
          <w:szCs w:val="24"/>
        </w:rPr>
        <w:t>Registro de asistencia:</w:t>
      </w:r>
    </w:p>
    <w:p w:rsidR="00695334" w:rsidRDefault="00695334" w:rsidP="002D566E">
      <w:pPr>
        <w:spacing w:line="276" w:lineRule="auto"/>
        <w:ind w:firstLine="851"/>
        <w:contextualSpacing/>
        <w:rPr>
          <w:rFonts w:ascii="Arial" w:hAnsi="Arial" w:cs="Arial"/>
          <w:szCs w:val="24"/>
        </w:rPr>
      </w:pPr>
    </w:p>
    <w:p w:rsidR="00695334" w:rsidRDefault="00695334" w:rsidP="002D566E">
      <w:pPr>
        <w:spacing w:line="276" w:lineRule="auto"/>
        <w:contextualSpacing/>
        <w:rPr>
          <w:rFonts w:ascii="Arial" w:hAnsi="Arial" w:cs="Arial"/>
          <w:szCs w:val="24"/>
        </w:rPr>
      </w:pPr>
      <w:r>
        <w:rPr>
          <w:rFonts w:ascii="Arial" w:hAnsi="Arial" w:cs="Arial"/>
          <w:szCs w:val="24"/>
        </w:rPr>
        <w:t xml:space="preserve">Demandante y su apoderada: </w:t>
      </w:r>
    </w:p>
    <w:p w:rsidR="00695334" w:rsidRDefault="00695334" w:rsidP="002D566E">
      <w:pPr>
        <w:spacing w:line="276" w:lineRule="auto"/>
        <w:contextualSpacing/>
        <w:rPr>
          <w:rFonts w:ascii="Arial" w:hAnsi="Arial" w:cs="Arial"/>
          <w:szCs w:val="24"/>
        </w:rPr>
      </w:pPr>
      <w:r>
        <w:rPr>
          <w:rFonts w:ascii="Arial" w:hAnsi="Arial" w:cs="Arial"/>
          <w:szCs w:val="24"/>
        </w:rPr>
        <w:t>Administradora Colombiana de Pensiones y su apoderada:</w:t>
      </w:r>
    </w:p>
    <w:p w:rsidR="00695334" w:rsidRDefault="00695334" w:rsidP="002D566E">
      <w:pPr>
        <w:spacing w:line="276" w:lineRule="auto"/>
        <w:ind w:firstLine="851"/>
        <w:contextualSpacing/>
        <w:rPr>
          <w:rFonts w:ascii="Arial" w:hAnsi="Arial" w:cs="Arial"/>
          <w:szCs w:val="24"/>
        </w:rPr>
      </w:pPr>
    </w:p>
    <w:p w:rsidR="00695334" w:rsidRDefault="00695334" w:rsidP="002D566E">
      <w:pPr>
        <w:spacing w:line="276" w:lineRule="auto"/>
        <w:contextualSpacing/>
        <w:jc w:val="both"/>
        <w:rPr>
          <w:rFonts w:ascii="Arial" w:hAnsi="Arial" w:cs="Arial"/>
          <w:b/>
          <w:szCs w:val="24"/>
        </w:rPr>
      </w:pPr>
      <w:r>
        <w:rPr>
          <w:rFonts w:ascii="Arial" w:hAnsi="Arial" w:cs="Arial"/>
          <w:b/>
          <w:szCs w:val="24"/>
        </w:rPr>
        <w:lastRenderedPageBreak/>
        <w:t>T</w:t>
      </w:r>
      <w:r w:rsidRPr="00312238">
        <w:rPr>
          <w:rFonts w:ascii="Arial" w:hAnsi="Arial" w:cs="Arial"/>
          <w:b/>
          <w:szCs w:val="24"/>
        </w:rPr>
        <w:t>raslado a las partes</w:t>
      </w:r>
    </w:p>
    <w:p w:rsidR="00695334" w:rsidRDefault="00695334" w:rsidP="002D566E">
      <w:pPr>
        <w:spacing w:line="276" w:lineRule="auto"/>
        <w:contextualSpacing/>
        <w:jc w:val="both"/>
        <w:rPr>
          <w:rFonts w:ascii="Arial" w:hAnsi="Arial" w:cs="Arial"/>
          <w:b/>
          <w:szCs w:val="24"/>
        </w:rPr>
      </w:pPr>
    </w:p>
    <w:p w:rsidR="00695334" w:rsidRDefault="00695334" w:rsidP="002D566E">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695334" w:rsidRDefault="00695334" w:rsidP="002D566E">
      <w:pPr>
        <w:spacing w:line="276" w:lineRule="auto"/>
        <w:contextualSpacing/>
        <w:jc w:val="both"/>
        <w:rPr>
          <w:rFonts w:ascii="Arial" w:hAnsi="Arial" w:cs="Arial"/>
          <w:szCs w:val="24"/>
        </w:rPr>
      </w:pPr>
    </w:p>
    <w:p w:rsidR="00695334" w:rsidRPr="00312238" w:rsidRDefault="00695334" w:rsidP="002D566E">
      <w:pPr>
        <w:spacing w:line="276" w:lineRule="auto"/>
        <w:contextualSpacing/>
        <w:jc w:val="center"/>
        <w:rPr>
          <w:rFonts w:ascii="Arial" w:hAnsi="Arial" w:cs="Arial"/>
          <w:b/>
          <w:szCs w:val="24"/>
        </w:rPr>
      </w:pPr>
      <w:r>
        <w:rPr>
          <w:rFonts w:ascii="Arial" w:hAnsi="Arial" w:cs="Arial"/>
          <w:b/>
          <w:szCs w:val="24"/>
        </w:rPr>
        <w:t>ANTECEDENTES</w:t>
      </w:r>
    </w:p>
    <w:p w:rsidR="00695334" w:rsidRDefault="00695334" w:rsidP="002D566E">
      <w:pPr>
        <w:spacing w:line="276" w:lineRule="auto"/>
        <w:contextualSpacing/>
        <w:rPr>
          <w:rFonts w:ascii="Arial" w:hAnsi="Arial" w:cs="Arial"/>
          <w:b/>
          <w:szCs w:val="24"/>
        </w:rPr>
      </w:pPr>
    </w:p>
    <w:p w:rsidR="00695334" w:rsidRPr="00312238" w:rsidRDefault="00695334" w:rsidP="002D566E">
      <w:pPr>
        <w:pStyle w:val="Paragraphedeliste"/>
        <w:numPr>
          <w:ilvl w:val="1"/>
          <w:numId w:val="8"/>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Default="00465508" w:rsidP="002D566E">
      <w:pPr>
        <w:spacing w:line="276" w:lineRule="auto"/>
        <w:contextualSpacing/>
        <w:jc w:val="both"/>
        <w:rPr>
          <w:rFonts w:ascii="Arial" w:hAnsi="Arial" w:cs="Arial"/>
          <w:szCs w:val="24"/>
        </w:rPr>
      </w:pPr>
      <w:r>
        <w:rPr>
          <w:rFonts w:ascii="Arial" w:hAnsi="Arial" w:cs="Arial"/>
          <w:szCs w:val="24"/>
        </w:rPr>
        <w:t xml:space="preserve">Pretende </w:t>
      </w:r>
      <w:r w:rsidR="00CA3DF9">
        <w:rPr>
          <w:rFonts w:ascii="Arial" w:hAnsi="Arial" w:cs="Arial"/>
          <w:szCs w:val="24"/>
        </w:rPr>
        <w:t xml:space="preserve">la </w:t>
      </w:r>
      <w:r w:rsidR="00A957FB">
        <w:rPr>
          <w:rFonts w:ascii="Arial" w:hAnsi="Arial" w:cs="Arial"/>
          <w:szCs w:val="24"/>
        </w:rPr>
        <w:t>señor</w:t>
      </w:r>
      <w:r w:rsidR="00CA3DF9">
        <w:rPr>
          <w:rFonts w:ascii="Arial" w:hAnsi="Arial" w:cs="Arial"/>
          <w:szCs w:val="24"/>
        </w:rPr>
        <w:t>a</w:t>
      </w:r>
      <w:r w:rsidR="00A957FB">
        <w:rPr>
          <w:rFonts w:ascii="Arial" w:hAnsi="Arial" w:cs="Arial"/>
          <w:szCs w:val="24"/>
        </w:rPr>
        <w:t xml:space="preserve"> </w:t>
      </w:r>
      <w:r w:rsidR="002D2217">
        <w:rPr>
          <w:rFonts w:ascii="Arial" w:hAnsi="Arial" w:cs="Arial"/>
          <w:szCs w:val="24"/>
        </w:rPr>
        <w:t xml:space="preserve">Esperanza Sánchez </w:t>
      </w:r>
      <w:proofErr w:type="spellStart"/>
      <w:r w:rsidR="002D2217">
        <w:rPr>
          <w:rFonts w:ascii="Arial" w:hAnsi="Arial" w:cs="Arial"/>
          <w:szCs w:val="24"/>
        </w:rPr>
        <w:t>Aristizabal</w:t>
      </w:r>
      <w:proofErr w:type="spellEnd"/>
      <w:r>
        <w:rPr>
          <w:rFonts w:ascii="Arial" w:hAnsi="Arial" w:cs="Arial"/>
          <w:szCs w:val="24"/>
        </w:rPr>
        <w:t xml:space="preserve"> </w:t>
      </w:r>
      <w:r w:rsidR="00BB3FED">
        <w:rPr>
          <w:rFonts w:ascii="Arial" w:hAnsi="Arial" w:cs="Arial"/>
          <w:szCs w:val="24"/>
        </w:rPr>
        <w:t>que</w:t>
      </w:r>
      <w:r w:rsidR="001B22B4">
        <w:rPr>
          <w:rFonts w:ascii="Arial" w:hAnsi="Arial" w:cs="Arial"/>
          <w:szCs w:val="24"/>
        </w:rPr>
        <w:t xml:space="preserve"> </w:t>
      </w:r>
      <w:r w:rsidR="007970D0">
        <w:rPr>
          <w:rFonts w:ascii="Arial" w:hAnsi="Arial" w:cs="Arial"/>
          <w:szCs w:val="24"/>
        </w:rPr>
        <w:t xml:space="preserve">en aplicación del principio de la condición más beneficiosa </w:t>
      </w:r>
      <w:r w:rsidR="001B22B4">
        <w:rPr>
          <w:rFonts w:ascii="Arial" w:hAnsi="Arial" w:cs="Arial"/>
          <w:szCs w:val="24"/>
        </w:rPr>
        <w:t>se declare que</w:t>
      </w:r>
      <w:r w:rsidR="006F2EA3">
        <w:rPr>
          <w:rFonts w:ascii="Arial" w:hAnsi="Arial" w:cs="Arial"/>
          <w:szCs w:val="24"/>
        </w:rPr>
        <w:t xml:space="preserve"> es beneficiaria</w:t>
      </w:r>
      <w:r w:rsidR="00E04822">
        <w:rPr>
          <w:rFonts w:ascii="Arial" w:hAnsi="Arial" w:cs="Arial"/>
          <w:szCs w:val="24"/>
        </w:rPr>
        <w:t xml:space="preserve"> de la </w:t>
      </w:r>
      <w:r w:rsidR="002B7A17">
        <w:rPr>
          <w:rFonts w:ascii="Arial" w:hAnsi="Arial" w:cs="Arial"/>
          <w:szCs w:val="24"/>
        </w:rPr>
        <w:t>pensión de sobrevivientes</w:t>
      </w:r>
      <w:r w:rsidR="00186009">
        <w:rPr>
          <w:rFonts w:ascii="Arial" w:hAnsi="Arial" w:cs="Arial"/>
          <w:szCs w:val="24"/>
        </w:rPr>
        <w:t xml:space="preserve"> causada por el señor </w:t>
      </w:r>
      <w:r w:rsidR="002D2217">
        <w:rPr>
          <w:rFonts w:ascii="Arial" w:hAnsi="Arial" w:cs="Arial"/>
          <w:szCs w:val="24"/>
        </w:rPr>
        <w:t>Edgar Ospina Mira</w:t>
      </w:r>
      <w:r w:rsidR="002B7A17">
        <w:rPr>
          <w:rFonts w:ascii="Arial" w:hAnsi="Arial" w:cs="Arial"/>
          <w:szCs w:val="24"/>
        </w:rPr>
        <w:t>, fallecido</w:t>
      </w:r>
      <w:r w:rsidR="00426A77">
        <w:rPr>
          <w:rFonts w:ascii="Arial" w:hAnsi="Arial" w:cs="Arial"/>
          <w:szCs w:val="24"/>
        </w:rPr>
        <w:t xml:space="preserve"> el </w:t>
      </w:r>
      <w:r w:rsidR="002D2217">
        <w:rPr>
          <w:rFonts w:ascii="Arial" w:hAnsi="Arial" w:cs="Arial"/>
          <w:szCs w:val="24"/>
        </w:rPr>
        <w:t>13</w:t>
      </w:r>
      <w:r w:rsidR="00426A77">
        <w:rPr>
          <w:rFonts w:ascii="Arial" w:hAnsi="Arial" w:cs="Arial"/>
          <w:szCs w:val="24"/>
        </w:rPr>
        <w:t xml:space="preserve"> de </w:t>
      </w:r>
      <w:r w:rsidR="007970D0">
        <w:rPr>
          <w:rFonts w:ascii="Arial" w:hAnsi="Arial" w:cs="Arial"/>
          <w:szCs w:val="24"/>
        </w:rPr>
        <w:t>ma</w:t>
      </w:r>
      <w:r w:rsidR="002D2217">
        <w:rPr>
          <w:rFonts w:ascii="Arial" w:hAnsi="Arial" w:cs="Arial"/>
          <w:szCs w:val="24"/>
        </w:rPr>
        <w:t xml:space="preserve">rzo </w:t>
      </w:r>
      <w:r w:rsidR="00426A77">
        <w:rPr>
          <w:rFonts w:ascii="Arial" w:hAnsi="Arial" w:cs="Arial"/>
          <w:szCs w:val="24"/>
        </w:rPr>
        <w:t xml:space="preserve">de </w:t>
      </w:r>
      <w:r w:rsidR="00EA12D1">
        <w:rPr>
          <w:rFonts w:ascii="Arial" w:hAnsi="Arial" w:cs="Arial"/>
          <w:szCs w:val="24"/>
        </w:rPr>
        <w:t>20</w:t>
      </w:r>
      <w:r w:rsidR="002D2217">
        <w:rPr>
          <w:rFonts w:ascii="Arial" w:hAnsi="Arial" w:cs="Arial"/>
          <w:szCs w:val="24"/>
        </w:rPr>
        <w:t>13</w:t>
      </w:r>
      <w:r w:rsidR="00426A77">
        <w:rPr>
          <w:rFonts w:ascii="Arial" w:hAnsi="Arial" w:cs="Arial"/>
          <w:szCs w:val="24"/>
        </w:rPr>
        <w:t xml:space="preserve"> y, consecuente con ello, se ordene a la entidad demandada, el reconocimiento de la prestación a partir de esa calenda, junto con</w:t>
      </w:r>
      <w:r w:rsidR="002D2217">
        <w:rPr>
          <w:rFonts w:ascii="Arial" w:hAnsi="Arial" w:cs="Arial"/>
          <w:szCs w:val="24"/>
        </w:rPr>
        <w:t xml:space="preserve"> las mesadas adicionales, </w:t>
      </w:r>
      <w:r w:rsidR="00426A77">
        <w:rPr>
          <w:rFonts w:ascii="Arial" w:hAnsi="Arial" w:cs="Arial"/>
          <w:szCs w:val="24"/>
        </w:rPr>
        <w:t>los intereses moratorios</w:t>
      </w:r>
      <w:r w:rsidR="002D2217">
        <w:rPr>
          <w:rFonts w:ascii="Arial" w:hAnsi="Arial" w:cs="Arial"/>
          <w:szCs w:val="24"/>
        </w:rPr>
        <w:t xml:space="preserve">, lo ultra y extra </w:t>
      </w:r>
      <w:proofErr w:type="spellStart"/>
      <w:r w:rsidR="002D2217">
        <w:rPr>
          <w:rFonts w:ascii="Arial" w:hAnsi="Arial" w:cs="Arial"/>
          <w:szCs w:val="24"/>
        </w:rPr>
        <w:t>petita</w:t>
      </w:r>
      <w:proofErr w:type="spellEnd"/>
      <w:r w:rsidR="002D2217">
        <w:rPr>
          <w:rFonts w:ascii="Arial" w:hAnsi="Arial" w:cs="Arial"/>
          <w:szCs w:val="24"/>
        </w:rPr>
        <w:t xml:space="preserve"> que resulte probado </w:t>
      </w:r>
      <w:r w:rsidR="00426A77" w:rsidRPr="004379CF">
        <w:rPr>
          <w:rFonts w:ascii="Arial" w:hAnsi="Arial" w:cs="Arial"/>
          <w:szCs w:val="24"/>
        </w:rPr>
        <w:t>y</w:t>
      </w:r>
      <w:r w:rsidR="00426A77">
        <w:rPr>
          <w:rFonts w:ascii="Arial" w:hAnsi="Arial" w:cs="Arial"/>
          <w:szCs w:val="24"/>
        </w:rPr>
        <w:t xml:space="preserve"> las costas procesales.</w:t>
      </w:r>
    </w:p>
    <w:p w:rsidR="00A957FB" w:rsidRPr="00AC486E" w:rsidRDefault="00A957FB" w:rsidP="002D566E">
      <w:pPr>
        <w:spacing w:line="276" w:lineRule="auto"/>
        <w:contextualSpacing/>
        <w:jc w:val="both"/>
        <w:rPr>
          <w:rFonts w:ascii="Arial" w:hAnsi="Arial" w:cs="Arial"/>
          <w:szCs w:val="24"/>
        </w:rPr>
      </w:pPr>
    </w:p>
    <w:p w:rsidR="00AF18BD" w:rsidRDefault="00A957FB" w:rsidP="002D566E">
      <w:pPr>
        <w:spacing w:line="276" w:lineRule="auto"/>
        <w:contextualSpacing/>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695334">
        <w:rPr>
          <w:rFonts w:ascii="Arial" w:hAnsi="Arial" w:cs="Arial"/>
          <w:szCs w:val="24"/>
        </w:rPr>
        <w:t xml:space="preserve">: </w:t>
      </w:r>
      <w:r w:rsidR="00D017B8">
        <w:rPr>
          <w:rFonts w:ascii="Arial" w:hAnsi="Arial" w:cs="Arial"/>
          <w:szCs w:val="24"/>
        </w:rPr>
        <w:t xml:space="preserve">(i) </w:t>
      </w:r>
      <w:r w:rsidR="002B7A17">
        <w:rPr>
          <w:rFonts w:ascii="Arial" w:hAnsi="Arial" w:cs="Arial"/>
          <w:szCs w:val="24"/>
        </w:rPr>
        <w:t xml:space="preserve">el señor </w:t>
      </w:r>
      <w:r w:rsidR="002D2217">
        <w:rPr>
          <w:rFonts w:ascii="Arial" w:hAnsi="Arial" w:cs="Arial"/>
          <w:szCs w:val="24"/>
        </w:rPr>
        <w:t>Edgar Ospina Mira</w:t>
      </w:r>
      <w:r w:rsidR="00594839">
        <w:rPr>
          <w:rFonts w:ascii="Arial" w:hAnsi="Arial" w:cs="Arial"/>
          <w:szCs w:val="24"/>
        </w:rPr>
        <w:t xml:space="preserve">, </w:t>
      </w:r>
      <w:r w:rsidR="0038387C">
        <w:rPr>
          <w:rFonts w:ascii="Arial" w:hAnsi="Arial" w:cs="Arial"/>
          <w:szCs w:val="24"/>
        </w:rPr>
        <w:t>falleció</w:t>
      </w:r>
      <w:r w:rsidR="00DE2D85">
        <w:rPr>
          <w:rFonts w:ascii="Arial" w:hAnsi="Arial" w:cs="Arial"/>
          <w:szCs w:val="24"/>
        </w:rPr>
        <w:t xml:space="preserve"> </w:t>
      </w:r>
      <w:r w:rsidR="002B7A17">
        <w:rPr>
          <w:rFonts w:ascii="Arial" w:hAnsi="Arial" w:cs="Arial"/>
          <w:szCs w:val="24"/>
        </w:rPr>
        <w:t xml:space="preserve">el </w:t>
      </w:r>
      <w:r w:rsidR="002D2217">
        <w:rPr>
          <w:rFonts w:ascii="Arial" w:hAnsi="Arial" w:cs="Arial"/>
          <w:szCs w:val="24"/>
        </w:rPr>
        <w:t>13/03/2013</w:t>
      </w:r>
      <w:r w:rsidR="00D017B8">
        <w:rPr>
          <w:rFonts w:ascii="Arial" w:hAnsi="Arial" w:cs="Arial"/>
          <w:szCs w:val="24"/>
        </w:rPr>
        <w:t xml:space="preserve">; (ii) </w:t>
      </w:r>
      <w:r w:rsidR="007D5023">
        <w:rPr>
          <w:rFonts w:ascii="Arial" w:hAnsi="Arial" w:cs="Arial"/>
          <w:szCs w:val="24"/>
        </w:rPr>
        <w:t>la actora y el causante con</w:t>
      </w:r>
      <w:r w:rsidR="002D2217">
        <w:rPr>
          <w:rFonts w:ascii="Arial" w:hAnsi="Arial" w:cs="Arial"/>
          <w:szCs w:val="24"/>
        </w:rPr>
        <w:t xml:space="preserve">trajeron matrimonio católico el 20/11/1965 y convivieron bajo el mismo techo y lecho </w:t>
      </w:r>
      <w:r w:rsidR="0038387C">
        <w:rPr>
          <w:rFonts w:ascii="Arial" w:hAnsi="Arial" w:cs="Arial"/>
          <w:szCs w:val="24"/>
        </w:rPr>
        <w:t xml:space="preserve">hasta el momento del deceso del señor </w:t>
      </w:r>
      <w:r w:rsidR="002D2217">
        <w:rPr>
          <w:rFonts w:ascii="Arial" w:hAnsi="Arial" w:cs="Arial"/>
          <w:szCs w:val="24"/>
        </w:rPr>
        <w:t>Edgar Ospina Mira</w:t>
      </w:r>
      <w:r w:rsidR="00747E40">
        <w:rPr>
          <w:rFonts w:ascii="Arial" w:hAnsi="Arial" w:cs="Arial"/>
          <w:szCs w:val="24"/>
        </w:rPr>
        <w:t xml:space="preserve">, lapso dentro del cual procrearon </w:t>
      </w:r>
      <w:r w:rsidR="002D2217">
        <w:rPr>
          <w:rFonts w:ascii="Arial" w:hAnsi="Arial" w:cs="Arial"/>
          <w:szCs w:val="24"/>
        </w:rPr>
        <w:t xml:space="preserve">cuatro </w:t>
      </w:r>
      <w:r w:rsidR="00747E40">
        <w:rPr>
          <w:rFonts w:ascii="Arial" w:hAnsi="Arial" w:cs="Arial"/>
          <w:szCs w:val="24"/>
        </w:rPr>
        <w:t>hijos</w:t>
      </w:r>
      <w:r w:rsidR="002D2217">
        <w:rPr>
          <w:rFonts w:ascii="Arial" w:hAnsi="Arial" w:cs="Arial"/>
          <w:szCs w:val="24"/>
        </w:rPr>
        <w:t>, mayores de edad al momento de la muerte de su padre</w:t>
      </w:r>
      <w:r w:rsidR="00594839">
        <w:rPr>
          <w:rFonts w:ascii="Arial" w:hAnsi="Arial" w:cs="Arial"/>
          <w:szCs w:val="24"/>
        </w:rPr>
        <w:t>; (</w:t>
      </w:r>
      <w:r w:rsidR="00A81A6D">
        <w:rPr>
          <w:rFonts w:ascii="Arial" w:hAnsi="Arial" w:cs="Arial"/>
          <w:szCs w:val="24"/>
        </w:rPr>
        <w:t xml:space="preserve">v) </w:t>
      </w:r>
      <w:r w:rsidR="00BE0180">
        <w:rPr>
          <w:rFonts w:ascii="Arial" w:hAnsi="Arial" w:cs="Arial"/>
          <w:szCs w:val="24"/>
        </w:rPr>
        <w:t xml:space="preserve">el causante cotizó </w:t>
      </w:r>
      <w:r w:rsidR="002D2217">
        <w:rPr>
          <w:rFonts w:ascii="Arial" w:hAnsi="Arial" w:cs="Arial"/>
          <w:szCs w:val="24"/>
        </w:rPr>
        <w:t xml:space="preserve">481,57 </w:t>
      </w:r>
      <w:r w:rsidR="00E654A5">
        <w:rPr>
          <w:rFonts w:ascii="Arial" w:hAnsi="Arial" w:cs="Arial"/>
          <w:szCs w:val="24"/>
        </w:rPr>
        <w:t>semanas</w:t>
      </w:r>
      <w:r w:rsidR="002D2217">
        <w:rPr>
          <w:rFonts w:ascii="Arial" w:hAnsi="Arial" w:cs="Arial"/>
          <w:szCs w:val="24"/>
        </w:rPr>
        <w:t xml:space="preserve"> , que </w:t>
      </w:r>
      <w:r w:rsidR="007D5023">
        <w:rPr>
          <w:rFonts w:ascii="Arial" w:hAnsi="Arial" w:cs="Arial"/>
          <w:szCs w:val="24"/>
        </w:rPr>
        <w:t xml:space="preserve">lo fueron </w:t>
      </w:r>
      <w:r w:rsidR="002D2217">
        <w:rPr>
          <w:rFonts w:ascii="Arial" w:hAnsi="Arial" w:cs="Arial"/>
          <w:szCs w:val="24"/>
        </w:rPr>
        <w:t>en el periodo comprendido entre el 01/03/1967 y el 31/12/1997</w:t>
      </w:r>
      <w:r w:rsidR="00BE0180">
        <w:rPr>
          <w:rFonts w:ascii="Arial" w:hAnsi="Arial" w:cs="Arial"/>
          <w:szCs w:val="24"/>
        </w:rPr>
        <w:t xml:space="preserve">, (vi) </w:t>
      </w:r>
      <w:r w:rsidR="007D5023">
        <w:rPr>
          <w:rFonts w:ascii="Arial" w:hAnsi="Arial" w:cs="Arial"/>
          <w:szCs w:val="24"/>
        </w:rPr>
        <w:t xml:space="preserve">el </w:t>
      </w:r>
      <w:r w:rsidR="002D2217">
        <w:rPr>
          <w:rFonts w:ascii="Arial" w:hAnsi="Arial" w:cs="Arial"/>
          <w:szCs w:val="24"/>
        </w:rPr>
        <w:t>1</w:t>
      </w:r>
      <w:r w:rsidR="00747E40">
        <w:rPr>
          <w:rFonts w:ascii="Arial" w:hAnsi="Arial" w:cs="Arial"/>
          <w:szCs w:val="24"/>
        </w:rPr>
        <w:t>2</w:t>
      </w:r>
      <w:r w:rsidR="002D2217">
        <w:rPr>
          <w:rFonts w:ascii="Arial" w:hAnsi="Arial" w:cs="Arial"/>
          <w:szCs w:val="24"/>
        </w:rPr>
        <w:t xml:space="preserve">/12/2014 </w:t>
      </w:r>
      <w:r w:rsidR="00BE0180">
        <w:rPr>
          <w:rFonts w:ascii="Arial" w:hAnsi="Arial" w:cs="Arial"/>
          <w:szCs w:val="24"/>
        </w:rPr>
        <w:t>la</w:t>
      </w:r>
      <w:r w:rsidR="00A81A6D">
        <w:rPr>
          <w:rFonts w:ascii="Arial" w:hAnsi="Arial" w:cs="Arial"/>
          <w:szCs w:val="24"/>
        </w:rPr>
        <w:t xml:space="preserve"> demandante </w:t>
      </w:r>
      <w:r w:rsidR="00BE0180">
        <w:rPr>
          <w:rFonts w:ascii="Arial" w:hAnsi="Arial" w:cs="Arial"/>
          <w:szCs w:val="24"/>
        </w:rPr>
        <w:t>solicitó</w:t>
      </w:r>
      <w:r w:rsidR="00E654A5">
        <w:rPr>
          <w:rFonts w:ascii="Arial" w:hAnsi="Arial" w:cs="Arial"/>
          <w:szCs w:val="24"/>
        </w:rPr>
        <w:t xml:space="preserve"> </w:t>
      </w:r>
      <w:r w:rsidR="007D5023">
        <w:rPr>
          <w:rFonts w:ascii="Arial" w:hAnsi="Arial" w:cs="Arial"/>
          <w:szCs w:val="24"/>
        </w:rPr>
        <w:t xml:space="preserve">el reconocimiento de la pensión de sobrevivientes, la que le fue negada mediante Resolución N° </w:t>
      </w:r>
      <w:proofErr w:type="spellStart"/>
      <w:r w:rsidR="00747E40">
        <w:rPr>
          <w:rFonts w:ascii="Arial" w:hAnsi="Arial" w:cs="Arial"/>
          <w:szCs w:val="24"/>
        </w:rPr>
        <w:t>GNR</w:t>
      </w:r>
      <w:proofErr w:type="spellEnd"/>
      <w:r w:rsidR="00747E40">
        <w:rPr>
          <w:rFonts w:ascii="Arial" w:hAnsi="Arial" w:cs="Arial"/>
          <w:szCs w:val="24"/>
        </w:rPr>
        <w:t xml:space="preserve"> </w:t>
      </w:r>
      <w:r w:rsidR="002D2217">
        <w:rPr>
          <w:rFonts w:ascii="Arial" w:hAnsi="Arial" w:cs="Arial"/>
          <w:szCs w:val="24"/>
        </w:rPr>
        <w:t>23500</w:t>
      </w:r>
      <w:r w:rsidR="007D5023">
        <w:rPr>
          <w:rFonts w:ascii="Arial" w:hAnsi="Arial" w:cs="Arial"/>
          <w:szCs w:val="24"/>
        </w:rPr>
        <w:t xml:space="preserve"> de 20</w:t>
      </w:r>
      <w:r w:rsidR="00747E40">
        <w:rPr>
          <w:rFonts w:ascii="Arial" w:hAnsi="Arial" w:cs="Arial"/>
          <w:szCs w:val="24"/>
        </w:rPr>
        <w:t>1</w:t>
      </w:r>
      <w:r w:rsidR="002D2217">
        <w:rPr>
          <w:rFonts w:ascii="Arial" w:hAnsi="Arial" w:cs="Arial"/>
          <w:szCs w:val="24"/>
        </w:rPr>
        <w:t>5</w:t>
      </w:r>
      <w:r w:rsidR="00747E40">
        <w:rPr>
          <w:rFonts w:ascii="Arial" w:hAnsi="Arial" w:cs="Arial"/>
          <w:szCs w:val="24"/>
        </w:rPr>
        <w:t>.</w:t>
      </w:r>
    </w:p>
    <w:p w:rsidR="007D5023" w:rsidRDefault="007D5023" w:rsidP="002D566E">
      <w:pPr>
        <w:spacing w:line="276" w:lineRule="auto"/>
        <w:contextualSpacing/>
        <w:jc w:val="both"/>
        <w:rPr>
          <w:rFonts w:ascii="Arial" w:hAnsi="Arial" w:cs="Arial"/>
          <w:szCs w:val="24"/>
        </w:rPr>
      </w:pPr>
    </w:p>
    <w:p w:rsidR="007D5023" w:rsidRDefault="007D5023" w:rsidP="002D566E">
      <w:pPr>
        <w:spacing w:line="276" w:lineRule="auto"/>
        <w:contextualSpacing/>
        <w:jc w:val="both"/>
        <w:rPr>
          <w:rFonts w:ascii="Arial" w:hAnsi="Arial" w:cs="Arial"/>
          <w:szCs w:val="24"/>
        </w:rPr>
      </w:pPr>
      <w:r>
        <w:rPr>
          <w:rFonts w:ascii="Arial" w:hAnsi="Arial" w:cs="Arial"/>
          <w:szCs w:val="24"/>
        </w:rPr>
        <w:t xml:space="preserve">La </w:t>
      </w:r>
      <w:r w:rsidRPr="00F00141">
        <w:rPr>
          <w:rFonts w:ascii="Arial" w:hAnsi="Arial" w:cs="Arial"/>
          <w:b/>
          <w:szCs w:val="24"/>
        </w:rPr>
        <w:t>Administradora Colombiana de Pensiones –</w:t>
      </w:r>
      <w:proofErr w:type="spellStart"/>
      <w:r w:rsidRPr="00F00141">
        <w:rPr>
          <w:rFonts w:ascii="Arial" w:hAnsi="Arial" w:cs="Arial"/>
          <w:b/>
          <w:szCs w:val="24"/>
        </w:rPr>
        <w:t>Colpensiones</w:t>
      </w:r>
      <w:proofErr w:type="spellEnd"/>
      <w:r w:rsidR="00F00141">
        <w:rPr>
          <w:rFonts w:ascii="Arial" w:hAnsi="Arial" w:cs="Arial"/>
          <w:szCs w:val="24"/>
        </w:rPr>
        <w:t xml:space="preserve">, se opuso a todas las pretensiones de la demanda y argumentó como razones de defensa que </w:t>
      </w:r>
      <w:r w:rsidR="00F552D5">
        <w:rPr>
          <w:rFonts w:ascii="Arial" w:hAnsi="Arial" w:cs="Arial"/>
          <w:szCs w:val="24"/>
        </w:rPr>
        <w:t>para la aplicación del principio de la condición más beneficiosa como se pretende, no es posible realizar una búsqueda histórica de la norma pertinente, porque según el criterio de la Corte Suprema de Justicia, debe acudirse a la norma inmediatamente anterior. Interpuso</w:t>
      </w:r>
      <w:r w:rsidR="002D2217">
        <w:rPr>
          <w:rFonts w:ascii="Arial" w:hAnsi="Arial" w:cs="Arial"/>
          <w:szCs w:val="24"/>
        </w:rPr>
        <w:t xml:space="preserve"> la excepción previa de falta de reclamación administrativa, que fue despachada desfavorablemente y </w:t>
      </w:r>
      <w:r w:rsidR="0084536A">
        <w:rPr>
          <w:rFonts w:ascii="Arial" w:hAnsi="Arial" w:cs="Arial"/>
          <w:szCs w:val="24"/>
        </w:rPr>
        <w:t>las</w:t>
      </w:r>
      <w:r w:rsidR="00F552D5">
        <w:rPr>
          <w:rFonts w:ascii="Arial" w:hAnsi="Arial" w:cs="Arial"/>
          <w:szCs w:val="24"/>
        </w:rPr>
        <w:t xml:space="preserve"> de mérito que denominó “Inexistencia del </w:t>
      </w:r>
      <w:r w:rsidR="00747E40">
        <w:rPr>
          <w:rFonts w:ascii="Arial" w:hAnsi="Arial" w:cs="Arial"/>
          <w:szCs w:val="24"/>
        </w:rPr>
        <w:t>derecho</w:t>
      </w:r>
      <w:r w:rsidR="00F552D5">
        <w:rPr>
          <w:rFonts w:ascii="Arial" w:hAnsi="Arial" w:cs="Arial"/>
          <w:szCs w:val="24"/>
        </w:rPr>
        <w:t>”,</w:t>
      </w:r>
      <w:r w:rsidR="00747E40">
        <w:rPr>
          <w:rFonts w:ascii="Arial" w:hAnsi="Arial" w:cs="Arial"/>
          <w:szCs w:val="24"/>
        </w:rPr>
        <w:t xml:space="preserve"> “</w:t>
      </w:r>
      <w:r w:rsidR="00023EF9">
        <w:rPr>
          <w:rFonts w:ascii="Arial" w:hAnsi="Arial" w:cs="Arial"/>
          <w:szCs w:val="24"/>
        </w:rPr>
        <w:t>Improcedencia de</w:t>
      </w:r>
      <w:r w:rsidR="00877C65">
        <w:rPr>
          <w:rFonts w:ascii="Arial" w:hAnsi="Arial" w:cs="Arial"/>
          <w:szCs w:val="24"/>
        </w:rPr>
        <w:t xml:space="preserve"> </w:t>
      </w:r>
      <w:r w:rsidR="00747E40">
        <w:rPr>
          <w:rFonts w:ascii="Arial" w:hAnsi="Arial" w:cs="Arial"/>
          <w:szCs w:val="24"/>
        </w:rPr>
        <w:t>l</w:t>
      </w:r>
      <w:r w:rsidR="00023EF9">
        <w:rPr>
          <w:rFonts w:ascii="Arial" w:hAnsi="Arial" w:cs="Arial"/>
          <w:szCs w:val="24"/>
        </w:rPr>
        <w:t xml:space="preserve">os intereses </w:t>
      </w:r>
      <w:r w:rsidR="00877C65">
        <w:rPr>
          <w:rFonts w:ascii="Arial" w:hAnsi="Arial" w:cs="Arial"/>
          <w:szCs w:val="24"/>
        </w:rPr>
        <w:t xml:space="preserve">de </w:t>
      </w:r>
      <w:r w:rsidR="00023EF9">
        <w:rPr>
          <w:rFonts w:ascii="Arial" w:hAnsi="Arial" w:cs="Arial"/>
          <w:szCs w:val="24"/>
        </w:rPr>
        <w:t>mora</w:t>
      </w:r>
      <w:r w:rsidR="00877C65">
        <w:rPr>
          <w:rFonts w:ascii="Arial" w:hAnsi="Arial" w:cs="Arial"/>
          <w:szCs w:val="24"/>
        </w:rPr>
        <w:t>” y</w:t>
      </w:r>
      <w:r w:rsidR="00F552D5">
        <w:rPr>
          <w:rFonts w:ascii="Arial" w:hAnsi="Arial" w:cs="Arial"/>
          <w:szCs w:val="24"/>
        </w:rPr>
        <w:t xml:space="preserve"> “</w:t>
      </w:r>
      <w:r w:rsidR="00023EF9">
        <w:rPr>
          <w:rFonts w:ascii="Arial" w:hAnsi="Arial" w:cs="Arial"/>
          <w:szCs w:val="24"/>
        </w:rPr>
        <w:t>Prescripción</w:t>
      </w:r>
      <w:r w:rsidR="00F552D5">
        <w:rPr>
          <w:rFonts w:ascii="Arial" w:hAnsi="Arial" w:cs="Arial"/>
          <w:szCs w:val="24"/>
        </w:rPr>
        <w:t>”</w:t>
      </w:r>
      <w:r w:rsidR="00877C65">
        <w:rPr>
          <w:rFonts w:ascii="Arial" w:hAnsi="Arial" w:cs="Arial"/>
          <w:szCs w:val="24"/>
        </w:rPr>
        <w:t>.</w:t>
      </w:r>
    </w:p>
    <w:p w:rsidR="007D5023" w:rsidRDefault="007D5023" w:rsidP="002D566E">
      <w:pPr>
        <w:spacing w:line="276" w:lineRule="auto"/>
        <w:contextualSpacing/>
        <w:jc w:val="both"/>
        <w:rPr>
          <w:rFonts w:ascii="Arial" w:hAnsi="Arial" w:cs="Arial"/>
          <w:szCs w:val="24"/>
        </w:rPr>
      </w:pPr>
    </w:p>
    <w:p w:rsidR="00226D5F" w:rsidRPr="00047835" w:rsidRDefault="00695334" w:rsidP="002D566E">
      <w:pPr>
        <w:pStyle w:val="Paragraphedeliste"/>
        <w:numPr>
          <w:ilvl w:val="1"/>
          <w:numId w:val="8"/>
        </w:numPr>
        <w:spacing w:line="276" w:lineRule="auto"/>
        <w:rPr>
          <w:rFonts w:ascii="Arial" w:hAnsi="Arial" w:cs="Arial"/>
          <w:b/>
          <w:sz w:val="24"/>
          <w:szCs w:val="24"/>
        </w:rPr>
      </w:pPr>
      <w:r w:rsidRPr="00047835">
        <w:rPr>
          <w:rFonts w:ascii="Arial" w:hAnsi="Arial" w:cs="Arial"/>
          <w:b/>
          <w:sz w:val="24"/>
          <w:szCs w:val="24"/>
        </w:rPr>
        <w:t xml:space="preserve">Síntesis de la sentencia </w:t>
      </w:r>
    </w:p>
    <w:p w:rsidR="00907F08" w:rsidRPr="00510E28" w:rsidRDefault="00907F08" w:rsidP="002D566E">
      <w:pPr>
        <w:spacing w:line="276" w:lineRule="auto"/>
        <w:contextualSpacing/>
        <w:jc w:val="both"/>
        <w:rPr>
          <w:rFonts w:ascii="Arial" w:hAnsi="Arial" w:cs="Arial"/>
          <w:szCs w:val="24"/>
          <w:lang w:eastAsia="es-CO"/>
        </w:rPr>
      </w:pPr>
      <w:r w:rsidRPr="00510E28">
        <w:rPr>
          <w:rFonts w:ascii="Arial" w:hAnsi="Arial" w:cs="Arial"/>
          <w:szCs w:val="24"/>
          <w:lang w:eastAsia="es-CO"/>
        </w:rPr>
        <w:t xml:space="preserve">El Juzgado </w:t>
      </w:r>
      <w:r w:rsidR="00B07142">
        <w:rPr>
          <w:rFonts w:ascii="Arial" w:hAnsi="Arial" w:cs="Arial"/>
          <w:szCs w:val="24"/>
          <w:lang w:eastAsia="es-CO"/>
        </w:rPr>
        <w:t xml:space="preserve">Cuarto </w:t>
      </w:r>
      <w:r w:rsidRPr="00510E28">
        <w:rPr>
          <w:rFonts w:ascii="Arial" w:hAnsi="Arial" w:cs="Arial"/>
          <w:szCs w:val="24"/>
          <w:lang w:eastAsia="es-CO"/>
        </w:rPr>
        <w:t xml:space="preserve">Laboral del Circuito de Pereira, </w:t>
      </w:r>
      <w:r w:rsidR="00023EF9">
        <w:rPr>
          <w:rFonts w:ascii="Arial" w:hAnsi="Arial" w:cs="Arial"/>
          <w:szCs w:val="24"/>
          <w:lang w:eastAsia="es-CO"/>
        </w:rPr>
        <w:t>negó las pretensiones de la demanda y condenó en costas a la parte actora.</w:t>
      </w:r>
    </w:p>
    <w:p w:rsidR="00907F08" w:rsidRPr="00907F08" w:rsidRDefault="00907F08" w:rsidP="002D566E">
      <w:pPr>
        <w:spacing w:line="276" w:lineRule="auto"/>
        <w:contextualSpacing/>
        <w:jc w:val="both"/>
        <w:rPr>
          <w:rFonts w:ascii="Arial" w:hAnsi="Arial" w:cs="Arial"/>
          <w:color w:val="ED7D31" w:themeColor="accent2"/>
          <w:szCs w:val="24"/>
          <w:lang w:eastAsia="es-CO"/>
        </w:rPr>
      </w:pPr>
    </w:p>
    <w:p w:rsidR="00037D6B" w:rsidRDefault="0020288B" w:rsidP="0020288B">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esa conclusión, expresó que </w:t>
      </w:r>
      <w:r w:rsidR="00037D6B">
        <w:rPr>
          <w:rFonts w:ascii="Arial" w:hAnsi="Arial" w:cs="Arial"/>
          <w:color w:val="000000"/>
          <w:szCs w:val="24"/>
          <w:lang w:eastAsia="es-CO"/>
        </w:rPr>
        <w:t>en la actualidad, debido a las múltiples revocatorias de sus decisiones, había optado por aplicar el principio de la condición más beneficiosa, sin limitarlo a que debía ser en relación con la norma inmediatamente anterior, por lo que era viable analizar el presente asunto, bajo la óptica del Acuerdo 049/90.</w:t>
      </w:r>
    </w:p>
    <w:p w:rsidR="00037D6B" w:rsidRDefault="00037D6B" w:rsidP="0020288B">
      <w:pPr>
        <w:spacing w:line="276" w:lineRule="auto"/>
        <w:jc w:val="both"/>
        <w:rPr>
          <w:rFonts w:ascii="Arial" w:hAnsi="Arial" w:cs="Arial"/>
          <w:color w:val="000000"/>
          <w:szCs w:val="24"/>
          <w:lang w:eastAsia="es-CO"/>
        </w:rPr>
      </w:pPr>
    </w:p>
    <w:p w:rsidR="00037D6B" w:rsidRDefault="00037D6B" w:rsidP="0020288B">
      <w:pPr>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Hizo referencia a la sentencia 56331 del 12/08/2014, de la Sala de Casación Laboral de la Corte Suprema de Justicia</w:t>
      </w:r>
      <w:r w:rsidR="00D505A0">
        <w:rPr>
          <w:rFonts w:ascii="Arial" w:hAnsi="Arial" w:cs="Arial"/>
          <w:color w:val="000000"/>
          <w:szCs w:val="24"/>
          <w:lang w:eastAsia="es-CO"/>
        </w:rPr>
        <w:t xml:space="preserve"> y precedente de esta Corporación</w:t>
      </w:r>
      <w:r w:rsidR="004A393C">
        <w:rPr>
          <w:rStyle w:val="Appelnotedebasdep"/>
          <w:rFonts w:ascii="Arial" w:hAnsi="Arial" w:cs="Arial"/>
          <w:color w:val="000000"/>
          <w:szCs w:val="24"/>
          <w:lang w:eastAsia="es-CO"/>
        </w:rPr>
        <w:footnoteReference w:id="3"/>
      </w:r>
      <w:r>
        <w:rPr>
          <w:rFonts w:ascii="Arial" w:hAnsi="Arial" w:cs="Arial"/>
          <w:color w:val="000000"/>
          <w:szCs w:val="24"/>
          <w:lang w:eastAsia="es-CO"/>
        </w:rPr>
        <w:t>, que hace referencia a la incompatibilidad de la indemnización sustitutiva de la pensión de vejez con el reconocimiento de la pensión con posterioridad.</w:t>
      </w:r>
    </w:p>
    <w:p w:rsidR="00037D6B" w:rsidRDefault="00037D6B" w:rsidP="0020288B">
      <w:pPr>
        <w:spacing w:line="276" w:lineRule="auto"/>
        <w:jc w:val="both"/>
        <w:rPr>
          <w:rFonts w:ascii="Arial" w:hAnsi="Arial" w:cs="Arial"/>
          <w:color w:val="000000"/>
          <w:szCs w:val="24"/>
          <w:lang w:eastAsia="es-CO"/>
        </w:rPr>
      </w:pPr>
    </w:p>
    <w:p w:rsidR="0020288B" w:rsidRDefault="00037D6B" w:rsidP="0020288B">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Con base en lo anterior, </w:t>
      </w:r>
      <w:r w:rsidR="009F0617">
        <w:rPr>
          <w:rFonts w:ascii="Arial" w:hAnsi="Arial" w:cs="Arial"/>
          <w:color w:val="000000"/>
          <w:szCs w:val="24"/>
          <w:lang w:eastAsia="es-CO"/>
        </w:rPr>
        <w:t xml:space="preserve">advirtió </w:t>
      </w:r>
      <w:r>
        <w:rPr>
          <w:rFonts w:ascii="Arial" w:hAnsi="Arial" w:cs="Arial"/>
          <w:color w:val="000000"/>
          <w:szCs w:val="24"/>
          <w:lang w:eastAsia="es-CO"/>
        </w:rPr>
        <w:t xml:space="preserve">que </w:t>
      </w:r>
      <w:r w:rsidR="0020288B">
        <w:rPr>
          <w:rFonts w:ascii="Arial" w:hAnsi="Arial" w:cs="Arial"/>
          <w:color w:val="000000"/>
          <w:szCs w:val="24"/>
          <w:lang w:eastAsia="es-CO"/>
        </w:rPr>
        <w:t>el causante no había dejado causado el derecho a la pensión de conformidad con lo previsto en la Ley 797 de 2003, toda vez que no cuenta con 50 semanas cotizadas dentro de los 3 a</w:t>
      </w:r>
      <w:r w:rsidR="00512268">
        <w:rPr>
          <w:rFonts w:ascii="Arial" w:hAnsi="Arial" w:cs="Arial"/>
          <w:color w:val="000000"/>
          <w:szCs w:val="24"/>
          <w:lang w:eastAsia="es-CO"/>
        </w:rPr>
        <w:t>ños anteriores al fallecimiento, por lo que era posible en aplicación del referido principio de la condición más beneficiosa</w:t>
      </w:r>
      <w:r w:rsidR="009F0617">
        <w:rPr>
          <w:rFonts w:ascii="Arial" w:hAnsi="Arial" w:cs="Arial"/>
          <w:color w:val="000000"/>
          <w:szCs w:val="24"/>
          <w:lang w:eastAsia="es-CO"/>
        </w:rPr>
        <w:t xml:space="preserve"> acudir al Acuerdo 049/90</w:t>
      </w:r>
      <w:r w:rsidR="00512268">
        <w:rPr>
          <w:rFonts w:ascii="Arial" w:hAnsi="Arial" w:cs="Arial"/>
          <w:color w:val="000000"/>
          <w:szCs w:val="24"/>
          <w:lang w:eastAsia="es-CO"/>
        </w:rPr>
        <w:t xml:space="preserve">, bajo el cual </w:t>
      </w:r>
      <w:r w:rsidR="009F0617">
        <w:rPr>
          <w:rFonts w:ascii="Arial" w:hAnsi="Arial" w:cs="Arial"/>
          <w:color w:val="000000"/>
          <w:szCs w:val="24"/>
          <w:lang w:eastAsia="es-CO"/>
        </w:rPr>
        <w:t xml:space="preserve">halló </w:t>
      </w:r>
      <w:r w:rsidR="00512268">
        <w:rPr>
          <w:rFonts w:ascii="Arial" w:hAnsi="Arial" w:cs="Arial"/>
          <w:color w:val="000000"/>
          <w:szCs w:val="24"/>
          <w:lang w:eastAsia="es-CO"/>
        </w:rPr>
        <w:t>causado el derecho.</w:t>
      </w:r>
    </w:p>
    <w:p w:rsidR="00512268" w:rsidRDefault="00512268" w:rsidP="0020288B">
      <w:pPr>
        <w:spacing w:line="276" w:lineRule="auto"/>
        <w:jc w:val="both"/>
        <w:rPr>
          <w:rFonts w:ascii="Arial" w:hAnsi="Arial" w:cs="Arial"/>
          <w:color w:val="000000"/>
          <w:szCs w:val="24"/>
          <w:lang w:eastAsia="es-CO"/>
        </w:rPr>
      </w:pPr>
    </w:p>
    <w:p w:rsidR="00512268" w:rsidRDefault="009F0617" w:rsidP="0020288B">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Sin embargo, como se encuentra </w:t>
      </w:r>
      <w:r w:rsidR="00512268">
        <w:rPr>
          <w:rFonts w:ascii="Arial" w:hAnsi="Arial" w:cs="Arial"/>
          <w:color w:val="000000"/>
          <w:szCs w:val="24"/>
          <w:lang w:eastAsia="es-CO"/>
        </w:rPr>
        <w:t xml:space="preserve">acreditado que el causante recibió indemnización sustitutiva de la pensión de vejez, según da cuenta la Resolución N° </w:t>
      </w:r>
      <w:proofErr w:type="spellStart"/>
      <w:r w:rsidR="00512268">
        <w:rPr>
          <w:rFonts w:ascii="Arial" w:hAnsi="Arial" w:cs="Arial"/>
          <w:color w:val="000000"/>
          <w:szCs w:val="24"/>
          <w:lang w:eastAsia="es-CO"/>
        </w:rPr>
        <w:t>GNR</w:t>
      </w:r>
      <w:proofErr w:type="spellEnd"/>
      <w:r w:rsidR="00512268">
        <w:rPr>
          <w:rFonts w:ascii="Arial" w:hAnsi="Arial" w:cs="Arial"/>
          <w:color w:val="000000"/>
          <w:szCs w:val="24"/>
          <w:lang w:eastAsia="es-CO"/>
        </w:rPr>
        <w:t xml:space="preserve"> 23500 de 2015, que a la vez remite a la N° 004646 de 1998, existe entonces incompatibilidad entre esa prestación y la pensión de sobrevivientes que ahora se reclama.</w:t>
      </w:r>
    </w:p>
    <w:p w:rsidR="0020288B" w:rsidRDefault="0020288B" w:rsidP="0020288B">
      <w:pPr>
        <w:spacing w:line="276" w:lineRule="auto"/>
        <w:jc w:val="both"/>
        <w:rPr>
          <w:rFonts w:ascii="Arial" w:hAnsi="Arial" w:cs="Arial"/>
          <w:color w:val="000000"/>
          <w:szCs w:val="24"/>
          <w:lang w:eastAsia="es-CO"/>
        </w:rPr>
      </w:pPr>
    </w:p>
    <w:p w:rsidR="004E0EBF" w:rsidRPr="004E0EBF" w:rsidRDefault="00023EF9" w:rsidP="002D566E">
      <w:pPr>
        <w:shd w:val="clear" w:color="auto" w:fill="FFFFFF"/>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1.3</w:t>
      </w:r>
      <w:r w:rsidR="00176304">
        <w:rPr>
          <w:rFonts w:ascii="Arial" w:hAnsi="Arial" w:cs="Arial"/>
          <w:b/>
          <w:color w:val="000000"/>
          <w:szCs w:val="24"/>
          <w:lang w:eastAsia="es-CO"/>
        </w:rPr>
        <w:t>.</w:t>
      </w:r>
      <w:r w:rsidR="00695334">
        <w:rPr>
          <w:rFonts w:ascii="Arial" w:hAnsi="Arial" w:cs="Arial"/>
          <w:b/>
          <w:color w:val="000000"/>
          <w:szCs w:val="24"/>
          <w:lang w:eastAsia="es-CO"/>
        </w:rPr>
        <w:t xml:space="preserve"> Del </w:t>
      </w:r>
      <w:r w:rsidR="00B07142">
        <w:rPr>
          <w:rFonts w:ascii="Arial" w:hAnsi="Arial" w:cs="Arial"/>
          <w:b/>
          <w:color w:val="000000"/>
          <w:szCs w:val="24"/>
          <w:lang w:eastAsia="es-CO"/>
        </w:rPr>
        <w:t xml:space="preserve">grado jurisdiccional de consulta </w:t>
      </w:r>
    </w:p>
    <w:p w:rsidR="00CD79E1" w:rsidRDefault="00CD79E1" w:rsidP="00B07142">
      <w:pPr>
        <w:shd w:val="clear" w:color="auto" w:fill="FFFFFF"/>
        <w:spacing w:line="276" w:lineRule="auto"/>
        <w:jc w:val="both"/>
        <w:rPr>
          <w:rFonts w:ascii="Arial" w:hAnsi="Arial" w:cs="Arial"/>
          <w:szCs w:val="24"/>
        </w:rPr>
      </w:pPr>
    </w:p>
    <w:p w:rsidR="00B07142" w:rsidRDefault="00B07142" w:rsidP="00B07142">
      <w:pPr>
        <w:shd w:val="clear" w:color="auto" w:fill="FFFFFF"/>
        <w:spacing w:line="276" w:lineRule="auto"/>
        <w:jc w:val="both"/>
        <w:rPr>
          <w:rFonts w:ascii="Arial" w:hAnsi="Arial" w:cs="Arial"/>
          <w:szCs w:val="24"/>
        </w:rPr>
      </w:pPr>
      <w:r>
        <w:rPr>
          <w:rFonts w:ascii="Arial" w:hAnsi="Arial" w:cs="Arial"/>
          <w:szCs w:val="24"/>
        </w:rPr>
        <w:t xml:space="preserve">De conformidad con lo dispuesto por el artículo 69 del </w:t>
      </w:r>
      <w:proofErr w:type="spellStart"/>
      <w:r>
        <w:rPr>
          <w:rFonts w:ascii="Arial" w:hAnsi="Arial" w:cs="Arial"/>
          <w:szCs w:val="24"/>
        </w:rPr>
        <w:t>C.P.L</w:t>
      </w:r>
      <w:proofErr w:type="spellEnd"/>
      <w:r>
        <w:rPr>
          <w:rFonts w:ascii="Arial" w:hAnsi="Arial" w:cs="Arial"/>
          <w:szCs w:val="24"/>
        </w:rPr>
        <w:t>. se ordenó el grado jurisdiccional de consulta</w:t>
      </w:r>
      <w:r w:rsidR="0005630D">
        <w:rPr>
          <w:rFonts w:ascii="Arial" w:hAnsi="Arial" w:cs="Arial"/>
          <w:szCs w:val="24"/>
        </w:rPr>
        <w:t xml:space="preserve"> respecto de la anterior decisión</w:t>
      </w:r>
      <w:r>
        <w:rPr>
          <w:rFonts w:ascii="Arial" w:hAnsi="Arial" w:cs="Arial"/>
          <w:szCs w:val="24"/>
        </w:rPr>
        <w:t xml:space="preserve">, al haber resultado la misma totalmente adversa a los intereses </w:t>
      </w:r>
      <w:r w:rsidR="00DE79B8">
        <w:rPr>
          <w:rFonts w:ascii="Arial" w:hAnsi="Arial" w:cs="Arial"/>
          <w:szCs w:val="24"/>
        </w:rPr>
        <w:t>de la demandante</w:t>
      </w:r>
      <w:r>
        <w:rPr>
          <w:rFonts w:ascii="Arial" w:hAnsi="Arial" w:cs="Arial"/>
          <w:szCs w:val="24"/>
        </w:rPr>
        <w:t>.</w:t>
      </w:r>
    </w:p>
    <w:p w:rsidR="009F0617" w:rsidRDefault="009F0617" w:rsidP="00C74693">
      <w:pPr>
        <w:shd w:val="clear" w:color="auto" w:fill="FFFFFF"/>
        <w:spacing w:line="480" w:lineRule="auto"/>
        <w:jc w:val="both"/>
        <w:rPr>
          <w:rFonts w:ascii="Arial" w:hAnsi="Arial" w:cs="Arial"/>
          <w:szCs w:val="24"/>
        </w:rPr>
      </w:pPr>
    </w:p>
    <w:p w:rsidR="00733AFD" w:rsidRPr="00C84DAD" w:rsidRDefault="00733AFD" w:rsidP="002D566E">
      <w:pPr>
        <w:shd w:val="clear" w:color="auto" w:fill="FFFFFF"/>
        <w:spacing w:line="276" w:lineRule="auto"/>
        <w:contextualSpacing/>
        <w:jc w:val="center"/>
        <w:rPr>
          <w:rFonts w:ascii="Arial" w:hAnsi="Arial" w:cs="Arial"/>
          <w:b/>
          <w:szCs w:val="24"/>
        </w:rPr>
      </w:pPr>
      <w:r w:rsidRPr="00C84DAD">
        <w:rPr>
          <w:rFonts w:ascii="Arial" w:hAnsi="Arial" w:cs="Arial"/>
          <w:b/>
          <w:szCs w:val="24"/>
        </w:rPr>
        <w:t>CONSIDERACIONES</w:t>
      </w:r>
    </w:p>
    <w:p w:rsidR="00733AFD" w:rsidRPr="00312238" w:rsidRDefault="00733AFD" w:rsidP="002D566E">
      <w:pPr>
        <w:pStyle w:val="Paragraphedeliste"/>
        <w:shd w:val="clear" w:color="auto" w:fill="FFFFFF"/>
        <w:tabs>
          <w:tab w:val="left" w:pos="5197"/>
        </w:tabs>
        <w:spacing w:line="276" w:lineRule="auto"/>
        <w:ind w:left="1800"/>
        <w:jc w:val="both"/>
        <w:rPr>
          <w:rFonts w:ascii="Arial" w:hAnsi="Arial" w:cs="Arial"/>
          <w:b/>
          <w:sz w:val="24"/>
          <w:szCs w:val="24"/>
        </w:rPr>
      </w:pPr>
    </w:p>
    <w:p w:rsidR="00733AFD" w:rsidRPr="00982149" w:rsidRDefault="00733AFD" w:rsidP="002D566E">
      <w:pPr>
        <w:pStyle w:val="Paragraphedeliste"/>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Del</w:t>
      </w:r>
      <w:r w:rsidR="003C2430">
        <w:rPr>
          <w:rFonts w:ascii="Arial" w:hAnsi="Arial" w:cs="Arial"/>
          <w:b/>
          <w:sz w:val="24"/>
          <w:szCs w:val="24"/>
        </w:rPr>
        <w:t xml:space="preserve"> problema jurídico</w:t>
      </w:r>
    </w:p>
    <w:p w:rsidR="00733AFD" w:rsidRDefault="00733AFD" w:rsidP="002D566E">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3C2430">
        <w:rPr>
          <w:rFonts w:ascii="Arial" w:hAnsi="Arial" w:cs="Arial"/>
          <w:color w:val="000000"/>
          <w:szCs w:val="24"/>
          <w:lang w:eastAsia="es-CO"/>
        </w:rPr>
        <w:t xml:space="preserve">el </w:t>
      </w:r>
      <w:r w:rsidRPr="00AD3534">
        <w:rPr>
          <w:rFonts w:ascii="Arial" w:hAnsi="Arial" w:cs="Arial"/>
          <w:color w:val="000000"/>
          <w:szCs w:val="24"/>
          <w:lang w:eastAsia="es-CO"/>
        </w:rPr>
        <w:t xml:space="preserve">siguiente </w:t>
      </w:r>
      <w:r>
        <w:rPr>
          <w:rFonts w:ascii="Arial" w:hAnsi="Arial" w:cs="Arial"/>
          <w:color w:val="000000"/>
          <w:szCs w:val="24"/>
          <w:lang w:eastAsia="es-CO"/>
        </w:rPr>
        <w:t>interrogante:</w:t>
      </w:r>
    </w:p>
    <w:p w:rsidR="00733AFD" w:rsidRDefault="00733AFD" w:rsidP="002D566E">
      <w:pPr>
        <w:shd w:val="clear" w:color="auto" w:fill="FFFFFF"/>
        <w:tabs>
          <w:tab w:val="left" w:pos="5197"/>
        </w:tabs>
        <w:spacing w:line="276" w:lineRule="auto"/>
        <w:contextualSpacing/>
        <w:jc w:val="both"/>
        <w:rPr>
          <w:rFonts w:ascii="Arial" w:hAnsi="Arial" w:cs="Arial"/>
          <w:color w:val="000000"/>
          <w:szCs w:val="24"/>
          <w:lang w:eastAsia="es-CO"/>
        </w:rPr>
      </w:pPr>
    </w:p>
    <w:p w:rsidR="009E1BB1" w:rsidRDefault="00733AFD" w:rsidP="009E1BB1">
      <w:pPr>
        <w:tabs>
          <w:tab w:val="left" w:pos="0"/>
          <w:tab w:val="left" w:pos="8647"/>
        </w:tabs>
        <w:suppressAutoHyphens/>
        <w:spacing w:line="276" w:lineRule="auto"/>
        <w:ind w:right="51"/>
        <w:contextualSpacing/>
        <w:jc w:val="both"/>
        <w:rPr>
          <w:rFonts w:ascii="Arial" w:hAnsi="Arial" w:cs="Arial"/>
          <w:iCs/>
          <w:szCs w:val="24"/>
        </w:rPr>
      </w:pPr>
      <w:r w:rsidRPr="00334B97">
        <w:rPr>
          <w:rFonts w:ascii="Arial" w:hAnsi="Arial" w:cs="Arial"/>
          <w:iCs/>
          <w:szCs w:val="24"/>
        </w:rPr>
        <w:t>1.1.</w:t>
      </w:r>
      <w:r>
        <w:rPr>
          <w:rFonts w:ascii="Arial" w:hAnsi="Arial" w:cs="Arial"/>
          <w:iCs/>
          <w:szCs w:val="24"/>
        </w:rPr>
        <w:t xml:space="preserve"> </w:t>
      </w:r>
      <w:r w:rsidR="000757E9">
        <w:rPr>
          <w:rFonts w:ascii="Arial" w:hAnsi="Arial" w:cs="Arial"/>
          <w:szCs w:val="24"/>
        </w:rPr>
        <w:t>¿Resul</w:t>
      </w:r>
      <w:r w:rsidRPr="00334B97">
        <w:rPr>
          <w:rFonts w:ascii="Arial" w:hAnsi="Arial" w:cs="Arial"/>
          <w:szCs w:val="24"/>
        </w:rPr>
        <w:t>ta procedente</w:t>
      </w:r>
      <w:r w:rsidR="009F0617">
        <w:rPr>
          <w:rFonts w:ascii="Arial" w:hAnsi="Arial" w:cs="Arial"/>
          <w:szCs w:val="24"/>
        </w:rPr>
        <w:t xml:space="preserve"> estudiar</w:t>
      </w:r>
      <w:r w:rsidRPr="00334B97">
        <w:rPr>
          <w:rFonts w:ascii="Arial" w:hAnsi="Arial" w:cs="Arial"/>
          <w:szCs w:val="24"/>
        </w:rPr>
        <w:t xml:space="preserve"> la pensión de sobrevivientes conforme al Acuerdo 049 de 1990, en aplicación de la condición más beneficiosa</w:t>
      </w:r>
      <w:r>
        <w:rPr>
          <w:rFonts w:ascii="Arial" w:hAnsi="Arial" w:cs="Arial"/>
          <w:szCs w:val="24"/>
        </w:rPr>
        <w:t>,</w:t>
      </w:r>
      <w:r w:rsidRPr="009740CF">
        <w:rPr>
          <w:rFonts w:ascii="Arial" w:hAnsi="Arial" w:cs="Arial"/>
          <w:szCs w:val="24"/>
        </w:rPr>
        <w:t xml:space="preserve"> </w:t>
      </w:r>
      <w:r w:rsidR="009E1BB1" w:rsidRPr="009740CF">
        <w:rPr>
          <w:rFonts w:ascii="Arial" w:hAnsi="Arial" w:cs="Arial"/>
          <w:szCs w:val="24"/>
        </w:rPr>
        <w:t>cuando el óbito del</w:t>
      </w:r>
      <w:r w:rsidR="009E1BB1">
        <w:rPr>
          <w:rFonts w:ascii="Arial" w:hAnsi="Arial" w:cs="Arial"/>
          <w:szCs w:val="24"/>
        </w:rPr>
        <w:t xml:space="preserve"> afilado </w:t>
      </w:r>
      <w:r w:rsidR="009E1BB1" w:rsidRPr="009740CF">
        <w:rPr>
          <w:rFonts w:ascii="Arial" w:hAnsi="Arial" w:cs="Arial"/>
          <w:szCs w:val="24"/>
        </w:rPr>
        <w:t>se produjo en vigencia de la Ley 797 de 2003</w:t>
      </w:r>
      <w:r w:rsidR="009E1BB1" w:rsidRPr="009740CF">
        <w:rPr>
          <w:rFonts w:ascii="Arial" w:hAnsi="Arial" w:cs="Arial"/>
          <w:iCs/>
          <w:szCs w:val="24"/>
        </w:rPr>
        <w:t>?</w:t>
      </w:r>
    </w:p>
    <w:p w:rsidR="00A85C4C" w:rsidRPr="009740CF" w:rsidRDefault="00A85C4C" w:rsidP="002D566E">
      <w:pPr>
        <w:tabs>
          <w:tab w:val="left" w:pos="0"/>
          <w:tab w:val="left" w:pos="8647"/>
        </w:tabs>
        <w:suppressAutoHyphens/>
        <w:spacing w:line="276" w:lineRule="auto"/>
        <w:ind w:right="51"/>
        <w:contextualSpacing/>
        <w:jc w:val="both"/>
        <w:rPr>
          <w:rFonts w:ascii="Arial" w:hAnsi="Arial" w:cs="Arial"/>
          <w:iCs/>
          <w:szCs w:val="24"/>
        </w:rPr>
      </w:pPr>
    </w:p>
    <w:p w:rsidR="00733AFD" w:rsidRDefault="00A85C4C" w:rsidP="002D566E">
      <w:pPr>
        <w:pStyle w:val="Corpsdetexte"/>
        <w:spacing w:line="276" w:lineRule="auto"/>
        <w:contextualSpacing/>
        <w:rPr>
          <w:b/>
          <w:iCs/>
          <w:szCs w:val="24"/>
        </w:rPr>
      </w:pPr>
      <w:r>
        <w:rPr>
          <w:b/>
          <w:iCs/>
          <w:szCs w:val="24"/>
        </w:rPr>
        <w:t>2. Solución a</w:t>
      </w:r>
      <w:r w:rsidR="00733AFD">
        <w:rPr>
          <w:b/>
          <w:iCs/>
          <w:szCs w:val="24"/>
        </w:rPr>
        <w:t>l</w:t>
      </w:r>
      <w:r w:rsidR="00733AFD" w:rsidRPr="00312238">
        <w:rPr>
          <w:b/>
          <w:iCs/>
          <w:szCs w:val="24"/>
        </w:rPr>
        <w:t xml:space="preserve"> problema jurídico </w:t>
      </w:r>
    </w:p>
    <w:p w:rsidR="0029381D" w:rsidRDefault="0029381D" w:rsidP="002D566E">
      <w:pPr>
        <w:pStyle w:val="Corpsdetexte"/>
        <w:spacing w:line="276" w:lineRule="auto"/>
        <w:contextualSpacing/>
        <w:rPr>
          <w:b/>
          <w:iCs/>
          <w:szCs w:val="24"/>
        </w:rPr>
      </w:pPr>
    </w:p>
    <w:p w:rsidR="00733AFD" w:rsidRDefault="00733AFD" w:rsidP="002D566E">
      <w:pPr>
        <w:pStyle w:val="Corpsdetexte"/>
        <w:spacing w:line="276" w:lineRule="auto"/>
        <w:contextualSpacing/>
        <w:rPr>
          <w:iCs/>
          <w:szCs w:val="24"/>
        </w:rPr>
      </w:pPr>
      <w:r w:rsidRPr="008E0CBF">
        <w:rPr>
          <w:iCs/>
          <w:szCs w:val="24"/>
        </w:rPr>
        <w:t>Con</w:t>
      </w:r>
      <w:r>
        <w:rPr>
          <w:iCs/>
          <w:szCs w:val="24"/>
        </w:rPr>
        <w:t xml:space="preserve"> el propósito de dar solución al</w:t>
      </w:r>
      <w:r w:rsidR="00A85C4C">
        <w:rPr>
          <w:iCs/>
          <w:szCs w:val="24"/>
        </w:rPr>
        <w:t xml:space="preserve"> anterior</w:t>
      </w:r>
      <w:r>
        <w:rPr>
          <w:iCs/>
          <w:szCs w:val="24"/>
        </w:rPr>
        <w:t xml:space="preserve"> </w:t>
      </w:r>
      <w:r w:rsidRPr="008E0CBF">
        <w:rPr>
          <w:iCs/>
          <w:szCs w:val="24"/>
        </w:rPr>
        <w:t>interrogante, se considera necesario precisar, lo siguiente:</w:t>
      </w:r>
    </w:p>
    <w:p w:rsidR="00733AFD" w:rsidRDefault="00733AFD" w:rsidP="002D566E">
      <w:pPr>
        <w:pStyle w:val="Corpsdetexte"/>
        <w:spacing w:line="276" w:lineRule="auto"/>
        <w:contextualSpacing/>
        <w:rPr>
          <w:iCs/>
          <w:szCs w:val="24"/>
        </w:rPr>
      </w:pPr>
    </w:p>
    <w:p w:rsidR="00C521EF" w:rsidRDefault="000757E9" w:rsidP="0068173D">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2.1. </w:t>
      </w:r>
      <w:r w:rsidR="00C521EF">
        <w:rPr>
          <w:rFonts w:ascii="Arial" w:hAnsi="Arial" w:cs="Arial"/>
          <w:szCs w:val="24"/>
        </w:rPr>
        <w:t xml:space="preserve">Se encuentra acreditado </w:t>
      </w:r>
      <w:r w:rsidR="00C521EF" w:rsidRPr="00AC486E">
        <w:rPr>
          <w:rFonts w:ascii="Arial" w:hAnsi="Arial" w:cs="Arial"/>
          <w:szCs w:val="24"/>
        </w:rPr>
        <w:t xml:space="preserve">que </w:t>
      </w:r>
      <w:r w:rsidR="005E165D">
        <w:rPr>
          <w:rFonts w:ascii="Arial" w:hAnsi="Arial" w:cs="Arial"/>
          <w:szCs w:val="24"/>
        </w:rPr>
        <w:t xml:space="preserve">el causante </w:t>
      </w:r>
      <w:r w:rsidR="00C521EF">
        <w:rPr>
          <w:rFonts w:ascii="Arial" w:hAnsi="Arial" w:cs="Arial"/>
          <w:szCs w:val="24"/>
        </w:rPr>
        <w:t xml:space="preserve">falleció el </w:t>
      </w:r>
      <w:r w:rsidR="00722BBF">
        <w:rPr>
          <w:rFonts w:ascii="Arial" w:hAnsi="Arial" w:cs="Arial"/>
          <w:szCs w:val="24"/>
        </w:rPr>
        <w:t>13/03/2013</w:t>
      </w:r>
      <w:r w:rsidR="00C521EF">
        <w:rPr>
          <w:rFonts w:ascii="Arial" w:hAnsi="Arial" w:cs="Arial"/>
          <w:szCs w:val="24"/>
        </w:rPr>
        <w:t xml:space="preserve">, </w:t>
      </w:r>
      <w:r w:rsidR="0068173D">
        <w:rPr>
          <w:rFonts w:ascii="Arial" w:hAnsi="Arial" w:cs="Arial"/>
          <w:szCs w:val="24"/>
        </w:rPr>
        <w:t>por lo tanto,</w:t>
      </w:r>
      <w:r w:rsidR="00C521EF" w:rsidRPr="00AC486E">
        <w:rPr>
          <w:rFonts w:ascii="Arial" w:hAnsi="Arial" w:cs="Arial"/>
          <w:szCs w:val="24"/>
        </w:rPr>
        <w:t xml:space="preserve"> la normativa </w:t>
      </w:r>
      <w:r w:rsidR="00C521EF">
        <w:rPr>
          <w:rFonts w:ascii="Arial" w:hAnsi="Arial" w:cs="Arial"/>
          <w:szCs w:val="24"/>
        </w:rPr>
        <w:t xml:space="preserve">aplicable </w:t>
      </w:r>
      <w:r w:rsidR="00C521EF" w:rsidRPr="00AC486E">
        <w:rPr>
          <w:rFonts w:ascii="Arial" w:hAnsi="Arial" w:cs="Arial"/>
          <w:szCs w:val="24"/>
        </w:rPr>
        <w:t xml:space="preserve">en esta actuación es el artículo </w:t>
      </w:r>
      <w:r w:rsidR="00C521EF">
        <w:rPr>
          <w:rFonts w:ascii="Arial" w:hAnsi="Arial" w:cs="Arial"/>
          <w:szCs w:val="24"/>
        </w:rPr>
        <w:t xml:space="preserve">12 de </w:t>
      </w:r>
      <w:r w:rsidR="00C521EF" w:rsidRPr="00AC486E">
        <w:rPr>
          <w:rFonts w:ascii="Arial" w:hAnsi="Arial" w:cs="Arial"/>
          <w:szCs w:val="24"/>
        </w:rPr>
        <w:t>la Ley 797 de 2003, que para los afiliados al sistema de seguridad social, exige haber cotizado 50 semanas dentro de los 3 años anteriores a su deceso y</w:t>
      </w:r>
      <w:r w:rsidR="00C521EF">
        <w:rPr>
          <w:rFonts w:ascii="Arial" w:hAnsi="Arial" w:cs="Arial"/>
          <w:szCs w:val="24"/>
        </w:rPr>
        <w:t xml:space="preserve">, conforme al artículo 13 de esa misma normativa, </w:t>
      </w:r>
      <w:r w:rsidR="00C521EF" w:rsidRPr="00AC486E">
        <w:rPr>
          <w:rFonts w:ascii="Arial" w:hAnsi="Arial" w:cs="Arial"/>
          <w:szCs w:val="24"/>
        </w:rPr>
        <w:t>para quien reclame la prestación en calidad de cónyuge o compañera supérstite, una convivencia con el causante por espacio no inferior a los 5 años anteriores a</w:t>
      </w:r>
      <w:r w:rsidR="009F0617">
        <w:rPr>
          <w:rFonts w:ascii="Arial" w:hAnsi="Arial" w:cs="Arial"/>
          <w:szCs w:val="24"/>
        </w:rPr>
        <w:t xml:space="preserve"> </w:t>
      </w:r>
      <w:r w:rsidR="00C521EF" w:rsidRPr="00AC486E">
        <w:rPr>
          <w:rFonts w:ascii="Arial" w:hAnsi="Arial" w:cs="Arial"/>
          <w:szCs w:val="24"/>
        </w:rPr>
        <w:t>l</w:t>
      </w:r>
      <w:r w:rsidR="009F0617">
        <w:rPr>
          <w:rFonts w:ascii="Arial" w:hAnsi="Arial" w:cs="Arial"/>
          <w:szCs w:val="24"/>
        </w:rPr>
        <w:t>a</w:t>
      </w:r>
      <w:r w:rsidR="00C521EF" w:rsidRPr="00AC486E">
        <w:rPr>
          <w:rFonts w:ascii="Arial" w:hAnsi="Arial" w:cs="Arial"/>
          <w:szCs w:val="24"/>
        </w:rPr>
        <w:t xml:space="preserve"> </w:t>
      </w:r>
      <w:r w:rsidR="009F0617">
        <w:rPr>
          <w:rFonts w:ascii="Arial" w:hAnsi="Arial" w:cs="Arial"/>
          <w:szCs w:val="24"/>
        </w:rPr>
        <w:t>muerte</w:t>
      </w:r>
      <w:r w:rsidR="00C521EF" w:rsidRPr="00AC486E">
        <w:rPr>
          <w:rFonts w:ascii="Arial" w:hAnsi="Arial" w:cs="Arial"/>
          <w:szCs w:val="24"/>
        </w:rPr>
        <w:t>.</w:t>
      </w:r>
    </w:p>
    <w:p w:rsidR="00C521EF" w:rsidRDefault="00C521EF" w:rsidP="00C521EF">
      <w:pPr>
        <w:autoSpaceDE w:val="0"/>
        <w:autoSpaceDN w:val="0"/>
        <w:adjustRightInd w:val="0"/>
        <w:spacing w:line="276" w:lineRule="auto"/>
        <w:contextualSpacing/>
        <w:jc w:val="both"/>
        <w:rPr>
          <w:rFonts w:ascii="Arial" w:hAnsi="Arial" w:cs="Arial"/>
          <w:szCs w:val="24"/>
        </w:rPr>
      </w:pPr>
      <w:r>
        <w:rPr>
          <w:rFonts w:ascii="Arial" w:hAnsi="Arial" w:cs="Arial"/>
          <w:szCs w:val="24"/>
        </w:rPr>
        <w:lastRenderedPageBreak/>
        <w:t xml:space="preserve">Conforme a lo anterior, debe determinarse en primer lugar si dentro de los 3 años anteriores al deceso del señor </w:t>
      </w:r>
      <w:r w:rsidR="002D2217">
        <w:rPr>
          <w:rFonts w:ascii="Arial" w:hAnsi="Arial" w:cs="Arial"/>
          <w:szCs w:val="24"/>
        </w:rPr>
        <w:t>Edgar Ospina Mira</w:t>
      </w:r>
      <w:r>
        <w:rPr>
          <w:rFonts w:ascii="Arial" w:hAnsi="Arial" w:cs="Arial"/>
          <w:szCs w:val="24"/>
        </w:rPr>
        <w:t xml:space="preserve">, comprendido entre el </w:t>
      </w:r>
      <w:r w:rsidR="00722BBF">
        <w:rPr>
          <w:rFonts w:ascii="Arial" w:hAnsi="Arial" w:cs="Arial"/>
          <w:szCs w:val="24"/>
        </w:rPr>
        <w:t>13/03/2013</w:t>
      </w:r>
      <w:r w:rsidR="0068173D">
        <w:rPr>
          <w:rFonts w:ascii="Arial" w:hAnsi="Arial" w:cs="Arial"/>
          <w:szCs w:val="24"/>
        </w:rPr>
        <w:t xml:space="preserve"> </w:t>
      </w:r>
      <w:r>
        <w:rPr>
          <w:rFonts w:ascii="Arial" w:hAnsi="Arial" w:cs="Arial"/>
          <w:szCs w:val="24"/>
        </w:rPr>
        <w:t>y la misma fecha de 20</w:t>
      </w:r>
      <w:r w:rsidR="00722BBF">
        <w:rPr>
          <w:rFonts w:ascii="Arial" w:hAnsi="Arial" w:cs="Arial"/>
          <w:szCs w:val="24"/>
        </w:rPr>
        <w:t>10</w:t>
      </w:r>
      <w:r>
        <w:rPr>
          <w:rFonts w:ascii="Arial" w:hAnsi="Arial" w:cs="Arial"/>
          <w:szCs w:val="24"/>
        </w:rPr>
        <w:t>, alcanzó a reunir 50 semanas de cotización, para lo cual</w:t>
      </w:r>
      <w:r w:rsidR="00E76099">
        <w:rPr>
          <w:rFonts w:ascii="Arial" w:hAnsi="Arial" w:cs="Arial"/>
          <w:szCs w:val="24"/>
        </w:rPr>
        <w:t xml:space="preserve">, debe acudirse a </w:t>
      </w:r>
      <w:r w:rsidR="00722BBF">
        <w:rPr>
          <w:rFonts w:ascii="Arial" w:hAnsi="Arial" w:cs="Arial"/>
          <w:szCs w:val="24"/>
        </w:rPr>
        <w:t>la historia laboral</w:t>
      </w:r>
      <w:r w:rsidR="00E76099">
        <w:rPr>
          <w:rFonts w:ascii="Arial" w:hAnsi="Arial" w:cs="Arial"/>
          <w:szCs w:val="24"/>
        </w:rPr>
        <w:t xml:space="preserve">, </w:t>
      </w:r>
      <w:r>
        <w:rPr>
          <w:rFonts w:ascii="Arial" w:hAnsi="Arial" w:cs="Arial"/>
          <w:szCs w:val="24"/>
        </w:rPr>
        <w:t xml:space="preserve">visible a folios </w:t>
      </w:r>
      <w:r w:rsidR="00722BBF">
        <w:rPr>
          <w:rFonts w:ascii="Arial" w:hAnsi="Arial" w:cs="Arial"/>
          <w:szCs w:val="24"/>
        </w:rPr>
        <w:t xml:space="preserve">77 y s.s. </w:t>
      </w:r>
      <w:r>
        <w:rPr>
          <w:rFonts w:ascii="Arial" w:hAnsi="Arial" w:cs="Arial"/>
          <w:szCs w:val="24"/>
        </w:rPr>
        <w:t>del cuaderno de primer grado, de donde se evidencia que dentro de ese lapso no registra ni una sola cotización</w:t>
      </w:r>
      <w:r w:rsidR="00C90579">
        <w:rPr>
          <w:rFonts w:ascii="Arial" w:hAnsi="Arial" w:cs="Arial"/>
          <w:szCs w:val="24"/>
        </w:rPr>
        <w:t xml:space="preserve">, como quiera que la última fue </w:t>
      </w:r>
      <w:r>
        <w:rPr>
          <w:rFonts w:ascii="Arial" w:hAnsi="Arial" w:cs="Arial"/>
          <w:szCs w:val="24"/>
        </w:rPr>
        <w:t xml:space="preserve">efectuada para el </w:t>
      </w:r>
      <w:r w:rsidR="00722BBF">
        <w:rPr>
          <w:rFonts w:ascii="Arial" w:hAnsi="Arial" w:cs="Arial"/>
          <w:szCs w:val="24"/>
        </w:rPr>
        <w:t>año 1997</w:t>
      </w:r>
      <w:r>
        <w:rPr>
          <w:rFonts w:ascii="Arial" w:hAnsi="Arial" w:cs="Arial"/>
          <w:szCs w:val="24"/>
        </w:rPr>
        <w:t xml:space="preserve">, con lo cual resulta fácil colegir que no satisfizo </w:t>
      </w:r>
      <w:r w:rsidRPr="00AC486E">
        <w:rPr>
          <w:rFonts w:ascii="Arial" w:hAnsi="Arial" w:cs="Arial"/>
          <w:szCs w:val="24"/>
        </w:rPr>
        <w:t>las exigencias del artículo 12 de la Ley 797 de 2003</w:t>
      </w:r>
      <w:r>
        <w:rPr>
          <w:rFonts w:ascii="Arial" w:hAnsi="Arial" w:cs="Arial"/>
          <w:szCs w:val="24"/>
        </w:rPr>
        <w:t>.</w:t>
      </w:r>
    </w:p>
    <w:p w:rsidR="00C521EF" w:rsidRDefault="00C521EF" w:rsidP="00C521EF">
      <w:pPr>
        <w:autoSpaceDE w:val="0"/>
        <w:autoSpaceDN w:val="0"/>
        <w:adjustRightInd w:val="0"/>
        <w:spacing w:line="276" w:lineRule="auto"/>
        <w:contextualSpacing/>
        <w:jc w:val="both"/>
        <w:rPr>
          <w:rFonts w:ascii="Arial" w:hAnsi="Arial" w:cs="Arial"/>
          <w:szCs w:val="24"/>
        </w:rPr>
      </w:pPr>
    </w:p>
    <w:p w:rsidR="00C521EF" w:rsidRDefault="00C521EF" w:rsidP="00C521EF">
      <w:pPr>
        <w:autoSpaceDE w:val="0"/>
        <w:autoSpaceDN w:val="0"/>
        <w:adjustRightInd w:val="0"/>
        <w:spacing w:line="276" w:lineRule="auto"/>
        <w:contextualSpacing/>
        <w:jc w:val="both"/>
        <w:rPr>
          <w:rFonts w:ascii="Arial" w:hAnsi="Arial" w:cs="Arial"/>
          <w:szCs w:val="24"/>
        </w:rPr>
      </w:pPr>
      <w:r>
        <w:rPr>
          <w:rFonts w:ascii="Arial" w:hAnsi="Arial" w:cs="Arial"/>
          <w:szCs w:val="24"/>
        </w:rPr>
        <w:t>Sin embargo, teniendo en cuenta que en el libelo introductorio se depreca la aplicación del principio de la condición más beneficiosa, se analizará su procedibilidad en el caso concreto.</w:t>
      </w:r>
    </w:p>
    <w:p w:rsidR="00E84DB5" w:rsidRDefault="00E84DB5" w:rsidP="00C521EF">
      <w:pPr>
        <w:autoSpaceDE w:val="0"/>
        <w:autoSpaceDN w:val="0"/>
        <w:adjustRightInd w:val="0"/>
        <w:spacing w:line="276" w:lineRule="auto"/>
        <w:contextualSpacing/>
        <w:jc w:val="both"/>
        <w:rPr>
          <w:rFonts w:ascii="Arial" w:hAnsi="Arial" w:cs="Arial"/>
          <w:szCs w:val="24"/>
        </w:rPr>
      </w:pPr>
    </w:p>
    <w:p w:rsidR="00C521EF" w:rsidRDefault="00C521EF" w:rsidP="00C521EF">
      <w:pPr>
        <w:autoSpaceDE w:val="0"/>
        <w:autoSpaceDN w:val="0"/>
        <w:adjustRightInd w:val="0"/>
        <w:spacing w:line="276" w:lineRule="auto"/>
        <w:contextualSpacing/>
        <w:jc w:val="both"/>
        <w:rPr>
          <w:rFonts w:ascii="Arial" w:hAnsi="Arial" w:cs="Arial"/>
          <w:szCs w:val="24"/>
        </w:rPr>
      </w:pPr>
      <w:r>
        <w:rPr>
          <w:rFonts w:ascii="Arial" w:hAnsi="Arial" w:cs="Arial"/>
          <w:szCs w:val="24"/>
        </w:rPr>
        <w:t>Así pues, frente a este aspecto, recientemente ha sostenido la Sala de Casación Laboral de Corte Suprema de Justicia que</w:t>
      </w:r>
      <w:r w:rsidRPr="00DD3634">
        <w:rPr>
          <w:rStyle w:val="Appelnotedebasdep"/>
          <w:rFonts w:ascii="Arial" w:hAnsi="Arial" w:cs="Arial"/>
          <w:szCs w:val="24"/>
        </w:rPr>
        <w:footnoteReference w:id="4"/>
      </w:r>
      <w:r w:rsidRPr="00DD3634">
        <w:rPr>
          <w:rFonts w:ascii="Arial" w:hAnsi="Arial" w:cs="Arial"/>
          <w:szCs w:val="24"/>
        </w:rPr>
        <w:t>:</w:t>
      </w:r>
    </w:p>
    <w:p w:rsidR="00C521EF" w:rsidRDefault="00C521EF" w:rsidP="00C521EF">
      <w:pPr>
        <w:autoSpaceDE w:val="0"/>
        <w:autoSpaceDN w:val="0"/>
        <w:adjustRightInd w:val="0"/>
        <w:spacing w:line="276" w:lineRule="auto"/>
        <w:ind w:firstLine="858"/>
        <w:contextualSpacing/>
        <w:jc w:val="both"/>
        <w:rPr>
          <w:rFonts w:ascii="Arial" w:hAnsi="Arial" w:cs="Arial"/>
          <w:szCs w:val="24"/>
        </w:rPr>
      </w:pPr>
    </w:p>
    <w:p w:rsidR="00C521EF" w:rsidRPr="00080F7F" w:rsidRDefault="00C521EF" w:rsidP="00C521EF">
      <w:pPr>
        <w:widowControl w:val="0"/>
        <w:autoSpaceDE w:val="0"/>
        <w:autoSpaceDN w:val="0"/>
        <w:adjustRightInd w:val="0"/>
        <w:ind w:left="283"/>
        <w:jc w:val="both"/>
        <w:rPr>
          <w:rFonts w:ascii="Arial" w:hAnsi="Arial" w:cs="Arial"/>
          <w:i/>
          <w:color w:val="000000"/>
          <w:sz w:val="22"/>
          <w:szCs w:val="22"/>
        </w:rPr>
      </w:pPr>
      <w:r>
        <w:rPr>
          <w:rFonts w:ascii="Arial" w:hAnsi="Arial" w:cs="Arial"/>
          <w:i/>
          <w:color w:val="000000"/>
          <w:sz w:val="22"/>
          <w:szCs w:val="22"/>
        </w:rPr>
        <w:t>“</w:t>
      </w:r>
      <w:r w:rsidRPr="00080F7F">
        <w:rPr>
          <w:rFonts w:ascii="Arial" w:hAnsi="Arial" w:cs="Arial"/>
          <w:i/>
          <w:color w:val="000000"/>
          <w:sz w:val="22"/>
          <w:szCs w:val="22"/>
        </w:rPr>
        <w:t>Tiene dicho la Corte, de manera reiterada, que la norma aplicable para resolver la pretensión de acceder a una pensión de sobrevivientes, es la vigente al momento en que se produce la muerte del asegurado o pensionado, de manera que no se equivocó el tribunal al determinar que la norma que resolvía la controversia era la Ley 797 de 2003, por cuanto el fallecimiento del señor José Alfonso Sánchez  Espinosa, ocurrió bajo su vigencia.</w:t>
      </w:r>
    </w:p>
    <w:p w:rsidR="00C521EF" w:rsidRPr="00080F7F" w:rsidRDefault="00C521EF" w:rsidP="00C521EF">
      <w:pPr>
        <w:widowControl w:val="0"/>
        <w:autoSpaceDE w:val="0"/>
        <w:autoSpaceDN w:val="0"/>
        <w:adjustRightInd w:val="0"/>
        <w:ind w:left="283" w:firstLine="709"/>
        <w:jc w:val="both"/>
        <w:rPr>
          <w:rFonts w:ascii="Arial" w:hAnsi="Arial" w:cs="Arial"/>
          <w:i/>
          <w:color w:val="000000"/>
          <w:sz w:val="22"/>
          <w:szCs w:val="22"/>
        </w:rPr>
      </w:pPr>
    </w:p>
    <w:p w:rsidR="00C521EF" w:rsidRPr="00080F7F" w:rsidRDefault="00C521EF" w:rsidP="00C521EF">
      <w:pPr>
        <w:widowControl w:val="0"/>
        <w:autoSpaceDE w:val="0"/>
        <w:autoSpaceDN w:val="0"/>
        <w:adjustRightInd w:val="0"/>
        <w:ind w:left="283"/>
        <w:jc w:val="both"/>
        <w:rPr>
          <w:rFonts w:ascii="Arial" w:hAnsi="Arial" w:cs="Arial"/>
          <w:i/>
          <w:color w:val="000000"/>
          <w:sz w:val="22"/>
          <w:szCs w:val="22"/>
        </w:rPr>
      </w:pPr>
      <w:r w:rsidRPr="00080F7F">
        <w:rPr>
          <w:rFonts w:ascii="Arial" w:hAnsi="Arial" w:cs="Arial"/>
          <w:i/>
          <w:color w:val="000000"/>
          <w:sz w:val="22"/>
          <w:szCs w:val="22"/>
        </w:rPr>
        <w:t xml:space="preserve">Ahora bien,  excepcionalmente la Corte ha definido que  en ciertas ocasiones resulta viable la aplicación de la norma anterior a las situaciones fácticas atrás referidas, pero solo frente al Acuerdo 049 de 1990 y Ley 100 de 1993 en su redacción original. </w:t>
      </w:r>
    </w:p>
    <w:p w:rsidR="00C521EF" w:rsidRPr="00080F7F" w:rsidRDefault="00C521EF" w:rsidP="00C521EF">
      <w:pPr>
        <w:widowControl w:val="0"/>
        <w:autoSpaceDE w:val="0"/>
        <w:autoSpaceDN w:val="0"/>
        <w:adjustRightInd w:val="0"/>
        <w:ind w:left="283" w:firstLine="709"/>
        <w:jc w:val="both"/>
        <w:rPr>
          <w:rFonts w:ascii="Arial" w:hAnsi="Arial" w:cs="Arial"/>
          <w:i/>
          <w:color w:val="000000"/>
          <w:sz w:val="22"/>
          <w:szCs w:val="22"/>
        </w:rPr>
      </w:pPr>
    </w:p>
    <w:p w:rsidR="00C521EF" w:rsidRPr="00080F7F" w:rsidRDefault="00C521EF" w:rsidP="00C521EF">
      <w:pPr>
        <w:widowControl w:val="0"/>
        <w:ind w:left="283"/>
        <w:jc w:val="both"/>
        <w:rPr>
          <w:rFonts w:ascii="Arial" w:hAnsi="Arial" w:cs="Arial"/>
          <w:i/>
          <w:color w:val="000000"/>
          <w:sz w:val="22"/>
          <w:szCs w:val="22"/>
        </w:rPr>
      </w:pPr>
      <w:r w:rsidRPr="00080F7F">
        <w:rPr>
          <w:rFonts w:ascii="Arial" w:hAnsi="Arial" w:cs="Arial"/>
          <w:i/>
          <w:color w:val="000000"/>
          <w:sz w:val="22"/>
          <w:szCs w:val="22"/>
        </w:rPr>
        <w:t>Sin embargo, la citada excepción no acontece en el caso bajo examen, por cuanto la norma inmediatamente anterior a la Ley 797 de 2003 era la Ley 100 de 1993 en su primer texto, y no el Acuerdo 049 de 1990,  por lo que no podía aplicarse al caso bajo examen esta figura jurisprudencial, en tanto como lo ha asentado la Sala, entre otras:</w:t>
      </w:r>
    </w:p>
    <w:p w:rsidR="00C521EF" w:rsidRPr="00080F7F" w:rsidRDefault="00C521EF" w:rsidP="00C521EF">
      <w:pPr>
        <w:widowControl w:val="0"/>
        <w:ind w:firstLine="709"/>
        <w:jc w:val="both"/>
        <w:rPr>
          <w:rFonts w:ascii="Arial" w:hAnsi="Arial" w:cs="Arial"/>
          <w:i/>
          <w:color w:val="000000"/>
          <w:sz w:val="22"/>
          <w:szCs w:val="22"/>
        </w:rPr>
      </w:pPr>
    </w:p>
    <w:p w:rsidR="00C521EF" w:rsidRPr="00080F7F" w:rsidRDefault="00C521EF" w:rsidP="00C521EF">
      <w:pPr>
        <w:widowControl w:val="0"/>
        <w:ind w:left="567" w:firstLine="709"/>
        <w:jc w:val="both"/>
        <w:rPr>
          <w:rFonts w:ascii="Arial" w:hAnsi="Arial" w:cs="Arial"/>
          <w:i/>
          <w:color w:val="000000"/>
          <w:sz w:val="22"/>
          <w:szCs w:val="22"/>
        </w:rPr>
      </w:pPr>
      <w:r w:rsidRPr="00080F7F">
        <w:rPr>
          <w:rFonts w:ascii="Arial" w:hAnsi="Arial" w:cs="Arial"/>
          <w:i/>
          <w:color w:val="000000"/>
          <w:sz w:val="22"/>
          <w:szCs w:val="22"/>
        </w:rPr>
        <w:t>(…) no es admisible aducir, como parámetro para la aplicación de la condición más beneficiosa, cualquier norma legal que haya regulado el asunto en algún momento pretérito en que se ha desarrollado la vinculación de la persona con el sistema de la seguridad social… Lo que no puede el juez es desplegar un ejercicio histórico, a fin de encontrar alguna otra legislación, más allá de la Ley 100 de 1993 que haya precedido –a su vez- a la norma anteriormente derogada por la que viene al caso,  para darle una especie de efectos “</w:t>
      </w:r>
      <w:proofErr w:type="spellStart"/>
      <w:r w:rsidRPr="00080F7F">
        <w:rPr>
          <w:rFonts w:ascii="Arial" w:hAnsi="Arial" w:cs="Arial"/>
          <w:i/>
          <w:color w:val="000000"/>
          <w:sz w:val="22"/>
          <w:szCs w:val="22"/>
        </w:rPr>
        <w:t>plusultractivos</w:t>
      </w:r>
      <w:proofErr w:type="spellEnd"/>
      <w:r w:rsidRPr="00080F7F">
        <w:rPr>
          <w:rFonts w:ascii="Arial" w:hAnsi="Arial" w:cs="Arial"/>
          <w:i/>
          <w:color w:val="000000"/>
          <w:sz w:val="22"/>
          <w:szCs w:val="22"/>
        </w:rPr>
        <w:t xml:space="preserve">”, que resquebraja el valor de la seguridad jurídica. He allí la razón por la cual la Corte se ha negado a aplicar la condición más beneficiosa en los procesos decididos por las sentencias del 3 de diciembre de 2007 (rad. 28876) y 20 de febrero de 2008 (rad. 3264[9])”. </w:t>
      </w:r>
    </w:p>
    <w:p w:rsidR="00C521EF" w:rsidRPr="00DD3634" w:rsidRDefault="00C521EF" w:rsidP="00C521EF">
      <w:pPr>
        <w:ind w:left="567" w:right="20"/>
        <w:contextualSpacing/>
        <w:jc w:val="both"/>
        <w:rPr>
          <w:rFonts w:ascii="Arial" w:hAnsi="Arial" w:cs="Arial"/>
          <w:i/>
          <w:sz w:val="22"/>
          <w:szCs w:val="22"/>
        </w:rPr>
      </w:pPr>
    </w:p>
    <w:p w:rsidR="00C521EF" w:rsidRDefault="00C521EF"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r w:rsidRPr="00D578CB">
        <w:rPr>
          <w:rFonts w:ascii="Arial" w:hAnsi="Arial" w:cs="Arial"/>
          <w:szCs w:val="24"/>
        </w:rPr>
        <w:t xml:space="preserve">Del extracto jurisprudencial transcrito, puede concluirse que </w:t>
      </w:r>
      <w:r w:rsidRPr="007B1977">
        <w:rPr>
          <w:rFonts w:ascii="Arial" w:hAnsi="Arial" w:cs="Arial"/>
          <w:color w:val="000000"/>
          <w:szCs w:val="24"/>
          <w:lang w:val="es-ES"/>
        </w:rPr>
        <w:t>el principio de la condición más beneficiosa no le permite al juzgador aplicar a un caso en particular cualquier norma legal que en el pasado haya regulado el asunto, sino que, de darse las condiciones necesarias para su aplicación, ello sería respecto a la norma inmediatamente anterior a la vigente en el momento</w:t>
      </w:r>
      <w:r>
        <w:rPr>
          <w:rFonts w:ascii="Arial" w:hAnsi="Arial" w:cs="Arial"/>
          <w:color w:val="000000"/>
          <w:szCs w:val="24"/>
          <w:lang w:val="es-ES"/>
        </w:rPr>
        <w:t xml:space="preserve"> en que se estructuró el derecho, tesis que se comparte y no la de la Corte Constitucional, por ser aquel el órgano de cierre de la jurisdicción laboral.</w:t>
      </w:r>
    </w:p>
    <w:p w:rsidR="00C521EF" w:rsidRPr="00FA5FE5" w:rsidRDefault="00C521EF"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r w:rsidRPr="00FA5FE5">
        <w:rPr>
          <w:rFonts w:ascii="Arial" w:hAnsi="Arial" w:cs="Arial"/>
          <w:color w:val="000000"/>
          <w:szCs w:val="24"/>
          <w:lang w:val="es-ES"/>
        </w:rPr>
        <w:lastRenderedPageBreak/>
        <w:t>Respecto del valor normativo de las sentencias de la Corte Suprema de Justicia, inclusive, su homóloga constitucional ha manifestado</w:t>
      </w:r>
      <w:r w:rsidRPr="00FA5FE5">
        <w:rPr>
          <w:rStyle w:val="Appelnotedebasdep"/>
          <w:rFonts w:ascii="Arial" w:hAnsi="Arial" w:cs="Arial"/>
          <w:color w:val="000000"/>
          <w:szCs w:val="24"/>
          <w:lang w:val="es-ES"/>
        </w:rPr>
        <w:footnoteReference w:id="5"/>
      </w:r>
      <w:r w:rsidRPr="00FA5FE5">
        <w:rPr>
          <w:rFonts w:ascii="Arial" w:hAnsi="Arial" w:cs="Arial"/>
          <w:color w:val="000000"/>
          <w:szCs w:val="24"/>
          <w:lang w:val="es-ES"/>
        </w:rPr>
        <w:t xml:space="preserve"> que las decisiones adoptadas por la primera, deben ser atendidas por todos los jueces que conforman esa jurisdicción, sin que puedan apartarse de ellas a su arbitrio, pues ello solo es posible bajo un sólido argumento justificativo.</w:t>
      </w:r>
    </w:p>
    <w:p w:rsidR="00FA5FE5" w:rsidRPr="00FA5FE5" w:rsidRDefault="00FA5FE5"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C521EF" w:rsidRDefault="00C521EF"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r w:rsidRPr="00FA5FE5">
        <w:rPr>
          <w:rFonts w:ascii="Arial" w:hAnsi="Arial" w:cs="Arial"/>
          <w:color w:val="000000"/>
          <w:szCs w:val="24"/>
          <w:lang w:val="es-ES"/>
        </w:rPr>
        <w:t>Ahora, frente a las sentencias de tutela proferidas por el Tribunal Constitucional, no existe duda que las mismas producen efectos inter partes</w:t>
      </w:r>
      <w:r w:rsidR="000757E9">
        <w:rPr>
          <w:rStyle w:val="Appelnotedebasdep"/>
          <w:rFonts w:ascii="Arial" w:hAnsi="Arial" w:cs="Arial"/>
          <w:color w:val="000000"/>
          <w:szCs w:val="24"/>
          <w:lang w:val="es-ES"/>
        </w:rPr>
        <w:footnoteReference w:id="6"/>
      </w:r>
      <w:r w:rsidRPr="00FA5FE5">
        <w:rPr>
          <w:rFonts w:ascii="Arial" w:hAnsi="Arial" w:cs="Arial"/>
          <w:color w:val="000000"/>
          <w:szCs w:val="24"/>
          <w:lang w:val="es-ES"/>
        </w:rPr>
        <w:t>, pero acerca de las sentencias de unificación dictadas por esa misma Corporación, si bien revisten carácter obligatorio, ha de entenderse que lo es dentro de la esfera constitucional y no dentro del conocimiento de los procesos ordinarios, sin perjuicio de que puedan acatarse al compartirse sus argumentaciones, que no es este el caso.</w:t>
      </w:r>
    </w:p>
    <w:p w:rsidR="00E84DB5" w:rsidRPr="00D578CB" w:rsidRDefault="00E84DB5" w:rsidP="00C521EF">
      <w:pPr>
        <w:tabs>
          <w:tab w:val="left" w:pos="1230"/>
        </w:tabs>
        <w:autoSpaceDE w:val="0"/>
        <w:autoSpaceDN w:val="0"/>
        <w:adjustRightInd w:val="0"/>
        <w:spacing w:line="276" w:lineRule="auto"/>
        <w:contextualSpacing/>
        <w:jc w:val="both"/>
        <w:rPr>
          <w:rFonts w:ascii="Arial" w:hAnsi="Arial" w:cs="Arial"/>
          <w:szCs w:val="24"/>
        </w:rPr>
      </w:pPr>
    </w:p>
    <w:p w:rsidR="00C521EF" w:rsidRDefault="000757E9" w:rsidP="00C521EF">
      <w:pPr>
        <w:autoSpaceDE w:val="0"/>
        <w:autoSpaceDN w:val="0"/>
        <w:adjustRightInd w:val="0"/>
        <w:spacing w:line="276" w:lineRule="auto"/>
        <w:contextualSpacing/>
        <w:jc w:val="both"/>
        <w:rPr>
          <w:rFonts w:ascii="Arial" w:hAnsi="Arial" w:cs="Arial"/>
          <w:color w:val="000000"/>
          <w:szCs w:val="24"/>
          <w:lang w:val="es-ES"/>
        </w:rPr>
      </w:pPr>
      <w:r>
        <w:rPr>
          <w:rFonts w:ascii="Arial" w:hAnsi="Arial" w:cs="Arial"/>
          <w:szCs w:val="24"/>
        </w:rPr>
        <w:t xml:space="preserve">2.2. </w:t>
      </w:r>
      <w:r w:rsidR="00C521EF" w:rsidRPr="00D578CB">
        <w:rPr>
          <w:rFonts w:ascii="Arial" w:hAnsi="Arial" w:cs="Arial"/>
          <w:szCs w:val="24"/>
        </w:rPr>
        <w:t>E</w:t>
      </w:r>
      <w:r w:rsidR="00C521EF">
        <w:rPr>
          <w:rFonts w:ascii="Arial" w:hAnsi="Arial" w:cs="Arial"/>
          <w:szCs w:val="24"/>
        </w:rPr>
        <w:t>n</w:t>
      </w:r>
      <w:r w:rsidR="00652D0D">
        <w:rPr>
          <w:rFonts w:ascii="Arial" w:hAnsi="Arial" w:cs="Arial"/>
          <w:szCs w:val="24"/>
        </w:rPr>
        <w:t xml:space="preserve"> este orden de ideas, para el </w:t>
      </w:r>
      <w:r w:rsidR="00722BBF">
        <w:rPr>
          <w:rFonts w:ascii="Arial" w:hAnsi="Arial" w:cs="Arial"/>
          <w:szCs w:val="24"/>
        </w:rPr>
        <w:t>13/03/2013</w:t>
      </w:r>
      <w:r w:rsidR="00C521EF" w:rsidRPr="00D578CB">
        <w:rPr>
          <w:rFonts w:ascii="Arial" w:hAnsi="Arial" w:cs="Arial"/>
          <w:szCs w:val="24"/>
        </w:rPr>
        <w:t xml:space="preserve">, la norma vigente era la Ley 797 de 2003, por lo que la disposición inmediatamente anterior resulta ser la Ley 100 de 1993 en su versión original, </w:t>
      </w:r>
      <w:r w:rsidR="00C521EF" w:rsidRPr="007B1977">
        <w:rPr>
          <w:rFonts w:ascii="Arial" w:hAnsi="Arial" w:cs="Arial"/>
          <w:color w:val="000000"/>
          <w:szCs w:val="24"/>
          <w:lang w:val="es-ES"/>
        </w:rPr>
        <w:t>c</w:t>
      </w:r>
      <w:r w:rsidR="00C521EF">
        <w:rPr>
          <w:rFonts w:ascii="Arial" w:hAnsi="Arial" w:cs="Arial"/>
          <w:color w:val="000000"/>
          <w:szCs w:val="24"/>
          <w:lang w:val="es-ES"/>
        </w:rPr>
        <w:t xml:space="preserve">uyas exigencias tampoco se reunían </w:t>
      </w:r>
      <w:r w:rsidR="00C521EF" w:rsidRPr="007B1977">
        <w:rPr>
          <w:rFonts w:ascii="Arial" w:hAnsi="Arial" w:cs="Arial"/>
          <w:color w:val="000000"/>
          <w:szCs w:val="24"/>
          <w:lang w:val="es-ES"/>
        </w:rPr>
        <w:t xml:space="preserve">en este </w:t>
      </w:r>
      <w:r w:rsidR="00C521EF">
        <w:rPr>
          <w:rFonts w:ascii="Arial" w:hAnsi="Arial" w:cs="Arial"/>
          <w:color w:val="000000"/>
          <w:szCs w:val="24"/>
          <w:lang w:val="es-ES"/>
        </w:rPr>
        <w:t>asunto</w:t>
      </w:r>
      <w:r w:rsidR="00C521EF" w:rsidRPr="007B1977">
        <w:rPr>
          <w:rFonts w:ascii="Arial" w:hAnsi="Arial" w:cs="Arial"/>
          <w:color w:val="000000"/>
          <w:szCs w:val="24"/>
          <w:lang w:val="es-ES"/>
        </w:rPr>
        <w:t xml:space="preserve">, pues según la </w:t>
      </w:r>
      <w:r w:rsidR="00652D0D">
        <w:rPr>
          <w:rFonts w:ascii="Arial" w:hAnsi="Arial" w:cs="Arial"/>
          <w:color w:val="000000"/>
          <w:szCs w:val="24"/>
          <w:lang w:val="es-ES"/>
        </w:rPr>
        <w:t xml:space="preserve">información que reposa en el expediente </w:t>
      </w:r>
      <w:r w:rsidR="00C521EF" w:rsidRPr="007B1977">
        <w:rPr>
          <w:rFonts w:ascii="Arial" w:hAnsi="Arial" w:cs="Arial"/>
          <w:color w:val="000000"/>
          <w:szCs w:val="24"/>
          <w:lang w:val="es-ES"/>
        </w:rPr>
        <w:t>el</w:t>
      </w:r>
      <w:r w:rsidR="00C521EF">
        <w:rPr>
          <w:rFonts w:ascii="Arial" w:hAnsi="Arial" w:cs="Arial"/>
          <w:color w:val="000000"/>
          <w:szCs w:val="24"/>
          <w:lang w:val="es-ES"/>
        </w:rPr>
        <w:t xml:space="preserve"> afiliado</w:t>
      </w:r>
      <w:r w:rsidR="00C521EF" w:rsidRPr="007B1977">
        <w:rPr>
          <w:rFonts w:ascii="Arial" w:hAnsi="Arial" w:cs="Arial"/>
          <w:color w:val="000000"/>
          <w:szCs w:val="24"/>
          <w:lang w:val="es-ES"/>
        </w:rPr>
        <w:t xml:space="preserve"> fallecid</w:t>
      </w:r>
      <w:r w:rsidR="00C521EF">
        <w:rPr>
          <w:rFonts w:ascii="Arial" w:hAnsi="Arial" w:cs="Arial"/>
          <w:color w:val="000000"/>
          <w:szCs w:val="24"/>
          <w:lang w:val="es-ES"/>
        </w:rPr>
        <w:t>o</w:t>
      </w:r>
      <w:r w:rsidR="00652D0D">
        <w:rPr>
          <w:rFonts w:ascii="Arial" w:hAnsi="Arial" w:cs="Arial"/>
          <w:color w:val="000000"/>
          <w:szCs w:val="24"/>
          <w:lang w:val="es-ES"/>
        </w:rPr>
        <w:t xml:space="preserve"> </w:t>
      </w:r>
      <w:r w:rsidR="00C521EF" w:rsidRPr="007B1977">
        <w:rPr>
          <w:rFonts w:ascii="Arial" w:hAnsi="Arial" w:cs="Arial"/>
          <w:color w:val="000000"/>
          <w:szCs w:val="24"/>
          <w:lang w:val="es-ES"/>
        </w:rPr>
        <w:t xml:space="preserve">al momento de </w:t>
      </w:r>
      <w:r w:rsidR="00652D0D">
        <w:rPr>
          <w:rFonts w:ascii="Arial" w:hAnsi="Arial" w:cs="Arial"/>
          <w:color w:val="000000"/>
          <w:szCs w:val="24"/>
          <w:lang w:val="es-ES"/>
        </w:rPr>
        <w:t>su m</w:t>
      </w:r>
      <w:r w:rsidR="00C521EF" w:rsidRPr="007B1977">
        <w:rPr>
          <w:rFonts w:ascii="Arial" w:hAnsi="Arial" w:cs="Arial"/>
          <w:color w:val="000000"/>
          <w:szCs w:val="24"/>
          <w:lang w:val="es-ES"/>
        </w:rPr>
        <w:t xml:space="preserve">uerte, no se encontraba cotizando </w:t>
      </w:r>
      <w:r w:rsidR="00260C0B">
        <w:rPr>
          <w:rFonts w:ascii="Arial" w:hAnsi="Arial" w:cs="Arial"/>
          <w:color w:val="000000"/>
          <w:szCs w:val="24"/>
          <w:lang w:val="es-ES"/>
        </w:rPr>
        <w:t>y no</w:t>
      </w:r>
      <w:r w:rsidR="00C521EF" w:rsidRPr="007B1977">
        <w:rPr>
          <w:rFonts w:ascii="Arial" w:hAnsi="Arial" w:cs="Arial"/>
          <w:color w:val="000000"/>
          <w:szCs w:val="24"/>
          <w:lang w:val="es-ES"/>
        </w:rPr>
        <w:t xml:space="preserve"> reportaba aportes por 26 semanas dentro del año inmediatamente anterior a esa fecha, como</w:t>
      </w:r>
      <w:r w:rsidR="00260C0B">
        <w:rPr>
          <w:rFonts w:ascii="Arial" w:hAnsi="Arial" w:cs="Arial"/>
          <w:color w:val="000000"/>
          <w:szCs w:val="24"/>
          <w:lang w:val="es-ES"/>
        </w:rPr>
        <w:t xml:space="preserve">  </w:t>
      </w:r>
      <w:r w:rsidR="00C521EF" w:rsidRPr="007B1977">
        <w:rPr>
          <w:rFonts w:ascii="Arial" w:hAnsi="Arial" w:cs="Arial"/>
          <w:color w:val="000000"/>
          <w:szCs w:val="24"/>
          <w:lang w:val="es-ES"/>
        </w:rPr>
        <w:t>lo exigía la norma en cuestión</w:t>
      </w:r>
      <w:r w:rsidR="00260C0B">
        <w:rPr>
          <w:rFonts w:ascii="Arial" w:hAnsi="Arial" w:cs="Arial"/>
          <w:color w:val="000000"/>
          <w:szCs w:val="24"/>
          <w:lang w:val="es-ES"/>
        </w:rPr>
        <w:t>,</w:t>
      </w:r>
      <w:r w:rsidR="00260C0B" w:rsidRPr="00260C0B">
        <w:rPr>
          <w:rFonts w:ascii="Arial" w:hAnsi="Arial" w:cs="Arial"/>
          <w:color w:val="000000"/>
          <w:szCs w:val="24"/>
          <w:lang w:val="es-ES"/>
        </w:rPr>
        <w:t xml:space="preserve"> </w:t>
      </w:r>
      <w:r w:rsidR="00260C0B">
        <w:rPr>
          <w:rFonts w:ascii="Arial" w:hAnsi="Arial" w:cs="Arial"/>
          <w:color w:val="000000"/>
          <w:szCs w:val="24"/>
          <w:lang w:val="es-ES"/>
        </w:rPr>
        <w:t>tampoco con anterioridad a la vigencia de la Ley 797 de 2003</w:t>
      </w:r>
      <w:r w:rsidR="00C521EF" w:rsidRPr="00D578CB">
        <w:rPr>
          <w:rFonts w:ascii="Arial" w:hAnsi="Arial" w:cs="Arial"/>
          <w:color w:val="000000"/>
          <w:szCs w:val="24"/>
          <w:lang w:val="es-ES"/>
        </w:rPr>
        <w:t xml:space="preserve">, toda vez que la última cotización realizada fue la del </w:t>
      </w:r>
      <w:r w:rsidR="00722BBF">
        <w:rPr>
          <w:rFonts w:ascii="Arial" w:hAnsi="Arial" w:cs="Arial"/>
          <w:color w:val="000000"/>
          <w:szCs w:val="24"/>
          <w:lang w:val="es-ES"/>
        </w:rPr>
        <w:t xml:space="preserve">diciembre </w:t>
      </w:r>
      <w:r w:rsidR="00C521EF" w:rsidRPr="00D578CB">
        <w:rPr>
          <w:rFonts w:ascii="Arial" w:hAnsi="Arial" w:cs="Arial"/>
          <w:color w:val="000000"/>
          <w:szCs w:val="24"/>
          <w:lang w:val="es-ES"/>
        </w:rPr>
        <w:t xml:space="preserve">de </w:t>
      </w:r>
      <w:r w:rsidR="00722BBF">
        <w:rPr>
          <w:rFonts w:ascii="Arial" w:hAnsi="Arial" w:cs="Arial"/>
          <w:color w:val="000000"/>
          <w:szCs w:val="24"/>
          <w:lang w:val="es-ES"/>
        </w:rPr>
        <w:t>1997</w:t>
      </w:r>
      <w:r w:rsidR="00652D0D">
        <w:rPr>
          <w:rFonts w:ascii="Arial" w:hAnsi="Arial" w:cs="Arial"/>
          <w:color w:val="000000"/>
          <w:szCs w:val="24"/>
          <w:lang w:val="es-ES"/>
        </w:rPr>
        <w:t>, como se refirió previamente</w:t>
      </w:r>
      <w:r w:rsidR="00C521EF" w:rsidRPr="007B1977">
        <w:rPr>
          <w:rFonts w:ascii="Arial" w:hAnsi="Arial" w:cs="Arial"/>
          <w:color w:val="000000"/>
          <w:szCs w:val="24"/>
          <w:lang w:val="es-ES"/>
        </w:rPr>
        <w:t>.</w:t>
      </w:r>
    </w:p>
    <w:p w:rsidR="00135B19" w:rsidRDefault="00135B19" w:rsidP="00C521EF">
      <w:pPr>
        <w:autoSpaceDE w:val="0"/>
        <w:autoSpaceDN w:val="0"/>
        <w:adjustRightInd w:val="0"/>
        <w:spacing w:line="276" w:lineRule="auto"/>
        <w:contextualSpacing/>
        <w:jc w:val="both"/>
        <w:rPr>
          <w:rFonts w:ascii="Arial" w:hAnsi="Arial" w:cs="Arial"/>
          <w:color w:val="000000"/>
          <w:szCs w:val="24"/>
          <w:lang w:val="es-ES"/>
        </w:rPr>
      </w:pPr>
    </w:p>
    <w:p w:rsidR="00C521EF" w:rsidRPr="005A3BF8" w:rsidRDefault="00C521EF" w:rsidP="00C521EF">
      <w:pPr>
        <w:autoSpaceDE w:val="0"/>
        <w:autoSpaceDN w:val="0"/>
        <w:adjustRightInd w:val="0"/>
        <w:spacing w:line="276" w:lineRule="auto"/>
        <w:contextualSpacing/>
        <w:jc w:val="both"/>
        <w:rPr>
          <w:rFonts w:ascii="Arial" w:hAnsi="Arial" w:cs="Arial"/>
          <w:sz w:val="22"/>
          <w:szCs w:val="22"/>
        </w:rPr>
      </w:pPr>
      <w:r w:rsidRPr="001F00C4">
        <w:rPr>
          <w:rFonts w:ascii="Arial" w:hAnsi="Arial" w:cs="Arial"/>
          <w:color w:val="000000"/>
          <w:szCs w:val="24"/>
          <w:lang w:val="es-ES"/>
        </w:rPr>
        <w:t>Aunado a lo anterior, el Acto Legislativo 01 de 2005 dispone en la parte final del inciso 4</w:t>
      </w:r>
      <w:r w:rsidRPr="001F00C4">
        <w:rPr>
          <w:rFonts w:ascii="Arial" w:hAnsi="Arial" w:cs="Arial"/>
          <w:color w:val="000000"/>
          <w:sz w:val="22"/>
          <w:szCs w:val="22"/>
          <w:lang w:val="es-ES"/>
        </w:rPr>
        <w:t>° que “</w:t>
      </w:r>
      <w:r w:rsidRPr="001F00C4">
        <w:rPr>
          <w:rFonts w:ascii="Arial" w:hAnsi="Arial" w:cs="Arial"/>
          <w:i/>
          <w:color w:val="000000"/>
          <w:sz w:val="22"/>
          <w:szCs w:val="22"/>
          <w:shd w:val="clear" w:color="auto" w:fill="FFFFFF"/>
        </w:rPr>
        <w:t>Los requisitos y beneficios para adquirir el derecho a una pensión de invalidez o de sobrevivencia serán los establecidos por las leyes del Sistema General de Pensiones",</w:t>
      </w:r>
      <w:r>
        <w:t xml:space="preserve"> </w:t>
      </w:r>
      <w:r w:rsidRPr="001F00C4">
        <w:rPr>
          <w:rFonts w:ascii="Arial" w:hAnsi="Arial" w:cs="Arial"/>
          <w:szCs w:val="24"/>
          <w:lang w:val="es-AR"/>
        </w:rPr>
        <w:t>creado con la expedición de la Ley 100 de 1993</w:t>
      </w:r>
      <w:r w:rsidRPr="001F00C4">
        <w:rPr>
          <w:rFonts w:ascii="Arial" w:hAnsi="Arial" w:cs="Arial"/>
          <w:i/>
          <w:color w:val="000000"/>
          <w:szCs w:val="24"/>
          <w:shd w:val="clear" w:color="auto" w:fill="FFFFFF"/>
        </w:rPr>
        <w:t xml:space="preserve"> </w:t>
      </w:r>
      <w:r w:rsidRPr="001F00C4">
        <w:rPr>
          <w:rFonts w:ascii="Arial" w:hAnsi="Arial" w:cs="Arial"/>
          <w:color w:val="000000"/>
          <w:szCs w:val="24"/>
          <w:shd w:val="clear" w:color="auto" w:fill="FFFFFF"/>
        </w:rPr>
        <w:t xml:space="preserve">y desarrollado a partir del artículo 10 </w:t>
      </w:r>
      <w:r w:rsidRPr="001F00C4">
        <w:rPr>
          <w:rFonts w:ascii="Arial" w:hAnsi="Arial" w:cs="Arial"/>
          <w:i/>
          <w:color w:val="000000"/>
          <w:szCs w:val="24"/>
          <w:shd w:val="clear" w:color="auto" w:fill="FFFFFF"/>
        </w:rPr>
        <w:t>ibídem</w:t>
      </w:r>
      <w:r>
        <w:rPr>
          <w:rFonts w:ascii="Arial" w:hAnsi="Arial" w:cs="Arial"/>
          <w:color w:val="000000"/>
          <w:szCs w:val="24"/>
          <w:shd w:val="clear" w:color="auto" w:fill="FFFFFF"/>
        </w:rPr>
        <w:t xml:space="preserve">, lo que significa que </w:t>
      </w:r>
      <w:proofErr w:type="spellStart"/>
      <w:r>
        <w:rPr>
          <w:rFonts w:ascii="Arial" w:hAnsi="Arial" w:cs="Arial"/>
          <w:color w:val="000000"/>
          <w:szCs w:val="24"/>
          <w:shd w:val="clear" w:color="auto" w:fill="FFFFFF"/>
        </w:rPr>
        <w:t>el</w:t>
      </w:r>
      <w:proofErr w:type="spellEnd"/>
      <w:r>
        <w:rPr>
          <w:rFonts w:ascii="Arial" w:hAnsi="Arial" w:cs="Arial"/>
          <w:color w:val="000000"/>
          <w:szCs w:val="24"/>
          <w:shd w:val="clear" w:color="auto" w:fill="FFFFFF"/>
        </w:rPr>
        <w:t xml:space="preserve"> se encuentra constituido por esa normativa y las</w:t>
      </w:r>
      <w:r w:rsidRPr="001F00C4">
        <w:rPr>
          <w:rFonts w:ascii="Arial" w:hAnsi="Arial" w:cs="Arial"/>
          <w:color w:val="000000"/>
          <w:szCs w:val="24"/>
          <w:shd w:val="clear" w:color="auto" w:fill="FFFFFF"/>
        </w:rPr>
        <w:t xml:space="preserve"> modificaci</w:t>
      </w:r>
      <w:r>
        <w:rPr>
          <w:rFonts w:ascii="Arial" w:hAnsi="Arial" w:cs="Arial"/>
          <w:color w:val="000000"/>
          <w:szCs w:val="24"/>
          <w:shd w:val="clear" w:color="auto" w:fill="FFFFFF"/>
        </w:rPr>
        <w:t xml:space="preserve">ones </w:t>
      </w:r>
      <w:r w:rsidRPr="001F00C4">
        <w:rPr>
          <w:rFonts w:ascii="Arial" w:hAnsi="Arial" w:cs="Arial"/>
          <w:color w:val="000000"/>
          <w:szCs w:val="24"/>
          <w:shd w:val="clear" w:color="auto" w:fill="FFFFFF"/>
        </w:rPr>
        <w:t>introducida</w:t>
      </w:r>
      <w:r>
        <w:rPr>
          <w:rFonts w:ascii="Arial" w:hAnsi="Arial" w:cs="Arial"/>
          <w:color w:val="000000"/>
          <w:szCs w:val="24"/>
          <w:shd w:val="clear" w:color="auto" w:fill="FFFFFF"/>
        </w:rPr>
        <w:t>s</w:t>
      </w:r>
      <w:r w:rsidRPr="001F00C4">
        <w:rPr>
          <w:rFonts w:ascii="Arial" w:hAnsi="Arial" w:cs="Arial"/>
          <w:color w:val="000000"/>
          <w:szCs w:val="24"/>
          <w:shd w:val="clear" w:color="auto" w:fill="FFFFFF"/>
        </w:rPr>
        <w:t xml:space="preserve"> por la Ley 797 de 2003, de donde debe entender</w:t>
      </w:r>
      <w:r>
        <w:rPr>
          <w:rFonts w:ascii="Arial" w:hAnsi="Arial" w:cs="Arial"/>
          <w:color w:val="000000"/>
          <w:szCs w:val="24"/>
          <w:shd w:val="clear" w:color="auto" w:fill="FFFFFF"/>
        </w:rPr>
        <w:t>se</w:t>
      </w:r>
      <w:r w:rsidRPr="001F00C4">
        <w:rPr>
          <w:rFonts w:ascii="Arial" w:hAnsi="Arial" w:cs="Arial"/>
          <w:color w:val="000000"/>
          <w:szCs w:val="24"/>
          <w:shd w:val="clear" w:color="auto" w:fill="FFFFFF"/>
        </w:rPr>
        <w:t xml:space="preserve"> </w:t>
      </w:r>
      <w:r>
        <w:rPr>
          <w:rFonts w:ascii="Arial" w:hAnsi="Arial" w:cs="Arial"/>
          <w:color w:val="000000"/>
          <w:szCs w:val="24"/>
          <w:shd w:val="clear" w:color="auto" w:fill="FFFFFF"/>
        </w:rPr>
        <w:t>excluido el Acuerdo 049 de 1990, por ser anterior a estas.</w:t>
      </w:r>
    </w:p>
    <w:p w:rsidR="00C521EF" w:rsidRDefault="00C521EF" w:rsidP="00C521EF">
      <w:pPr>
        <w:shd w:val="clear" w:color="auto" w:fill="FFFFFF"/>
        <w:spacing w:after="150" w:line="300" w:lineRule="atLeast"/>
        <w:contextualSpacing/>
        <w:jc w:val="both"/>
        <w:rPr>
          <w:rFonts w:ascii="Arial" w:hAnsi="Arial" w:cs="Arial"/>
          <w:color w:val="000000"/>
          <w:szCs w:val="24"/>
          <w:lang w:val="es-ES"/>
        </w:rPr>
      </w:pPr>
    </w:p>
    <w:p w:rsidR="00C521EF" w:rsidRPr="00D578CB" w:rsidRDefault="000757E9" w:rsidP="00652D0D">
      <w:pPr>
        <w:shd w:val="clear" w:color="auto" w:fill="FFFFFF"/>
        <w:spacing w:after="150" w:line="276" w:lineRule="auto"/>
        <w:jc w:val="both"/>
        <w:rPr>
          <w:rFonts w:ascii="Arial" w:hAnsi="Arial" w:cs="Arial"/>
          <w:szCs w:val="24"/>
        </w:rPr>
      </w:pPr>
      <w:r>
        <w:rPr>
          <w:rFonts w:ascii="Arial" w:hAnsi="Arial" w:cs="Arial"/>
          <w:color w:val="000000"/>
          <w:szCs w:val="24"/>
          <w:lang w:val="es-ES"/>
        </w:rPr>
        <w:t xml:space="preserve">2.3. </w:t>
      </w:r>
      <w:r w:rsidR="00260C0B">
        <w:rPr>
          <w:rFonts w:ascii="Arial" w:hAnsi="Arial" w:cs="Arial"/>
          <w:color w:val="000000"/>
          <w:szCs w:val="24"/>
          <w:lang w:val="es-ES"/>
        </w:rPr>
        <w:t xml:space="preserve">En armonía con lo dicho </w:t>
      </w:r>
      <w:r w:rsidR="00FA5FE5">
        <w:rPr>
          <w:rFonts w:ascii="Arial" w:hAnsi="Arial" w:cs="Arial"/>
          <w:color w:val="000000"/>
          <w:szCs w:val="24"/>
          <w:lang w:val="es-ES"/>
        </w:rPr>
        <w:t xml:space="preserve">y por sustracción de materia, </w:t>
      </w:r>
      <w:r w:rsidR="00F924F2">
        <w:rPr>
          <w:rFonts w:ascii="Arial" w:hAnsi="Arial" w:cs="Arial"/>
          <w:color w:val="000000"/>
          <w:szCs w:val="24"/>
          <w:lang w:val="es-ES"/>
        </w:rPr>
        <w:t xml:space="preserve">considera </w:t>
      </w:r>
      <w:r w:rsidR="00FA5FE5">
        <w:rPr>
          <w:rFonts w:ascii="Arial" w:hAnsi="Arial" w:cs="Arial"/>
          <w:color w:val="000000"/>
          <w:szCs w:val="24"/>
          <w:lang w:val="es-ES"/>
        </w:rPr>
        <w:t xml:space="preserve">la Sala Mayoritaria </w:t>
      </w:r>
      <w:r w:rsidR="00F924F2">
        <w:rPr>
          <w:rFonts w:ascii="Arial" w:hAnsi="Arial" w:cs="Arial"/>
          <w:color w:val="000000"/>
          <w:szCs w:val="24"/>
          <w:lang w:val="es-ES"/>
        </w:rPr>
        <w:t xml:space="preserve">que </w:t>
      </w:r>
      <w:r w:rsidR="00FA5FE5">
        <w:rPr>
          <w:rFonts w:ascii="Arial" w:hAnsi="Arial" w:cs="Arial"/>
          <w:color w:val="000000"/>
          <w:szCs w:val="24"/>
          <w:lang w:val="es-ES"/>
        </w:rPr>
        <w:t xml:space="preserve">se encuentra relevada de </w:t>
      </w:r>
      <w:r w:rsidR="00722BBF">
        <w:rPr>
          <w:rFonts w:ascii="Arial" w:hAnsi="Arial" w:cs="Arial"/>
          <w:color w:val="000000"/>
          <w:szCs w:val="24"/>
          <w:lang w:val="es-ES"/>
        </w:rPr>
        <w:t>abordar el análisis de la incompatibilidad entre la indemnización sustitutiva de la pensión de vejez y la prestación como tal, referida por la a-quo</w:t>
      </w:r>
      <w:r w:rsidR="00FA5FE5">
        <w:rPr>
          <w:rFonts w:ascii="Arial" w:hAnsi="Arial" w:cs="Arial"/>
          <w:color w:val="000000"/>
          <w:szCs w:val="24"/>
          <w:lang w:val="es-ES"/>
        </w:rPr>
        <w:t xml:space="preserve">; </w:t>
      </w:r>
      <w:r w:rsidR="00652D0D">
        <w:rPr>
          <w:rFonts w:ascii="Arial" w:hAnsi="Arial" w:cs="Arial"/>
          <w:color w:val="000000"/>
          <w:szCs w:val="24"/>
          <w:lang w:val="es-ES"/>
        </w:rPr>
        <w:t>así como</w:t>
      </w:r>
      <w:r w:rsidR="00FA5FE5">
        <w:rPr>
          <w:rFonts w:ascii="Arial" w:hAnsi="Arial" w:cs="Arial"/>
          <w:color w:val="000000"/>
          <w:szCs w:val="24"/>
          <w:lang w:val="es-ES"/>
        </w:rPr>
        <w:t xml:space="preserve"> </w:t>
      </w:r>
      <w:r w:rsidR="00722BBF">
        <w:rPr>
          <w:rFonts w:ascii="Arial" w:hAnsi="Arial" w:cs="Arial"/>
          <w:color w:val="000000"/>
          <w:szCs w:val="24"/>
          <w:lang w:val="es-ES"/>
        </w:rPr>
        <w:t>e</w:t>
      </w:r>
      <w:r w:rsidR="00C521EF" w:rsidRPr="00D578CB">
        <w:rPr>
          <w:rFonts w:ascii="Arial" w:hAnsi="Arial" w:cs="Arial"/>
          <w:szCs w:val="24"/>
        </w:rPr>
        <w:t xml:space="preserve">l aspecto de la convivencia entre </w:t>
      </w:r>
      <w:r w:rsidR="00C521EF">
        <w:rPr>
          <w:rFonts w:ascii="Arial" w:hAnsi="Arial" w:cs="Arial"/>
          <w:szCs w:val="24"/>
        </w:rPr>
        <w:t xml:space="preserve">la </w:t>
      </w:r>
      <w:r w:rsidR="00C521EF" w:rsidRPr="00D578CB">
        <w:rPr>
          <w:rFonts w:ascii="Arial" w:hAnsi="Arial" w:cs="Arial"/>
          <w:szCs w:val="24"/>
        </w:rPr>
        <w:t xml:space="preserve">demandante y </w:t>
      </w:r>
      <w:r w:rsidR="00C521EF">
        <w:rPr>
          <w:rFonts w:ascii="Arial" w:hAnsi="Arial" w:cs="Arial"/>
          <w:szCs w:val="24"/>
        </w:rPr>
        <w:t xml:space="preserve">el </w:t>
      </w:r>
      <w:r w:rsidR="00C521EF" w:rsidRPr="00D578CB">
        <w:rPr>
          <w:rFonts w:ascii="Arial" w:hAnsi="Arial" w:cs="Arial"/>
          <w:i/>
          <w:szCs w:val="24"/>
        </w:rPr>
        <w:t xml:space="preserve">de </w:t>
      </w:r>
      <w:proofErr w:type="spellStart"/>
      <w:r w:rsidR="00C521EF" w:rsidRPr="00D578CB">
        <w:rPr>
          <w:rFonts w:ascii="Arial" w:hAnsi="Arial" w:cs="Arial"/>
          <w:i/>
          <w:szCs w:val="24"/>
        </w:rPr>
        <w:t>cujus</w:t>
      </w:r>
      <w:proofErr w:type="spellEnd"/>
      <w:r w:rsidR="00C521EF" w:rsidRPr="00D578CB">
        <w:rPr>
          <w:rFonts w:ascii="Arial" w:hAnsi="Arial" w:cs="Arial"/>
          <w:i/>
          <w:szCs w:val="24"/>
        </w:rPr>
        <w:t>.</w:t>
      </w:r>
    </w:p>
    <w:p w:rsidR="0020288B" w:rsidRDefault="0020288B" w:rsidP="0020288B">
      <w:pPr>
        <w:pStyle w:val="Sansinterligne"/>
        <w:spacing w:line="276" w:lineRule="auto"/>
        <w:jc w:val="center"/>
        <w:rPr>
          <w:rFonts w:ascii="Arial" w:hAnsi="Arial" w:cs="Arial"/>
          <w:b/>
          <w:sz w:val="24"/>
          <w:szCs w:val="24"/>
        </w:rPr>
      </w:pPr>
      <w:r w:rsidRPr="00195300">
        <w:rPr>
          <w:rFonts w:ascii="Arial" w:hAnsi="Arial" w:cs="Arial"/>
          <w:b/>
          <w:sz w:val="24"/>
          <w:szCs w:val="24"/>
        </w:rPr>
        <w:t>CONCLUSIÓN</w:t>
      </w:r>
    </w:p>
    <w:p w:rsidR="0020288B" w:rsidRPr="00195300" w:rsidRDefault="0020288B" w:rsidP="0020288B">
      <w:pPr>
        <w:pStyle w:val="Sansinterligne"/>
        <w:spacing w:line="276" w:lineRule="auto"/>
        <w:jc w:val="center"/>
        <w:rPr>
          <w:rFonts w:ascii="Arial" w:hAnsi="Arial" w:cs="Arial"/>
          <w:b/>
          <w:sz w:val="24"/>
          <w:szCs w:val="24"/>
        </w:rPr>
      </w:pPr>
    </w:p>
    <w:p w:rsidR="0020288B" w:rsidRPr="00D578CB" w:rsidRDefault="0020288B" w:rsidP="0020288B">
      <w:pPr>
        <w:spacing w:line="276" w:lineRule="auto"/>
        <w:jc w:val="both"/>
        <w:rPr>
          <w:rFonts w:ascii="Arial" w:hAnsi="Arial" w:cs="Arial"/>
          <w:szCs w:val="24"/>
        </w:rPr>
      </w:pPr>
      <w:r w:rsidRPr="00D578CB">
        <w:rPr>
          <w:rFonts w:ascii="Arial" w:hAnsi="Arial" w:cs="Arial"/>
          <w:szCs w:val="24"/>
        </w:rPr>
        <w:t xml:space="preserve">A tono con lo expuesto, se </w:t>
      </w:r>
      <w:r>
        <w:rPr>
          <w:rFonts w:ascii="Arial" w:hAnsi="Arial" w:cs="Arial"/>
          <w:szCs w:val="24"/>
        </w:rPr>
        <w:t>confirmará en su totalidad la decisión revisada</w:t>
      </w:r>
      <w:r w:rsidR="00135B19">
        <w:rPr>
          <w:rFonts w:ascii="Arial" w:hAnsi="Arial" w:cs="Arial"/>
          <w:szCs w:val="24"/>
        </w:rPr>
        <w:t>, pero por motivos diferentes.</w:t>
      </w:r>
    </w:p>
    <w:p w:rsidR="0020288B" w:rsidRPr="00D578CB" w:rsidRDefault="0020288B" w:rsidP="0020288B">
      <w:pPr>
        <w:pStyle w:val="Sansinterligne"/>
        <w:spacing w:line="276" w:lineRule="auto"/>
        <w:jc w:val="center"/>
        <w:rPr>
          <w:rFonts w:ascii="Arial" w:hAnsi="Arial" w:cs="Arial"/>
          <w:sz w:val="24"/>
          <w:szCs w:val="24"/>
        </w:rPr>
      </w:pPr>
    </w:p>
    <w:p w:rsidR="00733AFD" w:rsidRDefault="00733AFD" w:rsidP="002D566E">
      <w:pPr>
        <w:spacing w:line="276" w:lineRule="auto"/>
        <w:contextualSpacing/>
        <w:jc w:val="both"/>
        <w:rPr>
          <w:rFonts w:ascii="Arial" w:hAnsi="Arial" w:cs="Arial"/>
          <w:szCs w:val="24"/>
        </w:rPr>
      </w:pPr>
      <w:r w:rsidRPr="00D578CB">
        <w:rPr>
          <w:rFonts w:ascii="Arial" w:hAnsi="Arial" w:cs="Arial"/>
          <w:szCs w:val="24"/>
        </w:rPr>
        <w:t xml:space="preserve">Costas en </w:t>
      </w:r>
      <w:r w:rsidR="006A66F5">
        <w:rPr>
          <w:rFonts w:ascii="Arial" w:hAnsi="Arial" w:cs="Arial"/>
          <w:szCs w:val="24"/>
        </w:rPr>
        <w:t xml:space="preserve">esta </w:t>
      </w:r>
      <w:r w:rsidRPr="00D578CB">
        <w:rPr>
          <w:rFonts w:ascii="Arial" w:hAnsi="Arial" w:cs="Arial"/>
          <w:szCs w:val="24"/>
        </w:rPr>
        <w:t>instanc</w:t>
      </w:r>
      <w:r w:rsidR="006A66F5">
        <w:rPr>
          <w:rFonts w:ascii="Arial" w:hAnsi="Arial" w:cs="Arial"/>
          <w:szCs w:val="24"/>
        </w:rPr>
        <w:t>ia</w:t>
      </w:r>
      <w:r>
        <w:rPr>
          <w:rFonts w:ascii="Arial" w:hAnsi="Arial" w:cs="Arial"/>
          <w:szCs w:val="24"/>
        </w:rPr>
        <w:t xml:space="preserve"> </w:t>
      </w:r>
      <w:r w:rsidR="00722BBF">
        <w:rPr>
          <w:rFonts w:ascii="Arial" w:hAnsi="Arial" w:cs="Arial"/>
          <w:szCs w:val="24"/>
        </w:rPr>
        <w:t>no se causaron por tratarse del grado jurisdiccional de consulta.</w:t>
      </w:r>
    </w:p>
    <w:p w:rsidR="00C74693" w:rsidRDefault="00C74693" w:rsidP="002D566E">
      <w:pPr>
        <w:pStyle w:val="Sansinterligne"/>
        <w:spacing w:line="276" w:lineRule="auto"/>
        <w:contextualSpacing/>
        <w:jc w:val="center"/>
        <w:rPr>
          <w:rFonts w:ascii="Arial" w:hAnsi="Arial" w:cs="Arial"/>
          <w:b/>
          <w:sz w:val="24"/>
          <w:szCs w:val="24"/>
        </w:rPr>
      </w:pPr>
    </w:p>
    <w:p w:rsidR="00C74693" w:rsidRDefault="00C74693" w:rsidP="002D566E">
      <w:pPr>
        <w:pStyle w:val="Sansinterligne"/>
        <w:spacing w:line="276" w:lineRule="auto"/>
        <w:contextualSpacing/>
        <w:jc w:val="center"/>
        <w:rPr>
          <w:rFonts w:ascii="Arial" w:hAnsi="Arial" w:cs="Arial"/>
          <w:b/>
          <w:sz w:val="24"/>
          <w:szCs w:val="24"/>
        </w:rPr>
      </w:pPr>
    </w:p>
    <w:p w:rsidR="00733AFD" w:rsidRPr="00195300" w:rsidRDefault="00733AFD" w:rsidP="002D566E">
      <w:pPr>
        <w:pStyle w:val="Sansinterligne"/>
        <w:spacing w:line="276" w:lineRule="auto"/>
        <w:contextualSpacing/>
        <w:jc w:val="center"/>
        <w:rPr>
          <w:rFonts w:ascii="Arial" w:hAnsi="Arial" w:cs="Arial"/>
          <w:b/>
          <w:sz w:val="24"/>
          <w:szCs w:val="24"/>
        </w:rPr>
      </w:pPr>
      <w:r w:rsidRPr="00195300">
        <w:rPr>
          <w:rFonts w:ascii="Arial" w:hAnsi="Arial" w:cs="Arial"/>
          <w:b/>
          <w:sz w:val="24"/>
          <w:szCs w:val="24"/>
        </w:rPr>
        <w:lastRenderedPageBreak/>
        <w:t>DECISIÓN</w:t>
      </w:r>
    </w:p>
    <w:p w:rsidR="00733AFD" w:rsidRPr="00D578CB" w:rsidRDefault="00733AFD" w:rsidP="002D566E">
      <w:pPr>
        <w:pStyle w:val="Sansinterligne"/>
        <w:spacing w:line="276" w:lineRule="auto"/>
        <w:contextualSpacing/>
        <w:rPr>
          <w:rFonts w:ascii="Arial" w:hAnsi="Arial" w:cs="Arial"/>
          <w:sz w:val="24"/>
          <w:szCs w:val="24"/>
        </w:rPr>
      </w:pPr>
    </w:p>
    <w:p w:rsidR="00733AFD" w:rsidRDefault="00733AFD" w:rsidP="002D566E">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733AFD" w:rsidRPr="00D578CB" w:rsidRDefault="00733AFD" w:rsidP="002D566E">
      <w:pPr>
        <w:pStyle w:val="Prrafodelista2"/>
        <w:spacing w:after="0"/>
        <w:ind w:left="0" w:firstLine="708"/>
        <w:jc w:val="both"/>
        <w:rPr>
          <w:rFonts w:ascii="Arial" w:hAnsi="Arial" w:cs="Arial"/>
          <w:sz w:val="24"/>
          <w:szCs w:val="24"/>
        </w:rPr>
      </w:pPr>
    </w:p>
    <w:p w:rsidR="00733AFD" w:rsidRDefault="00733AFD" w:rsidP="002D566E">
      <w:pPr>
        <w:spacing w:line="276" w:lineRule="auto"/>
        <w:contextualSpacing/>
        <w:jc w:val="center"/>
        <w:rPr>
          <w:rFonts w:ascii="Arial" w:hAnsi="Arial" w:cs="Arial"/>
          <w:b/>
          <w:szCs w:val="24"/>
        </w:rPr>
      </w:pPr>
      <w:r w:rsidRPr="00D578CB">
        <w:rPr>
          <w:rFonts w:ascii="Arial" w:hAnsi="Arial" w:cs="Arial"/>
          <w:b/>
          <w:szCs w:val="24"/>
        </w:rPr>
        <w:t>RESUELVE</w:t>
      </w:r>
    </w:p>
    <w:p w:rsidR="00733AFD" w:rsidRPr="00D578CB" w:rsidRDefault="00733AFD" w:rsidP="002D566E">
      <w:pPr>
        <w:spacing w:line="276" w:lineRule="auto"/>
        <w:contextualSpacing/>
        <w:jc w:val="center"/>
        <w:rPr>
          <w:rFonts w:ascii="Arial" w:hAnsi="Arial" w:cs="Arial"/>
          <w:b/>
          <w:szCs w:val="24"/>
        </w:rPr>
      </w:pPr>
    </w:p>
    <w:p w:rsidR="00733AFD" w:rsidRPr="00E812BF" w:rsidRDefault="00733AFD" w:rsidP="002D566E">
      <w:pPr>
        <w:spacing w:line="276" w:lineRule="auto"/>
        <w:contextualSpacing/>
        <w:jc w:val="both"/>
        <w:rPr>
          <w:rFonts w:ascii="Arial" w:hAnsi="Arial" w:cs="Arial"/>
          <w:bCs/>
          <w:iCs/>
          <w:szCs w:val="24"/>
        </w:rPr>
      </w:pPr>
      <w:r w:rsidRPr="00195300">
        <w:rPr>
          <w:rFonts w:ascii="Arial" w:hAnsi="Arial" w:cs="Arial"/>
          <w:b/>
          <w:spacing w:val="-2"/>
          <w:szCs w:val="24"/>
          <w:u w:val="single"/>
        </w:rPr>
        <w:t>PRIMERO</w:t>
      </w:r>
      <w:r w:rsidRPr="00D578CB">
        <w:rPr>
          <w:rFonts w:ascii="Arial" w:hAnsi="Arial" w:cs="Arial"/>
          <w:b/>
          <w:spacing w:val="-2"/>
          <w:szCs w:val="24"/>
        </w:rPr>
        <w:t xml:space="preserve">: </w:t>
      </w:r>
      <w:r w:rsidR="0020288B">
        <w:rPr>
          <w:rFonts w:ascii="Arial" w:hAnsi="Arial" w:cs="Arial"/>
          <w:b/>
          <w:spacing w:val="-2"/>
          <w:szCs w:val="24"/>
        </w:rPr>
        <w:t>CONFIRMAR</w:t>
      </w:r>
      <w:r w:rsidR="00135B19">
        <w:rPr>
          <w:rFonts w:ascii="Arial" w:hAnsi="Arial" w:cs="Arial"/>
          <w:b/>
          <w:spacing w:val="-2"/>
          <w:szCs w:val="24"/>
        </w:rPr>
        <w:t xml:space="preserve">, </w:t>
      </w:r>
      <w:r w:rsidR="00135B19" w:rsidRPr="00135B19">
        <w:rPr>
          <w:rFonts w:ascii="Arial" w:hAnsi="Arial" w:cs="Arial"/>
          <w:spacing w:val="-2"/>
          <w:szCs w:val="24"/>
        </w:rPr>
        <w:t>por motivos diferentes,</w:t>
      </w:r>
      <w:r w:rsidR="00135B19">
        <w:rPr>
          <w:rFonts w:ascii="Arial" w:hAnsi="Arial" w:cs="Arial"/>
          <w:b/>
          <w:spacing w:val="-2"/>
          <w:szCs w:val="24"/>
        </w:rPr>
        <w:t xml:space="preserve"> </w:t>
      </w:r>
      <w:r w:rsidRPr="00D578CB">
        <w:rPr>
          <w:rFonts w:ascii="Arial" w:hAnsi="Arial" w:cs="Arial"/>
          <w:spacing w:val="-2"/>
          <w:szCs w:val="24"/>
        </w:rPr>
        <w:t>l</w:t>
      </w:r>
      <w:r w:rsidRPr="00D578CB">
        <w:rPr>
          <w:rFonts w:ascii="Arial" w:hAnsi="Arial" w:cs="Arial"/>
          <w:szCs w:val="24"/>
        </w:rPr>
        <w:t xml:space="preserve">a sentencia proferida el </w:t>
      </w:r>
      <w:r w:rsidR="002B0763">
        <w:rPr>
          <w:rFonts w:ascii="Arial" w:hAnsi="Arial" w:cs="Arial"/>
          <w:szCs w:val="24"/>
        </w:rPr>
        <w:t>11</w:t>
      </w:r>
      <w:r>
        <w:rPr>
          <w:rFonts w:ascii="Arial" w:hAnsi="Arial" w:cs="Arial"/>
          <w:szCs w:val="24"/>
        </w:rPr>
        <w:t xml:space="preserve"> </w:t>
      </w:r>
      <w:r w:rsidRPr="00D578CB">
        <w:rPr>
          <w:rFonts w:ascii="Arial" w:hAnsi="Arial" w:cs="Arial"/>
          <w:szCs w:val="24"/>
        </w:rPr>
        <w:t>de</w:t>
      </w:r>
      <w:r>
        <w:rPr>
          <w:rFonts w:ascii="Arial" w:hAnsi="Arial" w:cs="Arial"/>
          <w:szCs w:val="24"/>
        </w:rPr>
        <w:t xml:space="preserve"> </w:t>
      </w:r>
      <w:r w:rsidR="002B0763">
        <w:rPr>
          <w:rFonts w:ascii="Arial" w:hAnsi="Arial" w:cs="Arial"/>
          <w:szCs w:val="24"/>
        </w:rPr>
        <w:t xml:space="preserve">mayo </w:t>
      </w:r>
      <w:r w:rsidR="00427EC4">
        <w:rPr>
          <w:rFonts w:ascii="Arial" w:hAnsi="Arial" w:cs="Arial"/>
          <w:szCs w:val="24"/>
        </w:rPr>
        <w:t xml:space="preserve">de </w:t>
      </w:r>
      <w:r w:rsidRPr="00D578CB">
        <w:rPr>
          <w:rFonts w:ascii="Arial" w:hAnsi="Arial" w:cs="Arial"/>
          <w:szCs w:val="24"/>
        </w:rPr>
        <w:t>201</w:t>
      </w:r>
      <w:r w:rsidR="00EA2DED">
        <w:rPr>
          <w:rFonts w:ascii="Arial" w:hAnsi="Arial" w:cs="Arial"/>
          <w:szCs w:val="24"/>
        </w:rPr>
        <w:t>6</w:t>
      </w:r>
      <w:r w:rsidRPr="00D578CB">
        <w:rPr>
          <w:rFonts w:ascii="Arial" w:hAnsi="Arial" w:cs="Arial"/>
          <w:szCs w:val="24"/>
        </w:rPr>
        <w:t xml:space="preserve"> por el Juzgado </w:t>
      </w:r>
      <w:r w:rsidR="002B0763">
        <w:rPr>
          <w:rFonts w:ascii="Arial" w:hAnsi="Arial" w:cs="Arial"/>
          <w:szCs w:val="24"/>
        </w:rPr>
        <w:t xml:space="preserve">Cuarto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la señora </w:t>
      </w:r>
      <w:r w:rsidR="002D2217">
        <w:rPr>
          <w:rFonts w:ascii="Arial" w:hAnsi="Arial" w:cs="Arial"/>
          <w:b/>
          <w:szCs w:val="24"/>
        </w:rPr>
        <w:t xml:space="preserve">Esperanza Sánchez </w:t>
      </w:r>
      <w:proofErr w:type="spellStart"/>
      <w:r w:rsidR="002D2217">
        <w:rPr>
          <w:rFonts w:ascii="Arial" w:hAnsi="Arial" w:cs="Arial"/>
          <w:b/>
          <w:szCs w:val="24"/>
        </w:rPr>
        <w:t>Aristizabal</w:t>
      </w:r>
      <w:proofErr w:type="spellEnd"/>
      <w:r>
        <w:rPr>
          <w:rFonts w:ascii="Arial" w:hAnsi="Arial" w:cs="Arial"/>
          <w:b/>
          <w:szCs w:val="24"/>
        </w:rPr>
        <w:t xml:space="preserve"> </w:t>
      </w:r>
      <w:r w:rsidRPr="00D578CB">
        <w:rPr>
          <w:rFonts w:ascii="Arial" w:hAnsi="Arial" w:cs="Arial"/>
          <w:szCs w:val="24"/>
        </w:rPr>
        <w:t xml:space="preserve">contra la </w:t>
      </w:r>
      <w:r w:rsidRPr="00D578CB">
        <w:rPr>
          <w:rFonts w:ascii="Arial" w:hAnsi="Arial" w:cs="Arial"/>
          <w:b/>
          <w:szCs w:val="24"/>
        </w:rPr>
        <w:t>Administradora Colombiana de Pensiones</w:t>
      </w:r>
      <w:r w:rsidRPr="00D578CB">
        <w:rPr>
          <w:rFonts w:ascii="Arial" w:hAnsi="Arial" w:cs="Arial"/>
          <w:szCs w:val="24"/>
        </w:rPr>
        <w:t xml:space="preserve"> </w:t>
      </w:r>
      <w:r>
        <w:rPr>
          <w:rFonts w:ascii="Arial" w:hAnsi="Arial" w:cs="Arial"/>
          <w:b/>
          <w:bCs/>
          <w:szCs w:val="24"/>
        </w:rPr>
        <w:t xml:space="preserve">COLPENSIONES, </w:t>
      </w:r>
      <w:r>
        <w:rPr>
          <w:rFonts w:ascii="Arial" w:hAnsi="Arial" w:cs="Arial"/>
          <w:bCs/>
          <w:szCs w:val="24"/>
        </w:rPr>
        <w:t>por las razones expuestas en precedencia.</w:t>
      </w:r>
    </w:p>
    <w:p w:rsidR="00733AFD" w:rsidRPr="00D578CB" w:rsidRDefault="00733AFD" w:rsidP="002D566E">
      <w:pPr>
        <w:pStyle w:val="Sansinterligne"/>
        <w:spacing w:line="276" w:lineRule="auto"/>
        <w:contextualSpacing/>
        <w:rPr>
          <w:rFonts w:ascii="Arial" w:hAnsi="Arial" w:cs="Arial"/>
          <w:sz w:val="24"/>
          <w:szCs w:val="24"/>
        </w:rPr>
      </w:pPr>
    </w:p>
    <w:p w:rsidR="00733AFD" w:rsidRDefault="00733AFD" w:rsidP="002D566E">
      <w:pPr>
        <w:autoSpaceDE w:val="0"/>
        <w:autoSpaceDN w:val="0"/>
        <w:adjustRightInd w:val="0"/>
        <w:spacing w:line="276" w:lineRule="auto"/>
        <w:contextualSpacing/>
        <w:jc w:val="both"/>
        <w:rPr>
          <w:rFonts w:ascii="Arial" w:hAnsi="Arial" w:cs="Arial"/>
          <w:szCs w:val="24"/>
        </w:rPr>
      </w:pPr>
      <w:r w:rsidRPr="00195300">
        <w:rPr>
          <w:rFonts w:ascii="Arial" w:hAnsi="Arial" w:cs="Arial"/>
          <w:b/>
          <w:szCs w:val="24"/>
          <w:u w:val="single"/>
          <w:lang w:val="es-ES"/>
        </w:rPr>
        <w:t>SEGUNDO</w:t>
      </w:r>
      <w:r w:rsidRPr="00D578CB">
        <w:rPr>
          <w:rFonts w:ascii="Arial" w:hAnsi="Arial" w:cs="Arial"/>
          <w:b/>
          <w:szCs w:val="24"/>
          <w:lang w:val="es-ES"/>
        </w:rPr>
        <w:t xml:space="preserve">: </w:t>
      </w:r>
      <w:r w:rsidR="002B0763" w:rsidRPr="002B0763">
        <w:rPr>
          <w:rFonts w:ascii="Arial" w:hAnsi="Arial" w:cs="Arial"/>
          <w:szCs w:val="24"/>
        </w:rPr>
        <w:t>Sin costas por lo expuesto.</w:t>
      </w:r>
    </w:p>
    <w:p w:rsidR="00733AFD" w:rsidRPr="00D578CB" w:rsidRDefault="00733AFD" w:rsidP="002D566E">
      <w:pPr>
        <w:autoSpaceDE w:val="0"/>
        <w:autoSpaceDN w:val="0"/>
        <w:adjustRightInd w:val="0"/>
        <w:spacing w:line="276" w:lineRule="auto"/>
        <w:contextualSpacing/>
        <w:jc w:val="both"/>
        <w:rPr>
          <w:rFonts w:ascii="Arial" w:hAnsi="Arial" w:cs="Arial"/>
          <w:szCs w:val="24"/>
        </w:rPr>
      </w:pPr>
    </w:p>
    <w:p w:rsidR="00733AFD" w:rsidRDefault="00733AFD" w:rsidP="002D566E">
      <w:pPr>
        <w:spacing w:line="276" w:lineRule="auto"/>
        <w:contextualSpacing/>
        <w:jc w:val="both"/>
        <w:rPr>
          <w:rFonts w:ascii="Arial" w:hAnsi="Arial" w:cs="Arial"/>
          <w:szCs w:val="24"/>
        </w:rPr>
      </w:pPr>
      <w:r w:rsidRPr="00A47C8D">
        <w:rPr>
          <w:rFonts w:ascii="Arial" w:hAnsi="Arial" w:cs="Arial"/>
          <w:szCs w:val="24"/>
        </w:rPr>
        <w:t>Notificación surtida en estrados.</w:t>
      </w:r>
    </w:p>
    <w:p w:rsidR="00733AFD" w:rsidRPr="00A47C8D" w:rsidRDefault="00733AFD" w:rsidP="002D566E">
      <w:pPr>
        <w:spacing w:line="276" w:lineRule="auto"/>
        <w:contextualSpacing/>
        <w:jc w:val="both"/>
        <w:rPr>
          <w:rFonts w:ascii="Arial" w:hAnsi="Arial" w:cs="Arial"/>
          <w:szCs w:val="24"/>
        </w:rPr>
      </w:pPr>
    </w:p>
    <w:p w:rsidR="00733AFD" w:rsidRDefault="00733AFD" w:rsidP="002D566E">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2B0763" w:rsidRPr="00A47C8D" w:rsidRDefault="002B0763" w:rsidP="002D566E">
      <w:pPr>
        <w:pStyle w:val="Corpsdetexte"/>
        <w:spacing w:line="276" w:lineRule="auto"/>
        <w:contextualSpacing/>
        <w:rPr>
          <w:szCs w:val="24"/>
        </w:rPr>
      </w:pPr>
    </w:p>
    <w:p w:rsidR="00733AFD" w:rsidRPr="00A47C8D" w:rsidRDefault="00733AFD" w:rsidP="002D566E">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733AFD" w:rsidRDefault="00733AFD" w:rsidP="002D566E">
      <w:pPr>
        <w:pStyle w:val="Sansinterligne"/>
        <w:spacing w:line="276" w:lineRule="auto"/>
        <w:contextualSpacing/>
        <w:rPr>
          <w:rFonts w:ascii="Arial" w:hAnsi="Arial" w:cs="Arial"/>
          <w:sz w:val="24"/>
          <w:szCs w:val="24"/>
          <w:lang w:val="es-ES"/>
        </w:rPr>
      </w:pPr>
    </w:p>
    <w:p w:rsidR="00CF3D28" w:rsidRDefault="00CF3D28" w:rsidP="002D566E">
      <w:pPr>
        <w:pStyle w:val="Sansinterligne"/>
        <w:spacing w:line="276" w:lineRule="auto"/>
        <w:contextualSpacing/>
        <w:jc w:val="center"/>
        <w:rPr>
          <w:rFonts w:ascii="Arial" w:hAnsi="Arial" w:cs="Arial"/>
          <w:b/>
          <w:sz w:val="24"/>
          <w:szCs w:val="24"/>
          <w:lang w:val="es-ES"/>
        </w:rPr>
      </w:pPr>
    </w:p>
    <w:p w:rsidR="00CF3D28" w:rsidRDefault="00CF3D28" w:rsidP="002D566E">
      <w:pPr>
        <w:pStyle w:val="Sansinterligne"/>
        <w:spacing w:line="276" w:lineRule="auto"/>
        <w:contextualSpacing/>
        <w:jc w:val="center"/>
        <w:rPr>
          <w:rFonts w:ascii="Arial" w:hAnsi="Arial" w:cs="Arial"/>
          <w:b/>
          <w:sz w:val="24"/>
          <w:szCs w:val="24"/>
          <w:lang w:val="es-ES"/>
        </w:rPr>
      </w:pPr>
    </w:p>
    <w:p w:rsidR="00CF3D28" w:rsidRDefault="00CF3D28" w:rsidP="002D566E">
      <w:pPr>
        <w:pStyle w:val="Sansinterligne"/>
        <w:spacing w:line="276" w:lineRule="auto"/>
        <w:contextualSpacing/>
        <w:jc w:val="center"/>
        <w:rPr>
          <w:rFonts w:ascii="Arial" w:hAnsi="Arial" w:cs="Arial"/>
          <w:b/>
          <w:sz w:val="24"/>
          <w:szCs w:val="24"/>
          <w:lang w:val="es-ES"/>
        </w:rPr>
      </w:pPr>
    </w:p>
    <w:p w:rsidR="00CF3D28" w:rsidRDefault="00CF3D28" w:rsidP="002D566E">
      <w:pPr>
        <w:pStyle w:val="Sansinterligne"/>
        <w:spacing w:line="276" w:lineRule="auto"/>
        <w:contextualSpacing/>
        <w:jc w:val="center"/>
        <w:rPr>
          <w:rFonts w:ascii="Arial" w:hAnsi="Arial" w:cs="Arial"/>
          <w:b/>
          <w:sz w:val="24"/>
          <w:szCs w:val="24"/>
          <w:lang w:val="es-ES"/>
        </w:rPr>
      </w:pPr>
    </w:p>
    <w:p w:rsidR="00733AFD" w:rsidRPr="00D578CB" w:rsidRDefault="00733AFD" w:rsidP="002D566E">
      <w:pPr>
        <w:pStyle w:val="Sansinterligne"/>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733AFD" w:rsidRPr="00D578CB" w:rsidRDefault="00733AFD" w:rsidP="002D566E">
      <w:pPr>
        <w:pStyle w:val="Sansinterligne"/>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733AFD" w:rsidRPr="00D578CB" w:rsidRDefault="00733AFD" w:rsidP="002D566E">
      <w:pPr>
        <w:spacing w:line="276" w:lineRule="auto"/>
        <w:ind w:firstLine="900"/>
        <w:contextualSpacing/>
        <w:jc w:val="center"/>
        <w:rPr>
          <w:rFonts w:ascii="Arial" w:hAnsi="Arial" w:cs="Arial"/>
          <w:b/>
          <w:szCs w:val="24"/>
          <w:lang w:val="es-ES"/>
        </w:rPr>
      </w:pPr>
    </w:p>
    <w:p w:rsidR="00CF3D28" w:rsidRDefault="00CF3D28" w:rsidP="002D566E">
      <w:pPr>
        <w:spacing w:line="276" w:lineRule="auto"/>
        <w:contextualSpacing/>
        <w:jc w:val="both"/>
        <w:rPr>
          <w:rFonts w:ascii="Arial" w:hAnsi="Arial" w:cs="Arial"/>
          <w:b/>
          <w:bCs/>
          <w:iCs/>
          <w:sz w:val="23"/>
          <w:szCs w:val="23"/>
          <w:lang w:val="es-ES"/>
        </w:rPr>
      </w:pPr>
    </w:p>
    <w:p w:rsidR="00CF3D28" w:rsidRDefault="00CF3D28" w:rsidP="002D566E">
      <w:pPr>
        <w:spacing w:line="276" w:lineRule="auto"/>
        <w:contextualSpacing/>
        <w:jc w:val="both"/>
        <w:rPr>
          <w:rFonts w:ascii="Arial" w:hAnsi="Arial" w:cs="Arial"/>
          <w:b/>
          <w:bCs/>
          <w:iCs/>
          <w:sz w:val="23"/>
          <w:szCs w:val="23"/>
          <w:lang w:val="es-ES"/>
        </w:rPr>
      </w:pPr>
    </w:p>
    <w:p w:rsidR="00CF3D28" w:rsidRDefault="00CF3D28" w:rsidP="002D566E">
      <w:pPr>
        <w:spacing w:line="276" w:lineRule="auto"/>
        <w:contextualSpacing/>
        <w:jc w:val="both"/>
        <w:rPr>
          <w:rFonts w:ascii="Arial" w:hAnsi="Arial" w:cs="Arial"/>
          <w:b/>
          <w:bCs/>
          <w:iCs/>
          <w:sz w:val="23"/>
          <w:szCs w:val="23"/>
          <w:lang w:val="es-ES"/>
        </w:rPr>
      </w:pPr>
    </w:p>
    <w:p w:rsidR="00733AFD" w:rsidRPr="0045273B" w:rsidRDefault="00733AFD" w:rsidP="002D566E">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Pr="0045273B">
        <w:rPr>
          <w:rFonts w:ascii="Arial" w:hAnsi="Arial" w:cs="Arial"/>
          <w:b/>
          <w:bCs/>
          <w:iCs/>
          <w:sz w:val="23"/>
          <w:szCs w:val="23"/>
          <w:lang w:val="es-ES"/>
        </w:rPr>
        <w:t xml:space="preserve">ANA LUCÍA CAICEDO CALDERÓN                         </w:t>
      </w:r>
    </w:p>
    <w:p w:rsidR="00733AFD" w:rsidRDefault="00733AFD" w:rsidP="002D566E">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733AFD" w:rsidRPr="00676BCA" w:rsidRDefault="00733AFD" w:rsidP="002D566E">
      <w:pPr>
        <w:spacing w:line="276" w:lineRule="auto"/>
        <w:contextualSpacing/>
        <w:jc w:val="both"/>
        <w:rPr>
          <w:rFonts w:ascii="Arial" w:hAnsi="Arial" w:cs="Arial"/>
          <w:sz w:val="20"/>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t xml:space="preserve">    </w:t>
      </w:r>
      <w:r w:rsidRPr="00676BCA">
        <w:rPr>
          <w:rFonts w:ascii="Arial" w:hAnsi="Arial" w:cs="Arial"/>
          <w:sz w:val="20"/>
          <w:lang w:val="es-ES"/>
        </w:rPr>
        <w:t xml:space="preserve">        </w:t>
      </w:r>
      <w:r w:rsidR="00DA1B60">
        <w:rPr>
          <w:rFonts w:ascii="Arial" w:hAnsi="Arial" w:cs="Arial"/>
          <w:sz w:val="20"/>
          <w:lang w:val="es-ES"/>
        </w:rPr>
        <w:t>(</w:t>
      </w:r>
      <w:proofErr w:type="gramStart"/>
      <w:r w:rsidR="00DA1B60">
        <w:rPr>
          <w:rFonts w:ascii="Arial" w:hAnsi="Arial" w:cs="Arial"/>
          <w:sz w:val="20"/>
          <w:lang w:val="es-ES"/>
        </w:rPr>
        <w:t>aclara</w:t>
      </w:r>
      <w:proofErr w:type="gramEnd"/>
      <w:r w:rsidR="00260C0B">
        <w:rPr>
          <w:rFonts w:ascii="Arial" w:hAnsi="Arial" w:cs="Arial"/>
          <w:sz w:val="20"/>
          <w:lang w:val="es-ES"/>
        </w:rPr>
        <w:t xml:space="preserve"> voto)</w:t>
      </w:r>
    </w:p>
    <w:p w:rsidR="00733AFD" w:rsidRDefault="00733AFD" w:rsidP="002D566E">
      <w:pPr>
        <w:spacing w:line="276" w:lineRule="auto"/>
        <w:contextualSpacing/>
        <w:jc w:val="both"/>
        <w:rPr>
          <w:rFonts w:ascii="Arial" w:hAnsi="Arial" w:cs="Arial"/>
          <w:bCs/>
          <w:iCs/>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BD3C89" w:rsidRDefault="00BD3C89" w:rsidP="00BD3C89">
      <w:pPr>
        <w:tabs>
          <w:tab w:val="left" w:pos="1230"/>
        </w:tabs>
        <w:autoSpaceDE w:val="0"/>
        <w:autoSpaceDN w:val="0"/>
        <w:adjustRightInd w:val="0"/>
        <w:spacing w:line="276" w:lineRule="auto"/>
        <w:contextualSpacing/>
        <w:jc w:val="both"/>
        <w:rPr>
          <w:rFonts w:ascii="Arial" w:hAnsi="Arial" w:cs="Arial"/>
          <w:szCs w:val="24"/>
        </w:rPr>
      </w:pPr>
    </w:p>
    <w:p w:rsidR="00BD3C89" w:rsidRDefault="00BD3C89" w:rsidP="00BD3C89">
      <w:pPr>
        <w:tabs>
          <w:tab w:val="left" w:pos="1230"/>
        </w:tabs>
        <w:autoSpaceDE w:val="0"/>
        <w:autoSpaceDN w:val="0"/>
        <w:adjustRightInd w:val="0"/>
        <w:spacing w:line="276" w:lineRule="auto"/>
        <w:contextualSpacing/>
        <w:jc w:val="both"/>
        <w:rPr>
          <w:rFonts w:ascii="Arial" w:hAnsi="Arial" w:cs="Arial"/>
          <w:szCs w:val="24"/>
        </w:rPr>
      </w:pPr>
    </w:p>
    <w:p w:rsidR="00BD3C89" w:rsidRDefault="00BD3C89" w:rsidP="00BD3C89">
      <w:pPr>
        <w:tabs>
          <w:tab w:val="left" w:pos="1230"/>
        </w:tabs>
        <w:autoSpaceDE w:val="0"/>
        <w:autoSpaceDN w:val="0"/>
        <w:adjustRightInd w:val="0"/>
        <w:spacing w:line="276" w:lineRule="auto"/>
        <w:contextualSpacing/>
        <w:jc w:val="both"/>
        <w:rPr>
          <w:rFonts w:ascii="Arial" w:hAnsi="Arial" w:cs="Arial"/>
          <w:szCs w:val="24"/>
        </w:rPr>
      </w:pPr>
    </w:p>
    <w:p w:rsidR="00BD3C89" w:rsidRDefault="00BD3C89" w:rsidP="00BD3C89">
      <w:pPr>
        <w:tabs>
          <w:tab w:val="left" w:pos="1230"/>
        </w:tabs>
        <w:autoSpaceDE w:val="0"/>
        <w:autoSpaceDN w:val="0"/>
        <w:adjustRightInd w:val="0"/>
        <w:spacing w:line="276" w:lineRule="auto"/>
        <w:contextualSpacing/>
        <w:jc w:val="both"/>
        <w:rPr>
          <w:rFonts w:ascii="Arial" w:hAnsi="Arial" w:cs="Arial"/>
          <w:szCs w:val="24"/>
        </w:rPr>
      </w:pPr>
    </w:p>
    <w:p w:rsidR="00BD3C89" w:rsidRDefault="00BD3C89" w:rsidP="00BD3C89">
      <w:pPr>
        <w:tabs>
          <w:tab w:val="left" w:pos="1230"/>
        </w:tabs>
        <w:autoSpaceDE w:val="0"/>
        <w:autoSpaceDN w:val="0"/>
        <w:adjustRightInd w:val="0"/>
        <w:spacing w:line="276" w:lineRule="auto"/>
        <w:contextualSpacing/>
        <w:jc w:val="both"/>
        <w:rPr>
          <w:rFonts w:ascii="Arial" w:hAnsi="Arial" w:cs="Arial"/>
          <w:szCs w:val="24"/>
        </w:rPr>
      </w:pPr>
    </w:p>
    <w:p w:rsidR="00BD3C89" w:rsidRDefault="00BD3C89" w:rsidP="00BD3C89">
      <w:pPr>
        <w:tabs>
          <w:tab w:val="left" w:pos="1230"/>
        </w:tabs>
        <w:autoSpaceDE w:val="0"/>
        <w:autoSpaceDN w:val="0"/>
        <w:adjustRightInd w:val="0"/>
        <w:spacing w:line="276" w:lineRule="auto"/>
        <w:contextualSpacing/>
        <w:jc w:val="both"/>
        <w:rPr>
          <w:rFonts w:ascii="Arial" w:hAnsi="Arial" w:cs="Arial"/>
          <w:szCs w:val="24"/>
        </w:rPr>
      </w:pPr>
    </w:p>
    <w:p w:rsidR="00BD3C89" w:rsidRDefault="00BD3C89" w:rsidP="00BD3C89">
      <w:pPr>
        <w:tabs>
          <w:tab w:val="left" w:pos="1230"/>
        </w:tabs>
        <w:autoSpaceDE w:val="0"/>
        <w:autoSpaceDN w:val="0"/>
        <w:adjustRightInd w:val="0"/>
        <w:spacing w:line="276" w:lineRule="auto"/>
        <w:contextualSpacing/>
        <w:jc w:val="both"/>
        <w:rPr>
          <w:rFonts w:ascii="Arial" w:hAnsi="Arial" w:cs="Arial"/>
          <w:szCs w:val="24"/>
        </w:rPr>
      </w:pPr>
    </w:p>
    <w:p w:rsidR="00BD3C89" w:rsidRDefault="00BD3C89" w:rsidP="00BD3C89">
      <w:pPr>
        <w:tabs>
          <w:tab w:val="left" w:pos="1230"/>
        </w:tabs>
        <w:autoSpaceDE w:val="0"/>
        <w:autoSpaceDN w:val="0"/>
        <w:adjustRightInd w:val="0"/>
        <w:spacing w:line="276" w:lineRule="auto"/>
        <w:contextualSpacing/>
        <w:jc w:val="both"/>
        <w:rPr>
          <w:rFonts w:ascii="Arial" w:hAnsi="Arial" w:cs="Arial"/>
          <w:szCs w:val="24"/>
        </w:rPr>
      </w:pPr>
    </w:p>
    <w:p w:rsidR="00BD3C89" w:rsidRDefault="00BD3C89" w:rsidP="00BD3C89">
      <w:pPr>
        <w:tabs>
          <w:tab w:val="left" w:pos="1230"/>
        </w:tabs>
        <w:autoSpaceDE w:val="0"/>
        <w:autoSpaceDN w:val="0"/>
        <w:adjustRightInd w:val="0"/>
        <w:spacing w:line="276" w:lineRule="auto"/>
        <w:contextualSpacing/>
        <w:jc w:val="both"/>
        <w:rPr>
          <w:rFonts w:ascii="Arial" w:hAnsi="Arial" w:cs="Arial"/>
          <w:szCs w:val="24"/>
        </w:rPr>
      </w:pPr>
    </w:p>
    <w:p w:rsidR="00BD3C89" w:rsidRPr="0045273B" w:rsidRDefault="00BD3C89" w:rsidP="002D566E">
      <w:pPr>
        <w:spacing w:line="276" w:lineRule="auto"/>
        <w:contextualSpacing/>
        <w:jc w:val="both"/>
        <w:rPr>
          <w:rFonts w:ascii="Arial" w:hAnsi="Arial" w:cs="Arial"/>
          <w:sz w:val="23"/>
          <w:szCs w:val="23"/>
          <w:lang w:val="es-ES"/>
        </w:rPr>
      </w:pPr>
    </w:p>
    <w:sectPr w:rsidR="00BD3C89" w:rsidRPr="0045273B" w:rsidSect="0082110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6BC" w:rsidRDefault="005776BC" w:rsidP="00226D5F">
      <w:r>
        <w:separator/>
      </w:r>
    </w:p>
  </w:endnote>
  <w:endnote w:type="continuationSeparator" w:id="0">
    <w:p w:rsidR="005776BC" w:rsidRDefault="005776BC"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08" w:rsidRDefault="00907F08" w:rsidP="0038181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07F08" w:rsidRDefault="00907F08" w:rsidP="0038181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08" w:rsidRDefault="00907F08" w:rsidP="0038181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74693">
      <w:rPr>
        <w:rStyle w:val="Numrodepage"/>
        <w:noProof/>
      </w:rPr>
      <w:t>6</w:t>
    </w:r>
    <w:r>
      <w:rPr>
        <w:rStyle w:val="Numrodepage"/>
      </w:rPr>
      <w:fldChar w:fldCharType="end"/>
    </w:r>
  </w:p>
  <w:p w:rsidR="00907F08" w:rsidRDefault="00907F08" w:rsidP="0038181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6BC" w:rsidRDefault="005776BC" w:rsidP="00226D5F">
      <w:r>
        <w:separator/>
      </w:r>
    </w:p>
  </w:footnote>
  <w:footnote w:type="continuationSeparator" w:id="0">
    <w:p w:rsidR="005776BC" w:rsidRDefault="005776BC" w:rsidP="00226D5F">
      <w:r>
        <w:continuationSeparator/>
      </w:r>
    </w:p>
  </w:footnote>
  <w:footnote w:id="1">
    <w:p w:rsidR="00C74693" w:rsidRPr="00676199" w:rsidRDefault="00C74693" w:rsidP="00C74693">
      <w:pPr>
        <w:pStyle w:val="Notedebasdepage"/>
        <w:rPr>
          <w:rFonts w:ascii="Arial" w:hAnsi="Arial" w:cs="Arial"/>
          <w:sz w:val="18"/>
          <w:szCs w:val="18"/>
          <w:lang w:val="es-AR"/>
        </w:rPr>
      </w:pPr>
      <w:r w:rsidRPr="00676199">
        <w:rPr>
          <w:rStyle w:val="Appelnotedebasdep"/>
          <w:rFonts w:ascii="Arial" w:hAnsi="Arial" w:cs="Arial"/>
          <w:sz w:val="18"/>
          <w:szCs w:val="18"/>
        </w:rPr>
        <w:footnoteRef/>
      </w:r>
      <w:r w:rsidRPr="00676199">
        <w:rPr>
          <w:rFonts w:ascii="Arial" w:hAnsi="Arial" w:cs="Arial"/>
          <w:sz w:val="18"/>
          <w:szCs w:val="18"/>
        </w:rPr>
        <w:t xml:space="preserve"> </w:t>
      </w:r>
      <w:r w:rsidRPr="00676199">
        <w:rPr>
          <w:rFonts w:ascii="Arial" w:hAnsi="Arial" w:cs="Arial"/>
          <w:sz w:val="18"/>
          <w:szCs w:val="18"/>
          <w:lang w:val="es-AR"/>
        </w:rPr>
        <w:t>C-836-01</w:t>
      </w:r>
    </w:p>
  </w:footnote>
  <w:footnote w:id="2">
    <w:p w:rsidR="00C74693" w:rsidRPr="000757E9" w:rsidRDefault="00C74693" w:rsidP="00C74693">
      <w:pPr>
        <w:pStyle w:val="Notedebasdepage"/>
        <w:rPr>
          <w:rFonts w:ascii="Arial" w:hAnsi="Arial" w:cs="Arial"/>
          <w:sz w:val="18"/>
          <w:szCs w:val="18"/>
          <w:lang w:val="es-AR"/>
        </w:rPr>
      </w:pPr>
      <w:r w:rsidRPr="000757E9">
        <w:rPr>
          <w:rStyle w:val="Appelnotedebasdep"/>
          <w:rFonts w:ascii="Arial" w:hAnsi="Arial" w:cs="Arial"/>
          <w:sz w:val="18"/>
          <w:szCs w:val="18"/>
        </w:rPr>
        <w:footnoteRef/>
      </w:r>
      <w:r w:rsidRPr="000757E9">
        <w:rPr>
          <w:rFonts w:ascii="Arial" w:hAnsi="Arial" w:cs="Arial"/>
          <w:sz w:val="18"/>
          <w:szCs w:val="18"/>
        </w:rPr>
        <w:t xml:space="preserve"> </w:t>
      </w:r>
      <w:r w:rsidRPr="000757E9">
        <w:rPr>
          <w:rFonts w:ascii="Arial" w:hAnsi="Arial" w:cs="Arial"/>
          <w:sz w:val="18"/>
          <w:szCs w:val="18"/>
          <w:lang w:val="es-AR"/>
        </w:rPr>
        <w:t>Ley 270/1996 – Decreto 2591/1991</w:t>
      </w:r>
    </w:p>
  </w:footnote>
  <w:footnote w:id="3">
    <w:p w:rsidR="004A393C" w:rsidRPr="004A393C" w:rsidRDefault="004A393C">
      <w:pPr>
        <w:pStyle w:val="Notedebasdepage"/>
        <w:rPr>
          <w:rFonts w:ascii="Arial" w:hAnsi="Arial" w:cs="Arial"/>
          <w:sz w:val="18"/>
          <w:szCs w:val="18"/>
          <w:lang w:val="es-AR"/>
        </w:rPr>
      </w:pPr>
      <w:r w:rsidRPr="004A393C">
        <w:rPr>
          <w:rStyle w:val="Appelnotedebasdep"/>
          <w:rFonts w:ascii="Arial" w:hAnsi="Arial" w:cs="Arial"/>
          <w:sz w:val="18"/>
          <w:szCs w:val="18"/>
        </w:rPr>
        <w:footnoteRef/>
      </w:r>
      <w:r w:rsidRPr="004A393C">
        <w:rPr>
          <w:rFonts w:ascii="Arial" w:hAnsi="Arial" w:cs="Arial"/>
          <w:sz w:val="18"/>
          <w:szCs w:val="18"/>
        </w:rPr>
        <w:t xml:space="preserve"> </w:t>
      </w:r>
      <w:proofErr w:type="spellStart"/>
      <w:r w:rsidRPr="004A393C">
        <w:rPr>
          <w:rFonts w:ascii="Arial" w:hAnsi="Arial" w:cs="Arial"/>
          <w:sz w:val="18"/>
          <w:szCs w:val="18"/>
          <w:lang w:val="es-AR"/>
        </w:rPr>
        <w:t>M.P</w:t>
      </w:r>
      <w:proofErr w:type="spellEnd"/>
      <w:r w:rsidRPr="004A393C">
        <w:rPr>
          <w:rFonts w:ascii="Arial" w:hAnsi="Arial" w:cs="Arial"/>
          <w:sz w:val="18"/>
          <w:szCs w:val="18"/>
          <w:lang w:val="es-AR"/>
        </w:rPr>
        <w:t>. Ana Lucía Caicedo Calderón. Rad.</w:t>
      </w:r>
      <w:r>
        <w:rPr>
          <w:rFonts w:ascii="Arial" w:hAnsi="Arial" w:cs="Arial"/>
          <w:sz w:val="18"/>
          <w:szCs w:val="18"/>
          <w:lang w:val="es-AR"/>
        </w:rPr>
        <w:t xml:space="preserve"> 2014-00132 del 24/04/2015</w:t>
      </w:r>
      <w:r w:rsidRPr="004A393C">
        <w:rPr>
          <w:rFonts w:ascii="Arial" w:hAnsi="Arial" w:cs="Arial"/>
          <w:sz w:val="18"/>
          <w:szCs w:val="18"/>
          <w:lang w:val="es-AR"/>
        </w:rPr>
        <w:t xml:space="preserve"> </w:t>
      </w:r>
    </w:p>
  </w:footnote>
  <w:footnote w:id="4">
    <w:p w:rsidR="00C521EF" w:rsidRPr="00DD3634" w:rsidRDefault="00C521EF" w:rsidP="00C521EF">
      <w:pPr>
        <w:jc w:val="both"/>
        <w:rPr>
          <w:rFonts w:ascii="Arial" w:eastAsia="Calibri" w:hAnsi="Arial" w:cs="Arial"/>
          <w:sz w:val="18"/>
          <w:szCs w:val="18"/>
        </w:rPr>
      </w:pPr>
      <w:r w:rsidRPr="00DD3634">
        <w:rPr>
          <w:rStyle w:val="Appelnotedebasdep"/>
          <w:rFonts w:ascii="Arial" w:hAnsi="Arial" w:cs="Arial"/>
          <w:sz w:val="18"/>
          <w:szCs w:val="18"/>
        </w:rPr>
        <w:footnoteRef/>
      </w:r>
      <w:r w:rsidRPr="00DD3634">
        <w:rPr>
          <w:rFonts w:ascii="Arial" w:hAnsi="Arial" w:cs="Arial"/>
          <w:color w:val="000000"/>
          <w:sz w:val="18"/>
          <w:szCs w:val="18"/>
          <w:lang w:val="es-ES"/>
        </w:rPr>
        <w:t xml:space="preserve">Corte Suprema de Justicia. </w:t>
      </w:r>
      <w:proofErr w:type="spellStart"/>
      <w:r w:rsidRPr="00DD3634">
        <w:rPr>
          <w:rFonts w:ascii="Arial" w:hAnsi="Arial" w:cs="Arial"/>
          <w:color w:val="000000"/>
          <w:sz w:val="18"/>
          <w:szCs w:val="18"/>
          <w:lang w:val="es-ES"/>
        </w:rPr>
        <w:t>M.P</w:t>
      </w:r>
      <w:proofErr w:type="spellEnd"/>
      <w:r w:rsidRPr="00DD3634">
        <w:rPr>
          <w:rFonts w:ascii="Arial" w:hAnsi="Arial" w:cs="Arial"/>
          <w:color w:val="000000"/>
          <w:sz w:val="18"/>
          <w:szCs w:val="18"/>
          <w:lang w:val="es-ES"/>
        </w:rPr>
        <w:t xml:space="preserve">. </w:t>
      </w:r>
      <w:r>
        <w:rPr>
          <w:rFonts w:ascii="Arial" w:eastAsia="Calibri" w:hAnsi="Arial" w:cs="Arial"/>
          <w:sz w:val="18"/>
          <w:szCs w:val="18"/>
        </w:rPr>
        <w:t xml:space="preserve">Luis Gabriel Miranda </w:t>
      </w:r>
      <w:proofErr w:type="spellStart"/>
      <w:r>
        <w:rPr>
          <w:rFonts w:ascii="Arial" w:eastAsia="Calibri" w:hAnsi="Arial" w:cs="Arial"/>
          <w:sz w:val="18"/>
          <w:szCs w:val="18"/>
        </w:rPr>
        <w:t>Buelvas</w:t>
      </w:r>
      <w:proofErr w:type="spellEnd"/>
      <w:r w:rsidRPr="00DD3634">
        <w:rPr>
          <w:rFonts w:ascii="Arial" w:eastAsia="Calibri" w:hAnsi="Arial" w:cs="Arial"/>
          <w:sz w:val="18"/>
          <w:szCs w:val="18"/>
        </w:rPr>
        <w:t xml:space="preserve">. </w:t>
      </w:r>
      <w:proofErr w:type="spellStart"/>
      <w:r w:rsidRPr="00DD3634">
        <w:rPr>
          <w:rFonts w:ascii="Arial" w:hAnsi="Arial" w:cs="Arial"/>
          <w:sz w:val="18"/>
          <w:szCs w:val="18"/>
          <w:lang w:val="es-ES"/>
        </w:rPr>
        <w:t>SL1</w:t>
      </w:r>
      <w:r>
        <w:rPr>
          <w:rFonts w:ascii="Arial" w:hAnsi="Arial" w:cs="Arial"/>
          <w:sz w:val="18"/>
          <w:szCs w:val="18"/>
          <w:lang w:val="es-ES"/>
        </w:rPr>
        <w:t>8545</w:t>
      </w:r>
      <w:proofErr w:type="spellEnd"/>
      <w:r w:rsidRPr="00DD3634">
        <w:rPr>
          <w:rFonts w:ascii="Arial" w:hAnsi="Arial" w:cs="Arial"/>
          <w:sz w:val="18"/>
          <w:szCs w:val="18"/>
          <w:lang w:val="es-ES"/>
        </w:rPr>
        <w:t>-201</w:t>
      </w:r>
      <w:r>
        <w:rPr>
          <w:rFonts w:ascii="Arial" w:hAnsi="Arial" w:cs="Arial"/>
          <w:sz w:val="18"/>
          <w:szCs w:val="18"/>
          <w:lang w:val="es-ES"/>
        </w:rPr>
        <w:t>6</w:t>
      </w:r>
      <w:r w:rsidRPr="00DD3634">
        <w:rPr>
          <w:rFonts w:ascii="Arial" w:hAnsi="Arial" w:cs="Arial"/>
          <w:sz w:val="18"/>
          <w:szCs w:val="18"/>
          <w:lang w:val="es-ES"/>
        </w:rPr>
        <w:t xml:space="preserve">. </w:t>
      </w:r>
      <w:r w:rsidRPr="00DD3634">
        <w:rPr>
          <w:rFonts w:ascii="Arial" w:eastAsia="Calibri" w:hAnsi="Arial" w:cs="Arial"/>
          <w:sz w:val="18"/>
          <w:szCs w:val="18"/>
        </w:rPr>
        <w:t xml:space="preserve">Radicación N° </w:t>
      </w:r>
      <w:r>
        <w:rPr>
          <w:rFonts w:ascii="Arial" w:eastAsia="Calibri" w:hAnsi="Arial" w:cs="Arial"/>
          <w:sz w:val="18"/>
          <w:szCs w:val="18"/>
        </w:rPr>
        <w:t>54796 de 30</w:t>
      </w:r>
      <w:r w:rsidRPr="00DD3634">
        <w:rPr>
          <w:rFonts w:ascii="Arial" w:eastAsia="Calibri" w:hAnsi="Arial" w:cs="Arial"/>
          <w:sz w:val="18"/>
          <w:szCs w:val="18"/>
        </w:rPr>
        <w:t xml:space="preserve"> de </w:t>
      </w:r>
      <w:r>
        <w:rPr>
          <w:rFonts w:ascii="Arial" w:eastAsia="Calibri" w:hAnsi="Arial" w:cs="Arial"/>
          <w:sz w:val="18"/>
          <w:szCs w:val="18"/>
        </w:rPr>
        <w:t xml:space="preserve">noviembre </w:t>
      </w:r>
      <w:r w:rsidRPr="00DD3634">
        <w:rPr>
          <w:rFonts w:ascii="Arial" w:eastAsia="Calibri" w:hAnsi="Arial" w:cs="Arial"/>
          <w:sz w:val="18"/>
          <w:szCs w:val="18"/>
        </w:rPr>
        <w:t>de 201</w:t>
      </w:r>
      <w:r>
        <w:rPr>
          <w:rFonts w:ascii="Arial" w:eastAsia="Calibri" w:hAnsi="Arial" w:cs="Arial"/>
          <w:sz w:val="18"/>
          <w:szCs w:val="18"/>
        </w:rPr>
        <w:t>6.</w:t>
      </w:r>
    </w:p>
    <w:p w:rsidR="00C521EF" w:rsidRPr="00A27137" w:rsidRDefault="00C521EF" w:rsidP="00C521EF">
      <w:pPr>
        <w:pStyle w:val="Notedebasdepage"/>
        <w:rPr>
          <w:lang w:val="es-AR"/>
        </w:rPr>
      </w:pPr>
    </w:p>
  </w:footnote>
  <w:footnote w:id="5">
    <w:p w:rsidR="00C521EF" w:rsidRPr="00676199" w:rsidRDefault="00C521EF" w:rsidP="00C521EF">
      <w:pPr>
        <w:pStyle w:val="Notedebasdepage"/>
        <w:rPr>
          <w:rFonts w:ascii="Arial" w:hAnsi="Arial" w:cs="Arial"/>
          <w:sz w:val="18"/>
          <w:szCs w:val="18"/>
          <w:lang w:val="es-AR"/>
        </w:rPr>
      </w:pPr>
      <w:r w:rsidRPr="00676199">
        <w:rPr>
          <w:rStyle w:val="Appelnotedebasdep"/>
          <w:rFonts w:ascii="Arial" w:hAnsi="Arial" w:cs="Arial"/>
          <w:sz w:val="18"/>
          <w:szCs w:val="18"/>
        </w:rPr>
        <w:footnoteRef/>
      </w:r>
      <w:r w:rsidRPr="00676199">
        <w:rPr>
          <w:rFonts w:ascii="Arial" w:hAnsi="Arial" w:cs="Arial"/>
          <w:sz w:val="18"/>
          <w:szCs w:val="18"/>
        </w:rPr>
        <w:t xml:space="preserve"> </w:t>
      </w:r>
      <w:r w:rsidRPr="00676199">
        <w:rPr>
          <w:rFonts w:ascii="Arial" w:hAnsi="Arial" w:cs="Arial"/>
          <w:sz w:val="18"/>
          <w:szCs w:val="18"/>
          <w:lang w:val="es-AR"/>
        </w:rPr>
        <w:t>C-836-01</w:t>
      </w:r>
    </w:p>
  </w:footnote>
  <w:footnote w:id="6">
    <w:p w:rsidR="000757E9" w:rsidRPr="000757E9" w:rsidRDefault="000757E9">
      <w:pPr>
        <w:pStyle w:val="Notedebasdepage"/>
        <w:rPr>
          <w:rFonts w:ascii="Arial" w:hAnsi="Arial" w:cs="Arial"/>
          <w:sz w:val="18"/>
          <w:szCs w:val="18"/>
          <w:lang w:val="es-AR"/>
        </w:rPr>
      </w:pPr>
      <w:r w:rsidRPr="000757E9">
        <w:rPr>
          <w:rStyle w:val="Appelnotedebasdep"/>
          <w:rFonts w:ascii="Arial" w:hAnsi="Arial" w:cs="Arial"/>
          <w:sz w:val="18"/>
          <w:szCs w:val="18"/>
        </w:rPr>
        <w:footnoteRef/>
      </w:r>
      <w:r w:rsidRPr="000757E9">
        <w:rPr>
          <w:rFonts w:ascii="Arial" w:hAnsi="Arial" w:cs="Arial"/>
          <w:sz w:val="18"/>
          <w:szCs w:val="18"/>
        </w:rPr>
        <w:t xml:space="preserve"> </w:t>
      </w:r>
      <w:r w:rsidRPr="000757E9">
        <w:rPr>
          <w:rFonts w:ascii="Arial" w:hAnsi="Arial" w:cs="Arial"/>
          <w:sz w:val="18"/>
          <w:szCs w:val="18"/>
          <w:lang w:val="es-AR"/>
        </w:rPr>
        <w:t>Ley 270/1996 – Decreto 2591/1991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08" w:rsidRPr="00BB3FED" w:rsidRDefault="00907F08" w:rsidP="00AD7995">
    <w:pPr>
      <w:pStyle w:val="En-tte"/>
      <w:jc w:val="center"/>
      <w:rPr>
        <w:rFonts w:ascii="Arial" w:hAnsi="Arial" w:cs="Arial"/>
        <w:sz w:val="18"/>
        <w:szCs w:val="18"/>
      </w:rPr>
    </w:pPr>
    <w:r w:rsidRPr="00BB3FED">
      <w:rPr>
        <w:rFonts w:ascii="Arial" w:hAnsi="Arial" w:cs="Arial"/>
        <w:sz w:val="18"/>
        <w:szCs w:val="18"/>
      </w:rPr>
      <w:t xml:space="preserve">Proceso Ordinario Laboral </w:t>
    </w:r>
  </w:p>
  <w:p w:rsidR="00907F08" w:rsidRPr="00BB3FED" w:rsidRDefault="00907F08" w:rsidP="00AD7995">
    <w:pPr>
      <w:pStyle w:val="En-tte"/>
      <w:jc w:val="center"/>
      <w:rPr>
        <w:rFonts w:ascii="Arial" w:hAnsi="Arial" w:cs="Arial"/>
        <w:sz w:val="18"/>
        <w:szCs w:val="18"/>
      </w:rPr>
    </w:pPr>
    <w:r w:rsidRPr="00BB3FED">
      <w:rPr>
        <w:rFonts w:ascii="Arial" w:hAnsi="Arial" w:cs="Arial"/>
        <w:sz w:val="18"/>
        <w:szCs w:val="18"/>
      </w:rPr>
      <w:t xml:space="preserve">Radicado: </w:t>
    </w:r>
    <w:r w:rsidR="00601946">
      <w:rPr>
        <w:rFonts w:ascii="Arial" w:hAnsi="Arial" w:cs="Arial"/>
        <w:sz w:val="18"/>
        <w:szCs w:val="18"/>
      </w:rPr>
      <w:t>66001-31-05-00</w:t>
    </w:r>
    <w:r w:rsidR="00357C7B">
      <w:rPr>
        <w:rFonts w:ascii="Arial" w:hAnsi="Arial" w:cs="Arial"/>
        <w:sz w:val="18"/>
        <w:szCs w:val="18"/>
      </w:rPr>
      <w:t>4</w:t>
    </w:r>
    <w:r w:rsidR="00601946">
      <w:rPr>
        <w:rFonts w:ascii="Arial" w:hAnsi="Arial" w:cs="Arial"/>
        <w:sz w:val="18"/>
        <w:szCs w:val="18"/>
      </w:rPr>
      <w:t>-2015-00</w:t>
    </w:r>
    <w:r w:rsidR="00357C7B">
      <w:rPr>
        <w:rFonts w:ascii="Arial" w:hAnsi="Arial" w:cs="Arial"/>
        <w:sz w:val="18"/>
        <w:szCs w:val="18"/>
      </w:rPr>
      <w:t>448</w:t>
    </w:r>
    <w:r w:rsidR="00601946">
      <w:rPr>
        <w:rFonts w:ascii="Arial" w:hAnsi="Arial" w:cs="Arial"/>
        <w:sz w:val="18"/>
        <w:szCs w:val="18"/>
      </w:rPr>
      <w:t>-01</w:t>
    </w:r>
  </w:p>
  <w:p w:rsidR="00907F08" w:rsidRPr="00BB3FED" w:rsidRDefault="00357C7B" w:rsidP="00AD7995">
    <w:pPr>
      <w:pStyle w:val="En-tte"/>
      <w:jc w:val="center"/>
      <w:rPr>
        <w:rFonts w:ascii="Arial" w:hAnsi="Arial" w:cs="Arial"/>
        <w:sz w:val="18"/>
        <w:szCs w:val="18"/>
      </w:rPr>
    </w:pPr>
    <w:r>
      <w:rPr>
        <w:rFonts w:ascii="Arial" w:hAnsi="Arial" w:cs="Arial"/>
        <w:sz w:val="18"/>
        <w:szCs w:val="18"/>
      </w:rPr>
      <w:t xml:space="preserve">Esperanza Sánchez </w:t>
    </w:r>
    <w:proofErr w:type="spellStart"/>
    <w:r>
      <w:rPr>
        <w:rFonts w:ascii="Arial" w:hAnsi="Arial" w:cs="Arial"/>
        <w:sz w:val="18"/>
        <w:szCs w:val="18"/>
      </w:rPr>
      <w:t>Aristizabal</w:t>
    </w:r>
    <w:proofErr w:type="spellEnd"/>
    <w:r w:rsidR="007970D0">
      <w:rPr>
        <w:rFonts w:ascii="Arial" w:hAnsi="Arial" w:cs="Arial"/>
        <w:sz w:val="18"/>
        <w:szCs w:val="18"/>
      </w:rPr>
      <w:t xml:space="preserve"> </w:t>
    </w:r>
    <w:r w:rsidR="00907F08" w:rsidRPr="00BB3FED">
      <w:rPr>
        <w:rFonts w:ascii="Arial" w:hAnsi="Arial" w:cs="Arial"/>
        <w:sz w:val="18"/>
        <w:szCs w:val="18"/>
      </w:rPr>
      <w:t xml:space="preserve">vs </w:t>
    </w:r>
    <w:proofErr w:type="spellStart"/>
    <w:r w:rsidR="00907F08" w:rsidRPr="00BB3FED">
      <w:rPr>
        <w:rFonts w:ascii="Arial" w:hAnsi="Arial" w:cs="Arial"/>
        <w:sz w:val="18"/>
        <w:szCs w:val="18"/>
      </w:rPr>
      <w:t>Colpensiones</w:t>
    </w:r>
    <w:proofErr w:type="spellEnd"/>
    <w:r w:rsidR="00907F08" w:rsidRPr="00BB3FED">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4"/>
  </w:num>
  <w:num w:numId="4">
    <w:abstractNumId w:val="8"/>
  </w:num>
  <w:num w:numId="5">
    <w:abstractNumId w:val="0"/>
  </w:num>
  <w:num w:numId="6">
    <w:abstractNumId w:val="7"/>
  </w:num>
  <w:num w:numId="7">
    <w:abstractNumId w:val="2"/>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311F"/>
    <w:rsid w:val="0000581C"/>
    <w:rsid w:val="00007B72"/>
    <w:rsid w:val="00021910"/>
    <w:rsid w:val="00023EF9"/>
    <w:rsid w:val="00025946"/>
    <w:rsid w:val="00037D6B"/>
    <w:rsid w:val="00040E9A"/>
    <w:rsid w:val="000429E7"/>
    <w:rsid w:val="00042E63"/>
    <w:rsid w:val="00047835"/>
    <w:rsid w:val="00050D8B"/>
    <w:rsid w:val="0005630D"/>
    <w:rsid w:val="0006677B"/>
    <w:rsid w:val="0007142F"/>
    <w:rsid w:val="000757E9"/>
    <w:rsid w:val="00080F7F"/>
    <w:rsid w:val="0008139A"/>
    <w:rsid w:val="000902F6"/>
    <w:rsid w:val="00093011"/>
    <w:rsid w:val="00095E67"/>
    <w:rsid w:val="000A397D"/>
    <w:rsid w:val="000A4D92"/>
    <w:rsid w:val="000B55C3"/>
    <w:rsid w:val="000C08B1"/>
    <w:rsid w:val="000C0A51"/>
    <w:rsid w:val="000C37D4"/>
    <w:rsid w:val="000D650B"/>
    <w:rsid w:val="000E31BE"/>
    <w:rsid w:val="000E70EB"/>
    <w:rsid w:val="000E7F42"/>
    <w:rsid w:val="000F5775"/>
    <w:rsid w:val="00101DEB"/>
    <w:rsid w:val="00122A57"/>
    <w:rsid w:val="00126027"/>
    <w:rsid w:val="00127390"/>
    <w:rsid w:val="00132A38"/>
    <w:rsid w:val="00134C86"/>
    <w:rsid w:val="00135B19"/>
    <w:rsid w:val="00136BD5"/>
    <w:rsid w:val="00140398"/>
    <w:rsid w:val="00143516"/>
    <w:rsid w:val="00146784"/>
    <w:rsid w:val="00153FC8"/>
    <w:rsid w:val="001667FB"/>
    <w:rsid w:val="001678EA"/>
    <w:rsid w:val="00171C56"/>
    <w:rsid w:val="00172834"/>
    <w:rsid w:val="00176304"/>
    <w:rsid w:val="00183477"/>
    <w:rsid w:val="00185B3C"/>
    <w:rsid w:val="00186009"/>
    <w:rsid w:val="00186C09"/>
    <w:rsid w:val="001A11EE"/>
    <w:rsid w:val="001A35A2"/>
    <w:rsid w:val="001A3F0C"/>
    <w:rsid w:val="001A4D21"/>
    <w:rsid w:val="001B03FA"/>
    <w:rsid w:val="001B22B4"/>
    <w:rsid w:val="001C4D7F"/>
    <w:rsid w:val="001C756E"/>
    <w:rsid w:val="001E0313"/>
    <w:rsid w:val="001E359C"/>
    <w:rsid w:val="001F6B88"/>
    <w:rsid w:val="0020288B"/>
    <w:rsid w:val="00220AC7"/>
    <w:rsid w:val="00223134"/>
    <w:rsid w:val="00225C75"/>
    <w:rsid w:val="00226D5F"/>
    <w:rsid w:val="00231C0C"/>
    <w:rsid w:val="00231C21"/>
    <w:rsid w:val="002320EB"/>
    <w:rsid w:val="0024101E"/>
    <w:rsid w:val="00242152"/>
    <w:rsid w:val="00247BBE"/>
    <w:rsid w:val="00260A0C"/>
    <w:rsid w:val="00260C0B"/>
    <w:rsid w:val="00272C8B"/>
    <w:rsid w:val="00287140"/>
    <w:rsid w:val="0029381D"/>
    <w:rsid w:val="00297363"/>
    <w:rsid w:val="002A02BA"/>
    <w:rsid w:val="002A30D0"/>
    <w:rsid w:val="002A55E3"/>
    <w:rsid w:val="002B0763"/>
    <w:rsid w:val="002B4E63"/>
    <w:rsid w:val="002B7A17"/>
    <w:rsid w:val="002C0C18"/>
    <w:rsid w:val="002C438C"/>
    <w:rsid w:val="002D2217"/>
    <w:rsid w:val="002D566E"/>
    <w:rsid w:val="002D6807"/>
    <w:rsid w:val="002E1176"/>
    <w:rsid w:val="002E4F47"/>
    <w:rsid w:val="002F4482"/>
    <w:rsid w:val="002F7578"/>
    <w:rsid w:val="0030077E"/>
    <w:rsid w:val="00307EEE"/>
    <w:rsid w:val="003140EF"/>
    <w:rsid w:val="00330564"/>
    <w:rsid w:val="003361EF"/>
    <w:rsid w:val="003440CA"/>
    <w:rsid w:val="00344B04"/>
    <w:rsid w:val="003463CD"/>
    <w:rsid w:val="003465C4"/>
    <w:rsid w:val="0035243D"/>
    <w:rsid w:val="00357C7B"/>
    <w:rsid w:val="00360B25"/>
    <w:rsid w:val="00362830"/>
    <w:rsid w:val="00371309"/>
    <w:rsid w:val="003718EC"/>
    <w:rsid w:val="0037195C"/>
    <w:rsid w:val="00371E9E"/>
    <w:rsid w:val="003751E1"/>
    <w:rsid w:val="00381816"/>
    <w:rsid w:val="0038387C"/>
    <w:rsid w:val="0039086A"/>
    <w:rsid w:val="003922FA"/>
    <w:rsid w:val="00392EA4"/>
    <w:rsid w:val="003A3992"/>
    <w:rsid w:val="003C2430"/>
    <w:rsid w:val="003C527F"/>
    <w:rsid w:val="003D63A5"/>
    <w:rsid w:val="003E2B4E"/>
    <w:rsid w:val="003E31FF"/>
    <w:rsid w:val="003E46D1"/>
    <w:rsid w:val="003F0D02"/>
    <w:rsid w:val="003F339B"/>
    <w:rsid w:val="003F77C1"/>
    <w:rsid w:val="00407775"/>
    <w:rsid w:val="0042111D"/>
    <w:rsid w:val="004253D4"/>
    <w:rsid w:val="00426A77"/>
    <w:rsid w:val="00427EC4"/>
    <w:rsid w:val="00427FF5"/>
    <w:rsid w:val="004348AB"/>
    <w:rsid w:val="004379CF"/>
    <w:rsid w:val="00450598"/>
    <w:rsid w:val="00450903"/>
    <w:rsid w:val="004519EB"/>
    <w:rsid w:val="0045273B"/>
    <w:rsid w:val="0046338F"/>
    <w:rsid w:val="00465508"/>
    <w:rsid w:val="004779EB"/>
    <w:rsid w:val="004849E9"/>
    <w:rsid w:val="00495841"/>
    <w:rsid w:val="004A057C"/>
    <w:rsid w:val="004A2468"/>
    <w:rsid w:val="004A393C"/>
    <w:rsid w:val="004B2ADD"/>
    <w:rsid w:val="004B3C1E"/>
    <w:rsid w:val="004C4AF7"/>
    <w:rsid w:val="004D01C5"/>
    <w:rsid w:val="004D4032"/>
    <w:rsid w:val="004D51E9"/>
    <w:rsid w:val="004E0EBF"/>
    <w:rsid w:val="004E4CC6"/>
    <w:rsid w:val="004E6076"/>
    <w:rsid w:val="00501034"/>
    <w:rsid w:val="00502691"/>
    <w:rsid w:val="00510E28"/>
    <w:rsid w:val="00512268"/>
    <w:rsid w:val="005132A4"/>
    <w:rsid w:val="00515BDC"/>
    <w:rsid w:val="005351D4"/>
    <w:rsid w:val="0053562A"/>
    <w:rsid w:val="00550090"/>
    <w:rsid w:val="005535ED"/>
    <w:rsid w:val="00553BF5"/>
    <w:rsid w:val="0055465D"/>
    <w:rsid w:val="00560958"/>
    <w:rsid w:val="00561B54"/>
    <w:rsid w:val="00563496"/>
    <w:rsid w:val="00565E83"/>
    <w:rsid w:val="00567B33"/>
    <w:rsid w:val="00570188"/>
    <w:rsid w:val="00572BE9"/>
    <w:rsid w:val="005776BC"/>
    <w:rsid w:val="005818EA"/>
    <w:rsid w:val="0058787C"/>
    <w:rsid w:val="00591063"/>
    <w:rsid w:val="00594839"/>
    <w:rsid w:val="00597160"/>
    <w:rsid w:val="005A0D7F"/>
    <w:rsid w:val="005A526F"/>
    <w:rsid w:val="005B4FAA"/>
    <w:rsid w:val="005C5B7A"/>
    <w:rsid w:val="005E0ED1"/>
    <w:rsid w:val="005E165D"/>
    <w:rsid w:val="005E200E"/>
    <w:rsid w:val="005F5E82"/>
    <w:rsid w:val="00601946"/>
    <w:rsid w:val="006135E9"/>
    <w:rsid w:val="0061484D"/>
    <w:rsid w:val="006232B1"/>
    <w:rsid w:val="00634D5E"/>
    <w:rsid w:val="00637118"/>
    <w:rsid w:val="006470C8"/>
    <w:rsid w:val="006516CA"/>
    <w:rsid w:val="00652D0D"/>
    <w:rsid w:val="00662604"/>
    <w:rsid w:val="00664C67"/>
    <w:rsid w:val="006732CE"/>
    <w:rsid w:val="00674E33"/>
    <w:rsid w:val="00675E25"/>
    <w:rsid w:val="00676199"/>
    <w:rsid w:val="0068173D"/>
    <w:rsid w:val="00693C7A"/>
    <w:rsid w:val="00695334"/>
    <w:rsid w:val="00696F69"/>
    <w:rsid w:val="006A0D48"/>
    <w:rsid w:val="006A66F5"/>
    <w:rsid w:val="006C4430"/>
    <w:rsid w:val="006D0816"/>
    <w:rsid w:val="006E11A2"/>
    <w:rsid w:val="006E276B"/>
    <w:rsid w:val="006E2F01"/>
    <w:rsid w:val="006E53EA"/>
    <w:rsid w:val="006F0081"/>
    <w:rsid w:val="006F03F2"/>
    <w:rsid w:val="006F1F9C"/>
    <w:rsid w:val="006F2EA3"/>
    <w:rsid w:val="006F2FF3"/>
    <w:rsid w:val="006F3D12"/>
    <w:rsid w:val="006F68BC"/>
    <w:rsid w:val="00704279"/>
    <w:rsid w:val="00712CFC"/>
    <w:rsid w:val="00713558"/>
    <w:rsid w:val="007162DE"/>
    <w:rsid w:val="00716474"/>
    <w:rsid w:val="00720864"/>
    <w:rsid w:val="00721384"/>
    <w:rsid w:val="00722BBF"/>
    <w:rsid w:val="007257DE"/>
    <w:rsid w:val="007258A6"/>
    <w:rsid w:val="007308D1"/>
    <w:rsid w:val="007330F0"/>
    <w:rsid w:val="00733AFD"/>
    <w:rsid w:val="00734DCF"/>
    <w:rsid w:val="00734E40"/>
    <w:rsid w:val="007465BA"/>
    <w:rsid w:val="00747B2A"/>
    <w:rsid w:val="00747E40"/>
    <w:rsid w:val="007527A8"/>
    <w:rsid w:val="007632AA"/>
    <w:rsid w:val="00764C9B"/>
    <w:rsid w:val="00766E35"/>
    <w:rsid w:val="00777D9C"/>
    <w:rsid w:val="00781BA2"/>
    <w:rsid w:val="007821FC"/>
    <w:rsid w:val="00782777"/>
    <w:rsid w:val="0078325C"/>
    <w:rsid w:val="00783823"/>
    <w:rsid w:val="00795237"/>
    <w:rsid w:val="007970D0"/>
    <w:rsid w:val="007A2D40"/>
    <w:rsid w:val="007B1977"/>
    <w:rsid w:val="007B2654"/>
    <w:rsid w:val="007B3C6C"/>
    <w:rsid w:val="007B3F42"/>
    <w:rsid w:val="007B5499"/>
    <w:rsid w:val="007B79EF"/>
    <w:rsid w:val="007C5A02"/>
    <w:rsid w:val="007C6194"/>
    <w:rsid w:val="007C76E4"/>
    <w:rsid w:val="007D0A41"/>
    <w:rsid w:val="007D5023"/>
    <w:rsid w:val="007E5F18"/>
    <w:rsid w:val="0080180A"/>
    <w:rsid w:val="00804AC2"/>
    <w:rsid w:val="00810397"/>
    <w:rsid w:val="0082110F"/>
    <w:rsid w:val="008273A4"/>
    <w:rsid w:val="0083061B"/>
    <w:rsid w:val="0083155E"/>
    <w:rsid w:val="0084536A"/>
    <w:rsid w:val="0084730C"/>
    <w:rsid w:val="00847BD3"/>
    <w:rsid w:val="008514AF"/>
    <w:rsid w:val="0085750F"/>
    <w:rsid w:val="00860E42"/>
    <w:rsid w:val="00861E49"/>
    <w:rsid w:val="00865F8B"/>
    <w:rsid w:val="00872FB9"/>
    <w:rsid w:val="008751D8"/>
    <w:rsid w:val="008778BA"/>
    <w:rsid w:val="008778C4"/>
    <w:rsid w:val="00877C65"/>
    <w:rsid w:val="00880921"/>
    <w:rsid w:val="00883AAD"/>
    <w:rsid w:val="00895036"/>
    <w:rsid w:val="008A04F6"/>
    <w:rsid w:val="008A090A"/>
    <w:rsid w:val="008B3495"/>
    <w:rsid w:val="008C5FDB"/>
    <w:rsid w:val="008C61AB"/>
    <w:rsid w:val="008D7031"/>
    <w:rsid w:val="008E1DDD"/>
    <w:rsid w:val="008E5563"/>
    <w:rsid w:val="008F003B"/>
    <w:rsid w:val="00904D31"/>
    <w:rsid w:val="00907A5F"/>
    <w:rsid w:val="00907F08"/>
    <w:rsid w:val="00911270"/>
    <w:rsid w:val="00915EE3"/>
    <w:rsid w:val="00922DCA"/>
    <w:rsid w:val="009249A0"/>
    <w:rsid w:val="009269DA"/>
    <w:rsid w:val="00942452"/>
    <w:rsid w:val="00966F23"/>
    <w:rsid w:val="009740CF"/>
    <w:rsid w:val="00975D88"/>
    <w:rsid w:val="0099139C"/>
    <w:rsid w:val="00995393"/>
    <w:rsid w:val="00997B2A"/>
    <w:rsid w:val="009A158B"/>
    <w:rsid w:val="009A1C84"/>
    <w:rsid w:val="009A5558"/>
    <w:rsid w:val="009B049E"/>
    <w:rsid w:val="009B50EE"/>
    <w:rsid w:val="009D6B62"/>
    <w:rsid w:val="009E1BB1"/>
    <w:rsid w:val="009E5A8E"/>
    <w:rsid w:val="009E7AFA"/>
    <w:rsid w:val="009F0617"/>
    <w:rsid w:val="009F1835"/>
    <w:rsid w:val="009F38A2"/>
    <w:rsid w:val="009F7618"/>
    <w:rsid w:val="00A02043"/>
    <w:rsid w:val="00A026CC"/>
    <w:rsid w:val="00A16831"/>
    <w:rsid w:val="00A205C1"/>
    <w:rsid w:val="00A23CFA"/>
    <w:rsid w:val="00A24F8A"/>
    <w:rsid w:val="00A26483"/>
    <w:rsid w:val="00A27137"/>
    <w:rsid w:val="00A37314"/>
    <w:rsid w:val="00A44C8E"/>
    <w:rsid w:val="00A465A9"/>
    <w:rsid w:val="00A5024C"/>
    <w:rsid w:val="00A5359A"/>
    <w:rsid w:val="00A54BD4"/>
    <w:rsid w:val="00A67E77"/>
    <w:rsid w:val="00A70128"/>
    <w:rsid w:val="00A81A6D"/>
    <w:rsid w:val="00A85C4C"/>
    <w:rsid w:val="00A87922"/>
    <w:rsid w:val="00A928D2"/>
    <w:rsid w:val="00A93DCA"/>
    <w:rsid w:val="00A957FB"/>
    <w:rsid w:val="00AB0154"/>
    <w:rsid w:val="00AB4FDE"/>
    <w:rsid w:val="00AC3820"/>
    <w:rsid w:val="00AC486E"/>
    <w:rsid w:val="00AD1341"/>
    <w:rsid w:val="00AD649C"/>
    <w:rsid w:val="00AD7562"/>
    <w:rsid w:val="00AD7995"/>
    <w:rsid w:val="00AE3443"/>
    <w:rsid w:val="00AF18BD"/>
    <w:rsid w:val="00B0027A"/>
    <w:rsid w:val="00B0466B"/>
    <w:rsid w:val="00B04D65"/>
    <w:rsid w:val="00B07142"/>
    <w:rsid w:val="00B21808"/>
    <w:rsid w:val="00B22E56"/>
    <w:rsid w:val="00B448FA"/>
    <w:rsid w:val="00B56E76"/>
    <w:rsid w:val="00B60E4D"/>
    <w:rsid w:val="00B63166"/>
    <w:rsid w:val="00B63804"/>
    <w:rsid w:val="00B67118"/>
    <w:rsid w:val="00B71E8F"/>
    <w:rsid w:val="00B8028A"/>
    <w:rsid w:val="00B81590"/>
    <w:rsid w:val="00B93253"/>
    <w:rsid w:val="00B9600C"/>
    <w:rsid w:val="00BA0C20"/>
    <w:rsid w:val="00BA1BEB"/>
    <w:rsid w:val="00BB390F"/>
    <w:rsid w:val="00BB3FED"/>
    <w:rsid w:val="00BB6B1B"/>
    <w:rsid w:val="00BC31C8"/>
    <w:rsid w:val="00BC3CEC"/>
    <w:rsid w:val="00BC7A07"/>
    <w:rsid w:val="00BD00C4"/>
    <w:rsid w:val="00BD1C65"/>
    <w:rsid w:val="00BD3C89"/>
    <w:rsid w:val="00BD7388"/>
    <w:rsid w:val="00BE0180"/>
    <w:rsid w:val="00BE0373"/>
    <w:rsid w:val="00BF1717"/>
    <w:rsid w:val="00BF25CC"/>
    <w:rsid w:val="00BF3BE5"/>
    <w:rsid w:val="00BF531B"/>
    <w:rsid w:val="00C1062A"/>
    <w:rsid w:val="00C14D4B"/>
    <w:rsid w:val="00C1591F"/>
    <w:rsid w:val="00C15F17"/>
    <w:rsid w:val="00C27386"/>
    <w:rsid w:val="00C35779"/>
    <w:rsid w:val="00C521EF"/>
    <w:rsid w:val="00C5450D"/>
    <w:rsid w:val="00C62F29"/>
    <w:rsid w:val="00C74693"/>
    <w:rsid w:val="00C77CC8"/>
    <w:rsid w:val="00C90579"/>
    <w:rsid w:val="00C91182"/>
    <w:rsid w:val="00CA0456"/>
    <w:rsid w:val="00CA15E5"/>
    <w:rsid w:val="00CA3DF9"/>
    <w:rsid w:val="00CC1852"/>
    <w:rsid w:val="00CC739E"/>
    <w:rsid w:val="00CD79E1"/>
    <w:rsid w:val="00CE19AC"/>
    <w:rsid w:val="00CF04C1"/>
    <w:rsid w:val="00CF3D28"/>
    <w:rsid w:val="00CF576A"/>
    <w:rsid w:val="00CF7B13"/>
    <w:rsid w:val="00D00108"/>
    <w:rsid w:val="00D00D98"/>
    <w:rsid w:val="00D017B8"/>
    <w:rsid w:val="00D06347"/>
    <w:rsid w:val="00D270A6"/>
    <w:rsid w:val="00D320B2"/>
    <w:rsid w:val="00D37D11"/>
    <w:rsid w:val="00D41F38"/>
    <w:rsid w:val="00D4334B"/>
    <w:rsid w:val="00D505A0"/>
    <w:rsid w:val="00D51A64"/>
    <w:rsid w:val="00D578CB"/>
    <w:rsid w:val="00D747E2"/>
    <w:rsid w:val="00D87A44"/>
    <w:rsid w:val="00D914F9"/>
    <w:rsid w:val="00D9536D"/>
    <w:rsid w:val="00DA1B60"/>
    <w:rsid w:val="00DA3E57"/>
    <w:rsid w:val="00DA464F"/>
    <w:rsid w:val="00DA6547"/>
    <w:rsid w:val="00DD5737"/>
    <w:rsid w:val="00DE2D85"/>
    <w:rsid w:val="00DE79B8"/>
    <w:rsid w:val="00DF30A5"/>
    <w:rsid w:val="00E04822"/>
    <w:rsid w:val="00E062F9"/>
    <w:rsid w:val="00E10861"/>
    <w:rsid w:val="00E153DA"/>
    <w:rsid w:val="00E27B52"/>
    <w:rsid w:val="00E34538"/>
    <w:rsid w:val="00E368B2"/>
    <w:rsid w:val="00E36A32"/>
    <w:rsid w:val="00E539BF"/>
    <w:rsid w:val="00E57586"/>
    <w:rsid w:val="00E57C3E"/>
    <w:rsid w:val="00E64334"/>
    <w:rsid w:val="00E654A5"/>
    <w:rsid w:val="00E665CA"/>
    <w:rsid w:val="00E70A48"/>
    <w:rsid w:val="00E76099"/>
    <w:rsid w:val="00E84B09"/>
    <w:rsid w:val="00E84DB5"/>
    <w:rsid w:val="00E869BA"/>
    <w:rsid w:val="00E938FF"/>
    <w:rsid w:val="00E94019"/>
    <w:rsid w:val="00E956F4"/>
    <w:rsid w:val="00EA0577"/>
    <w:rsid w:val="00EA12D1"/>
    <w:rsid w:val="00EA172C"/>
    <w:rsid w:val="00EA2DED"/>
    <w:rsid w:val="00EA4765"/>
    <w:rsid w:val="00EB26C5"/>
    <w:rsid w:val="00EB368F"/>
    <w:rsid w:val="00EB4499"/>
    <w:rsid w:val="00EC3C6F"/>
    <w:rsid w:val="00ED1262"/>
    <w:rsid w:val="00ED1285"/>
    <w:rsid w:val="00ED674E"/>
    <w:rsid w:val="00EF181B"/>
    <w:rsid w:val="00EF2074"/>
    <w:rsid w:val="00EF372A"/>
    <w:rsid w:val="00F00141"/>
    <w:rsid w:val="00F017BF"/>
    <w:rsid w:val="00F07911"/>
    <w:rsid w:val="00F11410"/>
    <w:rsid w:val="00F13611"/>
    <w:rsid w:val="00F1486B"/>
    <w:rsid w:val="00F168E4"/>
    <w:rsid w:val="00F175E1"/>
    <w:rsid w:val="00F500A7"/>
    <w:rsid w:val="00F552D5"/>
    <w:rsid w:val="00F56B58"/>
    <w:rsid w:val="00F65645"/>
    <w:rsid w:val="00F7229A"/>
    <w:rsid w:val="00F761FA"/>
    <w:rsid w:val="00F80806"/>
    <w:rsid w:val="00F854DC"/>
    <w:rsid w:val="00F91202"/>
    <w:rsid w:val="00F924F2"/>
    <w:rsid w:val="00F9391A"/>
    <w:rsid w:val="00F9632D"/>
    <w:rsid w:val="00FA42C7"/>
    <w:rsid w:val="00FA5FE5"/>
    <w:rsid w:val="00FA6675"/>
    <w:rsid w:val="00FA75E6"/>
    <w:rsid w:val="00FA7FA8"/>
    <w:rsid w:val="00FB4F2B"/>
    <w:rsid w:val="00FC44F4"/>
    <w:rsid w:val="00FD2EF2"/>
    <w:rsid w:val="00FE059A"/>
    <w:rsid w:val="00FE52E6"/>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3">
    <w:name w:val="heading 3"/>
    <w:basedOn w:val="Normal"/>
    <w:next w:val="Normal"/>
    <w:link w:val="Titre3Car"/>
    <w:uiPriority w:val="9"/>
    <w:semiHidden/>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8B3495"/>
  </w:style>
  <w:style w:type="character" w:styleId="lev">
    <w:name w:val="Strong"/>
    <w:basedOn w:val="Policepardfaut"/>
    <w:uiPriority w:val="22"/>
    <w:qFormat/>
    <w:rsid w:val="008B3495"/>
    <w:rPr>
      <w:b/>
      <w:bCs/>
    </w:rPr>
  </w:style>
  <w:style w:type="paragraph" w:styleId="Corpsdetexte2">
    <w:name w:val="Body Text 2"/>
    <w:basedOn w:val="Normal"/>
    <w:link w:val="Corpsdetexte2Car"/>
    <w:uiPriority w:val="99"/>
    <w:unhideWhenUsed/>
    <w:rsid w:val="008B3495"/>
    <w:pPr>
      <w:spacing w:after="120" w:line="480" w:lineRule="auto"/>
    </w:pPr>
  </w:style>
  <w:style w:type="character" w:customStyle="1" w:styleId="Corpsdetexte2Car">
    <w:name w:val="Corps de texte 2 Car"/>
    <w:basedOn w:val="Policepardfaut"/>
    <w:link w:val="Corpsdetex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itre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itre3Car">
    <w:name w:val="Titre 3 Car"/>
    <w:basedOn w:val="Policepardfaut"/>
    <w:link w:val="Titre3"/>
    <w:uiPriority w:val="9"/>
    <w:semiHidden/>
    <w:rsid w:val="001F6B88"/>
    <w:rPr>
      <w:rFonts w:asciiTheme="majorHAnsi" w:eastAsiaTheme="majorEastAsia" w:hAnsiTheme="majorHAnsi" w:cstheme="majorBidi"/>
      <w:color w:val="1F4D78" w:themeColor="accent1" w:themeShade="7F"/>
      <w:sz w:val="24"/>
      <w:szCs w:val="24"/>
      <w:lang w:val="es-ES_tradnl" w:eastAsia="es-ES"/>
    </w:rPr>
  </w:style>
  <w:style w:type="character" w:styleId="Accentuation">
    <w:name w:val="Emphasis"/>
    <w:qFormat/>
    <w:rsid w:val="005A0D7F"/>
    <w:rPr>
      <w:i/>
      <w:iCs/>
    </w:rPr>
  </w:style>
  <w:style w:type="paragraph" w:styleId="Retrait1religne">
    <w:name w:val="Body Text First Indent"/>
    <w:basedOn w:val="Corpsdetexte"/>
    <w:link w:val="Retrait1religne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3">
    <w:name w:val="heading 3"/>
    <w:basedOn w:val="Normal"/>
    <w:next w:val="Normal"/>
    <w:link w:val="Titre3Car"/>
    <w:uiPriority w:val="9"/>
    <w:semiHidden/>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8B3495"/>
  </w:style>
  <w:style w:type="character" w:styleId="lev">
    <w:name w:val="Strong"/>
    <w:basedOn w:val="Policepardfaut"/>
    <w:uiPriority w:val="22"/>
    <w:qFormat/>
    <w:rsid w:val="008B3495"/>
    <w:rPr>
      <w:b/>
      <w:bCs/>
    </w:rPr>
  </w:style>
  <w:style w:type="paragraph" w:styleId="Corpsdetexte2">
    <w:name w:val="Body Text 2"/>
    <w:basedOn w:val="Normal"/>
    <w:link w:val="Corpsdetexte2Car"/>
    <w:uiPriority w:val="99"/>
    <w:unhideWhenUsed/>
    <w:rsid w:val="008B3495"/>
    <w:pPr>
      <w:spacing w:after="120" w:line="480" w:lineRule="auto"/>
    </w:pPr>
  </w:style>
  <w:style w:type="character" w:customStyle="1" w:styleId="Corpsdetexte2Car">
    <w:name w:val="Corps de texte 2 Car"/>
    <w:basedOn w:val="Policepardfaut"/>
    <w:link w:val="Corpsdetex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itre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itre3Car">
    <w:name w:val="Titre 3 Car"/>
    <w:basedOn w:val="Policepardfaut"/>
    <w:link w:val="Titre3"/>
    <w:uiPriority w:val="9"/>
    <w:semiHidden/>
    <w:rsid w:val="001F6B88"/>
    <w:rPr>
      <w:rFonts w:asciiTheme="majorHAnsi" w:eastAsiaTheme="majorEastAsia" w:hAnsiTheme="majorHAnsi" w:cstheme="majorBidi"/>
      <w:color w:val="1F4D78" w:themeColor="accent1" w:themeShade="7F"/>
      <w:sz w:val="24"/>
      <w:szCs w:val="24"/>
      <w:lang w:val="es-ES_tradnl" w:eastAsia="es-ES"/>
    </w:rPr>
  </w:style>
  <w:style w:type="character" w:styleId="Accentuation">
    <w:name w:val="Emphasis"/>
    <w:qFormat/>
    <w:rsid w:val="005A0D7F"/>
    <w:rPr>
      <w:i/>
      <w:iCs/>
    </w:rPr>
  </w:style>
  <w:style w:type="paragraph" w:styleId="Retrait1religne">
    <w:name w:val="Body Text First Indent"/>
    <w:basedOn w:val="Corpsdetexte"/>
    <w:link w:val="Retrait1religne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3328">
      <w:bodyDiv w:val="1"/>
      <w:marLeft w:val="0"/>
      <w:marRight w:val="0"/>
      <w:marTop w:val="0"/>
      <w:marBottom w:val="0"/>
      <w:divBdr>
        <w:top w:val="none" w:sz="0" w:space="0" w:color="auto"/>
        <w:left w:val="none" w:sz="0" w:space="0" w:color="auto"/>
        <w:bottom w:val="none" w:sz="0" w:space="0" w:color="auto"/>
        <w:right w:val="none" w:sz="0" w:space="0" w:color="auto"/>
      </w:divBdr>
    </w:div>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403067891">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917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83D62-5BB4-49CD-A0EC-F66560AB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2256</Words>
  <Characters>12413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24</cp:revision>
  <cp:lastPrinted>2017-03-07T16:22:00Z</cp:lastPrinted>
  <dcterms:created xsi:type="dcterms:W3CDTF">2017-03-14T18:40:00Z</dcterms:created>
  <dcterms:modified xsi:type="dcterms:W3CDTF">2017-05-14T13:18:00Z</dcterms:modified>
</cp:coreProperties>
</file>