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E7" w:rsidRPr="0094372D" w:rsidRDefault="002125E7" w:rsidP="002125E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2125E7" w:rsidRPr="0094372D" w:rsidRDefault="002125E7" w:rsidP="002125E7">
      <w:pPr>
        <w:widowControl w:val="0"/>
        <w:autoSpaceDE w:val="0"/>
        <w:autoSpaceDN w:val="0"/>
        <w:adjustRightInd w:val="0"/>
        <w:spacing w:line="600" w:lineRule="auto"/>
        <w:rPr>
          <w:rFonts w:ascii="Tahoma" w:hAnsi="Tahoma" w:cs="Tahoma"/>
          <w:b/>
          <w:sz w:val="18"/>
          <w:szCs w:val="18"/>
          <w:lang w:val="es-CO"/>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125E7" w:rsidRPr="007C5A02" w:rsidRDefault="002125E7" w:rsidP="002125E7">
      <w:pPr>
        <w:spacing w:line="276" w:lineRule="auto"/>
        <w:ind w:left="1276"/>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t xml:space="preserve">Sentencia </w:t>
      </w:r>
      <w:r>
        <w:rPr>
          <w:rFonts w:ascii="Arial" w:hAnsi="Arial" w:cs="Arial"/>
          <w:sz w:val="18"/>
          <w:szCs w:val="18"/>
        </w:rPr>
        <w:t>– 2ª instancia – 14 de marzo de 2017</w:t>
      </w:r>
    </w:p>
    <w:p w:rsidR="002125E7" w:rsidRPr="007C5A02" w:rsidRDefault="002125E7" w:rsidP="002125E7">
      <w:pPr>
        <w:spacing w:line="276" w:lineRule="auto"/>
        <w:ind w:left="1276"/>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sentencia que negó las pretensiones</w:t>
      </w:r>
    </w:p>
    <w:p w:rsidR="002125E7" w:rsidRPr="007C5A02" w:rsidRDefault="002125E7" w:rsidP="002125E7">
      <w:pPr>
        <w:spacing w:line="276" w:lineRule="auto"/>
        <w:ind w:left="1276"/>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Pr>
          <w:rFonts w:ascii="Arial" w:hAnsi="Arial" w:cs="Arial"/>
          <w:bCs/>
          <w:sz w:val="18"/>
          <w:szCs w:val="18"/>
        </w:rPr>
        <w:t>66001-31-05-003-2015-00556-01</w:t>
      </w:r>
    </w:p>
    <w:p w:rsidR="002125E7" w:rsidRPr="007C5A02" w:rsidRDefault="002125E7" w:rsidP="002125E7">
      <w:pPr>
        <w:spacing w:line="276" w:lineRule="auto"/>
        <w:ind w:left="1276"/>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Pr>
          <w:rFonts w:ascii="Arial" w:hAnsi="Arial" w:cs="Arial"/>
          <w:iCs/>
          <w:sz w:val="18"/>
          <w:szCs w:val="18"/>
        </w:rPr>
        <w:t>Emma Ruiz de González</w:t>
      </w:r>
    </w:p>
    <w:p w:rsidR="002125E7" w:rsidRPr="007C5A02" w:rsidRDefault="002125E7" w:rsidP="002125E7">
      <w:pPr>
        <w:spacing w:line="276" w:lineRule="auto"/>
        <w:ind w:left="1276"/>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125E7" w:rsidRDefault="002125E7" w:rsidP="002125E7">
      <w:pPr>
        <w:spacing w:line="276" w:lineRule="auto"/>
        <w:ind w:left="1276"/>
        <w:contextualSpacing/>
        <w:jc w:val="both"/>
        <w:rPr>
          <w:rFonts w:ascii="Arial" w:hAnsi="Arial" w:cs="Arial"/>
          <w:sz w:val="18"/>
          <w:szCs w:val="18"/>
        </w:rPr>
      </w:pPr>
      <w:r w:rsidRPr="007C5A02">
        <w:rPr>
          <w:rFonts w:ascii="Arial" w:hAnsi="Arial" w:cs="Arial"/>
          <w:b/>
          <w:sz w:val="18"/>
          <w:szCs w:val="18"/>
        </w:rPr>
        <w:t>Juzgado de origen</w:t>
      </w:r>
      <w:r>
        <w:rPr>
          <w:rFonts w:ascii="Arial" w:hAnsi="Arial" w:cs="Arial"/>
          <w:b/>
          <w:sz w:val="18"/>
          <w:szCs w:val="18"/>
        </w:rPr>
        <w:t xml:space="preserve">: </w:t>
      </w:r>
      <w:r w:rsidRPr="002125E7">
        <w:rPr>
          <w:rFonts w:ascii="Arial" w:hAnsi="Arial" w:cs="Arial"/>
          <w:sz w:val="18"/>
          <w:szCs w:val="18"/>
        </w:rPr>
        <w:t>T</w:t>
      </w:r>
      <w:r>
        <w:rPr>
          <w:rFonts w:ascii="Arial" w:hAnsi="Arial" w:cs="Arial"/>
          <w:sz w:val="18"/>
          <w:szCs w:val="18"/>
        </w:rPr>
        <w:t>ercero Laboral del Circuito de Pereira</w:t>
      </w:r>
    </w:p>
    <w:p w:rsidR="002125E7" w:rsidRPr="00907F08" w:rsidRDefault="002125E7" w:rsidP="002125E7">
      <w:pPr>
        <w:spacing w:line="276" w:lineRule="auto"/>
        <w:ind w:left="1276"/>
        <w:contextualSpacing/>
        <w:jc w:val="both"/>
        <w:rPr>
          <w:rFonts w:ascii="Arial" w:hAnsi="Arial" w:cs="Arial"/>
          <w:sz w:val="18"/>
          <w:szCs w:val="18"/>
        </w:rPr>
      </w:pPr>
    </w:p>
    <w:p w:rsidR="002125E7" w:rsidRPr="002125E7" w:rsidRDefault="002125E7" w:rsidP="002125E7">
      <w:pPr>
        <w:spacing w:line="276" w:lineRule="auto"/>
        <w:ind w:left="1276"/>
        <w:contextualSpacing/>
        <w:jc w:val="both"/>
        <w:rPr>
          <w:rFonts w:ascii="Arial" w:hAnsi="Arial" w:cs="Arial"/>
          <w:bCs/>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r>
      <w:r w:rsidRPr="00007B72">
        <w:rPr>
          <w:rFonts w:ascii="Arial" w:hAnsi="Arial" w:cs="Arial"/>
          <w:b/>
          <w:bCs/>
          <w:sz w:val="18"/>
          <w:szCs w:val="18"/>
        </w:rPr>
        <w:t>PENSIÓN DE SOBREVIVIENTES – CONDICIÓN MÁS BENEFICIOSA</w:t>
      </w:r>
      <w:r>
        <w:rPr>
          <w:rFonts w:ascii="Arial" w:hAnsi="Arial" w:cs="Arial"/>
          <w:b/>
          <w:bCs/>
          <w:sz w:val="18"/>
          <w:szCs w:val="18"/>
        </w:rPr>
        <w:t xml:space="preserve">. </w:t>
      </w:r>
      <w:r w:rsidRPr="002125E7">
        <w:rPr>
          <w:rFonts w:ascii="Arial" w:hAnsi="Arial" w:cs="Arial"/>
          <w:bCs/>
          <w:sz w:val="18"/>
          <w:szCs w:val="18"/>
        </w:rPr>
        <w:t>“</w:t>
      </w:r>
      <w:r w:rsidRPr="002125E7">
        <w:rPr>
          <w:rFonts w:ascii="Arial" w:hAnsi="Arial" w:cs="Arial"/>
          <w:bCs/>
          <w:sz w:val="18"/>
          <w:szCs w:val="18"/>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 Respecto del valor normativo de las sentencias de la Corte Suprema de Justicia, inclusive, su homóloga constitucional ha manifestado</w:t>
      </w:r>
      <w:r w:rsidRPr="002125E7">
        <w:rPr>
          <w:rFonts w:ascii="Arial" w:hAnsi="Arial" w:cs="Arial"/>
          <w:bCs/>
          <w:sz w:val="18"/>
          <w:szCs w:val="18"/>
          <w:vertAlign w:val="superscript"/>
          <w:lang w:val="es-ES"/>
        </w:rPr>
        <w:footnoteReference w:id="1"/>
      </w:r>
      <w:r w:rsidRPr="002125E7">
        <w:rPr>
          <w:rFonts w:ascii="Arial" w:hAnsi="Arial" w:cs="Arial"/>
          <w:bCs/>
          <w:sz w:val="18"/>
          <w:szCs w:val="18"/>
          <w:lang w:val="es-ES"/>
        </w:rPr>
        <w:t xml:space="preserve"> que las decisiones adoptadas por la primera, deben ser atendidas por todos los jueces que conforman esa jurisdicción, sin que puedan apartarse de ellas a su arbitrio, pues ello solo es posible bajo un sólido argumento justificativo. Ahora, frente a las sentencias de tutela proferidas por el Tribunal Constitucional, no existe duda que las mismas producen efectos inter partes,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2125E7" w:rsidRPr="002125E7" w:rsidRDefault="002125E7" w:rsidP="002125E7">
      <w:pPr>
        <w:spacing w:line="276" w:lineRule="auto"/>
        <w:ind w:left="1276"/>
        <w:contextualSpacing/>
        <w:jc w:val="both"/>
        <w:rPr>
          <w:rFonts w:ascii="Arial" w:hAnsi="Arial" w:cs="Arial"/>
          <w:b/>
          <w:bCs/>
          <w:sz w:val="28"/>
          <w:szCs w:val="28"/>
          <w:lang w:val="es-ES"/>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ansinterligne"/>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D0DA3">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4D0DA3">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7970D0">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4D0DA3">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09</w:t>
      </w:r>
      <w:r w:rsidR="00766E35">
        <w:rPr>
          <w:rFonts w:ascii="Arial" w:eastAsia="Calibri" w:hAnsi="Arial" w:cs="Arial"/>
          <w:szCs w:val="24"/>
          <w:lang w:val="es-CO" w:eastAsia="en-US"/>
        </w:rPr>
        <w:t>:0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766E35">
        <w:rPr>
          <w:rFonts w:ascii="Arial" w:hAnsi="Arial" w:cs="Arial"/>
          <w:bCs/>
          <w:color w:val="000000"/>
          <w:szCs w:val="24"/>
          <w:lang w:eastAsia="es-CO"/>
        </w:rPr>
        <w:t xml:space="preserve">recurso de apelación respecto </w:t>
      </w:r>
      <w:r w:rsidRPr="00AC486E">
        <w:rPr>
          <w:rFonts w:ascii="Arial" w:hAnsi="Arial" w:cs="Arial"/>
          <w:bCs/>
          <w:color w:val="000000"/>
          <w:szCs w:val="24"/>
          <w:lang w:eastAsia="es-CO"/>
        </w:rPr>
        <w:t xml:space="preserve">a la </w:t>
      </w:r>
      <w:proofErr w:type="gramStart"/>
      <w:r w:rsidRPr="00AC486E">
        <w:rPr>
          <w:rFonts w:ascii="Arial" w:hAnsi="Arial" w:cs="Arial"/>
          <w:bCs/>
          <w:color w:val="000000"/>
          <w:szCs w:val="24"/>
          <w:lang w:eastAsia="es-CO"/>
        </w:rPr>
        <w:t>sentencia</w:t>
      </w:r>
      <w:proofErr w:type="gramEnd"/>
      <w:r w:rsidRPr="00AC486E">
        <w:rPr>
          <w:rFonts w:ascii="Arial" w:hAnsi="Arial" w:cs="Arial"/>
          <w:bCs/>
          <w:color w:val="000000"/>
          <w:szCs w:val="24"/>
          <w:lang w:eastAsia="es-CO"/>
        </w:rPr>
        <w:t xml:space="preserve"> p</w:t>
      </w:r>
      <w:r w:rsidRPr="00AC486E">
        <w:rPr>
          <w:rFonts w:ascii="Arial" w:hAnsi="Arial" w:cs="Arial"/>
          <w:szCs w:val="24"/>
        </w:rPr>
        <w:t xml:space="preserve">roferida el </w:t>
      </w:r>
      <w:r w:rsidR="004D0DA3">
        <w:rPr>
          <w:rFonts w:ascii="Arial" w:hAnsi="Arial" w:cs="Arial"/>
          <w:szCs w:val="24"/>
        </w:rPr>
        <w:t>26</w:t>
      </w:r>
      <w:r w:rsidR="007970D0">
        <w:rPr>
          <w:rFonts w:ascii="Arial" w:hAnsi="Arial" w:cs="Arial"/>
          <w:szCs w:val="24"/>
        </w:rPr>
        <w:t xml:space="preserve"> </w:t>
      </w:r>
      <w:r w:rsidRPr="00AC486E">
        <w:rPr>
          <w:rFonts w:ascii="Arial" w:hAnsi="Arial" w:cs="Arial"/>
          <w:szCs w:val="24"/>
        </w:rPr>
        <w:t xml:space="preserve">de </w:t>
      </w:r>
      <w:r w:rsidR="007970D0">
        <w:rPr>
          <w:rFonts w:ascii="Arial" w:hAnsi="Arial" w:cs="Arial"/>
          <w:szCs w:val="24"/>
        </w:rPr>
        <w:t xml:space="preserve">abril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4D0DA3">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4D0DA3">
        <w:rPr>
          <w:rFonts w:ascii="Arial" w:hAnsi="Arial" w:cs="Arial"/>
          <w:b/>
          <w:szCs w:val="24"/>
        </w:rPr>
        <w:t>Emma Ruiz de González</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4D0DA3">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4D0DA3">
        <w:rPr>
          <w:rFonts w:ascii="Arial" w:hAnsi="Arial" w:cs="Arial"/>
          <w:bCs/>
          <w:iCs/>
          <w:szCs w:val="24"/>
        </w:rPr>
        <w:t>556</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Pr="002125E7" w:rsidRDefault="00695334" w:rsidP="002D566E">
      <w:pPr>
        <w:spacing w:line="276" w:lineRule="auto"/>
        <w:ind w:firstLine="851"/>
        <w:contextualSpacing/>
        <w:rPr>
          <w:rFonts w:ascii="Arial" w:hAnsi="Arial" w:cs="Arial"/>
          <w:sz w:val="10"/>
          <w:szCs w:val="10"/>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Pr="002125E7" w:rsidRDefault="00695334" w:rsidP="002D566E">
      <w:pPr>
        <w:spacing w:line="276" w:lineRule="auto"/>
        <w:contextualSpacing/>
        <w:jc w:val="both"/>
        <w:rPr>
          <w:rFonts w:ascii="Arial" w:hAnsi="Arial" w:cs="Arial"/>
          <w:b/>
          <w:sz w:val="10"/>
          <w:szCs w:val="10"/>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lastRenderedPageBreak/>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4D0DA3">
        <w:rPr>
          <w:rFonts w:ascii="Arial" w:hAnsi="Arial" w:cs="Arial"/>
          <w:szCs w:val="24"/>
        </w:rPr>
        <w:t>Emma Ruiz de González</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señor </w:t>
      </w:r>
      <w:r w:rsidR="00BA2649">
        <w:rPr>
          <w:rFonts w:ascii="Arial" w:hAnsi="Arial" w:cs="Arial"/>
          <w:szCs w:val="24"/>
        </w:rPr>
        <w:t>Antonio José González Gá</w:t>
      </w:r>
      <w:r w:rsidR="004D0DA3">
        <w:rPr>
          <w:rFonts w:ascii="Arial" w:hAnsi="Arial" w:cs="Arial"/>
          <w:szCs w:val="24"/>
        </w:rPr>
        <w:t>lvez</w:t>
      </w:r>
      <w:r w:rsidR="002B7A17">
        <w:rPr>
          <w:rFonts w:ascii="Arial" w:hAnsi="Arial" w:cs="Arial"/>
          <w:szCs w:val="24"/>
        </w:rPr>
        <w:t>, fallecido</w:t>
      </w:r>
      <w:r w:rsidR="00426A77">
        <w:rPr>
          <w:rFonts w:ascii="Arial" w:hAnsi="Arial" w:cs="Arial"/>
          <w:szCs w:val="24"/>
        </w:rPr>
        <w:t xml:space="preserve"> el </w:t>
      </w:r>
      <w:r w:rsidR="00A069F9">
        <w:rPr>
          <w:rFonts w:ascii="Arial" w:hAnsi="Arial" w:cs="Arial"/>
          <w:szCs w:val="24"/>
        </w:rPr>
        <w:t>7</w:t>
      </w:r>
      <w:r w:rsidR="00426A77">
        <w:rPr>
          <w:rFonts w:ascii="Arial" w:hAnsi="Arial" w:cs="Arial"/>
          <w:szCs w:val="24"/>
        </w:rPr>
        <w:t xml:space="preserve"> de </w:t>
      </w:r>
      <w:r w:rsidR="00A069F9">
        <w:rPr>
          <w:rFonts w:ascii="Arial" w:hAnsi="Arial" w:cs="Arial"/>
          <w:szCs w:val="24"/>
        </w:rPr>
        <w:t xml:space="preserve">agosto </w:t>
      </w:r>
      <w:r w:rsidR="00426A77">
        <w:rPr>
          <w:rFonts w:ascii="Arial" w:hAnsi="Arial" w:cs="Arial"/>
          <w:szCs w:val="24"/>
        </w:rPr>
        <w:t xml:space="preserve">de </w:t>
      </w:r>
      <w:r w:rsidR="00EA12D1">
        <w:rPr>
          <w:rFonts w:ascii="Arial" w:hAnsi="Arial" w:cs="Arial"/>
          <w:szCs w:val="24"/>
        </w:rPr>
        <w:t>20</w:t>
      </w:r>
      <w:r w:rsidR="00A069F9">
        <w:rPr>
          <w:rFonts w:ascii="Arial" w:hAnsi="Arial" w:cs="Arial"/>
          <w:szCs w:val="24"/>
        </w:rPr>
        <w:t>14</w:t>
      </w:r>
      <w:r w:rsidR="00426A77">
        <w:rPr>
          <w:rFonts w:ascii="Arial" w:hAnsi="Arial" w:cs="Arial"/>
          <w:szCs w:val="24"/>
        </w:rPr>
        <w:t xml:space="preserve"> y, consecuente con ello, se ordene a la entidad demandada, el reconocimiento de la prestación a partir de esa calenda, junto con los intereses moratorios</w:t>
      </w:r>
      <w:r w:rsidR="007D5023">
        <w:rPr>
          <w:rFonts w:ascii="Arial" w:hAnsi="Arial" w:cs="Arial"/>
          <w:szCs w:val="24"/>
        </w:rPr>
        <w:t xml:space="preserve"> </w:t>
      </w:r>
      <w:r w:rsidR="00186009">
        <w:rPr>
          <w:rFonts w:ascii="Arial" w:hAnsi="Arial" w:cs="Arial"/>
          <w:szCs w:val="24"/>
        </w:rPr>
        <w:t xml:space="preserve">o en subsidio la indexación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847B91"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BA2649">
        <w:rPr>
          <w:rFonts w:ascii="Arial" w:hAnsi="Arial" w:cs="Arial"/>
          <w:szCs w:val="24"/>
        </w:rPr>
        <w:t>Antonio José González Gá</w:t>
      </w:r>
      <w:r w:rsidR="004D0DA3">
        <w:rPr>
          <w:rFonts w:ascii="Arial" w:hAnsi="Arial" w:cs="Arial"/>
          <w:szCs w:val="24"/>
        </w:rPr>
        <w:t>lvez</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A069F9">
        <w:rPr>
          <w:rFonts w:ascii="Arial" w:hAnsi="Arial" w:cs="Arial"/>
          <w:szCs w:val="24"/>
        </w:rPr>
        <w:t>07/08/2014</w:t>
      </w:r>
      <w:r w:rsidR="00D017B8">
        <w:rPr>
          <w:rFonts w:ascii="Arial" w:hAnsi="Arial" w:cs="Arial"/>
          <w:szCs w:val="24"/>
        </w:rPr>
        <w:t xml:space="preserve">; (ii) </w:t>
      </w:r>
      <w:r w:rsidR="00A069F9">
        <w:rPr>
          <w:rFonts w:ascii="Arial" w:hAnsi="Arial" w:cs="Arial"/>
          <w:szCs w:val="24"/>
        </w:rPr>
        <w:t xml:space="preserve">el causante durante toda su vida laboral estuvo vinculado y cotizando al </w:t>
      </w:r>
      <w:proofErr w:type="spellStart"/>
      <w:r w:rsidR="00A069F9">
        <w:rPr>
          <w:rFonts w:ascii="Arial" w:hAnsi="Arial" w:cs="Arial"/>
          <w:szCs w:val="24"/>
        </w:rPr>
        <w:t>ISS</w:t>
      </w:r>
      <w:proofErr w:type="spellEnd"/>
      <w:r w:rsidR="00A069F9">
        <w:rPr>
          <w:rFonts w:ascii="Arial" w:hAnsi="Arial" w:cs="Arial"/>
          <w:szCs w:val="24"/>
        </w:rPr>
        <w:t xml:space="preserve">, donde acreditó 330 semanas antes del 01/04/1994; (iii) </w:t>
      </w:r>
      <w:r w:rsidR="007D5023">
        <w:rPr>
          <w:rFonts w:ascii="Arial" w:hAnsi="Arial" w:cs="Arial"/>
          <w:szCs w:val="24"/>
        </w:rPr>
        <w:t xml:space="preserve">la actora y el </w:t>
      </w:r>
      <w:r w:rsidR="00A069F9">
        <w:rPr>
          <w:rFonts w:ascii="Arial" w:hAnsi="Arial" w:cs="Arial"/>
          <w:szCs w:val="24"/>
        </w:rPr>
        <w:t xml:space="preserve">fallecido fueron cónyuges y </w:t>
      </w:r>
      <w:r w:rsidR="007D5023">
        <w:rPr>
          <w:rFonts w:ascii="Arial" w:hAnsi="Arial" w:cs="Arial"/>
          <w:szCs w:val="24"/>
        </w:rPr>
        <w:t xml:space="preserve">convivieron </w:t>
      </w:r>
      <w:r w:rsidR="00A069F9">
        <w:rPr>
          <w:rFonts w:ascii="Arial" w:hAnsi="Arial" w:cs="Arial"/>
          <w:szCs w:val="24"/>
        </w:rPr>
        <w:t xml:space="preserve">por más de 20 años </w:t>
      </w:r>
      <w:r w:rsidR="0038387C">
        <w:rPr>
          <w:rFonts w:ascii="Arial" w:hAnsi="Arial" w:cs="Arial"/>
          <w:szCs w:val="24"/>
        </w:rPr>
        <w:t xml:space="preserve">hasta el momento del deceso del señor </w:t>
      </w:r>
      <w:r w:rsidR="004D0DA3">
        <w:rPr>
          <w:rFonts w:ascii="Arial" w:hAnsi="Arial" w:cs="Arial"/>
          <w:szCs w:val="24"/>
        </w:rPr>
        <w:t>Antonio José González G</w:t>
      </w:r>
      <w:r w:rsidR="00BA2649">
        <w:rPr>
          <w:rFonts w:ascii="Arial" w:hAnsi="Arial" w:cs="Arial"/>
          <w:szCs w:val="24"/>
        </w:rPr>
        <w:t>á</w:t>
      </w:r>
      <w:r w:rsidR="004D0DA3">
        <w:rPr>
          <w:rFonts w:ascii="Arial" w:hAnsi="Arial" w:cs="Arial"/>
          <w:szCs w:val="24"/>
        </w:rPr>
        <w:t>lvez</w:t>
      </w:r>
      <w:r w:rsidR="00747E40">
        <w:rPr>
          <w:rFonts w:ascii="Arial" w:hAnsi="Arial" w:cs="Arial"/>
          <w:szCs w:val="24"/>
        </w:rPr>
        <w:t>, laps</w:t>
      </w:r>
      <w:r w:rsidR="00A069F9">
        <w:rPr>
          <w:rFonts w:ascii="Arial" w:hAnsi="Arial" w:cs="Arial"/>
          <w:szCs w:val="24"/>
        </w:rPr>
        <w:t>o dentro del cual procrearon tres</w:t>
      </w:r>
      <w:r w:rsidR="00747E40">
        <w:rPr>
          <w:rFonts w:ascii="Arial" w:hAnsi="Arial" w:cs="Arial"/>
          <w:szCs w:val="24"/>
        </w:rPr>
        <w:t xml:space="preserve"> hijos</w:t>
      </w:r>
      <w:r w:rsidR="00A069F9">
        <w:rPr>
          <w:rFonts w:ascii="Arial" w:hAnsi="Arial" w:cs="Arial"/>
          <w:szCs w:val="24"/>
        </w:rPr>
        <w:t>, en la actualidad mayores de edad</w:t>
      </w:r>
      <w:r w:rsidR="00594839">
        <w:rPr>
          <w:rFonts w:ascii="Arial" w:hAnsi="Arial" w:cs="Arial"/>
          <w:szCs w:val="24"/>
        </w:rPr>
        <w:t>;</w:t>
      </w:r>
      <w:r w:rsidR="00BE0180">
        <w:rPr>
          <w:rFonts w:ascii="Arial" w:hAnsi="Arial" w:cs="Arial"/>
          <w:szCs w:val="24"/>
        </w:rPr>
        <w:t xml:space="preserve"> (</w:t>
      </w:r>
      <w:r w:rsidR="00A069F9">
        <w:rPr>
          <w:rFonts w:ascii="Arial" w:hAnsi="Arial" w:cs="Arial"/>
          <w:szCs w:val="24"/>
        </w:rPr>
        <w:t>i</w:t>
      </w:r>
      <w:r w:rsidR="00BE0180">
        <w:rPr>
          <w:rFonts w:ascii="Arial" w:hAnsi="Arial" w:cs="Arial"/>
          <w:szCs w:val="24"/>
        </w:rPr>
        <w:t xml:space="preserve">v) </w:t>
      </w:r>
      <w:r w:rsidR="007D5023">
        <w:rPr>
          <w:rFonts w:ascii="Arial" w:hAnsi="Arial" w:cs="Arial"/>
          <w:szCs w:val="24"/>
        </w:rPr>
        <w:t xml:space="preserve">el </w:t>
      </w:r>
      <w:r w:rsidR="00A069F9">
        <w:rPr>
          <w:rFonts w:ascii="Arial" w:hAnsi="Arial" w:cs="Arial"/>
          <w:szCs w:val="24"/>
        </w:rPr>
        <w:t>26</w:t>
      </w:r>
      <w:r w:rsidR="00186009">
        <w:rPr>
          <w:rFonts w:ascii="Arial" w:hAnsi="Arial" w:cs="Arial"/>
          <w:szCs w:val="24"/>
        </w:rPr>
        <w:t xml:space="preserve"> </w:t>
      </w:r>
      <w:r w:rsidR="007D5023">
        <w:rPr>
          <w:rFonts w:ascii="Arial" w:hAnsi="Arial" w:cs="Arial"/>
          <w:szCs w:val="24"/>
        </w:rPr>
        <w:t xml:space="preserve">de </w:t>
      </w:r>
      <w:r w:rsidR="00186009">
        <w:rPr>
          <w:rFonts w:ascii="Arial" w:hAnsi="Arial" w:cs="Arial"/>
          <w:szCs w:val="24"/>
        </w:rPr>
        <w:t xml:space="preserve">mayo </w:t>
      </w:r>
      <w:r w:rsidR="007D5023">
        <w:rPr>
          <w:rFonts w:ascii="Arial" w:hAnsi="Arial" w:cs="Arial"/>
          <w:szCs w:val="24"/>
        </w:rPr>
        <w:t>de 20</w:t>
      </w:r>
      <w:r w:rsidR="00747E40">
        <w:rPr>
          <w:rFonts w:ascii="Arial" w:hAnsi="Arial" w:cs="Arial"/>
          <w:szCs w:val="24"/>
        </w:rPr>
        <w:t>1</w:t>
      </w:r>
      <w:r w:rsidR="00A069F9">
        <w:rPr>
          <w:rFonts w:ascii="Arial" w:hAnsi="Arial" w:cs="Arial"/>
          <w:szCs w:val="24"/>
        </w:rPr>
        <w:t>5</w:t>
      </w:r>
      <w:r w:rsidR="007D5023">
        <w:rPr>
          <w:rFonts w:ascii="Arial" w:hAnsi="Arial" w:cs="Arial"/>
          <w:szCs w:val="24"/>
        </w:rPr>
        <w:t xml:space="preserve"> </w:t>
      </w:r>
      <w:r w:rsidR="00BE0180">
        <w:rPr>
          <w:rFonts w:ascii="Arial" w:hAnsi="Arial" w:cs="Arial"/>
          <w:szCs w:val="24"/>
        </w:rPr>
        <w:t>la</w:t>
      </w:r>
      <w:r w:rsidR="00A81A6D">
        <w:rPr>
          <w:rFonts w:ascii="Arial" w:hAnsi="Arial" w:cs="Arial"/>
          <w:szCs w:val="24"/>
        </w:rPr>
        <w:t xml:space="preserve"> demandante </w:t>
      </w:r>
      <w:r w:rsidR="00BE0180">
        <w:rPr>
          <w:rFonts w:ascii="Arial" w:hAnsi="Arial" w:cs="Arial"/>
          <w:szCs w:val="24"/>
        </w:rPr>
        <w:t>solicitó</w:t>
      </w:r>
      <w:r w:rsidR="00E654A5">
        <w:rPr>
          <w:rFonts w:ascii="Arial" w:hAnsi="Arial" w:cs="Arial"/>
          <w:szCs w:val="24"/>
        </w:rPr>
        <w:t xml:space="preserve"> </w:t>
      </w:r>
      <w:r w:rsidR="007D5023">
        <w:rPr>
          <w:rFonts w:ascii="Arial" w:hAnsi="Arial" w:cs="Arial"/>
          <w:szCs w:val="24"/>
        </w:rPr>
        <w:t xml:space="preserve">el reconocimiento de la pensión de sobrevivientes, </w:t>
      </w:r>
      <w:r w:rsidR="00847B91">
        <w:rPr>
          <w:rFonts w:ascii="Arial" w:hAnsi="Arial" w:cs="Arial"/>
          <w:szCs w:val="24"/>
        </w:rPr>
        <w:t>sin recibir respuesta; (v) si bien el causante no cotizó 50 semanas dentro de los últimos 3 años, si cuenta con 330 en toda su vida, por lo que tiene derecho al reconocimiento pensional con base en el Acuerdo 049/90, en aplicación del principio de la condición más beneficiosa.</w:t>
      </w:r>
    </w:p>
    <w:p w:rsidR="00847B91" w:rsidRDefault="00847B91"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 en consecuencia, deben denegarse las pretensiones. Interpuso las excepciones de mérito que denominó “Inexistencia de</w:t>
      </w:r>
      <w:r w:rsidR="005F68FF">
        <w:rPr>
          <w:rFonts w:ascii="Arial" w:hAnsi="Arial" w:cs="Arial"/>
          <w:szCs w:val="24"/>
        </w:rPr>
        <w:t xml:space="preserve"> la obligación de la demanda”, “Improcedencia de los intereses de mora en aplicación de la condición más beneficiosa”, “Exoneración de condena en costas por buena fe” y </w:t>
      </w:r>
      <w:r w:rsidR="00F552D5">
        <w:rPr>
          <w:rFonts w:ascii="Arial" w:hAnsi="Arial" w:cs="Arial"/>
          <w:szCs w:val="24"/>
        </w:rPr>
        <w:t>“</w:t>
      </w:r>
      <w:r w:rsidR="00023EF9">
        <w:rPr>
          <w:rFonts w:ascii="Arial" w:hAnsi="Arial" w:cs="Arial"/>
          <w:szCs w:val="24"/>
        </w:rPr>
        <w:t>Prescripción</w:t>
      </w:r>
      <w:r w:rsidR="005F68FF">
        <w:rPr>
          <w:rFonts w:ascii="Arial" w:hAnsi="Arial" w:cs="Arial"/>
          <w:szCs w:val="24"/>
        </w:rPr>
        <w:t>”.</w:t>
      </w:r>
    </w:p>
    <w:p w:rsidR="007D5023" w:rsidRDefault="007D5023" w:rsidP="002125E7">
      <w:pPr>
        <w:spacing w:line="360"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C95DCA">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023EF9">
        <w:rPr>
          <w:rFonts w:ascii="Arial" w:hAnsi="Arial" w:cs="Arial"/>
          <w:szCs w:val="24"/>
          <w:lang w:eastAsia="es-CO"/>
        </w:rPr>
        <w:t>negó las pretensiones de la demanda y condenó en costas a la parte actora.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20288B"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que el </w:t>
      </w:r>
      <w:r w:rsidR="00FB341A">
        <w:rPr>
          <w:rFonts w:ascii="Arial" w:hAnsi="Arial" w:cs="Arial"/>
          <w:color w:val="000000"/>
          <w:szCs w:val="24"/>
          <w:lang w:eastAsia="es-CO"/>
        </w:rPr>
        <w:t xml:space="preserve">afiliado </w:t>
      </w:r>
      <w:r>
        <w:rPr>
          <w:rFonts w:ascii="Arial" w:hAnsi="Arial" w:cs="Arial"/>
          <w:color w:val="000000"/>
          <w:szCs w:val="24"/>
          <w:lang w:eastAsia="es-CO"/>
        </w:rPr>
        <w:t>no había dejado causado el derecho a la pensión de conformidad con lo previsto en la Ley 797 de 2003, toda vez que no cuenta con 50 semanas cotizadas dentro de los 3 a</w:t>
      </w:r>
      <w:r w:rsidR="00C95DCA">
        <w:rPr>
          <w:rFonts w:ascii="Arial" w:hAnsi="Arial" w:cs="Arial"/>
          <w:color w:val="000000"/>
          <w:szCs w:val="24"/>
          <w:lang w:eastAsia="es-CO"/>
        </w:rPr>
        <w:t xml:space="preserve">ños anteriores al fallecimiento, pues la última cotización fue realizada en </w:t>
      </w:r>
      <w:r w:rsidR="00314980">
        <w:rPr>
          <w:rFonts w:ascii="Arial" w:hAnsi="Arial" w:cs="Arial"/>
          <w:color w:val="000000"/>
          <w:szCs w:val="24"/>
          <w:lang w:eastAsia="es-CO"/>
        </w:rPr>
        <w:t xml:space="preserve">febrero de </w:t>
      </w:r>
      <w:r w:rsidR="003214BD">
        <w:rPr>
          <w:rFonts w:ascii="Arial" w:hAnsi="Arial" w:cs="Arial"/>
          <w:color w:val="000000"/>
          <w:szCs w:val="24"/>
          <w:lang w:eastAsia="es-CO"/>
        </w:rPr>
        <w:t>1976.</w:t>
      </w:r>
    </w:p>
    <w:p w:rsidR="0020288B" w:rsidRDefault="0020288B" w:rsidP="0020288B">
      <w:pPr>
        <w:spacing w:line="276" w:lineRule="auto"/>
        <w:jc w:val="both"/>
        <w:rPr>
          <w:rFonts w:ascii="Arial" w:hAnsi="Arial" w:cs="Arial"/>
          <w:color w:val="000000"/>
          <w:szCs w:val="24"/>
          <w:lang w:eastAsia="es-CO"/>
        </w:rPr>
      </w:pPr>
    </w:p>
    <w:p w:rsidR="005E200E" w:rsidRDefault="0020288B" w:rsidP="002D566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aplicación del principio de la condición más beneficiosa, </w:t>
      </w:r>
      <w:r w:rsidR="000902F6">
        <w:rPr>
          <w:rFonts w:ascii="Arial" w:hAnsi="Arial" w:cs="Arial"/>
          <w:color w:val="000000"/>
          <w:szCs w:val="24"/>
          <w:lang w:eastAsia="es-CO"/>
        </w:rPr>
        <w:t xml:space="preserve">indicó que </w:t>
      </w:r>
      <w:r w:rsidR="003214BD">
        <w:rPr>
          <w:rFonts w:ascii="Arial" w:hAnsi="Arial" w:cs="Arial"/>
          <w:color w:val="000000"/>
          <w:szCs w:val="24"/>
          <w:lang w:eastAsia="es-CO"/>
        </w:rPr>
        <w:t>solo era posible acudir a la norma inmediatamente anterior, esto es, la Ley 100 de 1993, bajo la cual tampoco cumple las exigencias allí dispuestas</w:t>
      </w:r>
      <w:r w:rsidR="00AC3820">
        <w:rPr>
          <w:rFonts w:ascii="Arial" w:hAnsi="Arial" w:cs="Arial"/>
          <w:color w:val="000000"/>
          <w:szCs w:val="24"/>
          <w:lang w:eastAsia="es-CO"/>
        </w:rPr>
        <w:t>.</w:t>
      </w:r>
    </w:p>
    <w:p w:rsidR="003214BD" w:rsidRDefault="003214BD" w:rsidP="002D566E">
      <w:pPr>
        <w:spacing w:line="276" w:lineRule="auto"/>
        <w:jc w:val="both"/>
        <w:rPr>
          <w:rFonts w:ascii="Arial" w:hAnsi="Arial" w:cs="Arial"/>
          <w:color w:val="000000"/>
          <w:szCs w:val="24"/>
          <w:lang w:eastAsia="es-CO"/>
        </w:rPr>
      </w:pPr>
    </w:p>
    <w:p w:rsidR="002125E7" w:rsidRDefault="002125E7" w:rsidP="002D566E">
      <w:pPr>
        <w:spacing w:line="276" w:lineRule="auto"/>
        <w:jc w:val="both"/>
        <w:rPr>
          <w:rFonts w:ascii="Arial" w:hAnsi="Arial" w:cs="Arial"/>
          <w:color w:val="000000"/>
          <w:szCs w:val="24"/>
          <w:lang w:eastAsia="es-CO"/>
        </w:rPr>
      </w:pPr>
    </w:p>
    <w:p w:rsidR="004E0EBF" w:rsidRP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lastRenderedPageBreak/>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Del </w:t>
      </w:r>
      <w:r>
        <w:rPr>
          <w:rFonts w:ascii="Arial" w:hAnsi="Arial" w:cs="Arial"/>
          <w:b/>
          <w:color w:val="000000"/>
          <w:szCs w:val="24"/>
          <w:lang w:eastAsia="es-CO"/>
        </w:rPr>
        <w:t>recurso de apelación</w:t>
      </w:r>
    </w:p>
    <w:p w:rsidR="00E64334" w:rsidRPr="002125E7" w:rsidRDefault="00E64334" w:rsidP="002D566E">
      <w:pPr>
        <w:shd w:val="clear" w:color="auto" w:fill="FFFFFF"/>
        <w:spacing w:line="276" w:lineRule="auto"/>
        <w:ind w:firstLine="851"/>
        <w:contextualSpacing/>
        <w:jc w:val="both"/>
        <w:rPr>
          <w:rFonts w:ascii="Arial" w:hAnsi="Arial" w:cs="Arial"/>
          <w:color w:val="000000"/>
          <w:sz w:val="10"/>
          <w:szCs w:val="10"/>
          <w:lang w:eastAsia="es-CO"/>
        </w:rPr>
      </w:pPr>
    </w:p>
    <w:p w:rsidR="00A44C8E" w:rsidRDefault="00023EF9" w:rsidP="002D566E">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w:t>
      </w:r>
      <w:r w:rsidR="00307EEE">
        <w:rPr>
          <w:rFonts w:ascii="Arial" w:hAnsi="Arial" w:cs="Arial"/>
          <w:szCs w:val="24"/>
        </w:rPr>
        <w:t>l</w:t>
      </w:r>
      <w:r w:rsidR="00A9107A">
        <w:rPr>
          <w:rFonts w:ascii="Arial" w:hAnsi="Arial" w:cs="Arial"/>
          <w:szCs w:val="24"/>
        </w:rPr>
        <w:t>a apoderada</w:t>
      </w:r>
      <w:r>
        <w:rPr>
          <w:rFonts w:ascii="Arial" w:hAnsi="Arial" w:cs="Arial"/>
          <w:szCs w:val="24"/>
        </w:rPr>
        <w:t xml:space="preserve"> judicial de la parte actora presentó recurso de apelación </w:t>
      </w:r>
      <w:r w:rsidR="00663CC5">
        <w:rPr>
          <w:rFonts w:ascii="Arial" w:hAnsi="Arial" w:cs="Arial"/>
          <w:szCs w:val="24"/>
        </w:rPr>
        <w:t xml:space="preserve">e indicó </w:t>
      </w:r>
      <w:r w:rsidR="00A9107A">
        <w:rPr>
          <w:rFonts w:ascii="Arial" w:hAnsi="Arial" w:cs="Arial"/>
          <w:szCs w:val="24"/>
        </w:rPr>
        <w:t xml:space="preserve">debe darse aplicación al criterio mayoritario de la Sala Laboral de esta Corporación </w:t>
      </w:r>
      <w:r w:rsidR="00A9107A" w:rsidRPr="00A9107A">
        <w:rPr>
          <w:rFonts w:ascii="Arial" w:hAnsi="Arial" w:cs="Arial"/>
          <w:i/>
          <w:szCs w:val="24"/>
        </w:rPr>
        <w:t>–al momento de expedición de la sentencia-</w:t>
      </w:r>
      <w:r w:rsidR="00A9107A">
        <w:rPr>
          <w:rFonts w:ascii="Arial" w:hAnsi="Arial" w:cs="Arial"/>
          <w:szCs w:val="24"/>
        </w:rPr>
        <w:t>, en el sentido de ser viable la aplicación del principio de la condición más beneficiosa, sin limitarlo a que solo sea respecto de la norma inmediatamente anterior; tesis que encuentra</w:t>
      </w:r>
      <w:r w:rsidR="00FB341A">
        <w:rPr>
          <w:rFonts w:ascii="Arial" w:hAnsi="Arial" w:cs="Arial"/>
          <w:szCs w:val="24"/>
        </w:rPr>
        <w:t xml:space="preserve"> apoyo en la sentencia T-401/15; ya en esta instancia reiteró la obligatoriedad de la sentencia SU-442-16.</w:t>
      </w:r>
    </w:p>
    <w:p w:rsidR="00A9107A" w:rsidRDefault="00A9107A" w:rsidP="002D566E">
      <w:pPr>
        <w:shd w:val="clear" w:color="auto" w:fill="FFFFFF"/>
        <w:spacing w:line="276" w:lineRule="auto"/>
        <w:contextualSpacing/>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Pr="002125E7" w:rsidRDefault="00733AFD" w:rsidP="002D566E">
      <w:pPr>
        <w:shd w:val="clear" w:color="auto" w:fill="FFFFFF"/>
        <w:tabs>
          <w:tab w:val="left" w:pos="5197"/>
        </w:tabs>
        <w:spacing w:line="276" w:lineRule="auto"/>
        <w:contextualSpacing/>
        <w:jc w:val="both"/>
        <w:rPr>
          <w:rFonts w:ascii="Arial" w:hAnsi="Arial" w:cs="Arial"/>
          <w:color w:val="000000"/>
          <w:sz w:val="16"/>
          <w:szCs w:val="16"/>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Pr="00334B97">
        <w:rPr>
          <w:rFonts w:ascii="Arial" w:hAnsi="Arial" w:cs="Arial"/>
          <w:szCs w:val="24"/>
        </w:rPr>
        <w:t>¿Resuelta procedente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Pr="002125E7" w:rsidRDefault="0029381D" w:rsidP="002D566E">
      <w:pPr>
        <w:pStyle w:val="Corpsdetexte"/>
        <w:spacing w:line="276" w:lineRule="auto"/>
        <w:contextualSpacing/>
        <w:rPr>
          <w:b/>
          <w:iCs/>
          <w:sz w:val="16"/>
          <w:szCs w:val="16"/>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los siguientes aspectos:</w:t>
      </w:r>
    </w:p>
    <w:p w:rsidR="00733AFD" w:rsidRPr="002125E7" w:rsidRDefault="00733AFD" w:rsidP="002D566E">
      <w:pPr>
        <w:pStyle w:val="Corpsdetexte"/>
        <w:spacing w:line="276" w:lineRule="auto"/>
        <w:contextualSpacing/>
        <w:rPr>
          <w:iCs/>
          <w:sz w:val="20"/>
          <w:szCs w:val="20"/>
        </w:rPr>
      </w:pPr>
    </w:p>
    <w:p w:rsidR="00C521EF" w:rsidRDefault="00C521EF"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Se encuentra acreditado </w:t>
      </w:r>
      <w:r w:rsidRPr="00AC486E">
        <w:rPr>
          <w:rFonts w:ascii="Arial" w:hAnsi="Arial" w:cs="Arial"/>
          <w:szCs w:val="24"/>
        </w:rPr>
        <w:t xml:space="preserve">que </w:t>
      </w:r>
      <w:r w:rsidR="005E165D">
        <w:rPr>
          <w:rFonts w:ascii="Arial" w:hAnsi="Arial" w:cs="Arial"/>
          <w:szCs w:val="24"/>
        </w:rPr>
        <w:t xml:space="preserve">el causante </w:t>
      </w:r>
      <w:r>
        <w:rPr>
          <w:rFonts w:ascii="Arial" w:hAnsi="Arial" w:cs="Arial"/>
          <w:szCs w:val="24"/>
        </w:rPr>
        <w:t xml:space="preserve">falleció el </w:t>
      </w:r>
      <w:r w:rsidR="008468CA">
        <w:rPr>
          <w:rFonts w:ascii="Arial" w:hAnsi="Arial" w:cs="Arial"/>
          <w:szCs w:val="24"/>
        </w:rPr>
        <w:t>07/08/2014</w:t>
      </w:r>
      <w:r>
        <w:rPr>
          <w:rFonts w:ascii="Arial" w:hAnsi="Arial" w:cs="Arial"/>
          <w:szCs w:val="24"/>
        </w:rPr>
        <w:t xml:space="preserve">, </w:t>
      </w:r>
      <w:r w:rsidR="0068173D">
        <w:rPr>
          <w:rFonts w:ascii="Arial" w:hAnsi="Arial" w:cs="Arial"/>
          <w:szCs w:val="24"/>
        </w:rPr>
        <w:t>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 xml:space="preserve">para quien reclame la prestación en calidad de cónyuge o compañera supérstite, una convivencia con el causante por espacio no inferior a </w:t>
      </w:r>
      <w:proofErr w:type="gramStart"/>
      <w:r w:rsidRPr="00AC486E">
        <w:rPr>
          <w:rFonts w:ascii="Arial" w:hAnsi="Arial" w:cs="Arial"/>
          <w:szCs w:val="24"/>
        </w:rPr>
        <w:t>los</w:t>
      </w:r>
      <w:proofErr w:type="gramEnd"/>
      <w:r w:rsidRPr="00AC486E">
        <w:rPr>
          <w:rFonts w:ascii="Arial" w:hAnsi="Arial" w:cs="Arial"/>
          <w:szCs w:val="24"/>
        </w:rPr>
        <w:t xml:space="preserve"> 5 años anteriores al deceso.</w:t>
      </w:r>
    </w:p>
    <w:p w:rsidR="00C521EF" w:rsidRPr="002125E7" w:rsidRDefault="00C521EF" w:rsidP="00C521EF">
      <w:pPr>
        <w:autoSpaceDE w:val="0"/>
        <w:autoSpaceDN w:val="0"/>
        <w:adjustRightInd w:val="0"/>
        <w:spacing w:line="276" w:lineRule="auto"/>
        <w:contextualSpacing/>
        <w:jc w:val="both"/>
        <w:rPr>
          <w:rFonts w:ascii="Arial" w:hAnsi="Arial" w:cs="Arial"/>
          <w:sz w:val="20"/>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w:t>
      </w:r>
      <w:r w:rsidR="002900CD">
        <w:rPr>
          <w:rFonts w:ascii="Arial" w:hAnsi="Arial" w:cs="Arial"/>
          <w:szCs w:val="24"/>
        </w:rPr>
        <w:t xml:space="preserve"> </w:t>
      </w:r>
      <w:r>
        <w:rPr>
          <w:rFonts w:ascii="Arial" w:hAnsi="Arial" w:cs="Arial"/>
          <w:szCs w:val="24"/>
        </w:rPr>
        <w:t>l</w:t>
      </w:r>
      <w:r w:rsidR="002900CD">
        <w:rPr>
          <w:rFonts w:ascii="Arial" w:hAnsi="Arial" w:cs="Arial"/>
          <w:szCs w:val="24"/>
        </w:rPr>
        <w:t>a</w:t>
      </w:r>
      <w:r>
        <w:rPr>
          <w:rFonts w:ascii="Arial" w:hAnsi="Arial" w:cs="Arial"/>
          <w:szCs w:val="24"/>
        </w:rPr>
        <w:t xml:space="preserve"> </w:t>
      </w:r>
      <w:r w:rsidR="002900CD">
        <w:rPr>
          <w:rFonts w:ascii="Arial" w:hAnsi="Arial" w:cs="Arial"/>
          <w:szCs w:val="24"/>
        </w:rPr>
        <w:t xml:space="preserve">muerte </w:t>
      </w:r>
      <w:r>
        <w:rPr>
          <w:rFonts w:ascii="Arial" w:hAnsi="Arial" w:cs="Arial"/>
          <w:szCs w:val="24"/>
        </w:rPr>
        <w:t xml:space="preserve">del señor </w:t>
      </w:r>
      <w:r w:rsidR="004D0DA3">
        <w:rPr>
          <w:rFonts w:ascii="Arial" w:hAnsi="Arial" w:cs="Arial"/>
          <w:szCs w:val="24"/>
        </w:rPr>
        <w:t>Antonio José González G</w:t>
      </w:r>
      <w:r w:rsidR="00BA2649">
        <w:rPr>
          <w:rFonts w:ascii="Arial" w:hAnsi="Arial" w:cs="Arial"/>
          <w:szCs w:val="24"/>
        </w:rPr>
        <w:t>á</w:t>
      </w:r>
      <w:r w:rsidR="004D0DA3">
        <w:rPr>
          <w:rFonts w:ascii="Arial" w:hAnsi="Arial" w:cs="Arial"/>
          <w:szCs w:val="24"/>
        </w:rPr>
        <w:t>lvez</w:t>
      </w:r>
      <w:r>
        <w:rPr>
          <w:rFonts w:ascii="Arial" w:hAnsi="Arial" w:cs="Arial"/>
          <w:szCs w:val="24"/>
        </w:rPr>
        <w:t xml:space="preserve">, comprendido entre el </w:t>
      </w:r>
      <w:r w:rsidR="008468CA">
        <w:rPr>
          <w:rFonts w:ascii="Arial" w:hAnsi="Arial" w:cs="Arial"/>
          <w:szCs w:val="24"/>
        </w:rPr>
        <w:t>07/08/2017</w:t>
      </w:r>
      <w:r w:rsidR="0068173D">
        <w:rPr>
          <w:rFonts w:ascii="Arial" w:hAnsi="Arial" w:cs="Arial"/>
          <w:szCs w:val="24"/>
        </w:rPr>
        <w:t xml:space="preserve"> </w:t>
      </w:r>
      <w:r>
        <w:rPr>
          <w:rFonts w:ascii="Arial" w:hAnsi="Arial" w:cs="Arial"/>
          <w:szCs w:val="24"/>
        </w:rPr>
        <w:t>y la misma fecha de 20</w:t>
      </w:r>
      <w:r w:rsidR="008468CA">
        <w:rPr>
          <w:rFonts w:ascii="Arial" w:hAnsi="Arial" w:cs="Arial"/>
          <w:szCs w:val="24"/>
        </w:rPr>
        <w:t>11</w:t>
      </w:r>
      <w:r>
        <w:rPr>
          <w:rFonts w:ascii="Arial" w:hAnsi="Arial" w:cs="Arial"/>
          <w:szCs w:val="24"/>
        </w:rPr>
        <w:t>, alcanzó a reunir 50 semanas de cotización, para lo cual</w:t>
      </w:r>
      <w:r w:rsidR="00E76099">
        <w:rPr>
          <w:rFonts w:ascii="Arial" w:hAnsi="Arial" w:cs="Arial"/>
          <w:szCs w:val="24"/>
        </w:rPr>
        <w:t xml:space="preserve">, </w:t>
      </w:r>
      <w:r w:rsidR="008468CA">
        <w:rPr>
          <w:rFonts w:ascii="Arial" w:hAnsi="Arial" w:cs="Arial"/>
          <w:szCs w:val="24"/>
        </w:rPr>
        <w:t>conforme a la historia laboral allegada con la demanda y visible a folio</w:t>
      </w:r>
      <w:r>
        <w:rPr>
          <w:rFonts w:ascii="Arial" w:hAnsi="Arial" w:cs="Arial"/>
          <w:szCs w:val="24"/>
        </w:rPr>
        <w:t xml:space="preserve"> </w:t>
      </w:r>
      <w:r w:rsidR="008468CA">
        <w:rPr>
          <w:rFonts w:ascii="Arial" w:hAnsi="Arial" w:cs="Arial"/>
          <w:szCs w:val="24"/>
        </w:rPr>
        <w:t xml:space="preserve">19 </w:t>
      </w:r>
      <w:r>
        <w:rPr>
          <w:rFonts w:ascii="Arial" w:hAnsi="Arial" w:cs="Arial"/>
          <w:szCs w:val="24"/>
        </w:rPr>
        <w:t>del cuaderno de primer grado, se evidencia que dentro de ese lapso no registra ni una sola cotización</w:t>
      </w:r>
      <w:r w:rsidR="00C90579">
        <w:rPr>
          <w:rFonts w:ascii="Arial" w:hAnsi="Arial" w:cs="Arial"/>
          <w:szCs w:val="24"/>
        </w:rPr>
        <w:t xml:space="preserve">, como quiera que la última fue </w:t>
      </w:r>
      <w:r>
        <w:rPr>
          <w:rFonts w:ascii="Arial" w:hAnsi="Arial" w:cs="Arial"/>
          <w:szCs w:val="24"/>
        </w:rPr>
        <w:t xml:space="preserve">efectuada para el ciclo de </w:t>
      </w:r>
      <w:r w:rsidR="008468CA">
        <w:rPr>
          <w:rFonts w:ascii="Arial" w:hAnsi="Arial" w:cs="Arial"/>
          <w:szCs w:val="24"/>
        </w:rPr>
        <w:t xml:space="preserve">febrero </w:t>
      </w:r>
      <w:r>
        <w:rPr>
          <w:rFonts w:ascii="Arial" w:hAnsi="Arial" w:cs="Arial"/>
          <w:szCs w:val="24"/>
        </w:rPr>
        <w:t>de 19</w:t>
      </w:r>
      <w:r w:rsidR="008468CA">
        <w:rPr>
          <w:rFonts w:ascii="Arial" w:hAnsi="Arial" w:cs="Arial"/>
          <w:szCs w:val="24"/>
        </w:rPr>
        <w:t>76</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C521EF" w:rsidRPr="002125E7" w:rsidRDefault="00C521EF" w:rsidP="00C521EF">
      <w:pPr>
        <w:autoSpaceDE w:val="0"/>
        <w:autoSpaceDN w:val="0"/>
        <w:adjustRightInd w:val="0"/>
        <w:spacing w:line="276" w:lineRule="auto"/>
        <w:contextualSpacing/>
        <w:jc w:val="both"/>
        <w:rPr>
          <w:rFonts w:ascii="Arial" w:hAnsi="Arial" w:cs="Arial"/>
          <w:sz w:val="20"/>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analizará su procedibilidad en el caso concreto.</w:t>
      </w:r>
    </w:p>
    <w:p w:rsidR="002125E7" w:rsidRPr="002125E7" w:rsidRDefault="002125E7" w:rsidP="00C521EF">
      <w:pPr>
        <w:autoSpaceDE w:val="0"/>
        <w:autoSpaceDN w:val="0"/>
        <w:adjustRightInd w:val="0"/>
        <w:spacing w:line="276" w:lineRule="auto"/>
        <w:contextualSpacing/>
        <w:jc w:val="both"/>
        <w:rPr>
          <w:rFonts w:ascii="Arial" w:hAnsi="Arial" w:cs="Arial"/>
          <w:sz w:val="20"/>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Así pues, frente a este aspecto, recientemente ha sostenido la Sala de Casación Laboral de Corte Suprema de Justicia que</w:t>
      </w:r>
      <w:r w:rsidRPr="00DD3634">
        <w:rPr>
          <w:rStyle w:val="Appelnotedebasdep"/>
          <w:rFonts w:ascii="Arial" w:hAnsi="Arial" w:cs="Arial"/>
          <w:szCs w:val="24"/>
        </w:rPr>
        <w:footnoteReference w:id="2"/>
      </w:r>
      <w:r w:rsidRPr="00DD3634">
        <w:rPr>
          <w:rFonts w:ascii="Arial" w:hAnsi="Arial" w:cs="Arial"/>
          <w:szCs w:val="24"/>
        </w:rPr>
        <w:t>:</w:t>
      </w: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Pr>
          <w:rFonts w:ascii="Arial" w:hAnsi="Arial" w:cs="Arial"/>
          <w:i/>
          <w:color w:val="000000"/>
          <w:sz w:val="22"/>
          <w:szCs w:val="22"/>
        </w:rPr>
        <w:lastRenderedPageBreak/>
        <w:t>“</w:t>
      </w:r>
      <w:r w:rsidRPr="00080F7F">
        <w:rPr>
          <w:rFonts w:ascii="Arial" w:hAnsi="Arial" w:cs="Arial"/>
          <w:i/>
          <w:color w:val="000000"/>
          <w:sz w:val="22"/>
          <w:szCs w:val="22"/>
        </w:rPr>
        <w:t>Tiene dicho la Corte, de manera reiterada, que la norma aplicable para resolver la pretensión de acceder a una pensión de sobrevivientes, es la vigente al momento en que se produce la muerte del asegurado o pensionado, de manera que no se equivocó el tribunal al determinar que la norma que resolvía la controversia era la Ley 797 de 2003, por cuanto el fallecimiento del señor José Alfonso Sánchez  Espinosa, ocurrió bajo su vigencia.</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autoSpaceDE w:val="0"/>
        <w:autoSpaceDN w:val="0"/>
        <w:adjustRightInd w:val="0"/>
        <w:ind w:left="283"/>
        <w:jc w:val="both"/>
        <w:rPr>
          <w:rFonts w:ascii="Arial" w:hAnsi="Arial" w:cs="Arial"/>
          <w:i/>
          <w:color w:val="000000"/>
          <w:sz w:val="22"/>
          <w:szCs w:val="22"/>
        </w:rPr>
      </w:pPr>
      <w:r w:rsidRPr="00080F7F">
        <w:rPr>
          <w:rFonts w:ascii="Arial" w:hAnsi="Arial" w:cs="Arial"/>
          <w:i/>
          <w:color w:val="000000"/>
          <w:sz w:val="22"/>
          <w:szCs w:val="22"/>
        </w:rPr>
        <w:t xml:space="preserve">Ahora bien,  excepcionalmente la Corte ha definido que  en ciertas ocasiones resulta viable la aplicación de la norma anterior a las situaciones fácticas atrás referidas, pero solo frente al Acuerdo 049 de 1990 y Ley 100 de 1993 en su redacción original. </w:t>
      </w:r>
    </w:p>
    <w:p w:rsidR="00C521EF" w:rsidRPr="00080F7F" w:rsidRDefault="00C521EF" w:rsidP="00C521EF">
      <w:pPr>
        <w:widowControl w:val="0"/>
        <w:autoSpaceDE w:val="0"/>
        <w:autoSpaceDN w:val="0"/>
        <w:adjustRightInd w:val="0"/>
        <w:ind w:left="283" w:firstLine="709"/>
        <w:jc w:val="both"/>
        <w:rPr>
          <w:rFonts w:ascii="Arial" w:hAnsi="Arial" w:cs="Arial"/>
          <w:i/>
          <w:color w:val="000000"/>
          <w:sz w:val="22"/>
          <w:szCs w:val="22"/>
        </w:rPr>
      </w:pPr>
    </w:p>
    <w:p w:rsidR="00C521EF" w:rsidRPr="00080F7F" w:rsidRDefault="00C521EF" w:rsidP="00C521EF">
      <w:pPr>
        <w:widowControl w:val="0"/>
        <w:ind w:left="283"/>
        <w:jc w:val="both"/>
        <w:rPr>
          <w:rFonts w:ascii="Arial" w:hAnsi="Arial" w:cs="Arial"/>
          <w:i/>
          <w:color w:val="000000"/>
          <w:sz w:val="22"/>
          <w:szCs w:val="22"/>
        </w:rPr>
      </w:pPr>
      <w:r w:rsidRPr="00080F7F">
        <w:rPr>
          <w:rFonts w:ascii="Arial" w:hAnsi="Arial" w:cs="Arial"/>
          <w:i/>
          <w:color w:val="000000"/>
          <w:sz w:val="22"/>
          <w:szCs w:val="22"/>
        </w:rPr>
        <w:t>Sin embargo, la citada excepción no acontece en el caso bajo examen, por cuanto la norma inmediatamente anterior a la Ley 797 de 2003 era la Ley 100 de 1993 en su primer texto, y no el Acuerdo 049 de 1990,  por lo que no podía aplicarse al caso bajo examen esta figura jurisprudencial, en tanto como lo ha asentado la Sala, entre otras:</w:t>
      </w:r>
    </w:p>
    <w:p w:rsidR="002125E7" w:rsidRDefault="002125E7" w:rsidP="002125E7">
      <w:pPr>
        <w:widowControl w:val="0"/>
        <w:ind w:left="283"/>
        <w:jc w:val="both"/>
        <w:rPr>
          <w:rFonts w:ascii="Arial" w:hAnsi="Arial" w:cs="Arial"/>
          <w:i/>
          <w:color w:val="000000"/>
          <w:sz w:val="22"/>
          <w:szCs w:val="22"/>
        </w:rPr>
      </w:pPr>
    </w:p>
    <w:p w:rsidR="00C521EF" w:rsidRPr="00080F7F" w:rsidRDefault="00C521EF" w:rsidP="002125E7">
      <w:pPr>
        <w:widowControl w:val="0"/>
        <w:ind w:left="283"/>
        <w:jc w:val="both"/>
        <w:rPr>
          <w:rFonts w:ascii="Arial" w:hAnsi="Arial" w:cs="Arial"/>
          <w:i/>
          <w:color w:val="000000"/>
          <w:sz w:val="22"/>
          <w:szCs w:val="22"/>
        </w:rPr>
      </w:pPr>
      <w:r w:rsidRPr="00080F7F">
        <w:rPr>
          <w:rFonts w:ascii="Arial" w:hAnsi="Arial" w:cs="Arial"/>
          <w:i/>
          <w:color w:val="000000"/>
          <w:sz w:val="22"/>
          <w:szCs w:val="22"/>
        </w:rPr>
        <w:t>(…) no 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1993 que haya precedido –a su vez- a la norma anteriormente derogada por la que viene al caso,  para darle una especie de efectos “</w:t>
      </w:r>
      <w:proofErr w:type="spellStart"/>
      <w:r w:rsidRPr="00080F7F">
        <w:rPr>
          <w:rFonts w:ascii="Arial" w:hAnsi="Arial" w:cs="Arial"/>
          <w:i/>
          <w:color w:val="000000"/>
          <w:sz w:val="22"/>
          <w:szCs w:val="22"/>
        </w:rPr>
        <w:t>plusultractivos</w:t>
      </w:r>
      <w:proofErr w:type="spellEnd"/>
      <w:r w:rsidRPr="00080F7F">
        <w:rPr>
          <w:rFonts w:ascii="Arial" w:hAnsi="Arial" w:cs="Arial"/>
          <w:i/>
          <w:color w:val="000000"/>
          <w:sz w:val="22"/>
          <w:szCs w:val="22"/>
        </w:rPr>
        <w:t xml:space="preserve">”, que resquebraja el valor de la seguridad jurídica. He allí la razón por la cual la Corte se ha negado a aplicar la condición más beneficiosa en los procesos decididos por las sentencias del 3 de diciembre de 2007 (rad. 28876) y 20 de febrero de 2008 (rad. 3264[9])”. </w:t>
      </w:r>
    </w:p>
    <w:p w:rsidR="00C521EF" w:rsidRPr="00DD3634" w:rsidRDefault="00C521EF" w:rsidP="00C521EF">
      <w:pPr>
        <w:ind w:left="567" w:right="20"/>
        <w:contextualSpacing/>
        <w:jc w:val="both"/>
        <w:rPr>
          <w:rFonts w:ascii="Arial" w:hAnsi="Arial" w:cs="Arial"/>
          <w:i/>
          <w:sz w:val="22"/>
          <w:szCs w:val="22"/>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3"/>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Ahora, frente a las sentencias de tutela proferidas por el Tribunal Constitucional, no existe duda que las mismas producen efectos inter partes,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argumentaciones, que no es este el caso.</w:t>
      </w:r>
    </w:p>
    <w:p w:rsidR="00E84DB5" w:rsidRPr="00D578CB" w:rsidRDefault="00E84DB5"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E</w:t>
      </w:r>
      <w:r>
        <w:rPr>
          <w:rFonts w:ascii="Arial" w:hAnsi="Arial" w:cs="Arial"/>
          <w:szCs w:val="24"/>
        </w:rPr>
        <w:t>n</w:t>
      </w:r>
      <w:r w:rsidR="00652D0D">
        <w:rPr>
          <w:rFonts w:ascii="Arial" w:hAnsi="Arial" w:cs="Arial"/>
          <w:szCs w:val="24"/>
        </w:rPr>
        <w:t xml:space="preserve"> este orden de ideas, para el </w:t>
      </w:r>
      <w:r w:rsidR="008468CA">
        <w:rPr>
          <w:rFonts w:ascii="Arial" w:hAnsi="Arial" w:cs="Arial"/>
          <w:szCs w:val="24"/>
        </w:rPr>
        <w:t>07/08/2014</w:t>
      </w:r>
      <w:r w:rsidRPr="00D578CB">
        <w:rPr>
          <w:rFonts w:ascii="Arial" w:hAnsi="Arial" w:cs="Arial"/>
          <w:szCs w:val="24"/>
        </w:rPr>
        <w:t xml:space="preserve">, la norma vigente era la Ley 797 de 2003, por lo que la disposición inmediatamente anterior resulta ser la Ley 100 de 1993 en su versión original, </w:t>
      </w:r>
      <w:r w:rsidRPr="007B1977">
        <w:rPr>
          <w:rFonts w:ascii="Arial" w:hAnsi="Arial" w:cs="Arial"/>
          <w:color w:val="000000"/>
          <w:szCs w:val="24"/>
          <w:lang w:val="es-ES"/>
        </w:rPr>
        <w:t>c</w:t>
      </w:r>
      <w:r>
        <w:rPr>
          <w:rFonts w:ascii="Arial" w:hAnsi="Arial" w:cs="Arial"/>
          <w:color w:val="000000"/>
          <w:szCs w:val="24"/>
          <w:lang w:val="es-ES"/>
        </w:rPr>
        <w:t xml:space="preserve">uyas exigencias tampoco se reunían </w:t>
      </w:r>
      <w:r w:rsidRPr="007B1977">
        <w:rPr>
          <w:rFonts w:ascii="Arial" w:hAnsi="Arial" w:cs="Arial"/>
          <w:color w:val="000000"/>
          <w:szCs w:val="24"/>
          <w:lang w:val="es-ES"/>
        </w:rPr>
        <w:t xml:space="preserve">en este </w:t>
      </w:r>
      <w:r>
        <w:rPr>
          <w:rFonts w:ascii="Arial" w:hAnsi="Arial" w:cs="Arial"/>
          <w:color w:val="000000"/>
          <w:szCs w:val="24"/>
          <w:lang w:val="es-ES"/>
        </w:rPr>
        <w:t>asunto</w:t>
      </w:r>
      <w:r w:rsidRPr="007B1977">
        <w:rPr>
          <w:rFonts w:ascii="Arial" w:hAnsi="Arial" w:cs="Arial"/>
          <w:color w:val="000000"/>
          <w:szCs w:val="24"/>
          <w:lang w:val="es-ES"/>
        </w:rPr>
        <w:t xml:space="preserve">, </w:t>
      </w:r>
      <w:r w:rsidRPr="007B1977">
        <w:rPr>
          <w:rFonts w:ascii="Arial" w:hAnsi="Arial" w:cs="Arial"/>
          <w:color w:val="000000"/>
          <w:szCs w:val="24"/>
          <w:lang w:val="es-ES"/>
        </w:rPr>
        <w:lastRenderedPageBreak/>
        <w:t xml:space="preserve">pues según la </w:t>
      </w:r>
      <w:r w:rsidR="00652D0D">
        <w:rPr>
          <w:rFonts w:ascii="Arial" w:hAnsi="Arial" w:cs="Arial"/>
          <w:color w:val="000000"/>
          <w:szCs w:val="24"/>
          <w:lang w:val="es-ES"/>
        </w:rPr>
        <w:t>información que reposa en</w:t>
      </w:r>
      <w:r w:rsidR="008468CA">
        <w:rPr>
          <w:rFonts w:ascii="Arial" w:hAnsi="Arial" w:cs="Arial"/>
          <w:color w:val="000000"/>
          <w:szCs w:val="24"/>
          <w:lang w:val="es-ES"/>
        </w:rPr>
        <w:t xml:space="preserve"> la referida historia laboral, </w:t>
      </w:r>
      <w:r w:rsidRPr="007B1977">
        <w:rPr>
          <w:rFonts w:ascii="Arial" w:hAnsi="Arial" w:cs="Arial"/>
          <w:color w:val="000000"/>
          <w:szCs w:val="24"/>
          <w:lang w:val="es-ES"/>
        </w:rPr>
        <w:t>el</w:t>
      </w:r>
      <w:r>
        <w:rPr>
          <w:rFonts w:ascii="Arial" w:hAnsi="Arial" w:cs="Arial"/>
          <w:color w:val="000000"/>
          <w:szCs w:val="24"/>
          <w:lang w:val="es-ES"/>
        </w:rPr>
        <w:t xml:space="preserve"> afiliado</w:t>
      </w:r>
      <w:r w:rsidRPr="007B1977">
        <w:rPr>
          <w:rFonts w:ascii="Arial" w:hAnsi="Arial" w:cs="Arial"/>
          <w:color w:val="000000"/>
          <w:szCs w:val="24"/>
          <w:lang w:val="es-ES"/>
        </w:rPr>
        <w:t xml:space="preserve"> fallecid</w:t>
      </w:r>
      <w:r>
        <w:rPr>
          <w:rFonts w:ascii="Arial" w:hAnsi="Arial" w:cs="Arial"/>
          <w:color w:val="000000"/>
          <w:szCs w:val="24"/>
          <w:lang w:val="es-ES"/>
        </w:rPr>
        <w:t>o</w:t>
      </w:r>
      <w:r w:rsidR="00652D0D">
        <w:rPr>
          <w:rFonts w:ascii="Arial" w:hAnsi="Arial" w:cs="Arial"/>
          <w:color w:val="000000"/>
          <w:szCs w:val="24"/>
          <w:lang w:val="es-ES"/>
        </w:rPr>
        <w:t xml:space="preserve"> </w:t>
      </w:r>
      <w:r w:rsidRPr="007B1977">
        <w:rPr>
          <w:rFonts w:ascii="Arial" w:hAnsi="Arial" w:cs="Arial"/>
          <w:color w:val="000000"/>
          <w:szCs w:val="24"/>
          <w:lang w:val="es-ES"/>
        </w:rPr>
        <w:t xml:space="preserve">al momento de </w:t>
      </w:r>
      <w:r w:rsidR="00652D0D">
        <w:rPr>
          <w:rFonts w:ascii="Arial" w:hAnsi="Arial" w:cs="Arial"/>
          <w:color w:val="000000"/>
          <w:szCs w:val="24"/>
          <w:lang w:val="es-ES"/>
        </w:rPr>
        <w:t>su m</w:t>
      </w:r>
      <w:r w:rsidRPr="007B1977">
        <w:rPr>
          <w:rFonts w:ascii="Arial" w:hAnsi="Arial" w:cs="Arial"/>
          <w:color w:val="000000"/>
          <w:szCs w:val="24"/>
          <w:lang w:val="es-ES"/>
        </w:rPr>
        <w:t xml:space="preserve">uerte, no se encontraba cotizando </w:t>
      </w:r>
      <w:r w:rsidR="00260C0B">
        <w:rPr>
          <w:rFonts w:ascii="Arial" w:hAnsi="Arial" w:cs="Arial"/>
          <w:color w:val="000000"/>
          <w:szCs w:val="24"/>
          <w:lang w:val="es-ES"/>
        </w:rPr>
        <w:t>y no</w:t>
      </w:r>
      <w:r w:rsidRPr="007B1977">
        <w:rPr>
          <w:rFonts w:ascii="Arial" w:hAnsi="Arial" w:cs="Arial"/>
          <w:color w:val="000000"/>
          <w:szCs w:val="24"/>
          <w:lang w:val="es-ES"/>
        </w:rPr>
        <w:t xml:space="preserve"> reportaba aportes por 26 semanas dentro del año inmediatamente anterior a esa fecha, como</w:t>
      </w:r>
      <w:r w:rsidR="00260C0B">
        <w:rPr>
          <w:rFonts w:ascii="Arial" w:hAnsi="Arial" w:cs="Arial"/>
          <w:color w:val="000000"/>
          <w:szCs w:val="24"/>
          <w:lang w:val="es-ES"/>
        </w:rPr>
        <w:t xml:space="preserve">  </w:t>
      </w:r>
      <w:r w:rsidRPr="007B1977">
        <w:rPr>
          <w:rFonts w:ascii="Arial" w:hAnsi="Arial" w:cs="Arial"/>
          <w:color w:val="000000"/>
          <w:szCs w:val="24"/>
          <w:lang w:val="es-ES"/>
        </w:rPr>
        <w:t>lo exigía la norma en cuestión</w:t>
      </w:r>
      <w:r w:rsidR="00260C0B">
        <w:rPr>
          <w:rFonts w:ascii="Arial" w:hAnsi="Arial" w:cs="Arial"/>
          <w:color w:val="000000"/>
          <w:szCs w:val="24"/>
          <w:lang w:val="es-ES"/>
        </w:rPr>
        <w:t>,</w:t>
      </w:r>
      <w:r w:rsidR="00260C0B" w:rsidRPr="00260C0B">
        <w:rPr>
          <w:rFonts w:ascii="Arial" w:hAnsi="Arial" w:cs="Arial"/>
          <w:color w:val="000000"/>
          <w:szCs w:val="24"/>
          <w:lang w:val="es-ES"/>
        </w:rPr>
        <w:t xml:space="preserve"> </w:t>
      </w:r>
      <w:r w:rsidR="00260C0B">
        <w:rPr>
          <w:rFonts w:ascii="Arial" w:hAnsi="Arial" w:cs="Arial"/>
          <w:color w:val="000000"/>
          <w:szCs w:val="24"/>
          <w:lang w:val="es-ES"/>
        </w:rPr>
        <w:t>tampoco con anterioridad a la vigencia de la Ley 797 de 2003</w:t>
      </w:r>
      <w:r w:rsidRPr="00D578CB">
        <w:rPr>
          <w:rFonts w:ascii="Arial" w:hAnsi="Arial" w:cs="Arial"/>
          <w:color w:val="000000"/>
          <w:szCs w:val="24"/>
          <w:lang w:val="es-ES"/>
        </w:rPr>
        <w:t>, toda vez que</w:t>
      </w:r>
      <w:r w:rsidR="008468CA">
        <w:rPr>
          <w:rFonts w:ascii="Arial" w:hAnsi="Arial" w:cs="Arial"/>
          <w:color w:val="000000"/>
          <w:szCs w:val="24"/>
          <w:lang w:val="es-ES"/>
        </w:rPr>
        <w:t xml:space="preserve"> como ya se indicó, </w:t>
      </w:r>
      <w:r w:rsidRPr="00D578CB">
        <w:rPr>
          <w:rFonts w:ascii="Arial" w:hAnsi="Arial" w:cs="Arial"/>
          <w:color w:val="000000"/>
          <w:szCs w:val="24"/>
          <w:lang w:val="es-ES"/>
        </w:rPr>
        <w:t xml:space="preserve">la última cotización realizada fue la del periodo de </w:t>
      </w:r>
      <w:r w:rsidR="008468CA">
        <w:rPr>
          <w:rFonts w:ascii="Arial" w:hAnsi="Arial" w:cs="Arial"/>
          <w:color w:val="000000"/>
          <w:szCs w:val="24"/>
          <w:lang w:val="es-ES"/>
        </w:rPr>
        <w:t>febrero de 1976</w:t>
      </w:r>
      <w:r w:rsidR="00652D0D">
        <w:rPr>
          <w:rFonts w:ascii="Arial" w:hAnsi="Arial" w:cs="Arial"/>
          <w:color w:val="000000"/>
          <w:szCs w:val="24"/>
          <w:lang w:val="es-ES"/>
        </w:rPr>
        <w:t>, como se refirió previamente</w:t>
      </w:r>
      <w:r w:rsidRPr="007B1977">
        <w:rPr>
          <w:rFonts w:ascii="Arial" w:hAnsi="Arial" w:cs="Arial"/>
          <w:color w:val="000000"/>
          <w:szCs w:val="24"/>
          <w:lang w:val="es-ES"/>
        </w:rPr>
        <w:t>.</w:t>
      </w:r>
    </w:p>
    <w:p w:rsidR="00C521EF" w:rsidRDefault="00C521EF" w:rsidP="00C521EF">
      <w:pPr>
        <w:autoSpaceDE w:val="0"/>
        <w:autoSpaceDN w:val="0"/>
        <w:adjustRightInd w:val="0"/>
        <w:spacing w:line="276" w:lineRule="auto"/>
        <w:contextualSpacing/>
        <w:jc w:val="both"/>
        <w:rPr>
          <w:rFonts w:ascii="Arial" w:hAnsi="Arial" w:cs="Arial"/>
          <w:color w:val="000000"/>
          <w:szCs w:val="24"/>
          <w:lang w:val="es-ES"/>
        </w:rPr>
      </w:pPr>
    </w:p>
    <w:p w:rsidR="00C521EF" w:rsidRPr="005A3BF8" w:rsidRDefault="00C521EF" w:rsidP="00C521EF">
      <w:pPr>
        <w:autoSpaceDE w:val="0"/>
        <w:autoSpaceDN w:val="0"/>
        <w:adjustRightInd w:val="0"/>
        <w:spacing w:line="276" w:lineRule="auto"/>
        <w:contextualSpacing/>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C521EF" w:rsidRPr="00D578CB" w:rsidRDefault="00260C0B" w:rsidP="00652D0D">
      <w:pPr>
        <w:shd w:val="clear" w:color="auto" w:fill="FFFFFF"/>
        <w:spacing w:after="150" w:line="276" w:lineRule="auto"/>
        <w:jc w:val="both"/>
        <w:rPr>
          <w:rFonts w:ascii="Arial" w:hAnsi="Arial" w:cs="Arial"/>
          <w:szCs w:val="24"/>
        </w:rPr>
      </w:pPr>
      <w:r>
        <w:rPr>
          <w:rFonts w:ascii="Arial" w:hAnsi="Arial" w:cs="Arial"/>
          <w:color w:val="000000"/>
          <w:szCs w:val="24"/>
          <w:lang w:val="es-ES"/>
        </w:rPr>
        <w:t>En armonía con lo dicho</w:t>
      </w:r>
      <w:r w:rsidR="00B21B6A">
        <w:rPr>
          <w:rFonts w:ascii="Arial" w:hAnsi="Arial" w:cs="Arial"/>
          <w:color w:val="000000"/>
          <w:szCs w:val="24"/>
          <w:lang w:val="es-ES"/>
        </w:rPr>
        <w:t>, la Sala Mayoritaria no comparte el argumento de la apelación</w:t>
      </w:r>
      <w:r>
        <w:rPr>
          <w:rFonts w:ascii="Arial" w:hAnsi="Arial" w:cs="Arial"/>
          <w:color w:val="000000"/>
          <w:szCs w:val="24"/>
          <w:lang w:val="es-ES"/>
        </w:rPr>
        <w:t xml:space="preserve"> </w:t>
      </w:r>
      <w:r w:rsidR="00FA5FE5">
        <w:rPr>
          <w:rFonts w:ascii="Arial" w:hAnsi="Arial" w:cs="Arial"/>
          <w:color w:val="000000"/>
          <w:szCs w:val="24"/>
          <w:lang w:val="es-ES"/>
        </w:rPr>
        <w:t xml:space="preserve">y por sustracción de materia, </w:t>
      </w:r>
      <w:r w:rsidR="00F924F2">
        <w:rPr>
          <w:rFonts w:ascii="Arial" w:hAnsi="Arial" w:cs="Arial"/>
          <w:color w:val="000000"/>
          <w:szCs w:val="24"/>
          <w:lang w:val="es-ES"/>
        </w:rPr>
        <w:t xml:space="preserve">considera que </w:t>
      </w:r>
      <w:r w:rsidR="00FA5FE5">
        <w:rPr>
          <w:rFonts w:ascii="Arial" w:hAnsi="Arial" w:cs="Arial"/>
          <w:color w:val="000000"/>
          <w:szCs w:val="24"/>
          <w:lang w:val="es-ES"/>
        </w:rPr>
        <w:t xml:space="preserve">se encuentra relevada de abordar </w:t>
      </w:r>
      <w:r w:rsidR="00C521EF" w:rsidRPr="00D578CB">
        <w:rPr>
          <w:rFonts w:ascii="Arial" w:hAnsi="Arial" w:cs="Arial"/>
          <w:szCs w:val="24"/>
        </w:rPr>
        <w:t xml:space="preserve">el análisis correspondiente frente al aspecto de la convivencia entre </w:t>
      </w:r>
      <w:r w:rsidR="00C521EF">
        <w:rPr>
          <w:rFonts w:ascii="Arial" w:hAnsi="Arial" w:cs="Arial"/>
          <w:szCs w:val="24"/>
        </w:rPr>
        <w:t xml:space="preserve">la </w:t>
      </w:r>
      <w:r w:rsidR="00C521EF" w:rsidRPr="00D578CB">
        <w:rPr>
          <w:rFonts w:ascii="Arial" w:hAnsi="Arial" w:cs="Arial"/>
          <w:szCs w:val="24"/>
        </w:rPr>
        <w:t xml:space="preserve">demandante y </w:t>
      </w:r>
      <w:r w:rsidR="00C521EF">
        <w:rPr>
          <w:rFonts w:ascii="Arial" w:hAnsi="Arial" w:cs="Arial"/>
          <w:szCs w:val="24"/>
        </w:rPr>
        <w:t xml:space="preserve">el </w:t>
      </w:r>
      <w:r w:rsidR="00C521EF" w:rsidRPr="00D578CB">
        <w:rPr>
          <w:rFonts w:ascii="Arial" w:hAnsi="Arial" w:cs="Arial"/>
          <w:i/>
          <w:szCs w:val="24"/>
        </w:rPr>
        <w:t xml:space="preserve">de </w:t>
      </w:r>
      <w:proofErr w:type="spellStart"/>
      <w:r w:rsidR="00C521EF" w:rsidRPr="00D578CB">
        <w:rPr>
          <w:rFonts w:ascii="Arial" w:hAnsi="Arial" w:cs="Arial"/>
          <w:i/>
          <w:szCs w:val="24"/>
        </w:rPr>
        <w:t>cujus</w:t>
      </w:r>
      <w:proofErr w:type="spellEnd"/>
      <w:r w:rsidR="00C521EF" w:rsidRPr="00D578CB">
        <w:rPr>
          <w:rFonts w:ascii="Arial" w:hAnsi="Arial" w:cs="Arial"/>
          <w:i/>
          <w:szCs w:val="24"/>
        </w:rPr>
        <w:t>.</w:t>
      </w:r>
    </w:p>
    <w:p w:rsidR="0020288B" w:rsidRDefault="0020288B" w:rsidP="0020288B">
      <w:pPr>
        <w:pStyle w:val="Sansinterligne"/>
        <w:spacing w:line="276" w:lineRule="auto"/>
        <w:jc w:val="center"/>
        <w:rPr>
          <w:rFonts w:ascii="Arial" w:hAnsi="Arial" w:cs="Arial"/>
          <w:sz w:val="24"/>
          <w:szCs w:val="24"/>
        </w:rPr>
      </w:pPr>
    </w:p>
    <w:p w:rsidR="0020288B" w:rsidRDefault="0020288B" w:rsidP="0020288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ansinterligne"/>
        <w:spacing w:line="276" w:lineRule="auto"/>
        <w:jc w:val="center"/>
        <w:rPr>
          <w:rFonts w:ascii="Arial" w:hAnsi="Arial" w:cs="Arial"/>
          <w:b/>
          <w:sz w:val="24"/>
          <w:szCs w:val="24"/>
        </w:rPr>
      </w:pPr>
    </w:p>
    <w:p w:rsidR="0020288B" w:rsidRPr="00D578CB" w:rsidRDefault="0020288B" w:rsidP="0020288B">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Pr="00D578CB">
        <w:rPr>
          <w:rFonts w:ascii="Arial" w:hAnsi="Arial" w:cs="Arial"/>
          <w:szCs w:val="24"/>
        </w:rPr>
        <w:t>.</w:t>
      </w:r>
    </w:p>
    <w:p w:rsidR="0020288B" w:rsidRPr="00D578CB" w:rsidRDefault="0020288B" w:rsidP="0020288B">
      <w:pPr>
        <w:pStyle w:val="Sansinterligne"/>
        <w:spacing w:line="276" w:lineRule="auto"/>
        <w:jc w:val="center"/>
        <w:rPr>
          <w:rFonts w:ascii="Arial" w:hAnsi="Arial" w:cs="Arial"/>
          <w:sz w:val="24"/>
          <w:szCs w:val="24"/>
        </w:rPr>
      </w:pPr>
    </w:p>
    <w:p w:rsidR="00733AFD" w:rsidRDefault="00733AFD" w:rsidP="002D566E">
      <w:pPr>
        <w:spacing w:line="276" w:lineRule="auto"/>
        <w:contextualSpacing/>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Pr="00D578CB">
        <w:rPr>
          <w:rFonts w:ascii="Arial" w:hAnsi="Arial" w:cs="Arial"/>
          <w:szCs w:val="24"/>
        </w:rPr>
        <w:t>instanc</w:t>
      </w:r>
      <w:r w:rsidR="006A66F5">
        <w:rPr>
          <w:rFonts w:ascii="Arial" w:hAnsi="Arial" w:cs="Arial"/>
          <w:szCs w:val="24"/>
        </w:rPr>
        <w:t>ia</w:t>
      </w:r>
      <w:r>
        <w:rPr>
          <w:rFonts w:ascii="Arial" w:hAnsi="Arial" w:cs="Arial"/>
          <w:szCs w:val="24"/>
        </w:rPr>
        <w:t xml:space="preserve"> a cargo de la parte actora, en atención a lo dispues</w:t>
      </w:r>
      <w:r w:rsidR="006A66F5">
        <w:rPr>
          <w:rFonts w:ascii="Arial" w:hAnsi="Arial" w:cs="Arial"/>
          <w:szCs w:val="24"/>
        </w:rPr>
        <w:t>to por el artículo 365 numeral</w:t>
      </w:r>
      <w:r w:rsidR="00B21B6A">
        <w:rPr>
          <w:rFonts w:ascii="Arial" w:hAnsi="Arial" w:cs="Arial"/>
          <w:szCs w:val="24"/>
        </w:rPr>
        <w:t>es</w:t>
      </w:r>
      <w:r w:rsidR="006A66F5">
        <w:rPr>
          <w:rFonts w:ascii="Arial" w:hAnsi="Arial" w:cs="Arial"/>
          <w:szCs w:val="24"/>
        </w:rPr>
        <w:t xml:space="preserve"> 1</w:t>
      </w:r>
      <w:r>
        <w:rPr>
          <w:rFonts w:ascii="Arial" w:hAnsi="Arial" w:cs="Arial"/>
          <w:szCs w:val="24"/>
        </w:rPr>
        <w:t xml:space="preserve">° </w:t>
      </w:r>
      <w:r w:rsidR="00B21B6A">
        <w:rPr>
          <w:rFonts w:ascii="Arial" w:hAnsi="Arial" w:cs="Arial"/>
          <w:szCs w:val="24"/>
        </w:rPr>
        <w:t xml:space="preserve">y 3° </w:t>
      </w:r>
      <w:r>
        <w:rPr>
          <w:rFonts w:ascii="Arial" w:hAnsi="Arial" w:cs="Arial"/>
          <w:szCs w:val="24"/>
        </w:rPr>
        <w:t xml:space="preserve">del </w:t>
      </w:r>
      <w:proofErr w:type="spellStart"/>
      <w:r w:rsidR="00260C0B">
        <w:rPr>
          <w:rFonts w:ascii="Arial" w:hAnsi="Arial" w:cs="Arial"/>
          <w:szCs w:val="24"/>
        </w:rPr>
        <w:t>C.G.P</w:t>
      </w:r>
      <w:proofErr w:type="spellEnd"/>
      <w:r w:rsidR="00260C0B">
        <w:rPr>
          <w:rFonts w:ascii="Arial" w:hAnsi="Arial" w:cs="Arial"/>
          <w:szCs w:val="24"/>
        </w:rPr>
        <w:t>.</w:t>
      </w:r>
    </w:p>
    <w:p w:rsidR="00047835" w:rsidRPr="00D578CB" w:rsidRDefault="00047835" w:rsidP="002D566E">
      <w:pPr>
        <w:spacing w:line="276" w:lineRule="auto"/>
        <w:contextualSpacing/>
        <w:jc w:val="both"/>
        <w:rPr>
          <w:rFonts w:ascii="Arial" w:hAnsi="Arial" w:cs="Arial"/>
          <w:szCs w:val="24"/>
        </w:rPr>
      </w:pP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jc w:val="both"/>
        <w:rPr>
          <w:rFonts w:ascii="Arial" w:hAnsi="Arial" w:cs="Arial"/>
          <w:sz w:val="24"/>
          <w:szCs w:val="24"/>
        </w:rPr>
      </w:pP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0288B">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A3693D">
        <w:rPr>
          <w:rFonts w:ascii="Arial" w:hAnsi="Arial" w:cs="Arial"/>
          <w:szCs w:val="24"/>
        </w:rPr>
        <w:t xml:space="preserve">26 </w:t>
      </w:r>
      <w:r w:rsidRPr="00D578CB">
        <w:rPr>
          <w:rFonts w:ascii="Arial" w:hAnsi="Arial" w:cs="Arial"/>
          <w:szCs w:val="24"/>
        </w:rPr>
        <w:t>de</w:t>
      </w:r>
      <w:r>
        <w:rPr>
          <w:rFonts w:ascii="Arial" w:hAnsi="Arial" w:cs="Arial"/>
          <w:szCs w:val="24"/>
        </w:rPr>
        <w:t xml:space="preserve"> </w:t>
      </w:r>
      <w:r w:rsidR="00427EC4">
        <w:rPr>
          <w:rFonts w:ascii="Arial" w:hAnsi="Arial" w:cs="Arial"/>
          <w:szCs w:val="24"/>
        </w:rPr>
        <w:t xml:space="preserve">abril 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A3693D">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4D0DA3">
        <w:rPr>
          <w:rFonts w:ascii="Arial" w:hAnsi="Arial" w:cs="Arial"/>
          <w:b/>
          <w:szCs w:val="24"/>
        </w:rPr>
        <w:t>Emma Ruiz de González</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D578CB">
        <w:rPr>
          <w:rFonts w:ascii="Arial" w:hAnsi="Arial" w:cs="Arial"/>
          <w:b/>
          <w:szCs w:val="24"/>
        </w:rPr>
        <w:t>CONDENAR</w:t>
      </w:r>
      <w:r w:rsidRPr="00D578CB">
        <w:rPr>
          <w:rFonts w:ascii="Arial" w:hAnsi="Arial" w:cs="Arial"/>
          <w:szCs w:val="24"/>
        </w:rPr>
        <w:t xml:space="preserve"> en costas </w:t>
      </w:r>
      <w:r>
        <w:rPr>
          <w:rFonts w:ascii="Arial" w:hAnsi="Arial" w:cs="Arial"/>
          <w:szCs w:val="24"/>
        </w:rPr>
        <w:t xml:space="preserve">en </w:t>
      </w:r>
      <w:r w:rsidR="006A66F5">
        <w:rPr>
          <w:rFonts w:ascii="Arial" w:hAnsi="Arial" w:cs="Arial"/>
          <w:szCs w:val="24"/>
        </w:rPr>
        <w:t xml:space="preserve">esta </w:t>
      </w:r>
      <w:r>
        <w:rPr>
          <w:rFonts w:ascii="Arial" w:hAnsi="Arial" w:cs="Arial"/>
          <w:szCs w:val="24"/>
        </w:rPr>
        <w:t xml:space="preserve">instancia </w:t>
      </w:r>
      <w:r w:rsidRPr="00D578CB">
        <w:rPr>
          <w:rFonts w:ascii="Arial" w:hAnsi="Arial" w:cs="Arial"/>
          <w:szCs w:val="24"/>
        </w:rPr>
        <w:t>a la parte actora</w:t>
      </w:r>
      <w:r>
        <w:rPr>
          <w:rFonts w:ascii="Arial" w:hAnsi="Arial" w:cs="Arial"/>
          <w:szCs w:val="24"/>
        </w:rPr>
        <w:t xml:space="preserve"> </w:t>
      </w:r>
      <w:r w:rsidR="00B21B6A">
        <w:rPr>
          <w:rFonts w:ascii="Arial" w:hAnsi="Arial" w:cs="Arial"/>
          <w:szCs w:val="24"/>
        </w:rPr>
        <w:t xml:space="preserve">y a favor de </w:t>
      </w:r>
      <w:proofErr w:type="spellStart"/>
      <w:r w:rsidR="00B21B6A">
        <w:rPr>
          <w:rFonts w:ascii="Arial" w:hAnsi="Arial" w:cs="Arial"/>
          <w:szCs w:val="24"/>
        </w:rPr>
        <w:t>Colpensiones</w:t>
      </w:r>
      <w:proofErr w:type="spellEnd"/>
      <w:r w:rsidR="00B21B6A">
        <w:rPr>
          <w:rFonts w:ascii="Arial" w:hAnsi="Arial" w:cs="Arial"/>
          <w:szCs w:val="24"/>
        </w:rPr>
        <w:t xml:space="preserve"> </w:t>
      </w:r>
      <w:r>
        <w:rPr>
          <w:rFonts w:ascii="Arial" w:hAnsi="Arial" w:cs="Arial"/>
          <w:szCs w:val="24"/>
        </w:rPr>
        <w:t>conforme lo expuesto.</w:t>
      </w:r>
      <w:r w:rsidRPr="00D578CB">
        <w:rPr>
          <w:rFonts w:ascii="Arial" w:hAnsi="Arial" w:cs="Arial"/>
          <w:szCs w:val="24"/>
        </w:rPr>
        <w:t xml:space="preserve"> </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rPr>
          <w:rFonts w:ascii="Arial" w:hAnsi="Arial" w:cs="Arial"/>
          <w:sz w:val="24"/>
          <w:szCs w:val="24"/>
          <w:lang w:val="es-ES"/>
        </w:rPr>
      </w:pPr>
    </w:p>
    <w:p w:rsidR="00733AFD" w:rsidRPr="00D578CB" w:rsidRDefault="00733AFD" w:rsidP="002D566E">
      <w:pPr>
        <w:pStyle w:val="Sansinterligne"/>
        <w:spacing w:line="276" w:lineRule="auto"/>
        <w:contextualSpacing/>
        <w:jc w:val="center"/>
        <w:rPr>
          <w:rFonts w:ascii="Arial" w:hAnsi="Arial" w:cs="Arial"/>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733AFD" w:rsidRPr="0045273B" w:rsidRDefault="00733AFD" w:rsidP="002D566E">
      <w:pPr>
        <w:pStyle w:val="Sansinterligne"/>
        <w:spacing w:line="276" w:lineRule="auto"/>
        <w:contextualSpacing/>
        <w:rPr>
          <w:rFonts w:ascii="Arial" w:hAnsi="Arial" w:cs="Arial"/>
          <w:sz w:val="23"/>
          <w:szCs w:val="23"/>
          <w:lang w:val="es-ES"/>
        </w:rPr>
      </w:pPr>
    </w:p>
    <w:p w:rsidR="00733AFD" w:rsidRDefault="00733AFD"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33AFD" w:rsidRPr="00676BCA" w:rsidRDefault="00733AFD" w:rsidP="002D566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r w:rsidR="00260C0B">
        <w:rPr>
          <w:rFonts w:ascii="Arial" w:hAnsi="Arial" w:cs="Arial"/>
          <w:sz w:val="20"/>
          <w:lang w:val="es-ES"/>
        </w:rPr>
        <w:t>(</w:t>
      </w:r>
      <w:proofErr w:type="gramStart"/>
      <w:r w:rsidR="00260C0B">
        <w:rPr>
          <w:rFonts w:ascii="Arial" w:hAnsi="Arial" w:cs="Arial"/>
          <w:sz w:val="20"/>
          <w:lang w:val="es-ES"/>
        </w:rPr>
        <w:t>salva</w:t>
      </w:r>
      <w:proofErr w:type="gramEnd"/>
      <w:r w:rsidR="00260C0B">
        <w:rPr>
          <w:rFonts w:ascii="Arial" w:hAnsi="Arial" w:cs="Arial"/>
          <w:sz w:val="20"/>
          <w:lang w:val="es-ES"/>
        </w:rPr>
        <w:t xml:space="preserve"> voto)</w:t>
      </w:r>
    </w:p>
    <w:p w:rsidR="00BD3C89"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bookmarkStart w:id="0" w:name="_GoBack"/>
      <w:bookmarkEnd w:id="0"/>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sectPr w:rsidR="00BD3C89" w:rsidRPr="0045273B"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74" w:rsidRDefault="00AC0374" w:rsidP="00226D5F">
      <w:r>
        <w:separator/>
      </w:r>
    </w:p>
  </w:endnote>
  <w:endnote w:type="continuationSeparator" w:id="0">
    <w:p w:rsidR="00AC0374" w:rsidRDefault="00AC037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25E7">
      <w:rPr>
        <w:rStyle w:val="Numrodepage"/>
        <w:noProof/>
      </w:rPr>
      <w:t>6</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74" w:rsidRDefault="00AC0374" w:rsidP="00226D5F">
      <w:r>
        <w:separator/>
      </w:r>
    </w:p>
  </w:footnote>
  <w:footnote w:type="continuationSeparator" w:id="0">
    <w:p w:rsidR="00AC0374" w:rsidRDefault="00AC0374" w:rsidP="00226D5F">
      <w:r>
        <w:continuationSeparator/>
      </w:r>
    </w:p>
  </w:footnote>
  <w:footnote w:id="1">
    <w:p w:rsidR="002125E7" w:rsidRPr="00676199" w:rsidRDefault="002125E7" w:rsidP="002125E7">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2">
    <w:p w:rsidR="00C521EF" w:rsidRPr="00DD3634" w:rsidRDefault="00C521EF" w:rsidP="00C521EF">
      <w:pPr>
        <w:jc w:val="both"/>
        <w:rPr>
          <w:rFonts w:ascii="Arial" w:eastAsia="Calibri" w:hAnsi="Arial" w:cs="Arial"/>
          <w:sz w:val="18"/>
          <w:szCs w:val="18"/>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proofErr w:type="spellStart"/>
      <w:r w:rsidRPr="00DD3634">
        <w:rPr>
          <w:rFonts w:ascii="Arial" w:hAnsi="Arial" w:cs="Arial"/>
          <w:sz w:val="18"/>
          <w:szCs w:val="18"/>
          <w:lang w:val="es-ES"/>
        </w:rPr>
        <w:t>SL1</w:t>
      </w:r>
      <w:r>
        <w:rPr>
          <w:rFonts w:ascii="Arial" w:hAnsi="Arial" w:cs="Arial"/>
          <w:sz w:val="18"/>
          <w:szCs w:val="18"/>
          <w:lang w:val="es-ES"/>
        </w:rPr>
        <w:t>8545</w:t>
      </w:r>
      <w:proofErr w:type="spellEnd"/>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w:t>
      </w:r>
    </w:p>
    <w:p w:rsidR="00C521EF" w:rsidRPr="00A27137" w:rsidRDefault="00C521EF" w:rsidP="00C521EF">
      <w:pPr>
        <w:pStyle w:val="Notedebasdepage"/>
        <w:rPr>
          <w:lang w:val="es-AR"/>
        </w:rPr>
      </w:pPr>
    </w:p>
  </w:footnote>
  <w:footnote w:id="3">
    <w:p w:rsidR="00C521EF" w:rsidRPr="00676199" w:rsidRDefault="00C521EF" w:rsidP="00C521EF">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4D0DA3">
      <w:rPr>
        <w:rFonts w:ascii="Arial" w:hAnsi="Arial" w:cs="Arial"/>
        <w:sz w:val="18"/>
        <w:szCs w:val="18"/>
      </w:rPr>
      <w:t>3</w:t>
    </w:r>
    <w:r w:rsidR="00601946">
      <w:rPr>
        <w:rFonts w:ascii="Arial" w:hAnsi="Arial" w:cs="Arial"/>
        <w:sz w:val="18"/>
        <w:szCs w:val="18"/>
      </w:rPr>
      <w:t>-2015-00</w:t>
    </w:r>
    <w:r w:rsidR="004D0DA3">
      <w:rPr>
        <w:rFonts w:ascii="Arial" w:hAnsi="Arial" w:cs="Arial"/>
        <w:sz w:val="18"/>
        <w:szCs w:val="18"/>
      </w:rPr>
      <w:t>556</w:t>
    </w:r>
    <w:r w:rsidR="00601946">
      <w:rPr>
        <w:rFonts w:ascii="Arial" w:hAnsi="Arial" w:cs="Arial"/>
        <w:sz w:val="18"/>
        <w:szCs w:val="18"/>
      </w:rPr>
      <w:t>-01</w:t>
    </w:r>
  </w:p>
  <w:p w:rsidR="00907F08" w:rsidRPr="00BB3FED" w:rsidRDefault="004D0DA3" w:rsidP="00AD7995">
    <w:pPr>
      <w:pStyle w:val="En-tte"/>
      <w:jc w:val="center"/>
      <w:rPr>
        <w:rFonts w:ascii="Arial" w:hAnsi="Arial" w:cs="Arial"/>
        <w:sz w:val="18"/>
        <w:szCs w:val="18"/>
      </w:rPr>
    </w:pPr>
    <w:r>
      <w:rPr>
        <w:rFonts w:ascii="Arial" w:hAnsi="Arial" w:cs="Arial"/>
        <w:sz w:val="18"/>
        <w:szCs w:val="18"/>
      </w:rPr>
      <w:t xml:space="preserve">Emma Ruiz de González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21910"/>
    <w:rsid w:val="00023EF9"/>
    <w:rsid w:val="00025946"/>
    <w:rsid w:val="00040E9A"/>
    <w:rsid w:val="000429E7"/>
    <w:rsid w:val="00042E63"/>
    <w:rsid w:val="00047835"/>
    <w:rsid w:val="00050D8B"/>
    <w:rsid w:val="0006677B"/>
    <w:rsid w:val="0007142F"/>
    <w:rsid w:val="00080F7F"/>
    <w:rsid w:val="0008139A"/>
    <w:rsid w:val="000902F6"/>
    <w:rsid w:val="00093011"/>
    <w:rsid w:val="00095E67"/>
    <w:rsid w:val="000A397D"/>
    <w:rsid w:val="000A4D92"/>
    <w:rsid w:val="000B55C3"/>
    <w:rsid w:val="000C08B1"/>
    <w:rsid w:val="000C0A51"/>
    <w:rsid w:val="000C37D4"/>
    <w:rsid w:val="000D650B"/>
    <w:rsid w:val="000E31BE"/>
    <w:rsid w:val="000E70EB"/>
    <w:rsid w:val="000E7F42"/>
    <w:rsid w:val="000F5775"/>
    <w:rsid w:val="00101DEB"/>
    <w:rsid w:val="00122A57"/>
    <w:rsid w:val="00126027"/>
    <w:rsid w:val="00127390"/>
    <w:rsid w:val="00132A38"/>
    <w:rsid w:val="00134C86"/>
    <w:rsid w:val="00136BD5"/>
    <w:rsid w:val="00140398"/>
    <w:rsid w:val="00143516"/>
    <w:rsid w:val="0014678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B03FA"/>
    <w:rsid w:val="001B22B4"/>
    <w:rsid w:val="001C4D7F"/>
    <w:rsid w:val="001C756E"/>
    <w:rsid w:val="001E0313"/>
    <w:rsid w:val="001E359C"/>
    <w:rsid w:val="001F6B88"/>
    <w:rsid w:val="0020288B"/>
    <w:rsid w:val="002125E7"/>
    <w:rsid w:val="00220AC7"/>
    <w:rsid w:val="00223134"/>
    <w:rsid w:val="00225C75"/>
    <w:rsid w:val="00226D5F"/>
    <w:rsid w:val="00231C0C"/>
    <w:rsid w:val="00231C21"/>
    <w:rsid w:val="002320EB"/>
    <w:rsid w:val="0024101E"/>
    <w:rsid w:val="00242152"/>
    <w:rsid w:val="00247BBE"/>
    <w:rsid w:val="00260A0C"/>
    <w:rsid w:val="00260C0B"/>
    <w:rsid w:val="00272C8B"/>
    <w:rsid w:val="00287140"/>
    <w:rsid w:val="002900CD"/>
    <w:rsid w:val="0029381D"/>
    <w:rsid w:val="00297363"/>
    <w:rsid w:val="002A02BA"/>
    <w:rsid w:val="002A30D0"/>
    <w:rsid w:val="002A55E3"/>
    <w:rsid w:val="002B0962"/>
    <w:rsid w:val="002B4E63"/>
    <w:rsid w:val="002B7A17"/>
    <w:rsid w:val="002C0C18"/>
    <w:rsid w:val="002C438C"/>
    <w:rsid w:val="002D566E"/>
    <w:rsid w:val="002D6807"/>
    <w:rsid w:val="002E1176"/>
    <w:rsid w:val="002E4F47"/>
    <w:rsid w:val="002F4482"/>
    <w:rsid w:val="0030077E"/>
    <w:rsid w:val="00307EEE"/>
    <w:rsid w:val="003140EF"/>
    <w:rsid w:val="00314980"/>
    <w:rsid w:val="003214BD"/>
    <w:rsid w:val="00330564"/>
    <w:rsid w:val="003361EF"/>
    <w:rsid w:val="003440CA"/>
    <w:rsid w:val="00344B04"/>
    <w:rsid w:val="003463CD"/>
    <w:rsid w:val="003465C4"/>
    <w:rsid w:val="0035243D"/>
    <w:rsid w:val="00360B25"/>
    <w:rsid w:val="00362830"/>
    <w:rsid w:val="00371309"/>
    <w:rsid w:val="003718EC"/>
    <w:rsid w:val="0037195C"/>
    <w:rsid w:val="00371E9E"/>
    <w:rsid w:val="003751E1"/>
    <w:rsid w:val="00381816"/>
    <w:rsid w:val="0038387C"/>
    <w:rsid w:val="0039086A"/>
    <w:rsid w:val="003922FA"/>
    <w:rsid w:val="00392EA4"/>
    <w:rsid w:val="003C2430"/>
    <w:rsid w:val="003C527F"/>
    <w:rsid w:val="003D63A5"/>
    <w:rsid w:val="003E2B4E"/>
    <w:rsid w:val="003E46D1"/>
    <w:rsid w:val="003F0D02"/>
    <w:rsid w:val="003F339B"/>
    <w:rsid w:val="003F77C1"/>
    <w:rsid w:val="0042111D"/>
    <w:rsid w:val="004253D4"/>
    <w:rsid w:val="00426A77"/>
    <w:rsid w:val="00427EC4"/>
    <w:rsid w:val="00427FF5"/>
    <w:rsid w:val="004343F9"/>
    <w:rsid w:val="004348AB"/>
    <w:rsid w:val="004379CF"/>
    <w:rsid w:val="00450598"/>
    <w:rsid w:val="00450903"/>
    <w:rsid w:val="004519EB"/>
    <w:rsid w:val="0045273B"/>
    <w:rsid w:val="0046338F"/>
    <w:rsid w:val="00465508"/>
    <w:rsid w:val="004779EB"/>
    <w:rsid w:val="004849E9"/>
    <w:rsid w:val="00495841"/>
    <w:rsid w:val="004A057C"/>
    <w:rsid w:val="004A2468"/>
    <w:rsid w:val="004B2ADD"/>
    <w:rsid w:val="004B3C1E"/>
    <w:rsid w:val="004C4AF7"/>
    <w:rsid w:val="004D01C5"/>
    <w:rsid w:val="004D0DA3"/>
    <w:rsid w:val="004D4032"/>
    <w:rsid w:val="004D51E9"/>
    <w:rsid w:val="004E0EBF"/>
    <w:rsid w:val="004E4CC6"/>
    <w:rsid w:val="004E6076"/>
    <w:rsid w:val="00501034"/>
    <w:rsid w:val="00502691"/>
    <w:rsid w:val="00510E2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5E82"/>
    <w:rsid w:val="005F68FF"/>
    <w:rsid w:val="00601946"/>
    <w:rsid w:val="006135E9"/>
    <w:rsid w:val="0061484D"/>
    <w:rsid w:val="006232B1"/>
    <w:rsid w:val="00634D5E"/>
    <w:rsid w:val="00637118"/>
    <w:rsid w:val="006470C8"/>
    <w:rsid w:val="006516CA"/>
    <w:rsid w:val="00652D0D"/>
    <w:rsid w:val="00662604"/>
    <w:rsid w:val="00663CC5"/>
    <w:rsid w:val="00664C67"/>
    <w:rsid w:val="006732CE"/>
    <w:rsid w:val="00674E33"/>
    <w:rsid w:val="00675E25"/>
    <w:rsid w:val="00676199"/>
    <w:rsid w:val="0068173D"/>
    <w:rsid w:val="00693C7A"/>
    <w:rsid w:val="00695334"/>
    <w:rsid w:val="00696F69"/>
    <w:rsid w:val="006A0D48"/>
    <w:rsid w:val="006A66F5"/>
    <w:rsid w:val="006C4430"/>
    <w:rsid w:val="006D0816"/>
    <w:rsid w:val="006E11A2"/>
    <w:rsid w:val="006E276B"/>
    <w:rsid w:val="006E2F01"/>
    <w:rsid w:val="006E53EA"/>
    <w:rsid w:val="006F0081"/>
    <w:rsid w:val="006F1F9C"/>
    <w:rsid w:val="006F2EA3"/>
    <w:rsid w:val="006F2FF3"/>
    <w:rsid w:val="006F3D12"/>
    <w:rsid w:val="006F68BC"/>
    <w:rsid w:val="00704279"/>
    <w:rsid w:val="00712CFC"/>
    <w:rsid w:val="00713558"/>
    <w:rsid w:val="007162DE"/>
    <w:rsid w:val="00716474"/>
    <w:rsid w:val="00720864"/>
    <w:rsid w:val="00721384"/>
    <w:rsid w:val="007257DE"/>
    <w:rsid w:val="007258A6"/>
    <w:rsid w:val="007308D1"/>
    <w:rsid w:val="007330F0"/>
    <w:rsid w:val="00733AFD"/>
    <w:rsid w:val="00734DCF"/>
    <w:rsid w:val="00734E40"/>
    <w:rsid w:val="007465BA"/>
    <w:rsid w:val="00747B2A"/>
    <w:rsid w:val="00747E40"/>
    <w:rsid w:val="007527A8"/>
    <w:rsid w:val="007632AA"/>
    <w:rsid w:val="00764C9B"/>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E5F18"/>
    <w:rsid w:val="0080180A"/>
    <w:rsid w:val="00804AC2"/>
    <w:rsid w:val="00810397"/>
    <w:rsid w:val="0082110F"/>
    <w:rsid w:val="0083061B"/>
    <w:rsid w:val="0083155E"/>
    <w:rsid w:val="008468CA"/>
    <w:rsid w:val="0084730C"/>
    <w:rsid w:val="00847B91"/>
    <w:rsid w:val="00847BD3"/>
    <w:rsid w:val="008514AF"/>
    <w:rsid w:val="0085750F"/>
    <w:rsid w:val="00860E42"/>
    <w:rsid w:val="00861E49"/>
    <w:rsid w:val="00865F8B"/>
    <w:rsid w:val="00872FB9"/>
    <w:rsid w:val="008751D8"/>
    <w:rsid w:val="008778BA"/>
    <w:rsid w:val="008778C4"/>
    <w:rsid w:val="00880921"/>
    <w:rsid w:val="00883AAD"/>
    <w:rsid w:val="00895036"/>
    <w:rsid w:val="008A04F6"/>
    <w:rsid w:val="008A090A"/>
    <w:rsid w:val="008B3495"/>
    <w:rsid w:val="008C5FDB"/>
    <w:rsid w:val="008C61AB"/>
    <w:rsid w:val="008D7031"/>
    <w:rsid w:val="008E1DDD"/>
    <w:rsid w:val="008E5563"/>
    <w:rsid w:val="008F003B"/>
    <w:rsid w:val="00907A5F"/>
    <w:rsid w:val="00907F08"/>
    <w:rsid w:val="00911270"/>
    <w:rsid w:val="00915EE3"/>
    <w:rsid w:val="00922DCA"/>
    <w:rsid w:val="009249A0"/>
    <w:rsid w:val="009269DA"/>
    <w:rsid w:val="00942452"/>
    <w:rsid w:val="00966F23"/>
    <w:rsid w:val="009740CF"/>
    <w:rsid w:val="00975D88"/>
    <w:rsid w:val="0099139C"/>
    <w:rsid w:val="00995393"/>
    <w:rsid w:val="00997B2A"/>
    <w:rsid w:val="009A1C84"/>
    <w:rsid w:val="009A5558"/>
    <w:rsid w:val="009B049E"/>
    <w:rsid w:val="009B50EE"/>
    <w:rsid w:val="009D3100"/>
    <w:rsid w:val="009D6B62"/>
    <w:rsid w:val="009E1BB1"/>
    <w:rsid w:val="009E5A8E"/>
    <w:rsid w:val="009E7AFA"/>
    <w:rsid w:val="009F1835"/>
    <w:rsid w:val="009F38A2"/>
    <w:rsid w:val="009F7618"/>
    <w:rsid w:val="00A02043"/>
    <w:rsid w:val="00A026CC"/>
    <w:rsid w:val="00A069F9"/>
    <w:rsid w:val="00A16831"/>
    <w:rsid w:val="00A205C1"/>
    <w:rsid w:val="00A23CFA"/>
    <w:rsid w:val="00A24F8A"/>
    <w:rsid w:val="00A26483"/>
    <w:rsid w:val="00A27137"/>
    <w:rsid w:val="00A3693D"/>
    <w:rsid w:val="00A37314"/>
    <w:rsid w:val="00A44C8E"/>
    <w:rsid w:val="00A465A9"/>
    <w:rsid w:val="00A5024C"/>
    <w:rsid w:val="00A5359A"/>
    <w:rsid w:val="00A54BD4"/>
    <w:rsid w:val="00A67E77"/>
    <w:rsid w:val="00A70128"/>
    <w:rsid w:val="00A81A6D"/>
    <w:rsid w:val="00A85C4C"/>
    <w:rsid w:val="00A87922"/>
    <w:rsid w:val="00A9107A"/>
    <w:rsid w:val="00A928D2"/>
    <w:rsid w:val="00A93DCA"/>
    <w:rsid w:val="00A957FB"/>
    <w:rsid w:val="00AB0154"/>
    <w:rsid w:val="00AB4FDE"/>
    <w:rsid w:val="00AC0374"/>
    <w:rsid w:val="00AC3820"/>
    <w:rsid w:val="00AC486E"/>
    <w:rsid w:val="00AD1341"/>
    <w:rsid w:val="00AD649C"/>
    <w:rsid w:val="00AD7562"/>
    <w:rsid w:val="00AD7995"/>
    <w:rsid w:val="00AE3443"/>
    <w:rsid w:val="00AF18BD"/>
    <w:rsid w:val="00B0027A"/>
    <w:rsid w:val="00B0466B"/>
    <w:rsid w:val="00B04D65"/>
    <w:rsid w:val="00B21808"/>
    <w:rsid w:val="00B21B6A"/>
    <w:rsid w:val="00B22E56"/>
    <w:rsid w:val="00B448FA"/>
    <w:rsid w:val="00B56E76"/>
    <w:rsid w:val="00B60E4D"/>
    <w:rsid w:val="00B63166"/>
    <w:rsid w:val="00B63804"/>
    <w:rsid w:val="00B67118"/>
    <w:rsid w:val="00B71E8F"/>
    <w:rsid w:val="00B81590"/>
    <w:rsid w:val="00B93253"/>
    <w:rsid w:val="00B9600C"/>
    <w:rsid w:val="00BA0C20"/>
    <w:rsid w:val="00BA1BEB"/>
    <w:rsid w:val="00BA2649"/>
    <w:rsid w:val="00BB390F"/>
    <w:rsid w:val="00BB3FED"/>
    <w:rsid w:val="00BB6B1B"/>
    <w:rsid w:val="00BC31C8"/>
    <w:rsid w:val="00BC3CEC"/>
    <w:rsid w:val="00BC7A07"/>
    <w:rsid w:val="00BD00C4"/>
    <w:rsid w:val="00BD1C65"/>
    <w:rsid w:val="00BD3C89"/>
    <w:rsid w:val="00BD7388"/>
    <w:rsid w:val="00BE0180"/>
    <w:rsid w:val="00BE0373"/>
    <w:rsid w:val="00BF1717"/>
    <w:rsid w:val="00BF25CC"/>
    <w:rsid w:val="00BF3BE5"/>
    <w:rsid w:val="00BF531B"/>
    <w:rsid w:val="00C1062A"/>
    <w:rsid w:val="00C133C0"/>
    <w:rsid w:val="00C14D4B"/>
    <w:rsid w:val="00C1591F"/>
    <w:rsid w:val="00C15F17"/>
    <w:rsid w:val="00C27386"/>
    <w:rsid w:val="00C35779"/>
    <w:rsid w:val="00C521EF"/>
    <w:rsid w:val="00C5450D"/>
    <w:rsid w:val="00C62F29"/>
    <w:rsid w:val="00C77CC8"/>
    <w:rsid w:val="00C81C4D"/>
    <w:rsid w:val="00C90579"/>
    <w:rsid w:val="00C91182"/>
    <w:rsid w:val="00C95DCA"/>
    <w:rsid w:val="00CA15E5"/>
    <w:rsid w:val="00CA3DF9"/>
    <w:rsid w:val="00CC1852"/>
    <w:rsid w:val="00CC739E"/>
    <w:rsid w:val="00CE19AC"/>
    <w:rsid w:val="00CF04C1"/>
    <w:rsid w:val="00CF576A"/>
    <w:rsid w:val="00CF7B13"/>
    <w:rsid w:val="00D00108"/>
    <w:rsid w:val="00D00D98"/>
    <w:rsid w:val="00D017B8"/>
    <w:rsid w:val="00D06347"/>
    <w:rsid w:val="00D270A6"/>
    <w:rsid w:val="00D320B2"/>
    <w:rsid w:val="00D37D11"/>
    <w:rsid w:val="00D41F38"/>
    <w:rsid w:val="00D4334B"/>
    <w:rsid w:val="00D51A64"/>
    <w:rsid w:val="00D578CB"/>
    <w:rsid w:val="00D747E2"/>
    <w:rsid w:val="00D87A44"/>
    <w:rsid w:val="00D914F9"/>
    <w:rsid w:val="00D9536D"/>
    <w:rsid w:val="00DA3E57"/>
    <w:rsid w:val="00DA464F"/>
    <w:rsid w:val="00DA6547"/>
    <w:rsid w:val="00DD5737"/>
    <w:rsid w:val="00DE2D85"/>
    <w:rsid w:val="00DF30A5"/>
    <w:rsid w:val="00E04822"/>
    <w:rsid w:val="00E062F9"/>
    <w:rsid w:val="00E10861"/>
    <w:rsid w:val="00E153DA"/>
    <w:rsid w:val="00E27B52"/>
    <w:rsid w:val="00E34538"/>
    <w:rsid w:val="00E368B2"/>
    <w:rsid w:val="00E36A32"/>
    <w:rsid w:val="00E57586"/>
    <w:rsid w:val="00E57C3E"/>
    <w:rsid w:val="00E64334"/>
    <w:rsid w:val="00E654A5"/>
    <w:rsid w:val="00E665CA"/>
    <w:rsid w:val="00E70A48"/>
    <w:rsid w:val="00E76099"/>
    <w:rsid w:val="00E84B09"/>
    <w:rsid w:val="00E84DB5"/>
    <w:rsid w:val="00E869BA"/>
    <w:rsid w:val="00E938FF"/>
    <w:rsid w:val="00E94019"/>
    <w:rsid w:val="00E956F4"/>
    <w:rsid w:val="00EA0577"/>
    <w:rsid w:val="00EA12D1"/>
    <w:rsid w:val="00EA172C"/>
    <w:rsid w:val="00EA2DED"/>
    <w:rsid w:val="00EA4765"/>
    <w:rsid w:val="00EB26C5"/>
    <w:rsid w:val="00EB368F"/>
    <w:rsid w:val="00EB4499"/>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500A7"/>
    <w:rsid w:val="00F552D5"/>
    <w:rsid w:val="00F56B58"/>
    <w:rsid w:val="00F65645"/>
    <w:rsid w:val="00F7229A"/>
    <w:rsid w:val="00F761FA"/>
    <w:rsid w:val="00F80806"/>
    <w:rsid w:val="00F854DC"/>
    <w:rsid w:val="00F91202"/>
    <w:rsid w:val="00F924F2"/>
    <w:rsid w:val="00F9391A"/>
    <w:rsid w:val="00F9632D"/>
    <w:rsid w:val="00FA42C7"/>
    <w:rsid w:val="00FA5FE5"/>
    <w:rsid w:val="00FA6675"/>
    <w:rsid w:val="00FA75E6"/>
    <w:rsid w:val="00FA7FA8"/>
    <w:rsid w:val="00FB341A"/>
    <w:rsid w:val="00FB4F2B"/>
    <w:rsid w:val="00FC44F4"/>
    <w:rsid w:val="00FD2EF2"/>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92B5-5D65-4DD3-8F6A-28053D5D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2205</Words>
  <Characters>12131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17</cp:revision>
  <cp:lastPrinted>2017-01-17T13:38:00Z</cp:lastPrinted>
  <dcterms:created xsi:type="dcterms:W3CDTF">2017-03-01T16:53:00Z</dcterms:created>
  <dcterms:modified xsi:type="dcterms:W3CDTF">2017-05-14T12:37:00Z</dcterms:modified>
</cp:coreProperties>
</file>