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936" w:rsidRPr="00AA21A5" w:rsidRDefault="001E3936" w:rsidP="001E3936">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FF0000"/>
          <w:sz w:val="16"/>
          <w:szCs w:val="16"/>
          <w:lang w:val="es-CO" w:eastAsia="fr-FR"/>
        </w:rPr>
      </w:pPr>
      <w:bookmarkStart w:id="0" w:name="_GoBack"/>
      <w:bookmarkEnd w:id="0"/>
      <w:r w:rsidRPr="00AA21A5">
        <w:rPr>
          <w:rFonts w:ascii="Calibri" w:eastAsia="Times New Roman"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eastAsia="Times New Roman" w:hAnsi="Calibri" w:cs="Calibri"/>
          <w:color w:val="FF0000"/>
          <w:sz w:val="16"/>
          <w:szCs w:val="16"/>
          <w:lang w:val="es-CO" w:eastAsia="fr-FR"/>
        </w:rPr>
        <w:t xml:space="preserve"> </w:t>
      </w:r>
    </w:p>
    <w:p w:rsidR="001E3936" w:rsidRPr="00AA21A5" w:rsidRDefault="001E3936" w:rsidP="001E3936">
      <w:pPr>
        <w:pBdr>
          <w:top w:val="single" w:sz="4" w:space="1" w:color="auto"/>
          <w:left w:val="single" w:sz="4" w:space="4" w:color="auto"/>
          <w:bottom w:val="single" w:sz="4" w:space="1" w:color="auto"/>
          <w:right w:val="single" w:sz="4" w:space="4" w:color="auto"/>
        </w:pBdr>
        <w:shd w:val="clear" w:color="auto" w:fill="FFFFFF"/>
        <w:spacing w:after="0"/>
        <w:jc w:val="center"/>
        <w:rPr>
          <w:rFonts w:ascii="Calibri" w:eastAsia="Times New Roman" w:hAnsi="Calibri" w:cs="Calibri"/>
          <w:color w:val="222222"/>
          <w:sz w:val="16"/>
          <w:szCs w:val="16"/>
          <w:lang w:val="es-CO" w:eastAsia="fr-FR"/>
        </w:rPr>
      </w:pPr>
      <w:r w:rsidRPr="00AA21A5">
        <w:rPr>
          <w:rFonts w:ascii="Calibri" w:eastAsia="Times New Roman" w:hAnsi="Calibri" w:cs="Calibri"/>
          <w:color w:val="FF0000"/>
          <w:sz w:val="16"/>
          <w:szCs w:val="16"/>
          <w:lang w:val="es-CO" w:eastAsia="fr-FR"/>
        </w:rPr>
        <w:t>El contenido total y fiel de la decisión debe ser verificado en el audio que reposa en la Secretaría de esta Sala.</w:t>
      </w:r>
      <w:r w:rsidRPr="00AA21A5">
        <w:rPr>
          <w:rFonts w:ascii="Calibri" w:eastAsia="Times New Roman" w:hAnsi="Calibri" w:cs="Calibri"/>
          <w:color w:val="222222"/>
          <w:sz w:val="16"/>
          <w:szCs w:val="16"/>
          <w:lang w:val="es-CO" w:eastAsia="fr-FR"/>
        </w:rPr>
        <w:t> </w:t>
      </w:r>
    </w:p>
    <w:p w:rsidR="001E3936" w:rsidRDefault="001E3936" w:rsidP="00717D29">
      <w:pPr>
        <w:spacing w:line="276" w:lineRule="auto"/>
        <w:ind w:left="2410"/>
        <w:contextualSpacing/>
        <w:jc w:val="both"/>
        <w:rPr>
          <w:rFonts w:ascii="Arial" w:hAnsi="Arial" w:cs="Arial"/>
          <w:b/>
          <w:sz w:val="18"/>
          <w:szCs w:val="18"/>
          <w:lang w:val="es-CO"/>
        </w:rPr>
      </w:pPr>
    </w:p>
    <w:p w:rsidR="001E3936" w:rsidRPr="001E3936" w:rsidRDefault="001E3936" w:rsidP="001E3936">
      <w:pPr>
        <w:spacing w:line="276" w:lineRule="auto"/>
        <w:contextualSpacing/>
        <w:jc w:val="both"/>
        <w:rPr>
          <w:rFonts w:ascii="Arial" w:hAnsi="Arial" w:cs="Arial"/>
          <w:sz w:val="18"/>
          <w:szCs w:val="18"/>
          <w:lang w:val="es-CO"/>
        </w:rPr>
      </w:pPr>
      <w:r>
        <w:rPr>
          <w:rFonts w:ascii="Arial" w:hAnsi="Arial" w:cs="Arial"/>
          <w:b/>
          <w:sz w:val="18"/>
          <w:szCs w:val="18"/>
          <w:lang w:val="es-CO"/>
        </w:rPr>
        <w:t xml:space="preserve">Providencia: </w:t>
      </w:r>
      <w:r>
        <w:rPr>
          <w:rFonts w:ascii="Arial" w:hAnsi="Arial" w:cs="Arial"/>
          <w:b/>
          <w:sz w:val="18"/>
          <w:szCs w:val="18"/>
          <w:lang w:val="es-CO"/>
        </w:rPr>
        <w:tab/>
        <w:t xml:space="preserve">         </w:t>
      </w:r>
      <w:r w:rsidRPr="001E3936">
        <w:rPr>
          <w:rFonts w:ascii="Arial" w:hAnsi="Arial" w:cs="Arial"/>
          <w:sz w:val="18"/>
          <w:szCs w:val="18"/>
          <w:lang w:val="es-CO"/>
        </w:rPr>
        <w:t>Sentencia – 2ª instancia – 18 de abril de 2017</w:t>
      </w:r>
    </w:p>
    <w:p w:rsidR="009257DF" w:rsidRPr="00B41059" w:rsidRDefault="009257DF" w:rsidP="001E3936">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w:t>
      </w:r>
      <w:r w:rsidR="001E3936">
        <w:rPr>
          <w:rFonts w:ascii="Arial" w:hAnsi="Arial" w:cs="Arial"/>
          <w:sz w:val="18"/>
          <w:szCs w:val="18"/>
          <w:lang w:val="es-CO"/>
        </w:rPr>
        <w:t xml:space="preserve"> </w:t>
      </w:r>
      <w:r w:rsidRPr="00B41059">
        <w:rPr>
          <w:rFonts w:ascii="Arial" w:hAnsi="Arial" w:cs="Arial"/>
          <w:sz w:val="18"/>
          <w:szCs w:val="18"/>
          <w:lang w:val="es-CO"/>
        </w:rPr>
        <w:t>Ordinario Laboral</w:t>
      </w:r>
      <w:r w:rsidR="001E3936">
        <w:rPr>
          <w:rFonts w:ascii="Arial" w:hAnsi="Arial" w:cs="Arial"/>
          <w:sz w:val="18"/>
          <w:szCs w:val="18"/>
          <w:lang w:val="es-CO"/>
        </w:rPr>
        <w:t xml:space="preserve"> – Confirma sentencia desfavorable</w:t>
      </w:r>
    </w:p>
    <w:p w:rsidR="009257DF" w:rsidRPr="00B41059" w:rsidRDefault="009257DF" w:rsidP="001E3936">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CB721E">
        <w:rPr>
          <w:rFonts w:ascii="Arial" w:hAnsi="Arial" w:cs="Arial"/>
          <w:sz w:val="18"/>
          <w:szCs w:val="18"/>
          <w:lang w:val="es-CO"/>
        </w:rPr>
        <w:t>1</w:t>
      </w:r>
      <w:r w:rsidRPr="00B41059">
        <w:rPr>
          <w:rFonts w:ascii="Arial" w:hAnsi="Arial" w:cs="Arial"/>
          <w:sz w:val="18"/>
          <w:szCs w:val="18"/>
          <w:lang w:val="es-CO"/>
        </w:rPr>
        <w:t>-201</w:t>
      </w:r>
      <w:r w:rsidR="00B860BB">
        <w:rPr>
          <w:rFonts w:ascii="Arial" w:hAnsi="Arial" w:cs="Arial"/>
          <w:sz w:val="18"/>
          <w:szCs w:val="18"/>
          <w:lang w:val="es-CO"/>
        </w:rPr>
        <w:t>5</w:t>
      </w:r>
      <w:r w:rsidRPr="00B41059">
        <w:rPr>
          <w:rFonts w:ascii="Arial" w:hAnsi="Arial" w:cs="Arial"/>
          <w:sz w:val="18"/>
          <w:szCs w:val="18"/>
          <w:lang w:val="es-CO"/>
        </w:rPr>
        <w:t>-00</w:t>
      </w:r>
      <w:r w:rsidR="00CB721E">
        <w:rPr>
          <w:rFonts w:ascii="Arial" w:hAnsi="Arial" w:cs="Arial"/>
          <w:sz w:val="18"/>
          <w:szCs w:val="18"/>
          <w:lang w:val="es-CO"/>
        </w:rPr>
        <w:t>438</w:t>
      </w:r>
      <w:r w:rsidR="00F200C9">
        <w:rPr>
          <w:rFonts w:ascii="Arial" w:hAnsi="Arial" w:cs="Arial"/>
          <w:sz w:val="18"/>
          <w:szCs w:val="18"/>
          <w:lang w:val="es-CO"/>
        </w:rPr>
        <w:t>-01</w:t>
      </w:r>
    </w:p>
    <w:p w:rsidR="009257DF" w:rsidRPr="00B41059" w:rsidRDefault="009257DF" w:rsidP="001E3936">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CB721E">
        <w:rPr>
          <w:rFonts w:ascii="Arial" w:hAnsi="Arial" w:cs="Arial"/>
          <w:sz w:val="18"/>
          <w:szCs w:val="18"/>
          <w:lang w:val="es-CO"/>
        </w:rPr>
        <w:t>Darío Amaya Ortegón</w:t>
      </w:r>
    </w:p>
    <w:p w:rsidR="009257DF" w:rsidRPr="00B41059" w:rsidRDefault="009257DF" w:rsidP="001E3936">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w:t>
      </w:r>
      <w:proofErr w:type="spellStart"/>
      <w:r w:rsidR="00B860BB">
        <w:rPr>
          <w:rFonts w:ascii="Arial" w:hAnsi="Arial" w:cs="Arial"/>
          <w:sz w:val="18"/>
          <w:szCs w:val="18"/>
          <w:lang w:val="es-CO"/>
        </w:rPr>
        <w:t>Colpensiones</w:t>
      </w:r>
      <w:proofErr w:type="spellEnd"/>
    </w:p>
    <w:p w:rsidR="009257DF" w:rsidRPr="00B41059" w:rsidRDefault="009257DF" w:rsidP="001E3936">
      <w:pPr>
        <w:spacing w:line="276" w:lineRule="auto"/>
        <w:contextualSpacing/>
        <w:jc w:val="both"/>
        <w:rPr>
          <w:rFonts w:ascii="Arial" w:hAnsi="Arial" w:cs="Arial"/>
          <w:sz w:val="18"/>
          <w:szCs w:val="18"/>
          <w:lang w:val="es-CO"/>
        </w:rPr>
      </w:pPr>
      <w:r w:rsidRPr="002D680F">
        <w:rPr>
          <w:rFonts w:ascii="Arial" w:hAnsi="Arial" w:cs="Arial"/>
          <w:b/>
          <w:sz w:val="18"/>
          <w:szCs w:val="18"/>
          <w:lang w:val="es-CO"/>
        </w:rPr>
        <w:t>Juzgad</w:t>
      </w:r>
      <w:r w:rsidR="00E50044" w:rsidRPr="002D680F">
        <w:rPr>
          <w:rFonts w:ascii="Arial" w:hAnsi="Arial" w:cs="Arial"/>
          <w:b/>
          <w:sz w:val="18"/>
          <w:szCs w:val="18"/>
          <w:lang w:val="es-CO"/>
        </w:rPr>
        <w:t>o de origen:</w:t>
      </w:r>
      <w:r w:rsidR="0055536F">
        <w:rPr>
          <w:rFonts w:ascii="Arial" w:hAnsi="Arial" w:cs="Arial"/>
          <w:sz w:val="18"/>
          <w:szCs w:val="18"/>
          <w:lang w:val="es-CO"/>
        </w:rPr>
        <w:t xml:space="preserve">    </w:t>
      </w:r>
      <w:r w:rsidR="00E50044">
        <w:rPr>
          <w:rFonts w:ascii="Arial" w:hAnsi="Arial" w:cs="Arial"/>
          <w:sz w:val="18"/>
          <w:szCs w:val="18"/>
          <w:lang w:val="es-CO"/>
        </w:rPr>
        <w:t xml:space="preserve">Juzgado </w:t>
      </w:r>
      <w:r w:rsidR="00CB721E">
        <w:rPr>
          <w:rFonts w:ascii="Arial" w:hAnsi="Arial" w:cs="Arial"/>
          <w:sz w:val="18"/>
          <w:szCs w:val="18"/>
          <w:lang w:val="es-CO"/>
        </w:rPr>
        <w:t>Primero</w:t>
      </w:r>
      <w:r w:rsidR="000D35D5">
        <w:rPr>
          <w:rFonts w:ascii="Arial" w:hAnsi="Arial" w:cs="Arial"/>
          <w:sz w:val="18"/>
          <w:szCs w:val="18"/>
          <w:lang w:val="es-CO"/>
        </w:rPr>
        <w:t xml:space="preserve"> </w:t>
      </w:r>
      <w:r w:rsidRPr="00B41059">
        <w:rPr>
          <w:rFonts w:ascii="Arial" w:hAnsi="Arial" w:cs="Arial"/>
          <w:sz w:val="18"/>
          <w:szCs w:val="18"/>
          <w:lang w:val="es-CO"/>
        </w:rPr>
        <w:t>Laboral del Circuito de Pereira</w:t>
      </w:r>
    </w:p>
    <w:p w:rsidR="001E3936" w:rsidRDefault="001E3936" w:rsidP="001E3936">
      <w:pPr>
        <w:spacing w:line="276" w:lineRule="auto"/>
        <w:contextualSpacing/>
        <w:jc w:val="both"/>
        <w:rPr>
          <w:rFonts w:ascii="Arial" w:hAnsi="Arial" w:cs="Arial"/>
          <w:b/>
          <w:bCs/>
          <w:sz w:val="18"/>
          <w:szCs w:val="18"/>
        </w:rPr>
      </w:pPr>
    </w:p>
    <w:p w:rsidR="001E3936" w:rsidRPr="001E3936" w:rsidRDefault="00C6077C" w:rsidP="001E3936">
      <w:pPr>
        <w:jc w:val="both"/>
        <w:rPr>
          <w:rFonts w:ascii="Arial" w:hAnsi="Arial" w:cs="Arial"/>
          <w:b/>
          <w:bCs/>
          <w:sz w:val="18"/>
          <w:szCs w:val="18"/>
          <w:lang w:val="es-ES_tradnl"/>
        </w:rPr>
      </w:pPr>
      <w:r>
        <w:rPr>
          <w:rFonts w:ascii="Arial" w:hAnsi="Arial" w:cs="Arial"/>
          <w:b/>
          <w:bCs/>
          <w:sz w:val="18"/>
          <w:szCs w:val="18"/>
        </w:rPr>
        <w:t xml:space="preserve">TEMA: </w:t>
      </w:r>
      <w:r w:rsidR="001E3936">
        <w:rPr>
          <w:rFonts w:ascii="Arial" w:hAnsi="Arial" w:cs="Arial"/>
          <w:b/>
          <w:bCs/>
          <w:sz w:val="18"/>
          <w:szCs w:val="18"/>
        </w:rPr>
        <w:tab/>
      </w:r>
      <w:r w:rsidR="001E3936">
        <w:rPr>
          <w:rFonts w:ascii="Arial" w:hAnsi="Arial" w:cs="Arial"/>
          <w:b/>
          <w:bCs/>
          <w:sz w:val="18"/>
          <w:szCs w:val="18"/>
        </w:rPr>
        <w:tab/>
        <w:t xml:space="preserve">          </w:t>
      </w:r>
      <w:r w:rsidR="001E3936" w:rsidRPr="00C6077C">
        <w:rPr>
          <w:rFonts w:ascii="Arial" w:hAnsi="Arial" w:cs="Arial"/>
          <w:b/>
          <w:bCs/>
          <w:sz w:val="18"/>
          <w:szCs w:val="18"/>
        </w:rPr>
        <w:t>CÁLCULO DEL INGRESO BASE DE LIQUIDACIÓN</w:t>
      </w:r>
      <w:r w:rsidR="001E3936">
        <w:rPr>
          <w:rFonts w:ascii="Arial" w:hAnsi="Arial" w:cs="Arial"/>
          <w:b/>
          <w:bCs/>
          <w:sz w:val="18"/>
          <w:szCs w:val="18"/>
        </w:rPr>
        <w:t xml:space="preserve"> – RELIQUIDACIÓN PENSIÓN DE INVALIDEZ.</w:t>
      </w:r>
      <w:r w:rsidR="001E3936" w:rsidRPr="001E3936">
        <w:rPr>
          <w:rFonts w:ascii="Arial" w:hAnsi="Arial" w:cs="Arial"/>
          <w:bCs/>
          <w:sz w:val="18"/>
          <w:szCs w:val="18"/>
        </w:rPr>
        <w:t xml:space="preserve"> “</w:t>
      </w:r>
      <w:r w:rsidR="001E3936" w:rsidRPr="001E3936">
        <w:rPr>
          <w:rFonts w:ascii="Arial" w:hAnsi="Arial" w:cs="Arial"/>
          <w:bCs/>
          <w:sz w:val="18"/>
          <w:szCs w:val="18"/>
          <w:lang w:val="es-CO"/>
        </w:rPr>
        <w:t xml:space="preserve">Según el artículo </w:t>
      </w:r>
      <w:r w:rsidR="001E3936" w:rsidRPr="001E3936">
        <w:rPr>
          <w:rFonts w:ascii="Arial" w:hAnsi="Arial" w:cs="Arial"/>
          <w:bCs/>
          <w:sz w:val="18"/>
          <w:szCs w:val="18"/>
          <w:lang w:val="es-ES_tradnl"/>
        </w:rPr>
        <w:t xml:space="preserve">21 de la Ley 100 de 1993, la base sobre la que se establecerá el monto de la pensión, será el promedio de las sumas sobre las cuales el afiliado haya efectuado sus cotizaciones en los 10 años que anteceden al reconocimiento de la prestación o el de toda la vida, si este fuere inferior para el caso de las pensiones de invalidez y sobrevivencia. Por su parte, el artículo 40 </w:t>
      </w:r>
      <w:r w:rsidR="001E3936" w:rsidRPr="001E3936">
        <w:rPr>
          <w:rFonts w:ascii="Arial" w:hAnsi="Arial" w:cs="Arial"/>
          <w:bCs/>
          <w:i/>
          <w:sz w:val="18"/>
          <w:szCs w:val="18"/>
          <w:lang w:val="es-ES_tradnl"/>
        </w:rPr>
        <w:t xml:space="preserve">ibídem, </w:t>
      </w:r>
      <w:r w:rsidR="001E3936" w:rsidRPr="001E3936">
        <w:rPr>
          <w:rFonts w:ascii="Arial" w:hAnsi="Arial" w:cs="Arial"/>
          <w:bCs/>
          <w:sz w:val="18"/>
          <w:szCs w:val="18"/>
          <w:lang w:val="es-ES_tradnl"/>
        </w:rPr>
        <w:t xml:space="preserve">que regula el monto de la pensión de invalidez, establece que cuando la </w:t>
      </w:r>
      <w:proofErr w:type="spellStart"/>
      <w:r w:rsidR="001E3936" w:rsidRPr="001E3936">
        <w:rPr>
          <w:rFonts w:ascii="Arial" w:hAnsi="Arial" w:cs="Arial"/>
          <w:bCs/>
          <w:sz w:val="18"/>
          <w:szCs w:val="18"/>
          <w:lang w:val="es-ES_tradnl"/>
        </w:rPr>
        <w:t>PCL</w:t>
      </w:r>
      <w:proofErr w:type="spellEnd"/>
      <w:r w:rsidR="001E3936" w:rsidRPr="001E3936">
        <w:rPr>
          <w:rFonts w:ascii="Arial" w:hAnsi="Arial" w:cs="Arial"/>
          <w:bCs/>
          <w:sz w:val="18"/>
          <w:szCs w:val="18"/>
          <w:lang w:val="es-ES_tradnl"/>
        </w:rPr>
        <w:t xml:space="preserve"> oscila entre el 50% y el 66%, dicho monto debe corresponde al 45% del </w:t>
      </w:r>
      <w:proofErr w:type="spellStart"/>
      <w:r w:rsidR="001E3936" w:rsidRPr="001E3936">
        <w:rPr>
          <w:rFonts w:ascii="Arial" w:hAnsi="Arial" w:cs="Arial"/>
          <w:bCs/>
          <w:sz w:val="18"/>
          <w:szCs w:val="18"/>
          <w:lang w:val="es-ES_tradnl"/>
        </w:rPr>
        <w:t>IBL</w:t>
      </w:r>
      <w:proofErr w:type="spellEnd"/>
      <w:r w:rsidR="001E3936" w:rsidRPr="001E3936">
        <w:rPr>
          <w:rFonts w:ascii="Arial" w:hAnsi="Arial" w:cs="Arial"/>
          <w:bCs/>
          <w:sz w:val="18"/>
          <w:szCs w:val="18"/>
          <w:lang w:val="es-ES_tradnl"/>
        </w:rPr>
        <w:t>, más el 1.5% por cada 50 semanas que sobrepasen las primeras 500.”.</w:t>
      </w:r>
    </w:p>
    <w:p w:rsidR="002D680F" w:rsidRPr="001E3936" w:rsidRDefault="002D680F" w:rsidP="001E3936">
      <w:pPr>
        <w:spacing w:line="276" w:lineRule="auto"/>
        <w:contextualSpacing/>
        <w:jc w:val="both"/>
        <w:rPr>
          <w:rFonts w:ascii="Arial" w:hAnsi="Arial" w:cs="Arial"/>
          <w:b/>
          <w:bCs/>
          <w:sz w:val="18"/>
          <w:szCs w:val="18"/>
          <w:lang w:val="es-ES_tradnl"/>
        </w:rPr>
      </w:pPr>
    </w:p>
    <w:p w:rsidR="002D680F" w:rsidRPr="00C6077C" w:rsidRDefault="002D680F" w:rsidP="00717D29">
      <w:pPr>
        <w:spacing w:line="276" w:lineRule="auto"/>
        <w:ind w:left="2410"/>
        <w:contextualSpacing/>
        <w:jc w:val="both"/>
        <w:rPr>
          <w:rFonts w:ascii="Arial" w:hAnsi="Arial" w:cs="Arial"/>
          <w:bCs/>
          <w:sz w:val="18"/>
          <w:szCs w:val="18"/>
        </w:rPr>
      </w:pP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Default="00633404" w:rsidP="00717D29">
      <w:pPr>
        <w:spacing w:line="276" w:lineRule="auto"/>
        <w:ind w:left="2127" w:hanging="1276"/>
        <w:contextualSpacing/>
        <w:jc w:val="center"/>
        <w:rPr>
          <w:rFonts w:ascii="Arial" w:hAnsi="Arial" w:cs="Arial"/>
          <w:b/>
          <w:sz w:val="24"/>
          <w:szCs w:val="24"/>
        </w:rPr>
      </w:pPr>
    </w:p>
    <w:p w:rsidR="001A1834" w:rsidRPr="001A1834" w:rsidRDefault="00296127" w:rsidP="00717D29">
      <w:pPr>
        <w:spacing w:line="276" w:lineRule="auto"/>
        <w:ind w:left="2127" w:hanging="1276"/>
        <w:contextualSpacing/>
        <w:jc w:val="center"/>
        <w:rPr>
          <w:rFonts w:ascii="Arial" w:hAnsi="Arial" w:cs="Arial"/>
          <w:b/>
          <w:sz w:val="24"/>
          <w:szCs w:val="24"/>
        </w:rPr>
      </w:pPr>
      <w:r>
        <w:rPr>
          <w:rFonts w:ascii="Arial" w:hAnsi="Arial" w:cs="Arial"/>
          <w:b/>
          <w:sz w:val="24"/>
          <w:szCs w:val="24"/>
        </w:rPr>
        <w:t xml:space="preserve">MAGISTRADA </w:t>
      </w:r>
      <w:r w:rsidR="001A1834" w:rsidRPr="001A1834">
        <w:rPr>
          <w:rFonts w:ascii="Arial" w:hAnsi="Arial" w:cs="Arial"/>
          <w:b/>
          <w:sz w:val="24"/>
          <w:szCs w:val="24"/>
        </w:rPr>
        <w:t xml:space="preserve">PONENTE: </w:t>
      </w:r>
      <w:r>
        <w:rPr>
          <w:rFonts w:ascii="Arial" w:hAnsi="Arial" w:cs="Arial"/>
          <w:b/>
          <w:sz w:val="24"/>
          <w:szCs w:val="24"/>
        </w:rPr>
        <w:t xml:space="preserve">OLGA LUCÍA HOYOS SEPÚLVEDA </w:t>
      </w:r>
    </w:p>
    <w:p w:rsidR="008A3AC5" w:rsidRDefault="008A3AC5" w:rsidP="00717D29">
      <w:pPr>
        <w:spacing w:line="276" w:lineRule="auto"/>
        <w:ind w:left="2127" w:hanging="1276"/>
        <w:contextualSpacing/>
        <w:jc w:val="center"/>
        <w:rPr>
          <w:rFonts w:ascii="Arial" w:hAnsi="Arial" w:cs="Arial"/>
          <w:b/>
          <w:sz w:val="24"/>
          <w:szCs w:val="24"/>
        </w:rPr>
      </w:pPr>
    </w:p>
    <w:p w:rsidR="001A1834" w:rsidRDefault="001A1834" w:rsidP="00717D29">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717D29">
      <w:pPr>
        <w:spacing w:line="276" w:lineRule="auto"/>
        <w:ind w:left="2127" w:hanging="1276"/>
        <w:contextualSpacing/>
        <w:jc w:val="center"/>
        <w:rPr>
          <w:rFonts w:ascii="Arial" w:hAnsi="Arial" w:cs="Arial"/>
          <w:b/>
          <w:sz w:val="24"/>
          <w:szCs w:val="24"/>
        </w:rPr>
      </w:pPr>
    </w:p>
    <w:p w:rsidR="00977585" w:rsidRDefault="00977585" w:rsidP="00717D29">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E50044">
        <w:rPr>
          <w:rFonts w:ascii="Arial" w:hAnsi="Arial" w:cs="Arial"/>
          <w:spacing w:val="-2"/>
          <w:sz w:val="24"/>
          <w:szCs w:val="24"/>
        </w:rPr>
        <w:t xml:space="preserve">n Pereira, Risaralda, a los </w:t>
      </w:r>
      <w:r w:rsidR="00CB721E">
        <w:rPr>
          <w:rFonts w:ascii="Arial" w:hAnsi="Arial" w:cs="Arial"/>
          <w:spacing w:val="-2"/>
          <w:sz w:val="24"/>
          <w:szCs w:val="24"/>
        </w:rPr>
        <w:t>diec</w:t>
      </w:r>
      <w:r w:rsidR="000D35D5">
        <w:rPr>
          <w:rFonts w:ascii="Arial" w:hAnsi="Arial" w:cs="Arial"/>
          <w:spacing w:val="-2"/>
          <w:sz w:val="24"/>
          <w:szCs w:val="24"/>
        </w:rPr>
        <w:t xml:space="preserve">iocho </w:t>
      </w:r>
      <w:r w:rsidRPr="001A1834">
        <w:rPr>
          <w:rFonts w:ascii="Arial" w:hAnsi="Arial" w:cs="Arial"/>
          <w:spacing w:val="-2"/>
          <w:sz w:val="24"/>
          <w:szCs w:val="24"/>
        </w:rPr>
        <w:t>(</w:t>
      </w:r>
      <w:r w:rsidR="00CB721E">
        <w:rPr>
          <w:rFonts w:ascii="Arial" w:hAnsi="Arial" w:cs="Arial"/>
          <w:spacing w:val="-2"/>
          <w:sz w:val="24"/>
          <w:szCs w:val="24"/>
        </w:rPr>
        <w:t>1</w:t>
      </w:r>
      <w:r w:rsidR="000D35D5">
        <w:rPr>
          <w:rFonts w:ascii="Arial" w:hAnsi="Arial" w:cs="Arial"/>
          <w:spacing w:val="-2"/>
          <w:sz w:val="24"/>
          <w:szCs w:val="24"/>
        </w:rPr>
        <w:t>8</w:t>
      </w:r>
      <w:r w:rsidRPr="001A1834">
        <w:rPr>
          <w:rFonts w:ascii="Arial" w:hAnsi="Arial" w:cs="Arial"/>
          <w:spacing w:val="-2"/>
          <w:sz w:val="24"/>
          <w:szCs w:val="24"/>
        </w:rPr>
        <w:t xml:space="preserve">) días del mes de </w:t>
      </w:r>
      <w:r w:rsidR="00CB721E">
        <w:rPr>
          <w:rFonts w:ascii="Arial" w:hAnsi="Arial" w:cs="Arial"/>
          <w:spacing w:val="-2"/>
          <w:sz w:val="24"/>
          <w:szCs w:val="24"/>
        </w:rPr>
        <w:t xml:space="preserve">abril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w:t>
      </w:r>
      <w:r w:rsidR="000D35D5">
        <w:rPr>
          <w:rFonts w:ascii="Arial" w:hAnsi="Arial" w:cs="Arial"/>
          <w:spacing w:val="-2"/>
          <w:sz w:val="24"/>
          <w:szCs w:val="24"/>
        </w:rPr>
        <w:t>iete (2017</w:t>
      </w:r>
      <w:r w:rsidR="00977D2F">
        <w:rPr>
          <w:rFonts w:ascii="Arial" w:hAnsi="Arial" w:cs="Arial"/>
          <w:spacing w:val="-2"/>
          <w:sz w:val="24"/>
          <w:szCs w:val="24"/>
        </w:rPr>
        <w:t xml:space="preserve">) </w:t>
      </w:r>
      <w:r w:rsidR="00F200C9">
        <w:rPr>
          <w:rFonts w:ascii="Arial" w:hAnsi="Arial" w:cs="Arial"/>
          <w:spacing w:val="-2"/>
          <w:sz w:val="24"/>
          <w:szCs w:val="24"/>
        </w:rPr>
        <w:t>siendo las</w:t>
      </w:r>
      <w:r w:rsidR="00E50044">
        <w:rPr>
          <w:rFonts w:ascii="Arial" w:hAnsi="Arial" w:cs="Arial"/>
          <w:spacing w:val="-2"/>
          <w:sz w:val="24"/>
          <w:szCs w:val="24"/>
        </w:rPr>
        <w:t xml:space="preserve"> </w:t>
      </w:r>
      <w:r w:rsidR="000D35D5">
        <w:rPr>
          <w:rFonts w:ascii="Arial" w:hAnsi="Arial" w:cs="Arial"/>
          <w:spacing w:val="-2"/>
          <w:sz w:val="24"/>
          <w:szCs w:val="24"/>
        </w:rPr>
        <w:t xml:space="preserve">nueve </w:t>
      </w:r>
      <w:r w:rsidR="00CB721E">
        <w:rPr>
          <w:rFonts w:ascii="Arial" w:hAnsi="Arial" w:cs="Arial"/>
          <w:spacing w:val="-2"/>
          <w:sz w:val="24"/>
          <w:szCs w:val="24"/>
        </w:rPr>
        <w:t xml:space="preserve">y treinta minutos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CB721E">
        <w:rPr>
          <w:rFonts w:ascii="Arial" w:hAnsi="Arial" w:cs="Arial"/>
          <w:spacing w:val="-2"/>
          <w:sz w:val="24"/>
          <w:szCs w:val="24"/>
        </w:rPr>
        <w:t>09:3</w:t>
      </w:r>
      <w:r w:rsidR="000D35D5">
        <w:rPr>
          <w:rFonts w:ascii="Arial" w:hAnsi="Arial" w:cs="Arial"/>
          <w:spacing w:val="-2"/>
          <w:sz w:val="24"/>
          <w:szCs w:val="24"/>
        </w:rPr>
        <w:t>0</w:t>
      </w:r>
      <w:r w:rsidR="00A75E06">
        <w:rPr>
          <w:rFonts w:ascii="Arial" w:hAnsi="Arial" w:cs="Arial"/>
          <w:spacing w:val="-2"/>
          <w:sz w:val="24"/>
          <w:szCs w:val="24"/>
        </w:rPr>
        <w:t xml:space="preserve"> </w:t>
      </w:r>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833577">
        <w:rPr>
          <w:rFonts w:ascii="Arial" w:hAnsi="Arial" w:cs="Arial"/>
          <w:sz w:val="24"/>
          <w:szCs w:val="24"/>
        </w:rPr>
        <w:t xml:space="preserve">grado jurisdiccional de consulta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CB721E">
        <w:rPr>
          <w:rFonts w:ascii="Arial" w:hAnsi="Arial" w:cs="Arial"/>
          <w:sz w:val="24"/>
          <w:szCs w:val="24"/>
        </w:rPr>
        <w:t xml:space="preserve">Primero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0D35D5">
        <w:rPr>
          <w:rFonts w:ascii="Arial" w:hAnsi="Arial" w:cs="Arial"/>
          <w:sz w:val="24"/>
          <w:szCs w:val="24"/>
        </w:rPr>
        <w:t>1</w:t>
      </w:r>
      <w:r w:rsidR="00CB721E">
        <w:rPr>
          <w:rFonts w:ascii="Arial" w:hAnsi="Arial" w:cs="Arial"/>
          <w:sz w:val="24"/>
          <w:szCs w:val="24"/>
        </w:rPr>
        <w:t>9</w:t>
      </w:r>
      <w:r w:rsidR="00977D2F">
        <w:rPr>
          <w:rFonts w:ascii="Arial" w:hAnsi="Arial" w:cs="Arial"/>
          <w:sz w:val="24"/>
          <w:szCs w:val="24"/>
        </w:rPr>
        <w:t xml:space="preserve"> </w:t>
      </w:r>
      <w:r w:rsidR="00E50044">
        <w:rPr>
          <w:rFonts w:ascii="Arial" w:hAnsi="Arial" w:cs="Arial"/>
          <w:sz w:val="24"/>
          <w:szCs w:val="24"/>
        </w:rPr>
        <w:t xml:space="preserve">de </w:t>
      </w:r>
      <w:r w:rsidR="00CB721E">
        <w:rPr>
          <w:rFonts w:ascii="Arial" w:hAnsi="Arial" w:cs="Arial"/>
          <w:sz w:val="24"/>
          <w:szCs w:val="24"/>
        </w:rPr>
        <w:t xml:space="preserve">mayo </w:t>
      </w:r>
      <w:r w:rsidR="00290CE7">
        <w:rPr>
          <w:rFonts w:ascii="Arial" w:hAnsi="Arial" w:cs="Arial"/>
          <w:sz w:val="24"/>
          <w:szCs w:val="24"/>
        </w:rPr>
        <w:t>de 2016</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CB721E">
        <w:rPr>
          <w:rFonts w:ascii="Arial" w:hAnsi="Arial" w:cs="Arial"/>
          <w:sz w:val="24"/>
          <w:szCs w:val="24"/>
        </w:rPr>
        <w:t xml:space="preserve">el señor </w:t>
      </w:r>
      <w:r w:rsidR="00CB721E">
        <w:rPr>
          <w:rFonts w:ascii="Arial" w:hAnsi="Arial" w:cs="Arial"/>
          <w:b/>
          <w:sz w:val="24"/>
          <w:szCs w:val="24"/>
        </w:rPr>
        <w:t xml:space="preserve">Darío Amaya Ortegón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290CE7">
        <w:rPr>
          <w:rFonts w:ascii="Arial" w:hAnsi="Arial" w:cs="Arial"/>
          <w:b/>
          <w:sz w:val="24"/>
          <w:szCs w:val="24"/>
        </w:rPr>
        <w:t>Administradora Colombiana d</w:t>
      </w:r>
      <w:r w:rsidR="00290CE7" w:rsidRPr="00E50044">
        <w:rPr>
          <w:rFonts w:ascii="Arial" w:hAnsi="Arial" w:cs="Arial"/>
          <w:b/>
          <w:sz w:val="24"/>
          <w:szCs w:val="24"/>
        </w:rPr>
        <w:t>e Pensiones</w:t>
      </w:r>
      <w:r w:rsidR="00977D2F">
        <w:rPr>
          <w:rFonts w:ascii="Arial" w:hAnsi="Arial" w:cs="Arial"/>
          <w:b/>
          <w:sz w:val="24"/>
          <w:szCs w:val="24"/>
        </w:rPr>
        <w:t xml:space="preserve"> –</w:t>
      </w:r>
      <w:r w:rsidR="00A12773" w:rsidRPr="00E50044">
        <w:rPr>
          <w:rFonts w:ascii="Arial" w:hAnsi="Arial" w:cs="Arial"/>
          <w:b/>
          <w:sz w:val="24"/>
          <w:szCs w:val="24"/>
        </w:rPr>
        <w:t>COLPENSIONES</w:t>
      </w:r>
      <w:r w:rsidR="00977D2F">
        <w:rPr>
          <w:rFonts w:ascii="Arial" w:hAnsi="Arial" w:cs="Arial"/>
          <w:b/>
          <w:sz w:val="24"/>
          <w:szCs w:val="24"/>
        </w:rPr>
        <w:t>-</w:t>
      </w:r>
      <w:r w:rsidRPr="001A1834">
        <w:rPr>
          <w:rFonts w:ascii="Arial" w:hAnsi="Arial" w:cs="Arial"/>
          <w:sz w:val="24"/>
          <w:szCs w:val="24"/>
        </w:rPr>
        <w:t xml:space="preserve"> cuya radicación c</w:t>
      </w:r>
      <w:r w:rsidR="00F200C9">
        <w:rPr>
          <w:rFonts w:ascii="Arial" w:hAnsi="Arial" w:cs="Arial"/>
          <w:sz w:val="24"/>
          <w:szCs w:val="24"/>
        </w:rPr>
        <w:t>orresponde al Nº 66001-31-05-00</w:t>
      </w:r>
      <w:r w:rsidR="00CB721E">
        <w:rPr>
          <w:rFonts w:ascii="Arial" w:hAnsi="Arial" w:cs="Arial"/>
          <w:sz w:val="24"/>
          <w:szCs w:val="24"/>
        </w:rPr>
        <w:t>1</w:t>
      </w:r>
      <w:r w:rsidRPr="001A1834">
        <w:rPr>
          <w:rFonts w:ascii="Arial" w:hAnsi="Arial" w:cs="Arial"/>
          <w:sz w:val="24"/>
          <w:szCs w:val="24"/>
        </w:rPr>
        <w:t>-201</w:t>
      </w:r>
      <w:r w:rsidR="00F200C9">
        <w:rPr>
          <w:rFonts w:ascii="Arial" w:hAnsi="Arial" w:cs="Arial"/>
          <w:sz w:val="24"/>
          <w:szCs w:val="24"/>
        </w:rPr>
        <w:t>5</w:t>
      </w:r>
      <w:r w:rsidRPr="001A1834">
        <w:rPr>
          <w:rFonts w:ascii="Arial" w:hAnsi="Arial" w:cs="Arial"/>
          <w:sz w:val="24"/>
          <w:szCs w:val="24"/>
        </w:rPr>
        <w:t>-00</w:t>
      </w:r>
      <w:r w:rsidR="00CB721E">
        <w:rPr>
          <w:rFonts w:ascii="Arial" w:hAnsi="Arial" w:cs="Arial"/>
          <w:sz w:val="24"/>
          <w:szCs w:val="24"/>
        </w:rPr>
        <w:t>438</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290CE7" w:rsidRPr="001A1834" w:rsidRDefault="00290CE7" w:rsidP="00717D29">
      <w:pPr>
        <w:suppressAutoHyphens/>
        <w:spacing w:line="276" w:lineRule="auto"/>
        <w:contextualSpacing/>
        <w:jc w:val="both"/>
        <w:rPr>
          <w:rFonts w:ascii="Arial" w:hAnsi="Arial" w:cs="Arial"/>
          <w:sz w:val="24"/>
          <w:szCs w:val="24"/>
        </w:rPr>
      </w:pPr>
    </w:p>
    <w:p w:rsidR="00290CE7" w:rsidRPr="00290CE7" w:rsidRDefault="00290CE7" w:rsidP="00717D29">
      <w:pPr>
        <w:spacing w:line="276" w:lineRule="auto"/>
        <w:contextualSpacing/>
        <w:rPr>
          <w:rFonts w:ascii="Arial" w:hAnsi="Arial" w:cs="Arial"/>
          <w:b/>
          <w:sz w:val="24"/>
          <w:szCs w:val="24"/>
        </w:rPr>
      </w:pPr>
      <w:r w:rsidRPr="00290CE7">
        <w:rPr>
          <w:rFonts w:ascii="Arial" w:hAnsi="Arial" w:cs="Arial"/>
          <w:b/>
          <w:sz w:val="24"/>
          <w:szCs w:val="24"/>
        </w:rPr>
        <w:t>Registro de asistencia:</w:t>
      </w:r>
    </w:p>
    <w:p w:rsidR="00290CE7" w:rsidRPr="00290CE7" w:rsidRDefault="00290CE7" w:rsidP="00717D29">
      <w:pPr>
        <w:spacing w:line="276" w:lineRule="auto"/>
        <w:ind w:firstLine="851"/>
        <w:contextualSpacing/>
        <w:rPr>
          <w:rFonts w:ascii="Arial" w:hAnsi="Arial" w:cs="Arial"/>
          <w:sz w:val="24"/>
          <w:szCs w:val="24"/>
        </w:rPr>
      </w:pPr>
    </w:p>
    <w:p w:rsidR="00290CE7" w:rsidRPr="00290CE7" w:rsidRDefault="00290CE7" w:rsidP="00717D29">
      <w:pPr>
        <w:spacing w:line="276" w:lineRule="auto"/>
        <w:contextualSpacing/>
        <w:rPr>
          <w:rFonts w:ascii="Arial" w:hAnsi="Arial" w:cs="Arial"/>
          <w:sz w:val="24"/>
          <w:szCs w:val="24"/>
        </w:rPr>
      </w:pPr>
      <w:r w:rsidRPr="00290CE7">
        <w:rPr>
          <w:rFonts w:ascii="Arial" w:hAnsi="Arial" w:cs="Arial"/>
          <w:sz w:val="24"/>
          <w:szCs w:val="24"/>
        </w:rPr>
        <w:t xml:space="preserve">Demandante y su apoderado: </w:t>
      </w:r>
      <w:r w:rsidRPr="00290CE7">
        <w:rPr>
          <w:rFonts w:ascii="Arial" w:hAnsi="Arial" w:cs="Arial"/>
          <w:sz w:val="24"/>
          <w:szCs w:val="24"/>
        </w:rPr>
        <w:tab/>
      </w:r>
      <w:r w:rsidRPr="00290CE7">
        <w:rPr>
          <w:rFonts w:ascii="Arial" w:hAnsi="Arial" w:cs="Arial"/>
          <w:sz w:val="24"/>
          <w:szCs w:val="24"/>
        </w:rPr>
        <w:tab/>
      </w:r>
      <w:r w:rsidRPr="00290CE7">
        <w:rPr>
          <w:rFonts w:ascii="Arial" w:hAnsi="Arial" w:cs="Arial"/>
          <w:sz w:val="24"/>
          <w:szCs w:val="24"/>
        </w:rPr>
        <w:tab/>
      </w:r>
    </w:p>
    <w:p w:rsidR="00290CE7" w:rsidRPr="00290CE7" w:rsidRDefault="00290CE7" w:rsidP="00717D29">
      <w:pPr>
        <w:spacing w:line="276" w:lineRule="auto"/>
        <w:contextualSpacing/>
        <w:rPr>
          <w:rFonts w:ascii="Arial" w:hAnsi="Arial" w:cs="Arial"/>
          <w:sz w:val="24"/>
          <w:szCs w:val="24"/>
        </w:rPr>
      </w:pPr>
      <w:r w:rsidRPr="00290CE7">
        <w:rPr>
          <w:rFonts w:ascii="Arial" w:hAnsi="Arial" w:cs="Arial"/>
          <w:sz w:val="24"/>
          <w:szCs w:val="24"/>
        </w:rPr>
        <w:t>Administradora Colombiana de Pensiones y su apoderado:</w:t>
      </w:r>
    </w:p>
    <w:p w:rsidR="00290CE7" w:rsidRPr="00290CE7" w:rsidRDefault="00290CE7" w:rsidP="00717D29">
      <w:pPr>
        <w:spacing w:line="276" w:lineRule="auto"/>
        <w:ind w:firstLine="851"/>
        <w:contextualSpacing/>
        <w:rPr>
          <w:rFonts w:ascii="Arial" w:hAnsi="Arial" w:cs="Arial"/>
          <w:sz w:val="24"/>
          <w:szCs w:val="24"/>
        </w:rPr>
      </w:pPr>
    </w:p>
    <w:p w:rsidR="00290CE7" w:rsidRPr="00290CE7" w:rsidRDefault="00290CE7" w:rsidP="00717D29">
      <w:pPr>
        <w:spacing w:line="276" w:lineRule="auto"/>
        <w:contextualSpacing/>
        <w:jc w:val="both"/>
        <w:rPr>
          <w:rFonts w:ascii="Arial" w:hAnsi="Arial" w:cs="Arial"/>
          <w:b/>
          <w:sz w:val="24"/>
          <w:szCs w:val="24"/>
        </w:rPr>
      </w:pPr>
      <w:r w:rsidRPr="00290CE7">
        <w:rPr>
          <w:rFonts w:ascii="Arial" w:hAnsi="Arial" w:cs="Arial"/>
          <w:b/>
          <w:sz w:val="24"/>
          <w:szCs w:val="24"/>
        </w:rPr>
        <w:t xml:space="preserve">Traslado a las partes </w:t>
      </w:r>
    </w:p>
    <w:p w:rsidR="00290CE7" w:rsidRPr="00290CE7" w:rsidRDefault="00290CE7" w:rsidP="00717D29">
      <w:pPr>
        <w:spacing w:line="276" w:lineRule="auto"/>
        <w:contextualSpacing/>
        <w:jc w:val="both"/>
        <w:rPr>
          <w:rFonts w:ascii="Arial" w:hAnsi="Arial" w:cs="Arial"/>
          <w:b/>
          <w:sz w:val="24"/>
          <w:szCs w:val="24"/>
        </w:rPr>
      </w:pPr>
    </w:p>
    <w:p w:rsidR="00290CE7" w:rsidRPr="00290CE7" w:rsidRDefault="00290CE7" w:rsidP="00717D29">
      <w:pPr>
        <w:spacing w:line="276" w:lineRule="auto"/>
        <w:contextualSpacing/>
        <w:jc w:val="both"/>
        <w:rPr>
          <w:rFonts w:ascii="Arial" w:hAnsi="Arial" w:cs="Arial"/>
          <w:sz w:val="24"/>
          <w:szCs w:val="24"/>
        </w:rPr>
      </w:pPr>
      <w:r w:rsidRPr="00290CE7">
        <w:rPr>
          <w:rFonts w:ascii="Arial" w:hAnsi="Arial" w:cs="Arial"/>
          <w:sz w:val="24"/>
          <w:szCs w:val="24"/>
        </w:rPr>
        <w:t>En este estado se corre traslado a los asistentes para que presenten sus alegatos, de conformidad con lo establecido por el artículo 13 de la Ley 1149/07.</w:t>
      </w:r>
    </w:p>
    <w:p w:rsidR="00290CE7" w:rsidRPr="00290CE7" w:rsidRDefault="00290CE7" w:rsidP="00717D29">
      <w:pPr>
        <w:spacing w:line="276" w:lineRule="auto"/>
        <w:contextualSpacing/>
        <w:jc w:val="both"/>
        <w:rPr>
          <w:rFonts w:ascii="Arial" w:hAnsi="Arial" w:cs="Arial"/>
          <w:sz w:val="24"/>
          <w:szCs w:val="24"/>
        </w:rPr>
      </w:pPr>
    </w:p>
    <w:p w:rsidR="00290CE7" w:rsidRPr="00290CE7" w:rsidRDefault="00290CE7" w:rsidP="00717D29">
      <w:pPr>
        <w:spacing w:line="276" w:lineRule="auto"/>
        <w:ind w:firstLine="851"/>
        <w:contextualSpacing/>
        <w:jc w:val="center"/>
        <w:rPr>
          <w:rFonts w:ascii="Arial" w:hAnsi="Arial" w:cs="Arial"/>
          <w:b/>
          <w:sz w:val="24"/>
          <w:szCs w:val="24"/>
        </w:rPr>
      </w:pPr>
      <w:r w:rsidRPr="00290CE7">
        <w:rPr>
          <w:rFonts w:ascii="Arial" w:hAnsi="Arial" w:cs="Arial"/>
          <w:b/>
          <w:sz w:val="24"/>
          <w:szCs w:val="24"/>
        </w:rPr>
        <w:t>ANTECEDENTES:</w:t>
      </w:r>
    </w:p>
    <w:p w:rsidR="00290CE7" w:rsidRPr="00290CE7" w:rsidRDefault="00290CE7" w:rsidP="00717D29">
      <w:pPr>
        <w:pStyle w:val="Sansinterligne"/>
        <w:spacing w:line="276" w:lineRule="auto"/>
        <w:contextualSpacing/>
        <w:rPr>
          <w:rFonts w:ascii="Arial" w:hAnsi="Arial" w:cs="Arial"/>
          <w:szCs w:val="24"/>
        </w:rPr>
      </w:pPr>
    </w:p>
    <w:p w:rsidR="00290CE7" w:rsidRPr="00290CE7" w:rsidRDefault="00290CE7" w:rsidP="00717D29">
      <w:pPr>
        <w:pStyle w:val="Paragraphedeliste"/>
        <w:numPr>
          <w:ilvl w:val="0"/>
          <w:numId w:val="5"/>
        </w:numPr>
        <w:spacing w:after="160" w:line="276" w:lineRule="auto"/>
        <w:contextualSpacing/>
        <w:jc w:val="both"/>
        <w:rPr>
          <w:rFonts w:ascii="Arial" w:hAnsi="Arial" w:cs="Arial"/>
          <w:b/>
          <w:sz w:val="24"/>
          <w:szCs w:val="24"/>
        </w:rPr>
      </w:pPr>
      <w:r w:rsidRPr="00290CE7">
        <w:rPr>
          <w:rFonts w:ascii="Arial" w:hAnsi="Arial" w:cs="Arial"/>
          <w:b/>
          <w:sz w:val="24"/>
          <w:szCs w:val="24"/>
        </w:rPr>
        <w:t>Síntesis de la demanda y su contestación</w:t>
      </w:r>
    </w:p>
    <w:p w:rsidR="001A1834" w:rsidRPr="001A1834" w:rsidRDefault="001A1834" w:rsidP="00717D29">
      <w:pPr>
        <w:spacing w:line="276" w:lineRule="auto"/>
        <w:contextualSpacing/>
        <w:jc w:val="both"/>
        <w:rPr>
          <w:rFonts w:ascii="Arial" w:hAnsi="Arial" w:cs="Arial"/>
          <w:sz w:val="24"/>
          <w:szCs w:val="24"/>
        </w:rPr>
      </w:pPr>
    </w:p>
    <w:p w:rsidR="00031A1C" w:rsidRDefault="00290CE7" w:rsidP="00717D29">
      <w:pPr>
        <w:spacing w:line="276" w:lineRule="auto"/>
        <w:contextualSpacing/>
        <w:jc w:val="both"/>
        <w:rPr>
          <w:rFonts w:ascii="Arial" w:hAnsi="Arial" w:cs="Arial"/>
          <w:sz w:val="24"/>
          <w:szCs w:val="24"/>
        </w:rPr>
      </w:pPr>
      <w:r>
        <w:rPr>
          <w:rFonts w:ascii="Arial" w:hAnsi="Arial" w:cs="Arial"/>
          <w:sz w:val="24"/>
          <w:szCs w:val="24"/>
        </w:rPr>
        <w:t xml:space="preserve">Pretende </w:t>
      </w:r>
      <w:r w:rsidR="000D35D5">
        <w:rPr>
          <w:rFonts w:ascii="Arial" w:hAnsi="Arial" w:cs="Arial"/>
          <w:sz w:val="24"/>
          <w:szCs w:val="24"/>
        </w:rPr>
        <w:t xml:space="preserve">la </w:t>
      </w:r>
      <w:r w:rsidR="00977585" w:rsidRPr="001A1834">
        <w:rPr>
          <w:rFonts w:ascii="Arial" w:hAnsi="Arial" w:cs="Arial"/>
          <w:sz w:val="24"/>
          <w:szCs w:val="24"/>
        </w:rPr>
        <w:t>demandante que la justicia laboral declare</w:t>
      </w:r>
      <w:r w:rsidR="00F200C9">
        <w:rPr>
          <w:rFonts w:ascii="Arial" w:hAnsi="Arial" w:cs="Arial"/>
          <w:sz w:val="24"/>
          <w:szCs w:val="24"/>
        </w:rPr>
        <w:t xml:space="preserve"> </w:t>
      </w:r>
      <w:r w:rsidR="00977585" w:rsidRPr="001A1834">
        <w:rPr>
          <w:rFonts w:ascii="Arial" w:hAnsi="Arial" w:cs="Arial"/>
          <w:sz w:val="24"/>
          <w:szCs w:val="24"/>
        </w:rPr>
        <w:t>que</w:t>
      </w:r>
      <w:r w:rsidR="00CB721E">
        <w:rPr>
          <w:rFonts w:ascii="Arial" w:hAnsi="Arial" w:cs="Arial"/>
          <w:sz w:val="24"/>
          <w:szCs w:val="24"/>
        </w:rPr>
        <w:t xml:space="preserve"> (i)</w:t>
      </w:r>
      <w:r w:rsidR="006A5FB8">
        <w:rPr>
          <w:rFonts w:ascii="Arial" w:hAnsi="Arial" w:cs="Arial"/>
          <w:sz w:val="24"/>
          <w:szCs w:val="24"/>
        </w:rPr>
        <w:t xml:space="preserve"> tiene derecho a que su </w:t>
      </w:r>
      <w:proofErr w:type="spellStart"/>
      <w:r w:rsidR="006A5FB8">
        <w:rPr>
          <w:rFonts w:ascii="Arial" w:hAnsi="Arial" w:cs="Arial"/>
          <w:sz w:val="24"/>
          <w:szCs w:val="24"/>
        </w:rPr>
        <w:t>IBL</w:t>
      </w:r>
      <w:proofErr w:type="spellEnd"/>
      <w:r w:rsidR="006A5FB8">
        <w:rPr>
          <w:rFonts w:ascii="Arial" w:hAnsi="Arial" w:cs="Arial"/>
          <w:sz w:val="24"/>
          <w:szCs w:val="24"/>
        </w:rPr>
        <w:t xml:space="preserve"> se obtenga conforme al artículo 21 de la Ley 100 de 1993, por lo que el </w:t>
      </w:r>
      <w:r w:rsidR="006A5FB8">
        <w:rPr>
          <w:rFonts w:ascii="Arial" w:hAnsi="Arial" w:cs="Arial"/>
          <w:sz w:val="24"/>
          <w:szCs w:val="24"/>
        </w:rPr>
        <w:lastRenderedPageBreak/>
        <w:t xml:space="preserve">mismo </w:t>
      </w:r>
      <w:r w:rsidR="00CB721E">
        <w:rPr>
          <w:rFonts w:ascii="Arial" w:hAnsi="Arial" w:cs="Arial"/>
          <w:sz w:val="24"/>
          <w:szCs w:val="24"/>
        </w:rPr>
        <w:t>al 13/04/1997 era de $713.931</w:t>
      </w:r>
      <w:r w:rsidR="006A5FB8">
        <w:rPr>
          <w:rFonts w:ascii="Arial" w:hAnsi="Arial" w:cs="Arial"/>
          <w:sz w:val="24"/>
          <w:szCs w:val="24"/>
        </w:rPr>
        <w:t>,</w:t>
      </w:r>
      <w:r w:rsidR="00CB721E">
        <w:rPr>
          <w:rFonts w:ascii="Arial" w:hAnsi="Arial" w:cs="Arial"/>
          <w:sz w:val="24"/>
          <w:szCs w:val="24"/>
        </w:rPr>
        <w:t xml:space="preserve"> que al aplicarle la tasa de reemplazo correcta, le genera una mesada pensional de $331.977,99 para esa anualidad, misma que para el año 2005 corresponde a $917.869,90; (ii) le asiste el derecho al reconocimiento y pago del retroactivo derivado de la diferencia entre lo cancelado y lo que debió cancelar</w:t>
      </w:r>
      <w:r w:rsidR="00C77EAB">
        <w:rPr>
          <w:rFonts w:ascii="Arial" w:hAnsi="Arial" w:cs="Arial"/>
          <w:sz w:val="24"/>
          <w:szCs w:val="24"/>
        </w:rPr>
        <w:t>le</w:t>
      </w:r>
      <w:r w:rsidR="00CB721E">
        <w:rPr>
          <w:rFonts w:ascii="Arial" w:hAnsi="Arial" w:cs="Arial"/>
          <w:sz w:val="24"/>
          <w:szCs w:val="24"/>
        </w:rPr>
        <w:t>; (iii) los intereses moratorios o en subsidio la indexación y; (iv) las</w:t>
      </w:r>
      <w:r w:rsidR="00031A1C">
        <w:rPr>
          <w:rFonts w:ascii="Arial" w:hAnsi="Arial" w:cs="Arial"/>
          <w:sz w:val="24"/>
          <w:szCs w:val="24"/>
        </w:rPr>
        <w:t xml:space="preserve"> costas procesales.</w:t>
      </w:r>
    </w:p>
    <w:p w:rsidR="00877D05" w:rsidRDefault="00877D05" w:rsidP="00717D29">
      <w:pPr>
        <w:spacing w:line="276" w:lineRule="auto"/>
        <w:ind w:firstLine="708"/>
        <w:contextualSpacing/>
        <w:jc w:val="both"/>
        <w:rPr>
          <w:rFonts w:ascii="Arial" w:hAnsi="Arial" w:cs="Arial"/>
          <w:sz w:val="24"/>
          <w:szCs w:val="24"/>
        </w:rPr>
      </w:pPr>
    </w:p>
    <w:p w:rsidR="00BC5794" w:rsidRDefault="003D35DF" w:rsidP="00717D29">
      <w:pPr>
        <w:spacing w:line="276" w:lineRule="auto"/>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55536F">
        <w:rPr>
          <w:rFonts w:ascii="Arial" w:hAnsi="Arial" w:cs="Arial"/>
          <w:sz w:val="24"/>
          <w:szCs w:val="24"/>
        </w:rPr>
        <w:t xml:space="preserve">: </w:t>
      </w:r>
      <w:r w:rsidR="00766272">
        <w:rPr>
          <w:rFonts w:ascii="Arial" w:hAnsi="Arial" w:cs="Arial"/>
          <w:sz w:val="24"/>
          <w:szCs w:val="24"/>
        </w:rPr>
        <w:t>(</w:t>
      </w:r>
      <w:r w:rsidR="0055536F">
        <w:rPr>
          <w:rFonts w:ascii="Arial" w:hAnsi="Arial" w:cs="Arial"/>
          <w:sz w:val="24"/>
          <w:szCs w:val="24"/>
        </w:rPr>
        <w:t>i)</w:t>
      </w:r>
      <w:r w:rsidR="00833577">
        <w:rPr>
          <w:rFonts w:ascii="Arial" w:hAnsi="Arial" w:cs="Arial"/>
          <w:sz w:val="24"/>
          <w:szCs w:val="24"/>
        </w:rPr>
        <w:t xml:space="preserve"> </w:t>
      </w:r>
      <w:r w:rsidR="00BC5794">
        <w:rPr>
          <w:rFonts w:ascii="Arial" w:hAnsi="Arial" w:cs="Arial"/>
          <w:sz w:val="24"/>
          <w:szCs w:val="24"/>
        </w:rPr>
        <w:t xml:space="preserve">fue calificado con una </w:t>
      </w:r>
      <w:proofErr w:type="spellStart"/>
      <w:r w:rsidR="00BC5794">
        <w:rPr>
          <w:rFonts w:ascii="Arial" w:hAnsi="Arial" w:cs="Arial"/>
          <w:sz w:val="24"/>
          <w:szCs w:val="24"/>
        </w:rPr>
        <w:t>PCL</w:t>
      </w:r>
      <w:proofErr w:type="spellEnd"/>
      <w:r w:rsidR="00BC5794">
        <w:rPr>
          <w:rFonts w:ascii="Arial" w:hAnsi="Arial" w:cs="Arial"/>
          <w:sz w:val="24"/>
          <w:szCs w:val="24"/>
        </w:rPr>
        <w:t xml:space="preserve"> del 51.67% de origen común y fecha de estructuración el 13/04/1997</w:t>
      </w:r>
      <w:r w:rsidR="00CA12F8">
        <w:rPr>
          <w:rFonts w:ascii="Arial" w:hAnsi="Arial" w:cs="Arial"/>
          <w:sz w:val="24"/>
          <w:szCs w:val="24"/>
        </w:rPr>
        <w:t xml:space="preserve">; (ii) </w:t>
      </w:r>
      <w:r w:rsidR="00766272">
        <w:rPr>
          <w:rFonts w:ascii="Arial" w:hAnsi="Arial" w:cs="Arial"/>
          <w:sz w:val="24"/>
          <w:szCs w:val="24"/>
        </w:rPr>
        <w:t xml:space="preserve">mediante </w:t>
      </w:r>
      <w:r w:rsidR="00BC5794">
        <w:rPr>
          <w:rFonts w:ascii="Arial" w:hAnsi="Arial" w:cs="Arial"/>
          <w:sz w:val="24"/>
          <w:szCs w:val="24"/>
        </w:rPr>
        <w:t xml:space="preserve">resolución N° 007618 del 27/10/2006 el </w:t>
      </w:r>
      <w:proofErr w:type="spellStart"/>
      <w:r w:rsidR="00BC5794">
        <w:rPr>
          <w:rFonts w:ascii="Arial" w:hAnsi="Arial" w:cs="Arial"/>
          <w:sz w:val="24"/>
          <w:szCs w:val="24"/>
        </w:rPr>
        <w:t>ISS</w:t>
      </w:r>
      <w:proofErr w:type="spellEnd"/>
      <w:r w:rsidR="00BC5794">
        <w:rPr>
          <w:rFonts w:ascii="Arial" w:hAnsi="Arial" w:cs="Arial"/>
          <w:sz w:val="24"/>
          <w:szCs w:val="24"/>
        </w:rPr>
        <w:t xml:space="preserve"> le reconoció la pensión de invalidez, con base en 538 semanas, un </w:t>
      </w:r>
      <w:proofErr w:type="spellStart"/>
      <w:r w:rsidR="00BC5794">
        <w:rPr>
          <w:rFonts w:ascii="Arial" w:hAnsi="Arial" w:cs="Arial"/>
          <w:sz w:val="24"/>
          <w:szCs w:val="24"/>
        </w:rPr>
        <w:t>IBL</w:t>
      </w:r>
      <w:proofErr w:type="spellEnd"/>
      <w:r w:rsidR="00BC5794">
        <w:rPr>
          <w:rFonts w:ascii="Arial" w:hAnsi="Arial" w:cs="Arial"/>
          <w:sz w:val="24"/>
          <w:szCs w:val="24"/>
        </w:rPr>
        <w:t xml:space="preserve"> de $455.802 al que le aplicó una tasa de reemplazo del 45%, para finalmente reconocer la prestación en cuantía equivalente al </w:t>
      </w:r>
      <w:proofErr w:type="spellStart"/>
      <w:r w:rsidR="00BC5794">
        <w:rPr>
          <w:rFonts w:ascii="Arial" w:hAnsi="Arial" w:cs="Arial"/>
          <w:sz w:val="24"/>
          <w:szCs w:val="24"/>
        </w:rPr>
        <w:t>SMLMV</w:t>
      </w:r>
      <w:proofErr w:type="spellEnd"/>
      <w:r w:rsidR="00BC5794">
        <w:rPr>
          <w:rFonts w:ascii="Arial" w:hAnsi="Arial" w:cs="Arial"/>
          <w:sz w:val="24"/>
          <w:szCs w:val="24"/>
        </w:rPr>
        <w:t xml:space="preserve">; (iii) por estar inconforme con la tasa de reemplazo aplicada, el 03/01/2014 solicitó la reliquidación de la pensión, petición que ante la falta de respuesta y en virtud de orden de tutela, fue decidida mediante Resolución N° </w:t>
      </w:r>
      <w:proofErr w:type="spellStart"/>
      <w:r w:rsidR="00BC5794">
        <w:rPr>
          <w:rFonts w:ascii="Arial" w:hAnsi="Arial" w:cs="Arial"/>
          <w:sz w:val="24"/>
          <w:szCs w:val="24"/>
        </w:rPr>
        <w:t>GNR</w:t>
      </w:r>
      <w:proofErr w:type="spellEnd"/>
      <w:r w:rsidR="00BC5794">
        <w:rPr>
          <w:rFonts w:ascii="Arial" w:hAnsi="Arial" w:cs="Arial"/>
          <w:sz w:val="24"/>
          <w:szCs w:val="24"/>
        </w:rPr>
        <w:t xml:space="preserve"> 263850 del 21/07/2014, aunque de manera desfavorable; (iv) </w:t>
      </w:r>
      <w:r w:rsidR="003E3369">
        <w:rPr>
          <w:rFonts w:ascii="Arial" w:hAnsi="Arial" w:cs="Arial"/>
          <w:sz w:val="24"/>
          <w:szCs w:val="24"/>
        </w:rPr>
        <w:t>contra ese acto administrativo interpuso los recursos de ley, que fueron resueltos negativamente.</w:t>
      </w:r>
    </w:p>
    <w:p w:rsidR="00BC5794" w:rsidRDefault="00BC5794" w:rsidP="00717D29">
      <w:pPr>
        <w:spacing w:line="276" w:lineRule="auto"/>
        <w:contextualSpacing/>
        <w:jc w:val="both"/>
        <w:rPr>
          <w:rFonts w:ascii="Arial" w:hAnsi="Arial" w:cs="Arial"/>
          <w:sz w:val="24"/>
          <w:szCs w:val="24"/>
        </w:rPr>
      </w:pPr>
    </w:p>
    <w:p w:rsidR="003946F9" w:rsidRDefault="008F2DE0" w:rsidP="00717D29">
      <w:pPr>
        <w:spacing w:line="276" w:lineRule="auto"/>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w:t>
      </w:r>
      <w:proofErr w:type="spellStart"/>
      <w:r w:rsidRPr="008F2DE0">
        <w:rPr>
          <w:rFonts w:ascii="Arial" w:hAnsi="Arial" w:cs="Arial"/>
          <w:b/>
          <w:sz w:val="24"/>
          <w:szCs w:val="24"/>
        </w:rPr>
        <w:t>Colpensiones</w:t>
      </w:r>
      <w:proofErr w:type="spellEnd"/>
      <w:r w:rsidRPr="008F2DE0">
        <w:rPr>
          <w:rFonts w:ascii="Arial" w:hAnsi="Arial" w:cs="Arial"/>
          <w:b/>
          <w:sz w:val="24"/>
          <w:szCs w:val="24"/>
        </w:rPr>
        <w:t>,</w:t>
      </w:r>
      <w:r w:rsidRPr="008F2DE0">
        <w:rPr>
          <w:rFonts w:ascii="Arial" w:hAnsi="Arial" w:cs="Arial"/>
          <w:sz w:val="24"/>
          <w:szCs w:val="24"/>
        </w:rPr>
        <w:t xml:space="preserve"> </w:t>
      </w:r>
      <w:r w:rsidR="00755B5B">
        <w:rPr>
          <w:rFonts w:ascii="Arial" w:hAnsi="Arial" w:cs="Arial"/>
          <w:sz w:val="24"/>
          <w:szCs w:val="24"/>
        </w:rPr>
        <w:t xml:space="preserve">se opuso a las pretensiones de la demanda e indicó como razones de defensa que </w:t>
      </w:r>
      <w:r w:rsidR="00612F87">
        <w:rPr>
          <w:rFonts w:ascii="Arial" w:hAnsi="Arial" w:cs="Arial"/>
          <w:sz w:val="24"/>
          <w:szCs w:val="24"/>
        </w:rPr>
        <w:t xml:space="preserve">el cálculo del </w:t>
      </w:r>
      <w:proofErr w:type="spellStart"/>
      <w:r w:rsidR="00612F87">
        <w:rPr>
          <w:rFonts w:ascii="Arial" w:hAnsi="Arial" w:cs="Arial"/>
          <w:sz w:val="24"/>
          <w:szCs w:val="24"/>
        </w:rPr>
        <w:t>IBL</w:t>
      </w:r>
      <w:proofErr w:type="spellEnd"/>
      <w:r w:rsidR="00612F87">
        <w:rPr>
          <w:rFonts w:ascii="Arial" w:hAnsi="Arial" w:cs="Arial"/>
          <w:sz w:val="24"/>
          <w:szCs w:val="24"/>
        </w:rPr>
        <w:t xml:space="preserve"> se </w:t>
      </w:r>
      <w:r w:rsidR="003E3369">
        <w:rPr>
          <w:rFonts w:ascii="Arial" w:hAnsi="Arial" w:cs="Arial"/>
          <w:sz w:val="24"/>
          <w:szCs w:val="24"/>
        </w:rPr>
        <w:t xml:space="preserve">hizo conforme a los </w:t>
      </w:r>
      <w:proofErr w:type="spellStart"/>
      <w:r w:rsidR="003E3369">
        <w:rPr>
          <w:rFonts w:ascii="Arial" w:hAnsi="Arial" w:cs="Arial"/>
          <w:sz w:val="24"/>
          <w:szCs w:val="24"/>
        </w:rPr>
        <w:t>IBC</w:t>
      </w:r>
      <w:proofErr w:type="spellEnd"/>
      <w:r w:rsidR="003E3369">
        <w:rPr>
          <w:rFonts w:ascii="Arial" w:hAnsi="Arial" w:cs="Arial"/>
          <w:sz w:val="24"/>
          <w:szCs w:val="24"/>
        </w:rPr>
        <w:t xml:space="preserve"> de la </w:t>
      </w:r>
      <w:r w:rsidR="00612F87">
        <w:rPr>
          <w:rFonts w:ascii="Arial" w:hAnsi="Arial" w:cs="Arial"/>
          <w:sz w:val="24"/>
          <w:szCs w:val="24"/>
        </w:rPr>
        <w:t>demandante.</w:t>
      </w:r>
      <w:r w:rsidR="00AE6328">
        <w:rPr>
          <w:rFonts w:ascii="Arial" w:hAnsi="Arial" w:cs="Arial"/>
          <w:sz w:val="24"/>
          <w:szCs w:val="24"/>
        </w:rPr>
        <w:t xml:space="preserve"> Propuso como excepciones de mérito las que denominó </w:t>
      </w:r>
      <w:r w:rsidR="003E3369">
        <w:rPr>
          <w:rFonts w:ascii="Arial" w:hAnsi="Arial" w:cs="Arial"/>
          <w:sz w:val="24"/>
          <w:szCs w:val="24"/>
        </w:rPr>
        <w:t xml:space="preserve">“Estricto cumplimiento a los mandatos legales”, </w:t>
      </w:r>
      <w:r w:rsidR="00AE6328">
        <w:rPr>
          <w:rFonts w:ascii="Arial" w:hAnsi="Arial" w:cs="Arial"/>
          <w:sz w:val="24"/>
          <w:szCs w:val="24"/>
        </w:rPr>
        <w:t>“Inexistencia de</w:t>
      </w:r>
      <w:r w:rsidR="003E3369">
        <w:rPr>
          <w:rFonts w:ascii="Arial" w:hAnsi="Arial" w:cs="Arial"/>
          <w:sz w:val="24"/>
          <w:szCs w:val="24"/>
        </w:rPr>
        <w:t xml:space="preserve"> </w:t>
      </w:r>
      <w:r w:rsidR="00612F87">
        <w:rPr>
          <w:rFonts w:ascii="Arial" w:hAnsi="Arial" w:cs="Arial"/>
          <w:sz w:val="24"/>
          <w:szCs w:val="24"/>
        </w:rPr>
        <w:t>l</w:t>
      </w:r>
      <w:r w:rsidR="003E3369">
        <w:rPr>
          <w:rFonts w:ascii="Arial" w:hAnsi="Arial" w:cs="Arial"/>
          <w:sz w:val="24"/>
          <w:szCs w:val="24"/>
        </w:rPr>
        <w:t>a</w:t>
      </w:r>
      <w:r w:rsidR="00612F87">
        <w:rPr>
          <w:rFonts w:ascii="Arial" w:hAnsi="Arial" w:cs="Arial"/>
          <w:sz w:val="24"/>
          <w:szCs w:val="24"/>
        </w:rPr>
        <w:t xml:space="preserve"> </w:t>
      </w:r>
      <w:r w:rsidR="003E3369">
        <w:rPr>
          <w:rFonts w:ascii="Arial" w:hAnsi="Arial" w:cs="Arial"/>
          <w:sz w:val="24"/>
          <w:szCs w:val="24"/>
        </w:rPr>
        <w:t>obligación demandada</w:t>
      </w:r>
      <w:r w:rsidR="00612F87">
        <w:rPr>
          <w:rFonts w:ascii="Arial" w:hAnsi="Arial" w:cs="Arial"/>
          <w:sz w:val="24"/>
          <w:szCs w:val="24"/>
        </w:rPr>
        <w:t>”</w:t>
      </w:r>
      <w:r w:rsidR="003E3369">
        <w:rPr>
          <w:rFonts w:ascii="Arial" w:hAnsi="Arial" w:cs="Arial"/>
          <w:sz w:val="24"/>
          <w:szCs w:val="24"/>
        </w:rPr>
        <w:t xml:space="preserve"> </w:t>
      </w:r>
      <w:r w:rsidR="00612F87">
        <w:rPr>
          <w:rFonts w:ascii="Arial" w:hAnsi="Arial" w:cs="Arial"/>
          <w:sz w:val="24"/>
          <w:szCs w:val="24"/>
        </w:rPr>
        <w:t>y “</w:t>
      </w:r>
      <w:r w:rsidR="00234AB4">
        <w:rPr>
          <w:rFonts w:ascii="Arial" w:hAnsi="Arial" w:cs="Arial"/>
          <w:sz w:val="24"/>
          <w:szCs w:val="24"/>
        </w:rPr>
        <w:t>Prescripción”.</w:t>
      </w:r>
    </w:p>
    <w:p w:rsidR="0066318F" w:rsidRDefault="0066318F" w:rsidP="00717D29">
      <w:pPr>
        <w:spacing w:line="276" w:lineRule="auto"/>
        <w:ind w:firstLine="652"/>
        <w:contextualSpacing/>
        <w:jc w:val="both"/>
        <w:rPr>
          <w:rFonts w:ascii="Arial" w:hAnsi="Arial" w:cs="Arial"/>
          <w:sz w:val="24"/>
          <w:szCs w:val="24"/>
        </w:rPr>
      </w:pPr>
    </w:p>
    <w:p w:rsidR="0055536F" w:rsidRPr="0055536F" w:rsidRDefault="0055536F" w:rsidP="00717D29">
      <w:pPr>
        <w:spacing w:line="276" w:lineRule="auto"/>
        <w:contextualSpacing/>
        <w:rPr>
          <w:rFonts w:ascii="Arial" w:hAnsi="Arial" w:cs="Arial"/>
          <w:b/>
          <w:sz w:val="24"/>
          <w:szCs w:val="24"/>
        </w:rPr>
      </w:pPr>
      <w:r>
        <w:rPr>
          <w:rFonts w:ascii="Arial" w:hAnsi="Arial" w:cs="Arial"/>
          <w:b/>
          <w:sz w:val="24"/>
          <w:szCs w:val="24"/>
        </w:rPr>
        <w:t xml:space="preserve">2. </w:t>
      </w:r>
      <w:r w:rsidRPr="0055536F">
        <w:rPr>
          <w:rFonts w:ascii="Arial" w:hAnsi="Arial" w:cs="Arial"/>
          <w:b/>
          <w:sz w:val="24"/>
          <w:szCs w:val="24"/>
        </w:rPr>
        <w:t xml:space="preserve">Síntesis de la sentencia </w:t>
      </w:r>
    </w:p>
    <w:p w:rsidR="003946F9" w:rsidRDefault="003946F9" w:rsidP="00717D29">
      <w:pPr>
        <w:spacing w:line="276" w:lineRule="auto"/>
        <w:contextualSpacing/>
        <w:jc w:val="both"/>
        <w:rPr>
          <w:rFonts w:ascii="Arial" w:hAnsi="Arial" w:cs="Arial"/>
          <w:b/>
          <w:sz w:val="24"/>
          <w:szCs w:val="24"/>
        </w:rPr>
      </w:pPr>
    </w:p>
    <w:p w:rsidR="00791FAB" w:rsidRDefault="007F2D66" w:rsidP="00717D29">
      <w:pPr>
        <w:spacing w:line="276" w:lineRule="auto"/>
        <w:contextualSpacing/>
        <w:jc w:val="both"/>
        <w:rPr>
          <w:rFonts w:ascii="Arial" w:hAnsi="Arial" w:cs="Arial"/>
          <w:sz w:val="24"/>
          <w:szCs w:val="24"/>
        </w:rPr>
      </w:pPr>
      <w:r>
        <w:rPr>
          <w:rFonts w:ascii="Arial" w:hAnsi="Arial" w:cs="Arial"/>
          <w:sz w:val="24"/>
          <w:szCs w:val="24"/>
        </w:rPr>
        <w:t xml:space="preserve">El Juzgado </w:t>
      </w:r>
      <w:r w:rsidR="00635CB6">
        <w:rPr>
          <w:rFonts w:ascii="Arial" w:hAnsi="Arial" w:cs="Arial"/>
          <w:sz w:val="24"/>
          <w:szCs w:val="24"/>
        </w:rPr>
        <w:t xml:space="preserve">Primero </w:t>
      </w:r>
      <w:r w:rsidR="003946F9">
        <w:rPr>
          <w:rFonts w:ascii="Arial" w:hAnsi="Arial" w:cs="Arial"/>
          <w:sz w:val="24"/>
          <w:szCs w:val="24"/>
        </w:rPr>
        <w:t>Laboral del Circuito de</w:t>
      </w:r>
      <w:r w:rsidR="008407C2">
        <w:rPr>
          <w:rFonts w:ascii="Arial" w:hAnsi="Arial" w:cs="Arial"/>
          <w:sz w:val="24"/>
          <w:szCs w:val="24"/>
        </w:rPr>
        <w:t xml:space="preserve"> Pereira</w:t>
      </w:r>
      <w:r w:rsidR="003946F9">
        <w:rPr>
          <w:rFonts w:ascii="Arial" w:hAnsi="Arial" w:cs="Arial"/>
          <w:sz w:val="24"/>
          <w:szCs w:val="24"/>
        </w:rPr>
        <w:t xml:space="preserve"> </w:t>
      </w:r>
      <w:r w:rsidR="00635CB6">
        <w:rPr>
          <w:rFonts w:ascii="Arial" w:hAnsi="Arial" w:cs="Arial"/>
          <w:sz w:val="24"/>
          <w:szCs w:val="24"/>
        </w:rPr>
        <w:t>absolvió a la entidad demandada de todas las pre</w:t>
      </w:r>
      <w:r w:rsidR="004029A3">
        <w:rPr>
          <w:rFonts w:ascii="Arial" w:hAnsi="Arial" w:cs="Arial"/>
          <w:sz w:val="24"/>
          <w:szCs w:val="24"/>
        </w:rPr>
        <w:t xml:space="preserve">tensiones incoadas en su contra, al concluir que si bien la tasa de </w:t>
      </w:r>
      <w:r w:rsidR="00760F6A">
        <w:rPr>
          <w:rFonts w:ascii="Arial" w:hAnsi="Arial" w:cs="Arial"/>
          <w:sz w:val="24"/>
          <w:szCs w:val="24"/>
        </w:rPr>
        <w:t>reemplazo que le fue aplicada era</w:t>
      </w:r>
      <w:r w:rsidR="004029A3">
        <w:rPr>
          <w:rFonts w:ascii="Arial" w:hAnsi="Arial" w:cs="Arial"/>
          <w:sz w:val="24"/>
          <w:szCs w:val="24"/>
        </w:rPr>
        <w:t xml:space="preserve"> inferior a la que le correspondía, de todas maneras la mesada pensional que se obtenía era inferior al </w:t>
      </w:r>
      <w:proofErr w:type="spellStart"/>
      <w:r w:rsidR="004029A3">
        <w:rPr>
          <w:rFonts w:ascii="Arial" w:hAnsi="Arial" w:cs="Arial"/>
          <w:sz w:val="24"/>
          <w:szCs w:val="24"/>
        </w:rPr>
        <w:t>SMLMV</w:t>
      </w:r>
      <w:proofErr w:type="spellEnd"/>
      <w:r w:rsidR="004029A3">
        <w:rPr>
          <w:rFonts w:ascii="Arial" w:hAnsi="Arial" w:cs="Arial"/>
          <w:sz w:val="24"/>
          <w:szCs w:val="24"/>
        </w:rPr>
        <w:t>, por lo que la misma, debía igualarse por lo menos a es</w:t>
      </w:r>
      <w:r w:rsidR="00760F6A">
        <w:rPr>
          <w:rFonts w:ascii="Arial" w:hAnsi="Arial" w:cs="Arial"/>
          <w:sz w:val="24"/>
          <w:szCs w:val="24"/>
        </w:rPr>
        <w:t>t</w:t>
      </w:r>
      <w:r w:rsidR="004029A3">
        <w:rPr>
          <w:rFonts w:ascii="Arial" w:hAnsi="Arial" w:cs="Arial"/>
          <w:sz w:val="24"/>
          <w:szCs w:val="24"/>
        </w:rPr>
        <w:t>e valor.</w:t>
      </w:r>
    </w:p>
    <w:p w:rsidR="009744A3" w:rsidRDefault="009744A3" w:rsidP="00717D29">
      <w:pPr>
        <w:spacing w:line="276" w:lineRule="auto"/>
        <w:contextualSpacing/>
        <w:jc w:val="both"/>
        <w:rPr>
          <w:rFonts w:ascii="Arial" w:hAnsi="Arial" w:cs="Arial"/>
          <w:sz w:val="24"/>
          <w:szCs w:val="24"/>
        </w:rPr>
      </w:pPr>
    </w:p>
    <w:p w:rsidR="00246443" w:rsidRDefault="00635CB6" w:rsidP="00717D29">
      <w:pPr>
        <w:spacing w:line="276" w:lineRule="auto"/>
        <w:contextualSpacing/>
        <w:jc w:val="both"/>
        <w:rPr>
          <w:rFonts w:ascii="Arial" w:hAnsi="Arial" w:cs="Arial"/>
          <w:sz w:val="24"/>
          <w:szCs w:val="24"/>
        </w:rPr>
      </w:pPr>
      <w:r>
        <w:rPr>
          <w:rFonts w:ascii="Arial" w:hAnsi="Arial" w:cs="Arial"/>
          <w:sz w:val="24"/>
          <w:szCs w:val="24"/>
        </w:rPr>
        <w:t xml:space="preserve">Para arribar a esa conclusión, argumentó que </w:t>
      </w:r>
      <w:r w:rsidR="00246443">
        <w:rPr>
          <w:rFonts w:ascii="Arial" w:hAnsi="Arial" w:cs="Arial"/>
          <w:sz w:val="24"/>
          <w:szCs w:val="24"/>
        </w:rPr>
        <w:t xml:space="preserve">conforme </w:t>
      </w:r>
      <w:r w:rsidR="008407C2">
        <w:rPr>
          <w:rFonts w:ascii="Arial" w:hAnsi="Arial" w:cs="Arial"/>
          <w:sz w:val="24"/>
          <w:szCs w:val="24"/>
        </w:rPr>
        <w:t>a</w:t>
      </w:r>
      <w:r w:rsidR="00246443">
        <w:rPr>
          <w:rFonts w:ascii="Arial" w:hAnsi="Arial" w:cs="Arial"/>
          <w:sz w:val="24"/>
          <w:szCs w:val="24"/>
        </w:rPr>
        <w:t xml:space="preserve"> la historia laboral, se </w:t>
      </w:r>
      <w:r w:rsidR="008407C2">
        <w:rPr>
          <w:rFonts w:ascii="Arial" w:hAnsi="Arial" w:cs="Arial"/>
          <w:sz w:val="24"/>
          <w:szCs w:val="24"/>
        </w:rPr>
        <w:t xml:space="preserve">advierte </w:t>
      </w:r>
      <w:r w:rsidR="004E46D0">
        <w:rPr>
          <w:rFonts w:ascii="Arial" w:hAnsi="Arial" w:cs="Arial"/>
          <w:sz w:val="24"/>
          <w:szCs w:val="24"/>
        </w:rPr>
        <w:t>que</w:t>
      </w:r>
      <w:r w:rsidR="00246443">
        <w:rPr>
          <w:rFonts w:ascii="Arial" w:hAnsi="Arial" w:cs="Arial"/>
          <w:sz w:val="24"/>
          <w:szCs w:val="24"/>
        </w:rPr>
        <w:t xml:space="preserve"> </w:t>
      </w:r>
      <w:r w:rsidR="008407C2">
        <w:rPr>
          <w:rFonts w:ascii="Arial" w:hAnsi="Arial" w:cs="Arial"/>
          <w:sz w:val="24"/>
          <w:szCs w:val="24"/>
        </w:rPr>
        <w:t xml:space="preserve">Darío Amaya Ortegón </w:t>
      </w:r>
      <w:r w:rsidR="00246443">
        <w:rPr>
          <w:rFonts w:ascii="Arial" w:hAnsi="Arial" w:cs="Arial"/>
          <w:sz w:val="24"/>
          <w:szCs w:val="24"/>
        </w:rPr>
        <w:t>empezó a cotizar al sistema pensional el 13/03/1986 y hasta el 13/06/2003 con un to</w:t>
      </w:r>
      <w:r w:rsidR="00956286">
        <w:rPr>
          <w:rFonts w:ascii="Arial" w:hAnsi="Arial" w:cs="Arial"/>
          <w:sz w:val="24"/>
          <w:szCs w:val="24"/>
        </w:rPr>
        <w:t>tal de 8</w:t>
      </w:r>
      <w:r w:rsidR="009B4EB3">
        <w:rPr>
          <w:rFonts w:ascii="Arial" w:hAnsi="Arial" w:cs="Arial"/>
          <w:sz w:val="24"/>
          <w:szCs w:val="24"/>
        </w:rPr>
        <w:t>70,10</w:t>
      </w:r>
      <w:r w:rsidR="00956286">
        <w:rPr>
          <w:rFonts w:ascii="Arial" w:hAnsi="Arial" w:cs="Arial"/>
          <w:sz w:val="24"/>
          <w:szCs w:val="24"/>
        </w:rPr>
        <w:t xml:space="preserve">, semanas y; según </w:t>
      </w:r>
      <w:r w:rsidR="00246443">
        <w:rPr>
          <w:rFonts w:ascii="Arial" w:hAnsi="Arial" w:cs="Arial"/>
          <w:sz w:val="24"/>
          <w:szCs w:val="24"/>
        </w:rPr>
        <w:t xml:space="preserve">la hoja de prueba mediante la cual se liquidó la pensión </w:t>
      </w:r>
      <w:r w:rsidR="00246443" w:rsidRPr="00246443">
        <w:rPr>
          <w:rFonts w:ascii="Arial" w:hAnsi="Arial" w:cs="Arial"/>
          <w:i/>
          <w:sz w:val="24"/>
          <w:szCs w:val="24"/>
        </w:rPr>
        <w:t>–obrante en el medio magnético aportado-,</w:t>
      </w:r>
      <w:r w:rsidR="00246443">
        <w:rPr>
          <w:rFonts w:ascii="Arial" w:hAnsi="Arial" w:cs="Arial"/>
          <w:sz w:val="24"/>
          <w:szCs w:val="24"/>
        </w:rPr>
        <w:t xml:space="preserve"> se observa que se tuv</w:t>
      </w:r>
      <w:r w:rsidR="00B2303D">
        <w:rPr>
          <w:rFonts w:ascii="Arial" w:hAnsi="Arial" w:cs="Arial"/>
          <w:sz w:val="24"/>
          <w:szCs w:val="24"/>
        </w:rPr>
        <w:t>o</w:t>
      </w:r>
      <w:r w:rsidR="00246443">
        <w:rPr>
          <w:rFonts w:ascii="Arial" w:hAnsi="Arial" w:cs="Arial"/>
          <w:sz w:val="24"/>
          <w:szCs w:val="24"/>
        </w:rPr>
        <w:t xml:space="preserve"> en cuenta los salarios percibidos desde la fecha de estructuración de la invalidez hacía atrás un total de 538 semanas, que generó un</w:t>
      </w:r>
      <w:r w:rsidR="00B2303D">
        <w:rPr>
          <w:rFonts w:ascii="Arial" w:hAnsi="Arial" w:cs="Arial"/>
          <w:sz w:val="24"/>
          <w:szCs w:val="24"/>
        </w:rPr>
        <w:t xml:space="preserve"> </w:t>
      </w:r>
      <w:proofErr w:type="spellStart"/>
      <w:r w:rsidR="00B2303D">
        <w:rPr>
          <w:rFonts w:ascii="Arial" w:hAnsi="Arial" w:cs="Arial"/>
          <w:sz w:val="24"/>
          <w:szCs w:val="24"/>
        </w:rPr>
        <w:t>IBL</w:t>
      </w:r>
      <w:proofErr w:type="spellEnd"/>
      <w:r w:rsidR="00246443">
        <w:rPr>
          <w:rFonts w:ascii="Arial" w:hAnsi="Arial" w:cs="Arial"/>
          <w:sz w:val="24"/>
          <w:szCs w:val="24"/>
        </w:rPr>
        <w:t xml:space="preserve"> $455.802</w:t>
      </w:r>
      <w:r w:rsidR="004E46D0">
        <w:rPr>
          <w:rFonts w:ascii="Arial" w:hAnsi="Arial" w:cs="Arial"/>
          <w:sz w:val="24"/>
          <w:szCs w:val="24"/>
        </w:rPr>
        <w:t>,</w:t>
      </w:r>
      <w:r w:rsidR="00246443">
        <w:rPr>
          <w:rFonts w:ascii="Arial" w:hAnsi="Arial" w:cs="Arial"/>
          <w:sz w:val="24"/>
          <w:szCs w:val="24"/>
        </w:rPr>
        <w:t>45.</w:t>
      </w:r>
    </w:p>
    <w:p w:rsidR="00956286" w:rsidRDefault="00956286" w:rsidP="00956286">
      <w:pPr>
        <w:spacing w:line="276" w:lineRule="auto"/>
        <w:contextualSpacing/>
        <w:jc w:val="both"/>
        <w:rPr>
          <w:rFonts w:ascii="Arial" w:hAnsi="Arial" w:cs="Arial"/>
          <w:sz w:val="24"/>
          <w:szCs w:val="24"/>
        </w:rPr>
      </w:pPr>
    </w:p>
    <w:p w:rsidR="00956286" w:rsidRDefault="00B2303D" w:rsidP="00956286">
      <w:pPr>
        <w:spacing w:line="276" w:lineRule="auto"/>
        <w:contextualSpacing/>
        <w:jc w:val="both"/>
        <w:rPr>
          <w:rFonts w:ascii="Arial" w:hAnsi="Arial" w:cs="Arial"/>
          <w:sz w:val="24"/>
          <w:szCs w:val="24"/>
        </w:rPr>
      </w:pPr>
      <w:r>
        <w:rPr>
          <w:rFonts w:ascii="Arial" w:hAnsi="Arial" w:cs="Arial"/>
          <w:sz w:val="24"/>
          <w:szCs w:val="24"/>
        </w:rPr>
        <w:t xml:space="preserve">Ahora, dado el total de cotizaciones efectuadas –más de 850- y el porcentaje de </w:t>
      </w:r>
      <w:proofErr w:type="spellStart"/>
      <w:r>
        <w:rPr>
          <w:rFonts w:ascii="Arial" w:hAnsi="Arial" w:cs="Arial"/>
          <w:sz w:val="24"/>
          <w:szCs w:val="24"/>
        </w:rPr>
        <w:t>PCL</w:t>
      </w:r>
      <w:proofErr w:type="spellEnd"/>
      <w:r>
        <w:rPr>
          <w:rFonts w:ascii="Arial" w:hAnsi="Arial" w:cs="Arial"/>
          <w:sz w:val="24"/>
          <w:szCs w:val="24"/>
        </w:rPr>
        <w:t xml:space="preserve"> -51.69%-, le correspondería un</w:t>
      </w:r>
      <w:r w:rsidR="009B4EB3">
        <w:rPr>
          <w:rFonts w:ascii="Arial" w:hAnsi="Arial" w:cs="Arial"/>
          <w:sz w:val="24"/>
          <w:szCs w:val="24"/>
        </w:rPr>
        <w:t>a tasa de reemplazo de 55,5%</w:t>
      </w:r>
      <w:r w:rsidR="008407C2">
        <w:rPr>
          <w:rFonts w:ascii="Arial" w:hAnsi="Arial" w:cs="Arial"/>
          <w:sz w:val="24"/>
          <w:szCs w:val="24"/>
        </w:rPr>
        <w:t xml:space="preserve"> -</w:t>
      </w:r>
      <w:r w:rsidR="008407C2" w:rsidRPr="008407C2">
        <w:rPr>
          <w:rFonts w:ascii="Arial" w:hAnsi="Arial" w:cs="Arial"/>
          <w:i/>
          <w:sz w:val="24"/>
          <w:szCs w:val="24"/>
        </w:rPr>
        <w:t>según lo prevé el artículo 40 de la Ley 100/93-</w:t>
      </w:r>
      <w:r w:rsidR="009B4EB3">
        <w:rPr>
          <w:rFonts w:ascii="Arial" w:hAnsi="Arial" w:cs="Arial"/>
          <w:sz w:val="24"/>
          <w:szCs w:val="24"/>
        </w:rPr>
        <w:t xml:space="preserve">, que debe aplicarse al </w:t>
      </w:r>
      <w:proofErr w:type="spellStart"/>
      <w:r w:rsidR="009B4EB3">
        <w:rPr>
          <w:rFonts w:ascii="Arial" w:hAnsi="Arial" w:cs="Arial"/>
          <w:sz w:val="24"/>
          <w:szCs w:val="24"/>
        </w:rPr>
        <w:t>IBL</w:t>
      </w:r>
      <w:proofErr w:type="spellEnd"/>
      <w:r w:rsidR="009B4EB3">
        <w:rPr>
          <w:rFonts w:ascii="Arial" w:hAnsi="Arial" w:cs="Arial"/>
          <w:sz w:val="24"/>
          <w:szCs w:val="24"/>
        </w:rPr>
        <w:t xml:space="preserve"> de los últimos 10 años anteriores al estado de invalidez</w:t>
      </w:r>
      <w:r w:rsidR="008407C2">
        <w:rPr>
          <w:rFonts w:ascii="Arial" w:hAnsi="Arial" w:cs="Arial"/>
          <w:sz w:val="24"/>
          <w:szCs w:val="24"/>
        </w:rPr>
        <w:t xml:space="preserve"> –artículo 21 </w:t>
      </w:r>
      <w:r w:rsidR="008407C2" w:rsidRPr="008407C2">
        <w:rPr>
          <w:rFonts w:ascii="Arial" w:hAnsi="Arial" w:cs="Arial"/>
          <w:i/>
          <w:sz w:val="24"/>
          <w:szCs w:val="24"/>
        </w:rPr>
        <w:t>ibídem</w:t>
      </w:r>
      <w:r w:rsidR="008407C2">
        <w:rPr>
          <w:rFonts w:ascii="Arial" w:hAnsi="Arial" w:cs="Arial"/>
          <w:sz w:val="24"/>
          <w:szCs w:val="24"/>
        </w:rPr>
        <w:t>-</w:t>
      </w:r>
      <w:r w:rsidR="009B4EB3">
        <w:rPr>
          <w:rFonts w:ascii="Arial" w:hAnsi="Arial" w:cs="Arial"/>
          <w:sz w:val="24"/>
          <w:szCs w:val="24"/>
        </w:rPr>
        <w:t xml:space="preserve">, que </w:t>
      </w:r>
      <w:r w:rsidR="004029A3">
        <w:rPr>
          <w:rFonts w:ascii="Arial" w:hAnsi="Arial" w:cs="Arial"/>
          <w:sz w:val="24"/>
          <w:szCs w:val="24"/>
        </w:rPr>
        <w:t xml:space="preserve">equivale </w:t>
      </w:r>
      <w:r w:rsidR="009B4EB3">
        <w:rPr>
          <w:rFonts w:ascii="Arial" w:hAnsi="Arial" w:cs="Arial"/>
          <w:sz w:val="24"/>
          <w:szCs w:val="24"/>
        </w:rPr>
        <w:t xml:space="preserve">a la suma de $464.023, por lo que se genera como valor de la mesada pensional un total de $257,533 para el año 2002, inferior al </w:t>
      </w:r>
      <w:proofErr w:type="spellStart"/>
      <w:r w:rsidR="009B4EB3">
        <w:rPr>
          <w:rFonts w:ascii="Arial" w:hAnsi="Arial" w:cs="Arial"/>
          <w:sz w:val="24"/>
          <w:szCs w:val="24"/>
        </w:rPr>
        <w:t>SMLMV</w:t>
      </w:r>
      <w:proofErr w:type="spellEnd"/>
      <w:r w:rsidR="009B4EB3">
        <w:rPr>
          <w:rFonts w:ascii="Arial" w:hAnsi="Arial" w:cs="Arial"/>
          <w:sz w:val="24"/>
          <w:szCs w:val="24"/>
        </w:rPr>
        <w:t>.</w:t>
      </w:r>
    </w:p>
    <w:p w:rsidR="00635CB6" w:rsidRDefault="00635CB6" w:rsidP="00717D29">
      <w:pPr>
        <w:pStyle w:val="Paragraphedeliste"/>
        <w:spacing w:line="276" w:lineRule="auto"/>
        <w:ind w:left="0"/>
        <w:contextualSpacing/>
        <w:jc w:val="both"/>
        <w:rPr>
          <w:rFonts w:ascii="Arial" w:hAnsi="Arial" w:cs="Arial"/>
          <w:sz w:val="24"/>
          <w:szCs w:val="24"/>
        </w:rPr>
      </w:pPr>
    </w:p>
    <w:p w:rsidR="00F241E9" w:rsidRDefault="00F241E9" w:rsidP="00717D29">
      <w:pPr>
        <w:pStyle w:val="Paragraphedeliste"/>
        <w:spacing w:line="276" w:lineRule="auto"/>
        <w:ind w:left="0"/>
        <w:contextualSpacing/>
        <w:jc w:val="both"/>
        <w:rPr>
          <w:rFonts w:ascii="Arial" w:hAnsi="Arial" w:cs="Arial"/>
          <w:b/>
          <w:sz w:val="24"/>
          <w:szCs w:val="24"/>
        </w:rPr>
      </w:pPr>
      <w:r w:rsidRPr="00F241E9">
        <w:rPr>
          <w:rFonts w:ascii="Arial" w:hAnsi="Arial" w:cs="Arial"/>
          <w:b/>
          <w:sz w:val="24"/>
          <w:szCs w:val="24"/>
        </w:rPr>
        <w:lastRenderedPageBreak/>
        <w:t>4. Grado jurisdiccional de consulta</w:t>
      </w:r>
    </w:p>
    <w:p w:rsidR="00F241E9" w:rsidRDefault="00F241E9" w:rsidP="00717D29">
      <w:pPr>
        <w:pStyle w:val="Paragraphedeliste"/>
        <w:spacing w:line="276" w:lineRule="auto"/>
        <w:ind w:left="0"/>
        <w:contextualSpacing/>
        <w:jc w:val="both"/>
        <w:rPr>
          <w:rFonts w:ascii="Arial" w:hAnsi="Arial" w:cs="Arial"/>
          <w:b/>
          <w:sz w:val="24"/>
          <w:szCs w:val="24"/>
        </w:rPr>
      </w:pPr>
    </w:p>
    <w:p w:rsidR="008E648B" w:rsidRPr="008E648B" w:rsidRDefault="008E648B" w:rsidP="00717D29">
      <w:pPr>
        <w:shd w:val="clear" w:color="auto" w:fill="FFFFFF"/>
        <w:spacing w:line="276" w:lineRule="auto"/>
        <w:contextualSpacing/>
        <w:jc w:val="both"/>
        <w:rPr>
          <w:rFonts w:ascii="Arial" w:hAnsi="Arial" w:cs="Arial"/>
          <w:sz w:val="24"/>
          <w:szCs w:val="24"/>
        </w:rPr>
      </w:pPr>
      <w:r w:rsidRPr="008E648B">
        <w:rPr>
          <w:rFonts w:ascii="Arial" w:hAnsi="Arial" w:cs="Arial"/>
          <w:sz w:val="24"/>
          <w:szCs w:val="24"/>
        </w:rPr>
        <w:t xml:space="preserve">De conformidad con lo dispuesto por el artículo 69 del </w:t>
      </w:r>
      <w:proofErr w:type="spellStart"/>
      <w:r w:rsidRPr="008E648B">
        <w:rPr>
          <w:rFonts w:ascii="Arial" w:hAnsi="Arial" w:cs="Arial"/>
          <w:sz w:val="24"/>
          <w:szCs w:val="24"/>
        </w:rPr>
        <w:t>C.P.L</w:t>
      </w:r>
      <w:proofErr w:type="spellEnd"/>
      <w:r w:rsidRPr="008E648B">
        <w:rPr>
          <w:rFonts w:ascii="Arial" w:hAnsi="Arial" w:cs="Arial"/>
          <w:sz w:val="24"/>
          <w:szCs w:val="24"/>
        </w:rPr>
        <w:t>. se ordenó el grado jurisdiccional de consulta</w:t>
      </w:r>
      <w:r w:rsidR="007523B3">
        <w:rPr>
          <w:rFonts w:ascii="Arial" w:hAnsi="Arial" w:cs="Arial"/>
          <w:sz w:val="24"/>
          <w:szCs w:val="24"/>
        </w:rPr>
        <w:t xml:space="preserve"> respecto de la anterior decisión</w:t>
      </w:r>
      <w:r w:rsidRPr="008E648B">
        <w:rPr>
          <w:rFonts w:ascii="Arial" w:hAnsi="Arial" w:cs="Arial"/>
          <w:sz w:val="24"/>
          <w:szCs w:val="24"/>
        </w:rPr>
        <w:t xml:space="preserve">, al haber resultado la misma totalmente adversa a los intereses de </w:t>
      </w:r>
      <w:r w:rsidR="00635CB6">
        <w:rPr>
          <w:rFonts w:ascii="Arial" w:hAnsi="Arial" w:cs="Arial"/>
          <w:sz w:val="24"/>
          <w:szCs w:val="24"/>
        </w:rPr>
        <w:t>la parte actora</w:t>
      </w:r>
      <w:r w:rsidRPr="008E648B">
        <w:rPr>
          <w:rFonts w:ascii="Arial" w:hAnsi="Arial" w:cs="Arial"/>
          <w:sz w:val="24"/>
          <w:szCs w:val="24"/>
        </w:rPr>
        <w:t>.</w:t>
      </w:r>
    </w:p>
    <w:p w:rsidR="00F241E9" w:rsidRPr="00F241E9" w:rsidRDefault="00F241E9" w:rsidP="00717D29">
      <w:pPr>
        <w:pStyle w:val="Paragraphedeliste"/>
        <w:spacing w:line="276" w:lineRule="auto"/>
        <w:ind w:left="0"/>
        <w:contextualSpacing/>
        <w:jc w:val="both"/>
        <w:rPr>
          <w:rFonts w:ascii="Arial" w:hAnsi="Arial" w:cs="Arial"/>
          <w:b/>
          <w:sz w:val="24"/>
          <w:szCs w:val="24"/>
        </w:rPr>
      </w:pPr>
    </w:p>
    <w:p w:rsidR="0055536F" w:rsidRPr="008E0CBF" w:rsidRDefault="0055536F" w:rsidP="00717D29">
      <w:pPr>
        <w:pStyle w:val="Paragraphedeliste"/>
        <w:shd w:val="clear" w:color="auto" w:fill="FFFFFF"/>
        <w:tabs>
          <w:tab w:val="left" w:pos="5197"/>
        </w:tabs>
        <w:spacing w:line="276" w:lineRule="auto"/>
        <w:contextualSpacing/>
        <w:jc w:val="center"/>
        <w:rPr>
          <w:rFonts w:ascii="Arial" w:hAnsi="Arial" w:cs="Arial"/>
          <w:b/>
          <w:sz w:val="24"/>
          <w:szCs w:val="24"/>
        </w:rPr>
      </w:pPr>
      <w:r w:rsidRPr="008E0CBF">
        <w:rPr>
          <w:rFonts w:ascii="Arial" w:hAnsi="Arial" w:cs="Arial"/>
          <w:b/>
          <w:sz w:val="24"/>
          <w:szCs w:val="24"/>
        </w:rPr>
        <w:t>CONSIDERACIONES</w:t>
      </w:r>
    </w:p>
    <w:p w:rsidR="0055536F" w:rsidRDefault="0055536F" w:rsidP="00717D29">
      <w:pPr>
        <w:shd w:val="clear" w:color="auto" w:fill="FFFFFF"/>
        <w:tabs>
          <w:tab w:val="left" w:pos="5197"/>
        </w:tabs>
        <w:spacing w:line="276" w:lineRule="auto"/>
        <w:contextualSpacing/>
        <w:jc w:val="both"/>
        <w:rPr>
          <w:rFonts w:ascii="Arial" w:hAnsi="Arial" w:cs="Arial"/>
          <w:b/>
          <w:sz w:val="24"/>
          <w:szCs w:val="24"/>
        </w:rPr>
      </w:pPr>
      <w:r w:rsidRPr="0055536F">
        <w:rPr>
          <w:rFonts w:ascii="Arial" w:hAnsi="Arial" w:cs="Arial"/>
          <w:sz w:val="24"/>
          <w:szCs w:val="24"/>
        </w:rPr>
        <w:t xml:space="preserve">1. </w:t>
      </w:r>
      <w:r w:rsidRPr="0055536F">
        <w:rPr>
          <w:rFonts w:ascii="Arial" w:hAnsi="Arial" w:cs="Arial"/>
          <w:b/>
          <w:sz w:val="24"/>
          <w:szCs w:val="24"/>
        </w:rPr>
        <w:t>Del problema jurídico</w:t>
      </w:r>
    </w:p>
    <w:p w:rsidR="006A5FB8" w:rsidRPr="0055536F" w:rsidRDefault="006A5FB8" w:rsidP="00717D29">
      <w:pPr>
        <w:shd w:val="clear" w:color="auto" w:fill="FFFFFF"/>
        <w:tabs>
          <w:tab w:val="left" w:pos="5197"/>
        </w:tabs>
        <w:spacing w:line="276" w:lineRule="auto"/>
        <w:contextualSpacing/>
        <w:jc w:val="both"/>
        <w:rPr>
          <w:rFonts w:ascii="Arial" w:hAnsi="Arial" w:cs="Arial"/>
          <w:sz w:val="24"/>
          <w:szCs w:val="24"/>
        </w:rPr>
      </w:pPr>
    </w:p>
    <w:p w:rsidR="0055536F" w:rsidRDefault="0055536F" w:rsidP="00717D29">
      <w:pPr>
        <w:shd w:val="clear" w:color="auto" w:fill="FFFFFF"/>
        <w:tabs>
          <w:tab w:val="left" w:pos="5197"/>
        </w:tabs>
        <w:spacing w:line="276" w:lineRule="auto"/>
        <w:contextualSpacing/>
        <w:jc w:val="both"/>
        <w:rPr>
          <w:rFonts w:ascii="Arial" w:hAnsi="Arial" w:cs="Arial"/>
          <w:color w:val="000000"/>
          <w:sz w:val="24"/>
          <w:szCs w:val="24"/>
          <w:lang w:eastAsia="es-CO"/>
        </w:rPr>
      </w:pPr>
      <w:r w:rsidRPr="0055536F">
        <w:rPr>
          <w:rFonts w:ascii="Arial" w:hAnsi="Arial" w:cs="Arial"/>
          <w:color w:val="000000"/>
          <w:sz w:val="24"/>
          <w:szCs w:val="24"/>
          <w:lang w:eastAsia="es-CO"/>
        </w:rPr>
        <w:t>Visto el recu</w:t>
      </w:r>
      <w:r w:rsidR="009121E3">
        <w:rPr>
          <w:rFonts w:ascii="Arial" w:hAnsi="Arial" w:cs="Arial"/>
          <w:color w:val="000000"/>
          <w:sz w:val="24"/>
          <w:szCs w:val="24"/>
          <w:lang w:eastAsia="es-CO"/>
        </w:rPr>
        <w:t>en</w:t>
      </w:r>
      <w:r w:rsidR="0048622F">
        <w:rPr>
          <w:rFonts w:ascii="Arial" w:hAnsi="Arial" w:cs="Arial"/>
          <w:color w:val="000000"/>
          <w:sz w:val="24"/>
          <w:szCs w:val="24"/>
          <w:lang w:eastAsia="es-CO"/>
        </w:rPr>
        <w:t xml:space="preserve">to anterior, la Sala formula </w:t>
      </w:r>
      <w:r w:rsidR="004E46D0">
        <w:rPr>
          <w:rFonts w:ascii="Arial" w:hAnsi="Arial" w:cs="Arial"/>
          <w:color w:val="000000"/>
          <w:sz w:val="24"/>
          <w:szCs w:val="24"/>
          <w:lang w:eastAsia="es-CO"/>
        </w:rPr>
        <w:t xml:space="preserve">el </w:t>
      </w:r>
      <w:r w:rsidR="0048622F">
        <w:rPr>
          <w:rFonts w:ascii="Arial" w:hAnsi="Arial" w:cs="Arial"/>
          <w:color w:val="000000"/>
          <w:sz w:val="24"/>
          <w:szCs w:val="24"/>
          <w:lang w:eastAsia="es-CO"/>
        </w:rPr>
        <w:t>siguiente interrogante</w:t>
      </w:r>
      <w:r w:rsidRPr="0055536F">
        <w:rPr>
          <w:rFonts w:ascii="Arial" w:hAnsi="Arial" w:cs="Arial"/>
          <w:color w:val="000000"/>
          <w:sz w:val="24"/>
          <w:szCs w:val="24"/>
          <w:lang w:eastAsia="es-CO"/>
        </w:rPr>
        <w:t>:</w:t>
      </w:r>
    </w:p>
    <w:p w:rsidR="0048622F" w:rsidRPr="0055536F" w:rsidRDefault="0048622F" w:rsidP="00717D29">
      <w:pPr>
        <w:shd w:val="clear" w:color="auto" w:fill="FFFFFF"/>
        <w:tabs>
          <w:tab w:val="left" w:pos="5197"/>
        </w:tabs>
        <w:spacing w:line="276" w:lineRule="auto"/>
        <w:contextualSpacing/>
        <w:jc w:val="both"/>
        <w:rPr>
          <w:rFonts w:ascii="Arial" w:hAnsi="Arial" w:cs="Arial"/>
          <w:color w:val="000000"/>
          <w:sz w:val="24"/>
          <w:szCs w:val="24"/>
          <w:lang w:eastAsia="es-CO"/>
        </w:rPr>
      </w:pPr>
    </w:p>
    <w:p w:rsidR="00C6077C" w:rsidRDefault="0055536F" w:rsidP="00717D29">
      <w:pPr>
        <w:tabs>
          <w:tab w:val="left" w:pos="0"/>
          <w:tab w:val="left" w:pos="8647"/>
        </w:tabs>
        <w:suppressAutoHyphens/>
        <w:spacing w:line="276" w:lineRule="auto"/>
        <w:contextualSpacing/>
        <w:jc w:val="both"/>
        <w:rPr>
          <w:rFonts w:ascii="Arial" w:hAnsi="Arial" w:cs="Arial"/>
          <w:iCs/>
          <w:sz w:val="24"/>
          <w:szCs w:val="24"/>
        </w:rPr>
      </w:pPr>
      <w:r>
        <w:rPr>
          <w:rFonts w:ascii="Arial" w:hAnsi="Arial" w:cs="Arial"/>
          <w:sz w:val="24"/>
          <w:szCs w:val="24"/>
        </w:rPr>
        <w:t xml:space="preserve">1.1. </w:t>
      </w:r>
      <w:r w:rsidR="00C6077C" w:rsidRPr="00C6077C">
        <w:rPr>
          <w:rFonts w:ascii="Arial" w:hAnsi="Arial" w:cs="Arial"/>
          <w:sz w:val="24"/>
          <w:szCs w:val="24"/>
        </w:rPr>
        <w:t xml:space="preserve">¿Es procedente </w:t>
      </w:r>
      <w:proofErr w:type="spellStart"/>
      <w:r w:rsidR="00C6077C" w:rsidRPr="00C6077C">
        <w:rPr>
          <w:rFonts w:ascii="Arial" w:hAnsi="Arial" w:cs="Arial"/>
          <w:sz w:val="24"/>
          <w:szCs w:val="24"/>
        </w:rPr>
        <w:t>reliquidar</w:t>
      </w:r>
      <w:proofErr w:type="spellEnd"/>
      <w:r w:rsidR="00C6077C" w:rsidRPr="00C6077C">
        <w:rPr>
          <w:rFonts w:ascii="Arial" w:hAnsi="Arial" w:cs="Arial"/>
          <w:sz w:val="24"/>
          <w:szCs w:val="24"/>
        </w:rPr>
        <w:t xml:space="preserve"> la pensión de </w:t>
      </w:r>
      <w:r w:rsidR="006A5FB8">
        <w:rPr>
          <w:rFonts w:ascii="Arial" w:hAnsi="Arial" w:cs="Arial"/>
          <w:sz w:val="24"/>
          <w:szCs w:val="24"/>
        </w:rPr>
        <w:t>invalidez al</w:t>
      </w:r>
      <w:r w:rsidR="00C6077C" w:rsidRPr="00C6077C">
        <w:rPr>
          <w:rFonts w:ascii="Arial" w:hAnsi="Arial" w:cs="Arial"/>
          <w:sz w:val="24"/>
          <w:szCs w:val="24"/>
        </w:rPr>
        <w:t xml:space="preserve"> demandante</w:t>
      </w:r>
      <w:r w:rsidR="0048622F">
        <w:rPr>
          <w:rFonts w:ascii="Arial" w:hAnsi="Arial" w:cs="Arial"/>
          <w:sz w:val="24"/>
          <w:szCs w:val="24"/>
        </w:rPr>
        <w:t xml:space="preserve">, para tener en cuenta los salarios devengados </w:t>
      </w:r>
      <w:r w:rsidR="006A5FB8">
        <w:rPr>
          <w:rFonts w:ascii="Arial" w:hAnsi="Arial" w:cs="Arial"/>
          <w:sz w:val="24"/>
          <w:szCs w:val="24"/>
        </w:rPr>
        <w:t xml:space="preserve">en los últimos 10 años anteriores a la estructuración de la </w:t>
      </w:r>
      <w:proofErr w:type="spellStart"/>
      <w:r w:rsidR="006A5FB8">
        <w:rPr>
          <w:rFonts w:ascii="Arial" w:hAnsi="Arial" w:cs="Arial"/>
          <w:sz w:val="24"/>
          <w:szCs w:val="24"/>
        </w:rPr>
        <w:t>PCL</w:t>
      </w:r>
      <w:proofErr w:type="spellEnd"/>
      <w:r w:rsidR="006A5FB8">
        <w:rPr>
          <w:rFonts w:ascii="Arial" w:hAnsi="Arial" w:cs="Arial"/>
          <w:sz w:val="24"/>
          <w:szCs w:val="24"/>
        </w:rPr>
        <w:t xml:space="preserve"> y aplicar una tasa de reemplazo superior al 45%</w:t>
      </w:r>
      <w:r w:rsidR="00C6077C" w:rsidRPr="00C6077C">
        <w:rPr>
          <w:rFonts w:ascii="Arial" w:hAnsi="Arial" w:cs="Arial"/>
          <w:iCs/>
          <w:sz w:val="24"/>
          <w:szCs w:val="24"/>
        </w:rPr>
        <w:t>?</w:t>
      </w:r>
    </w:p>
    <w:p w:rsidR="009121E3" w:rsidRDefault="009121E3" w:rsidP="00717D29">
      <w:pPr>
        <w:tabs>
          <w:tab w:val="left" w:pos="0"/>
          <w:tab w:val="left" w:pos="8647"/>
        </w:tabs>
        <w:suppressAutoHyphens/>
        <w:spacing w:line="276" w:lineRule="auto"/>
        <w:contextualSpacing/>
        <w:jc w:val="both"/>
        <w:rPr>
          <w:rFonts w:ascii="Arial" w:hAnsi="Arial" w:cs="Arial"/>
          <w:iCs/>
          <w:sz w:val="24"/>
          <w:szCs w:val="24"/>
        </w:rPr>
      </w:pPr>
    </w:p>
    <w:p w:rsidR="0055536F" w:rsidRDefault="008B72CB" w:rsidP="00717D29">
      <w:pPr>
        <w:pStyle w:val="Paragraphedeliste"/>
        <w:numPr>
          <w:ilvl w:val="0"/>
          <w:numId w:val="8"/>
        </w:numPr>
        <w:autoSpaceDE w:val="0"/>
        <w:autoSpaceDN w:val="0"/>
        <w:adjustRightInd w:val="0"/>
        <w:spacing w:after="160" w:line="276" w:lineRule="auto"/>
        <w:ind w:left="426" w:hanging="426"/>
        <w:contextualSpacing/>
        <w:jc w:val="both"/>
        <w:rPr>
          <w:rFonts w:ascii="Arial" w:hAnsi="Arial" w:cs="Arial"/>
          <w:b/>
          <w:sz w:val="24"/>
          <w:szCs w:val="24"/>
        </w:rPr>
      </w:pPr>
      <w:r>
        <w:rPr>
          <w:rFonts w:ascii="Arial" w:hAnsi="Arial" w:cs="Arial"/>
          <w:b/>
          <w:sz w:val="24"/>
          <w:szCs w:val="24"/>
        </w:rPr>
        <w:t>Solución a</w:t>
      </w:r>
      <w:r w:rsidR="0055536F" w:rsidRPr="00031EF4">
        <w:rPr>
          <w:rFonts w:ascii="Arial" w:hAnsi="Arial" w:cs="Arial"/>
          <w:b/>
          <w:sz w:val="24"/>
          <w:szCs w:val="24"/>
        </w:rPr>
        <w:t>l</w:t>
      </w:r>
      <w:r>
        <w:rPr>
          <w:rFonts w:ascii="Arial" w:hAnsi="Arial" w:cs="Arial"/>
          <w:b/>
          <w:sz w:val="24"/>
          <w:szCs w:val="24"/>
        </w:rPr>
        <w:t xml:space="preserve"> interrogante planteado</w:t>
      </w:r>
    </w:p>
    <w:p w:rsidR="008B72CB" w:rsidRDefault="008B72CB" w:rsidP="00717D29">
      <w:pPr>
        <w:pStyle w:val="Paragraphedeliste"/>
        <w:autoSpaceDE w:val="0"/>
        <w:autoSpaceDN w:val="0"/>
        <w:adjustRightInd w:val="0"/>
        <w:spacing w:after="160" w:line="276" w:lineRule="auto"/>
        <w:ind w:left="426"/>
        <w:contextualSpacing/>
        <w:jc w:val="both"/>
        <w:rPr>
          <w:rFonts w:ascii="Arial" w:hAnsi="Arial" w:cs="Arial"/>
          <w:b/>
          <w:sz w:val="24"/>
          <w:szCs w:val="24"/>
        </w:rPr>
      </w:pPr>
    </w:p>
    <w:p w:rsidR="0055536F" w:rsidRPr="000D4C4F" w:rsidRDefault="0055536F" w:rsidP="00717D29">
      <w:pPr>
        <w:pStyle w:val="Corpsdetexte"/>
        <w:spacing w:line="276" w:lineRule="auto"/>
        <w:contextualSpacing/>
        <w:rPr>
          <w:iCs/>
          <w:sz w:val="24"/>
          <w:szCs w:val="24"/>
        </w:rPr>
      </w:pPr>
      <w:r w:rsidRPr="000D4C4F">
        <w:rPr>
          <w:iCs/>
          <w:sz w:val="24"/>
          <w:szCs w:val="24"/>
        </w:rPr>
        <w:t xml:space="preserve">Con el propósito de dar solución al anterior </w:t>
      </w:r>
      <w:r w:rsidR="000D4C4F">
        <w:rPr>
          <w:iCs/>
          <w:sz w:val="24"/>
          <w:szCs w:val="24"/>
        </w:rPr>
        <w:t>cuestionamiento</w:t>
      </w:r>
      <w:r w:rsidR="004E46D0">
        <w:rPr>
          <w:iCs/>
          <w:sz w:val="24"/>
          <w:szCs w:val="24"/>
        </w:rPr>
        <w:t>,</w:t>
      </w:r>
      <w:r w:rsidRPr="000D4C4F">
        <w:rPr>
          <w:iCs/>
          <w:sz w:val="24"/>
          <w:szCs w:val="24"/>
        </w:rPr>
        <w:t xml:space="preserve"> se considera necesario precisar</w:t>
      </w:r>
      <w:r w:rsidR="000D4C4F">
        <w:rPr>
          <w:iCs/>
          <w:sz w:val="24"/>
          <w:szCs w:val="24"/>
        </w:rPr>
        <w:t xml:space="preserve"> </w:t>
      </w:r>
      <w:r w:rsidRPr="000D4C4F">
        <w:rPr>
          <w:iCs/>
          <w:sz w:val="24"/>
          <w:szCs w:val="24"/>
        </w:rPr>
        <w:t>lo siguiente:</w:t>
      </w:r>
    </w:p>
    <w:p w:rsidR="000E5003" w:rsidRDefault="000E5003" w:rsidP="00717D29">
      <w:pPr>
        <w:pStyle w:val="Corpsdetexte"/>
        <w:spacing w:line="276" w:lineRule="auto"/>
        <w:ind w:right="284"/>
        <w:contextualSpacing/>
        <w:rPr>
          <w:rFonts w:cs="Arial"/>
          <w:b/>
          <w:sz w:val="24"/>
          <w:szCs w:val="24"/>
          <w:lang w:val="es-CO"/>
        </w:rPr>
      </w:pPr>
    </w:p>
    <w:p w:rsidR="00CF7D5F" w:rsidRPr="00CF7D5F" w:rsidRDefault="00CF7D5F" w:rsidP="00717D29">
      <w:pPr>
        <w:pStyle w:val="Corpsdetexte"/>
        <w:spacing w:line="276" w:lineRule="auto"/>
        <w:ind w:right="49"/>
        <w:contextualSpacing/>
        <w:rPr>
          <w:rFonts w:cs="Arial"/>
          <w:b/>
          <w:sz w:val="24"/>
          <w:szCs w:val="24"/>
          <w:lang w:val="es-CO"/>
        </w:rPr>
      </w:pPr>
      <w:r w:rsidRPr="00CF7D5F">
        <w:rPr>
          <w:rFonts w:cs="Arial"/>
          <w:b/>
          <w:sz w:val="24"/>
          <w:szCs w:val="24"/>
          <w:lang w:val="es-CO"/>
        </w:rPr>
        <w:t>2.1. Cuestión Previa</w:t>
      </w:r>
    </w:p>
    <w:p w:rsidR="00CF7D5F" w:rsidRDefault="00CF7D5F" w:rsidP="00717D29">
      <w:pPr>
        <w:pStyle w:val="Corpsdetexte"/>
        <w:spacing w:line="276" w:lineRule="auto"/>
        <w:ind w:right="49"/>
        <w:contextualSpacing/>
        <w:rPr>
          <w:rFonts w:cs="Arial"/>
          <w:sz w:val="24"/>
          <w:szCs w:val="24"/>
          <w:lang w:val="es-CO"/>
        </w:rPr>
      </w:pPr>
    </w:p>
    <w:p w:rsidR="006040B7" w:rsidRDefault="00B13FC8" w:rsidP="00717D29">
      <w:pPr>
        <w:pStyle w:val="Corpsdetexte"/>
        <w:spacing w:line="276" w:lineRule="auto"/>
        <w:ind w:right="49"/>
        <w:contextualSpacing/>
        <w:rPr>
          <w:rFonts w:cs="Arial"/>
          <w:sz w:val="24"/>
          <w:szCs w:val="24"/>
          <w:lang w:val="es-CO"/>
        </w:rPr>
      </w:pPr>
      <w:r>
        <w:rPr>
          <w:rFonts w:cs="Arial"/>
          <w:sz w:val="24"/>
          <w:szCs w:val="24"/>
          <w:lang w:val="es-CO"/>
        </w:rPr>
        <w:t xml:space="preserve">Se encuentra totalmente acreditado dentro de la actuación que </w:t>
      </w:r>
      <w:r w:rsidR="006040B7">
        <w:rPr>
          <w:rFonts w:cs="Arial"/>
          <w:sz w:val="24"/>
          <w:szCs w:val="24"/>
          <w:lang w:val="es-CO"/>
        </w:rPr>
        <w:t xml:space="preserve">(i) el </w:t>
      </w:r>
      <w:r>
        <w:rPr>
          <w:rFonts w:cs="Arial"/>
          <w:sz w:val="24"/>
          <w:szCs w:val="24"/>
          <w:lang w:val="es-CO"/>
        </w:rPr>
        <w:t xml:space="preserve">señor </w:t>
      </w:r>
      <w:r w:rsidR="006040B7">
        <w:rPr>
          <w:rFonts w:cs="Arial"/>
          <w:sz w:val="24"/>
          <w:szCs w:val="24"/>
          <w:lang w:val="es-CO"/>
        </w:rPr>
        <w:t xml:space="preserve">Darío Amaya Ortegón </w:t>
      </w:r>
      <w:r w:rsidR="009C696A">
        <w:rPr>
          <w:rFonts w:cs="Arial"/>
          <w:sz w:val="24"/>
          <w:szCs w:val="24"/>
          <w:lang w:val="es-CO"/>
        </w:rPr>
        <w:t>es pensionad</w:t>
      </w:r>
      <w:r w:rsidR="006040B7">
        <w:rPr>
          <w:rFonts w:cs="Arial"/>
          <w:sz w:val="24"/>
          <w:szCs w:val="24"/>
          <w:lang w:val="es-CO"/>
        </w:rPr>
        <w:t xml:space="preserve">o por invalidez de origen común a partir del 30/05/2002, </w:t>
      </w:r>
      <w:r>
        <w:rPr>
          <w:rFonts w:cs="Arial"/>
          <w:sz w:val="24"/>
          <w:szCs w:val="24"/>
          <w:lang w:val="es-CO"/>
        </w:rPr>
        <w:t>y que para la l</w:t>
      </w:r>
      <w:r w:rsidR="008B72CB">
        <w:rPr>
          <w:rFonts w:cs="Arial"/>
          <w:sz w:val="24"/>
          <w:szCs w:val="24"/>
          <w:lang w:val="es-CO"/>
        </w:rPr>
        <w:t xml:space="preserve">iquidación de la prestación se </w:t>
      </w:r>
      <w:r w:rsidR="006040B7">
        <w:rPr>
          <w:rFonts w:cs="Arial"/>
          <w:sz w:val="24"/>
          <w:szCs w:val="24"/>
          <w:lang w:val="es-CO"/>
        </w:rPr>
        <w:t>aplicaron los artículos 21 y 40 de la Ley 100 de 1993, contabilizando 538 semanas a las que se les aplicó el 45% de tasa de reemplazo, según el contenido de la Resolución N° 007618 de 2006 –</w:t>
      </w:r>
      <w:proofErr w:type="spellStart"/>
      <w:r w:rsidR="006040B7">
        <w:rPr>
          <w:rFonts w:cs="Arial"/>
          <w:sz w:val="24"/>
          <w:szCs w:val="24"/>
          <w:lang w:val="es-CO"/>
        </w:rPr>
        <w:t>fl</w:t>
      </w:r>
      <w:proofErr w:type="spellEnd"/>
      <w:r w:rsidR="006040B7">
        <w:rPr>
          <w:rFonts w:cs="Arial"/>
          <w:sz w:val="24"/>
          <w:szCs w:val="24"/>
          <w:lang w:val="es-CO"/>
        </w:rPr>
        <w:t xml:space="preserve">. 10 cd. 1- y; (ii) que fue </w:t>
      </w:r>
      <w:r w:rsidR="00C23933">
        <w:rPr>
          <w:rFonts w:cs="Arial"/>
          <w:sz w:val="24"/>
          <w:szCs w:val="24"/>
          <w:lang w:val="es-CO"/>
        </w:rPr>
        <w:t xml:space="preserve">calificado </w:t>
      </w:r>
      <w:r w:rsidR="006040B7">
        <w:rPr>
          <w:rFonts w:cs="Arial"/>
          <w:sz w:val="24"/>
          <w:szCs w:val="24"/>
          <w:lang w:val="es-CO"/>
        </w:rPr>
        <w:t xml:space="preserve">por la Junta de </w:t>
      </w:r>
      <w:r w:rsidR="00C23933">
        <w:rPr>
          <w:rFonts w:cs="Arial"/>
          <w:sz w:val="24"/>
          <w:szCs w:val="24"/>
          <w:lang w:val="es-CO"/>
        </w:rPr>
        <w:t xml:space="preserve">Regional </w:t>
      </w:r>
      <w:r w:rsidR="006040B7">
        <w:rPr>
          <w:rFonts w:cs="Arial"/>
          <w:sz w:val="24"/>
          <w:szCs w:val="24"/>
          <w:lang w:val="es-CO"/>
        </w:rPr>
        <w:t xml:space="preserve">de Invalidez de Caldas, con una </w:t>
      </w:r>
      <w:proofErr w:type="spellStart"/>
      <w:r w:rsidR="00C23933">
        <w:rPr>
          <w:rFonts w:cs="Arial"/>
          <w:sz w:val="24"/>
          <w:szCs w:val="24"/>
          <w:lang w:val="es-CO"/>
        </w:rPr>
        <w:t>PCL</w:t>
      </w:r>
      <w:proofErr w:type="spellEnd"/>
      <w:r w:rsidR="00C23933">
        <w:rPr>
          <w:rFonts w:cs="Arial"/>
          <w:sz w:val="24"/>
          <w:szCs w:val="24"/>
          <w:lang w:val="es-CO"/>
        </w:rPr>
        <w:t xml:space="preserve"> del 51.67%, con fecha de estructuración del 13/04/1997.</w:t>
      </w:r>
    </w:p>
    <w:p w:rsidR="006040B7" w:rsidRDefault="006040B7" w:rsidP="00717D29">
      <w:pPr>
        <w:pStyle w:val="Corpsdetexte"/>
        <w:spacing w:line="276" w:lineRule="auto"/>
        <w:ind w:right="49"/>
        <w:contextualSpacing/>
        <w:rPr>
          <w:rFonts w:cs="Arial"/>
          <w:sz w:val="24"/>
          <w:szCs w:val="24"/>
          <w:lang w:val="es-CO"/>
        </w:rPr>
      </w:pPr>
    </w:p>
    <w:p w:rsidR="006C3B36" w:rsidRDefault="006C3B36" w:rsidP="00717D29">
      <w:pPr>
        <w:pStyle w:val="Corpsdetexte"/>
        <w:spacing w:line="276" w:lineRule="auto"/>
        <w:contextualSpacing/>
        <w:rPr>
          <w:rFonts w:cs="Arial"/>
          <w:b/>
          <w:sz w:val="24"/>
          <w:szCs w:val="24"/>
          <w:lang w:val="es-CO"/>
        </w:rPr>
      </w:pPr>
      <w:r w:rsidRPr="00030B32">
        <w:rPr>
          <w:rFonts w:cs="Arial"/>
          <w:b/>
          <w:sz w:val="24"/>
          <w:szCs w:val="24"/>
          <w:lang w:val="es-CO"/>
        </w:rPr>
        <w:t>2.2. De</w:t>
      </w:r>
      <w:r w:rsidR="00C23933">
        <w:rPr>
          <w:rFonts w:cs="Arial"/>
          <w:b/>
          <w:sz w:val="24"/>
          <w:szCs w:val="24"/>
          <w:lang w:val="es-CO"/>
        </w:rPr>
        <w:t>l monto de la pensión de invalidez - L</w:t>
      </w:r>
      <w:r w:rsidRPr="00030B32">
        <w:rPr>
          <w:rFonts w:cs="Arial"/>
          <w:b/>
          <w:sz w:val="24"/>
          <w:szCs w:val="24"/>
          <w:lang w:val="es-CO"/>
        </w:rPr>
        <w:t xml:space="preserve">iquidación </w:t>
      </w:r>
      <w:r w:rsidR="00904261">
        <w:rPr>
          <w:rFonts w:cs="Arial"/>
          <w:b/>
          <w:sz w:val="24"/>
          <w:szCs w:val="24"/>
          <w:lang w:val="es-CO"/>
        </w:rPr>
        <w:t xml:space="preserve">del </w:t>
      </w:r>
      <w:proofErr w:type="spellStart"/>
      <w:r w:rsidR="00904261">
        <w:rPr>
          <w:rFonts w:cs="Arial"/>
          <w:b/>
          <w:sz w:val="24"/>
          <w:szCs w:val="24"/>
          <w:lang w:val="es-CO"/>
        </w:rPr>
        <w:t>IBL</w:t>
      </w:r>
      <w:proofErr w:type="spellEnd"/>
      <w:r w:rsidR="00C23933">
        <w:rPr>
          <w:rFonts w:cs="Arial"/>
          <w:b/>
          <w:sz w:val="24"/>
          <w:szCs w:val="24"/>
          <w:lang w:val="es-CO"/>
        </w:rPr>
        <w:t xml:space="preserve"> y asignación de la tasa de reemplazo</w:t>
      </w:r>
    </w:p>
    <w:p w:rsidR="00030B32" w:rsidRDefault="00030B32" w:rsidP="00717D29">
      <w:pPr>
        <w:pStyle w:val="Corpsdetexte"/>
        <w:spacing w:line="276" w:lineRule="auto"/>
        <w:contextualSpacing/>
        <w:rPr>
          <w:rFonts w:cs="Arial"/>
          <w:b/>
          <w:sz w:val="24"/>
          <w:szCs w:val="24"/>
          <w:lang w:val="es-CO"/>
        </w:rPr>
      </w:pPr>
    </w:p>
    <w:p w:rsidR="00030B32" w:rsidRPr="00030B32" w:rsidRDefault="00030B32" w:rsidP="00717D29">
      <w:pPr>
        <w:pStyle w:val="Corpsdetexte"/>
        <w:spacing w:line="276" w:lineRule="auto"/>
        <w:contextualSpacing/>
        <w:rPr>
          <w:rFonts w:cs="Arial"/>
          <w:b/>
          <w:sz w:val="24"/>
          <w:szCs w:val="24"/>
          <w:lang w:val="es-CO"/>
        </w:rPr>
      </w:pPr>
      <w:r>
        <w:rPr>
          <w:rFonts w:cs="Arial"/>
          <w:b/>
          <w:sz w:val="24"/>
          <w:szCs w:val="24"/>
          <w:lang w:val="es-CO"/>
        </w:rPr>
        <w:t>2.2.1. Fundamento jurídico</w:t>
      </w:r>
    </w:p>
    <w:p w:rsidR="006C3B36" w:rsidRDefault="006C3B36" w:rsidP="00717D29">
      <w:pPr>
        <w:pStyle w:val="Corpsdetexte"/>
        <w:spacing w:line="276" w:lineRule="auto"/>
        <w:contextualSpacing/>
        <w:rPr>
          <w:rFonts w:cs="Arial"/>
          <w:sz w:val="24"/>
          <w:szCs w:val="24"/>
          <w:lang w:val="es-CO"/>
        </w:rPr>
      </w:pPr>
    </w:p>
    <w:p w:rsidR="00C6077C" w:rsidRDefault="007D7829" w:rsidP="00717D29">
      <w:pPr>
        <w:pStyle w:val="Corpsdetexte"/>
        <w:spacing w:line="276" w:lineRule="auto"/>
        <w:contextualSpacing/>
        <w:rPr>
          <w:rFonts w:cs="Arial"/>
          <w:sz w:val="24"/>
          <w:szCs w:val="24"/>
          <w:lang w:eastAsia="en-US"/>
        </w:rPr>
      </w:pPr>
      <w:r>
        <w:rPr>
          <w:rFonts w:cs="Arial"/>
          <w:sz w:val="24"/>
          <w:szCs w:val="24"/>
          <w:lang w:val="es-CO"/>
        </w:rPr>
        <w:t xml:space="preserve">Según el artículo </w:t>
      </w:r>
      <w:r w:rsidR="00C6077C" w:rsidRPr="00C6077C">
        <w:rPr>
          <w:rFonts w:cs="Arial"/>
          <w:sz w:val="24"/>
          <w:szCs w:val="24"/>
          <w:lang w:eastAsia="en-US"/>
        </w:rPr>
        <w:t>21 de la Ley 100 de 1993,</w:t>
      </w:r>
      <w:r>
        <w:rPr>
          <w:rFonts w:cs="Arial"/>
          <w:sz w:val="24"/>
          <w:szCs w:val="24"/>
          <w:lang w:eastAsia="en-US"/>
        </w:rPr>
        <w:t xml:space="preserve"> </w:t>
      </w:r>
      <w:r w:rsidR="00C6077C" w:rsidRPr="00C6077C">
        <w:rPr>
          <w:rFonts w:cs="Arial"/>
          <w:sz w:val="24"/>
          <w:szCs w:val="24"/>
          <w:lang w:eastAsia="en-US"/>
        </w:rPr>
        <w:t xml:space="preserve">la base sobre la </w:t>
      </w:r>
      <w:r w:rsidR="000927AC">
        <w:rPr>
          <w:rFonts w:cs="Arial"/>
          <w:sz w:val="24"/>
          <w:szCs w:val="24"/>
          <w:lang w:eastAsia="en-US"/>
        </w:rPr>
        <w:t xml:space="preserve">que </w:t>
      </w:r>
      <w:r w:rsidR="00C6077C" w:rsidRPr="00C6077C">
        <w:rPr>
          <w:rFonts w:cs="Arial"/>
          <w:sz w:val="24"/>
          <w:szCs w:val="24"/>
          <w:lang w:eastAsia="en-US"/>
        </w:rPr>
        <w:t xml:space="preserve">se establecerá el monto de la pensión, </w:t>
      </w:r>
      <w:r w:rsidR="000927AC">
        <w:rPr>
          <w:rFonts w:cs="Arial"/>
          <w:sz w:val="24"/>
          <w:szCs w:val="24"/>
          <w:lang w:eastAsia="en-US"/>
        </w:rPr>
        <w:t xml:space="preserve">será </w:t>
      </w:r>
      <w:r w:rsidR="00C6077C" w:rsidRPr="00C6077C">
        <w:rPr>
          <w:rFonts w:cs="Arial"/>
          <w:sz w:val="24"/>
          <w:szCs w:val="24"/>
          <w:lang w:eastAsia="en-US"/>
        </w:rPr>
        <w:t xml:space="preserve">el promedio de las sumas sobre las cuales el afiliado haya efectuado sus cotizaciones en los 10 años que anteceden al </w:t>
      </w:r>
      <w:r w:rsidR="009D1A17">
        <w:rPr>
          <w:rFonts w:cs="Arial"/>
          <w:sz w:val="24"/>
          <w:szCs w:val="24"/>
          <w:lang w:eastAsia="en-US"/>
        </w:rPr>
        <w:t>reconocimiento de la prestación</w:t>
      </w:r>
      <w:r>
        <w:rPr>
          <w:rFonts w:cs="Arial"/>
          <w:sz w:val="24"/>
          <w:szCs w:val="24"/>
          <w:lang w:eastAsia="en-US"/>
        </w:rPr>
        <w:t xml:space="preserve"> o el de toda la vida, si este fuere inferior para el caso de las pensiones de invalidez y sobrevivencia.</w:t>
      </w:r>
    </w:p>
    <w:p w:rsidR="007D7829" w:rsidRDefault="007D7829" w:rsidP="00717D29">
      <w:pPr>
        <w:pStyle w:val="Corpsdetexte"/>
        <w:spacing w:line="276" w:lineRule="auto"/>
        <w:contextualSpacing/>
        <w:rPr>
          <w:rFonts w:cs="Arial"/>
          <w:sz w:val="24"/>
          <w:szCs w:val="24"/>
          <w:lang w:eastAsia="en-US"/>
        </w:rPr>
      </w:pPr>
    </w:p>
    <w:p w:rsidR="007D7829" w:rsidRPr="007D7829" w:rsidRDefault="007D7829" w:rsidP="00717D29">
      <w:pPr>
        <w:pStyle w:val="Corpsdetexte"/>
        <w:spacing w:line="276" w:lineRule="auto"/>
        <w:contextualSpacing/>
        <w:rPr>
          <w:rFonts w:cs="Arial"/>
          <w:sz w:val="24"/>
          <w:szCs w:val="24"/>
          <w:lang w:eastAsia="en-US"/>
        </w:rPr>
      </w:pPr>
      <w:r>
        <w:rPr>
          <w:rFonts w:cs="Arial"/>
          <w:sz w:val="24"/>
          <w:szCs w:val="24"/>
          <w:lang w:eastAsia="en-US"/>
        </w:rPr>
        <w:t xml:space="preserve">Por su parte, el artículo 40 </w:t>
      </w:r>
      <w:r w:rsidRPr="007D7829">
        <w:rPr>
          <w:rFonts w:cs="Arial"/>
          <w:i/>
          <w:sz w:val="24"/>
          <w:szCs w:val="24"/>
          <w:lang w:eastAsia="en-US"/>
        </w:rPr>
        <w:t>ibídem</w:t>
      </w:r>
      <w:r>
        <w:rPr>
          <w:rFonts w:cs="Arial"/>
          <w:i/>
          <w:sz w:val="24"/>
          <w:szCs w:val="24"/>
          <w:lang w:eastAsia="en-US"/>
        </w:rPr>
        <w:t xml:space="preserve">, </w:t>
      </w:r>
      <w:r>
        <w:rPr>
          <w:rFonts w:cs="Arial"/>
          <w:sz w:val="24"/>
          <w:szCs w:val="24"/>
          <w:lang w:eastAsia="en-US"/>
        </w:rPr>
        <w:t xml:space="preserve">que regula el monto de la pensión de invalidez, establece que cuando la </w:t>
      </w:r>
      <w:proofErr w:type="spellStart"/>
      <w:r>
        <w:rPr>
          <w:rFonts w:cs="Arial"/>
          <w:sz w:val="24"/>
          <w:szCs w:val="24"/>
          <w:lang w:eastAsia="en-US"/>
        </w:rPr>
        <w:t>PCL</w:t>
      </w:r>
      <w:proofErr w:type="spellEnd"/>
      <w:r>
        <w:rPr>
          <w:rFonts w:cs="Arial"/>
          <w:sz w:val="24"/>
          <w:szCs w:val="24"/>
          <w:lang w:eastAsia="en-US"/>
        </w:rPr>
        <w:t xml:space="preserve"> oscila entre el 50% y el 66%, dicho monto debe corresponde al 45% del </w:t>
      </w:r>
      <w:proofErr w:type="spellStart"/>
      <w:r>
        <w:rPr>
          <w:rFonts w:cs="Arial"/>
          <w:sz w:val="24"/>
          <w:szCs w:val="24"/>
          <w:lang w:eastAsia="en-US"/>
        </w:rPr>
        <w:t>IBL</w:t>
      </w:r>
      <w:proofErr w:type="spellEnd"/>
      <w:r>
        <w:rPr>
          <w:rFonts w:cs="Arial"/>
          <w:sz w:val="24"/>
          <w:szCs w:val="24"/>
          <w:lang w:eastAsia="en-US"/>
        </w:rPr>
        <w:t>, más el 1.5% por cada 50 semanas que sobrepasen las primeras 500.</w:t>
      </w:r>
    </w:p>
    <w:p w:rsidR="0042254F" w:rsidRDefault="0042254F" w:rsidP="00717D29">
      <w:pPr>
        <w:pStyle w:val="Corpsdetexte"/>
        <w:spacing w:line="276" w:lineRule="auto"/>
        <w:ind w:right="284" w:firstLine="709"/>
        <w:contextualSpacing/>
        <w:rPr>
          <w:rFonts w:cs="Arial"/>
          <w:sz w:val="24"/>
          <w:szCs w:val="24"/>
          <w:lang w:val="es-CO"/>
        </w:rPr>
      </w:pPr>
    </w:p>
    <w:p w:rsidR="009D1A17" w:rsidRPr="009D1A17" w:rsidRDefault="009D1A17" w:rsidP="00717D29">
      <w:pPr>
        <w:pStyle w:val="Textoindependiente33"/>
        <w:spacing w:line="276" w:lineRule="auto"/>
        <w:contextualSpacing/>
        <w:rPr>
          <w:rFonts w:cs="Arial"/>
          <w:b/>
          <w:szCs w:val="24"/>
        </w:rPr>
      </w:pPr>
      <w:r w:rsidRPr="009D1A17">
        <w:rPr>
          <w:rFonts w:cs="Arial"/>
          <w:b/>
          <w:szCs w:val="24"/>
        </w:rPr>
        <w:lastRenderedPageBreak/>
        <w:t>2.2.2. Fundamento fáctico:</w:t>
      </w:r>
    </w:p>
    <w:p w:rsidR="009D1A17" w:rsidRPr="001E3936" w:rsidRDefault="009D1A17" w:rsidP="00717D29">
      <w:pPr>
        <w:pStyle w:val="Textoindependiente33"/>
        <w:spacing w:line="276" w:lineRule="auto"/>
        <w:contextualSpacing/>
        <w:rPr>
          <w:rFonts w:cs="Arial"/>
          <w:sz w:val="10"/>
          <w:szCs w:val="10"/>
        </w:rPr>
      </w:pPr>
    </w:p>
    <w:p w:rsidR="009A141A" w:rsidRDefault="0083670A" w:rsidP="00717D29">
      <w:pPr>
        <w:pStyle w:val="Prrafodelista2"/>
        <w:spacing w:after="0"/>
        <w:ind w:left="0"/>
        <w:jc w:val="both"/>
        <w:rPr>
          <w:rFonts w:ascii="Arial" w:hAnsi="Arial" w:cs="Arial"/>
          <w:sz w:val="24"/>
          <w:szCs w:val="24"/>
        </w:rPr>
      </w:pPr>
      <w:r>
        <w:rPr>
          <w:rFonts w:ascii="Arial" w:hAnsi="Arial" w:cs="Arial"/>
          <w:sz w:val="24"/>
          <w:szCs w:val="24"/>
        </w:rPr>
        <w:t>Según la Resolución N° 007618 de 2006 –</w:t>
      </w:r>
      <w:proofErr w:type="spellStart"/>
      <w:r>
        <w:rPr>
          <w:rFonts w:ascii="Arial" w:hAnsi="Arial" w:cs="Arial"/>
          <w:sz w:val="24"/>
          <w:szCs w:val="24"/>
        </w:rPr>
        <w:t>fl</w:t>
      </w:r>
      <w:proofErr w:type="spellEnd"/>
      <w:r>
        <w:rPr>
          <w:rFonts w:ascii="Arial" w:hAnsi="Arial" w:cs="Arial"/>
          <w:sz w:val="24"/>
          <w:szCs w:val="24"/>
        </w:rPr>
        <w:t>. 10- al actor se le reconoció la pensión a partir del 30 de mayo de 2002, pero por encontrarse prescritas las mesadas causadas con anterioridad a esa calenda, como quiera que la reclamación administrativa fue presentada el 30/05/2006, toda vez que se dio aplicación al artículo 10 del Decreto 758/90, que prevé un término de 4 años para que opere el fenómeno extintivo.</w:t>
      </w:r>
    </w:p>
    <w:p w:rsidR="001E3936" w:rsidRPr="001E3936" w:rsidRDefault="001E3936" w:rsidP="00717D29">
      <w:pPr>
        <w:pStyle w:val="Prrafodelista2"/>
        <w:spacing w:after="0"/>
        <w:ind w:left="0"/>
        <w:jc w:val="both"/>
        <w:rPr>
          <w:rFonts w:ascii="Arial" w:hAnsi="Arial" w:cs="Arial"/>
          <w:sz w:val="16"/>
          <w:szCs w:val="16"/>
        </w:rPr>
      </w:pPr>
    </w:p>
    <w:p w:rsidR="0083670A" w:rsidRDefault="0083670A" w:rsidP="00717D29">
      <w:pPr>
        <w:pStyle w:val="Prrafodelista2"/>
        <w:spacing w:after="0"/>
        <w:ind w:left="0"/>
        <w:jc w:val="both"/>
        <w:rPr>
          <w:rFonts w:ascii="Arial" w:hAnsi="Arial" w:cs="Arial"/>
          <w:sz w:val="24"/>
          <w:szCs w:val="24"/>
        </w:rPr>
      </w:pPr>
      <w:r>
        <w:rPr>
          <w:rFonts w:ascii="Arial" w:hAnsi="Arial" w:cs="Arial"/>
          <w:sz w:val="24"/>
          <w:szCs w:val="24"/>
        </w:rPr>
        <w:t xml:space="preserve">Precisado lo anterior y como la fecha de reconocimiento de la pensión de invalidez debe corresponder a la de estructuración de ese estado– inciso final artículo 40 Ley 100/93-, debe determinarse hasta ese momento </w:t>
      </w:r>
      <w:r w:rsidR="00134C43">
        <w:rPr>
          <w:rFonts w:ascii="Arial" w:hAnsi="Arial" w:cs="Arial"/>
          <w:sz w:val="24"/>
          <w:szCs w:val="24"/>
        </w:rPr>
        <w:t>c</w:t>
      </w:r>
      <w:r>
        <w:rPr>
          <w:rFonts w:ascii="Arial" w:hAnsi="Arial" w:cs="Arial"/>
          <w:sz w:val="24"/>
          <w:szCs w:val="24"/>
        </w:rPr>
        <w:t>uántas semanas tenía cotizadas el demandante para establecer la tasa d</w:t>
      </w:r>
      <w:r w:rsidR="00134C43">
        <w:rPr>
          <w:rFonts w:ascii="Arial" w:hAnsi="Arial" w:cs="Arial"/>
          <w:sz w:val="24"/>
          <w:szCs w:val="24"/>
        </w:rPr>
        <w:t>e reemplazo a que tiene derecho.</w:t>
      </w:r>
    </w:p>
    <w:p w:rsidR="0083670A" w:rsidRPr="001E3936" w:rsidRDefault="0083670A" w:rsidP="00717D29">
      <w:pPr>
        <w:pStyle w:val="Prrafodelista2"/>
        <w:spacing w:after="0"/>
        <w:ind w:left="0"/>
        <w:jc w:val="both"/>
        <w:rPr>
          <w:rFonts w:ascii="Arial" w:hAnsi="Arial" w:cs="Arial"/>
          <w:sz w:val="16"/>
          <w:szCs w:val="16"/>
        </w:rPr>
      </w:pPr>
    </w:p>
    <w:p w:rsidR="0083670A" w:rsidRDefault="00134C43" w:rsidP="00717D29">
      <w:pPr>
        <w:pStyle w:val="Prrafodelista2"/>
        <w:spacing w:after="0"/>
        <w:ind w:left="0"/>
        <w:jc w:val="both"/>
        <w:rPr>
          <w:rFonts w:ascii="Arial" w:hAnsi="Arial" w:cs="Arial"/>
          <w:sz w:val="24"/>
          <w:szCs w:val="24"/>
        </w:rPr>
      </w:pPr>
      <w:r>
        <w:rPr>
          <w:rFonts w:ascii="Arial" w:hAnsi="Arial" w:cs="Arial"/>
          <w:sz w:val="24"/>
          <w:szCs w:val="24"/>
        </w:rPr>
        <w:t>En este orden de ideas, no es posible tener en cuenta para dilucidar el aspecto debatido, las semanas cotizadas con posterioridad al 13/04/1997, porque es la fecha a partir de la cual el señor Amaya</w:t>
      </w:r>
      <w:r w:rsidR="00303B83">
        <w:rPr>
          <w:rFonts w:ascii="Arial" w:hAnsi="Arial" w:cs="Arial"/>
          <w:sz w:val="24"/>
          <w:szCs w:val="24"/>
        </w:rPr>
        <w:t xml:space="preserve"> Ortegón fue declarado inválido y no se trata de una enfermedad crónica, degenerativa o progresiva, que haga suponer que la realidad en cuanto a la capacidad para laborar subsistió </w:t>
      </w:r>
      <w:r w:rsidR="00072E1F">
        <w:rPr>
          <w:rFonts w:ascii="Arial" w:hAnsi="Arial" w:cs="Arial"/>
          <w:sz w:val="24"/>
          <w:szCs w:val="24"/>
        </w:rPr>
        <w:t xml:space="preserve"> un tiempo más</w:t>
      </w:r>
      <w:r w:rsidR="00303B83">
        <w:rPr>
          <w:rFonts w:ascii="Arial" w:hAnsi="Arial" w:cs="Arial"/>
          <w:sz w:val="24"/>
          <w:szCs w:val="24"/>
        </w:rPr>
        <w:t xml:space="preserve">, para poder tener en cuenta las semanas cotizadas luego de estructurarse la invalidez que llevan consigo a </w:t>
      </w:r>
      <w:r w:rsidR="00072E1F">
        <w:rPr>
          <w:rFonts w:ascii="Arial" w:hAnsi="Arial" w:cs="Arial"/>
          <w:sz w:val="24"/>
          <w:szCs w:val="24"/>
        </w:rPr>
        <w:t>modificarla.</w:t>
      </w:r>
      <w:r w:rsidR="00303B83">
        <w:rPr>
          <w:rFonts w:ascii="Arial" w:hAnsi="Arial" w:cs="Arial"/>
          <w:sz w:val="24"/>
          <w:szCs w:val="24"/>
        </w:rPr>
        <w:t xml:space="preserve"> </w:t>
      </w:r>
    </w:p>
    <w:p w:rsidR="00134C43" w:rsidRPr="001E3936" w:rsidRDefault="00134C43" w:rsidP="00717D29">
      <w:pPr>
        <w:pStyle w:val="Prrafodelista2"/>
        <w:spacing w:after="0"/>
        <w:ind w:left="0"/>
        <w:jc w:val="both"/>
        <w:rPr>
          <w:rFonts w:ascii="Arial" w:hAnsi="Arial" w:cs="Arial"/>
          <w:sz w:val="16"/>
          <w:szCs w:val="16"/>
        </w:rPr>
      </w:pPr>
    </w:p>
    <w:p w:rsidR="00134C43" w:rsidRDefault="00134C43" w:rsidP="00717D29">
      <w:pPr>
        <w:pStyle w:val="Prrafodelista2"/>
        <w:spacing w:after="0"/>
        <w:ind w:left="0"/>
        <w:jc w:val="both"/>
        <w:rPr>
          <w:rFonts w:ascii="Arial" w:hAnsi="Arial" w:cs="Arial"/>
          <w:sz w:val="24"/>
          <w:szCs w:val="24"/>
        </w:rPr>
      </w:pPr>
      <w:r>
        <w:rPr>
          <w:rFonts w:ascii="Arial" w:hAnsi="Arial" w:cs="Arial"/>
          <w:sz w:val="24"/>
          <w:szCs w:val="24"/>
        </w:rPr>
        <w:t>Conforme la historia laboral allegada al proceso a folios 112 y s.s., se encuentra que hasta la calenda anunciada el demandante cotizó un total de 549.35 semanas, de donde es fácil colegir que la tasa de reemplazo que le corresponde es la del 45% como lo hizo la entidad demandada.</w:t>
      </w:r>
    </w:p>
    <w:p w:rsidR="00134C43" w:rsidRPr="001E3936" w:rsidRDefault="00134C43" w:rsidP="00717D29">
      <w:pPr>
        <w:pStyle w:val="Prrafodelista2"/>
        <w:spacing w:after="0"/>
        <w:ind w:left="0"/>
        <w:jc w:val="both"/>
        <w:rPr>
          <w:rFonts w:ascii="Arial" w:hAnsi="Arial" w:cs="Arial"/>
          <w:sz w:val="16"/>
          <w:szCs w:val="16"/>
        </w:rPr>
      </w:pPr>
    </w:p>
    <w:p w:rsidR="00134C43" w:rsidRDefault="00134C43" w:rsidP="00717D29">
      <w:pPr>
        <w:pStyle w:val="Prrafodelista2"/>
        <w:spacing w:after="0"/>
        <w:ind w:left="0"/>
        <w:jc w:val="both"/>
        <w:rPr>
          <w:rFonts w:ascii="Arial" w:hAnsi="Arial" w:cs="Arial"/>
          <w:sz w:val="24"/>
          <w:szCs w:val="24"/>
        </w:rPr>
      </w:pPr>
      <w:r>
        <w:rPr>
          <w:rFonts w:ascii="Arial" w:hAnsi="Arial" w:cs="Arial"/>
          <w:sz w:val="24"/>
          <w:szCs w:val="24"/>
        </w:rPr>
        <w:t xml:space="preserve">De tal manera que no se comparte la afirmación de la a-quo, en el sentido que la misma debe corresponder al 55.5%, porque para obtener la misma, tuvo en cuenta las cotizaciones efectuadas hasta el </w:t>
      </w:r>
      <w:r w:rsidR="00446D56">
        <w:rPr>
          <w:rFonts w:ascii="Arial" w:hAnsi="Arial" w:cs="Arial"/>
          <w:sz w:val="24"/>
          <w:szCs w:val="24"/>
        </w:rPr>
        <w:t>mes de junio de 2003, esto es, 870,10 se</w:t>
      </w:r>
      <w:r w:rsidR="008B4754">
        <w:rPr>
          <w:rFonts w:ascii="Arial" w:hAnsi="Arial" w:cs="Arial"/>
          <w:sz w:val="24"/>
          <w:szCs w:val="24"/>
        </w:rPr>
        <w:t>manas.</w:t>
      </w:r>
    </w:p>
    <w:p w:rsidR="009A141A" w:rsidRPr="001E3936" w:rsidRDefault="009A141A" w:rsidP="00717D29">
      <w:pPr>
        <w:pStyle w:val="Prrafodelista2"/>
        <w:spacing w:after="0"/>
        <w:ind w:left="0"/>
        <w:jc w:val="both"/>
        <w:rPr>
          <w:rFonts w:ascii="Arial" w:hAnsi="Arial" w:cs="Arial"/>
          <w:sz w:val="16"/>
          <w:szCs w:val="16"/>
        </w:rPr>
      </w:pPr>
    </w:p>
    <w:p w:rsidR="000927AC" w:rsidRDefault="00282E0E" w:rsidP="00717D29">
      <w:pPr>
        <w:pStyle w:val="Prrafodelista2"/>
        <w:spacing w:after="0"/>
        <w:ind w:left="0"/>
        <w:jc w:val="both"/>
        <w:rPr>
          <w:rFonts w:ascii="Arial" w:hAnsi="Arial" w:cs="Arial"/>
          <w:sz w:val="24"/>
          <w:szCs w:val="24"/>
        </w:rPr>
      </w:pPr>
      <w:r>
        <w:rPr>
          <w:rFonts w:ascii="Arial" w:hAnsi="Arial" w:cs="Arial"/>
          <w:sz w:val="24"/>
          <w:szCs w:val="24"/>
        </w:rPr>
        <w:t xml:space="preserve">Ahora, en relación con el </w:t>
      </w:r>
      <w:proofErr w:type="spellStart"/>
      <w:r>
        <w:rPr>
          <w:rFonts w:ascii="Arial" w:hAnsi="Arial" w:cs="Arial"/>
          <w:sz w:val="24"/>
          <w:szCs w:val="24"/>
        </w:rPr>
        <w:t>IBL</w:t>
      </w:r>
      <w:proofErr w:type="spellEnd"/>
      <w:r>
        <w:rPr>
          <w:rFonts w:ascii="Arial" w:hAnsi="Arial" w:cs="Arial"/>
          <w:sz w:val="24"/>
          <w:szCs w:val="24"/>
        </w:rPr>
        <w:t xml:space="preserve">,  </w:t>
      </w:r>
      <w:r w:rsidR="00D4291C" w:rsidRPr="00C14A03">
        <w:rPr>
          <w:rFonts w:ascii="Arial" w:hAnsi="Arial" w:cs="Arial"/>
          <w:sz w:val="24"/>
          <w:szCs w:val="24"/>
        </w:rPr>
        <w:t xml:space="preserve">según el cuadro que </w:t>
      </w:r>
      <w:r w:rsidR="001A00A3">
        <w:rPr>
          <w:rFonts w:ascii="Arial" w:hAnsi="Arial" w:cs="Arial"/>
          <w:sz w:val="24"/>
          <w:szCs w:val="24"/>
        </w:rPr>
        <w:t>hace parte integral del acta que se suscriba con ocasión de esta diligencia</w:t>
      </w:r>
      <w:r w:rsidR="00D4291C" w:rsidRPr="003F7734">
        <w:rPr>
          <w:rFonts w:ascii="Arial" w:hAnsi="Arial" w:cs="Arial"/>
          <w:sz w:val="24"/>
          <w:szCs w:val="24"/>
        </w:rPr>
        <w:t>, una vez hecho el cálculo</w:t>
      </w:r>
      <w:r w:rsidR="000927AC" w:rsidRPr="003F7734">
        <w:rPr>
          <w:rFonts w:ascii="Arial" w:hAnsi="Arial" w:cs="Arial"/>
          <w:sz w:val="24"/>
          <w:szCs w:val="24"/>
        </w:rPr>
        <w:t xml:space="preserve"> respectivo</w:t>
      </w:r>
      <w:r w:rsidR="009D39F4">
        <w:rPr>
          <w:rFonts w:ascii="Arial" w:hAnsi="Arial" w:cs="Arial"/>
          <w:sz w:val="24"/>
          <w:szCs w:val="24"/>
        </w:rPr>
        <w:t xml:space="preserve"> de los 3.600 días efectivamente laborados, que corresponden a los 10 años que exige la norma</w:t>
      </w:r>
      <w:r w:rsidR="000927AC" w:rsidRPr="003F7734">
        <w:rPr>
          <w:rFonts w:ascii="Arial" w:hAnsi="Arial" w:cs="Arial"/>
          <w:sz w:val="24"/>
          <w:szCs w:val="24"/>
        </w:rPr>
        <w:t>, se obtiene un ingreso base de liquidación equivalente a $</w:t>
      </w:r>
      <w:r w:rsidR="004F53EF">
        <w:rPr>
          <w:rFonts w:ascii="Arial" w:hAnsi="Arial" w:cs="Arial"/>
          <w:sz w:val="24"/>
          <w:szCs w:val="24"/>
        </w:rPr>
        <w:t>264.285</w:t>
      </w:r>
      <w:r w:rsidR="000927AC" w:rsidRPr="003F7734">
        <w:rPr>
          <w:rFonts w:ascii="Arial" w:hAnsi="Arial" w:cs="Arial"/>
          <w:sz w:val="24"/>
          <w:szCs w:val="24"/>
        </w:rPr>
        <w:t xml:space="preserve">, que al aplicársele la tasa de reemplazo del </w:t>
      </w:r>
      <w:r>
        <w:rPr>
          <w:rFonts w:ascii="Arial" w:hAnsi="Arial" w:cs="Arial"/>
          <w:sz w:val="24"/>
          <w:szCs w:val="24"/>
        </w:rPr>
        <w:t>45</w:t>
      </w:r>
      <w:r w:rsidR="000927AC" w:rsidRPr="003F7734">
        <w:rPr>
          <w:rFonts w:ascii="Arial" w:hAnsi="Arial" w:cs="Arial"/>
          <w:sz w:val="24"/>
          <w:szCs w:val="24"/>
        </w:rPr>
        <w:t>%, arroja una primera mesada pensional de $</w:t>
      </w:r>
      <w:r w:rsidR="004F53EF">
        <w:rPr>
          <w:rFonts w:ascii="Arial" w:hAnsi="Arial" w:cs="Arial"/>
          <w:sz w:val="24"/>
          <w:szCs w:val="24"/>
        </w:rPr>
        <w:t xml:space="preserve">118.928 </w:t>
      </w:r>
      <w:r w:rsidR="00A760C0">
        <w:rPr>
          <w:rFonts w:ascii="Arial" w:hAnsi="Arial" w:cs="Arial"/>
          <w:sz w:val="24"/>
          <w:szCs w:val="24"/>
        </w:rPr>
        <w:t xml:space="preserve">para el año </w:t>
      </w:r>
      <w:r w:rsidR="004F53EF">
        <w:rPr>
          <w:rFonts w:ascii="Arial" w:hAnsi="Arial" w:cs="Arial"/>
          <w:sz w:val="24"/>
          <w:szCs w:val="24"/>
        </w:rPr>
        <w:t xml:space="preserve">1997 y que actualizada al año </w:t>
      </w:r>
      <w:r>
        <w:rPr>
          <w:rFonts w:ascii="Arial" w:hAnsi="Arial" w:cs="Arial"/>
          <w:sz w:val="24"/>
          <w:szCs w:val="24"/>
        </w:rPr>
        <w:t>2002</w:t>
      </w:r>
      <w:r w:rsidR="004F53EF">
        <w:rPr>
          <w:rFonts w:ascii="Arial" w:hAnsi="Arial" w:cs="Arial"/>
          <w:sz w:val="24"/>
          <w:szCs w:val="24"/>
        </w:rPr>
        <w:t xml:space="preserve">, asciende a </w:t>
      </w:r>
      <w:r w:rsidR="004E46D0">
        <w:rPr>
          <w:rFonts w:ascii="Arial" w:hAnsi="Arial" w:cs="Arial"/>
          <w:sz w:val="24"/>
          <w:szCs w:val="24"/>
        </w:rPr>
        <w:t>$</w:t>
      </w:r>
      <w:r w:rsidR="004F53EF">
        <w:rPr>
          <w:rFonts w:ascii="Arial" w:hAnsi="Arial" w:cs="Arial"/>
          <w:sz w:val="24"/>
          <w:szCs w:val="24"/>
        </w:rPr>
        <w:t>208.855</w:t>
      </w:r>
      <w:r w:rsidR="00A760C0">
        <w:rPr>
          <w:rFonts w:ascii="Arial" w:hAnsi="Arial" w:cs="Arial"/>
          <w:sz w:val="24"/>
          <w:szCs w:val="24"/>
        </w:rPr>
        <w:t xml:space="preserve">, </w:t>
      </w:r>
      <w:r w:rsidR="00A760C0" w:rsidRPr="00A760C0">
        <w:rPr>
          <w:rFonts w:ascii="Arial" w:hAnsi="Arial" w:cs="Arial"/>
          <w:sz w:val="24"/>
          <w:szCs w:val="24"/>
        </w:rPr>
        <w:t>monto</w:t>
      </w:r>
      <w:r w:rsidR="000927AC" w:rsidRPr="00A760C0">
        <w:rPr>
          <w:rFonts w:ascii="Arial" w:hAnsi="Arial" w:cs="Arial"/>
          <w:sz w:val="24"/>
          <w:szCs w:val="24"/>
        </w:rPr>
        <w:t xml:space="preserve"> </w:t>
      </w:r>
      <w:r w:rsidR="00723435" w:rsidRPr="00A760C0">
        <w:rPr>
          <w:rFonts w:ascii="Arial" w:hAnsi="Arial" w:cs="Arial"/>
          <w:sz w:val="24"/>
          <w:szCs w:val="24"/>
        </w:rPr>
        <w:t xml:space="preserve">inferior </w:t>
      </w:r>
      <w:r w:rsidR="000927AC" w:rsidRPr="00A760C0">
        <w:rPr>
          <w:rFonts w:ascii="Arial" w:hAnsi="Arial" w:cs="Arial"/>
          <w:sz w:val="24"/>
          <w:szCs w:val="24"/>
        </w:rPr>
        <w:t xml:space="preserve">al </w:t>
      </w:r>
      <w:proofErr w:type="spellStart"/>
      <w:r>
        <w:rPr>
          <w:rFonts w:ascii="Arial" w:hAnsi="Arial" w:cs="Arial"/>
          <w:sz w:val="24"/>
          <w:szCs w:val="24"/>
        </w:rPr>
        <w:t>SMLMV</w:t>
      </w:r>
      <w:proofErr w:type="spellEnd"/>
      <w:r>
        <w:rPr>
          <w:rFonts w:ascii="Arial" w:hAnsi="Arial" w:cs="Arial"/>
          <w:sz w:val="24"/>
          <w:szCs w:val="24"/>
        </w:rPr>
        <w:t xml:space="preserve"> fijado por el Gobierno Nacional para esa anualidad</w:t>
      </w:r>
      <w:r w:rsidR="004F53EF">
        <w:rPr>
          <w:rStyle w:val="Appelnotedebasdep"/>
          <w:rFonts w:ascii="Arial" w:hAnsi="Arial" w:cs="Arial"/>
          <w:sz w:val="24"/>
          <w:szCs w:val="24"/>
        </w:rPr>
        <w:footnoteReference w:id="1"/>
      </w:r>
      <w:r>
        <w:rPr>
          <w:rFonts w:ascii="Arial" w:hAnsi="Arial" w:cs="Arial"/>
          <w:sz w:val="24"/>
          <w:szCs w:val="24"/>
        </w:rPr>
        <w:t xml:space="preserve">, por lo que era viable que se estableciera en dicho monto la mesada pensional, como en efecto lo hizo el otrora </w:t>
      </w:r>
      <w:proofErr w:type="spellStart"/>
      <w:r>
        <w:rPr>
          <w:rFonts w:ascii="Arial" w:hAnsi="Arial" w:cs="Arial"/>
          <w:sz w:val="24"/>
          <w:szCs w:val="24"/>
        </w:rPr>
        <w:t>ISS</w:t>
      </w:r>
      <w:proofErr w:type="spellEnd"/>
      <w:r>
        <w:rPr>
          <w:rFonts w:ascii="Arial" w:hAnsi="Arial" w:cs="Arial"/>
          <w:sz w:val="24"/>
          <w:szCs w:val="24"/>
        </w:rPr>
        <w:t>.</w:t>
      </w:r>
    </w:p>
    <w:p w:rsidR="009121E3" w:rsidRDefault="009121E3" w:rsidP="00717D29">
      <w:pPr>
        <w:pStyle w:val="Corpsdetexte"/>
        <w:spacing w:line="276" w:lineRule="auto"/>
        <w:ind w:right="284" w:firstLine="709"/>
        <w:contextualSpacing/>
        <w:rPr>
          <w:rFonts w:cs="Arial"/>
          <w:sz w:val="24"/>
          <w:szCs w:val="24"/>
          <w:lang w:val="es-CO"/>
        </w:rPr>
      </w:pPr>
    </w:p>
    <w:p w:rsidR="00C8005D" w:rsidRDefault="00C8005D" w:rsidP="00717D29">
      <w:pPr>
        <w:spacing w:line="276" w:lineRule="auto"/>
        <w:contextualSpacing/>
        <w:jc w:val="center"/>
        <w:rPr>
          <w:rFonts w:ascii="Arial" w:hAnsi="Arial" w:cs="Arial"/>
          <w:b/>
          <w:bCs/>
          <w:color w:val="000000"/>
          <w:sz w:val="24"/>
          <w:szCs w:val="24"/>
        </w:rPr>
      </w:pPr>
      <w:r w:rsidRPr="00C8005D">
        <w:rPr>
          <w:rFonts w:ascii="Arial" w:hAnsi="Arial" w:cs="Arial"/>
          <w:b/>
          <w:bCs/>
          <w:color w:val="000000"/>
          <w:sz w:val="24"/>
          <w:szCs w:val="24"/>
        </w:rPr>
        <w:t>CONCLUSIÓN</w:t>
      </w:r>
    </w:p>
    <w:p w:rsidR="00DE6100" w:rsidRPr="00AF4526" w:rsidRDefault="00DE6100" w:rsidP="00DE6100">
      <w:pPr>
        <w:pStyle w:val="Corpsdetexte"/>
        <w:spacing w:line="276" w:lineRule="auto"/>
        <w:ind w:right="51"/>
        <w:contextualSpacing/>
        <w:rPr>
          <w:rFonts w:cs="Arial"/>
          <w:sz w:val="24"/>
          <w:szCs w:val="24"/>
        </w:rPr>
      </w:pPr>
      <w:r w:rsidRPr="003F7734">
        <w:rPr>
          <w:rFonts w:cs="Arial"/>
          <w:sz w:val="24"/>
          <w:szCs w:val="24"/>
        </w:rPr>
        <w:t xml:space="preserve">En este orden de ideas, es claro que </w:t>
      </w:r>
      <w:r>
        <w:rPr>
          <w:rFonts w:cs="Arial"/>
          <w:sz w:val="24"/>
          <w:szCs w:val="24"/>
        </w:rPr>
        <w:t xml:space="preserve">no es procedente la reliquidación pensional pretendida por la parte actora, por lo que habrá lugar a confirmar la decisión revisada, pero por las razones aquí enunciadas. </w:t>
      </w:r>
    </w:p>
    <w:p w:rsidR="00717D29" w:rsidRDefault="00717D29" w:rsidP="00717D29">
      <w:pPr>
        <w:spacing w:line="276" w:lineRule="auto"/>
        <w:contextualSpacing/>
        <w:jc w:val="center"/>
        <w:rPr>
          <w:rFonts w:ascii="Arial" w:hAnsi="Arial" w:cs="Arial"/>
          <w:b/>
          <w:bCs/>
          <w:color w:val="000000"/>
          <w:sz w:val="24"/>
          <w:szCs w:val="24"/>
        </w:rPr>
      </w:pPr>
    </w:p>
    <w:p w:rsidR="00BC0CD3" w:rsidRDefault="00977585" w:rsidP="00717D29">
      <w:pPr>
        <w:pStyle w:val="Corpsdetexte"/>
        <w:spacing w:line="276" w:lineRule="auto"/>
        <w:contextualSpacing/>
        <w:rPr>
          <w:rFonts w:cs="Arial"/>
          <w:sz w:val="24"/>
          <w:szCs w:val="24"/>
        </w:rPr>
      </w:pPr>
      <w:r w:rsidRPr="001A1834">
        <w:rPr>
          <w:rFonts w:cs="Arial"/>
          <w:sz w:val="24"/>
          <w:szCs w:val="24"/>
        </w:rPr>
        <w:lastRenderedPageBreak/>
        <w:t xml:space="preserve">Costas en esta instancia </w:t>
      </w:r>
      <w:r w:rsidR="00DE1070">
        <w:rPr>
          <w:rFonts w:cs="Arial"/>
          <w:sz w:val="24"/>
          <w:szCs w:val="24"/>
        </w:rPr>
        <w:t xml:space="preserve">no se causaron </w:t>
      </w:r>
      <w:r w:rsidR="00DE6100">
        <w:rPr>
          <w:rFonts w:cs="Arial"/>
          <w:sz w:val="24"/>
          <w:szCs w:val="24"/>
        </w:rPr>
        <w:t xml:space="preserve">por </w:t>
      </w:r>
      <w:r w:rsidR="00DE1070">
        <w:rPr>
          <w:rFonts w:cs="Arial"/>
          <w:sz w:val="24"/>
          <w:szCs w:val="24"/>
        </w:rPr>
        <w:t>tratarse del grado jurisdiccional de consulta.</w:t>
      </w:r>
    </w:p>
    <w:p w:rsidR="00760EDF" w:rsidRDefault="00760EDF" w:rsidP="00717D29">
      <w:pPr>
        <w:pStyle w:val="Corpsdetexte"/>
        <w:spacing w:line="276" w:lineRule="auto"/>
        <w:contextualSpacing/>
        <w:rPr>
          <w:rFonts w:cs="Arial"/>
          <w:sz w:val="24"/>
          <w:szCs w:val="24"/>
        </w:rPr>
      </w:pPr>
    </w:p>
    <w:p w:rsidR="00760EDF" w:rsidRPr="00760EDF" w:rsidRDefault="00760EDF" w:rsidP="00717D29">
      <w:pPr>
        <w:pStyle w:val="Corpsdetexte"/>
        <w:spacing w:line="276" w:lineRule="auto"/>
        <w:contextualSpacing/>
        <w:jc w:val="center"/>
        <w:rPr>
          <w:rFonts w:cs="Arial"/>
          <w:b/>
          <w:sz w:val="24"/>
          <w:szCs w:val="24"/>
        </w:rPr>
      </w:pPr>
      <w:r w:rsidRPr="00760EDF">
        <w:rPr>
          <w:rFonts w:cs="Arial"/>
          <w:b/>
          <w:sz w:val="24"/>
          <w:szCs w:val="24"/>
        </w:rPr>
        <w:t>DECISIÓN</w:t>
      </w:r>
    </w:p>
    <w:p w:rsidR="002E2495" w:rsidRPr="001A1834" w:rsidRDefault="002E2495" w:rsidP="00717D29">
      <w:pPr>
        <w:pStyle w:val="Corpsdetexte"/>
        <w:spacing w:line="276" w:lineRule="auto"/>
        <w:ind w:firstLine="708"/>
        <w:contextualSpacing/>
        <w:rPr>
          <w:rFonts w:cs="Arial"/>
          <w:sz w:val="24"/>
          <w:szCs w:val="24"/>
        </w:rPr>
      </w:pPr>
    </w:p>
    <w:p w:rsidR="00977585" w:rsidRPr="001A1834" w:rsidRDefault="00977585" w:rsidP="00717D2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717D29">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717D29">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EB7DB5" w:rsidRDefault="00EB7DB5" w:rsidP="00717D29">
      <w:pPr>
        <w:widowControl w:val="0"/>
        <w:autoSpaceDE w:val="0"/>
        <w:autoSpaceDN w:val="0"/>
        <w:adjustRightInd w:val="0"/>
        <w:spacing w:line="276" w:lineRule="auto"/>
        <w:contextualSpacing/>
        <w:jc w:val="center"/>
        <w:rPr>
          <w:rFonts w:ascii="Arial" w:hAnsi="Arial" w:cs="Arial"/>
          <w:b/>
          <w:sz w:val="24"/>
          <w:szCs w:val="24"/>
        </w:rPr>
      </w:pPr>
    </w:p>
    <w:p w:rsidR="00B87243" w:rsidRDefault="00977585" w:rsidP="00717D29">
      <w:pPr>
        <w:spacing w:line="276" w:lineRule="auto"/>
        <w:contextualSpacing/>
        <w:jc w:val="both"/>
        <w:rPr>
          <w:rFonts w:ascii="Arial" w:hAnsi="Arial" w:cs="Arial"/>
          <w:spacing w:val="-2"/>
          <w:sz w:val="24"/>
          <w:szCs w:val="24"/>
        </w:rPr>
      </w:pPr>
      <w:r w:rsidRPr="00AF4526">
        <w:rPr>
          <w:rFonts w:ascii="Arial" w:hAnsi="Arial" w:cs="Arial"/>
          <w:b/>
          <w:sz w:val="24"/>
          <w:szCs w:val="24"/>
          <w:u w:val="single"/>
        </w:rPr>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DE6100">
        <w:rPr>
          <w:rFonts w:ascii="Arial" w:hAnsi="Arial" w:cs="Arial"/>
          <w:b/>
          <w:sz w:val="24"/>
          <w:szCs w:val="24"/>
        </w:rPr>
        <w:t xml:space="preserve">CONFIRMAR, pero por las razones aquí expuestas, </w:t>
      </w:r>
      <w:r w:rsidR="00B87243" w:rsidRPr="00B87243">
        <w:rPr>
          <w:rFonts w:ascii="Arial" w:hAnsi="Arial" w:cs="Arial"/>
          <w:sz w:val="24"/>
          <w:szCs w:val="24"/>
        </w:rPr>
        <w:t>la sentencia</w:t>
      </w:r>
      <w:r w:rsidR="00B87243">
        <w:rPr>
          <w:rFonts w:ascii="Arial" w:hAnsi="Arial" w:cs="Arial"/>
          <w:b/>
          <w:sz w:val="24"/>
          <w:szCs w:val="24"/>
        </w:rPr>
        <w:t xml:space="preserve"> </w:t>
      </w:r>
      <w:r w:rsidR="00CE3797" w:rsidRPr="00AF4526">
        <w:rPr>
          <w:rFonts w:ascii="Arial" w:hAnsi="Arial" w:cs="Arial"/>
          <w:spacing w:val="-2"/>
          <w:sz w:val="24"/>
          <w:szCs w:val="24"/>
        </w:rPr>
        <w:t xml:space="preserve">proferida por Juzgado </w:t>
      </w:r>
      <w:r w:rsidR="00DE6100">
        <w:rPr>
          <w:rFonts w:ascii="Arial" w:hAnsi="Arial" w:cs="Arial"/>
          <w:spacing w:val="-2"/>
          <w:sz w:val="24"/>
          <w:szCs w:val="24"/>
        </w:rPr>
        <w:t xml:space="preserve">Primero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w:t>
      </w:r>
      <w:r w:rsidR="00DE6100">
        <w:rPr>
          <w:rFonts w:ascii="Arial" w:hAnsi="Arial" w:cs="Arial"/>
          <w:spacing w:val="-2"/>
          <w:sz w:val="24"/>
          <w:szCs w:val="24"/>
        </w:rPr>
        <w:t xml:space="preserve">diecinueve </w:t>
      </w:r>
      <w:r w:rsidR="00AF4526">
        <w:rPr>
          <w:rFonts w:ascii="Arial" w:hAnsi="Arial" w:cs="Arial"/>
          <w:spacing w:val="-2"/>
          <w:sz w:val="24"/>
          <w:szCs w:val="24"/>
        </w:rPr>
        <w:t>(1</w:t>
      </w:r>
      <w:r w:rsidR="00DE6100">
        <w:rPr>
          <w:rFonts w:ascii="Arial" w:hAnsi="Arial" w:cs="Arial"/>
          <w:spacing w:val="-2"/>
          <w:sz w:val="24"/>
          <w:szCs w:val="24"/>
        </w:rPr>
        <w:t>9</w:t>
      </w:r>
      <w:r w:rsidR="00AF4526">
        <w:rPr>
          <w:rFonts w:ascii="Arial" w:hAnsi="Arial" w:cs="Arial"/>
          <w:spacing w:val="-2"/>
          <w:sz w:val="24"/>
          <w:szCs w:val="24"/>
        </w:rPr>
        <w:t xml:space="preserve">) de </w:t>
      </w:r>
      <w:r w:rsidR="00DE6100">
        <w:rPr>
          <w:rFonts w:ascii="Arial" w:hAnsi="Arial" w:cs="Arial"/>
          <w:spacing w:val="-2"/>
          <w:sz w:val="24"/>
          <w:szCs w:val="24"/>
        </w:rPr>
        <w:t xml:space="preserve">mayo </w:t>
      </w:r>
      <w:r w:rsidR="00AF4526">
        <w:rPr>
          <w:rFonts w:ascii="Arial" w:hAnsi="Arial" w:cs="Arial"/>
          <w:spacing w:val="-2"/>
          <w:sz w:val="24"/>
          <w:szCs w:val="24"/>
        </w:rPr>
        <w:t xml:space="preserve">de dos mil </w:t>
      </w:r>
      <w:r w:rsidR="00733279">
        <w:rPr>
          <w:rFonts w:ascii="Arial" w:hAnsi="Arial" w:cs="Arial"/>
          <w:spacing w:val="-2"/>
          <w:sz w:val="24"/>
          <w:szCs w:val="24"/>
        </w:rPr>
        <w:t xml:space="preserve">dieciséis </w:t>
      </w:r>
      <w:r w:rsidR="00AF4526">
        <w:rPr>
          <w:rFonts w:ascii="Arial" w:hAnsi="Arial" w:cs="Arial"/>
          <w:spacing w:val="-2"/>
          <w:sz w:val="24"/>
          <w:szCs w:val="24"/>
        </w:rPr>
        <w:t>(201</w:t>
      </w:r>
      <w:r w:rsidR="00733279">
        <w:rPr>
          <w:rFonts w:ascii="Arial" w:hAnsi="Arial" w:cs="Arial"/>
          <w:spacing w:val="-2"/>
          <w:sz w:val="24"/>
          <w:szCs w:val="24"/>
        </w:rPr>
        <w:t>6</w:t>
      </w:r>
      <w:r w:rsidR="00AF4526">
        <w:rPr>
          <w:rFonts w:ascii="Arial" w:hAnsi="Arial" w:cs="Arial"/>
          <w:spacing w:val="-2"/>
          <w:sz w:val="24"/>
          <w:szCs w:val="24"/>
        </w:rPr>
        <w:t xml:space="preserve">) dentro del proceso ordinario laboral instaurado por </w:t>
      </w:r>
      <w:r w:rsidR="00DE6100">
        <w:rPr>
          <w:rFonts w:ascii="Arial" w:hAnsi="Arial" w:cs="Arial"/>
          <w:spacing w:val="-2"/>
          <w:sz w:val="24"/>
          <w:szCs w:val="24"/>
        </w:rPr>
        <w:t xml:space="preserve">el </w:t>
      </w:r>
      <w:r w:rsidR="00AF4526">
        <w:rPr>
          <w:rFonts w:ascii="Arial" w:hAnsi="Arial" w:cs="Arial"/>
          <w:spacing w:val="-2"/>
          <w:sz w:val="24"/>
          <w:szCs w:val="24"/>
        </w:rPr>
        <w:t xml:space="preserve">señor </w:t>
      </w:r>
      <w:r w:rsidR="00DE6100">
        <w:rPr>
          <w:rFonts w:ascii="Arial" w:hAnsi="Arial" w:cs="Arial"/>
          <w:b/>
          <w:spacing w:val="-2"/>
          <w:sz w:val="24"/>
          <w:szCs w:val="24"/>
        </w:rPr>
        <w:t xml:space="preserve">Darío Amaya Ortegón </w:t>
      </w:r>
      <w:r w:rsidR="00AF4526">
        <w:rPr>
          <w:rFonts w:ascii="Arial" w:hAnsi="Arial" w:cs="Arial"/>
          <w:spacing w:val="-2"/>
          <w:sz w:val="24"/>
          <w:szCs w:val="24"/>
        </w:rPr>
        <w:t xml:space="preserve">en contra de la </w:t>
      </w:r>
      <w:r w:rsidR="00AF4526" w:rsidRPr="00AF4526">
        <w:rPr>
          <w:rFonts w:ascii="Arial" w:hAnsi="Arial" w:cs="Arial"/>
          <w:b/>
          <w:spacing w:val="-2"/>
          <w:sz w:val="24"/>
          <w:szCs w:val="24"/>
        </w:rPr>
        <w:t>Administradora Colombi</w:t>
      </w:r>
      <w:r w:rsidR="00733279">
        <w:rPr>
          <w:rFonts w:ascii="Arial" w:hAnsi="Arial" w:cs="Arial"/>
          <w:b/>
          <w:spacing w:val="-2"/>
          <w:sz w:val="24"/>
          <w:szCs w:val="24"/>
        </w:rPr>
        <w:t>ana de Pensiones –COLPENSIONES-</w:t>
      </w:r>
      <w:r w:rsidR="00B87243">
        <w:rPr>
          <w:rFonts w:ascii="Arial" w:hAnsi="Arial" w:cs="Arial"/>
          <w:spacing w:val="-2"/>
          <w:sz w:val="24"/>
          <w:szCs w:val="24"/>
        </w:rPr>
        <w:t xml:space="preserve">. </w:t>
      </w:r>
    </w:p>
    <w:p w:rsidR="00B87243" w:rsidRDefault="00B87243" w:rsidP="00717D29">
      <w:pPr>
        <w:spacing w:line="276" w:lineRule="auto"/>
        <w:contextualSpacing/>
        <w:jc w:val="both"/>
        <w:rPr>
          <w:rFonts w:ascii="Arial" w:hAnsi="Arial" w:cs="Arial"/>
          <w:spacing w:val="-2"/>
          <w:sz w:val="24"/>
          <w:szCs w:val="24"/>
        </w:rPr>
      </w:pPr>
    </w:p>
    <w:p w:rsidR="00BC0CD3" w:rsidRPr="00431565" w:rsidRDefault="00977585" w:rsidP="00DE6100">
      <w:pPr>
        <w:spacing w:line="276" w:lineRule="auto"/>
        <w:contextualSpacing/>
        <w:jc w:val="both"/>
        <w:rPr>
          <w:rFonts w:ascii="Arial" w:hAnsi="Arial" w:cs="Arial"/>
          <w:sz w:val="24"/>
          <w:szCs w:val="24"/>
        </w:rPr>
      </w:pPr>
      <w:r w:rsidRPr="00AF4526">
        <w:rPr>
          <w:rFonts w:ascii="Arial" w:hAnsi="Arial" w:cs="Arial"/>
          <w:b/>
          <w:sz w:val="24"/>
          <w:szCs w:val="24"/>
          <w:u w:val="single"/>
        </w:rPr>
        <w:t>SEGUNDO</w:t>
      </w:r>
      <w:r w:rsidR="00B87243">
        <w:rPr>
          <w:rFonts w:ascii="Arial" w:hAnsi="Arial" w:cs="Arial"/>
          <w:b/>
          <w:sz w:val="24"/>
          <w:szCs w:val="24"/>
        </w:rPr>
        <w:t xml:space="preserve">: </w:t>
      </w:r>
      <w:r w:rsidR="00B87243" w:rsidRPr="00B87243">
        <w:rPr>
          <w:rFonts w:ascii="Arial" w:hAnsi="Arial" w:cs="Arial"/>
          <w:sz w:val="24"/>
          <w:szCs w:val="24"/>
        </w:rPr>
        <w:t>Sin c</w:t>
      </w:r>
      <w:r w:rsidR="00431565" w:rsidRPr="00431565">
        <w:rPr>
          <w:rFonts w:ascii="Arial" w:hAnsi="Arial" w:cs="Arial"/>
          <w:sz w:val="24"/>
          <w:szCs w:val="24"/>
        </w:rPr>
        <w:t xml:space="preserve">ostas en esta instancia </w:t>
      </w:r>
      <w:r w:rsidR="00B87243">
        <w:rPr>
          <w:rFonts w:ascii="Arial" w:hAnsi="Arial" w:cs="Arial"/>
          <w:sz w:val="24"/>
          <w:szCs w:val="24"/>
        </w:rPr>
        <w:t>por lo expuesto.</w:t>
      </w:r>
    </w:p>
    <w:p w:rsidR="002E2495" w:rsidRDefault="002E2495" w:rsidP="00717D29">
      <w:pPr>
        <w:spacing w:line="276" w:lineRule="auto"/>
        <w:ind w:firstLine="708"/>
        <w:contextualSpacing/>
        <w:jc w:val="both"/>
        <w:rPr>
          <w:rFonts w:ascii="Arial" w:hAnsi="Arial" w:cs="Arial"/>
          <w:sz w:val="24"/>
          <w:szCs w:val="24"/>
        </w:rPr>
      </w:pPr>
    </w:p>
    <w:p w:rsidR="00977585" w:rsidRDefault="00977585" w:rsidP="00717D29">
      <w:pPr>
        <w:spacing w:line="276" w:lineRule="auto"/>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717D29">
      <w:pPr>
        <w:spacing w:line="276" w:lineRule="auto"/>
        <w:ind w:firstLine="708"/>
        <w:contextualSpacing/>
        <w:jc w:val="both"/>
        <w:rPr>
          <w:rFonts w:ascii="Arial" w:hAnsi="Arial" w:cs="Arial"/>
          <w:sz w:val="24"/>
          <w:szCs w:val="24"/>
        </w:rPr>
      </w:pPr>
    </w:p>
    <w:p w:rsidR="00977585" w:rsidRPr="001A1834" w:rsidRDefault="00977585" w:rsidP="00717D29">
      <w:pPr>
        <w:pStyle w:val="Corpsdetex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Default="00AC596D" w:rsidP="00717D29">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717D29">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E65DDF" w:rsidRDefault="00E65DDF" w:rsidP="00717D29">
      <w:pPr>
        <w:widowControl w:val="0"/>
        <w:autoSpaceDE w:val="0"/>
        <w:autoSpaceDN w:val="0"/>
        <w:adjustRightInd w:val="0"/>
        <w:spacing w:line="276" w:lineRule="auto"/>
        <w:contextualSpacing/>
        <w:jc w:val="center"/>
        <w:rPr>
          <w:rFonts w:ascii="Arial" w:hAnsi="Arial" w:cs="Arial"/>
          <w:b/>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1364E8" w:rsidRDefault="001364E8" w:rsidP="00717D29">
      <w:pPr>
        <w:widowControl w:val="0"/>
        <w:autoSpaceDE w:val="0"/>
        <w:autoSpaceDN w:val="0"/>
        <w:adjustRightInd w:val="0"/>
        <w:spacing w:line="276" w:lineRule="auto"/>
        <w:contextualSpacing/>
        <w:jc w:val="center"/>
        <w:rPr>
          <w:rFonts w:ascii="Arial" w:hAnsi="Arial" w:cs="Arial"/>
          <w:b/>
        </w:rPr>
      </w:pPr>
    </w:p>
    <w:p w:rsidR="00733279" w:rsidRPr="00D578CB" w:rsidRDefault="00733279" w:rsidP="00717D29">
      <w:pPr>
        <w:pStyle w:val="Sansinterligne"/>
        <w:spacing w:line="276" w:lineRule="auto"/>
        <w:contextualSpacing/>
        <w:jc w:val="center"/>
        <w:rPr>
          <w:rFonts w:ascii="Arial" w:hAnsi="Arial" w:cs="Arial"/>
          <w:b/>
          <w:szCs w:val="24"/>
          <w:lang w:val="es-ES"/>
        </w:rPr>
      </w:pPr>
      <w:r>
        <w:rPr>
          <w:rFonts w:ascii="Arial" w:hAnsi="Arial" w:cs="Arial"/>
          <w:b/>
          <w:szCs w:val="24"/>
          <w:lang w:val="es-ES"/>
        </w:rPr>
        <w:t>OLGA LUCÍA HOYOS SEPÚLVEDA</w:t>
      </w:r>
    </w:p>
    <w:p w:rsidR="00733279" w:rsidRDefault="00733279" w:rsidP="00717D29">
      <w:pPr>
        <w:pStyle w:val="Sansinterligne"/>
        <w:spacing w:line="276" w:lineRule="auto"/>
        <w:contextualSpacing/>
        <w:jc w:val="center"/>
        <w:rPr>
          <w:rFonts w:ascii="Arial" w:hAnsi="Arial" w:cs="Arial"/>
          <w:szCs w:val="24"/>
          <w:lang w:val="es-ES"/>
        </w:rPr>
      </w:pPr>
      <w:r w:rsidRPr="00D578CB">
        <w:rPr>
          <w:rFonts w:ascii="Arial" w:hAnsi="Arial" w:cs="Arial"/>
          <w:szCs w:val="24"/>
          <w:lang w:val="es-ES"/>
        </w:rPr>
        <w:t>Magistrad</w:t>
      </w:r>
      <w:r>
        <w:rPr>
          <w:rFonts w:ascii="Arial" w:hAnsi="Arial" w:cs="Arial"/>
          <w:szCs w:val="24"/>
          <w:lang w:val="es-ES"/>
        </w:rPr>
        <w:t>a</w:t>
      </w:r>
      <w:r w:rsidRPr="00D578CB">
        <w:rPr>
          <w:rFonts w:ascii="Arial" w:hAnsi="Arial" w:cs="Arial"/>
          <w:szCs w:val="24"/>
          <w:lang w:val="es-ES"/>
        </w:rPr>
        <w:t xml:space="preserve"> Ponente</w:t>
      </w:r>
    </w:p>
    <w:p w:rsidR="00717D29" w:rsidRDefault="00717D29" w:rsidP="00717D29">
      <w:pPr>
        <w:pStyle w:val="Sansinterligne"/>
        <w:spacing w:line="276" w:lineRule="auto"/>
        <w:contextualSpacing/>
        <w:jc w:val="center"/>
        <w:rPr>
          <w:rFonts w:ascii="Arial" w:hAnsi="Arial" w:cs="Arial"/>
          <w:b/>
          <w:bCs/>
          <w:iCs/>
          <w:sz w:val="23"/>
          <w:szCs w:val="23"/>
        </w:rPr>
      </w:pPr>
    </w:p>
    <w:p w:rsidR="001364E8" w:rsidRDefault="001364E8" w:rsidP="00717D29">
      <w:pPr>
        <w:pStyle w:val="Sansinterligne"/>
        <w:spacing w:line="276" w:lineRule="auto"/>
        <w:contextualSpacing/>
        <w:jc w:val="center"/>
        <w:rPr>
          <w:rFonts w:ascii="Arial" w:hAnsi="Arial" w:cs="Arial"/>
          <w:b/>
          <w:bCs/>
          <w:iCs/>
          <w:sz w:val="23"/>
          <w:szCs w:val="23"/>
        </w:rPr>
      </w:pPr>
    </w:p>
    <w:p w:rsidR="001364E8" w:rsidRDefault="001364E8" w:rsidP="00717D29">
      <w:pPr>
        <w:pStyle w:val="Sansinterligne"/>
        <w:spacing w:line="276" w:lineRule="auto"/>
        <w:contextualSpacing/>
        <w:jc w:val="center"/>
        <w:rPr>
          <w:rFonts w:ascii="Arial" w:hAnsi="Arial" w:cs="Arial"/>
          <w:b/>
          <w:bCs/>
          <w:iCs/>
          <w:sz w:val="23"/>
          <w:szCs w:val="23"/>
        </w:rPr>
      </w:pPr>
    </w:p>
    <w:p w:rsidR="001364E8" w:rsidRPr="0045273B" w:rsidRDefault="001364E8" w:rsidP="00717D29">
      <w:pPr>
        <w:pStyle w:val="Sansinterligne"/>
        <w:spacing w:line="276" w:lineRule="auto"/>
        <w:contextualSpacing/>
        <w:jc w:val="center"/>
        <w:rPr>
          <w:rFonts w:ascii="Arial" w:hAnsi="Arial" w:cs="Arial"/>
          <w:b/>
          <w:bCs/>
          <w:iCs/>
          <w:sz w:val="23"/>
          <w:szCs w:val="23"/>
        </w:rPr>
      </w:pPr>
    </w:p>
    <w:p w:rsidR="00733279" w:rsidRPr="0045273B" w:rsidRDefault="00733279" w:rsidP="00717D29">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45273B">
        <w:rPr>
          <w:rFonts w:ascii="Arial" w:hAnsi="Arial" w:cs="Arial"/>
          <w:b/>
          <w:bCs/>
          <w:iCs/>
          <w:sz w:val="23"/>
          <w:szCs w:val="23"/>
        </w:rPr>
        <w:t xml:space="preserve">ANA LUCÍA CAICEDO CALDERÓN                         </w:t>
      </w:r>
    </w:p>
    <w:p w:rsidR="009257DF" w:rsidRDefault="00733279" w:rsidP="00717D29">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Magistrada</w:t>
      </w: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1364E8" w:rsidRDefault="001364E8" w:rsidP="00717D29">
      <w:pPr>
        <w:spacing w:line="276" w:lineRule="auto"/>
        <w:contextualSpacing/>
        <w:jc w:val="both"/>
        <w:rPr>
          <w:rFonts w:ascii="Arial" w:hAnsi="Arial" w:cs="Arial"/>
          <w:sz w:val="23"/>
          <w:szCs w:val="23"/>
        </w:rPr>
      </w:pPr>
    </w:p>
    <w:p w:rsidR="00FB655A" w:rsidRPr="00DE6100" w:rsidRDefault="00FB655A" w:rsidP="00FB655A">
      <w:pPr>
        <w:spacing w:line="276" w:lineRule="auto"/>
        <w:contextualSpacing/>
        <w:jc w:val="center"/>
        <w:rPr>
          <w:rFonts w:ascii="Arial" w:hAnsi="Arial" w:cs="Arial"/>
          <w:i/>
          <w:sz w:val="24"/>
          <w:szCs w:val="24"/>
        </w:rPr>
      </w:pPr>
      <w:r w:rsidRPr="00DE6100">
        <w:rPr>
          <w:rFonts w:ascii="Arial" w:hAnsi="Arial" w:cs="Arial"/>
          <w:i/>
          <w:sz w:val="24"/>
          <w:szCs w:val="24"/>
        </w:rPr>
        <w:lastRenderedPageBreak/>
        <w:t>ANEXO 1</w:t>
      </w:r>
      <w:r w:rsidR="00737BD1">
        <w:rPr>
          <w:rFonts w:ascii="Arial" w:hAnsi="Arial" w:cs="Arial"/>
          <w:i/>
          <w:sz w:val="24"/>
          <w:szCs w:val="24"/>
        </w:rPr>
        <w:t xml:space="preserve"> -  </w:t>
      </w:r>
      <w:r w:rsidRPr="00DE6100">
        <w:rPr>
          <w:rFonts w:ascii="Arial" w:hAnsi="Arial" w:cs="Arial"/>
          <w:i/>
          <w:sz w:val="24"/>
          <w:szCs w:val="24"/>
        </w:rPr>
        <w:t xml:space="preserve">LIQUIDACIÓN </w:t>
      </w:r>
      <w:proofErr w:type="spellStart"/>
      <w:r w:rsidRPr="00DE6100">
        <w:rPr>
          <w:rFonts w:ascii="Arial" w:hAnsi="Arial" w:cs="Arial"/>
          <w:i/>
          <w:sz w:val="24"/>
          <w:szCs w:val="24"/>
        </w:rPr>
        <w:t>IBL</w:t>
      </w:r>
      <w:proofErr w:type="spellEnd"/>
      <w:r w:rsidRPr="00DE6100">
        <w:rPr>
          <w:rFonts w:ascii="Arial" w:hAnsi="Arial" w:cs="Arial"/>
          <w:i/>
          <w:sz w:val="24"/>
          <w:szCs w:val="24"/>
        </w:rPr>
        <w:t xml:space="preserve"> – ÚLTIMOS 10 AÑOS </w:t>
      </w:r>
    </w:p>
    <w:p w:rsidR="00FB655A" w:rsidRDefault="00737BD1" w:rsidP="00FB655A">
      <w:pPr>
        <w:spacing w:line="276" w:lineRule="auto"/>
        <w:contextualSpacing/>
        <w:jc w:val="center"/>
        <w:rPr>
          <w:rFonts w:ascii="Arial" w:hAnsi="Arial" w:cs="Arial"/>
          <w:sz w:val="23"/>
          <w:szCs w:val="23"/>
        </w:rPr>
      </w:pPr>
      <w:r w:rsidRPr="00737BD1">
        <w:rPr>
          <w:noProof/>
          <w:lang w:val="fr-FR" w:eastAsia="fr-FR"/>
        </w:rPr>
        <w:drawing>
          <wp:inline distT="0" distB="0" distL="0" distR="0">
            <wp:extent cx="5612130" cy="9449837"/>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9449837"/>
                    </a:xfrm>
                    <a:prstGeom prst="rect">
                      <a:avLst/>
                    </a:prstGeom>
                    <a:noFill/>
                    <a:ln>
                      <a:noFill/>
                    </a:ln>
                  </pic:spPr>
                </pic:pic>
              </a:graphicData>
            </a:graphic>
          </wp:inline>
        </w:drawing>
      </w:r>
    </w:p>
    <w:p w:rsidR="00FB655A" w:rsidRPr="002304A3" w:rsidRDefault="002304A3" w:rsidP="00FB655A">
      <w:pPr>
        <w:spacing w:line="276" w:lineRule="auto"/>
        <w:contextualSpacing/>
        <w:jc w:val="center"/>
        <w:rPr>
          <w:rFonts w:ascii="Arial" w:hAnsi="Arial" w:cs="Arial"/>
          <w:i/>
          <w:lang w:val="es-CO"/>
        </w:rPr>
      </w:pPr>
      <w:r w:rsidRPr="002304A3">
        <w:rPr>
          <w:rFonts w:ascii="Arial" w:hAnsi="Arial" w:cs="Arial"/>
          <w:i/>
          <w:lang w:val="es-CO"/>
        </w:rPr>
        <w:lastRenderedPageBreak/>
        <w:t xml:space="preserve">ACTUALIZACIÓN MESADA A 2002 </w:t>
      </w:r>
    </w:p>
    <w:p w:rsidR="00FB655A" w:rsidRDefault="00FB655A" w:rsidP="00FB655A">
      <w:pPr>
        <w:spacing w:line="276" w:lineRule="auto"/>
        <w:contextualSpacing/>
        <w:jc w:val="center"/>
        <w:rPr>
          <w:rFonts w:ascii="Arial" w:hAnsi="Arial" w:cs="Arial"/>
          <w:lang w:val="es-CO"/>
        </w:rPr>
      </w:pPr>
    </w:p>
    <w:tbl>
      <w:tblPr>
        <w:tblW w:w="6760" w:type="dxa"/>
        <w:jc w:val="center"/>
        <w:tblCellMar>
          <w:left w:w="70" w:type="dxa"/>
          <w:right w:w="70" w:type="dxa"/>
        </w:tblCellMar>
        <w:tblLook w:val="04A0" w:firstRow="1" w:lastRow="0" w:firstColumn="1" w:lastColumn="0" w:noHBand="0" w:noVBand="1"/>
      </w:tblPr>
      <w:tblGrid>
        <w:gridCol w:w="1100"/>
        <w:gridCol w:w="1000"/>
        <w:gridCol w:w="940"/>
        <w:gridCol w:w="1200"/>
        <w:gridCol w:w="1300"/>
        <w:gridCol w:w="1220"/>
      </w:tblGrid>
      <w:tr w:rsidR="002304A3" w:rsidRPr="002304A3" w:rsidTr="002304A3">
        <w:trPr>
          <w:trHeight w:val="465"/>
          <w:jc w:val="center"/>
        </w:trPr>
        <w:tc>
          <w:tcPr>
            <w:tcW w:w="11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rsidR="002304A3" w:rsidRPr="002304A3" w:rsidRDefault="002304A3" w:rsidP="002304A3">
            <w:pPr>
              <w:spacing w:after="0" w:line="240" w:lineRule="auto"/>
              <w:jc w:val="center"/>
              <w:rPr>
                <w:rFonts w:ascii="Calibri" w:eastAsia="Times New Roman" w:hAnsi="Calibri" w:cs="Times New Roman"/>
                <w:b/>
                <w:bCs/>
                <w:color w:val="000000"/>
                <w:sz w:val="16"/>
                <w:szCs w:val="16"/>
                <w:lang w:eastAsia="es-ES"/>
              </w:rPr>
            </w:pPr>
            <w:r w:rsidRPr="002304A3">
              <w:rPr>
                <w:rFonts w:ascii="Calibri" w:eastAsia="Times New Roman" w:hAnsi="Calibri" w:cs="Times New Roman"/>
                <w:b/>
                <w:bCs/>
                <w:color w:val="000000"/>
                <w:sz w:val="16"/>
                <w:szCs w:val="16"/>
                <w:lang w:eastAsia="es-ES"/>
              </w:rPr>
              <w:t>IPC</w:t>
            </w:r>
            <w:r w:rsidRPr="002304A3">
              <w:rPr>
                <w:rFonts w:ascii="Calibri" w:eastAsia="Times New Roman" w:hAnsi="Calibri" w:cs="Times New Roman"/>
                <w:b/>
                <w:bCs/>
                <w:sz w:val="16"/>
                <w:szCs w:val="16"/>
                <w:lang w:eastAsia="es-ES"/>
              </w:rPr>
              <w:t xml:space="preserve">   (Var. Año anterior)</w:t>
            </w:r>
          </w:p>
        </w:tc>
        <w:tc>
          <w:tcPr>
            <w:tcW w:w="1000" w:type="dxa"/>
            <w:tcBorders>
              <w:top w:val="single" w:sz="8" w:space="0" w:color="auto"/>
              <w:left w:val="nil"/>
              <w:bottom w:val="single" w:sz="8" w:space="0" w:color="auto"/>
              <w:right w:val="single" w:sz="4" w:space="0" w:color="808000"/>
            </w:tcBorders>
            <w:shd w:val="clear" w:color="000000" w:fill="FFFF99"/>
            <w:vAlign w:val="center"/>
            <w:hideMark/>
          </w:tcPr>
          <w:p w:rsidR="002304A3" w:rsidRPr="002304A3" w:rsidRDefault="002304A3" w:rsidP="002304A3">
            <w:pPr>
              <w:spacing w:after="0" w:line="240" w:lineRule="auto"/>
              <w:jc w:val="center"/>
              <w:rPr>
                <w:rFonts w:ascii="Calibri" w:eastAsia="Times New Roman" w:hAnsi="Calibri" w:cs="Times New Roman"/>
                <w:b/>
                <w:bCs/>
                <w:color w:val="000000"/>
                <w:sz w:val="16"/>
                <w:szCs w:val="16"/>
                <w:lang w:eastAsia="es-ES"/>
              </w:rPr>
            </w:pPr>
            <w:r w:rsidRPr="002304A3">
              <w:rPr>
                <w:rFonts w:ascii="Calibri" w:eastAsia="Times New Roman" w:hAnsi="Calibri" w:cs="Times New Roman"/>
                <w:b/>
                <w:bCs/>
                <w:color w:val="000000"/>
                <w:sz w:val="16"/>
                <w:szCs w:val="16"/>
                <w:lang w:eastAsia="es-ES"/>
              </w:rPr>
              <w:t>Desde</w:t>
            </w:r>
          </w:p>
        </w:tc>
        <w:tc>
          <w:tcPr>
            <w:tcW w:w="940" w:type="dxa"/>
            <w:tcBorders>
              <w:top w:val="single" w:sz="8" w:space="0" w:color="auto"/>
              <w:left w:val="nil"/>
              <w:bottom w:val="single" w:sz="8" w:space="0" w:color="auto"/>
              <w:right w:val="single" w:sz="4" w:space="0" w:color="808000"/>
            </w:tcBorders>
            <w:shd w:val="clear" w:color="000000" w:fill="FFFF99"/>
            <w:vAlign w:val="center"/>
            <w:hideMark/>
          </w:tcPr>
          <w:p w:rsidR="002304A3" w:rsidRPr="002304A3" w:rsidRDefault="002304A3" w:rsidP="002304A3">
            <w:pPr>
              <w:spacing w:after="0" w:line="240" w:lineRule="auto"/>
              <w:jc w:val="center"/>
              <w:rPr>
                <w:rFonts w:ascii="Calibri" w:eastAsia="Times New Roman" w:hAnsi="Calibri" w:cs="Times New Roman"/>
                <w:b/>
                <w:bCs/>
                <w:color w:val="000000"/>
                <w:sz w:val="16"/>
                <w:szCs w:val="16"/>
                <w:lang w:eastAsia="es-ES"/>
              </w:rPr>
            </w:pPr>
            <w:r w:rsidRPr="002304A3">
              <w:rPr>
                <w:rFonts w:ascii="Calibri" w:eastAsia="Times New Roman" w:hAnsi="Calibri" w:cs="Times New Roman"/>
                <w:b/>
                <w:bCs/>
                <w:color w:val="000000"/>
                <w:sz w:val="16"/>
                <w:szCs w:val="16"/>
                <w:lang w:eastAsia="es-ES"/>
              </w:rPr>
              <w:t>Hasta</w:t>
            </w:r>
          </w:p>
        </w:tc>
        <w:tc>
          <w:tcPr>
            <w:tcW w:w="1200" w:type="dxa"/>
            <w:tcBorders>
              <w:top w:val="single" w:sz="8" w:space="0" w:color="auto"/>
              <w:left w:val="nil"/>
              <w:bottom w:val="single" w:sz="8" w:space="0" w:color="auto"/>
              <w:right w:val="single" w:sz="4" w:space="0" w:color="808000"/>
            </w:tcBorders>
            <w:shd w:val="clear" w:color="000000" w:fill="FFFF99"/>
            <w:vAlign w:val="center"/>
            <w:hideMark/>
          </w:tcPr>
          <w:p w:rsidR="002304A3" w:rsidRPr="002304A3" w:rsidRDefault="002304A3" w:rsidP="002304A3">
            <w:pPr>
              <w:spacing w:after="0" w:line="240" w:lineRule="auto"/>
              <w:jc w:val="center"/>
              <w:rPr>
                <w:rFonts w:ascii="Calibri" w:eastAsia="Times New Roman" w:hAnsi="Calibri" w:cs="Times New Roman"/>
                <w:b/>
                <w:bCs/>
                <w:color w:val="000000"/>
                <w:sz w:val="16"/>
                <w:szCs w:val="16"/>
                <w:lang w:eastAsia="es-ES"/>
              </w:rPr>
            </w:pPr>
            <w:r w:rsidRPr="002304A3">
              <w:rPr>
                <w:rFonts w:ascii="Calibri" w:eastAsia="Times New Roman" w:hAnsi="Calibri" w:cs="Times New Roman"/>
                <w:b/>
                <w:bCs/>
                <w:color w:val="000000"/>
                <w:sz w:val="16"/>
                <w:szCs w:val="16"/>
                <w:lang w:eastAsia="es-ES"/>
              </w:rPr>
              <w:t>Causadas</w:t>
            </w:r>
          </w:p>
        </w:tc>
        <w:tc>
          <w:tcPr>
            <w:tcW w:w="1300" w:type="dxa"/>
            <w:tcBorders>
              <w:top w:val="single" w:sz="8" w:space="0" w:color="auto"/>
              <w:left w:val="nil"/>
              <w:bottom w:val="single" w:sz="8" w:space="0" w:color="auto"/>
              <w:right w:val="single" w:sz="4" w:space="0" w:color="808000"/>
            </w:tcBorders>
            <w:shd w:val="clear" w:color="000000" w:fill="FFFF99"/>
            <w:vAlign w:val="center"/>
            <w:hideMark/>
          </w:tcPr>
          <w:p w:rsidR="002304A3" w:rsidRPr="002304A3" w:rsidRDefault="002304A3" w:rsidP="002304A3">
            <w:pPr>
              <w:spacing w:after="0" w:line="240" w:lineRule="auto"/>
              <w:jc w:val="center"/>
              <w:rPr>
                <w:rFonts w:ascii="Calibri" w:eastAsia="Times New Roman" w:hAnsi="Calibri" w:cs="Times New Roman"/>
                <w:b/>
                <w:bCs/>
                <w:color w:val="000000"/>
                <w:sz w:val="16"/>
                <w:szCs w:val="16"/>
                <w:lang w:eastAsia="es-ES"/>
              </w:rPr>
            </w:pPr>
            <w:r w:rsidRPr="002304A3">
              <w:rPr>
                <w:rFonts w:ascii="Calibri" w:eastAsia="Times New Roman" w:hAnsi="Calibri" w:cs="Times New Roman"/>
                <w:b/>
                <w:bCs/>
                <w:color w:val="000000"/>
                <w:sz w:val="16"/>
                <w:szCs w:val="16"/>
                <w:lang w:eastAsia="es-ES"/>
              </w:rPr>
              <w:t>Valor mesada</w:t>
            </w:r>
          </w:p>
        </w:tc>
        <w:tc>
          <w:tcPr>
            <w:tcW w:w="1220" w:type="dxa"/>
            <w:tcBorders>
              <w:top w:val="single" w:sz="8" w:space="0" w:color="auto"/>
              <w:left w:val="nil"/>
              <w:bottom w:val="single" w:sz="8" w:space="0" w:color="auto"/>
              <w:right w:val="single" w:sz="4" w:space="0" w:color="808000"/>
            </w:tcBorders>
            <w:shd w:val="clear" w:color="000000" w:fill="FFFF99"/>
            <w:vAlign w:val="center"/>
            <w:hideMark/>
          </w:tcPr>
          <w:p w:rsidR="002304A3" w:rsidRPr="002304A3" w:rsidRDefault="002304A3" w:rsidP="002304A3">
            <w:pPr>
              <w:spacing w:after="0" w:line="240" w:lineRule="auto"/>
              <w:jc w:val="center"/>
              <w:rPr>
                <w:rFonts w:ascii="Calibri" w:eastAsia="Times New Roman" w:hAnsi="Calibri" w:cs="Times New Roman"/>
                <w:b/>
                <w:bCs/>
                <w:color w:val="000000"/>
                <w:sz w:val="16"/>
                <w:szCs w:val="16"/>
                <w:lang w:eastAsia="es-ES"/>
              </w:rPr>
            </w:pPr>
            <w:r w:rsidRPr="002304A3">
              <w:rPr>
                <w:rFonts w:ascii="Calibri" w:eastAsia="Times New Roman" w:hAnsi="Calibri" w:cs="Times New Roman"/>
                <w:b/>
                <w:bCs/>
                <w:color w:val="000000"/>
                <w:sz w:val="16"/>
                <w:szCs w:val="16"/>
                <w:lang w:eastAsia="es-ES"/>
              </w:rPr>
              <w:t>Mesada anterior</w:t>
            </w:r>
          </w:p>
        </w:tc>
      </w:tr>
      <w:tr w:rsidR="002304A3" w:rsidRPr="002304A3" w:rsidTr="002304A3">
        <w:trPr>
          <w:trHeight w:val="315"/>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17,68</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13-abr-97</w:t>
            </w:r>
          </w:p>
        </w:tc>
        <w:tc>
          <w:tcPr>
            <w:tcW w:w="940" w:type="dxa"/>
            <w:tcBorders>
              <w:top w:val="nil"/>
              <w:left w:val="nil"/>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31-dic-97</w:t>
            </w:r>
          </w:p>
        </w:tc>
        <w:tc>
          <w:tcPr>
            <w:tcW w:w="1200" w:type="dxa"/>
            <w:tcBorders>
              <w:top w:val="nil"/>
              <w:left w:val="nil"/>
              <w:bottom w:val="nil"/>
              <w:right w:val="nil"/>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8,57</w:t>
            </w:r>
          </w:p>
        </w:tc>
        <w:tc>
          <w:tcPr>
            <w:tcW w:w="130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118.928 </w:t>
            </w:r>
          </w:p>
        </w:tc>
        <w:tc>
          <w:tcPr>
            <w:tcW w:w="1220" w:type="dxa"/>
            <w:tcBorders>
              <w:top w:val="nil"/>
              <w:left w:val="nil"/>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w:t>
            </w:r>
          </w:p>
        </w:tc>
      </w:tr>
      <w:tr w:rsidR="002304A3" w:rsidRPr="002304A3" w:rsidTr="002304A3">
        <w:trPr>
          <w:trHeight w:val="315"/>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16,70</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01-ene-98</w:t>
            </w:r>
          </w:p>
        </w:tc>
        <w:tc>
          <w:tcPr>
            <w:tcW w:w="940" w:type="dxa"/>
            <w:tcBorders>
              <w:top w:val="nil"/>
              <w:left w:val="nil"/>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31-dic-98</w:t>
            </w:r>
          </w:p>
        </w:tc>
        <w:tc>
          <w:tcPr>
            <w:tcW w:w="1200" w:type="dxa"/>
            <w:tcBorders>
              <w:top w:val="nil"/>
              <w:left w:val="nil"/>
              <w:bottom w:val="nil"/>
              <w:right w:val="nil"/>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14,00</w:t>
            </w:r>
          </w:p>
        </w:tc>
        <w:tc>
          <w:tcPr>
            <w:tcW w:w="1300" w:type="dxa"/>
            <w:tcBorders>
              <w:top w:val="nil"/>
              <w:left w:val="single" w:sz="4" w:space="0" w:color="003366"/>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139.955 </w:t>
            </w:r>
          </w:p>
        </w:tc>
        <w:tc>
          <w:tcPr>
            <w:tcW w:w="1220" w:type="dxa"/>
            <w:tcBorders>
              <w:top w:val="nil"/>
              <w:left w:val="nil"/>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w:t>
            </w:r>
          </w:p>
        </w:tc>
      </w:tr>
      <w:tr w:rsidR="002304A3" w:rsidRPr="002304A3" w:rsidTr="002304A3">
        <w:trPr>
          <w:trHeight w:val="315"/>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9,23</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01-ene-99</w:t>
            </w:r>
          </w:p>
        </w:tc>
        <w:tc>
          <w:tcPr>
            <w:tcW w:w="940" w:type="dxa"/>
            <w:tcBorders>
              <w:top w:val="nil"/>
              <w:left w:val="nil"/>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31-dic-99</w:t>
            </w:r>
          </w:p>
        </w:tc>
        <w:tc>
          <w:tcPr>
            <w:tcW w:w="1200" w:type="dxa"/>
            <w:tcBorders>
              <w:top w:val="nil"/>
              <w:left w:val="nil"/>
              <w:bottom w:val="nil"/>
              <w:right w:val="nil"/>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14,00</w:t>
            </w:r>
          </w:p>
        </w:tc>
        <w:tc>
          <w:tcPr>
            <w:tcW w:w="1300" w:type="dxa"/>
            <w:tcBorders>
              <w:top w:val="nil"/>
              <w:left w:val="single" w:sz="4" w:space="0" w:color="003366"/>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163.327 </w:t>
            </w:r>
          </w:p>
        </w:tc>
        <w:tc>
          <w:tcPr>
            <w:tcW w:w="1220" w:type="dxa"/>
            <w:tcBorders>
              <w:top w:val="nil"/>
              <w:left w:val="nil"/>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w:t>
            </w:r>
          </w:p>
        </w:tc>
      </w:tr>
      <w:tr w:rsidR="002304A3" w:rsidRPr="002304A3" w:rsidTr="002304A3">
        <w:trPr>
          <w:trHeight w:val="315"/>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8,75</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01-ene-00</w:t>
            </w:r>
          </w:p>
        </w:tc>
        <w:tc>
          <w:tcPr>
            <w:tcW w:w="940" w:type="dxa"/>
            <w:tcBorders>
              <w:top w:val="nil"/>
              <w:left w:val="nil"/>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31-dic-00</w:t>
            </w:r>
          </w:p>
        </w:tc>
        <w:tc>
          <w:tcPr>
            <w:tcW w:w="1200" w:type="dxa"/>
            <w:tcBorders>
              <w:top w:val="nil"/>
              <w:left w:val="nil"/>
              <w:bottom w:val="nil"/>
              <w:right w:val="nil"/>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14,00</w:t>
            </w:r>
          </w:p>
        </w:tc>
        <w:tc>
          <w:tcPr>
            <w:tcW w:w="1300" w:type="dxa"/>
            <w:tcBorders>
              <w:top w:val="nil"/>
              <w:left w:val="single" w:sz="4" w:space="0" w:color="003366"/>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178.403 </w:t>
            </w:r>
          </w:p>
        </w:tc>
        <w:tc>
          <w:tcPr>
            <w:tcW w:w="1220" w:type="dxa"/>
            <w:tcBorders>
              <w:top w:val="nil"/>
              <w:left w:val="nil"/>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w:t>
            </w:r>
          </w:p>
        </w:tc>
      </w:tr>
      <w:tr w:rsidR="002304A3" w:rsidRPr="002304A3" w:rsidTr="002304A3">
        <w:trPr>
          <w:trHeight w:val="315"/>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7,65</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01-ene-01</w:t>
            </w:r>
          </w:p>
        </w:tc>
        <w:tc>
          <w:tcPr>
            <w:tcW w:w="940" w:type="dxa"/>
            <w:tcBorders>
              <w:top w:val="nil"/>
              <w:left w:val="nil"/>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31-dic-01</w:t>
            </w:r>
          </w:p>
        </w:tc>
        <w:tc>
          <w:tcPr>
            <w:tcW w:w="1200" w:type="dxa"/>
            <w:tcBorders>
              <w:top w:val="nil"/>
              <w:left w:val="nil"/>
              <w:bottom w:val="nil"/>
              <w:right w:val="nil"/>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14,00</w:t>
            </w:r>
          </w:p>
        </w:tc>
        <w:tc>
          <w:tcPr>
            <w:tcW w:w="1300" w:type="dxa"/>
            <w:tcBorders>
              <w:top w:val="nil"/>
              <w:left w:val="single" w:sz="4" w:space="0" w:color="003366"/>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194.013 </w:t>
            </w:r>
          </w:p>
        </w:tc>
        <w:tc>
          <w:tcPr>
            <w:tcW w:w="1220" w:type="dxa"/>
            <w:tcBorders>
              <w:top w:val="nil"/>
              <w:left w:val="nil"/>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w:t>
            </w:r>
          </w:p>
        </w:tc>
      </w:tr>
      <w:tr w:rsidR="002304A3" w:rsidRPr="002304A3" w:rsidTr="002304A3">
        <w:trPr>
          <w:trHeight w:val="315"/>
          <w:jc w:val="center"/>
        </w:trPr>
        <w:tc>
          <w:tcPr>
            <w:tcW w:w="1100" w:type="dxa"/>
            <w:tcBorders>
              <w:top w:val="nil"/>
              <w:left w:val="single" w:sz="8" w:space="0" w:color="auto"/>
              <w:bottom w:val="single" w:sz="4" w:space="0" w:color="003366"/>
              <w:right w:val="single" w:sz="4" w:space="0" w:color="003366"/>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6,99</w:t>
            </w:r>
          </w:p>
        </w:tc>
        <w:tc>
          <w:tcPr>
            <w:tcW w:w="1000" w:type="dxa"/>
            <w:tcBorders>
              <w:top w:val="nil"/>
              <w:left w:val="single" w:sz="4" w:space="0" w:color="808000"/>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01-ene-02</w:t>
            </w:r>
          </w:p>
        </w:tc>
        <w:tc>
          <w:tcPr>
            <w:tcW w:w="940" w:type="dxa"/>
            <w:tcBorders>
              <w:top w:val="nil"/>
              <w:left w:val="nil"/>
              <w:bottom w:val="single" w:sz="4" w:space="0" w:color="808000"/>
              <w:right w:val="single" w:sz="4" w:space="0" w:color="808000"/>
            </w:tcBorders>
            <w:shd w:val="clear" w:color="auto" w:fill="auto"/>
            <w:noWrap/>
            <w:vAlign w:val="center"/>
            <w:hideMark/>
          </w:tcPr>
          <w:p w:rsidR="002304A3" w:rsidRPr="002304A3" w:rsidRDefault="002304A3" w:rsidP="002304A3">
            <w:pPr>
              <w:spacing w:after="0" w:line="240" w:lineRule="auto"/>
              <w:jc w:val="right"/>
              <w:rPr>
                <w:rFonts w:ascii="Calibri" w:eastAsia="Times New Roman" w:hAnsi="Calibri" w:cs="Times New Roman"/>
                <w:color w:val="000000"/>
                <w:sz w:val="20"/>
                <w:szCs w:val="20"/>
                <w:lang w:eastAsia="es-ES"/>
              </w:rPr>
            </w:pPr>
            <w:r w:rsidRPr="002304A3">
              <w:rPr>
                <w:rFonts w:ascii="Calibri" w:eastAsia="Times New Roman" w:hAnsi="Calibri" w:cs="Times New Roman"/>
                <w:color w:val="000000"/>
                <w:sz w:val="20"/>
                <w:szCs w:val="20"/>
                <w:lang w:eastAsia="es-ES"/>
              </w:rPr>
              <w:t>31-dic-02</w:t>
            </w:r>
          </w:p>
        </w:tc>
        <w:tc>
          <w:tcPr>
            <w:tcW w:w="1200" w:type="dxa"/>
            <w:tcBorders>
              <w:top w:val="nil"/>
              <w:left w:val="nil"/>
              <w:bottom w:val="nil"/>
              <w:right w:val="nil"/>
            </w:tcBorders>
            <w:shd w:val="clear" w:color="000000" w:fill="FFFFCC"/>
            <w:noWrap/>
            <w:vAlign w:val="bottom"/>
            <w:hideMark/>
          </w:tcPr>
          <w:p w:rsidR="002304A3" w:rsidRPr="002304A3" w:rsidRDefault="002304A3" w:rsidP="002304A3">
            <w:pPr>
              <w:spacing w:after="0" w:line="240" w:lineRule="auto"/>
              <w:jc w:val="center"/>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14,00</w:t>
            </w:r>
          </w:p>
        </w:tc>
        <w:tc>
          <w:tcPr>
            <w:tcW w:w="1300" w:type="dxa"/>
            <w:tcBorders>
              <w:top w:val="nil"/>
              <w:left w:val="single" w:sz="4" w:space="0" w:color="003366"/>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208.855 </w:t>
            </w:r>
          </w:p>
        </w:tc>
        <w:tc>
          <w:tcPr>
            <w:tcW w:w="1220" w:type="dxa"/>
            <w:tcBorders>
              <w:top w:val="nil"/>
              <w:left w:val="nil"/>
              <w:bottom w:val="single" w:sz="4" w:space="0" w:color="003366"/>
              <w:right w:val="single" w:sz="4" w:space="0" w:color="003366"/>
            </w:tcBorders>
            <w:shd w:val="clear" w:color="000000" w:fill="FFFFCC"/>
            <w:vAlign w:val="bottom"/>
            <w:hideMark/>
          </w:tcPr>
          <w:p w:rsidR="002304A3" w:rsidRPr="002304A3" w:rsidRDefault="002304A3" w:rsidP="002304A3">
            <w:pPr>
              <w:spacing w:after="0" w:line="240" w:lineRule="auto"/>
              <w:rPr>
                <w:rFonts w:ascii="Calibri" w:eastAsia="Times New Roman" w:hAnsi="Calibri" w:cs="Times New Roman"/>
                <w:sz w:val="20"/>
                <w:szCs w:val="20"/>
                <w:lang w:eastAsia="es-ES"/>
              </w:rPr>
            </w:pPr>
            <w:r w:rsidRPr="002304A3">
              <w:rPr>
                <w:rFonts w:ascii="Calibri" w:eastAsia="Times New Roman" w:hAnsi="Calibri" w:cs="Times New Roman"/>
                <w:sz w:val="20"/>
                <w:szCs w:val="20"/>
                <w:lang w:eastAsia="es-ES"/>
              </w:rPr>
              <w:t xml:space="preserve"> $      309.000 </w:t>
            </w:r>
          </w:p>
        </w:tc>
      </w:tr>
    </w:tbl>
    <w:p w:rsidR="00AD1679" w:rsidRDefault="00AD1679" w:rsidP="00FB655A">
      <w:pPr>
        <w:spacing w:line="276" w:lineRule="auto"/>
        <w:contextualSpacing/>
        <w:jc w:val="center"/>
        <w:rPr>
          <w:rFonts w:ascii="Arial" w:hAnsi="Arial" w:cs="Arial"/>
          <w:i/>
          <w:sz w:val="24"/>
          <w:szCs w:val="24"/>
          <w:lang w:val="es-CO"/>
        </w:rPr>
      </w:pPr>
    </w:p>
    <w:p w:rsidR="00AD1679" w:rsidRDefault="00AD1679" w:rsidP="00FB655A">
      <w:pPr>
        <w:spacing w:line="276" w:lineRule="auto"/>
        <w:contextualSpacing/>
        <w:jc w:val="center"/>
        <w:rPr>
          <w:rFonts w:ascii="Arial" w:hAnsi="Arial" w:cs="Arial"/>
          <w:i/>
          <w:sz w:val="24"/>
          <w:szCs w:val="24"/>
          <w:lang w:val="es-CO"/>
        </w:rPr>
      </w:pPr>
    </w:p>
    <w:p w:rsidR="00FB655A" w:rsidRDefault="00FB655A" w:rsidP="00FB655A">
      <w:pPr>
        <w:spacing w:line="276" w:lineRule="auto"/>
        <w:contextualSpacing/>
        <w:jc w:val="center"/>
        <w:rPr>
          <w:rFonts w:ascii="Arial" w:hAnsi="Arial" w:cs="Arial"/>
          <w:i/>
          <w:sz w:val="24"/>
          <w:szCs w:val="24"/>
          <w:lang w:val="es-CO"/>
        </w:rPr>
      </w:pPr>
    </w:p>
    <w:p w:rsidR="002304A3" w:rsidRDefault="002304A3" w:rsidP="00FB655A">
      <w:pPr>
        <w:spacing w:line="276" w:lineRule="auto"/>
        <w:contextualSpacing/>
        <w:jc w:val="center"/>
        <w:rPr>
          <w:rFonts w:ascii="Arial" w:hAnsi="Arial" w:cs="Arial"/>
          <w:i/>
          <w:sz w:val="24"/>
          <w:szCs w:val="24"/>
          <w:lang w:val="es-CO"/>
        </w:rPr>
      </w:pPr>
    </w:p>
    <w:p w:rsidR="002304A3" w:rsidRDefault="002304A3" w:rsidP="00FB655A">
      <w:pPr>
        <w:spacing w:line="276" w:lineRule="auto"/>
        <w:contextualSpacing/>
        <w:jc w:val="center"/>
        <w:rPr>
          <w:rFonts w:ascii="Arial" w:hAnsi="Arial" w:cs="Arial"/>
          <w:i/>
          <w:sz w:val="24"/>
          <w:szCs w:val="24"/>
          <w:lang w:val="es-CO"/>
        </w:rPr>
      </w:pPr>
      <w:r>
        <w:rPr>
          <w:rFonts w:ascii="Arial" w:hAnsi="Arial" w:cs="Arial"/>
          <w:i/>
          <w:sz w:val="24"/>
          <w:szCs w:val="24"/>
          <w:lang w:val="es-CO"/>
        </w:rPr>
        <w:t xml:space="preserve">OLGA LUCÍA HOYOS SEPÚLVEDA </w:t>
      </w:r>
    </w:p>
    <w:p w:rsidR="002304A3" w:rsidRPr="00FB655A" w:rsidRDefault="002304A3" w:rsidP="00FB655A">
      <w:pPr>
        <w:spacing w:line="276" w:lineRule="auto"/>
        <w:contextualSpacing/>
        <w:jc w:val="center"/>
        <w:rPr>
          <w:rFonts w:ascii="Arial" w:hAnsi="Arial" w:cs="Arial"/>
          <w:i/>
          <w:sz w:val="24"/>
          <w:szCs w:val="24"/>
          <w:lang w:val="es-CO"/>
        </w:rPr>
      </w:pPr>
      <w:r>
        <w:rPr>
          <w:rFonts w:ascii="Arial" w:hAnsi="Arial" w:cs="Arial"/>
          <w:i/>
          <w:sz w:val="24"/>
          <w:szCs w:val="24"/>
          <w:lang w:val="es-CO"/>
        </w:rPr>
        <w:t>Magistrada</w:t>
      </w:r>
    </w:p>
    <w:sectPr w:rsidR="002304A3" w:rsidRPr="00FB655A" w:rsidSect="00F824F8">
      <w:headerReference w:type="default" r:id="rId10"/>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BF1" w:rsidRDefault="00C92BF1" w:rsidP="00107B2A">
      <w:pPr>
        <w:spacing w:after="0" w:line="240" w:lineRule="auto"/>
      </w:pPr>
      <w:r>
        <w:separator/>
      </w:r>
    </w:p>
  </w:endnote>
  <w:endnote w:type="continuationSeparator" w:id="0">
    <w:p w:rsidR="00C92BF1" w:rsidRDefault="00C92BF1"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BF1" w:rsidRDefault="00C92BF1" w:rsidP="00107B2A">
      <w:pPr>
        <w:spacing w:after="0" w:line="240" w:lineRule="auto"/>
      </w:pPr>
      <w:r>
        <w:separator/>
      </w:r>
    </w:p>
  </w:footnote>
  <w:footnote w:type="continuationSeparator" w:id="0">
    <w:p w:rsidR="00C92BF1" w:rsidRDefault="00C92BF1" w:rsidP="00107B2A">
      <w:pPr>
        <w:spacing w:after="0" w:line="240" w:lineRule="auto"/>
      </w:pPr>
      <w:r>
        <w:continuationSeparator/>
      </w:r>
    </w:p>
  </w:footnote>
  <w:footnote w:id="1">
    <w:p w:rsidR="004F53EF" w:rsidRPr="004F53EF" w:rsidRDefault="004F53EF">
      <w:pPr>
        <w:pStyle w:val="Notedebasdepage"/>
        <w:rPr>
          <w:rFonts w:ascii="Arial" w:hAnsi="Arial" w:cs="Arial"/>
          <w:sz w:val="18"/>
          <w:szCs w:val="18"/>
          <w:lang w:val="es-AR"/>
        </w:rPr>
      </w:pPr>
      <w:r w:rsidRPr="004F53EF">
        <w:rPr>
          <w:rStyle w:val="Appelnotedebasdep"/>
          <w:rFonts w:ascii="Arial" w:hAnsi="Arial" w:cs="Arial"/>
          <w:sz w:val="18"/>
          <w:szCs w:val="18"/>
        </w:rPr>
        <w:footnoteRef/>
      </w:r>
      <w:r w:rsidRPr="004F53EF">
        <w:rPr>
          <w:rFonts w:ascii="Arial" w:hAnsi="Arial" w:cs="Arial"/>
          <w:sz w:val="18"/>
          <w:szCs w:val="18"/>
        </w:rPr>
        <w:t xml:space="preserve"> </w:t>
      </w:r>
      <w:r w:rsidR="004E46D0">
        <w:rPr>
          <w:rFonts w:ascii="Arial" w:hAnsi="Arial" w:cs="Arial"/>
          <w:sz w:val="18"/>
          <w:szCs w:val="18"/>
        </w:rPr>
        <w:t>$</w:t>
      </w:r>
      <w:r w:rsidRPr="004F53EF">
        <w:rPr>
          <w:rFonts w:ascii="Arial" w:hAnsi="Arial" w:cs="Arial"/>
          <w:sz w:val="18"/>
          <w:szCs w:val="18"/>
          <w:lang w:val="es-AR"/>
        </w:rPr>
        <w:t>309.000 Decreto 2910 del 31/12/2001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646000"/>
      <w:docPartObj>
        <w:docPartGallery w:val="Page Numbers (Top of Page)"/>
        <w:docPartUnique/>
      </w:docPartObj>
    </w:sdtPr>
    <w:sdtEndPr/>
    <w:sdtContent>
      <w:p w:rsidR="00107B2A" w:rsidRDefault="00107B2A" w:rsidP="006F1649">
        <w:pPr>
          <w:pStyle w:val="En-tte"/>
          <w:jc w:val="right"/>
        </w:pPr>
        <w:r>
          <w:fldChar w:fldCharType="begin"/>
        </w:r>
        <w:r>
          <w:instrText>PAGE   \* MERGEFORMAT</w:instrText>
        </w:r>
        <w:r>
          <w:fldChar w:fldCharType="separate"/>
        </w:r>
        <w:r w:rsidR="001E3936">
          <w:rPr>
            <w:noProof/>
          </w:rPr>
          <w:t>5</w:t>
        </w:r>
        <w:r>
          <w:fldChar w:fldCharType="end"/>
        </w:r>
      </w:p>
    </w:sdtContent>
  </w:sdt>
  <w:p w:rsidR="00107B2A" w:rsidRPr="006F1649" w:rsidRDefault="006F1649" w:rsidP="006F1649">
    <w:pPr>
      <w:pStyle w:val="En-tte"/>
      <w:jc w:val="center"/>
      <w:rPr>
        <w:rFonts w:ascii="Arial" w:hAnsi="Arial" w:cs="Arial"/>
        <w:sz w:val="18"/>
        <w:szCs w:val="18"/>
      </w:rPr>
    </w:pPr>
    <w:r w:rsidRPr="006F1649">
      <w:rPr>
        <w:rFonts w:ascii="Arial" w:hAnsi="Arial" w:cs="Arial"/>
        <w:sz w:val="18"/>
        <w:szCs w:val="18"/>
      </w:rPr>
      <w:t>Proceso Ordinario Laboral</w:t>
    </w:r>
  </w:p>
  <w:p w:rsidR="006F1649" w:rsidRPr="006F1649" w:rsidRDefault="0055536F" w:rsidP="006F1649">
    <w:pPr>
      <w:pStyle w:val="En-tte"/>
      <w:jc w:val="center"/>
      <w:rPr>
        <w:rFonts w:ascii="Arial" w:hAnsi="Arial" w:cs="Arial"/>
        <w:sz w:val="18"/>
        <w:szCs w:val="18"/>
      </w:rPr>
    </w:pPr>
    <w:r>
      <w:rPr>
        <w:rFonts w:ascii="Arial" w:hAnsi="Arial" w:cs="Arial"/>
        <w:sz w:val="18"/>
        <w:szCs w:val="18"/>
      </w:rPr>
      <w:t>66001-31-05-00</w:t>
    </w:r>
    <w:r w:rsidR="006A5FB8">
      <w:rPr>
        <w:rFonts w:ascii="Arial" w:hAnsi="Arial" w:cs="Arial"/>
        <w:sz w:val="18"/>
        <w:szCs w:val="18"/>
      </w:rPr>
      <w:t>1</w:t>
    </w:r>
    <w:r w:rsidR="006F1649" w:rsidRPr="006F1649">
      <w:rPr>
        <w:rFonts w:ascii="Arial" w:hAnsi="Arial" w:cs="Arial"/>
        <w:sz w:val="18"/>
        <w:szCs w:val="18"/>
      </w:rPr>
      <w:t>-2015-00</w:t>
    </w:r>
    <w:r w:rsidR="006A5FB8">
      <w:rPr>
        <w:rFonts w:ascii="Arial" w:hAnsi="Arial" w:cs="Arial"/>
        <w:sz w:val="18"/>
        <w:szCs w:val="18"/>
      </w:rPr>
      <w:t>438</w:t>
    </w:r>
    <w:r w:rsidR="006F1649" w:rsidRPr="006F1649">
      <w:rPr>
        <w:rFonts w:ascii="Arial" w:hAnsi="Arial" w:cs="Arial"/>
        <w:sz w:val="18"/>
        <w:szCs w:val="18"/>
      </w:rPr>
      <w:t>-01</w:t>
    </w:r>
  </w:p>
  <w:p w:rsidR="006F1649" w:rsidRDefault="006A5FB8" w:rsidP="006F1649">
    <w:pPr>
      <w:pStyle w:val="En-tte"/>
      <w:jc w:val="center"/>
      <w:rPr>
        <w:rFonts w:ascii="Arial" w:hAnsi="Arial" w:cs="Arial"/>
        <w:sz w:val="18"/>
        <w:szCs w:val="18"/>
      </w:rPr>
    </w:pPr>
    <w:r>
      <w:rPr>
        <w:rFonts w:ascii="Arial" w:hAnsi="Arial" w:cs="Arial"/>
        <w:sz w:val="18"/>
        <w:szCs w:val="18"/>
      </w:rPr>
      <w:t xml:space="preserve">Darío Amaya Ortegón </w:t>
    </w:r>
    <w:r w:rsidR="006F1649" w:rsidRPr="006F1649">
      <w:rPr>
        <w:rFonts w:ascii="Arial" w:hAnsi="Arial" w:cs="Arial"/>
        <w:sz w:val="18"/>
        <w:szCs w:val="18"/>
      </w:rPr>
      <w:t xml:space="preserve">vs </w:t>
    </w:r>
    <w:proofErr w:type="spellStart"/>
    <w:r w:rsidR="006F1649" w:rsidRPr="006F1649">
      <w:rPr>
        <w:rFonts w:ascii="Arial" w:hAnsi="Arial" w:cs="Arial"/>
        <w:sz w:val="18"/>
        <w:szCs w:val="18"/>
      </w:rPr>
      <w:t>Colpensiones</w:t>
    </w:r>
    <w:proofErr w:type="spellEnd"/>
    <w:r w:rsidR="006F1649" w:rsidRPr="006F1649">
      <w:rPr>
        <w:rFonts w:ascii="Arial" w:hAnsi="Arial" w:cs="Arial"/>
        <w:sz w:val="18"/>
        <w:szCs w:val="18"/>
      </w:rPr>
      <w:t xml:space="preserve"> </w:t>
    </w:r>
  </w:p>
  <w:p w:rsidR="006F1649" w:rsidRDefault="006F1649" w:rsidP="006F1649">
    <w:pPr>
      <w:pStyle w:val="En-tte"/>
      <w:jc w:val="center"/>
      <w:rPr>
        <w:rFonts w:ascii="Arial" w:hAnsi="Arial" w:cs="Arial"/>
        <w:sz w:val="18"/>
        <w:szCs w:val="18"/>
      </w:rPr>
    </w:pPr>
  </w:p>
  <w:p w:rsidR="006F1649" w:rsidRPr="006F1649" w:rsidRDefault="006F1649" w:rsidP="006F1649">
    <w:pPr>
      <w:pStyle w:val="En-tte"/>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7583172"/>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6">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4024A96"/>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num w:numId="1">
    <w:abstractNumId w:val="6"/>
  </w:num>
  <w:num w:numId="2">
    <w:abstractNumId w:val="3"/>
  </w:num>
  <w:num w:numId="3">
    <w:abstractNumId w:val="1"/>
  </w:num>
  <w:num w:numId="4">
    <w:abstractNumId w:val="2"/>
  </w:num>
  <w:num w:numId="5">
    <w:abstractNumId w:val="5"/>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DF"/>
    <w:rsid w:val="00023D3B"/>
    <w:rsid w:val="00030B32"/>
    <w:rsid w:val="00031A1C"/>
    <w:rsid w:val="00031C26"/>
    <w:rsid w:val="0004055B"/>
    <w:rsid w:val="00044FF1"/>
    <w:rsid w:val="00063EB8"/>
    <w:rsid w:val="00066E94"/>
    <w:rsid w:val="00072E1F"/>
    <w:rsid w:val="00074C62"/>
    <w:rsid w:val="000755D9"/>
    <w:rsid w:val="00081034"/>
    <w:rsid w:val="00086DF7"/>
    <w:rsid w:val="000927AC"/>
    <w:rsid w:val="000B21A9"/>
    <w:rsid w:val="000C12EA"/>
    <w:rsid w:val="000C545A"/>
    <w:rsid w:val="000D35D5"/>
    <w:rsid w:val="000D4C4F"/>
    <w:rsid w:val="000E0916"/>
    <w:rsid w:val="000E456F"/>
    <w:rsid w:val="000E5003"/>
    <w:rsid w:val="000F2101"/>
    <w:rsid w:val="000F7BCD"/>
    <w:rsid w:val="001000A1"/>
    <w:rsid w:val="001000DD"/>
    <w:rsid w:val="00107B2A"/>
    <w:rsid w:val="00113B5E"/>
    <w:rsid w:val="00134C43"/>
    <w:rsid w:val="001364E8"/>
    <w:rsid w:val="001903DE"/>
    <w:rsid w:val="00191380"/>
    <w:rsid w:val="001A00A3"/>
    <w:rsid w:val="001A1834"/>
    <w:rsid w:val="001A235E"/>
    <w:rsid w:val="001D0DE2"/>
    <w:rsid w:val="001E3936"/>
    <w:rsid w:val="00210323"/>
    <w:rsid w:val="00212AD5"/>
    <w:rsid w:val="002145A2"/>
    <w:rsid w:val="0021532B"/>
    <w:rsid w:val="002304A3"/>
    <w:rsid w:val="00234AB4"/>
    <w:rsid w:val="00246443"/>
    <w:rsid w:val="00252084"/>
    <w:rsid w:val="0026751C"/>
    <w:rsid w:val="002736EB"/>
    <w:rsid w:val="00282E0E"/>
    <w:rsid w:val="00290CE7"/>
    <w:rsid w:val="00296127"/>
    <w:rsid w:val="002A1F48"/>
    <w:rsid w:val="002B6808"/>
    <w:rsid w:val="002D6767"/>
    <w:rsid w:val="002D680F"/>
    <w:rsid w:val="002D7490"/>
    <w:rsid w:val="002E2495"/>
    <w:rsid w:val="002E6A1F"/>
    <w:rsid w:val="00303B83"/>
    <w:rsid w:val="00303C02"/>
    <w:rsid w:val="0032315B"/>
    <w:rsid w:val="0032487F"/>
    <w:rsid w:val="00326205"/>
    <w:rsid w:val="003272C6"/>
    <w:rsid w:val="00342EFA"/>
    <w:rsid w:val="003438C1"/>
    <w:rsid w:val="0036620A"/>
    <w:rsid w:val="00366265"/>
    <w:rsid w:val="00374BC4"/>
    <w:rsid w:val="00386404"/>
    <w:rsid w:val="003946F9"/>
    <w:rsid w:val="003D35DF"/>
    <w:rsid w:val="003E3369"/>
    <w:rsid w:val="003E5171"/>
    <w:rsid w:val="003F1382"/>
    <w:rsid w:val="003F7734"/>
    <w:rsid w:val="004029A3"/>
    <w:rsid w:val="00412EE8"/>
    <w:rsid w:val="0042254F"/>
    <w:rsid w:val="00431565"/>
    <w:rsid w:val="00431633"/>
    <w:rsid w:val="00446D56"/>
    <w:rsid w:val="00456E3D"/>
    <w:rsid w:val="00464BD6"/>
    <w:rsid w:val="004740AF"/>
    <w:rsid w:val="00477414"/>
    <w:rsid w:val="0048622F"/>
    <w:rsid w:val="0048790E"/>
    <w:rsid w:val="004B0777"/>
    <w:rsid w:val="004C6BD0"/>
    <w:rsid w:val="004E46D0"/>
    <w:rsid w:val="004E4E6B"/>
    <w:rsid w:val="004F2D56"/>
    <w:rsid w:val="004F53EF"/>
    <w:rsid w:val="00502FCF"/>
    <w:rsid w:val="00513CBB"/>
    <w:rsid w:val="0052685F"/>
    <w:rsid w:val="00536CCB"/>
    <w:rsid w:val="00550977"/>
    <w:rsid w:val="0055536F"/>
    <w:rsid w:val="0058019D"/>
    <w:rsid w:val="005A1B2E"/>
    <w:rsid w:val="005C27A5"/>
    <w:rsid w:val="005D1567"/>
    <w:rsid w:val="005E1C01"/>
    <w:rsid w:val="00601366"/>
    <w:rsid w:val="006040B7"/>
    <w:rsid w:val="00607553"/>
    <w:rsid w:val="00612F87"/>
    <w:rsid w:val="0062170B"/>
    <w:rsid w:val="00624F4B"/>
    <w:rsid w:val="00625F28"/>
    <w:rsid w:val="00626CBF"/>
    <w:rsid w:val="006323C2"/>
    <w:rsid w:val="00633404"/>
    <w:rsid w:val="00634BF3"/>
    <w:rsid w:val="00635585"/>
    <w:rsid w:val="00635CB6"/>
    <w:rsid w:val="00637ADB"/>
    <w:rsid w:val="00657103"/>
    <w:rsid w:val="006605C7"/>
    <w:rsid w:val="0066318F"/>
    <w:rsid w:val="00671D91"/>
    <w:rsid w:val="006732B9"/>
    <w:rsid w:val="00697BA3"/>
    <w:rsid w:val="006A5FB8"/>
    <w:rsid w:val="006C3B36"/>
    <w:rsid w:val="006C5404"/>
    <w:rsid w:val="006C55CE"/>
    <w:rsid w:val="006C6E51"/>
    <w:rsid w:val="006D6D62"/>
    <w:rsid w:val="006E3035"/>
    <w:rsid w:val="006F1649"/>
    <w:rsid w:val="00703EED"/>
    <w:rsid w:val="00716F21"/>
    <w:rsid w:val="00717D29"/>
    <w:rsid w:val="00723435"/>
    <w:rsid w:val="00733279"/>
    <w:rsid w:val="00735BF1"/>
    <w:rsid w:val="00737BD1"/>
    <w:rsid w:val="007523B3"/>
    <w:rsid w:val="00755B5B"/>
    <w:rsid w:val="00760719"/>
    <w:rsid w:val="00760EDF"/>
    <w:rsid w:val="00760F6A"/>
    <w:rsid w:val="00766272"/>
    <w:rsid w:val="007706C8"/>
    <w:rsid w:val="00773FF7"/>
    <w:rsid w:val="00774567"/>
    <w:rsid w:val="00791FAB"/>
    <w:rsid w:val="007A2C5B"/>
    <w:rsid w:val="007B340A"/>
    <w:rsid w:val="007D7007"/>
    <w:rsid w:val="007D7829"/>
    <w:rsid w:val="007F2D66"/>
    <w:rsid w:val="007F45B9"/>
    <w:rsid w:val="008167D4"/>
    <w:rsid w:val="00833577"/>
    <w:rsid w:val="0083670A"/>
    <w:rsid w:val="008407C2"/>
    <w:rsid w:val="0084279F"/>
    <w:rsid w:val="0085346D"/>
    <w:rsid w:val="0085430A"/>
    <w:rsid w:val="00872D78"/>
    <w:rsid w:val="0087450E"/>
    <w:rsid w:val="00877D05"/>
    <w:rsid w:val="0088111F"/>
    <w:rsid w:val="008843E5"/>
    <w:rsid w:val="008865C4"/>
    <w:rsid w:val="00887F91"/>
    <w:rsid w:val="008973C7"/>
    <w:rsid w:val="008A3AC5"/>
    <w:rsid w:val="008A5766"/>
    <w:rsid w:val="008B3520"/>
    <w:rsid w:val="008B4754"/>
    <w:rsid w:val="008B72CB"/>
    <w:rsid w:val="008E648B"/>
    <w:rsid w:val="008F2DE0"/>
    <w:rsid w:val="008F6171"/>
    <w:rsid w:val="00904261"/>
    <w:rsid w:val="00911496"/>
    <w:rsid w:val="00911568"/>
    <w:rsid w:val="009121E3"/>
    <w:rsid w:val="009257DF"/>
    <w:rsid w:val="0092688A"/>
    <w:rsid w:val="00946271"/>
    <w:rsid w:val="00956286"/>
    <w:rsid w:val="009744A3"/>
    <w:rsid w:val="00977585"/>
    <w:rsid w:val="00977D2F"/>
    <w:rsid w:val="009945E2"/>
    <w:rsid w:val="009A141A"/>
    <w:rsid w:val="009B4EB3"/>
    <w:rsid w:val="009C696A"/>
    <w:rsid w:val="009D1025"/>
    <w:rsid w:val="009D1A17"/>
    <w:rsid w:val="009D39F4"/>
    <w:rsid w:val="009D7D4A"/>
    <w:rsid w:val="009E1714"/>
    <w:rsid w:val="009E3ED0"/>
    <w:rsid w:val="009F00AA"/>
    <w:rsid w:val="009F0102"/>
    <w:rsid w:val="009F1BCD"/>
    <w:rsid w:val="00A00051"/>
    <w:rsid w:val="00A03B1A"/>
    <w:rsid w:val="00A03CCA"/>
    <w:rsid w:val="00A12773"/>
    <w:rsid w:val="00A463DC"/>
    <w:rsid w:val="00A60799"/>
    <w:rsid w:val="00A70F95"/>
    <w:rsid w:val="00A71B7C"/>
    <w:rsid w:val="00A75E06"/>
    <w:rsid w:val="00A760C0"/>
    <w:rsid w:val="00A85FE1"/>
    <w:rsid w:val="00A954A9"/>
    <w:rsid w:val="00AA047C"/>
    <w:rsid w:val="00AA059B"/>
    <w:rsid w:val="00AB3875"/>
    <w:rsid w:val="00AC596D"/>
    <w:rsid w:val="00AD1679"/>
    <w:rsid w:val="00AE1B4D"/>
    <w:rsid w:val="00AE2417"/>
    <w:rsid w:val="00AE4A4D"/>
    <w:rsid w:val="00AE6328"/>
    <w:rsid w:val="00AF23EF"/>
    <w:rsid w:val="00AF4526"/>
    <w:rsid w:val="00B031AE"/>
    <w:rsid w:val="00B1058D"/>
    <w:rsid w:val="00B13FC8"/>
    <w:rsid w:val="00B178BE"/>
    <w:rsid w:val="00B2303D"/>
    <w:rsid w:val="00B235BC"/>
    <w:rsid w:val="00B41059"/>
    <w:rsid w:val="00B5420D"/>
    <w:rsid w:val="00B57514"/>
    <w:rsid w:val="00B860BB"/>
    <w:rsid w:val="00B87243"/>
    <w:rsid w:val="00B919A8"/>
    <w:rsid w:val="00BB29CF"/>
    <w:rsid w:val="00BC0CD3"/>
    <w:rsid w:val="00BC3C0E"/>
    <w:rsid w:val="00BC5794"/>
    <w:rsid w:val="00BD1377"/>
    <w:rsid w:val="00BE3267"/>
    <w:rsid w:val="00C03856"/>
    <w:rsid w:val="00C11EFD"/>
    <w:rsid w:val="00C14A03"/>
    <w:rsid w:val="00C230D5"/>
    <w:rsid w:val="00C23933"/>
    <w:rsid w:val="00C2764F"/>
    <w:rsid w:val="00C4147A"/>
    <w:rsid w:val="00C462C7"/>
    <w:rsid w:val="00C6077C"/>
    <w:rsid w:val="00C614CE"/>
    <w:rsid w:val="00C64522"/>
    <w:rsid w:val="00C77EAB"/>
    <w:rsid w:val="00C8005D"/>
    <w:rsid w:val="00C92BF1"/>
    <w:rsid w:val="00C935B5"/>
    <w:rsid w:val="00C97709"/>
    <w:rsid w:val="00CA12F8"/>
    <w:rsid w:val="00CB0798"/>
    <w:rsid w:val="00CB6A9D"/>
    <w:rsid w:val="00CB721E"/>
    <w:rsid w:val="00CC32A4"/>
    <w:rsid w:val="00CE3797"/>
    <w:rsid w:val="00CF7D5F"/>
    <w:rsid w:val="00D13793"/>
    <w:rsid w:val="00D14570"/>
    <w:rsid w:val="00D31768"/>
    <w:rsid w:val="00D34972"/>
    <w:rsid w:val="00D37F04"/>
    <w:rsid w:val="00D4291C"/>
    <w:rsid w:val="00D50539"/>
    <w:rsid w:val="00D50547"/>
    <w:rsid w:val="00D64860"/>
    <w:rsid w:val="00D8273B"/>
    <w:rsid w:val="00D87EC2"/>
    <w:rsid w:val="00DA026D"/>
    <w:rsid w:val="00DA2D86"/>
    <w:rsid w:val="00DA6ADA"/>
    <w:rsid w:val="00DC07C2"/>
    <w:rsid w:val="00DC754F"/>
    <w:rsid w:val="00DD2328"/>
    <w:rsid w:val="00DD6B8E"/>
    <w:rsid w:val="00DE1070"/>
    <w:rsid w:val="00DE4547"/>
    <w:rsid w:val="00DE6100"/>
    <w:rsid w:val="00DF7721"/>
    <w:rsid w:val="00E3676D"/>
    <w:rsid w:val="00E50044"/>
    <w:rsid w:val="00E63CD4"/>
    <w:rsid w:val="00E65DDF"/>
    <w:rsid w:val="00E80A66"/>
    <w:rsid w:val="00E863AD"/>
    <w:rsid w:val="00EB7DB5"/>
    <w:rsid w:val="00EC7BCB"/>
    <w:rsid w:val="00ED670A"/>
    <w:rsid w:val="00EE0AC0"/>
    <w:rsid w:val="00EE76AE"/>
    <w:rsid w:val="00F0263B"/>
    <w:rsid w:val="00F1619D"/>
    <w:rsid w:val="00F200C9"/>
    <w:rsid w:val="00F2174B"/>
    <w:rsid w:val="00F241E9"/>
    <w:rsid w:val="00F24432"/>
    <w:rsid w:val="00F339A2"/>
    <w:rsid w:val="00F43EA9"/>
    <w:rsid w:val="00F567CA"/>
    <w:rsid w:val="00F62E17"/>
    <w:rsid w:val="00F64610"/>
    <w:rsid w:val="00F6781A"/>
    <w:rsid w:val="00F71933"/>
    <w:rsid w:val="00F824F8"/>
    <w:rsid w:val="00FA096F"/>
    <w:rsid w:val="00FB655A"/>
    <w:rsid w:val="00FB719D"/>
    <w:rsid w:val="00FC6D34"/>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itre3">
    <w:name w:val="heading 3"/>
    <w:basedOn w:val="Normal"/>
    <w:next w:val="Normal"/>
    <w:link w:val="Titre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itre4">
    <w:name w:val="heading 4"/>
    <w:basedOn w:val="Normal"/>
    <w:next w:val="Normal"/>
    <w:link w:val="Titre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77585"/>
    <w:rPr>
      <w:rFonts w:ascii="Arial" w:eastAsia="Times New Roman" w:hAnsi="Arial" w:cs="Times New Roman"/>
      <w:b/>
      <w:sz w:val="24"/>
      <w:szCs w:val="20"/>
      <w:lang w:val="es-ES_tradnl" w:eastAsia="es-ES"/>
    </w:rPr>
  </w:style>
  <w:style w:type="character" w:customStyle="1" w:styleId="Titre3Car">
    <w:name w:val="Titre 3 Car"/>
    <w:basedOn w:val="Policepardfaut"/>
    <w:link w:val="Titre3"/>
    <w:rsid w:val="00977585"/>
    <w:rPr>
      <w:rFonts w:ascii="Arial" w:eastAsia="Times New Roman" w:hAnsi="Arial" w:cs="Times New Roman"/>
      <w:b/>
      <w:sz w:val="36"/>
      <w:szCs w:val="20"/>
      <w:lang w:val="es-ES_tradnl" w:eastAsia="es-ES"/>
    </w:rPr>
  </w:style>
  <w:style w:type="character" w:customStyle="1" w:styleId="Titre4Car">
    <w:name w:val="Titre 4 Car"/>
    <w:basedOn w:val="Policepardfaut"/>
    <w:link w:val="Titre4"/>
    <w:rsid w:val="00977585"/>
    <w:rPr>
      <w:rFonts w:ascii="Arial" w:eastAsia="Times New Roman" w:hAnsi="Arial" w:cs="Times New Roman"/>
      <w:spacing w:val="-3"/>
      <w:sz w:val="36"/>
      <w:szCs w:val="20"/>
      <w:lang w:val="es-ES_tradnl" w:eastAsia="es-ES"/>
    </w:rPr>
  </w:style>
  <w:style w:type="paragraph" w:styleId="Corpsdetexte">
    <w:name w:val="Body Text"/>
    <w:basedOn w:val="Normal"/>
    <w:link w:val="Corpsdetex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CorpsdetexteCar">
    <w:name w:val="Corps de texte Car"/>
    <w:basedOn w:val="Policepardfaut"/>
    <w:link w:val="Corpsdetex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Corpsdetexte2">
    <w:name w:val="Body Text 2"/>
    <w:basedOn w:val="Normal"/>
    <w:link w:val="Corpsdetex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Corpsdetexte2Car">
    <w:name w:val="Corps de texte 2 Car"/>
    <w:basedOn w:val="Policepardfaut"/>
    <w:link w:val="Corpsdetexte2"/>
    <w:rsid w:val="00977585"/>
    <w:rPr>
      <w:rFonts w:ascii="Arial" w:eastAsia="Times New Roman" w:hAnsi="Arial" w:cs="Times New Roman"/>
      <w:sz w:val="24"/>
      <w:szCs w:val="20"/>
      <w:lang w:val="es-ES_tradnl" w:eastAsia="es-ES"/>
    </w:rPr>
  </w:style>
  <w:style w:type="paragraph" w:styleId="Paragraphedeliste">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tte">
    <w:name w:val="header"/>
    <w:basedOn w:val="Normal"/>
    <w:link w:val="En-tteCar"/>
    <w:uiPriority w:val="99"/>
    <w:unhideWhenUsed/>
    <w:rsid w:val="00107B2A"/>
    <w:pPr>
      <w:tabs>
        <w:tab w:val="center" w:pos="4252"/>
        <w:tab w:val="right" w:pos="8504"/>
      </w:tabs>
      <w:spacing w:after="0" w:line="240" w:lineRule="auto"/>
    </w:pPr>
  </w:style>
  <w:style w:type="character" w:customStyle="1" w:styleId="En-tteCar">
    <w:name w:val="En-tête Car"/>
    <w:basedOn w:val="Policepardfaut"/>
    <w:link w:val="En-tte"/>
    <w:uiPriority w:val="99"/>
    <w:rsid w:val="00107B2A"/>
  </w:style>
  <w:style w:type="paragraph" w:styleId="Pieddepage">
    <w:name w:val="footer"/>
    <w:basedOn w:val="Normal"/>
    <w:link w:val="PieddepageCar"/>
    <w:uiPriority w:val="99"/>
    <w:unhideWhenUsed/>
    <w:rsid w:val="00107B2A"/>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centuation">
    <w:name w:val="Emphasis"/>
    <w:basedOn w:val="Policepardfaut"/>
    <w:uiPriority w:val="20"/>
    <w:qFormat/>
    <w:rsid w:val="00D50539"/>
    <w:rPr>
      <w:i/>
      <w:iCs/>
    </w:rPr>
  </w:style>
  <w:style w:type="character" w:customStyle="1" w:styleId="apple-converted-space">
    <w:name w:val="apple-converted-space"/>
    <w:basedOn w:val="Policepardfaut"/>
    <w:rsid w:val="00D50539"/>
  </w:style>
  <w:style w:type="character" w:styleId="lev">
    <w:name w:val="Strong"/>
    <w:basedOn w:val="Policepardfaut"/>
    <w:uiPriority w:val="22"/>
    <w:qFormat/>
    <w:rsid w:val="00D50539"/>
    <w:rPr>
      <w:b/>
      <w:bCs/>
    </w:rPr>
  </w:style>
  <w:style w:type="character" w:styleId="Lienhypertexte">
    <w:name w:val="Hyperlink"/>
    <w:basedOn w:val="Policepardfaut"/>
    <w:uiPriority w:val="99"/>
    <w:semiHidden/>
    <w:unhideWhenUsed/>
    <w:rsid w:val="00D50539"/>
    <w:rPr>
      <w:color w:val="0000FF"/>
      <w:u w:val="single"/>
    </w:rPr>
  </w:style>
  <w:style w:type="paragraph" w:styleId="Textedebulles">
    <w:name w:val="Balloon Text"/>
    <w:basedOn w:val="Normal"/>
    <w:link w:val="TextedebullesCar"/>
    <w:uiPriority w:val="99"/>
    <w:semiHidden/>
    <w:unhideWhenUsed/>
    <w:rsid w:val="0063340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ansinterligne">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9F010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0102"/>
    <w:rPr>
      <w:sz w:val="20"/>
      <w:szCs w:val="20"/>
    </w:rPr>
  </w:style>
  <w:style w:type="character" w:styleId="Appelnotedebasdep">
    <w:name w:val="footnote reference"/>
    <w:basedOn w:val="Policepardfaut"/>
    <w:uiPriority w:val="99"/>
    <w:semiHidden/>
    <w:unhideWhenUsed/>
    <w:rsid w:val="009F0102"/>
    <w:rPr>
      <w:vertAlign w:val="superscript"/>
    </w:rPr>
  </w:style>
  <w:style w:type="character" w:customStyle="1" w:styleId="iaj">
    <w:name w:val="i_aj"/>
    <w:basedOn w:val="Policepardfaut"/>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2347">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 w:id="214141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C60E-F419-4DFB-8B2F-3165F32D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7</Pages>
  <Words>1856</Words>
  <Characters>10209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Malucimedina</cp:lastModifiedBy>
  <cp:revision>31</cp:revision>
  <cp:lastPrinted>2016-08-16T21:05:00Z</cp:lastPrinted>
  <dcterms:created xsi:type="dcterms:W3CDTF">2017-03-29T15:37:00Z</dcterms:created>
  <dcterms:modified xsi:type="dcterms:W3CDTF">2017-06-24T00:56:00Z</dcterms:modified>
</cp:coreProperties>
</file>