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9E" w:rsidRDefault="00B4369E" w:rsidP="00B4369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bookmarkEnd w:id="0"/>
    <w:p w:rsidR="00B4369E" w:rsidRDefault="00B4369E" w:rsidP="002D566E">
      <w:pPr>
        <w:spacing w:line="276" w:lineRule="auto"/>
        <w:ind w:left="1416" w:firstLine="708"/>
        <w:contextualSpacing/>
        <w:jc w:val="both"/>
        <w:rPr>
          <w:rFonts w:ascii="Arial" w:hAnsi="Arial" w:cs="Arial"/>
          <w:b/>
          <w:sz w:val="18"/>
          <w:szCs w:val="18"/>
        </w:rPr>
      </w:pPr>
    </w:p>
    <w:p w:rsidR="00226D5F" w:rsidRPr="007C5A02" w:rsidRDefault="00226D5F" w:rsidP="00B4369E">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B4369E">
        <w:rPr>
          <w:rFonts w:ascii="Arial" w:hAnsi="Arial" w:cs="Arial"/>
          <w:sz w:val="18"/>
          <w:szCs w:val="18"/>
        </w:rPr>
        <w:t>– 2ª instancia – 22 de mayo de 2017</w:t>
      </w:r>
    </w:p>
    <w:p w:rsidR="00B4369E" w:rsidRPr="007C5A02" w:rsidRDefault="00B4369E" w:rsidP="00B4369E">
      <w:pPr>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Confirma sentencia que negó las pretensiones</w:t>
      </w:r>
    </w:p>
    <w:p w:rsidR="00226D5F" w:rsidRPr="007C5A02" w:rsidRDefault="00226D5F" w:rsidP="00B4369E">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50370E">
        <w:rPr>
          <w:rFonts w:ascii="Arial" w:hAnsi="Arial" w:cs="Arial"/>
          <w:bCs/>
          <w:sz w:val="18"/>
          <w:szCs w:val="18"/>
        </w:rPr>
        <w:t>3</w:t>
      </w:r>
      <w:r w:rsidR="00E546CA">
        <w:rPr>
          <w:rFonts w:ascii="Arial" w:hAnsi="Arial" w:cs="Arial"/>
          <w:bCs/>
          <w:sz w:val="18"/>
          <w:szCs w:val="18"/>
        </w:rPr>
        <w:t>-2016</w:t>
      </w:r>
      <w:r w:rsidR="00381816">
        <w:rPr>
          <w:rFonts w:ascii="Arial" w:hAnsi="Arial" w:cs="Arial"/>
          <w:bCs/>
          <w:sz w:val="18"/>
          <w:szCs w:val="18"/>
        </w:rPr>
        <w:t>-00</w:t>
      </w:r>
      <w:r w:rsidR="00E546CA">
        <w:rPr>
          <w:rFonts w:ascii="Arial" w:hAnsi="Arial" w:cs="Arial"/>
          <w:bCs/>
          <w:sz w:val="18"/>
          <w:szCs w:val="18"/>
        </w:rPr>
        <w:t>033</w:t>
      </w:r>
      <w:r w:rsidR="00381816">
        <w:rPr>
          <w:rFonts w:ascii="Arial" w:hAnsi="Arial" w:cs="Arial"/>
          <w:bCs/>
          <w:sz w:val="18"/>
          <w:szCs w:val="18"/>
        </w:rPr>
        <w:t>-01</w:t>
      </w:r>
    </w:p>
    <w:p w:rsidR="00226D5F" w:rsidRPr="007C5A02" w:rsidRDefault="00226D5F" w:rsidP="00B4369E">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546CA">
        <w:rPr>
          <w:rFonts w:ascii="Arial" w:hAnsi="Arial" w:cs="Arial"/>
          <w:iCs/>
          <w:sz w:val="18"/>
          <w:szCs w:val="18"/>
        </w:rPr>
        <w:t>Luz Dary Jaramillo de Londoño</w:t>
      </w:r>
    </w:p>
    <w:p w:rsidR="00226D5F" w:rsidRPr="007C5A02" w:rsidRDefault="00226D5F" w:rsidP="00B4369E">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C77CC8" w:rsidRDefault="00226D5F" w:rsidP="00B4369E">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50370E">
        <w:rPr>
          <w:rFonts w:ascii="Arial" w:hAnsi="Arial" w:cs="Arial"/>
          <w:sz w:val="18"/>
          <w:szCs w:val="18"/>
        </w:rPr>
        <w:t xml:space="preserve">Tercero </w:t>
      </w:r>
      <w:r w:rsidR="00907F08">
        <w:rPr>
          <w:rFonts w:ascii="Arial" w:hAnsi="Arial" w:cs="Arial"/>
          <w:sz w:val="18"/>
          <w:szCs w:val="18"/>
        </w:rPr>
        <w:t>Laboral del Circuito de Pereira</w:t>
      </w:r>
    </w:p>
    <w:p w:rsidR="00B4369E" w:rsidRPr="00907F08" w:rsidRDefault="00B4369E" w:rsidP="00B4369E">
      <w:pPr>
        <w:spacing w:line="276" w:lineRule="auto"/>
        <w:ind w:left="1416" w:firstLine="2"/>
        <w:contextualSpacing/>
        <w:jc w:val="both"/>
        <w:rPr>
          <w:rFonts w:ascii="Arial" w:hAnsi="Arial" w:cs="Arial"/>
          <w:sz w:val="18"/>
          <w:szCs w:val="18"/>
        </w:rPr>
      </w:pPr>
    </w:p>
    <w:p w:rsidR="00B4369E" w:rsidRPr="00B4369E" w:rsidRDefault="00907F08" w:rsidP="00B4369E">
      <w:pPr>
        <w:spacing w:line="276" w:lineRule="auto"/>
        <w:ind w:left="1416" w:firstLine="2"/>
        <w:contextualSpacing/>
        <w:jc w:val="both"/>
        <w:rPr>
          <w:rFonts w:ascii="Arial" w:hAnsi="Arial" w:cs="Arial"/>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r w:rsidR="00CA0456">
        <w:rPr>
          <w:rFonts w:ascii="Arial" w:hAnsi="Arial" w:cs="Arial"/>
          <w:b/>
          <w:bCs/>
          <w:sz w:val="18"/>
          <w:szCs w:val="18"/>
        </w:rPr>
        <w:tab/>
      </w:r>
      <w:r w:rsidRPr="00007B72">
        <w:rPr>
          <w:rFonts w:ascii="Arial" w:hAnsi="Arial" w:cs="Arial"/>
          <w:b/>
          <w:bCs/>
          <w:sz w:val="18"/>
          <w:szCs w:val="18"/>
        </w:rPr>
        <w:t>P</w:t>
      </w:r>
      <w:r w:rsidR="00B4369E" w:rsidRPr="00007B72">
        <w:rPr>
          <w:rFonts w:ascii="Arial" w:hAnsi="Arial" w:cs="Arial"/>
          <w:b/>
          <w:bCs/>
          <w:sz w:val="18"/>
          <w:szCs w:val="18"/>
        </w:rPr>
        <w:t>ENSIÓN DE SOBREVIVIENT</w:t>
      </w:r>
      <w:r w:rsidR="00B4369E">
        <w:rPr>
          <w:rFonts w:ascii="Arial" w:hAnsi="Arial" w:cs="Arial"/>
          <w:b/>
          <w:bCs/>
          <w:sz w:val="18"/>
          <w:szCs w:val="18"/>
        </w:rPr>
        <w:t xml:space="preserve">ES – CONDICIÓN MÁS BENEFICIOSA. </w:t>
      </w:r>
      <w:r w:rsidR="00B4369E" w:rsidRPr="00B4369E">
        <w:rPr>
          <w:rFonts w:ascii="Arial" w:hAnsi="Arial" w:cs="Arial"/>
          <w:bCs/>
          <w:sz w:val="18"/>
          <w:szCs w:val="18"/>
        </w:rPr>
        <w:t xml:space="preserve">[P]ara el 10/08/2003, la norma vigente es la Ley 797 de 2003, por lo que la disposición inmediatamente anterior resulta ser la Ley 100 de 1993 en su versión original, </w:t>
      </w:r>
      <w:r w:rsidR="00B4369E" w:rsidRPr="00B4369E">
        <w:rPr>
          <w:rFonts w:ascii="Arial" w:hAnsi="Arial" w:cs="Arial"/>
          <w:bCs/>
          <w:sz w:val="18"/>
          <w:szCs w:val="18"/>
          <w:lang w:val="es-ES"/>
        </w:rPr>
        <w:t>cuyas exigencias tampoco se reunían en este asunto, pues según la información que reposa en el expediente el afiliado fallecido al momento de su muerte, no se encontraba cotizando y no reportaba aportes por 26 semanas dentro del año inmediatamente anterior a esa fecha, como  lo exigía la norma en cuestión, tampoco con anterioridad a la vigencia de la Ley 797 de 2003, toda vez que la última cotización realizada fue la del abril de 1997, como se refirió previamente. Aunado a lo anterior, el Acto Legislativo 01 de 2005 dispone en la parte final del inciso 4° que “</w:t>
      </w:r>
      <w:r w:rsidR="00B4369E" w:rsidRPr="00B4369E">
        <w:rPr>
          <w:rFonts w:ascii="Arial" w:hAnsi="Arial" w:cs="Arial"/>
          <w:bCs/>
          <w:i/>
          <w:sz w:val="18"/>
          <w:szCs w:val="18"/>
        </w:rPr>
        <w:t>Los requisitos y beneficios para adquirir el derecho a una pensión de invalidez o de sobrevivencia serán los establecidos por las leyes del Sistema General de Pensiones",</w:t>
      </w:r>
      <w:r w:rsidR="00B4369E" w:rsidRPr="00B4369E">
        <w:rPr>
          <w:rFonts w:ascii="Arial" w:hAnsi="Arial" w:cs="Arial"/>
          <w:bCs/>
          <w:sz w:val="18"/>
          <w:szCs w:val="18"/>
        </w:rPr>
        <w:t xml:space="preserve"> </w:t>
      </w:r>
      <w:r w:rsidR="00B4369E" w:rsidRPr="00B4369E">
        <w:rPr>
          <w:rFonts w:ascii="Arial" w:hAnsi="Arial" w:cs="Arial"/>
          <w:bCs/>
          <w:sz w:val="18"/>
          <w:szCs w:val="18"/>
          <w:lang w:val="es-AR"/>
        </w:rPr>
        <w:t>creado con la expedición de la Ley 100 de 1993</w:t>
      </w:r>
      <w:r w:rsidR="00B4369E" w:rsidRPr="00B4369E">
        <w:rPr>
          <w:rFonts w:ascii="Arial" w:hAnsi="Arial" w:cs="Arial"/>
          <w:bCs/>
          <w:i/>
          <w:sz w:val="18"/>
          <w:szCs w:val="18"/>
        </w:rPr>
        <w:t xml:space="preserve"> </w:t>
      </w:r>
      <w:r w:rsidR="00B4369E" w:rsidRPr="00B4369E">
        <w:rPr>
          <w:rFonts w:ascii="Arial" w:hAnsi="Arial" w:cs="Arial"/>
          <w:bCs/>
          <w:sz w:val="18"/>
          <w:szCs w:val="18"/>
        </w:rPr>
        <w:t xml:space="preserve">y desarrollado a partir del artículo 10 </w:t>
      </w:r>
      <w:r w:rsidR="00B4369E" w:rsidRPr="00B4369E">
        <w:rPr>
          <w:rFonts w:ascii="Arial" w:hAnsi="Arial" w:cs="Arial"/>
          <w:bCs/>
          <w:i/>
          <w:sz w:val="18"/>
          <w:szCs w:val="18"/>
        </w:rPr>
        <w:t>ibídem</w:t>
      </w:r>
      <w:r w:rsidR="00B4369E" w:rsidRPr="00B4369E">
        <w:rPr>
          <w:rFonts w:ascii="Arial" w:hAnsi="Arial" w:cs="Arial"/>
          <w:bCs/>
          <w:sz w:val="18"/>
          <w:szCs w:val="18"/>
        </w:rPr>
        <w:t xml:space="preserve">, lo que significa que </w:t>
      </w:r>
      <w:proofErr w:type="spellStart"/>
      <w:r w:rsidR="00B4369E" w:rsidRPr="00B4369E">
        <w:rPr>
          <w:rFonts w:ascii="Arial" w:hAnsi="Arial" w:cs="Arial"/>
          <w:bCs/>
          <w:sz w:val="18"/>
          <w:szCs w:val="18"/>
        </w:rPr>
        <w:t>el</w:t>
      </w:r>
      <w:proofErr w:type="spellEnd"/>
      <w:r w:rsidR="00B4369E" w:rsidRPr="00B4369E">
        <w:rPr>
          <w:rFonts w:ascii="Arial" w:hAnsi="Arial" w:cs="Arial"/>
          <w:bCs/>
          <w:sz w:val="18"/>
          <w:szCs w:val="18"/>
        </w:rPr>
        <w:t xml:space="preserve"> se encuentra constituido por esa normativa y las modificaciones introducidas por la Ley 797 de 2003, de donde debe entenderse excluido el Acuerdo 049 de 1990, por ser anterior a estas. Además, debe prestarse atención al inciso 5° del mismo Acto Legislativo, que apunta que “</w:t>
      </w:r>
      <w:r w:rsidR="00B4369E" w:rsidRPr="00B4369E">
        <w:rPr>
          <w:rFonts w:ascii="Arial" w:hAnsi="Arial" w:cs="Arial"/>
          <w:bCs/>
          <w:i/>
          <w:sz w:val="18"/>
          <w:szCs w:val="18"/>
        </w:rPr>
        <w:t xml:space="preserve">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 </w:t>
      </w:r>
      <w:r w:rsidR="00B4369E" w:rsidRPr="00B4369E">
        <w:rPr>
          <w:rFonts w:ascii="Arial" w:hAnsi="Arial" w:cs="Arial"/>
          <w:bCs/>
          <w:sz w:val="18"/>
          <w:szCs w:val="18"/>
        </w:rPr>
        <w:t xml:space="preserve">lo que incluso da a entender que no pueda acudirse al Acuerdo 049/90, como se indicó anteriormente. </w:t>
      </w:r>
    </w:p>
    <w:p w:rsidR="00007B72" w:rsidRPr="00B4369E" w:rsidRDefault="00007B72" w:rsidP="00B4369E">
      <w:pPr>
        <w:spacing w:line="480" w:lineRule="auto"/>
        <w:ind w:left="2127"/>
        <w:contextualSpacing/>
        <w:jc w:val="both"/>
        <w:rPr>
          <w:rFonts w:ascii="Arial" w:hAnsi="Arial" w:cs="Arial"/>
          <w:bCs/>
          <w:i/>
          <w:sz w:val="28"/>
          <w:szCs w:val="28"/>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B4369E">
      <w:pPr>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B4369E">
      <w:pPr>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B4369E">
      <w:pPr>
        <w:pStyle w:val="Sansinterligne"/>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17E51">
        <w:rPr>
          <w:rFonts w:ascii="Arial" w:eastAsia="Calibri" w:hAnsi="Arial" w:cs="Arial"/>
          <w:szCs w:val="24"/>
          <w:lang w:val="es-CO" w:eastAsia="en-US"/>
        </w:rPr>
        <w:t xml:space="preserve">veintidós </w:t>
      </w:r>
      <w:r w:rsidRPr="00AC486E">
        <w:rPr>
          <w:rFonts w:ascii="Arial" w:eastAsia="Calibri" w:hAnsi="Arial" w:cs="Arial"/>
          <w:szCs w:val="24"/>
          <w:lang w:val="es-CO" w:eastAsia="en-US"/>
        </w:rPr>
        <w:t>(</w:t>
      </w:r>
      <w:r w:rsidR="00F17E51">
        <w:rPr>
          <w:rFonts w:ascii="Arial" w:eastAsia="Calibri" w:hAnsi="Arial" w:cs="Arial"/>
          <w:szCs w:val="24"/>
          <w:lang w:val="es-CO" w:eastAsia="en-US"/>
        </w:rPr>
        <w:t>22</w:t>
      </w:r>
      <w:r w:rsidRPr="00AC486E">
        <w:rPr>
          <w:rFonts w:ascii="Arial" w:eastAsia="Calibri" w:hAnsi="Arial" w:cs="Arial"/>
          <w:szCs w:val="24"/>
          <w:lang w:val="es-CO" w:eastAsia="en-US"/>
        </w:rPr>
        <w:t xml:space="preserve">) días del mes de </w:t>
      </w:r>
      <w:r w:rsidR="00E546CA">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E546CA">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E546CA">
        <w:rPr>
          <w:rFonts w:ascii="Arial" w:eastAsia="Calibri" w:hAnsi="Arial" w:cs="Arial"/>
          <w:szCs w:val="24"/>
          <w:lang w:val="es-CO" w:eastAsia="en-US"/>
        </w:rPr>
        <w:t>09</w:t>
      </w:r>
      <w:r w:rsidR="002D2217">
        <w:rPr>
          <w:rFonts w:ascii="Arial" w:eastAsia="Calibri" w:hAnsi="Arial" w:cs="Arial"/>
          <w:szCs w:val="24"/>
          <w:lang w:val="es-CO" w:eastAsia="en-US"/>
        </w:rPr>
        <w:t>:</w:t>
      </w:r>
      <w:r w:rsidR="00E546CA">
        <w:rPr>
          <w:rFonts w:ascii="Arial" w:eastAsia="Calibri" w:hAnsi="Arial" w:cs="Arial"/>
          <w:szCs w:val="24"/>
          <w:lang w:val="es-CO" w:eastAsia="en-US"/>
        </w:rPr>
        <w:t>0</w:t>
      </w:r>
      <w:r w:rsidR="002D2217">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50370E">
        <w:rPr>
          <w:rFonts w:ascii="Arial" w:hAnsi="Arial" w:cs="Arial"/>
          <w:bCs/>
          <w:color w:val="000000"/>
          <w:szCs w:val="24"/>
          <w:lang w:eastAsia="es-CO"/>
        </w:rPr>
        <w:t xml:space="preserve">recurso de apelación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E546CA">
        <w:rPr>
          <w:rFonts w:ascii="Arial" w:hAnsi="Arial" w:cs="Arial"/>
          <w:szCs w:val="24"/>
        </w:rPr>
        <w:t xml:space="preserve">21 </w:t>
      </w:r>
      <w:r w:rsidRPr="00AC486E">
        <w:rPr>
          <w:rFonts w:ascii="Arial" w:hAnsi="Arial" w:cs="Arial"/>
          <w:szCs w:val="24"/>
        </w:rPr>
        <w:t xml:space="preserve">de </w:t>
      </w:r>
      <w:r w:rsidR="00E546CA">
        <w:rPr>
          <w:rFonts w:ascii="Arial" w:hAnsi="Arial" w:cs="Arial"/>
          <w:szCs w:val="24"/>
        </w:rPr>
        <w:t xml:space="preserve">junio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50370E">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E546CA">
        <w:rPr>
          <w:rFonts w:ascii="Arial" w:hAnsi="Arial" w:cs="Arial"/>
          <w:b/>
          <w:szCs w:val="24"/>
        </w:rPr>
        <w:t>Luz Dary Jaramillo de Londoño</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50370E">
        <w:rPr>
          <w:rFonts w:ascii="Arial" w:hAnsi="Arial" w:cs="Arial"/>
          <w:bCs/>
          <w:iCs/>
          <w:szCs w:val="24"/>
        </w:rPr>
        <w:t>3</w:t>
      </w:r>
      <w:r w:rsidR="00EB368F">
        <w:rPr>
          <w:rFonts w:ascii="Arial" w:hAnsi="Arial" w:cs="Arial"/>
          <w:bCs/>
          <w:iCs/>
          <w:szCs w:val="24"/>
        </w:rPr>
        <w:t>-</w:t>
      </w:r>
      <w:r w:rsidR="00AD7995">
        <w:rPr>
          <w:rFonts w:ascii="Arial" w:hAnsi="Arial" w:cs="Arial"/>
          <w:bCs/>
          <w:iCs/>
          <w:szCs w:val="24"/>
        </w:rPr>
        <w:t>201</w:t>
      </w:r>
      <w:r w:rsidR="00E546CA">
        <w:rPr>
          <w:rFonts w:ascii="Arial" w:hAnsi="Arial" w:cs="Arial"/>
          <w:bCs/>
          <w:iCs/>
          <w:szCs w:val="24"/>
        </w:rPr>
        <w:t>6</w:t>
      </w:r>
      <w:r w:rsidR="00AD7995">
        <w:rPr>
          <w:rFonts w:ascii="Arial" w:hAnsi="Arial" w:cs="Arial"/>
          <w:bCs/>
          <w:iCs/>
          <w:szCs w:val="24"/>
        </w:rPr>
        <w:t>-00</w:t>
      </w:r>
      <w:r w:rsidR="00E546CA">
        <w:rPr>
          <w:rFonts w:ascii="Arial" w:hAnsi="Arial" w:cs="Arial"/>
          <w:bCs/>
          <w:iCs/>
          <w:szCs w:val="24"/>
        </w:rPr>
        <w:t>033</w:t>
      </w:r>
      <w:r w:rsidR="001B22B4">
        <w:rPr>
          <w:rFonts w:ascii="Arial" w:hAnsi="Arial" w:cs="Arial"/>
          <w:bCs/>
          <w:iCs/>
          <w:szCs w:val="24"/>
        </w:rPr>
        <w:t>-01</w:t>
      </w:r>
      <w:r w:rsidR="00AD7995">
        <w:rPr>
          <w:rFonts w:ascii="Arial" w:hAnsi="Arial" w:cs="Arial"/>
          <w:bCs/>
          <w:iCs/>
          <w:szCs w:val="24"/>
        </w:rPr>
        <w:t>.</w:t>
      </w:r>
    </w:p>
    <w:p w:rsidR="00226D5F" w:rsidRPr="00AC486E" w:rsidRDefault="00226D5F" w:rsidP="00B4369E">
      <w:pPr>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B4369E">
      <w:pPr>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B4369E">
      <w:pPr>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lastRenderedPageBreak/>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E546CA">
        <w:rPr>
          <w:rFonts w:ascii="Arial" w:hAnsi="Arial" w:cs="Arial"/>
          <w:szCs w:val="24"/>
        </w:rPr>
        <w:t>Luz Dary Jaramillo de Londoño</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pensión de sobrevivientes</w:t>
      </w:r>
      <w:r w:rsidR="00186009">
        <w:rPr>
          <w:rFonts w:ascii="Arial" w:hAnsi="Arial" w:cs="Arial"/>
          <w:szCs w:val="24"/>
        </w:rPr>
        <w:t xml:space="preserve"> causada por el </w:t>
      </w:r>
      <w:r w:rsidR="00E546CA">
        <w:rPr>
          <w:rFonts w:ascii="Arial" w:hAnsi="Arial" w:cs="Arial"/>
          <w:szCs w:val="24"/>
        </w:rPr>
        <w:t xml:space="preserve">deceso del </w:t>
      </w:r>
      <w:r w:rsidR="00186009">
        <w:rPr>
          <w:rFonts w:ascii="Arial" w:hAnsi="Arial" w:cs="Arial"/>
          <w:szCs w:val="24"/>
        </w:rPr>
        <w:t xml:space="preserve">señor </w:t>
      </w:r>
      <w:r w:rsidR="00E546CA">
        <w:rPr>
          <w:rFonts w:ascii="Arial" w:hAnsi="Arial" w:cs="Arial"/>
          <w:szCs w:val="24"/>
        </w:rPr>
        <w:t>Rodrigo Londoño Monsalve</w:t>
      </w:r>
      <w:r w:rsidR="002B7A17">
        <w:rPr>
          <w:rFonts w:ascii="Arial" w:hAnsi="Arial" w:cs="Arial"/>
          <w:szCs w:val="24"/>
        </w:rPr>
        <w:t xml:space="preserve">, </w:t>
      </w:r>
      <w:r w:rsidR="00E546CA">
        <w:rPr>
          <w:rFonts w:ascii="Arial" w:hAnsi="Arial" w:cs="Arial"/>
          <w:szCs w:val="24"/>
        </w:rPr>
        <w:t>ocurr</w:t>
      </w:r>
      <w:r w:rsidR="002B7A17">
        <w:rPr>
          <w:rFonts w:ascii="Arial" w:hAnsi="Arial" w:cs="Arial"/>
          <w:szCs w:val="24"/>
        </w:rPr>
        <w:t>ido</w:t>
      </w:r>
      <w:r w:rsidR="00426A77">
        <w:rPr>
          <w:rFonts w:ascii="Arial" w:hAnsi="Arial" w:cs="Arial"/>
          <w:szCs w:val="24"/>
        </w:rPr>
        <w:t xml:space="preserve"> el </w:t>
      </w:r>
      <w:r w:rsidR="00E546CA">
        <w:rPr>
          <w:rFonts w:ascii="Arial" w:hAnsi="Arial" w:cs="Arial"/>
          <w:szCs w:val="24"/>
        </w:rPr>
        <w:t>10/08/2003</w:t>
      </w:r>
      <w:r w:rsidR="00426A77">
        <w:rPr>
          <w:rFonts w:ascii="Arial" w:hAnsi="Arial" w:cs="Arial"/>
          <w:szCs w:val="24"/>
        </w:rPr>
        <w:t xml:space="preserve"> y, consecuente con ello, se ordene a la entidad demandada, el reconocimiento de la prestación a partir de esa calenda, junto con</w:t>
      </w:r>
      <w:r w:rsidR="002D2217">
        <w:rPr>
          <w:rFonts w:ascii="Arial" w:hAnsi="Arial" w:cs="Arial"/>
          <w:szCs w:val="24"/>
        </w:rPr>
        <w:t xml:space="preserve"> </w:t>
      </w:r>
      <w:r w:rsidR="00426A77">
        <w:rPr>
          <w:rFonts w:ascii="Arial" w:hAnsi="Arial" w:cs="Arial"/>
          <w:szCs w:val="24"/>
        </w:rPr>
        <w:t>los intereses moratorios</w:t>
      </w:r>
      <w:r w:rsidR="00030AC2">
        <w:rPr>
          <w:rFonts w:ascii="Arial" w:hAnsi="Arial" w:cs="Arial"/>
          <w:szCs w:val="24"/>
        </w:rPr>
        <w:t xml:space="preserve"> </w:t>
      </w:r>
      <w:r w:rsidR="00426A77" w:rsidRPr="004379CF">
        <w:rPr>
          <w:rFonts w:ascii="Arial" w:hAnsi="Arial" w:cs="Arial"/>
          <w:szCs w:val="24"/>
        </w:rPr>
        <w:t>y</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AF18BD"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8F06D8">
        <w:rPr>
          <w:rFonts w:ascii="Arial" w:hAnsi="Arial" w:cs="Arial"/>
          <w:szCs w:val="24"/>
        </w:rPr>
        <w:t xml:space="preserve">contrajo matrimonio católico con el señor </w:t>
      </w:r>
      <w:r w:rsidR="00E546CA">
        <w:rPr>
          <w:rFonts w:ascii="Arial" w:hAnsi="Arial" w:cs="Arial"/>
          <w:szCs w:val="24"/>
        </w:rPr>
        <w:t>Rodrigo Londoño Monsalve</w:t>
      </w:r>
      <w:r w:rsidR="00594839">
        <w:rPr>
          <w:rFonts w:ascii="Arial" w:hAnsi="Arial" w:cs="Arial"/>
          <w:szCs w:val="24"/>
        </w:rPr>
        <w:t>,</w:t>
      </w:r>
      <w:r w:rsidR="008F06D8">
        <w:rPr>
          <w:rFonts w:ascii="Arial" w:hAnsi="Arial" w:cs="Arial"/>
          <w:szCs w:val="24"/>
        </w:rPr>
        <w:t xml:space="preserve"> el 31/10/1975 y convivieron de manera ininterrumpida durante 28 años, cuando este falleci</w:t>
      </w:r>
      <w:r w:rsidR="0038387C">
        <w:rPr>
          <w:rFonts w:ascii="Arial" w:hAnsi="Arial" w:cs="Arial"/>
          <w:szCs w:val="24"/>
        </w:rPr>
        <w:t>ó</w:t>
      </w:r>
      <w:r w:rsidR="008F06D8">
        <w:rPr>
          <w:rFonts w:ascii="Arial" w:hAnsi="Arial" w:cs="Arial"/>
          <w:szCs w:val="24"/>
        </w:rPr>
        <w:t xml:space="preserve">; (ii) dentro de esa unión procrearon dos hijos, Luz Dary que a la fecha de presentación de la demanda contaba con 38 años de edad y </w:t>
      </w:r>
      <w:proofErr w:type="spellStart"/>
      <w:r w:rsidR="008F06D8">
        <w:rPr>
          <w:rFonts w:ascii="Arial" w:hAnsi="Arial" w:cs="Arial"/>
          <w:szCs w:val="24"/>
        </w:rPr>
        <w:t>Jhon</w:t>
      </w:r>
      <w:proofErr w:type="spellEnd"/>
      <w:r w:rsidR="008F06D8">
        <w:rPr>
          <w:rFonts w:ascii="Arial" w:hAnsi="Arial" w:cs="Arial"/>
          <w:szCs w:val="24"/>
        </w:rPr>
        <w:t xml:space="preserve"> Mario, fallecido; (iii) el causante cotizó al ISS para las contingencias de IVM y acreditó 551,86 semanas en toda la vida laboral, de las cuales 388,42  lo fueron antes del 01/04/1994; (iv) el 30/09/2015 presentó solicitud de reconocimiento de la pensión de sobrevivientes, pero no recibió respuesta.</w:t>
      </w:r>
    </w:p>
    <w:p w:rsidR="007D5023" w:rsidRDefault="007D5023"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sidR="00F00141">
        <w:rPr>
          <w:rFonts w:ascii="Arial" w:hAnsi="Arial" w:cs="Arial"/>
          <w:szCs w:val="24"/>
        </w:rPr>
        <w:t xml:space="preserve">, se opuso a todas las pretensiones de la demanda y argumentó </w:t>
      </w:r>
      <w:r w:rsidR="00F30773">
        <w:rPr>
          <w:rFonts w:ascii="Arial" w:hAnsi="Arial" w:cs="Arial"/>
          <w:szCs w:val="24"/>
        </w:rPr>
        <w:t xml:space="preserve">que en vigencia de la Ley 797 de 2003, el afiliado no había dejado causado el derecho y que en </w:t>
      </w:r>
      <w:r w:rsidR="00F552D5">
        <w:rPr>
          <w:rFonts w:ascii="Arial" w:hAnsi="Arial" w:cs="Arial"/>
          <w:szCs w:val="24"/>
        </w:rPr>
        <w:t>aplicación del principio de la condición</w:t>
      </w:r>
      <w:r w:rsidR="00F30773">
        <w:rPr>
          <w:rFonts w:ascii="Arial" w:hAnsi="Arial" w:cs="Arial"/>
          <w:szCs w:val="24"/>
        </w:rPr>
        <w:t>, tampoco lo había logrado en tanto debía acreditar 26 semanas en el año inmediatamente anterior a la entrada en vigencia de la</w:t>
      </w:r>
      <w:r w:rsidR="00F552D5">
        <w:rPr>
          <w:rFonts w:ascii="Arial" w:hAnsi="Arial" w:cs="Arial"/>
          <w:szCs w:val="24"/>
        </w:rPr>
        <w:t xml:space="preserve"> </w:t>
      </w:r>
      <w:r w:rsidR="00F30773">
        <w:rPr>
          <w:rFonts w:ascii="Arial" w:hAnsi="Arial" w:cs="Arial"/>
          <w:szCs w:val="24"/>
        </w:rPr>
        <w:t xml:space="preserve">Ley 797/03 y otras 26 dentro del año anterior al deceso.  </w:t>
      </w:r>
      <w:r w:rsidR="00F552D5">
        <w:rPr>
          <w:rFonts w:ascii="Arial" w:hAnsi="Arial" w:cs="Arial"/>
          <w:szCs w:val="24"/>
        </w:rPr>
        <w:t>Interpuso</w:t>
      </w:r>
      <w:r w:rsidR="002D2217">
        <w:rPr>
          <w:rFonts w:ascii="Arial" w:hAnsi="Arial" w:cs="Arial"/>
          <w:szCs w:val="24"/>
        </w:rPr>
        <w:t xml:space="preserve"> la</w:t>
      </w:r>
      <w:r w:rsidR="00456681">
        <w:rPr>
          <w:rFonts w:ascii="Arial" w:hAnsi="Arial" w:cs="Arial"/>
          <w:szCs w:val="24"/>
        </w:rPr>
        <w:t>s</w:t>
      </w:r>
      <w:r w:rsidR="002D2217">
        <w:rPr>
          <w:rFonts w:ascii="Arial" w:hAnsi="Arial" w:cs="Arial"/>
          <w:szCs w:val="24"/>
        </w:rPr>
        <w:t xml:space="preserve"> excepci</w:t>
      </w:r>
      <w:r w:rsidR="00456681">
        <w:rPr>
          <w:rFonts w:ascii="Arial" w:hAnsi="Arial" w:cs="Arial"/>
          <w:szCs w:val="24"/>
        </w:rPr>
        <w:t xml:space="preserve">ones de </w:t>
      </w:r>
      <w:r w:rsidR="00F552D5">
        <w:rPr>
          <w:rFonts w:ascii="Arial" w:hAnsi="Arial" w:cs="Arial"/>
          <w:szCs w:val="24"/>
        </w:rPr>
        <w:t>mérito que denominó “Inexistencia de</w:t>
      </w:r>
      <w:r w:rsidR="00456681">
        <w:rPr>
          <w:rFonts w:ascii="Arial" w:hAnsi="Arial" w:cs="Arial"/>
          <w:szCs w:val="24"/>
        </w:rPr>
        <w:t xml:space="preserve"> </w:t>
      </w:r>
      <w:r w:rsidR="00F552D5">
        <w:rPr>
          <w:rFonts w:ascii="Arial" w:hAnsi="Arial" w:cs="Arial"/>
          <w:szCs w:val="24"/>
        </w:rPr>
        <w:t>l</w:t>
      </w:r>
      <w:r w:rsidR="00456681">
        <w:rPr>
          <w:rFonts w:ascii="Arial" w:hAnsi="Arial" w:cs="Arial"/>
          <w:szCs w:val="24"/>
        </w:rPr>
        <w:t>a obligación demandada</w:t>
      </w:r>
      <w:r w:rsidR="00F30773">
        <w:rPr>
          <w:rFonts w:ascii="Arial" w:hAnsi="Arial" w:cs="Arial"/>
          <w:szCs w:val="24"/>
        </w:rPr>
        <w:t>”,</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F30773">
        <w:rPr>
          <w:rFonts w:ascii="Arial" w:hAnsi="Arial" w:cs="Arial"/>
          <w:szCs w:val="24"/>
        </w:rPr>
        <w:t xml:space="preserve"> y “Genéricas”.</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456681">
        <w:rPr>
          <w:rFonts w:ascii="Arial" w:hAnsi="Arial" w:cs="Arial"/>
          <w:szCs w:val="24"/>
          <w:lang w:eastAsia="es-CO"/>
        </w:rPr>
        <w:t xml:space="preserve">Tercero </w:t>
      </w:r>
      <w:r w:rsidRPr="00510E28">
        <w:rPr>
          <w:rFonts w:ascii="Arial" w:hAnsi="Arial" w:cs="Arial"/>
          <w:szCs w:val="24"/>
          <w:lang w:eastAsia="es-CO"/>
        </w:rPr>
        <w:t xml:space="preserve">Laboral del Circuito de Pereira, </w:t>
      </w:r>
      <w:r w:rsidR="00023EF9">
        <w:rPr>
          <w:rFonts w:ascii="Arial" w:hAnsi="Arial" w:cs="Arial"/>
          <w:szCs w:val="24"/>
          <w:lang w:eastAsia="es-CO"/>
        </w:rPr>
        <w:t>negó las pretensiones de la demanda</w:t>
      </w:r>
      <w:r w:rsidR="001C1D03">
        <w:rPr>
          <w:rFonts w:ascii="Arial" w:hAnsi="Arial" w:cs="Arial"/>
          <w:szCs w:val="24"/>
          <w:lang w:eastAsia="es-CO"/>
        </w:rPr>
        <w:t>, declaró probada la excepción de inexistencia de la obligación demandada</w:t>
      </w:r>
      <w:r w:rsidR="00023EF9">
        <w:rPr>
          <w:rFonts w:ascii="Arial" w:hAnsi="Arial" w:cs="Arial"/>
          <w:szCs w:val="24"/>
          <w:lang w:eastAsia="es-CO"/>
        </w:rPr>
        <w:t xml:space="preserve"> y condenó en costas a la parte actora.</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512268" w:rsidRDefault="0020288B"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9F0617">
        <w:rPr>
          <w:rFonts w:ascii="Arial" w:hAnsi="Arial" w:cs="Arial"/>
          <w:color w:val="000000"/>
          <w:szCs w:val="24"/>
          <w:lang w:eastAsia="es-CO"/>
        </w:rPr>
        <w:t xml:space="preserve">advirtió </w:t>
      </w:r>
      <w:r w:rsidR="00037D6B">
        <w:rPr>
          <w:rFonts w:ascii="Arial" w:hAnsi="Arial" w:cs="Arial"/>
          <w:color w:val="000000"/>
          <w:szCs w:val="24"/>
          <w:lang w:eastAsia="es-CO"/>
        </w:rPr>
        <w:t xml:space="preserve">que </w:t>
      </w:r>
      <w:r>
        <w:rPr>
          <w:rFonts w:ascii="Arial" w:hAnsi="Arial" w:cs="Arial"/>
          <w:color w:val="000000"/>
          <w:szCs w:val="24"/>
          <w:lang w:eastAsia="es-CO"/>
        </w:rPr>
        <w:t>el causante no había dejado c</w:t>
      </w:r>
      <w:r w:rsidR="00C6693F">
        <w:rPr>
          <w:rFonts w:ascii="Arial" w:hAnsi="Arial" w:cs="Arial"/>
          <w:color w:val="000000"/>
          <w:szCs w:val="24"/>
          <w:lang w:eastAsia="es-CO"/>
        </w:rPr>
        <w:t xml:space="preserve">umplido </w:t>
      </w:r>
      <w:r>
        <w:rPr>
          <w:rFonts w:ascii="Arial" w:hAnsi="Arial" w:cs="Arial"/>
          <w:color w:val="000000"/>
          <w:szCs w:val="24"/>
          <w:lang w:eastAsia="es-CO"/>
        </w:rPr>
        <w:t>el derecho a la pensión de conformidad con lo previsto en la Ley 797 de 2003, toda vez que no cuenta con 50 semanas cotizadas dentro de los 3 a</w:t>
      </w:r>
      <w:r w:rsidR="00512268">
        <w:rPr>
          <w:rFonts w:ascii="Arial" w:hAnsi="Arial" w:cs="Arial"/>
          <w:color w:val="000000"/>
          <w:szCs w:val="24"/>
          <w:lang w:eastAsia="es-CO"/>
        </w:rPr>
        <w:t xml:space="preserve">ños anteriores al fallecimiento, por lo que </w:t>
      </w:r>
      <w:r w:rsidR="001C1D03">
        <w:rPr>
          <w:rFonts w:ascii="Arial" w:hAnsi="Arial" w:cs="Arial"/>
          <w:color w:val="000000"/>
          <w:szCs w:val="24"/>
          <w:lang w:eastAsia="es-CO"/>
        </w:rPr>
        <w:t xml:space="preserve">solo </w:t>
      </w:r>
      <w:r w:rsidR="00512268">
        <w:rPr>
          <w:rFonts w:ascii="Arial" w:hAnsi="Arial" w:cs="Arial"/>
          <w:color w:val="000000"/>
          <w:szCs w:val="24"/>
          <w:lang w:eastAsia="es-CO"/>
        </w:rPr>
        <w:t>era posible en aplicación del principio de la condición más beneficiosa</w:t>
      </w:r>
      <w:r w:rsidR="009F0617">
        <w:rPr>
          <w:rFonts w:ascii="Arial" w:hAnsi="Arial" w:cs="Arial"/>
          <w:color w:val="000000"/>
          <w:szCs w:val="24"/>
          <w:lang w:eastAsia="es-CO"/>
        </w:rPr>
        <w:t xml:space="preserve"> acudir a</w:t>
      </w:r>
      <w:r w:rsidR="00456681">
        <w:rPr>
          <w:rFonts w:ascii="Arial" w:hAnsi="Arial" w:cs="Arial"/>
          <w:color w:val="000000"/>
          <w:szCs w:val="24"/>
          <w:lang w:eastAsia="es-CO"/>
        </w:rPr>
        <w:t xml:space="preserve"> </w:t>
      </w:r>
      <w:r w:rsidR="009F0617">
        <w:rPr>
          <w:rFonts w:ascii="Arial" w:hAnsi="Arial" w:cs="Arial"/>
          <w:color w:val="000000"/>
          <w:szCs w:val="24"/>
          <w:lang w:eastAsia="es-CO"/>
        </w:rPr>
        <w:t>l</w:t>
      </w:r>
      <w:r w:rsidR="00456681">
        <w:rPr>
          <w:rFonts w:ascii="Arial" w:hAnsi="Arial" w:cs="Arial"/>
          <w:color w:val="000000"/>
          <w:szCs w:val="24"/>
          <w:lang w:eastAsia="es-CO"/>
        </w:rPr>
        <w:t>a norma inmediatamente anterior</w:t>
      </w:r>
      <w:r w:rsidR="00B7215F">
        <w:rPr>
          <w:rFonts w:ascii="Arial" w:hAnsi="Arial" w:cs="Arial"/>
          <w:color w:val="000000"/>
          <w:szCs w:val="24"/>
          <w:lang w:eastAsia="es-CO"/>
        </w:rPr>
        <w:t xml:space="preserve">, conforme al criterio de la Sala de Casación Laboral de la Corte Suprema de Justicia; </w:t>
      </w:r>
      <w:r w:rsidR="00456681">
        <w:rPr>
          <w:rFonts w:ascii="Arial" w:hAnsi="Arial" w:cs="Arial"/>
          <w:color w:val="000000"/>
          <w:szCs w:val="24"/>
          <w:lang w:eastAsia="es-CO"/>
        </w:rPr>
        <w:t>es decir, a la Ley 100 de 1993, bajo la cual tampoco se acreditaban los requisitos para dej</w:t>
      </w:r>
      <w:r w:rsidR="001C1D03">
        <w:rPr>
          <w:rFonts w:ascii="Arial" w:hAnsi="Arial" w:cs="Arial"/>
          <w:color w:val="000000"/>
          <w:szCs w:val="24"/>
          <w:lang w:eastAsia="es-CO"/>
        </w:rPr>
        <w:t xml:space="preserve">ar causado el derecho pensional, toda vez que la última cotización al sistema fue realizada en el año </w:t>
      </w:r>
      <w:r w:rsidR="007B4274">
        <w:rPr>
          <w:rFonts w:ascii="Arial" w:hAnsi="Arial" w:cs="Arial"/>
          <w:color w:val="000000"/>
          <w:szCs w:val="24"/>
          <w:lang w:eastAsia="es-CO"/>
        </w:rPr>
        <w:t>1997</w:t>
      </w:r>
      <w:r w:rsidR="001C1D03">
        <w:rPr>
          <w:rFonts w:ascii="Arial" w:hAnsi="Arial" w:cs="Arial"/>
          <w:color w:val="000000"/>
          <w:szCs w:val="24"/>
          <w:lang w:eastAsia="es-CO"/>
        </w:rPr>
        <w:t>.</w:t>
      </w:r>
    </w:p>
    <w:p w:rsidR="00AE4461" w:rsidRDefault="00AE4461" w:rsidP="0020288B">
      <w:pPr>
        <w:spacing w:line="276" w:lineRule="auto"/>
        <w:jc w:val="both"/>
        <w:rPr>
          <w:rFonts w:ascii="Arial" w:hAnsi="Arial" w:cs="Arial"/>
          <w:color w:val="000000"/>
          <w:szCs w:val="24"/>
          <w:lang w:eastAsia="es-CO"/>
        </w:rPr>
      </w:pPr>
    </w:p>
    <w:p w:rsidR="00AE4461" w:rsidRDefault="00AE4461" w:rsidP="0020288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de lo anterior, precisó que conforme a los diferentes actos administrativos expedidos por Colpensiones y a la última historia laboral allegada al </w:t>
      </w:r>
      <w:r w:rsidR="00BA7A52">
        <w:rPr>
          <w:rFonts w:ascii="Arial" w:hAnsi="Arial" w:cs="Arial"/>
          <w:color w:val="000000"/>
          <w:szCs w:val="24"/>
          <w:lang w:eastAsia="es-CO"/>
        </w:rPr>
        <w:t>expediente</w:t>
      </w:r>
      <w:r>
        <w:rPr>
          <w:rFonts w:ascii="Arial" w:hAnsi="Arial" w:cs="Arial"/>
          <w:color w:val="000000"/>
          <w:szCs w:val="24"/>
          <w:lang w:eastAsia="es-CO"/>
        </w:rPr>
        <w:t xml:space="preserve">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143- el señor Rodrigo Londoño Monsalve en toda la vida laboral, solo logró reunir un to</w:t>
      </w:r>
      <w:r w:rsidR="007D417C">
        <w:rPr>
          <w:rFonts w:ascii="Arial" w:hAnsi="Arial" w:cs="Arial"/>
          <w:color w:val="000000"/>
          <w:szCs w:val="24"/>
          <w:lang w:eastAsia="es-CO"/>
        </w:rPr>
        <w:t>tal de 162,43 semanas cotizadas, porque las cotizaciones solo las realizó a partir del 22 de febrero de 1994.</w:t>
      </w:r>
    </w:p>
    <w:p w:rsidR="003A294D" w:rsidRDefault="00023EF9" w:rsidP="00B0714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lastRenderedPageBreak/>
        <w:t>1.3</w:t>
      </w:r>
      <w:r w:rsidR="00176304">
        <w:rPr>
          <w:rFonts w:ascii="Arial" w:hAnsi="Arial" w:cs="Arial"/>
          <w:b/>
          <w:color w:val="000000"/>
          <w:szCs w:val="24"/>
          <w:lang w:eastAsia="es-CO"/>
        </w:rPr>
        <w:t>.</w:t>
      </w:r>
      <w:r w:rsidR="003A294D">
        <w:rPr>
          <w:rFonts w:ascii="Arial" w:hAnsi="Arial" w:cs="Arial"/>
          <w:b/>
          <w:color w:val="000000"/>
          <w:szCs w:val="24"/>
          <w:lang w:eastAsia="es-CO"/>
        </w:rPr>
        <w:t xml:space="preserve"> Síntesis del recurso de apelación</w:t>
      </w:r>
    </w:p>
    <w:p w:rsidR="003A294D" w:rsidRDefault="003A294D" w:rsidP="00B07142">
      <w:pPr>
        <w:shd w:val="clear" w:color="auto" w:fill="FFFFFF"/>
        <w:spacing w:line="276" w:lineRule="auto"/>
        <w:contextualSpacing/>
        <w:jc w:val="both"/>
        <w:rPr>
          <w:rFonts w:ascii="Arial" w:hAnsi="Arial" w:cs="Arial"/>
          <w:b/>
          <w:color w:val="000000"/>
          <w:szCs w:val="24"/>
          <w:lang w:eastAsia="es-CO"/>
        </w:rPr>
      </w:pPr>
    </w:p>
    <w:p w:rsidR="00FE253F" w:rsidRDefault="001C1D03" w:rsidP="00B07142">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w:t>
      </w:r>
      <w:r w:rsidR="00FE253F">
        <w:rPr>
          <w:rFonts w:ascii="Arial" w:hAnsi="Arial" w:cs="Arial"/>
          <w:szCs w:val="24"/>
        </w:rPr>
        <w:t xml:space="preserve">el </w:t>
      </w:r>
      <w:r w:rsidR="00901457">
        <w:rPr>
          <w:rFonts w:ascii="Arial" w:hAnsi="Arial" w:cs="Arial"/>
          <w:szCs w:val="24"/>
        </w:rPr>
        <w:t xml:space="preserve">apoderado </w:t>
      </w:r>
      <w:r>
        <w:rPr>
          <w:rFonts w:ascii="Arial" w:hAnsi="Arial" w:cs="Arial"/>
          <w:szCs w:val="24"/>
        </w:rPr>
        <w:t>judicial de la parte actora interpuso recurso de apelación y</w:t>
      </w:r>
      <w:r w:rsidR="00FE253F">
        <w:rPr>
          <w:rFonts w:ascii="Arial" w:hAnsi="Arial" w:cs="Arial"/>
          <w:szCs w:val="24"/>
        </w:rPr>
        <w:t xml:space="preserve"> lo</w:t>
      </w:r>
      <w:r>
        <w:rPr>
          <w:rFonts w:ascii="Arial" w:hAnsi="Arial" w:cs="Arial"/>
          <w:szCs w:val="24"/>
        </w:rPr>
        <w:t xml:space="preserve"> argumentó </w:t>
      </w:r>
      <w:r w:rsidR="00FE253F">
        <w:rPr>
          <w:rFonts w:ascii="Arial" w:hAnsi="Arial" w:cs="Arial"/>
          <w:szCs w:val="24"/>
        </w:rPr>
        <w:t>en (i) el desconocimiento del precedente vertical de esta Corporación</w:t>
      </w:r>
      <w:r w:rsidR="00835549">
        <w:rPr>
          <w:rFonts w:ascii="Arial" w:hAnsi="Arial" w:cs="Arial"/>
          <w:szCs w:val="24"/>
        </w:rPr>
        <w:t xml:space="preserve"> –Salas 1 y 3-</w:t>
      </w:r>
      <w:r w:rsidR="00FE253F">
        <w:rPr>
          <w:rFonts w:ascii="Arial" w:hAnsi="Arial" w:cs="Arial"/>
          <w:szCs w:val="24"/>
        </w:rPr>
        <w:t>, en el sentido de permitir la aplicación del Acuerdo 049/90</w:t>
      </w:r>
      <w:r w:rsidR="00901457">
        <w:rPr>
          <w:rFonts w:ascii="Arial" w:hAnsi="Arial" w:cs="Arial"/>
          <w:szCs w:val="24"/>
        </w:rPr>
        <w:t>,</w:t>
      </w:r>
      <w:r w:rsidR="00FE253F">
        <w:rPr>
          <w:rFonts w:ascii="Arial" w:hAnsi="Arial" w:cs="Arial"/>
          <w:szCs w:val="24"/>
        </w:rPr>
        <w:t xml:space="preserve"> </w:t>
      </w:r>
      <w:r w:rsidR="00901457">
        <w:rPr>
          <w:rFonts w:ascii="Arial" w:hAnsi="Arial" w:cs="Arial"/>
          <w:szCs w:val="24"/>
        </w:rPr>
        <w:t>en virtud</w:t>
      </w:r>
      <w:r w:rsidR="00FE253F">
        <w:rPr>
          <w:rFonts w:ascii="Arial" w:hAnsi="Arial" w:cs="Arial"/>
          <w:szCs w:val="24"/>
        </w:rPr>
        <w:t xml:space="preserve"> principio de la condición más beneficiosa; (ii) existe un defecto fáctico </w:t>
      </w:r>
      <w:r w:rsidR="00835549">
        <w:rPr>
          <w:rFonts w:ascii="Arial" w:hAnsi="Arial" w:cs="Arial"/>
          <w:szCs w:val="24"/>
        </w:rPr>
        <w:t>en relación con la valoración probatoria de la historia laboral, porque en la contestación de la demanda Colpensiones admitió lo expuesto en la demanda y el contenido</w:t>
      </w:r>
      <w:r w:rsidR="00F17E51">
        <w:rPr>
          <w:rFonts w:ascii="Arial" w:hAnsi="Arial" w:cs="Arial"/>
          <w:szCs w:val="24"/>
        </w:rPr>
        <w:t xml:space="preserve"> de ese documento, por lo que el</w:t>
      </w:r>
      <w:r w:rsidR="00835549">
        <w:rPr>
          <w:rFonts w:ascii="Arial" w:hAnsi="Arial" w:cs="Arial"/>
          <w:szCs w:val="24"/>
        </w:rPr>
        <w:t xml:space="preserve"> Despacho no podía desconocer ese aspecto</w:t>
      </w:r>
      <w:r w:rsidR="00901457">
        <w:rPr>
          <w:rFonts w:ascii="Arial" w:hAnsi="Arial" w:cs="Arial"/>
          <w:szCs w:val="24"/>
        </w:rPr>
        <w:t>.</w:t>
      </w:r>
    </w:p>
    <w:p w:rsidR="001E60E8" w:rsidRDefault="001E60E8" w:rsidP="002D566E">
      <w:pPr>
        <w:shd w:val="clear" w:color="auto" w:fill="FFFFFF"/>
        <w:spacing w:line="276" w:lineRule="auto"/>
        <w:contextualSpacing/>
        <w:jc w:val="center"/>
        <w:rPr>
          <w:rFonts w:ascii="Arial" w:hAnsi="Arial" w:cs="Arial"/>
          <w:szCs w:val="24"/>
        </w:rPr>
      </w:pPr>
    </w:p>
    <w:p w:rsidR="00733AF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B4369E" w:rsidRPr="00C84DAD" w:rsidRDefault="00B4369E" w:rsidP="002D566E">
      <w:pPr>
        <w:shd w:val="clear" w:color="auto" w:fill="FFFFFF"/>
        <w:spacing w:line="276" w:lineRule="auto"/>
        <w:contextualSpacing/>
        <w:jc w:val="center"/>
        <w:rPr>
          <w:rFonts w:ascii="Arial" w:hAnsi="Arial" w:cs="Arial"/>
          <w:b/>
          <w:szCs w:val="24"/>
        </w:rPr>
      </w:pPr>
    </w:p>
    <w:p w:rsidR="00733AFD" w:rsidRPr="00B4369E"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B4369E" w:rsidRPr="00982149" w:rsidRDefault="00B4369E" w:rsidP="00B4369E">
      <w:pPr>
        <w:pStyle w:val="Paragraphedeliste"/>
        <w:shd w:val="clear" w:color="auto" w:fill="FFFFFF"/>
        <w:tabs>
          <w:tab w:val="left" w:pos="5197"/>
        </w:tabs>
        <w:spacing w:line="276" w:lineRule="auto"/>
        <w:jc w:val="both"/>
        <w:rPr>
          <w:rFonts w:ascii="Arial" w:hAnsi="Arial" w:cs="Arial"/>
          <w:sz w:val="24"/>
          <w:szCs w:val="24"/>
        </w:rPr>
      </w:pP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¿Resul</w:t>
      </w:r>
      <w:r w:rsidRPr="00334B97">
        <w:rPr>
          <w:rFonts w:ascii="Arial" w:hAnsi="Arial" w:cs="Arial"/>
          <w:szCs w:val="24"/>
        </w:rPr>
        <w:t>ta procedente</w:t>
      </w:r>
      <w:r w:rsidR="009F0617">
        <w:rPr>
          <w:rFonts w:ascii="Arial" w:hAnsi="Arial" w:cs="Arial"/>
          <w:szCs w:val="24"/>
        </w:rPr>
        <w:t xml:space="preserve"> estudiar</w:t>
      </w:r>
      <w:r w:rsidRPr="00334B97">
        <w:rPr>
          <w:rFonts w:ascii="Arial" w:hAnsi="Arial" w:cs="Arial"/>
          <w:szCs w:val="24"/>
        </w:rPr>
        <w:t xml:space="preserv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B4369E" w:rsidRDefault="00A85C4C" w:rsidP="002D566E">
      <w:pPr>
        <w:tabs>
          <w:tab w:val="left" w:pos="0"/>
          <w:tab w:val="left" w:pos="8647"/>
        </w:tabs>
        <w:suppressAutoHyphens/>
        <w:spacing w:line="276" w:lineRule="auto"/>
        <w:ind w:right="51"/>
        <w:contextualSpacing/>
        <w:jc w:val="both"/>
        <w:rPr>
          <w:rFonts w:ascii="Arial" w:hAnsi="Arial" w:cs="Arial"/>
          <w:iCs/>
          <w:sz w:val="36"/>
          <w:szCs w:val="36"/>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2D566E">
      <w:pPr>
        <w:pStyle w:val="Corpsdetexte"/>
        <w:spacing w:line="276" w:lineRule="auto"/>
        <w:contextualSpacing/>
        <w:rPr>
          <w:iCs/>
          <w:szCs w:val="24"/>
        </w:rPr>
      </w:pPr>
    </w:p>
    <w:p w:rsidR="00C521EF" w:rsidRDefault="000757E9"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2.1. </w:t>
      </w:r>
      <w:r w:rsidR="00C521EF">
        <w:rPr>
          <w:rFonts w:ascii="Arial" w:hAnsi="Arial" w:cs="Arial"/>
          <w:szCs w:val="24"/>
        </w:rPr>
        <w:t xml:space="preserve">Se encuentra acreditado </w:t>
      </w:r>
      <w:r w:rsidR="00C521EF" w:rsidRPr="00AC486E">
        <w:rPr>
          <w:rFonts w:ascii="Arial" w:hAnsi="Arial" w:cs="Arial"/>
          <w:szCs w:val="24"/>
        </w:rPr>
        <w:t xml:space="preserve">que </w:t>
      </w:r>
      <w:r w:rsidR="005E165D">
        <w:rPr>
          <w:rFonts w:ascii="Arial" w:hAnsi="Arial" w:cs="Arial"/>
          <w:szCs w:val="24"/>
        </w:rPr>
        <w:t xml:space="preserve">el causante </w:t>
      </w:r>
      <w:r w:rsidR="00C521EF">
        <w:rPr>
          <w:rFonts w:ascii="Arial" w:hAnsi="Arial" w:cs="Arial"/>
          <w:szCs w:val="24"/>
        </w:rPr>
        <w:t xml:space="preserve">falleció el </w:t>
      </w:r>
      <w:r w:rsidR="00CA12AB">
        <w:rPr>
          <w:rFonts w:ascii="Arial" w:hAnsi="Arial" w:cs="Arial"/>
          <w:szCs w:val="24"/>
        </w:rPr>
        <w:t xml:space="preserve">10/08/2003 </w:t>
      </w:r>
      <w:r w:rsidR="0082232F">
        <w:rPr>
          <w:rFonts w:ascii="Arial" w:hAnsi="Arial" w:cs="Arial"/>
          <w:szCs w:val="24"/>
        </w:rPr>
        <w:t>–</w:t>
      </w:r>
      <w:proofErr w:type="spellStart"/>
      <w:r w:rsidR="0082232F">
        <w:rPr>
          <w:rFonts w:ascii="Arial" w:hAnsi="Arial" w:cs="Arial"/>
          <w:szCs w:val="24"/>
        </w:rPr>
        <w:t>fl</w:t>
      </w:r>
      <w:proofErr w:type="spellEnd"/>
      <w:r w:rsidR="0082232F">
        <w:rPr>
          <w:rFonts w:ascii="Arial" w:hAnsi="Arial" w:cs="Arial"/>
          <w:szCs w:val="24"/>
        </w:rPr>
        <w:t xml:space="preserve">. </w:t>
      </w:r>
      <w:r w:rsidR="00CA12AB">
        <w:rPr>
          <w:rFonts w:ascii="Arial" w:hAnsi="Arial" w:cs="Arial"/>
          <w:szCs w:val="24"/>
        </w:rPr>
        <w:t>19</w:t>
      </w:r>
      <w:r w:rsidR="0082232F">
        <w:rPr>
          <w:rFonts w:ascii="Arial" w:hAnsi="Arial" w:cs="Arial"/>
          <w:szCs w:val="24"/>
        </w:rPr>
        <w:t xml:space="preserve"> cd. 1-</w:t>
      </w:r>
      <w:r w:rsidR="00C521EF">
        <w:rPr>
          <w:rFonts w:ascii="Arial" w:hAnsi="Arial" w:cs="Arial"/>
          <w:szCs w:val="24"/>
        </w:rPr>
        <w:t xml:space="preserve">, </w:t>
      </w:r>
      <w:r w:rsidR="0068173D">
        <w:rPr>
          <w:rFonts w:ascii="Arial" w:hAnsi="Arial" w:cs="Arial"/>
          <w:szCs w:val="24"/>
        </w:rPr>
        <w:t>por lo tanto,</w:t>
      </w:r>
      <w:r w:rsidR="00C521EF" w:rsidRPr="00AC486E">
        <w:rPr>
          <w:rFonts w:ascii="Arial" w:hAnsi="Arial" w:cs="Arial"/>
          <w:szCs w:val="24"/>
        </w:rPr>
        <w:t xml:space="preserve"> la normativa </w:t>
      </w:r>
      <w:r w:rsidR="00C521EF">
        <w:rPr>
          <w:rFonts w:ascii="Arial" w:hAnsi="Arial" w:cs="Arial"/>
          <w:szCs w:val="24"/>
        </w:rPr>
        <w:t xml:space="preserve">aplicable </w:t>
      </w:r>
      <w:r w:rsidR="00C521EF" w:rsidRPr="00AC486E">
        <w:rPr>
          <w:rFonts w:ascii="Arial" w:hAnsi="Arial" w:cs="Arial"/>
          <w:szCs w:val="24"/>
        </w:rPr>
        <w:t xml:space="preserve">en esta actuación es el artículo </w:t>
      </w:r>
      <w:r w:rsidR="00C521EF">
        <w:rPr>
          <w:rFonts w:ascii="Arial" w:hAnsi="Arial" w:cs="Arial"/>
          <w:szCs w:val="24"/>
        </w:rPr>
        <w:t xml:space="preserve">12 de </w:t>
      </w:r>
      <w:r w:rsidR="00C521EF" w:rsidRPr="00AC486E">
        <w:rPr>
          <w:rFonts w:ascii="Arial" w:hAnsi="Arial" w:cs="Arial"/>
          <w:szCs w:val="24"/>
        </w:rPr>
        <w:t>la Ley 797 de 2003, que para los afiliados al sistema de seguridad social, exige haber cotizado 50 semanas dentro de los 3 años anteriores a su deceso y</w:t>
      </w:r>
      <w:r w:rsidR="00C521EF">
        <w:rPr>
          <w:rFonts w:ascii="Arial" w:hAnsi="Arial" w:cs="Arial"/>
          <w:szCs w:val="24"/>
        </w:rPr>
        <w:t xml:space="preserve">, conforme al artículo 13 de esa misma normativa, </w:t>
      </w:r>
      <w:r w:rsidR="00C521EF" w:rsidRPr="00AC486E">
        <w:rPr>
          <w:rFonts w:ascii="Arial" w:hAnsi="Arial" w:cs="Arial"/>
          <w:szCs w:val="24"/>
        </w:rPr>
        <w:t>para quien reclame la prestación en calidad de cónyuge o compañera supérstite, una convivencia con el causante por espacio no inferior a los 5 años anteriores a</w:t>
      </w:r>
      <w:r w:rsidR="009F0617">
        <w:rPr>
          <w:rFonts w:ascii="Arial" w:hAnsi="Arial" w:cs="Arial"/>
          <w:szCs w:val="24"/>
        </w:rPr>
        <w:t xml:space="preserve"> </w:t>
      </w:r>
      <w:r w:rsidR="00C521EF" w:rsidRPr="00AC486E">
        <w:rPr>
          <w:rFonts w:ascii="Arial" w:hAnsi="Arial" w:cs="Arial"/>
          <w:szCs w:val="24"/>
        </w:rPr>
        <w:t>l</w:t>
      </w:r>
      <w:r w:rsidR="009F0617">
        <w:rPr>
          <w:rFonts w:ascii="Arial" w:hAnsi="Arial" w:cs="Arial"/>
          <w:szCs w:val="24"/>
        </w:rPr>
        <w:t>a</w:t>
      </w:r>
      <w:r w:rsidR="00C521EF" w:rsidRPr="00AC486E">
        <w:rPr>
          <w:rFonts w:ascii="Arial" w:hAnsi="Arial" w:cs="Arial"/>
          <w:szCs w:val="24"/>
        </w:rPr>
        <w:t xml:space="preserve"> </w:t>
      </w:r>
      <w:r w:rsidR="009F0617">
        <w:rPr>
          <w:rFonts w:ascii="Arial" w:hAnsi="Arial" w:cs="Arial"/>
          <w:szCs w:val="24"/>
        </w:rPr>
        <w:t>muerte</w:t>
      </w:r>
      <w:r w:rsidR="00C521EF" w:rsidRPr="00AC486E">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4E1949"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w:t>
      </w:r>
      <w:r w:rsidR="00E546CA">
        <w:rPr>
          <w:rFonts w:ascii="Arial" w:hAnsi="Arial" w:cs="Arial"/>
          <w:szCs w:val="24"/>
        </w:rPr>
        <w:t>Rodrigo Londoño Monsalve</w:t>
      </w:r>
      <w:r>
        <w:rPr>
          <w:rFonts w:ascii="Arial" w:hAnsi="Arial" w:cs="Arial"/>
          <w:szCs w:val="24"/>
        </w:rPr>
        <w:t xml:space="preserve">, comprendido entre el </w:t>
      </w:r>
      <w:r w:rsidR="00CA12AB">
        <w:rPr>
          <w:rFonts w:ascii="Arial" w:hAnsi="Arial" w:cs="Arial"/>
          <w:szCs w:val="24"/>
        </w:rPr>
        <w:t>10/08/2003</w:t>
      </w:r>
      <w:r w:rsidR="0082232F">
        <w:rPr>
          <w:rFonts w:ascii="Arial" w:hAnsi="Arial" w:cs="Arial"/>
          <w:szCs w:val="24"/>
        </w:rPr>
        <w:t xml:space="preserve"> </w:t>
      </w:r>
      <w:r>
        <w:rPr>
          <w:rFonts w:ascii="Arial" w:hAnsi="Arial" w:cs="Arial"/>
          <w:szCs w:val="24"/>
        </w:rPr>
        <w:t>y la misma fecha de 20</w:t>
      </w:r>
      <w:r w:rsidR="00CA12AB">
        <w:rPr>
          <w:rFonts w:ascii="Arial" w:hAnsi="Arial" w:cs="Arial"/>
          <w:szCs w:val="24"/>
        </w:rPr>
        <w:t>00</w:t>
      </w:r>
      <w:r>
        <w:rPr>
          <w:rFonts w:ascii="Arial" w:hAnsi="Arial" w:cs="Arial"/>
          <w:szCs w:val="24"/>
        </w:rPr>
        <w:t>, alcanzó a reunir 50 semanas de cotización</w:t>
      </w:r>
      <w:r w:rsidR="004E1949">
        <w:rPr>
          <w:rFonts w:ascii="Arial" w:hAnsi="Arial" w:cs="Arial"/>
          <w:szCs w:val="24"/>
        </w:rPr>
        <w:t>.</w:t>
      </w:r>
    </w:p>
    <w:p w:rsidR="004E1949" w:rsidRDefault="004E1949" w:rsidP="00C521EF">
      <w:pPr>
        <w:autoSpaceDE w:val="0"/>
        <w:autoSpaceDN w:val="0"/>
        <w:adjustRightInd w:val="0"/>
        <w:spacing w:line="276" w:lineRule="auto"/>
        <w:contextualSpacing/>
        <w:jc w:val="both"/>
        <w:rPr>
          <w:rFonts w:ascii="Arial" w:hAnsi="Arial" w:cs="Arial"/>
          <w:szCs w:val="24"/>
        </w:rPr>
      </w:pPr>
    </w:p>
    <w:p w:rsidR="00C521EF" w:rsidRDefault="00CA12AB"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la</w:t>
      </w:r>
      <w:r w:rsidR="004E1949">
        <w:rPr>
          <w:rFonts w:ascii="Arial" w:hAnsi="Arial" w:cs="Arial"/>
          <w:szCs w:val="24"/>
        </w:rPr>
        <w:t xml:space="preserve"> historia laboral </w:t>
      </w:r>
      <w:r>
        <w:rPr>
          <w:rFonts w:ascii="Arial" w:hAnsi="Arial" w:cs="Arial"/>
          <w:szCs w:val="24"/>
        </w:rPr>
        <w:t>allegada –</w:t>
      </w:r>
      <w:proofErr w:type="spellStart"/>
      <w:r>
        <w:rPr>
          <w:rFonts w:ascii="Arial" w:hAnsi="Arial" w:cs="Arial"/>
          <w:szCs w:val="24"/>
        </w:rPr>
        <w:t>fls</w:t>
      </w:r>
      <w:proofErr w:type="spellEnd"/>
      <w:r>
        <w:rPr>
          <w:rFonts w:ascii="Arial" w:hAnsi="Arial" w:cs="Arial"/>
          <w:szCs w:val="24"/>
        </w:rPr>
        <w:t xml:space="preserve">. 152 y s.s. cd. 1- </w:t>
      </w:r>
      <w:r w:rsidR="00415B08">
        <w:rPr>
          <w:rFonts w:ascii="Arial" w:hAnsi="Arial" w:cs="Arial"/>
          <w:szCs w:val="24"/>
        </w:rPr>
        <w:t xml:space="preserve">puede concluirse que el último aporte fue realizado por el ciclo de </w:t>
      </w:r>
      <w:r>
        <w:rPr>
          <w:rFonts w:ascii="Arial" w:hAnsi="Arial" w:cs="Arial"/>
          <w:szCs w:val="24"/>
        </w:rPr>
        <w:t xml:space="preserve">abril </w:t>
      </w:r>
      <w:r w:rsidR="00415B08">
        <w:rPr>
          <w:rFonts w:ascii="Arial" w:hAnsi="Arial" w:cs="Arial"/>
          <w:szCs w:val="24"/>
        </w:rPr>
        <w:t xml:space="preserve">de </w:t>
      </w:r>
      <w:r>
        <w:rPr>
          <w:rFonts w:ascii="Arial" w:hAnsi="Arial" w:cs="Arial"/>
          <w:szCs w:val="24"/>
        </w:rPr>
        <w:t>1997</w:t>
      </w:r>
      <w:r w:rsidR="00415B08">
        <w:rPr>
          <w:rFonts w:ascii="Arial" w:hAnsi="Arial" w:cs="Arial"/>
          <w:szCs w:val="24"/>
        </w:rPr>
        <w:t xml:space="preserve">, </w:t>
      </w:r>
      <w:r w:rsidR="00C521EF">
        <w:rPr>
          <w:rFonts w:ascii="Arial" w:hAnsi="Arial" w:cs="Arial"/>
          <w:szCs w:val="24"/>
        </w:rPr>
        <w:t>de donde se evidencia que dentro de ese lapso no registra ni una sola cotización</w:t>
      </w:r>
      <w:r w:rsidR="00C90579">
        <w:rPr>
          <w:rFonts w:ascii="Arial" w:hAnsi="Arial" w:cs="Arial"/>
          <w:szCs w:val="24"/>
        </w:rPr>
        <w:t xml:space="preserve">, </w:t>
      </w:r>
      <w:r w:rsidR="00C521EF">
        <w:rPr>
          <w:rFonts w:ascii="Arial" w:hAnsi="Arial" w:cs="Arial"/>
          <w:szCs w:val="24"/>
        </w:rPr>
        <w:t xml:space="preserve">con lo cual resulta fácil colegir que no satisfizo </w:t>
      </w:r>
      <w:r w:rsidR="00C521EF" w:rsidRPr="00AC486E">
        <w:rPr>
          <w:rFonts w:ascii="Arial" w:hAnsi="Arial" w:cs="Arial"/>
          <w:szCs w:val="24"/>
        </w:rPr>
        <w:t>las exigencias del artículo 12 de la Ley 797 de 2003</w:t>
      </w:r>
      <w:r w:rsidR="00C521EF">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B4369E" w:rsidRDefault="00B4369E"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i/>
          <w:color w:val="000000"/>
          <w:sz w:val="22"/>
          <w:szCs w:val="22"/>
        </w:rPr>
      </w:pPr>
      <w:r>
        <w:rPr>
          <w:rFonts w:ascii="Arial" w:hAnsi="Arial" w:cs="Arial"/>
          <w:szCs w:val="24"/>
        </w:rPr>
        <w:lastRenderedPageBreak/>
        <w:t xml:space="preserve">Así pues, frente a este aspecto, recientemente ha </w:t>
      </w:r>
      <w:r w:rsidR="00415B08">
        <w:rPr>
          <w:rFonts w:ascii="Arial" w:hAnsi="Arial" w:cs="Arial"/>
          <w:szCs w:val="24"/>
        </w:rPr>
        <w:t xml:space="preserve">reiterado </w:t>
      </w:r>
      <w:r>
        <w:rPr>
          <w:rFonts w:ascii="Arial" w:hAnsi="Arial" w:cs="Arial"/>
          <w:szCs w:val="24"/>
        </w:rPr>
        <w:t>la Sala de Casación Labora</w:t>
      </w:r>
      <w:r w:rsidR="00415B08">
        <w:rPr>
          <w:rFonts w:ascii="Arial" w:hAnsi="Arial" w:cs="Arial"/>
          <w:szCs w:val="24"/>
        </w:rPr>
        <w:t>l de Corte Suprema de Justicia</w:t>
      </w:r>
      <w:r w:rsidRPr="00DD3634">
        <w:rPr>
          <w:rStyle w:val="Appelnotedebasdep"/>
          <w:rFonts w:ascii="Arial" w:hAnsi="Arial" w:cs="Arial"/>
          <w:szCs w:val="24"/>
        </w:rPr>
        <w:footnoteReference w:id="1"/>
      </w:r>
      <w:r w:rsidR="00415B08">
        <w:rPr>
          <w:rFonts w:ascii="Arial" w:hAnsi="Arial" w:cs="Arial"/>
          <w:szCs w:val="24"/>
        </w:rPr>
        <w:t xml:space="preserve"> que en los eventos en que el deceso del afiliado se presente en vigencia de la Ley 797/03, </w:t>
      </w:r>
      <w:r w:rsidR="001304BE">
        <w:rPr>
          <w:rFonts w:ascii="Arial" w:hAnsi="Arial" w:cs="Arial"/>
          <w:szCs w:val="24"/>
        </w:rPr>
        <w:t>“</w:t>
      </w:r>
      <w:r w:rsidR="00415B08" w:rsidRPr="00B83B68">
        <w:rPr>
          <w:rFonts w:ascii="Arial" w:hAnsi="Arial" w:cs="Arial"/>
          <w:i/>
          <w:sz w:val="22"/>
          <w:szCs w:val="22"/>
        </w:rPr>
        <w:t>no</w:t>
      </w:r>
      <w:r w:rsidR="00415B08">
        <w:rPr>
          <w:rFonts w:ascii="Arial" w:hAnsi="Arial" w:cs="Arial"/>
          <w:szCs w:val="24"/>
        </w:rPr>
        <w:t xml:space="preserve"> </w:t>
      </w:r>
      <w:r w:rsidR="00415B08" w:rsidRPr="00080F7F">
        <w:rPr>
          <w:rFonts w:ascii="Arial" w:hAnsi="Arial" w:cs="Arial"/>
          <w:i/>
          <w:color w:val="000000"/>
          <w:sz w:val="22"/>
          <w:szCs w:val="22"/>
        </w:rPr>
        <w:t xml:space="preserve">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w:t>
      </w:r>
      <w:r w:rsidR="001304BE" w:rsidRPr="00080F7F">
        <w:rPr>
          <w:rFonts w:ascii="Arial" w:hAnsi="Arial" w:cs="Arial"/>
          <w:i/>
          <w:color w:val="000000"/>
          <w:sz w:val="22"/>
          <w:szCs w:val="22"/>
        </w:rPr>
        <w:t>1993…</w:t>
      </w:r>
      <w:r w:rsidR="001304BE">
        <w:rPr>
          <w:rFonts w:ascii="Arial" w:hAnsi="Arial" w:cs="Arial"/>
          <w:i/>
          <w:color w:val="000000"/>
          <w:sz w:val="22"/>
          <w:szCs w:val="22"/>
        </w:rPr>
        <w:t>”.</w:t>
      </w:r>
    </w:p>
    <w:p w:rsidR="00B4369E" w:rsidRDefault="00B4369E" w:rsidP="00C521EF">
      <w:pPr>
        <w:autoSpaceDE w:val="0"/>
        <w:autoSpaceDN w:val="0"/>
        <w:adjustRightInd w:val="0"/>
        <w:spacing w:line="276" w:lineRule="auto"/>
        <w:contextualSpacing/>
        <w:jc w:val="both"/>
        <w:rPr>
          <w:rFonts w:ascii="Arial" w:hAnsi="Arial" w:cs="Arial"/>
          <w:szCs w:val="24"/>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De</w:t>
      </w:r>
      <w:r w:rsidR="00B83B68">
        <w:rPr>
          <w:rFonts w:ascii="Arial" w:hAnsi="Arial" w:cs="Arial"/>
          <w:szCs w:val="24"/>
        </w:rPr>
        <w:t xml:space="preserve"> ello </w:t>
      </w:r>
      <w:r w:rsidRPr="00D578CB">
        <w:rPr>
          <w:rFonts w:ascii="Arial" w:hAnsi="Arial" w:cs="Arial"/>
          <w:szCs w:val="24"/>
        </w:rPr>
        <w:t xml:space="preserve">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493E3B" w:rsidRDefault="00C521EF" w:rsidP="00C521EF">
      <w:pPr>
        <w:tabs>
          <w:tab w:val="left" w:pos="1230"/>
        </w:tabs>
        <w:autoSpaceDE w:val="0"/>
        <w:autoSpaceDN w:val="0"/>
        <w:adjustRightInd w:val="0"/>
        <w:spacing w:line="276" w:lineRule="auto"/>
        <w:contextualSpacing/>
        <w:jc w:val="both"/>
        <w:rPr>
          <w:rFonts w:ascii="Arial" w:hAnsi="Arial" w:cs="Arial"/>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sidR="000757E9">
        <w:rPr>
          <w:rStyle w:val="Appelnotedebasdep"/>
          <w:rFonts w:ascii="Arial" w:hAnsi="Arial" w:cs="Arial"/>
          <w:color w:val="000000"/>
          <w:szCs w:val="24"/>
          <w:lang w:val="es-ES"/>
        </w:rPr>
        <w:footnoteReference w:id="3"/>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w:t>
      </w:r>
      <w:r w:rsidR="00C6693F">
        <w:rPr>
          <w:rFonts w:ascii="Arial" w:hAnsi="Arial" w:cs="Arial"/>
          <w:color w:val="000000"/>
          <w:szCs w:val="24"/>
          <w:lang w:val="es-ES"/>
        </w:rPr>
        <w:t>aciones, que no es este el caso;</w:t>
      </w:r>
      <w:r w:rsidR="000E42AE">
        <w:rPr>
          <w:rFonts w:ascii="Arial" w:hAnsi="Arial" w:cs="Arial"/>
          <w:color w:val="000000"/>
          <w:szCs w:val="24"/>
          <w:lang w:val="es-ES"/>
        </w:rPr>
        <w:t xml:space="preserve"> que por el contrario, se está de acuerdo con los argumentos expuestos en el salvamento de voto del Magistrado </w:t>
      </w:r>
      <w:r w:rsidR="00493E3B">
        <w:rPr>
          <w:rFonts w:ascii="Arial" w:hAnsi="Arial" w:cs="Arial"/>
          <w:color w:val="000000"/>
          <w:szCs w:val="24"/>
          <w:lang w:val="es-ES"/>
        </w:rPr>
        <w:t>Alejandro Linares Cantillo</w:t>
      </w:r>
      <w:r w:rsidR="008C5A7F">
        <w:rPr>
          <w:rFonts w:ascii="Arial" w:hAnsi="Arial" w:cs="Arial"/>
          <w:color w:val="000000"/>
          <w:szCs w:val="24"/>
          <w:lang w:val="es-ES"/>
        </w:rPr>
        <w:t xml:space="preserve"> en la sentencia </w:t>
      </w:r>
      <w:r w:rsidR="00493E3B">
        <w:rPr>
          <w:rFonts w:ascii="Arial" w:hAnsi="Arial" w:cs="Arial"/>
          <w:color w:val="000000"/>
          <w:szCs w:val="24"/>
          <w:lang w:val="es-ES"/>
        </w:rPr>
        <w:t>SU-442-16</w:t>
      </w:r>
      <w:r w:rsidR="008C5A7F">
        <w:rPr>
          <w:rFonts w:ascii="Arial" w:hAnsi="Arial" w:cs="Arial"/>
          <w:color w:val="000000"/>
          <w:szCs w:val="24"/>
          <w:lang w:val="es-ES"/>
        </w:rPr>
        <w:t>-, que</w:t>
      </w:r>
      <w:r w:rsidR="00493E3B">
        <w:rPr>
          <w:rFonts w:ascii="Arial" w:hAnsi="Arial" w:cs="Arial"/>
          <w:color w:val="000000"/>
          <w:szCs w:val="24"/>
          <w:lang w:val="es-ES"/>
        </w:rPr>
        <w:t xml:space="preserve"> hace alusión a tres aspectos: i</w:t>
      </w:r>
      <w:r w:rsidR="008C5A7F">
        <w:rPr>
          <w:rFonts w:ascii="Arial" w:hAnsi="Arial" w:cs="Arial"/>
          <w:color w:val="000000"/>
          <w:szCs w:val="24"/>
          <w:lang w:val="es-ES"/>
        </w:rPr>
        <w:t>)</w:t>
      </w:r>
      <w:r w:rsidR="00493E3B">
        <w:rPr>
          <w:rFonts w:ascii="Arial" w:hAnsi="Arial" w:cs="Arial"/>
          <w:color w:val="000000"/>
          <w:szCs w:val="24"/>
          <w:lang w:val="es-ES"/>
        </w:rPr>
        <w:t xml:space="preserve"> el derecho solo se causa si se cumplen los requisitos de la ley,</w:t>
      </w:r>
      <w:r w:rsidR="008C5A7F">
        <w:rPr>
          <w:rFonts w:ascii="Arial" w:hAnsi="Arial" w:cs="Arial"/>
          <w:color w:val="000000"/>
          <w:szCs w:val="24"/>
          <w:lang w:val="es-ES"/>
        </w:rPr>
        <w:t xml:space="preserve"> ii)</w:t>
      </w:r>
      <w:r w:rsidR="00493E3B">
        <w:rPr>
          <w:rFonts w:ascii="Arial" w:hAnsi="Arial" w:cs="Arial"/>
          <w:color w:val="000000"/>
          <w:szCs w:val="24"/>
          <w:lang w:val="es-ES"/>
        </w:rPr>
        <w:t xml:space="preserve"> indebida aplicación del principio de favorabilidad, que exige que las dos normas en pugna se encuentren vigentes y, iii) </w:t>
      </w:r>
      <w:r w:rsidR="00493E3B" w:rsidRPr="00493E3B">
        <w:rPr>
          <w:rStyle w:val="lev"/>
          <w:rFonts w:ascii="Arial" w:hAnsi="Arial" w:cs="Arial"/>
          <w:b w:val="0"/>
          <w:bCs w:val="0"/>
          <w:szCs w:val="24"/>
          <w:shd w:val="clear" w:color="auto" w:fill="FFFFFF"/>
        </w:rPr>
        <w:t>la sostenibilidad fiscal del sistema de seguridad social en pensiones,</w:t>
      </w:r>
      <w:r w:rsidR="00493E3B" w:rsidRPr="00493E3B">
        <w:rPr>
          <w:rStyle w:val="apple-converted-space"/>
          <w:rFonts w:ascii="Arial" w:hAnsi="Arial" w:cs="Arial"/>
          <w:szCs w:val="24"/>
          <w:shd w:val="clear" w:color="auto" w:fill="FFFFFF"/>
        </w:rPr>
        <w:t> </w:t>
      </w:r>
      <w:r w:rsidR="00493E3B" w:rsidRPr="00493E3B">
        <w:rPr>
          <w:rStyle w:val="lev"/>
          <w:rFonts w:ascii="Arial" w:hAnsi="Arial" w:cs="Arial"/>
          <w:b w:val="0"/>
          <w:bCs w:val="0"/>
          <w:szCs w:val="24"/>
          <w:shd w:val="clear" w:color="auto" w:fill="FFFFFF"/>
        </w:rPr>
        <w:t>que también es un principio constitucional que garantiza el reconocimiento efectivo de los derechos pensionales de todos los afiliados</w:t>
      </w:r>
      <w:r w:rsidR="0091650A">
        <w:rPr>
          <w:rStyle w:val="lev"/>
          <w:rFonts w:ascii="Arial" w:hAnsi="Arial" w:cs="Arial"/>
          <w:b w:val="0"/>
          <w:bCs w:val="0"/>
          <w:szCs w:val="24"/>
          <w:shd w:val="clear" w:color="auto" w:fill="FFFFFF"/>
        </w:rPr>
        <w:t>.</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0757E9" w:rsidP="00C521E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2.2. </w:t>
      </w:r>
      <w:r w:rsidR="00C521EF" w:rsidRPr="00D578CB">
        <w:rPr>
          <w:rFonts w:ascii="Arial" w:hAnsi="Arial" w:cs="Arial"/>
          <w:szCs w:val="24"/>
        </w:rPr>
        <w:t>E</w:t>
      </w:r>
      <w:r w:rsidR="00C521EF">
        <w:rPr>
          <w:rFonts w:ascii="Arial" w:hAnsi="Arial" w:cs="Arial"/>
          <w:szCs w:val="24"/>
        </w:rPr>
        <w:t>n</w:t>
      </w:r>
      <w:r w:rsidR="00652D0D">
        <w:rPr>
          <w:rFonts w:ascii="Arial" w:hAnsi="Arial" w:cs="Arial"/>
          <w:szCs w:val="24"/>
        </w:rPr>
        <w:t xml:space="preserve"> este orden de ideas, para el </w:t>
      </w:r>
      <w:r w:rsidR="00CA12AB">
        <w:rPr>
          <w:rFonts w:ascii="Arial" w:hAnsi="Arial" w:cs="Arial"/>
          <w:szCs w:val="24"/>
        </w:rPr>
        <w:t>10/08/2003</w:t>
      </w:r>
      <w:r w:rsidR="000E42AE">
        <w:rPr>
          <w:rFonts w:ascii="Arial" w:hAnsi="Arial" w:cs="Arial"/>
          <w:szCs w:val="24"/>
        </w:rPr>
        <w:t>, la norma vigente es</w:t>
      </w:r>
      <w:r w:rsidR="00C521EF" w:rsidRPr="00D578CB">
        <w:rPr>
          <w:rFonts w:ascii="Arial" w:hAnsi="Arial" w:cs="Arial"/>
          <w:szCs w:val="24"/>
        </w:rPr>
        <w:t xml:space="preserve"> la Ley 797 de 2003, por lo que la disposición inmediatamente anterior resulta ser la Ley 100 de 1993 en su versión original, </w:t>
      </w:r>
      <w:r w:rsidR="00C521EF" w:rsidRPr="007B1977">
        <w:rPr>
          <w:rFonts w:ascii="Arial" w:hAnsi="Arial" w:cs="Arial"/>
          <w:color w:val="000000"/>
          <w:szCs w:val="24"/>
          <w:lang w:val="es-ES"/>
        </w:rPr>
        <w:t>c</w:t>
      </w:r>
      <w:r w:rsidR="00C521EF">
        <w:rPr>
          <w:rFonts w:ascii="Arial" w:hAnsi="Arial" w:cs="Arial"/>
          <w:color w:val="000000"/>
          <w:szCs w:val="24"/>
          <w:lang w:val="es-ES"/>
        </w:rPr>
        <w:t xml:space="preserve">uyas exigencias tampoco se reunían </w:t>
      </w:r>
      <w:r w:rsidR="00C521EF" w:rsidRPr="007B1977">
        <w:rPr>
          <w:rFonts w:ascii="Arial" w:hAnsi="Arial" w:cs="Arial"/>
          <w:color w:val="000000"/>
          <w:szCs w:val="24"/>
          <w:lang w:val="es-ES"/>
        </w:rPr>
        <w:t xml:space="preserve">en este </w:t>
      </w:r>
      <w:r w:rsidR="00C521EF">
        <w:rPr>
          <w:rFonts w:ascii="Arial" w:hAnsi="Arial" w:cs="Arial"/>
          <w:color w:val="000000"/>
          <w:szCs w:val="24"/>
          <w:lang w:val="es-ES"/>
        </w:rPr>
        <w:t>asunto</w:t>
      </w:r>
      <w:r w:rsidR="00C521EF" w:rsidRPr="007B1977">
        <w:rPr>
          <w:rFonts w:ascii="Arial" w:hAnsi="Arial" w:cs="Arial"/>
          <w:color w:val="000000"/>
          <w:szCs w:val="24"/>
          <w:lang w:val="es-ES"/>
        </w:rPr>
        <w:t xml:space="preserve">, pues según la </w:t>
      </w:r>
      <w:r w:rsidR="00652D0D">
        <w:rPr>
          <w:rFonts w:ascii="Arial" w:hAnsi="Arial" w:cs="Arial"/>
          <w:color w:val="000000"/>
          <w:szCs w:val="24"/>
          <w:lang w:val="es-ES"/>
        </w:rPr>
        <w:t xml:space="preserve">información que reposa en el expediente </w:t>
      </w:r>
      <w:r w:rsidR="00C521EF" w:rsidRPr="007B1977">
        <w:rPr>
          <w:rFonts w:ascii="Arial" w:hAnsi="Arial" w:cs="Arial"/>
          <w:color w:val="000000"/>
          <w:szCs w:val="24"/>
          <w:lang w:val="es-ES"/>
        </w:rPr>
        <w:t>el</w:t>
      </w:r>
      <w:r w:rsidR="00C521EF">
        <w:rPr>
          <w:rFonts w:ascii="Arial" w:hAnsi="Arial" w:cs="Arial"/>
          <w:color w:val="000000"/>
          <w:szCs w:val="24"/>
          <w:lang w:val="es-ES"/>
        </w:rPr>
        <w:t xml:space="preserve"> afiliado</w:t>
      </w:r>
      <w:r w:rsidR="00C521EF" w:rsidRPr="007B1977">
        <w:rPr>
          <w:rFonts w:ascii="Arial" w:hAnsi="Arial" w:cs="Arial"/>
          <w:color w:val="000000"/>
          <w:szCs w:val="24"/>
          <w:lang w:val="es-ES"/>
        </w:rPr>
        <w:t xml:space="preserve"> fallecid</w:t>
      </w:r>
      <w:r w:rsidR="00C521EF">
        <w:rPr>
          <w:rFonts w:ascii="Arial" w:hAnsi="Arial" w:cs="Arial"/>
          <w:color w:val="000000"/>
          <w:szCs w:val="24"/>
          <w:lang w:val="es-ES"/>
        </w:rPr>
        <w:t>o</w:t>
      </w:r>
      <w:r w:rsidR="00652D0D">
        <w:rPr>
          <w:rFonts w:ascii="Arial" w:hAnsi="Arial" w:cs="Arial"/>
          <w:color w:val="000000"/>
          <w:szCs w:val="24"/>
          <w:lang w:val="es-ES"/>
        </w:rPr>
        <w:t xml:space="preserve"> </w:t>
      </w:r>
      <w:r w:rsidR="00C521EF"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00C521EF"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00C521EF" w:rsidRPr="007B1977">
        <w:rPr>
          <w:rFonts w:ascii="Arial" w:hAnsi="Arial" w:cs="Arial"/>
          <w:color w:val="000000"/>
          <w:szCs w:val="24"/>
          <w:lang w:val="es-ES"/>
        </w:rPr>
        <w:t xml:space="preserve"> reportaba aportes por 26 semanas dentro del año inmediatamente anterior a esa fecha, como</w:t>
      </w:r>
      <w:r w:rsidR="00260C0B">
        <w:rPr>
          <w:rFonts w:ascii="Arial" w:hAnsi="Arial" w:cs="Arial"/>
          <w:color w:val="000000"/>
          <w:szCs w:val="24"/>
          <w:lang w:val="es-ES"/>
        </w:rPr>
        <w:t xml:space="preserve">  </w:t>
      </w:r>
      <w:r w:rsidR="00C521EF" w:rsidRPr="007B1977">
        <w:rPr>
          <w:rFonts w:ascii="Arial" w:hAnsi="Arial" w:cs="Arial"/>
          <w:color w:val="000000"/>
          <w:szCs w:val="24"/>
          <w:lang w:val="es-ES"/>
        </w:rPr>
        <w:t>lo exigía la norma en cuestión</w:t>
      </w:r>
      <w:r w:rsidR="00260C0B">
        <w:rPr>
          <w:rFonts w:ascii="Arial" w:hAnsi="Arial" w:cs="Arial"/>
          <w:color w:val="000000"/>
          <w:szCs w:val="24"/>
          <w:lang w:val="es-ES"/>
        </w:rPr>
        <w:t>,</w:t>
      </w:r>
      <w:r w:rsidR="00260C0B" w:rsidRPr="00260C0B">
        <w:rPr>
          <w:rFonts w:ascii="Arial" w:hAnsi="Arial" w:cs="Arial"/>
          <w:color w:val="000000"/>
          <w:szCs w:val="24"/>
          <w:lang w:val="es-ES"/>
        </w:rPr>
        <w:t xml:space="preserve"> </w:t>
      </w:r>
      <w:r w:rsidR="00260C0B">
        <w:rPr>
          <w:rFonts w:ascii="Arial" w:hAnsi="Arial" w:cs="Arial"/>
          <w:color w:val="000000"/>
          <w:szCs w:val="24"/>
          <w:lang w:val="es-ES"/>
        </w:rPr>
        <w:t>tampoco con anterioridad a la vigencia de la Ley 797 de 2003</w:t>
      </w:r>
      <w:r w:rsidR="00C521EF" w:rsidRPr="00D578CB">
        <w:rPr>
          <w:rFonts w:ascii="Arial" w:hAnsi="Arial" w:cs="Arial"/>
          <w:color w:val="000000"/>
          <w:szCs w:val="24"/>
          <w:lang w:val="es-ES"/>
        </w:rPr>
        <w:t xml:space="preserve">, </w:t>
      </w:r>
      <w:r w:rsidR="00C521EF" w:rsidRPr="00D578CB">
        <w:rPr>
          <w:rFonts w:ascii="Arial" w:hAnsi="Arial" w:cs="Arial"/>
          <w:color w:val="000000"/>
          <w:szCs w:val="24"/>
          <w:lang w:val="es-ES"/>
        </w:rPr>
        <w:lastRenderedPageBreak/>
        <w:t xml:space="preserve">toda vez que la última cotización realizada fue la del </w:t>
      </w:r>
      <w:r w:rsidR="00CA12AB">
        <w:rPr>
          <w:rFonts w:ascii="Arial" w:hAnsi="Arial" w:cs="Arial"/>
          <w:color w:val="000000"/>
          <w:szCs w:val="24"/>
          <w:lang w:val="es-ES"/>
        </w:rPr>
        <w:t xml:space="preserve">abril </w:t>
      </w:r>
      <w:r w:rsidR="00C521EF" w:rsidRPr="00D578CB">
        <w:rPr>
          <w:rFonts w:ascii="Arial" w:hAnsi="Arial" w:cs="Arial"/>
          <w:color w:val="000000"/>
          <w:szCs w:val="24"/>
          <w:lang w:val="es-ES"/>
        </w:rPr>
        <w:t xml:space="preserve">de </w:t>
      </w:r>
      <w:r w:rsidR="00CA12AB">
        <w:rPr>
          <w:rFonts w:ascii="Arial" w:hAnsi="Arial" w:cs="Arial"/>
          <w:color w:val="000000"/>
          <w:szCs w:val="24"/>
          <w:lang w:val="es-ES"/>
        </w:rPr>
        <w:t>1997</w:t>
      </w:r>
      <w:r w:rsidR="00652D0D">
        <w:rPr>
          <w:rFonts w:ascii="Arial" w:hAnsi="Arial" w:cs="Arial"/>
          <w:color w:val="000000"/>
          <w:szCs w:val="24"/>
          <w:lang w:val="es-ES"/>
        </w:rPr>
        <w:t>, como se refirió previamente</w:t>
      </w:r>
      <w:r w:rsidR="00C521EF" w:rsidRPr="007B1977">
        <w:rPr>
          <w:rFonts w:ascii="Arial" w:hAnsi="Arial" w:cs="Arial"/>
          <w:color w:val="000000"/>
          <w:szCs w:val="24"/>
          <w:lang w:val="es-ES"/>
        </w:rPr>
        <w:t>.</w:t>
      </w:r>
    </w:p>
    <w:p w:rsidR="00135B19" w:rsidRDefault="00135B19" w:rsidP="00C521EF">
      <w:pPr>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8C5A7F" w:rsidRDefault="008C5A7F" w:rsidP="00C521EF">
      <w:pPr>
        <w:autoSpaceDE w:val="0"/>
        <w:autoSpaceDN w:val="0"/>
        <w:adjustRightInd w:val="0"/>
        <w:spacing w:line="276" w:lineRule="auto"/>
        <w:contextualSpacing/>
        <w:jc w:val="both"/>
        <w:rPr>
          <w:rFonts w:ascii="Arial" w:hAnsi="Arial" w:cs="Arial"/>
          <w:color w:val="000000"/>
          <w:szCs w:val="24"/>
          <w:shd w:val="clear" w:color="auto" w:fill="FFFFFF"/>
        </w:rPr>
      </w:pPr>
    </w:p>
    <w:p w:rsidR="008C5A7F" w:rsidRPr="008C5A7F" w:rsidRDefault="008C5A7F" w:rsidP="00901457">
      <w:pPr>
        <w:autoSpaceDE w:val="0"/>
        <w:autoSpaceDN w:val="0"/>
        <w:adjustRightInd w:val="0"/>
        <w:spacing w:line="276" w:lineRule="auto"/>
        <w:contextualSpacing/>
        <w:jc w:val="both"/>
        <w:rPr>
          <w:rFonts w:ascii="Arial" w:hAnsi="Arial" w:cs="Arial"/>
          <w:szCs w:val="24"/>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lo que incluso da a entender que no pueda acudirse al Acuerdo 049/90, como se indicó anteriormente. </w:t>
      </w:r>
    </w:p>
    <w:p w:rsidR="00C521EF" w:rsidRDefault="00C521EF" w:rsidP="00EC0F82">
      <w:pPr>
        <w:shd w:val="clear" w:color="auto" w:fill="FFFFFF"/>
        <w:spacing w:after="150" w:line="276" w:lineRule="auto"/>
        <w:contextualSpacing/>
        <w:jc w:val="both"/>
        <w:rPr>
          <w:rFonts w:ascii="Arial" w:hAnsi="Arial" w:cs="Arial"/>
          <w:color w:val="000000"/>
          <w:szCs w:val="24"/>
          <w:lang w:val="es-ES"/>
        </w:rPr>
      </w:pPr>
    </w:p>
    <w:p w:rsidR="00C521EF" w:rsidRDefault="000757E9" w:rsidP="00EC0F82">
      <w:pPr>
        <w:shd w:val="clear" w:color="auto" w:fill="FFFFFF"/>
        <w:spacing w:after="150" w:line="276" w:lineRule="auto"/>
        <w:contextualSpacing/>
        <w:jc w:val="both"/>
        <w:rPr>
          <w:rFonts w:ascii="Arial" w:hAnsi="Arial" w:cs="Arial"/>
          <w:i/>
          <w:szCs w:val="24"/>
        </w:rPr>
      </w:pPr>
      <w:r>
        <w:rPr>
          <w:rFonts w:ascii="Arial" w:hAnsi="Arial" w:cs="Arial"/>
          <w:color w:val="000000"/>
          <w:szCs w:val="24"/>
          <w:lang w:val="es-ES"/>
        </w:rPr>
        <w:t xml:space="preserve">2.3. </w:t>
      </w:r>
      <w:r w:rsidR="00260C0B">
        <w:rPr>
          <w:rFonts w:ascii="Arial" w:hAnsi="Arial" w:cs="Arial"/>
          <w:color w:val="000000"/>
          <w:szCs w:val="24"/>
          <w:lang w:val="es-ES"/>
        </w:rPr>
        <w:t xml:space="preserve">En armonía con lo dicho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la Sala Mayoritaria </w:t>
      </w:r>
      <w:r w:rsidR="00F924F2">
        <w:rPr>
          <w:rFonts w:ascii="Arial" w:hAnsi="Arial" w:cs="Arial"/>
          <w:color w:val="000000"/>
          <w:szCs w:val="24"/>
          <w:lang w:val="es-ES"/>
        </w:rPr>
        <w:t xml:space="preserve">que </w:t>
      </w:r>
      <w:r w:rsidR="00FA5FE5">
        <w:rPr>
          <w:rFonts w:ascii="Arial" w:hAnsi="Arial" w:cs="Arial"/>
          <w:color w:val="000000"/>
          <w:szCs w:val="24"/>
          <w:lang w:val="es-ES"/>
        </w:rPr>
        <w:t xml:space="preserve">se encuentra relevada de </w:t>
      </w:r>
      <w:r w:rsidR="00722BBF">
        <w:rPr>
          <w:rFonts w:ascii="Arial" w:hAnsi="Arial" w:cs="Arial"/>
          <w:color w:val="000000"/>
          <w:szCs w:val="24"/>
          <w:lang w:val="es-ES"/>
        </w:rPr>
        <w:t>abordar el análisis</w:t>
      </w:r>
      <w:r w:rsidR="00B83B68">
        <w:rPr>
          <w:rFonts w:ascii="Arial" w:hAnsi="Arial" w:cs="Arial"/>
          <w:color w:val="000000"/>
          <w:szCs w:val="24"/>
          <w:lang w:val="es-ES"/>
        </w:rPr>
        <w:t xml:space="preserve"> d</w:t>
      </w:r>
      <w:r w:rsidR="00722BBF">
        <w:rPr>
          <w:rFonts w:ascii="Arial" w:hAnsi="Arial" w:cs="Arial"/>
          <w:color w:val="000000"/>
          <w:szCs w:val="24"/>
          <w:lang w:val="es-ES"/>
        </w:rPr>
        <w:t>e</w:t>
      </w:r>
      <w:r w:rsidR="001E60E8">
        <w:rPr>
          <w:rFonts w:ascii="Arial" w:hAnsi="Arial" w:cs="Arial"/>
          <w:szCs w:val="24"/>
        </w:rPr>
        <w:t xml:space="preserve"> los </w:t>
      </w:r>
      <w:r w:rsidR="00C521EF" w:rsidRPr="00D578CB">
        <w:rPr>
          <w:rFonts w:ascii="Arial" w:hAnsi="Arial" w:cs="Arial"/>
          <w:szCs w:val="24"/>
        </w:rPr>
        <w:t>aspecto</w:t>
      </w:r>
      <w:r w:rsidR="001E60E8">
        <w:rPr>
          <w:rFonts w:ascii="Arial" w:hAnsi="Arial" w:cs="Arial"/>
          <w:szCs w:val="24"/>
        </w:rPr>
        <w:t>s</w:t>
      </w:r>
      <w:r w:rsidR="00C521EF" w:rsidRPr="00D578CB">
        <w:rPr>
          <w:rFonts w:ascii="Arial" w:hAnsi="Arial" w:cs="Arial"/>
          <w:szCs w:val="24"/>
        </w:rPr>
        <w:t xml:space="preserve"> </w:t>
      </w:r>
      <w:r w:rsidR="001E60E8">
        <w:rPr>
          <w:rFonts w:ascii="Arial" w:hAnsi="Arial" w:cs="Arial"/>
          <w:szCs w:val="24"/>
        </w:rPr>
        <w:t xml:space="preserve">relacionados con la fecha a partir de la cual el afiliado empezó a realizar sus aportes y el correspondiente defecto fáctico que se le endilga a la a-quo frente a la valoración de la historia laboral y, </w:t>
      </w:r>
      <w:r w:rsidR="00C521EF" w:rsidRPr="00D578CB">
        <w:rPr>
          <w:rFonts w:ascii="Arial" w:hAnsi="Arial" w:cs="Arial"/>
          <w:szCs w:val="24"/>
        </w:rPr>
        <w:t xml:space="preserve">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 xml:space="preserve">de </w:t>
      </w:r>
      <w:proofErr w:type="spellStart"/>
      <w:r w:rsidR="00C521EF" w:rsidRPr="00D578CB">
        <w:rPr>
          <w:rFonts w:ascii="Arial" w:hAnsi="Arial" w:cs="Arial"/>
          <w:i/>
          <w:szCs w:val="24"/>
        </w:rPr>
        <w:t>cujus</w:t>
      </w:r>
      <w:proofErr w:type="spellEnd"/>
      <w:r w:rsidR="00C521EF" w:rsidRPr="00D578CB">
        <w:rPr>
          <w:rFonts w:ascii="Arial" w:hAnsi="Arial" w:cs="Arial"/>
          <w:i/>
          <w:szCs w:val="24"/>
        </w:rPr>
        <w:t>.</w:t>
      </w:r>
    </w:p>
    <w:p w:rsidR="0020288B" w:rsidRDefault="0020288B" w:rsidP="00EC0F82">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EC0F82">
      <w:pPr>
        <w:pStyle w:val="Sansinterligne"/>
        <w:spacing w:line="276" w:lineRule="auto"/>
        <w:contextualSpacing/>
        <w:jc w:val="center"/>
        <w:rPr>
          <w:rFonts w:ascii="Arial" w:hAnsi="Arial" w:cs="Arial"/>
          <w:b/>
          <w:sz w:val="24"/>
          <w:szCs w:val="24"/>
        </w:rPr>
      </w:pPr>
    </w:p>
    <w:p w:rsidR="000F5170" w:rsidRDefault="0020288B" w:rsidP="00EC0F82">
      <w:pPr>
        <w:spacing w:line="276" w:lineRule="auto"/>
        <w:contextualSpacing/>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00135B19">
        <w:rPr>
          <w:rFonts w:ascii="Arial" w:hAnsi="Arial" w:cs="Arial"/>
          <w:szCs w:val="24"/>
        </w:rPr>
        <w:t>.</w:t>
      </w:r>
      <w:r w:rsidR="00901457">
        <w:rPr>
          <w:rFonts w:ascii="Arial" w:hAnsi="Arial" w:cs="Arial"/>
          <w:szCs w:val="24"/>
        </w:rPr>
        <w:t xml:space="preserve"> </w:t>
      </w:r>
      <w:r w:rsidR="00733AFD" w:rsidRPr="00D578CB">
        <w:rPr>
          <w:rFonts w:ascii="Arial" w:hAnsi="Arial" w:cs="Arial"/>
          <w:szCs w:val="24"/>
        </w:rPr>
        <w:t xml:space="preserve">Costas en </w:t>
      </w:r>
      <w:r w:rsidR="006A66F5">
        <w:rPr>
          <w:rFonts w:ascii="Arial" w:hAnsi="Arial" w:cs="Arial"/>
          <w:szCs w:val="24"/>
        </w:rPr>
        <w:t xml:space="preserve">esta </w:t>
      </w:r>
      <w:r w:rsidR="00733AFD" w:rsidRPr="00D578CB">
        <w:rPr>
          <w:rFonts w:ascii="Arial" w:hAnsi="Arial" w:cs="Arial"/>
          <w:szCs w:val="24"/>
        </w:rPr>
        <w:t>instanc</w:t>
      </w:r>
      <w:r w:rsidR="006A66F5">
        <w:rPr>
          <w:rFonts w:ascii="Arial" w:hAnsi="Arial" w:cs="Arial"/>
          <w:szCs w:val="24"/>
        </w:rPr>
        <w:t>ia</w:t>
      </w:r>
      <w:r w:rsidR="00733AFD">
        <w:rPr>
          <w:rFonts w:ascii="Arial" w:hAnsi="Arial" w:cs="Arial"/>
          <w:szCs w:val="24"/>
        </w:rPr>
        <w:t xml:space="preserve"> </w:t>
      </w:r>
      <w:r w:rsidR="000F5170">
        <w:rPr>
          <w:rFonts w:ascii="Arial" w:hAnsi="Arial" w:cs="Arial"/>
          <w:szCs w:val="24"/>
        </w:rPr>
        <w:t>a cargo del recurrente y a favor de Colpensiones, por no haber prosperado el recurso.</w:t>
      </w:r>
    </w:p>
    <w:p w:rsidR="00733AFD" w:rsidRDefault="000F5170" w:rsidP="00EC0F82">
      <w:pPr>
        <w:spacing w:line="276" w:lineRule="auto"/>
        <w:contextualSpacing/>
        <w:jc w:val="both"/>
        <w:rPr>
          <w:rFonts w:ascii="Arial" w:hAnsi="Arial" w:cs="Arial"/>
          <w:szCs w:val="24"/>
        </w:rPr>
      </w:pPr>
      <w:r>
        <w:rPr>
          <w:rFonts w:ascii="Arial" w:hAnsi="Arial" w:cs="Arial"/>
          <w:szCs w:val="24"/>
        </w:rPr>
        <w:t xml:space="preserve"> </w:t>
      </w:r>
    </w:p>
    <w:p w:rsidR="00733AFD" w:rsidRPr="00195300" w:rsidRDefault="00733AFD" w:rsidP="00EC0F82">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EC0F82">
      <w:pPr>
        <w:pStyle w:val="Sansinterligne"/>
        <w:spacing w:line="276" w:lineRule="auto"/>
        <w:contextualSpacing/>
        <w:rPr>
          <w:rFonts w:ascii="Arial" w:hAnsi="Arial" w:cs="Arial"/>
          <w:sz w:val="24"/>
          <w:szCs w:val="24"/>
        </w:rPr>
      </w:pPr>
    </w:p>
    <w:p w:rsidR="00733AFD" w:rsidRDefault="00733AFD" w:rsidP="00EC0F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EC0F82">
      <w:pPr>
        <w:pStyle w:val="Prrafodelista2"/>
        <w:spacing w:after="0"/>
        <w:ind w:left="0" w:firstLine="708"/>
        <w:jc w:val="both"/>
        <w:rPr>
          <w:rFonts w:ascii="Arial" w:hAnsi="Arial" w:cs="Arial"/>
          <w:sz w:val="24"/>
          <w:szCs w:val="24"/>
        </w:rPr>
      </w:pPr>
    </w:p>
    <w:p w:rsidR="00733AFD" w:rsidRDefault="00733AFD" w:rsidP="00EC0F82">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EC0F82">
      <w:pPr>
        <w:spacing w:line="276" w:lineRule="auto"/>
        <w:contextualSpacing/>
        <w:jc w:val="center"/>
        <w:rPr>
          <w:rFonts w:ascii="Arial" w:hAnsi="Arial" w:cs="Arial"/>
          <w:b/>
          <w:szCs w:val="24"/>
        </w:rPr>
      </w:pPr>
    </w:p>
    <w:p w:rsidR="00733AFD" w:rsidRPr="00E812BF" w:rsidRDefault="00733AFD" w:rsidP="00EC0F82">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0288B">
        <w:rPr>
          <w:rFonts w:ascii="Arial" w:hAnsi="Arial" w:cs="Arial"/>
          <w:b/>
          <w:spacing w:val="-2"/>
          <w:szCs w:val="24"/>
        </w:rPr>
        <w:t>CONFIRMAR</w:t>
      </w:r>
      <w:r w:rsidR="000F5170">
        <w:rPr>
          <w:rFonts w:ascii="Arial" w:hAnsi="Arial" w:cs="Arial"/>
          <w:b/>
          <w:spacing w:val="-2"/>
          <w:szCs w:val="24"/>
        </w:rPr>
        <w:t xml:space="preserve"> </w:t>
      </w:r>
      <w:r w:rsidRPr="00D578CB">
        <w:rPr>
          <w:rFonts w:ascii="Arial" w:hAnsi="Arial" w:cs="Arial"/>
          <w:spacing w:val="-2"/>
          <w:szCs w:val="24"/>
        </w:rPr>
        <w:t>l</w:t>
      </w:r>
      <w:r w:rsidR="00CA12AB">
        <w:rPr>
          <w:rFonts w:ascii="Arial" w:hAnsi="Arial" w:cs="Arial"/>
          <w:szCs w:val="24"/>
        </w:rPr>
        <w:t>a sentencia proferida el 21</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CA12AB">
        <w:rPr>
          <w:rFonts w:ascii="Arial" w:hAnsi="Arial" w:cs="Arial"/>
          <w:szCs w:val="24"/>
        </w:rPr>
        <w:t xml:space="preserve">junio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0F5170">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E546CA">
        <w:rPr>
          <w:rFonts w:ascii="Arial" w:hAnsi="Arial" w:cs="Arial"/>
          <w:b/>
          <w:szCs w:val="24"/>
        </w:rPr>
        <w:t>Luz Dary Jaramillo de Londoño</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0F5170">
        <w:rPr>
          <w:rFonts w:ascii="Arial" w:hAnsi="Arial" w:cs="Arial"/>
          <w:szCs w:val="24"/>
        </w:rPr>
        <w:t xml:space="preserve">Costas </w:t>
      </w:r>
      <w:r w:rsidR="000F5170" w:rsidRPr="00D578CB">
        <w:rPr>
          <w:rFonts w:ascii="Arial" w:hAnsi="Arial" w:cs="Arial"/>
          <w:szCs w:val="24"/>
        </w:rPr>
        <w:t xml:space="preserve">en </w:t>
      </w:r>
      <w:r w:rsidR="000F5170">
        <w:rPr>
          <w:rFonts w:ascii="Arial" w:hAnsi="Arial" w:cs="Arial"/>
          <w:szCs w:val="24"/>
        </w:rPr>
        <w:t xml:space="preserve">esta </w:t>
      </w:r>
      <w:r w:rsidR="000F5170" w:rsidRPr="00D578CB">
        <w:rPr>
          <w:rFonts w:ascii="Arial" w:hAnsi="Arial" w:cs="Arial"/>
          <w:szCs w:val="24"/>
        </w:rPr>
        <w:t>instanc</w:t>
      </w:r>
      <w:r w:rsidR="000F5170">
        <w:rPr>
          <w:rFonts w:ascii="Arial" w:hAnsi="Arial" w:cs="Arial"/>
          <w:szCs w:val="24"/>
        </w:rPr>
        <w:t>ia a cargo del recurrente y a favor de Colpensiones, por lo dicho.</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Default="00733AFD" w:rsidP="002D566E">
      <w:pPr>
        <w:pStyle w:val="Corpsdetex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2B0763" w:rsidRPr="00A47C8D" w:rsidRDefault="002B0763"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F3D28" w:rsidRDefault="00733AFD" w:rsidP="00B510AE">
      <w:pPr>
        <w:pStyle w:val="Sansinterligne"/>
        <w:spacing w:line="276" w:lineRule="auto"/>
        <w:contextualSpacing/>
        <w:jc w:val="center"/>
        <w:rPr>
          <w:rFonts w:ascii="Arial" w:hAnsi="Arial" w:cs="Arial"/>
          <w:b/>
          <w:bCs/>
          <w:iCs/>
          <w:sz w:val="23"/>
          <w:szCs w:val="23"/>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F3D28" w:rsidRDefault="00CF3D28"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BD3C89" w:rsidRPr="00B510AE" w:rsidRDefault="00733AFD" w:rsidP="00B510A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DA1B60">
        <w:rPr>
          <w:rFonts w:ascii="Arial" w:hAnsi="Arial" w:cs="Arial"/>
          <w:sz w:val="20"/>
          <w:lang w:val="es-ES"/>
        </w:rPr>
        <w:t>(</w:t>
      </w:r>
      <w:proofErr w:type="gramStart"/>
      <w:r w:rsidR="00B83B68">
        <w:rPr>
          <w:rFonts w:ascii="Arial" w:hAnsi="Arial" w:cs="Arial"/>
          <w:sz w:val="20"/>
          <w:lang w:val="es-ES"/>
        </w:rPr>
        <w:t>salva</w:t>
      </w:r>
      <w:proofErr w:type="gramEnd"/>
      <w:r w:rsidR="00B83B68">
        <w:rPr>
          <w:rFonts w:ascii="Arial" w:hAnsi="Arial" w:cs="Arial"/>
          <w:sz w:val="20"/>
          <w:lang w:val="es-ES"/>
        </w:rPr>
        <w:t xml:space="preserve"> </w:t>
      </w:r>
      <w:r w:rsidR="00260C0B">
        <w:rPr>
          <w:rFonts w:ascii="Arial" w:hAnsi="Arial" w:cs="Arial"/>
          <w:sz w:val="20"/>
          <w:lang w:val="es-ES"/>
        </w:rPr>
        <w:t>voto)</w:t>
      </w:r>
    </w:p>
    <w:sectPr w:rsidR="00BD3C89" w:rsidRPr="00B510AE" w:rsidSect="00B4369E">
      <w:headerReference w:type="default" r:id="rId9"/>
      <w:footerReference w:type="even" r:id="rId10"/>
      <w:footerReference w:type="default" r:id="rId11"/>
      <w:pgSz w:w="12242" w:h="18722" w:code="14"/>
      <w:pgMar w:top="1560"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EF" w:rsidRDefault="007261EF" w:rsidP="00226D5F">
      <w:r>
        <w:separator/>
      </w:r>
    </w:p>
  </w:endnote>
  <w:endnote w:type="continuationSeparator" w:id="0">
    <w:p w:rsidR="007261EF" w:rsidRDefault="007261E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4369E">
      <w:rPr>
        <w:rStyle w:val="Numrodepage"/>
        <w:noProof/>
      </w:rPr>
      <w:t>5</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EF" w:rsidRDefault="007261EF" w:rsidP="00226D5F">
      <w:r>
        <w:separator/>
      </w:r>
    </w:p>
  </w:footnote>
  <w:footnote w:type="continuationSeparator" w:id="0">
    <w:p w:rsidR="007261EF" w:rsidRDefault="007261EF" w:rsidP="00226D5F">
      <w:r>
        <w:continuationSeparator/>
      </w:r>
    </w:p>
  </w:footnote>
  <w:footnote w:id="1">
    <w:p w:rsidR="00C521EF" w:rsidRPr="00A27137" w:rsidRDefault="00C521EF" w:rsidP="00B4369E">
      <w:pPr>
        <w:jc w:val="both"/>
        <w:rPr>
          <w:lang w:val="es-AR"/>
        </w:rPr>
      </w:pPr>
      <w:r w:rsidRPr="002401BC">
        <w:rPr>
          <w:rStyle w:val="Appelnotedebasdep"/>
          <w:rFonts w:ascii="Arial" w:hAnsi="Arial" w:cs="Arial"/>
          <w:sz w:val="18"/>
          <w:szCs w:val="18"/>
        </w:rPr>
        <w:footnoteRef/>
      </w:r>
      <w:r w:rsidRPr="00B4369E">
        <w:rPr>
          <w:rFonts w:ascii="Arial" w:hAnsi="Arial" w:cs="Arial"/>
          <w:color w:val="000000"/>
          <w:sz w:val="18"/>
          <w:szCs w:val="18"/>
          <w:lang w:val="es-ES"/>
        </w:rPr>
        <w:t xml:space="preserve">Corte Suprema de Justicia. </w:t>
      </w:r>
      <w:proofErr w:type="spellStart"/>
      <w:r w:rsidRPr="00B4369E">
        <w:rPr>
          <w:rFonts w:ascii="Arial" w:hAnsi="Arial" w:cs="Arial"/>
          <w:color w:val="000000"/>
          <w:sz w:val="18"/>
          <w:szCs w:val="18"/>
          <w:lang w:val="es-ES"/>
        </w:rPr>
        <w:t>M.P</w:t>
      </w:r>
      <w:proofErr w:type="spellEnd"/>
      <w:r w:rsidRPr="00B4369E">
        <w:rPr>
          <w:rFonts w:ascii="Arial" w:hAnsi="Arial" w:cs="Arial"/>
          <w:color w:val="000000"/>
          <w:sz w:val="18"/>
          <w:szCs w:val="18"/>
          <w:lang w:val="es-ES"/>
        </w:rPr>
        <w:t xml:space="preserve">. </w:t>
      </w:r>
      <w:r w:rsidR="002401BC" w:rsidRPr="00B4369E">
        <w:rPr>
          <w:rFonts w:ascii="Arial" w:hAnsi="Arial" w:cs="Arial"/>
          <w:color w:val="000000"/>
          <w:sz w:val="18"/>
          <w:szCs w:val="18"/>
          <w:lang w:val="es-ES"/>
        </w:rPr>
        <w:t>J</w:t>
      </w:r>
      <w:proofErr w:type="spellStart"/>
      <w:r w:rsidR="002401BC" w:rsidRPr="00B4369E">
        <w:rPr>
          <w:rFonts w:ascii="Arial" w:hAnsi="Arial" w:cs="Arial"/>
          <w:color w:val="000000"/>
          <w:sz w:val="18"/>
          <w:szCs w:val="18"/>
          <w:shd w:val="clear" w:color="auto" w:fill="FFFFFF"/>
        </w:rPr>
        <w:t>orge</w:t>
      </w:r>
      <w:proofErr w:type="spellEnd"/>
      <w:r w:rsidR="002401BC" w:rsidRPr="00B4369E">
        <w:rPr>
          <w:rFonts w:ascii="Arial" w:hAnsi="Arial" w:cs="Arial"/>
          <w:color w:val="000000"/>
          <w:sz w:val="18"/>
          <w:szCs w:val="18"/>
          <w:shd w:val="clear" w:color="auto" w:fill="FFFFFF"/>
        </w:rPr>
        <w:t xml:space="preserve"> Mauricio Burgos Ruiz</w:t>
      </w:r>
      <w:r w:rsidR="002401BC" w:rsidRPr="00B4369E">
        <w:rPr>
          <w:rStyle w:val="apple-converted-space"/>
          <w:rFonts w:ascii="Arial" w:hAnsi="Arial" w:cs="Arial"/>
          <w:color w:val="000000"/>
          <w:sz w:val="18"/>
          <w:szCs w:val="18"/>
          <w:shd w:val="clear" w:color="auto" w:fill="FFFFFF"/>
        </w:rPr>
        <w:t>. </w:t>
      </w:r>
      <w:proofErr w:type="spellStart"/>
      <w:r w:rsidR="002401BC" w:rsidRPr="00B4369E">
        <w:rPr>
          <w:rFonts w:ascii="Arial" w:hAnsi="Arial" w:cs="Arial"/>
          <w:color w:val="000000"/>
          <w:sz w:val="18"/>
          <w:szCs w:val="18"/>
          <w:shd w:val="clear" w:color="auto" w:fill="FFFFFF"/>
        </w:rPr>
        <w:t>SL1090</w:t>
      </w:r>
      <w:proofErr w:type="spellEnd"/>
      <w:r w:rsidR="002401BC" w:rsidRPr="00B4369E">
        <w:rPr>
          <w:rFonts w:ascii="Arial" w:hAnsi="Arial" w:cs="Arial"/>
          <w:color w:val="000000"/>
          <w:sz w:val="18"/>
          <w:szCs w:val="18"/>
          <w:shd w:val="clear" w:color="auto" w:fill="FFFFFF"/>
        </w:rPr>
        <w:t>-2017</w:t>
      </w:r>
      <w:r w:rsidR="002401BC" w:rsidRPr="00B4369E">
        <w:rPr>
          <w:rStyle w:val="apple-converted-space"/>
          <w:rFonts w:ascii="Arial" w:hAnsi="Arial" w:cs="Arial"/>
          <w:color w:val="000000"/>
          <w:sz w:val="18"/>
          <w:szCs w:val="18"/>
          <w:shd w:val="clear" w:color="auto" w:fill="FFFFFF"/>
        </w:rPr>
        <w:t xml:space="preserve">. </w:t>
      </w:r>
      <w:r w:rsidR="002401BC" w:rsidRPr="00B4369E">
        <w:rPr>
          <w:rFonts w:ascii="Arial" w:hAnsi="Arial" w:cs="Arial"/>
          <w:color w:val="000000"/>
          <w:sz w:val="18"/>
          <w:szCs w:val="18"/>
          <w:shd w:val="clear" w:color="auto" w:fill="FFFFFF"/>
        </w:rPr>
        <w:t xml:space="preserve">Radicación N° 54325 </w:t>
      </w:r>
      <w:r w:rsidR="002401BC" w:rsidRPr="00B4369E">
        <w:rPr>
          <w:rStyle w:val="apple-converted-space"/>
          <w:rFonts w:ascii="Arial" w:hAnsi="Arial" w:cs="Arial"/>
          <w:color w:val="000000"/>
          <w:sz w:val="18"/>
          <w:szCs w:val="18"/>
          <w:shd w:val="clear" w:color="auto" w:fill="FFFFFF"/>
        </w:rPr>
        <w:t> </w:t>
      </w:r>
      <w:r w:rsidR="002401BC" w:rsidRPr="00B4369E">
        <w:rPr>
          <w:rFonts w:ascii="Arial" w:hAnsi="Arial" w:cs="Arial"/>
          <w:color w:val="000000"/>
          <w:sz w:val="18"/>
          <w:szCs w:val="18"/>
        </w:rPr>
        <w:br/>
      </w:r>
      <w:r w:rsidR="002401BC" w:rsidRPr="00B4369E">
        <w:rPr>
          <w:rStyle w:val="apple-converted-space"/>
          <w:rFonts w:ascii="Arial" w:hAnsi="Arial" w:cs="Arial"/>
          <w:color w:val="000000"/>
          <w:sz w:val="18"/>
          <w:szCs w:val="18"/>
          <w:shd w:val="clear" w:color="auto" w:fill="FFFFFF"/>
        </w:rPr>
        <w:t xml:space="preserve"> del </w:t>
      </w:r>
      <w:r w:rsidR="002401BC" w:rsidRPr="00B4369E">
        <w:rPr>
          <w:rFonts w:ascii="Arial" w:hAnsi="Arial" w:cs="Arial"/>
          <w:color w:val="000000"/>
          <w:sz w:val="18"/>
          <w:szCs w:val="18"/>
          <w:shd w:val="clear" w:color="auto" w:fill="FFFFFF"/>
        </w:rPr>
        <w:t xml:space="preserve">1° de febrero de 2017. </w:t>
      </w:r>
    </w:p>
  </w:footnote>
  <w:footnote w:id="2">
    <w:p w:rsidR="00C521EF" w:rsidRPr="00676199" w:rsidRDefault="00C521EF" w:rsidP="00C521EF">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0757E9" w:rsidRPr="000757E9" w:rsidRDefault="000757E9">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8F06D8" w:rsidRDefault="00907F08" w:rsidP="008F06D8">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50370E">
      <w:rPr>
        <w:rFonts w:ascii="Arial" w:hAnsi="Arial" w:cs="Arial"/>
        <w:sz w:val="18"/>
        <w:szCs w:val="18"/>
      </w:rPr>
      <w:t>3</w:t>
    </w:r>
    <w:r w:rsidR="008F06D8">
      <w:rPr>
        <w:rFonts w:ascii="Arial" w:hAnsi="Arial" w:cs="Arial"/>
        <w:sz w:val="18"/>
        <w:szCs w:val="18"/>
      </w:rPr>
      <w:t>-2016</w:t>
    </w:r>
    <w:r w:rsidR="00601946">
      <w:rPr>
        <w:rFonts w:ascii="Arial" w:hAnsi="Arial" w:cs="Arial"/>
        <w:sz w:val="18"/>
        <w:szCs w:val="18"/>
      </w:rPr>
      <w:t>-00</w:t>
    </w:r>
    <w:r w:rsidR="008F06D8">
      <w:rPr>
        <w:rFonts w:ascii="Arial" w:hAnsi="Arial" w:cs="Arial"/>
        <w:sz w:val="18"/>
        <w:szCs w:val="18"/>
      </w:rPr>
      <w:t>033</w:t>
    </w:r>
    <w:r w:rsidR="00601946">
      <w:rPr>
        <w:rFonts w:ascii="Arial" w:hAnsi="Arial" w:cs="Arial"/>
        <w:sz w:val="18"/>
        <w:szCs w:val="18"/>
      </w:rPr>
      <w:t>-01</w:t>
    </w:r>
  </w:p>
  <w:p w:rsidR="00907F08" w:rsidRPr="00BB3FED" w:rsidRDefault="008F06D8" w:rsidP="008F06D8">
    <w:pPr>
      <w:pStyle w:val="En-tte"/>
      <w:jc w:val="center"/>
      <w:rPr>
        <w:rFonts w:ascii="Arial" w:hAnsi="Arial" w:cs="Arial"/>
        <w:sz w:val="18"/>
        <w:szCs w:val="18"/>
      </w:rPr>
    </w:pPr>
    <w:r>
      <w:rPr>
        <w:rFonts w:ascii="Arial" w:hAnsi="Arial" w:cs="Arial"/>
        <w:sz w:val="18"/>
        <w:szCs w:val="18"/>
      </w:rPr>
      <w:t xml:space="preserve">Luz Dary Jaramillo de Londoño </w:t>
    </w:r>
    <w:r w:rsidR="00907F08" w:rsidRPr="00BB3FED">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30AC2"/>
    <w:rsid w:val="00037D6B"/>
    <w:rsid w:val="00040E9A"/>
    <w:rsid w:val="000429E7"/>
    <w:rsid w:val="00042E63"/>
    <w:rsid w:val="00047835"/>
    <w:rsid w:val="00050D8B"/>
    <w:rsid w:val="0005630D"/>
    <w:rsid w:val="0006677B"/>
    <w:rsid w:val="0007142F"/>
    <w:rsid w:val="000757E9"/>
    <w:rsid w:val="00080F7F"/>
    <w:rsid w:val="0008139A"/>
    <w:rsid w:val="000902F6"/>
    <w:rsid w:val="000906DB"/>
    <w:rsid w:val="00093011"/>
    <w:rsid w:val="00095E67"/>
    <w:rsid w:val="000A397D"/>
    <w:rsid w:val="000A4D92"/>
    <w:rsid w:val="000B55C3"/>
    <w:rsid w:val="000C08B1"/>
    <w:rsid w:val="000C0A51"/>
    <w:rsid w:val="000C37D4"/>
    <w:rsid w:val="000D650B"/>
    <w:rsid w:val="000E31BE"/>
    <w:rsid w:val="000E42AE"/>
    <w:rsid w:val="000E70EB"/>
    <w:rsid w:val="000E7F42"/>
    <w:rsid w:val="000F5170"/>
    <w:rsid w:val="000F5775"/>
    <w:rsid w:val="00101DEB"/>
    <w:rsid w:val="00122A57"/>
    <w:rsid w:val="00126027"/>
    <w:rsid w:val="00127390"/>
    <w:rsid w:val="001304BE"/>
    <w:rsid w:val="00132A38"/>
    <w:rsid w:val="00134C86"/>
    <w:rsid w:val="00135B19"/>
    <w:rsid w:val="00136BD5"/>
    <w:rsid w:val="00140398"/>
    <w:rsid w:val="00143516"/>
    <w:rsid w:val="00146784"/>
    <w:rsid w:val="0015006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A7844"/>
    <w:rsid w:val="001B03FA"/>
    <w:rsid w:val="001B22B4"/>
    <w:rsid w:val="001C1D03"/>
    <w:rsid w:val="001C4D7F"/>
    <w:rsid w:val="001C756E"/>
    <w:rsid w:val="001E0313"/>
    <w:rsid w:val="001E359C"/>
    <w:rsid w:val="001E60E8"/>
    <w:rsid w:val="001F6B88"/>
    <w:rsid w:val="0020288B"/>
    <w:rsid w:val="00220AC7"/>
    <w:rsid w:val="002216E8"/>
    <w:rsid w:val="00223134"/>
    <w:rsid w:val="00225C75"/>
    <w:rsid w:val="00226D5F"/>
    <w:rsid w:val="00231C0C"/>
    <w:rsid w:val="00231C21"/>
    <w:rsid w:val="002320EB"/>
    <w:rsid w:val="002401BC"/>
    <w:rsid w:val="0024101E"/>
    <w:rsid w:val="00242152"/>
    <w:rsid w:val="0024637D"/>
    <w:rsid w:val="00247BBE"/>
    <w:rsid w:val="00260A0C"/>
    <w:rsid w:val="00260C0B"/>
    <w:rsid w:val="00272C8B"/>
    <w:rsid w:val="00287140"/>
    <w:rsid w:val="0029381D"/>
    <w:rsid w:val="00297363"/>
    <w:rsid w:val="002A02BA"/>
    <w:rsid w:val="002A30D0"/>
    <w:rsid w:val="002A55E3"/>
    <w:rsid w:val="002B0763"/>
    <w:rsid w:val="002B4E63"/>
    <w:rsid w:val="002B7A17"/>
    <w:rsid w:val="002C0C18"/>
    <w:rsid w:val="002C438C"/>
    <w:rsid w:val="002D2217"/>
    <w:rsid w:val="002D566E"/>
    <w:rsid w:val="002D6807"/>
    <w:rsid w:val="002E1176"/>
    <w:rsid w:val="002E4F47"/>
    <w:rsid w:val="002F4482"/>
    <w:rsid w:val="002F7578"/>
    <w:rsid w:val="0030077E"/>
    <w:rsid w:val="00307EEE"/>
    <w:rsid w:val="00312BD7"/>
    <w:rsid w:val="003140EF"/>
    <w:rsid w:val="00330564"/>
    <w:rsid w:val="003361EF"/>
    <w:rsid w:val="003440CA"/>
    <w:rsid w:val="00344B04"/>
    <w:rsid w:val="003463CD"/>
    <w:rsid w:val="003465C4"/>
    <w:rsid w:val="0035243D"/>
    <w:rsid w:val="00357C7B"/>
    <w:rsid w:val="00360B25"/>
    <w:rsid w:val="00362830"/>
    <w:rsid w:val="00371309"/>
    <w:rsid w:val="003718EC"/>
    <w:rsid w:val="0037195C"/>
    <w:rsid w:val="00371E9E"/>
    <w:rsid w:val="003751E1"/>
    <w:rsid w:val="00381816"/>
    <w:rsid w:val="0038387C"/>
    <w:rsid w:val="0039086A"/>
    <w:rsid w:val="003922FA"/>
    <w:rsid w:val="00392EA4"/>
    <w:rsid w:val="003A294D"/>
    <w:rsid w:val="003A3992"/>
    <w:rsid w:val="003C2430"/>
    <w:rsid w:val="003C527F"/>
    <w:rsid w:val="003D63A5"/>
    <w:rsid w:val="003E2B4E"/>
    <w:rsid w:val="003E31FF"/>
    <w:rsid w:val="003E46D1"/>
    <w:rsid w:val="003F0D02"/>
    <w:rsid w:val="003F339B"/>
    <w:rsid w:val="003F512C"/>
    <w:rsid w:val="003F77C1"/>
    <w:rsid w:val="00407775"/>
    <w:rsid w:val="00415B08"/>
    <w:rsid w:val="0042111D"/>
    <w:rsid w:val="004253D4"/>
    <w:rsid w:val="00426A77"/>
    <w:rsid w:val="00427EC4"/>
    <w:rsid w:val="00427FF5"/>
    <w:rsid w:val="004348AB"/>
    <w:rsid w:val="004379CF"/>
    <w:rsid w:val="00450598"/>
    <w:rsid w:val="00450903"/>
    <w:rsid w:val="004519EB"/>
    <w:rsid w:val="0045273B"/>
    <w:rsid w:val="00456681"/>
    <w:rsid w:val="0046338F"/>
    <w:rsid w:val="00465508"/>
    <w:rsid w:val="004779EB"/>
    <w:rsid w:val="004849E9"/>
    <w:rsid w:val="00493E3B"/>
    <w:rsid w:val="00495841"/>
    <w:rsid w:val="004A057C"/>
    <w:rsid w:val="004A2468"/>
    <w:rsid w:val="004A393C"/>
    <w:rsid w:val="004B2ADD"/>
    <w:rsid w:val="004B3C1E"/>
    <w:rsid w:val="004C4AF7"/>
    <w:rsid w:val="004D01C5"/>
    <w:rsid w:val="004D4032"/>
    <w:rsid w:val="004D51E9"/>
    <w:rsid w:val="004E0EBF"/>
    <w:rsid w:val="004E1949"/>
    <w:rsid w:val="004E4CC6"/>
    <w:rsid w:val="004E6076"/>
    <w:rsid w:val="00501034"/>
    <w:rsid w:val="00502691"/>
    <w:rsid w:val="0050370E"/>
    <w:rsid w:val="00510E28"/>
    <w:rsid w:val="0051226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601946"/>
    <w:rsid w:val="006135E9"/>
    <w:rsid w:val="0061484D"/>
    <w:rsid w:val="006232B1"/>
    <w:rsid w:val="00634D5E"/>
    <w:rsid w:val="00637118"/>
    <w:rsid w:val="00637866"/>
    <w:rsid w:val="006470C8"/>
    <w:rsid w:val="006516CA"/>
    <w:rsid w:val="00652D0D"/>
    <w:rsid w:val="00662604"/>
    <w:rsid w:val="00664C67"/>
    <w:rsid w:val="006732CE"/>
    <w:rsid w:val="00674E33"/>
    <w:rsid w:val="00675E25"/>
    <w:rsid w:val="00676199"/>
    <w:rsid w:val="0068173D"/>
    <w:rsid w:val="00693C7A"/>
    <w:rsid w:val="00695334"/>
    <w:rsid w:val="00696F69"/>
    <w:rsid w:val="006A0D48"/>
    <w:rsid w:val="006A66F5"/>
    <w:rsid w:val="006C4430"/>
    <w:rsid w:val="006C5B9B"/>
    <w:rsid w:val="006D0816"/>
    <w:rsid w:val="006E11A2"/>
    <w:rsid w:val="006E276B"/>
    <w:rsid w:val="006E2F01"/>
    <w:rsid w:val="006E53EA"/>
    <w:rsid w:val="006E67C8"/>
    <w:rsid w:val="006F0081"/>
    <w:rsid w:val="006F03F2"/>
    <w:rsid w:val="006F1F9C"/>
    <w:rsid w:val="006F2EA3"/>
    <w:rsid w:val="006F2FF3"/>
    <w:rsid w:val="006F3D12"/>
    <w:rsid w:val="006F68BC"/>
    <w:rsid w:val="00704279"/>
    <w:rsid w:val="00712CFC"/>
    <w:rsid w:val="00713558"/>
    <w:rsid w:val="007162DE"/>
    <w:rsid w:val="00716474"/>
    <w:rsid w:val="00720864"/>
    <w:rsid w:val="00721384"/>
    <w:rsid w:val="00722BBF"/>
    <w:rsid w:val="007257DE"/>
    <w:rsid w:val="007258A6"/>
    <w:rsid w:val="007261EF"/>
    <w:rsid w:val="007308D1"/>
    <w:rsid w:val="007330F0"/>
    <w:rsid w:val="00733AFD"/>
    <w:rsid w:val="00734DCF"/>
    <w:rsid w:val="00734E40"/>
    <w:rsid w:val="007465BA"/>
    <w:rsid w:val="00747B2A"/>
    <w:rsid w:val="00747E40"/>
    <w:rsid w:val="007527A8"/>
    <w:rsid w:val="00760DAC"/>
    <w:rsid w:val="007632AA"/>
    <w:rsid w:val="00764C9B"/>
    <w:rsid w:val="00766E35"/>
    <w:rsid w:val="00777D9C"/>
    <w:rsid w:val="00781BA2"/>
    <w:rsid w:val="007821FC"/>
    <w:rsid w:val="00782777"/>
    <w:rsid w:val="0078325C"/>
    <w:rsid w:val="00783823"/>
    <w:rsid w:val="00795237"/>
    <w:rsid w:val="007970D0"/>
    <w:rsid w:val="007A2D40"/>
    <w:rsid w:val="007B1977"/>
    <w:rsid w:val="007B2654"/>
    <w:rsid w:val="007B3C6C"/>
    <w:rsid w:val="007B3F42"/>
    <w:rsid w:val="007B4274"/>
    <w:rsid w:val="007B5499"/>
    <w:rsid w:val="007B79EF"/>
    <w:rsid w:val="007C5A02"/>
    <w:rsid w:val="007C6194"/>
    <w:rsid w:val="007C76E4"/>
    <w:rsid w:val="007D0A41"/>
    <w:rsid w:val="007D417C"/>
    <w:rsid w:val="007D5023"/>
    <w:rsid w:val="007E5F18"/>
    <w:rsid w:val="0080180A"/>
    <w:rsid w:val="00804AC2"/>
    <w:rsid w:val="00810397"/>
    <w:rsid w:val="0082110F"/>
    <w:rsid w:val="0082232F"/>
    <w:rsid w:val="008273A4"/>
    <w:rsid w:val="0083061B"/>
    <w:rsid w:val="0083155E"/>
    <w:rsid w:val="00835549"/>
    <w:rsid w:val="0084536A"/>
    <w:rsid w:val="0084730C"/>
    <w:rsid w:val="00847BD3"/>
    <w:rsid w:val="008514AF"/>
    <w:rsid w:val="0085750F"/>
    <w:rsid w:val="00860E42"/>
    <w:rsid w:val="00861E49"/>
    <w:rsid w:val="00865F8B"/>
    <w:rsid w:val="00872FB9"/>
    <w:rsid w:val="008751D8"/>
    <w:rsid w:val="008778BA"/>
    <w:rsid w:val="008778C4"/>
    <w:rsid w:val="00877C65"/>
    <w:rsid w:val="00880921"/>
    <w:rsid w:val="00883AAD"/>
    <w:rsid w:val="00895036"/>
    <w:rsid w:val="008A04F6"/>
    <w:rsid w:val="008A090A"/>
    <w:rsid w:val="008B3495"/>
    <w:rsid w:val="008C5A7F"/>
    <w:rsid w:val="008C5FDB"/>
    <w:rsid w:val="008C61AB"/>
    <w:rsid w:val="008D7031"/>
    <w:rsid w:val="008E1DDD"/>
    <w:rsid w:val="008E5563"/>
    <w:rsid w:val="008F003B"/>
    <w:rsid w:val="008F06D8"/>
    <w:rsid w:val="00901457"/>
    <w:rsid w:val="00904D31"/>
    <w:rsid w:val="00907A5F"/>
    <w:rsid w:val="00907F08"/>
    <w:rsid w:val="00911270"/>
    <w:rsid w:val="00915EE3"/>
    <w:rsid w:val="0091650A"/>
    <w:rsid w:val="00922DCA"/>
    <w:rsid w:val="009249A0"/>
    <w:rsid w:val="009269DA"/>
    <w:rsid w:val="00940051"/>
    <w:rsid w:val="00942452"/>
    <w:rsid w:val="00966F23"/>
    <w:rsid w:val="009740CF"/>
    <w:rsid w:val="00975D88"/>
    <w:rsid w:val="0099139C"/>
    <w:rsid w:val="00995393"/>
    <w:rsid w:val="00997B2A"/>
    <w:rsid w:val="009A12BD"/>
    <w:rsid w:val="009A158B"/>
    <w:rsid w:val="009A1C84"/>
    <w:rsid w:val="009A5558"/>
    <w:rsid w:val="009A5C45"/>
    <w:rsid w:val="009A727E"/>
    <w:rsid w:val="009B049E"/>
    <w:rsid w:val="009B50EE"/>
    <w:rsid w:val="009D6B62"/>
    <w:rsid w:val="009E1BB1"/>
    <w:rsid w:val="009E5A8E"/>
    <w:rsid w:val="009E7AFA"/>
    <w:rsid w:val="009F0617"/>
    <w:rsid w:val="009F1835"/>
    <w:rsid w:val="009F38A2"/>
    <w:rsid w:val="009F7618"/>
    <w:rsid w:val="00A02043"/>
    <w:rsid w:val="00A026CC"/>
    <w:rsid w:val="00A16831"/>
    <w:rsid w:val="00A205C1"/>
    <w:rsid w:val="00A23CFA"/>
    <w:rsid w:val="00A24F8A"/>
    <w:rsid w:val="00A26483"/>
    <w:rsid w:val="00A27137"/>
    <w:rsid w:val="00A37314"/>
    <w:rsid w:val="00A44C8E"/>
    <w:rsid w:val="00A465A9"/>
    <w:rsid w:val="00A5024C"/>
    <w:rsid w:val="00A5359A"/>
    <w:rsid w:val="00A54BD4"/>
    <w:rsid w:val="00A67E77"/>
    <w:rsid w:val="00A70128"/>
    <w:rsid w:val="00A81A6D"/>
    <w:rsid w:val="00A85C4C"/>
    <w:rsid w:val="00A87922"/>
    <w:rsid w:val="00A928D2"/>
    <w:rsid w:val="00A93DCA"/>
    <w:rsid w:val="00A957FB"/>
    <w:rsid w:val="00AB0154"/>
    <w:rsid w:val="00AB4FDE"/>
    <w:rsid w:val="00AC3820"/>
    <w:rsid w:val="00AC486E"/>
    <w:rsid w:val="00AD1341"/>
    <w:rsid w:val="00AD649C"/>
    <w:rsid w:val="00AD7562"/>
    <w:rsid w:val="00AD7995"/>
    <w:rsid w:val="00AE3443"/>
    <w:rsid w:val="00AE4461"/>
    <w:rsid w:val="00AF18BD"/>
    <w:rsid w:val="00B0027A"/>
    <w:rsid w:val="00B0466B"/>
    <w:rsid w:val="00B04D65"/>
    <w:rsid w:val="00B07142"/>
    <w:rsid w:val="00B21808"/>
    <w:rsid w:val="00B22E56"/>
    <w:rsid w:val="00B4369E"/>
    <w:rsid w:val="00B448FA"/>
    <w:rsid w:val="00B50CB7"/>
    <w:rsid w:val="00B510AE"/>
    <w:rsid w:val="00B56E76"/>
    <w:rsid w:val="00B60E4D"/>
    <w:rsid w:val="00B63166"/>
    <w:rsid w:val="00B63804"/>
    <w:rsid w:val="00B67118"/>
    <w:rsid w:val="00B71E8F"/>
    <w:rsid w:val="00B7215F"/>
    <w:rsid w:val="00B8028A"/>
    <w:rsid w:val="00B81590"/>
    <w:rsid w:val="00B83B68"/>
    <w:rsid w:val="00B929A5"/>
    <w:rsid w:val="00B93253"/>
    <w:rsid w:val="00B9600C"/>
    <w:rsid w:val="00BA0C20"/>
    <w:rsid w:val="00BA1BEB"/>
    <w:rsid w:val="00BA7A52"/>
    <w:rsid w:val="00BB390F"/>
    <w:rsid w:val="00BB3FED"/>
    <w:rsid w:val="00BB6B1B"/>
    <w:rsid w:val="00BC31C8"/>
    <w:rsid w:val="00BC3CEC"/>
    <w:rsid w:val="00BC7A07"/>
    <w:rsid w:val="00BD00C4"/>
    <w:rsid w:val="00BD1C65"/>
    <w:rsid w:val="00BD3C89"/>
    <w:rsid w:val="00BD7388"/>
    <w:rsid w:val="00BE0180"/>
    <w:rsid w:val="00BE0373"/>
    <w:rsid w:val="00BF1717"/>
    <w:rsid w:val="00BF25CC"/>
    <w:rsid w:val="00BF3BE5"/>
    <w:rsid w:val="00BF531B"/>
    <w:rsid w:val="00C1062A"/>
    <w:rsid w:val="00C14D4B"/>
    <w:rsid w:val="00C1591F"/>
    <w:rsid w:val="00C15F17"/>
    <w:rsid w:val="00C27386"/>
    <w:rsid w:val="00C35779"/>
    <w:rsid w:val="00C521EF"/>
    <w:rsid w:val="00C5450D"/>
    <w:rsid w:val="00C62F29"/>
    <w:rsid w:val="00C6693F"/>
    <w:rsid w:val="00C77CC8"/>
    <w:rsid w:val="00C90579"/>
    <w:rsid w:val="00C91182"/>
    <w:rsid w:val="00CA0456"/>
    <w:rsid w:val="00CA12AB"/>
    <w:rsid w:val="00CA15E5"/>
    <w:rsid w:val="00CA3DF9"/>
    <w:rsid w:val="00CB513F"/>
    <w:rsid w:val="00CC1852"/>
    <w:rsid w:val="00CC739E"/>
    <w:rsid w:val="00CD79E1"/>
    <w:rsid w:val="00CE19AC"/>
    <w:rsid w:val="00CF04C1"/>
    <w:rsid w:val="00CF3D28"/>
    <w:rsid w:val="00CF576A"/>
    <w:rsid w:val="00CF7B13"/>
    <w:rsid w:val="00D00108"/>
    <w:rsid w:val="00D00D98"/>
    <w:rsid w:val="00D017B8"/>
    <w:rsid w:val="00D06347"/>
    <w:rsid w:val="00D270A6"/>
    <w:rsid w:val="00D320B2"/>
    <w:rsid w:val="00D37D11"/>
    <w:rsid w:val="00D41F38"/>
    <w:rsid w:val="00D4334B"/>
    <w:rsid w:val="00D505A0"/>
    <w:rsid w:val="00D51A64"/>
    <w:rsid w:val="00D578CB"/>
    <w:rsid w:val="00D747E2"/>
    <w:rsid w:val="00D87A44"/>
    <w:rsid w:val="00D914F9"/>
    <w:rsid w:val="00D9536D"/>
    <w:rsid w:val="00DA1B60"/>
    <w:rsid w:val="00DA3E57"/>
    <w:rsid w:val="00DA464F"/>
    <w:rsid w:val="00DA6547"/>
    <w:rsid w:val="00DD5737"/>
    <w:rsid w:val="00DE2D85"/>
    <w:rsid w:val="00DE79B8"/>
    <w:rsid w:val="00DF30A5"/>
    <w:rsid w:val="00E04822"/>
    <w:rsid w:val="00E062F9"/>
    <w:rsid w:val="00E10861"/>
    <w:rsid w:val="00E153DA"/>
    <w:rsid w:val="00E27B52"/>
    <w:rsid w:val="00E34538"/>
    <w:rsid w:val="00E368B2"/>
    <w:rsid w:val="00E36A32"/>
    <w:rsid w:val="00E539BF"/>
    <w:rsid w:val="00E546CA"/>
    <w:rsid w:val="00E57586"/>
    <w:rsid w:val="00E57C3E"/>
    <w:rsid w:val="00E64334"/>
    <w:rsid w:val="00E654A5"/>
    <w:rsid w:val="00E665CA"/>
    <w:rsid w:val="00E70A48"/>
    <w:rsid w:val="00E76099"/>
    <w:rsid w:val="00E84B09"/>
    <w:rsid w:val="00E84DB5"/>
    <w:rsid w:val="00E869BA"/>
    <w:rsid w:val="00E938FF"/>
    <w:rsid w:val="00E94019"/>
    <w:rsid w:val="00E94A2D"/>
    <w:rsid w:val="00E956F4"/>
    <w:rsid w:val="00EA0577"/>
    <w:rsid w:val="00EA12D1"/>
    <w:rsid w:val="00EA172C"/>
    <w:rsid w:val="00EA2DED"/>
    <w:rsid w:val="00EA4765"/>
    <w:rsid w:val="00EB26C5"/>
    <w:rsid w:val="00EB368F"/>
    <w:rsid w:val="00EB4499"/>
    <w:rsid w:val="00EC0F82"/>
    <w:rsid w:val="00EC25B4"/>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17E51"/>
    <w:rsid w:val="00F30773"/>
    <w:rsid w:val="00F500A7"/>
    <w:rsid w:val="00F5067B"/>
    <w:rsid w:val="00F552D5"/>
    <w:rsid w:val="00F56B58"/>
    <w:rsid w:val="00F65645"/>
    <w:rsid w:val="00F7229A"/>
    <w:rsid w:val="00F761FA"/>
    <w:rsid w:val="00F80806"/>
    <w:rsid w:val="00F854DC"/>
    <w:rsid w:val="00F91202"/>
    <w:rsid w:val="00F924F2"/>
    <w:rsid w:val="00F9391A"/>
    <w:rsid w:val="00F9632D"/>
    <w:rsid w:val="00FA42C7"/>
    <w:rsid w:val="00FA5FE5"/>
    <w:rsid w:val="00FA6675"/>
    <w:rsid w:val="00FA75E6"/>
    <w:rsid w:val="00FA7FA8"/>
    <w:rsid w:val="00FB4F2B"/>
    <w:rsid w:val="00FC44F4"/>
    <w:rsid w:val="00FD2EF2"/>
    <w:rsid w:val="00FE059A"/>
    <w:rsid w:val="00FE253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21A6-F0F9-416D-A2ED-5B4D2922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2264</Words>
  <Characters>12457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cp:revision>
  <cp:lastPrinted>2017-03-07T16:22:00Z</cp:lastPrinted>
  <dcterms:created xsi:type="dcterms:W3CDTF">2017-05-08T12:08:00Z</dcterms:created>
  <dcterms:modified xsi:type="dcterms:W3CDTF">2017-06-29T01:57:00Z</dcterms:modified>
</cp:coreProperties>
</file>