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91" w:rsidRDefault="008B6691" w:rsidP="008B6691">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18"/>
          <w:szCs w:val="18"/>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6691" w:rsidRDefault="008B6691" w:rsidP="00F017BF">
      <w:pPr>
        <w:spacing w:line="276" w:lineRule="auto"/>
        <w:ind w:left="1416" w:firstLine="708"/>
        <w:jc w:val="both"/>
        <w:rPr>
          <w:rFonts w:ascii="Arial" w:hAnsi="Arial" w:cs="Arial"/>
          <w:b/>
          <w:sz w:val="18"/>
          <w:szCs w:val="18"/>
        </w:rPr>
      </w:pPr>
    </w:p>
    <w:p w:rsidR="00226D5F" w:rsidRPr="007C5A02" w:rsidRDefault="00226D5F" w:rsidP="008B6691">
      <w:pPr>
        <w:spacing w:line="276" w:lineRule="auto"/>
        <w:ind w:left="1134"/>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8B6691">
        <w:rPr>
          <w:rFonts w:ascii="Arial" w:hAnsi="Arial" w:cs="Arial"/>
          <w:sz w:val="18"/>
          <w:szCs w:val="18"/>
        </w:rPr>
        <w:t>Sentencia – 2ª instancia – 23 de mayo de 2017</w:t>
      </w:r>
    </w:p>
    <w:p w:rsidR="008B6691" w:rsidRPr="007C5A02" w:rsidRDefault="008B6691" w:rsidP="008B6691">
      <w:pPr>
        <w:spacing w:line="276" w:lineRule="auto"/>
        <w:ind w:left="1134"/>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sentencia que negó las pretensiones</w:t>
      </w:r>
    </w:p>
    <w:p w:rsidR="00226D5F" w:rsidRPr="007C5A02" w:rsidRDefault="00226D5F" w:rsidP="008B6691">
      <w:pPr>
        <w:spacing w:line="276" w:lineRule="auto"/>
        <w:ind w:left="1134"/>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505D6">
        <w:rPr>
          <w:rFonts w:ascii="Arial" w:hAnsi="Arial" w:cs="Arial"/>
          <w:bCs/>
          <w:sz w:val="18"/>
          <w:szCs w:val="18"/>
        </w:rPr>
        <w:t>1</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6505D6">
        <w:rPr>
          <w:rFonts w:ascii="Arial" w:hAnsi="Arial" w:cs="Arial"/>
          <w:bCs/>
          <w:sz w:val="18"/>
          <w:szCs w:val="18"/>
        </w:rPr>
        <w:t>157</w:t>
      </w:r>
      <w:r w:rsidRPr="007C5A02">
        <w:rPr>
          <w:rFonts w:ascii="Arial" w:hAnsi="Arial" w:cs="Arial"/>
          <w:bCs/>
          <w:sz w:val="18"/>
          <w:szCs w:val="18"/>
        </w:rPr>
        <w:t>-01</w:t>
      </w:r>
    </w:p>
    <w:p w:rsidR="00226D5F" w:rsidRPr="007C5A02" w:rsidRDefault="00226D5F" w:rsidP="008B6691">
      <w:pPr>
        <w:spacing w:line="276" w:lineRule="auto"/>
        <w:ind w:left="1134"/>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proofErr w:type="spellStart"/>
      <w:r w:rsidR="006505D6">
        <w:rPr>
          <w:rFonts w:ascii="Arial" w:hAnsi="Arial" w:cs="Arial"/>
          <w:iCs/>
          <w:sz w:val="18"/>
          <w:szCs w:val="18"/>
        </w:rPr>
        <w:t>Dor</w:t>
      </w:r>
      <w:bookmarkStart w:id="0" w:name="_GoBack"/>
      <w:bookmarkEnd w:id="0"/>
      <w:r w:rsidR="006505D6">
        <w:rPr>
          <w:rFonts w:ascii="Arial" w:hAnsi="Arial" w:cs="Arial"/>
          <w:iCs/>
          <w:sz w:val="18"/>
          <w:szCs w:val="18"/>
        </w:rPr>
        <w:t>ancé</w:t>
      </w:r>
      <w:proofErr w:type="spellEnd"/>
      <w:r w:rsidR="006505D6">
        <w:rPr>
          <w:rFonts w:ascii="Arial" w:hAnsi="Arial" w:cs="Arial"/>
          <w:iCs/>
          <w:sz w:val="18"/>
          <w:szCs w:val="18"/>
        </w:rPr>
        <w:t xml:space="preserve"> Mosquera </w:t>
      </w:r>
      <w:proofErr w:type="spellStart"/>
      <w:r w:rsidR="006505D6">
        <w:rPr>
          <w:rFonts w:ascii="Arial" w:hAnsi="Arial" w:cs="Arial"/>
          <w:iCs/>
          <w:sz w:val="18"/>
          <w:szCs w:val="18"/>
        </w:rPr>
        <w:t>Taborda</w:t>
      </w:r>
      <w:proofErr w:type="spellEnd"/>
    </w:p>
    <w:p w:rsidR="00226D5F" w:rsidRPr="007C5A02" w:rsidRDefault="00226D5F" w:rsidP="008B6691">
      <w:pPr>
        <w:spacing w:line="276" w:lineRule="auto"/>
        <w:ind w:left="1134"/>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226D5F" w:rsidP="008B6691">
      <w:pPr>
        <w:spacing w:line="276" w:lineRule="auto"/>
        <w:ind w:left="1134"/>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6505D6">
        <w:rPr>
          <w:rFonts w:ascii="Arial" w:hAnsi="Arial" w:cs="Arial"/>
          <w:sz w:val="18"/>
          <w:szCs w:val="18"/>
        </w:rPr>
        <w:t xml:space="preserve">Primero </w:t>
      </w:r>
      <w:r w:rsidRPr="007C5A02">
        <w:rPr>
          <w:rFonts w:ascii="Arial" w:hAnsi="Arial" w:cs="Arial"/>
          <w:sz w:val="18"/>
          <w:szCs w:val="18"/>
        </w:rPr>
        <w:t>Laboral del Circuito de Pereira.</w:t>
      </w:r>
    </w:p>
    <w:p w:rsidR="008B6691" w:rsidRPr="007C5A02" w:rsidRDefault="008B6691" w:rsidP="008B6691">
      <w:pPr>
        <w:spacing w:line="276" w:lineRule="auto"/>
        <w:ind w:left="1134"/>
        <w:jc w:val="both"/>
        <w:rPr>
          <w:rFonts w:ascii="Arial" w:hAnsi="Arial" w:cs="Arial"/>
          <w:sz w:val="18"/>
          <w:szCs w:val="18"/>
        </w:rPr>
      </w:pPr>
    </w:p>
    <w:p w:rsidR="008B6691" w:rsidRPr="008B6691" w:rsidRDefault="00226D5F" w:rsidP="008B6691">
      <w:pPr>
        <w:spacing w:line="276" w:lineRule="auto"/>
        <w:ind w:left="1134"/>
        <w:jc w:val="both"/>
        <w:rPr>
          <w:rFonts w:ascii="Arial" w:hAnsi="Arial" w:cs="Arial"/>
          <w:b/>
          <w:color w:val="000000"/>
          <w:sz w:val="18"/>
          <w:szCs w:val="18"/>
          <w:lang w:eastAsia="es-CO"/>
        </w:rPr>
      </w:pPr>
      <w:r w:rsidRPr="00007B72">
        <w:rPr>
          <w:rFonts w:ascii="Arial" w:hAnsi="Arial" w:cs="Arial"/>
          <w:b/>
          <w:bCs/>
          <w:sz w:val="18"/>
          <w:szCs w:val="18"/>
        </w:rPr>
        <w:t xml:space="preserve">Tema a tratar: </w:t>
      </w:r>
      <w:r w:rsidR="008B6691">
        <w:rPr>
          <w:rFonts w:ascii="Arial" w:hAnsi="Arial" w:cs="Arial"/>
          <w:b/>
          <w:bCs/>
          <w:sz w:val="18"/>
          <w:szCs w:val="18"/>
        </w:rPr>
        <w:tab/>
      </w:r>
      <w:r w:rsidR="00972117">
        <w:rPr>
          <w:rFonts w:ascii="Arial" w:hAnsi="Arial" w:cs="Arial"/>
          <w:b/>
          <w:color w:val="000000"/>
          <w:sz w:val="18"/>
          <w:szCs w:val="18"/>
          <w:lang w:eastAsia="es-CO"/>
        </w:rPr>
        <w:t>PENSIÓN DE VEJEZ – RÉGIMEN DE TRANSICIÓN –A</w:t>
      </w:r>
      <w:r w:rsidR="00C71AE7">
        <w:rPr>
          <w:rFonts w:ascii="Arial" w:hAnsi="Arial" w:cs="Arial"/>
          <w:b/>
          <w:color w:val="000000"/>
          <w:sz w:val="18"/>
          <w:szCs w:val="18"/>
          <w:lang w:eastAsia="es-CO"/>
        </w:rPr>
        <w:t xml:space="preserve">CUERDO 049 DE 1990 – </w:t>
      </w:r>
      <w:r w:rsidR="006505D6">
        <w:rPr>
          <w:rFonts w:ascii="Arial" w:hAnsi="Arial" w:cs="Arial"/>
          <w:b/>
          <w:color w:val="000000"/>
          <w:sz w:val="18"/>
          <w:szCs w:val="18"/>
          <w:lang w:eastAsia="es-CO"/>
        </w:rPr>
        <w:t>IMPOSIBILIDAD DE CÓMPUTAR TIEMPOS PÚBLICOS Y PRIVADOS</w:t>
      </w:r>
      <w:r w:rsidR="008B6691">
        <w:rPr>
          <w:rFonts w:ascii="Arial" w:hAnsi="Arial" w:cs="Arial"/>
          <w:b/>
          <w:color w:val="000000"/>
          <w:sz w:val="18"/>
          <w:szCs w:val="18"/>
          <w:lang w:eastAsia="es-CO"/>
        </w:rPr>
        <w:t xml:space="preserve">. </w:t>
      </w:r>
      <w:r w:rsidR="008B6691" w:rsidRPr="008B6691">
        <w:rPr>
          <w:rFonts w:ascii="Arial" w:hAnsi="Arial" w:cs="Arial"/>
          <w:color w:val="000000"/>
          <w:sz w:val="18"/>
          <w:szCs w:val="18"/>
          <w:lang w:eastAsia="es-CO"/>
        </w:rPr>
        <w:t xml:space="preserve">“[E]s evidente que el señor </w:t>
      </w:r>
      <w:proofErr w:type="spellStart"/>
      <w:r w:rsidR="008B6691" w:rsidRPr="008B6691">
        <w:rPr>
          <w:rFonts w:ascii="Arial" w:hAnsi="Arial" w:cs="Arial"/>
          <w:color w:val="000000"/>
          <w:sz w:val="18"/>
          <w:szCs w:val="18"/>
          <w:lang w:eastAsia="es-CO"/>
        </w:rPr>
        <w:t>Dorancé</w:t>
      </w:r>
      <w:proofErr w:type="spellEnd"/>
      <w:r w:rsidR="008B6691" w:rsidRPr="008B6691">
        <w:rPr>
          <w:rFonts w:ascii="Arial" w:hAnsi="Arial" w:cs="Arial"/>
          <w:color w:val="000000"/>
          <w:sz w:val="18"/>
          <w:szCs w:val="18"/>
          <w:lang w:eastAsia="es-CO"/>
        </w:rPr>
        <w:t xml:space="preserve"> Mosquera </w:t>
      </w:r>
      <w:proofErr w:type="spellStart"/>
      <w:r w:rsidR="008B6691" w:rsidRPr="008B6691">
        <w:rPr>
          <w:rFonts w:ascii="Arial" w:hAnsi="Arial" w:cs="Arial"/>
          <w:color w:val="000000"/>
          <w:sz w:val="18"/>
          <w:szCs w:val="18"/>
          <w:lang w:eastAsia="es-CO"/>
        </w:rPr>
        <w:t>Taborda</w:t>
      </w:r>
      <w:proofErr w:type="spellEnd"/>
      <w:r w:rsidR="008B6691" w:rsidRPr="008B6691">
        <w:rPr>
          <w:rFonts w:ascii="Arial" w:hAnsi="Arial" w:cs="Arial"/>
          <w:color w:val="000000"/>
          <w:sz w:val="18"/>
          <w:szCs w:val="18"/>
          <w:lang w:eastAsia="es-CO"/>
        </w:rPr>
        <w:t>, no logró acreditar en su totalidad los requisitos para poder gozar del beneficio pensional, de un lado porque con base en el Acuerdo 049/90 arribó a 118,8571 semanas cotizadas como se dijo precedentemente y, de otro, dado que bajo el amparo de la Ley 71/88 o la Ley 100/93 solo acreditó un total de 910,99 y por ende, sus pretensiones no pueden salir airosas, conclusión que coincide con la decisión de primer grado.”.</w:t>
      </w:r>
    </w:p>
    <w:p w:rsidR="00ED6759" w:rsidRPr="008B6691" w:rsidRDefault="00ED6759" w:rsidP="00ED6759">
      <w:pPr>
        <w:shd w:val="clear" w:color="auto" w:fill="FFFFFF"/>
        <w:tabs>
          <w:tab w:val="left" w:pos="5197"/>
        </w:tabs>
        <w:spacing w:line="276" w:lineRule="auto"/>
        <w:ind w:left="2127"/>
        <w:jc w:val="both"/>
        <w:rPr>
          <w:rFonts w:ascii="Arial" w:hAnsi="Arial" w:cs="Arial"/>
          <w:color w:val="000000"/>
          <w:sz w:val="32"/>
          <w:szCs w:val="32"/>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D661A9">
        <w:rPr>
          <w:rFonts w:ascii="Arial" w:eastAsia="Calibri" w:hAnsi="Arial" w:cs="Arial"/>
          <w:szCs w:val="24"/>
          <w:lang w:val="es-CO" w:eastAsia="en-US"/>
        </w:rPr>
        <w:t>veint</w:t>
      </w:r>
      <w:r w:rsidR="006505D6">
        <w:rPr>
          <w:rFonts w:ascii="Arial" w:eastAsia="Calibri" w:hAnsi="Arial" w:cs="Arial"/>
          <w:szCs w:val="24"/>
          <w:lang w:val="es-CO" w:eastAsia="en-US"/>
        </w:rPr>
        <w:t xml:space="preserve">itrés </w:t>
      </w:r>
      <w:r w:rsidRPr="00AC486E">
        <w:rPr>
          <w:rFonts w:ascii="Arial" w:eastAsia="Calibri" w:hAnsi="Arial" w:cs="Arial"/>
          <w:szCs w:val="24"/>
          <w:lang w:val="es-CO" w:eastAsia="en-US"/>
        </w:rPr>
        <w:t>(</w:t>
      </w:r>
      <w:r w:rsidR="00D661A9">
        <w:rPr>
          <w:rFonts w:ascii="Arial" w:eastAsia="Calibri" w:hAnsi="Arial" w:cs="Arial"/>
          <w:szCs w:val="24"/>
          <w:lang w:val="es-CO" w:eastAsia="en-US"/>
        </w:rPr>
        <w:t>2</w:t>
      </w:r>
      <w:r w:rsidR="006505D6">
        <w:rPr>
          <w:rFonts w:ascii="Arial" w:eastAsia="Calibri" w:hAnsi="Arial" w:cs="Arial"/>
          <w:szCs w:val="24"/>
          <w:lang w:val="es-CO" w:eastAsia="en-US"/>
        </w:rPr>
        <w:t>3</w:t>
      </w:r>
      <w:r w:rsidR="00D661A9">
        <w:rPr>
          <w:rFonts w:ascii="Arial" w:eastAsia="Calibri" w:hAnsi="Arial" w:cs="Arial"/>
          <w:szCs w:val="24"/>
          <w:lang w:val="es-CO" w:eastAsia="en-US"/>
        </w:rPr>
        <w:t>)</w:t>
      </w:r>
      <w:r w:rsidRPr="00AC486E">
        <w:rPr>
          <w:rFonts w:ascii="Arial" w:eastAsia="Calibri" w:hAnsi="Arial" w:cs="Arial"/>
          <w:szCs w:val="24"/>
          <w:lang w:val="es-CO" w:eastAsia="en-US"/>
        </w:rPr>
        <w:t xml:space="preserve"> días del mes de </w:t>
      </w:r>
      <w:r w:rsidR="006505D6">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6505D6">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6505D6">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927BCC">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927BCC">
        <w:rPr>
          <w:rFonts w:ascii="Arial" w:eastAsia="Calibri" w:hAnsi="Arial" w:cs="Arial"/>
          <w:szCs w:val="24"/>
          <w:lang w:val="es-CO" w:eastAsia="en-US"/>
        </w:rPr>
        <w:t>9</w:t>
      </w:r>
      <w:r w:rsidR="00D661A9">
        <w:rPr>
          <w:rFonts w:ascii="Arial" w:eastAsia="Calibri" w:hAnsi="Arial" w:cs="Arial"/>
          <w:szCs w:val="24"/>
          <w:lang w:val="es-CO" w:eastAsia="en-US"/>
        </w:rPr>
        <w:t>:</w:t>
      </w:r>
      <w:r w:rsidR="00927BCC">
        <w:rPr>
          <w:rFonts w:ascii="Arial" w:eastAsia="Calibri" w:hAnsi="Arial" w:cs="Arial"/>
          <w:szCs w:val="24"/>
          <w:lang w:val="es-CO" w:eastAsia="en-US"/>
        </w:rPr>
        <w:t>0</w:t>
      </w:r>
      <w:r w:rsidR="00D661A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D661A9">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27BCC">
        <w:rPr>
          <w:rFonts w:ascii="Arial" w:hAnsi="Arial" w:cs="Arial"/>
          <w:szCs w:val="24"/>
        </w:rPr>
        <w:t>22</w:t>
      </w:r>
      <w:r w:rsidR="00D661A9">
        <w:rPr>
          <w:rFonts w:ascii="Arial" w:hAnsi="Arial" w:cs="Arial"/>
          <w:szCs w:val="24"/>
        </w:rPr>
        <w:t xml:space="preserve"> </w:t>
      </w:r>
      <w:r w:rsidRPr="00AC486E">
        <w:rPr>
          <w:rFonts w:ascii="Arial" w:hAnsi="Arial" w:cs="Arial"/>
          <w:szCs w:val="24"/>
        </w:rPr>
        <w:t xml:space="preserve">de </w:t>
      </w:r>
      <w:r w:rsidR="00927BCC">
        <w:rPr>
          <w:rFonts w:ascii="Arial" w:hAnsi="Arial" w:cs="Arial"/>
          <w:szCs w:val="24"/>
        </w:rPr>
        <w:t xml:space="preserve">junio </w:t>
      </w:r>
      <w:r w:rsidRPr="00AC486E">
        <w:rPr>
          <w:rFonts w:ascii="Arial" w:hAnsi="Arial" w:cs="Arial"/>
          <w:szCs w:val="24"/>
        </w:rPr>
        <w:t>de 201</w:t>
      </w:r>
      <w:r w:rsidR="00D661A9">
        <w:rPr>
          <w:rFonts w:ascii="Arial" w:hAnsi="Arial" w:cs="Arial"/>
          <w:szCs w:val="24"/>
        </w:rPr>
        <w:t>6</w:t>
      </w:r>
      <w:r w:rsidRPr="00AC486E">
        <w:rPr>
          <w:rFonts w:ascii="Arial" w:hAnsi="Arial" w:cs="Arial"/>
          <w:szCs w:val="24"/>
        </w:rPr>
        <w:t xml:space="preserve"> por el Juzgado </w:t>
      </w:r>
      <w:r w:rsidR="00927BCC">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3440CA">
        <w:rPr>
          <w:rFonts w:ascii="Arial" w:hAnsi="Arial" w:cs="Arial"/>
          <w:szCs w:val="24"/>
        </w:rPr>
        <w:t xml:space="preserve">señor </w:t>
      </w:r>
      <w:proofErr w:type="spellStart"/>
      <w:r w:rsidR="00927BCC">
        <w:rPr>
          <w:rFonts w:ascii="Arial" w:hAnsi="Arial" w:cs="Arial"/>
          <w:b/>
          <w:szCs w:val="24"/>
        </w:rPr>
        <w:t>Dorancé</w:t>
      </w:r>
      <w:proofErr w:type="spellEnd"/>
      <w:r w:rsidR="00927BCC">
        <w:rPr>
          <w:rFonts w:ascii="Arial" w:hAnsi="Arial" w:cs="Arial"/>
          <w:b/>
          <w:szCs w:val="24"/>
        </w:rPr>
        <w:t xml:space="preserve"> Mosquera </w:t>
      </w:r>
      <w:proofErr w:type="spellStart"/>
      <w:r w:rsidR="00927BCC">
        <w:rPr>
          <w:rFonts w:ascii="Arial" w:hAnsi="Arial" w:cs="Arial"/>
          <w:b/>
          <w:szCs w:val="24"/>
        </w:rPr>
        <w:t>Taborda</w:t>
      </w:r>
      <w:proofErr w:type="spellEnd"/>
      <w:r w:rsidR="00D661A9">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927BCC">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927BCC">
        <w:rPr>
          <w:rFonts w:ascii="Arial" w:hAnsi="Arial" w:cs="Arial"/>
          <w:bCs/>
          <w:szCs w:val="24"/>
        </w:rPr>
        <w:t>157</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A957FB" w:rsidRDefault="00777072" w:rsidP="00927BCC">
      <w:pPr>
        <w:spacing w:line="276" w:lineRule="auto"/>
        <w:jc w:val="both"/>
        <w:rPr>
          <w:rFonts w:ascii="Arial" w:hAnsi="Arial" w:cs="Arial"/>
          <w:szCs w:val="24"/>
        </w:rPr>
      </w:pPr>
      <w:r>
        <w:rPr>
          <w:rFonts w:ascii="Arial" w:hAnsi="Arial" w:cs="Arial"/>
          <w:szCs w:val="24"/>
        </w:rPr>
        <w:t xml:space="preserve">El señor </w:t>
      </w:r>
      <w:proofErr w:type="spellStart"/>
      <w:r w:rsidR="00927BCC">
        <w:rPr>
          <w:rFonts w:ascii="Arial" w:hAnsi="Arial" w:cs="Arial"/>
          <w:szCs w:val="24"/>
        </w:rPr>
        <w:t>Dorancé</w:t>
      </w:r>
      <w:proofErr w:type="spellEnd"/>
      <w:r w:rsidR="00927BCC">
        <w:rPr>
          <w:rFonts w:ascii="Arial" w:hAnsi="Arial" w:cs="Arial"/>
          <w:szCs w:val="24"/>
        </w:rPr>
        <w:t xml:space="preserve"> Mosquera </w:t>
      </w:r>
      <w:proofErr w:type="spellStart"/>
      <w:r w:rsidR="00927BCC">
        <w:rPr>
          <w:rFonts w:ascii="Arial" w:hAnsi="Arial" w:cs="Arial"/>
          <w:szCs w:val="24"/>
        </w:rPr>
        <w:t>Taborda</w:t>
      </w:r>
      <w:proofErr w:type="spellEnd"/>
      <w:r w:rsidR="00D661A9">
        <w:rPr>
          <w:rFonts w:ascii="Arial" w:hAnsi="Arial" w:cs="Arial"/>
          <w:szCs w:val="24"/>
        </w:rPr>
        <w:t xml:space="preserve"> </w:t>
      </w:r>
      <w:r w:rsidR="00325F73">
        <w:rPr>
          <w:rFonts w:ascii="Arial" w:hAnsi="Arial" w:cs="Arial"/>
          <w:szCs w:val="24"/>
        </w:rPr>
        <w:t xml:space="preserve">solicita </w:t>
      </w:r>
      <w:r w:rsidR="00594723">
        <w:rPr>
          <w:rFonts w:ascii="Arial" w:hAnsi="Arial" w:cs="Arial"/>
          <w:szCs w:val="24"/>
        </w:rPr>
        <w:t xml:space="preserve">se </w:t>
      </w:r>
      <w:r w:rsidR="00F364C4">
        <w:rPr>
          <w:rFonts w:ascii="Arial" w:hAnsi="Arial" w:cs="Arial"/>
          <w:szCs w:val="24"/>
        </w:rPr>
        <w:t>declare</w:t>
      </w:r>
      <w:r w:rsidR="00927BCC">
        <w:rPr>
          <w:rFonts w:ascii="Arial" w:hAnsi="Arial" w:cs="Arial"/>
          <w:szCs w:val="24"/>
        </w:rPr>
        <w:t xml:space="preserve"> que por ser beneficiario del régimen de transición, </w:t>
      </w:r>
      <w:r w:rsidR="00F364C4">
        <w:rPr>
          <w:rFonts w:ascii="Arial" w:hAnsi="Arial" w:cs="Arial"/>
          <w:szCs w:val="24"/>
        </w:rPr>
        <w:t xml:space="preserve">tiene derecho a la pensión de vejez consagrada en el </w:t>
      </w:r>
      <w:r w:rsidR="00F364C4">
        <w:rPr>
          <w:rFonts w:ascii="Arial" w:hAnsi="Arial" w:cs="Arial"/>
          <w:szCs w:val="24"/>
        </w:rPr>
        <w:lastRenderedPageBreak/>
        <w:t>Acuerdo 049 de 1990, a partir del 1</w:t>
      </w:r>
      <w:r w:rsidR="00927BCC">
        <w:rPr>
          <w:rFonts w:ascii="Arial" w:hAnsi="Arial" w:cs="Arial"/>
          <w:szCs w:val="24"/>
        </w:rPr>
        <w:t>5</w:t>
      </w:r>
      <w:r w:rsidR="00F364C4">
        <w:rPr>
          <w:rFonts w:ascii="Arial" w:hAnsi="Arial" w:cs="Arial"/>
          <w:szCs w:val="24"/>
        </w:rPr>
        <w:t xml:space="preserve"> de </w:t>
      </w:r>
      <w:r w:rsidR="00927BCC">
        <w:rPr>
          <w:rFonts w:ascii="Arial" w:hAnsi="Arial" w:cs="Arial"/>
          <w:szCs w:val="24"/>
        </w:rPr>
        <w:t xml:space="preserve">marzo </w:t>
      </w:r>
      <w:r w:rsidR="00F364C4">
        <w:rPr>
          <w:rFonts w:ascii="Arial" w:hAnsi="Arial" w:cs="Arial"/>
          <w:szCs w:val="24"/>
        </w:rPr>
        <w:t>de 20</w:t>
      </w:r>
      <w:r w:rsidR="00927BCC">
        <w:rPr>
          <w:rFonts w:ascii="Arial" w:hAnsi="Arial" w:cs="Arial"/>
          <w:szCs w:val="24"/>
        </w:rPr>
        <w:t>10; en consecuencia, se le reconozca el retroactivo, los intereses moratorios y las costas procesales.</w:t>
      </w:r>
    </w:p>
    <w:p w:rsidR="00927BCC" w:rsidRPr="00AC486E" w:rsidRDefault="00927BCC" w:rsidP="00927BCC">
      <w:pPr>
        <w:spacing w:line="276" w:lineRule="auto"/>
        <w:jc w:val="both"/>
        <w:rPr>
          <w:rFonts w:ascii="Arial" w:hAnsi="Arial" w:cs="Arial"/>
          <w:szCs w:val="24"/>
        </w:rPr>
      </w:pPr>
    </w:p>
    <w:p w:rsidR="00B35761" w:rsidRDefault="00A957FB" w:rsidP="002C0923">
      <w:pPr>
        <w:spacing w:line="276" w:lineRule="auto"/>
        <w:jc w:val="both"/>
        <w:rPr>
          <w:rFonts w:ascii="Arial" w:hAnsi="Arial" w:cs="Arial"/>
          <w:szCs w:val="24"/>
        </w:rPr>
      </w:pPr>
      <w:r w:rsidRPr="00BA56BE">
        <w:rPr>
          <w:rFonts w:ascii="Arial" w:hAnsi="Arial" w:cs="Arial"/>
          <w:szCs w:val="24"/>
        </w:rPr>
        <w:t xml:space="preserve">Fundamenta sus aspiraciones </w:t>
      </w:r>
      <w:r w:rsidR="00226D5F" w:rsidRPr="00BA56BE">
        <w:rPr>
          <w:rFonts w:ascii="Arial" w:hAnsi="Arial" w:cs="Arial"/>
          <w:szCs w:val="24"/>
        </w:rPr>
        <w:t>en que</w:t>
      </w:r>
      <w:r w:rsidR="00A95C6B" w:rsidRPr="00BA56BE">
        <w:rPr>
          <w:rFonts w:ascii="Arial" w:hAnsi="Arial" w:cs="Arial"/>
          <w:szCs w:val="24"/>
        </w:rPr>
        <w:t xml:space="preserve">: (i) </w:t>
      </w:r>
      <w:r w:rsidR="00F04F48" w:rsidRPr="00BA56BE">
        <w:rPr>
          <w:rFonts w:ascii="Arial" w:hAnsi="Arial" w:cs="Arial"/>
          <w:szCs w:val="24"/>
        </w:rPr>
        <w:t xml:space="preserve">nació el </w:t>
      </w:r>
      <w:r w:rsidR="002C0923">
        <w:rPr>
          <w:rFonts w:ascii="Arial" w:hAnsi="Arial" w:cs="Arial"/>
          <w:szCs w:val="24"/>
        </w:rPr>
        <w:t xml:space="preserve">16/07/1935 </w:t>
      </w:r>
      <w:r w:rsidR="00F04F48" w:rsidRPr="00BA56BE">
        <w:rPr>
          <w:rFonts w:ascii="Arial" w:hAnsi="Arial" w:cs="Arial"/>
          <w:szCs w:val="24"/>
        </w:rPr>
        <w:t>, por lo que</w:t>
      </w:r>
      <w:r w:rsidR="00F04F48">
        <w:rPr>
          <w:rFonts w:ascii="Arial" w:hAnsi="Arial" w:cs="Arial"/>
          <w:szCs w:val="24"/>
        </w:rPr>
        <w:t xml:space="preserve"> </w:t>
      </w:r>
      <w:r w:rsidR="002C0923">
        <w:rPr>
          <w:rFonts w:ascii="Arial" w:hAnsi="Arial" w:cs="Arial"/>
          <w:szCs w:val="24"/>
        </w:rPr>
        <w:t>a la fecha de presentación de la demanda tenía 79 años de edad; (ii) en toda su vida laboral cotizó 828 semanas, de las cuales 792 lo fueron a la Caja de Previsión Social del Municipio de La Virginia y 36,28 al ISS; (iii) es beneficiario del régimen de tra</w:t>
      </w:r>
      <w:r w:rsidR="003818A7">
        <w:rPr>
          <w:rFonts w:ascii="Arial" w:hAnsi="Arial" w:cs="Arial"/>
          <w:szCs w:val="24"/>
        </w:rPr>
        <w:t>nsición de la Ley 100/93 porque al 01/04/1994 tenía más de 40 años de edad; (iv) dentro de los 20 años anteriores al cumplimiento de la edad para pensionarse acredita 828,28 semanas cotizadas; (v) es una persona de avanzada edad, sin bienes o rentas, por lo que se encuentra en estado de indefensión; (vi) el 15/03/2013 solicitó el reconocimiento de la pensión, pero le fue negada mediante Resolución N° GNR 143986 de 2013, bajo el argumento de no cumplir con los requisitos de la Ley 71/88.</w:t>
      </w:r>
    </w:p>
    <w:p w:rsidR="002C0923" w:rsidRDefault="002C0923" w:rsidP="002C0923">
      <w:pPr>
        <w:spacing w:line="276" w:lineRule="auto"/>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w:t>
      </w:r>
      <w:r w:rsidR="00680867">
        <w:rPr>
          <w:rFonts w:ascii="Arial" w:hAnsi="Arial" w:cs="Arial"/>
          <w:szCs w:val="24"/>
        </w:rPr>
        <w:t xml:space="preserve">si bien el actor es beneficiario del régimen de transición, no cumple con los requisitos señalados en el artículo 12 del Acuerdo 049 de 1990, toda vez que en toda la vida laboral solo cuenta con </w:t>
      </w:r>
      <w:r w:rsidR="003818A7">
        <w:rPr>
          <w:rFonts w:ascii="Arial" w:hAnsi="Arial" w:cs="Arial"/>
          <w:szCs w:val="24"/>
        </w:rPr>
        <w:t xml:space="preserve">36,29 </w:t>
      </w:r>
      <w:r w:rsidR="00680867">
        <w:rPr>
          <w:rFonts w:ascii="Arial" w:hAnsi="Arial" w:cs="Arial"/>
          <w:szCs w:val="24"/>
        </w:rPr>
        <w:t>semanas</w:t>
      </w:r>
      <w:r w:rsidR="003818A7">
        <w:rPr>
          <w:rFonts w:ascii="Arial" w:hAnsi="Arial" w:cs="Arial"/>
          <w:szCs w:val="24"/>
        </w:rPr>
        <w:t xml:space="preserve"> cotizadas al ISS, Sin embargo, como reporta servicios para el Municipio de La Virginia, en un total de 792 semanas, debe aplicarse es la Ley 71/88.</w:t>
      </w:r>
      <w:r w:rsidR="00680867">
        <w:rPr>
          <w:rFonts w:ascii="Arial" w:hAnsi="Arial" w:cs="Arial"/>
          <w:szCs w:val="24"/>
        </w:rPr>
        <w:t xml:space="preserve"> P</w:t>
      </w:r>
      <w:r w:rsidR="005F3F1E" w:rsidRPr="008E0CBF">
        <w:rPr>
          <w:rFonts w:ascii="Arial" w:hAnsi="Arial" w:cs="Arial"/>
          <w:szCs w:val="24"/>
        </w:rPr>
        <w:t>ropuso como excepciones de mérito las que denominó “I</w:t>
      </w:r>
      <w:r w:rsidR="003818A7">
        <w:rPr>
          <w:rFonts w:ascii="Arial" w:hAnsi="Arial" w:cs="Arial"/>
          <w:szCs w:val="24"/>
        </w:rPr>
        <w:t>nexistencia de la obligación demandada</w:t>
      </w:r>
      <w:r w:rsidR="005F3F1E" w:rsidRPr="008E0CBF">
        <w:rPr>
          <w:rFonts w:ascii="Arial" w:hAnsi="Arial" w:cs="Arial"/>
          <w:szCs w:val="24"/>
        </w:rPr>
        <w:t>”  y “Prescripción”.</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56104A">
        <w:rPr>
          <w:rFonts w:ascii="Arial" w:hAnsi="Arial" w:cs="Arial"/>
          <w:b/>
          <w:sz w:val="24"/>
          <w:szCs w:val="24"/>
        </w:rPr>
        <w:t xml:space="preserve">apelada </w:t>
      </w:r>
    </w:p>
    <w:p w:rsidR="00226D5F" w:rsidRPr="00AC486E" w:rsidRDefault="00226D5F" w:rsidP="00F017BF">
      <w:pPr>
        <w:pStyle w:val="Sansinterligne"/>
        <w:spacing w:line="276" w:lineRule="auto"/>
        <w:rPr>
          <w:rFonts w:ascii="Arial" w:hAnsi="Arial" w:cs="Arial"/>
          <w:sz w:val="24"/>
          <w:szCs w:val="24"/>
        </w:rPr>
      </w:pPr>
    </w:p>
    <w:p w:rsidR="00DA6D45"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818A7">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CD3C8C">
        <w:rPr>
          <w:rFonts w:ascii="Arial" w:hAnsi="Arial" w:cs="Arial"/>
          <w:color w:val="000000"/>
          <w:szCs w:val="24"/>
          <w:lang w:eastAsia="es-CO"/>
        </w:rPr>
        <w:t xml:space="preserve">, negó las pretensiones de la demanda, al considerar que el actor no cumplía los requisitos definidos por el Acuerdo 049 de 1990, para acceder a la pensión de vejez, concretamente el relativo a la densidad de cotizaciones, porque </w:t>
      </w:r>
      <w:r w:rsidR="00DA6D45">
        <w:rPr>
          <w:rFonts w:ascii="Arial" w:hAnsi="Arial" w:cs="Arial"/>
          <w:color w:val="000000"/>
          <w:szCs w:val="24"/>
          <w:lang w:eastAsia="es-CO"/>
        </w:rPr>
        <w:t xml:space="preserve">solo </w:t>
      </w:r>
      <w:r w:rsidR="00CD3C8C">
        <w:rPr>
          <w:rFonts w:ascii="Arial" w:hAnsi="Arial" w:cs="Arial"/>
          <w:color w:val="000000"/>
          <w:szCs w:val="24"/>
          <w:lang w:eastAsia="es-CO"/>
        </w:rPr>
        <w:t xml:space="preserve">cuenta con </w:t>
      </w:r>
      <w:r w:rsidR="003818A7">
        <w:rPr>
          <w:rFonts w:ascii="Arial" w:hAnsi="Arial" w:cs="Arial"/>
          <w:color w:val="000000"/>
          <w:szCs w:val="24"/>
          <w:lang w:eastAsia="es-CO"/>
        </w:rPr>
        <w:t xml:space="preserve">118,8571 </w:t>
      </w:r>
      <w:r w:rsidR="00CD3C8C">
        <w:rPr>
          <w:rFonts w:ascii="Arial" w:hAnsi="Arial" w:cs="Arial"/>
          <w:color w:val="000000"/>
          <w:szCs w:val="24"/>
          <w:lang w:eastAsia="es-CO"/>
        </w:rPr>
        <w:t>semanas cotizadas en toda la vida laboral</w:t>
      </w:r>
      <w:r w:rsidR="003818A7">
        <w:rPr>
          <w:rFonts w:ascii="Arial" w:hAnsi="Arial" w:cs="Arial"/>
          <w:color w:val="000000"/>
          <w:szCs w:val="24"/>
          <w:lang w:eastAsia="es-CO"/>
        </w:rPr>
        <w:t xml:space="preserve"> al ISS</w:t>
      </w:r>
      <w:r w:rsidR="00DA6D45">
        <w:rPr>
          <w:rFonts w:ascii="Arial" w:hAnsi="Arial" w:cs="Arial"/>
          <w:color w:val="000000"/>
          <w:szCs w:val="24"/>
          <w:lang w:eastAsia="es-CO"/>
        </w:rPr>
        <w:t>.</w:t>
      </w:r>
    </w:p>
    <w:p w:rsidR="00DA6D45" w:rsidRDefault="00DA6D45" w:rsidP="005522AF">
      <w:pPr>
        <w:spacing w:line="276" w:lineRule="auto"/>
        <w:jc w:val="both"/>
        <w:rPr>
          <w:rFonts w:ascii="Arial" w:hAnsi="Arial" w:cs="Arial"/>
          <w:color w:val="000000"/>
          <w:szCs w:val="24"/>
          <w:lang w:eastAsia="es-CO"/>
        </w:rPr>
      </w:pPr>
    </w:p>
    <w:p w:rsidR="00DA6D45" w:rsidRDefault="00DA6D45"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Precisó que no era posible atender los lineamientos trazados por la Corte Constitucional, en los cuales se ha admitido el cómputo de los tiempos públicos para reconocer la pensión de vejez con base en el Acuerdo 049/90, porque sus sentencias solo producen efectos inter partes y no existe justificación para  desconocer la jurisprudencia del órgano de cierre de la jurisdicción laboral</w:t>
      </w:r>
      <w:r w:rsidR="00874C3B">
        <w:rPr>
          <w:rStyle w:val="Appelnotedebasdep"/>
          <w:rFonts w:ascii="Arial" w:hAnsi="Arial" w:cs="Arial"/>
          <w:color w:val="000000"/>
          <w:szCs w:val="24"/>
          <w:lang w:eastAsia="es-CO"/>
        </w:rPr>
        <w:footnoteReference w:id="1"/>
      </w:r>
      <w:r>
        <w:rPr>
          <w:rFonts w:ascii="Arial" w:hAnsi="Arial" w:cs="Arial"/>
          <w:color w:val="000000"/>
          <w:szCs w:val="24"/>
          <w:lang w:eastAsia="es-CO"/>
        </w:rPr>
        <w:t>.</w:t>
      </w:r>
    </w:p>
    <w:p w:rsidR="00DA6D45" w:rsidRDefault="00DA6D45" w:rsidP="005522AF">
      <w:pPr>
        <w:spacing w:line="276" w:lineRule="auto"/>
        <w:jc w:val="both"/>
        <w:rPr>
          <w:rFonts w:ascii="Arial" w:hAnsi="Arial" w:cs="Arial"/>
          <w:color w:val="000000"/>
          <w:szCs w:val="24"/>
          <w:lang w:eastAsia="es-CO"/>
        </w:rPr>
      </w:pPr>
    </w:p>
    <w:p w:rsidR="00DA6D45" w:rsidRDefault="00DA6D45"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tal suerte, que solo es posible estudiar su derecho pensional con base en la Ley 71/88 que sí permite la acumulación de aportes, pero solo cuenta con 840 semanas en toda la vida laboral. </w:t>
      </w:r>
    </w:p>
    <w:p w:rsidR="00EA7E61" w:rsidRDefault="00EA7E61" w:rsidP="005522AF">
      <w:pPr>
        <w:spacing w:line="276" w:lineRule="auto"/>
        <w:jc w:val="both"/>
        <w:rPr>
          <w:rFonts w:ascii="Arial" w:hAnsi="Arial" w:cs="Arial"/>
          <w:color w:val="000000"/>
          <w:szCs w:val="24"/>
          <w:lang w:eastAsia="es-CO"/>
        </w:rPr>
      </w:pPr>
    </w:p>
    <w:p w:rsidR="002C313D" w:rsidRPr="00364783" w:rsidRDefault="0056104A" w:rsidP="00312238">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5D1BAD" w:rsidRDefault="00D91E4A" w:rsidP="00A227F4">
      <w:pPr>
        <w:shd w:val="clear" w:color="auto" w:fill="FFFFFF"/>
        <w:spacing w:line="276" w:lineRule="auto"/>
        <w:jc w:val="both"/>
        <w:rPr>
          <w:rFonts w:ascii="Arial" w:hAnsi="Arial" w:cs="Arial"/>
          <w:szCs w:val="24"/>
        </w:rPr>
      </w:pPr>
      <w:r>
        <w:rPr>
          <w:rFonts w:ascii="Arial" w:hAnsi="Arial" w:cs="Arial"/>
          <w:szCs w:val="24"/>
        </w:rPr>
        <w:t xml:space="preserve">Inconforme con la decisión adoptada, </w:t>
      </w:r>
      <w:r w:rsidR="005D1BAD">
        <w:rPr>
          <w:rFonts w:ascii="Arial" w:hAnsi="Arial" w:cs="Arial"/>
          <w:szCs w:val="24"/>
        </w:rPr>
        <w:t>la apoderada</w:t>
      </w:r>
      <w:r w:rsidR="00B310C0">
        <w:rPr>
          <w:rFonts w:ascii="Arial" w:hAnsi="Arial" w:cs="Arial"/>
          <w:szCs w:val="24"/>
        </w:rPr>
        <w:t xml:space="preserve"> judicial de la parte actora interpuso recurso de apelación y manifestó que </w:t>
      </w:r>
      <w:r w:rsidR="005D1BAD">
        <w:rPr>
          <w:rFonts w:ascii="Arial" w:hAnsi="Arial" w:cs="Arial"/>
          <w:szCs w:val="24"/>
        </w:rPr>
        <w:t xml:space="preserve">se debe dar aplicación al principio </w:t>
      </w:r>
      <w:r w:rsidR="005D1BAD">
        <w:rPr>
          <w:rFonts w:ascii="Arial" w:hAnsi="Arial" w:cs="Arial"/>
          <w:szCs w:val="24"/>
        </w:rPr>
        <w:lastRenderedPageBreak/>
        <w:t>de favorabilidad y al Acuerdo 049 de 1990 conforme a la sentencia SU 769-14, que permite la acumulación de tiempos públicos y privados; de tal manera que al tener dichos aportes logra acreditar más de 500 semanas dentro de los 20 años anteriores al cumplimiento de la edad para pensionarse.</w:t>
      </w:r>
    </w:p>
    <w:p w:rsidR="005D1BAD" w:rsidRDefault="005D1BAD" w:rsidP="00A227F4">
      <w:pPr>
        <w:shd w:val="clear" w:color="auto" w:fill="FFFFFF"/>
        <w:spacing w:line="276" w:lineRule="auto"/>
        <w:jc w:val="both"/>
        <w:rPr>
          <w:rFonts w:ascii="Arial" w:hAnsi="Arial" w:cs="Arial"/>
          <w:szCs w:val="24"/>
        </w:rPr>
      </w:pPr>
    </w:p>
    <w:p w:rsidR="005D1BAD" w:rsidRDefault="005D1BAD" w:rsidP="00A227F4">
      <w:pPr>
        <w:shd w:val="clear" w:color="auto" w:fill="FFFFFF"/>
        <w:spacing w:line="276" w:lineRule="auto"/>
        <w:jc w:val="both"/>
        <w:rPr>
          <w:rFonts w:ascii="Arial" w:hAnsi="Arial" w:cs="Arial"/>
          <w:szCs w:val="24"/>
        </w:rPr>
      </w:pPr>
      <w:r>
        <w:rPr>
          <w:rFonts w:ascii="Arial" w:hAnsi="Arial" w:cs="Arial"/>
          <w:szCs w:val="24"/>
        </w:rPr>
        <w:t xml:space="preserve">Finalmente manifiesta </w:t>
      </w:r>
      <w:r w:rsidR="003B1965">
        <w:rPr>
          <w:rFonts w:ascii="Arial" w:hAnsi="Arial" w:cs="Arial"/>
          <w:szCs w:val="24"/>
        </w:rPr>
        <w:t>que su poderdante tiene 81 años de edad, trabaja en la construcción, por lo que deben acogerse las pretensiones para no vulnerar su derecho al mínimo vital.</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036B6C" w:rsidRDefault="0061484D" w:rsidP="00036B6C">
      <w:pPr>
        <w:shd w:val="clear" w:color="auto" w:fill="FFFFFF"/>
        <w:tabs>
          <w:tab w:val="left" w:pos="5197"/>
        </w:tabs>
        <w:spacing w:line="276" w:lineRule="auto"/>
        <w:jc w:val="center"/>
        <w:rPr>
          <w:rFonts w:ascii="Arial" w:hAnsi="Arial" w:cs="Arial"/>
          <w:b/>
          <w:szCs w:val="24"/>
        </w:rPr>
      </w:pPr>
      <w:r w:rsidRPr="00036B6C">
        <w:rPr>
          <w:rFonts w:ascii="Arial" w:hAnsi="Arial" w:cs="Arial"/>
          <w:b/>
          <w:szCs w:val="24"/>
        </w:rPr>
        <w:t>CONSIDERACIONES</w:t>
      </w:r>
    </w:p>
    <w:p w:rsidR="00FF24FA" w:rsidRPr="00312238"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ansinterligne"/>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Corpsdetexte"/>
        <w:numPr>
          <w:ilvl w:val="1"/>
          <w:numId w:val="8"/>
        </w:numPr>
        <w:spacing w:line="276" w:lineRule="auto"/>
        <w:ind w:left="0" w:hanging="11"/>
        <w:contextualSpacing/>
        <w:rPr>
          <w:iCs/>
          <w:szCs w:val="24"/>
        </w:rPr>
      </w:pPr>
      <w:r w:rsidRPr="007F1F65">
        <w:rPr>
          <w:iCs/>
          <w:szCs w:val="24"/>
        </w:rPr>
        <w:t>¿</w:t>
      </w:r>
      <w:r w:rsidR="009B6E23">
        <w:rPr>
          <w:iCs/>
          <w:szCs w:val="24"/>
        </w:rPr>
        <w:t xml:space="preserve">El </w:t>
      </w:r>
      <w:r w:rsidR="005D5800">
        <w:rPr>
          <w:iCs/>
          <w:szCs w:val="24"/>
        </w:rPr>
        <w:t xml:space="preserve">señor </w:t>
      </w:r>
      <w:proofErr w:type="spellStart"/>
      <w:r w:rsidR="00927BCC">
        <w:rPr>
          <w:iCs/>
          <w:szCs w:val="24"/>
        </w:rPr>
        <w:t>Dorancé</w:t>
      </w:r>
      <w:proofErr w:type="spellEnd"/>
      <w:r w:rsidR="00927BCC">
        <w:rPr>
          <w:iCs/>
          <w:szCs w:val="24"/>
        </w:rPr>
        <w:t xml:space="preserve"> Mosquera </w:t>
      </w:r>
      <w:proofErr w:type="spellStart"/>
      <w:r w:rsidR="00927BCC">
        <w:rPr>
          <w:iCs/>
          <w:szCs w:val="24"/>
        </w:rPr>
        <w:t>Taborda</w:t>
      </w:r>
      <w:proofErr w:type="spellEnd"/>
      <w:r w:rsidR="00DF193C">
        <w:rPr>
          <w:iCs/>
          <w:szCs w:val="24"/>
        </w:rPr>
        <w:t xml:space="preserve"> </w:t>
      </w:r>
      <w:r w:rsidR="005D5800">
        <w:rPr>
          <w:iCs/>
          <w:szCs w:val="24"/>
        </w:rPr>
        <w:t>e</w:t>
      </w:r>
      <w:r w:rsidR="009B6E23">
        <w:rPr>
          <w:iCs/>
          <w:szCs w:val="24"/>
        </w:rPr>
        <w:t>s beneficiario</w:t>
      </w:r>
      <w:r w:rsidRPr="007F1F65">
        <w:rPr>
          <w:iCs/>
          <w:szCs w:val="24"/>
        </w:rPr>
        <w:t xml:space="preserve"> del Régimen de Transición establecido en el artículo 36 de la Ley 100 de 1993?</w:t>
      </w:r>
    </w:p>
    <w:p w:rsidR="00B02F1F" w:rsidRDefault="00B02F1F" w:rsidP="00B02F1F">
      <w:pPr>
        <w:pStyle w:val="Corpsdetexte"/>
        <w:spacing w:line="276" w:lineRule="auto"/>
        <w:contextualSpacing/>
        <w:rPr>
          <w:iCs/>
          <w:szCs w:val="24"/>
        </w:rPr>
      </w:pPr>
    </w:p>
    <w:p w:rsidR="00B02F1F" w:rsidRPr="00B02F1F" w:rsidRDefault="00B02F1F" w:rsidP="00DF193C">
      <w:pPr>
        <w:autoSpaceDE w:val="0"/>
        <w:autoSpaceDN w:val="0"/>
        <w:adjustRightInd w:val="0"/>
        <w:spacing w:line="276" w:lineRule="auto"/>
        <w:jc w:val="both"/>
        <w:rPr>
          <w:rFonts w:ascii="Arial" w:hAnsi="Arial" w:cs="Arial"/>
          <w:bCs/>
          <w:iCs/>
          <w:color w:val="000000"/>
          <w:szCs w:val="24"/>
          <w:lang w:val="es-CO"/>
        </w:rPr>
      </w:pPr>
      <w:r w:rsidRPr="00C71D5E">
        <w:rPr>
          <w:rFonts w:ascii="Arial" w:hAnsi="Arial" w:cs="Arial"/>
          <w:bCs/>
          <w:iCs/>
          <w:color w:val="000000"/>
          <w:szCs w:val="24"/>
          <w:lang w:val="es-CO"/>
        </w:rPr>
        <w:t xml:space="preserve">1.2. </w:t>
      </w:r>
      <w:r w:rsidR="00BB74C3" w:rsidRPr="00C71D5E">
        <w:rPr>
          <w:rFonts w:ascii="Arial" w:hAnsi="Arial" w:cs="Arial"/>
          <w:bCs/>
          <w:iCs/>
          <w:color w:val="000000"/>
          <w:szCs w:val="24"/>
          <w:lang w:val="es-CO"/>
        </w:rPr>
        <w:t xml:space="preserve"> ¿Logró el</w:t>
      </w:r>
      <w:r w:rsidRPr="00C71D5E">
        <w:rPr>
          <w:rFonts w:ascii="Arial" w:hAnsi="Arial" w:cs="Arial"/>
          <w:bCs/>
          <w:iCs/>
          <w:color w:val="000000"/>
          <w:szCs w:val="24"/>
          <w:lang w:val="es-CO"/>
        </w:rPr>
        <w:t xml:space="preserve"> demandante acreditar los requisitos necesarios para acceder a la Pensión de vejez</w:t>
      </w:r>
      <w:r w:rsidRPr="00B02F1F">
        <w:rPr>
          <w:rFonts w:ascii="Arial" w:hAnsi="Arial" w:cs="Arial"/>
          <w:bCs/>
          <w:iCs/>
          <w:color w:val="000000"/>
          <w:szCs w:val="24"/>
          <w:lang w:val="es-CO"/>
        </w:rPr>
        <w:t xml:space="preserve"> que solicita?</w:t>
      </w:r>
    </w:p>
    <w:p w:rsidR="00026C2A" w:rsidRDefault="00026C2A" w:rsidP="00026C2A">
      <w:pPr>
        <w:pStyle w:val="Corpsdetexte"/>
        <w:spacing w:line="276" w:lineRule="auto"/>
        <w:ind w:left="720"/>
        <w:contextualSpacing/>
        <w:rPr>
          <w:iCs/>
          <w:szCs w:val="24"/>
        </w:rPr>
      </w:pPr>
    </w:p>
    <w:p w:rsidR="00972117" w:rsidRDefault="00B02F1F" w:rsidP="00B02F1F">
      <w:pPr>
        <w:pStyle w:val="Corpsdetexte"/>
        <w:spacing w:line="276" w:lineRule="auto"/>
        <w:contextualSpacing/>
        <w:rPr>
          <w:iCs/>
          <w:szCs w:val="24"/>
        </w:rPr>
      </w:pPr>
      <w:r>
        <w:rPr>
          <w:iCs/>
          <w:szCs w:val="24"/>
        </w:rPr>
        <w:t xml:space="preserve">1.3. </w:t>
      </w:r>
      <w:r w:rsidR="00DE6CD7">
        <w:rPr>
          <w:iCs/>
          <w:szCs w:val="24"/>
        </w:rPr>
        <w:t>¿</w:t>
      </w:r>
      <w:r w:rsidR="00106DD0">
        <w:rPr>
          <w:iCs/>
          <w:szCs w:val="24"/>
        </w:rPr>
        <w:t>P</w:t>
      </w:r>
      <w:r w:rsidR="00DF193C">
        <w:rPr>
          <w:iCs/>
          <w:szCs w:val="24"/>
        </w:rPr>
        <w:t xml:space="preserve">ara efectos de reconocer la pensión de vejez prevista en el Acuerdo 049 de 1990, </w:t>
      </w:r>
      <w:r w:rsidR="00106DD0">
        <w:rPr>
          <w:iCs/>
          <w:szCs w:val="24"/>
        </w:rPr>
        <w:t>es posible acumular tiempos públicos y privados?</w:t>
      </w:r>
    </w:p>
    <w:p w:rsidR="00972117" w:rsidRDefault="00972117" w:rsidP="00B02F1F">
      <w:pPr>
        <w:pStyle w:val="Corpsdetexte"/>
        <w:spacing w:line="276" w:lineRule="auto"/>
        <w:contextualSpacing/>
        <w:rPr>
          <w:iCs/>
          <w:szCs w:val="24"/>
        </w:rPr>
      </w:pPr>
    </w:p>
    <w:p w:rsidR="00312238" w:rsidRDefault="00454184" w:rsidP="00982149">
      <w:pPr>
        <w:pStyle w:val="Corpsdetex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3C44B5" w:rsidRDefault="003C44B5" w:rsidP="003C44B5">
      <w:pPr>
        <w:pStyle w:val="Corpsdetexte"/>
        <w:spacing w:line="276" w:lineRule="auto"/>
        <w:ind w:left="390"/>
        <w:contextualSpacing/>
        <w:rPr>
          <w:b/>
          <w:iCs/>
          <w:szCs w:val="24"/>
        </w:rPr>
      </w:pPr>
    </w:p>
    <w:p w:rsidR="00150D59" w:rsidRDefault="00150D59" w:rsidP="00150D59">
      <w:pPr>
        <w:pStyle w:val="Corpsdetex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Corpsdetexte"/>
        <w:spacing w:line="276" w:lineRule="auto"/>
        <w:contextualSpacing/>
        <w:rPr>
          <w:iCs/>
          <w:szCs w:val="24"/>
        </w:rPr>
      </w:pPr>
    </w:p>
    <w:p w:rsidR="00596038" w:rsidRDefault="00596038" w:rsidP="00596038">
      <w:pPr>
        <w:pStyle w:val="Corpsdetexte"/>
        <w:numPr>
          <w:ilvl w:val="1"/>
          <w:numId w:val="8"/>
        </w:numPr>
        <w:spacing w:line="276" w:lineRule="auto"/>
        <w:contextualSpacing/>
        <w:rPr>
          <w:b/>
          <w:iCs/>
          <w:szCs w:val="24"/>
        </w:rPr>
      </w:pPr>
      <w:r w:rsidRPr="009E2DDB">
        <w:rPr>
          <w:b/>
          <w:iCs/>
          <w:szCs w:val="24"/>
        </w:rPr>
        <w:t>Régimen de transición</w:t>
      </w:r>
    </w:p>
    <w:p w:rsidR="00C71AE7" w:rsidRPr="009E2DDB" w:rsidRDefault="00C71AE7" w:rsidP="00C71AE7">
      <w:pPr>
        <w:pStyle w:val="Corpsdetexte"/>
        <w:spacing w:line="276" w:lineRule="auto"/>
        <w:ind w:left="720"/>
        <w:contextualSpacing/>
        <w:rPr>
          <w:b/>
          <w:iCs/>
          <w:szCs w:val="24"/>
        </w:rPr>
      </w:pPr>
    </w:p>
    <w:p w:rsidR="00312238" w:rsidRDefault="00312238" w:rsidP="00596038">
      <w:pPr>
        <w:pStyle w:val="Paragraphedeliste"/>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B62CC">
        <w:rPr>
          <w:rFonts w:ascii="Arial" w:hAnsi="Arial" w:cs="Arial"/>
          <w:b/>
          <w:color w:val="000000"/>
          <w:sz w:val="24"/>
          <w:szCs w:val="24"/>
          <w:lang w:eastAsia="es-CO"/>
        </w:rPr>
        <w:t>Fundamento jurídico.</w:t>
      </w:r>
    </w:p>
    <w:p w:rsidR="005B62CC" w:rsidRPr="005B62CC" w:rsidRDefault="005B62CC" w:rsidP="005B62CC">
      <w:pPr>
        <w:pStyle w:val="Paragraphedeliste"/>
        <w:shd w:val="clear" w:color="auto" w:fill="FFFFFF"/>
        <w:tabs>
          <w:tab w:val="left" w:pos="5197"/>
        </w:tabs>
        <w:spacing w:line="276" w:lineRule="auto"/>
        <w:jc w:val="both"/>
        <w:rPr>
          <w:rFonts w:ascii="Arial" w:hAnsi="Arial" w:cs="Arial"/>
          <w:b/>
          <w:color w:val="000000"/>
          <w:sz w:val="24"/>
          <w:szCs w:val="24"/>
          <w:lang w:eastAsia="es-CO"/>
        </w:rPr>
      </w:pPr>
    </w:p>
    <w:p w:rsidR="005B62CC" w:rsidRPr="005B62CC" w:rsidRDefault="005B62CC" w:rsidP="005B62CC">
      <w:pPr>
        <w:shd w:val="clear" w:color="auto" w:fill="FFFFFF"/>
        <w:tabs>
          <w:tab w:val="left" w:pos="5197"/>
        </w:tabs>
        <w:spacing w:line="276" w:lineRule="auto"/>
        <w:jc w:val="both"/>
        <w:rPr>
          <w:rFonts w:ascii="Arial" w:hAnsi="Arial" w:cs="Arial"/>
          <w:color w:val="000000"/>
          <w:szCs w:val="24"/>
          <w:lang w:eastAsia="es-CO"/>
        </w:rPr>
      </w:pPr>
      <w:r w:rsidRPr="005B62CC">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5B62CC" w:rsidRPr="005B62CC" w:rsidRDefault="005B62CC" w:rsidP="005B62CC">
      <w:pPr>
        <w:pStyle w:val="Paragraphedeliste"/>
        <w:shd w:val="clear" w:color="auto" w:fill="FFFFFF"/>
        <w:tabs>
          <w:tab w:val="left" w:pos="5197"/>
        </w:tabs>
        <w:spacing w:line="276" w:lineRule="auto"/>
        <w:ind w:left="390"/>
        <w:jc w:val="both"/>
        <w:rPr>
          <w:rFonts w:ascii="Arial" w:hAnsi="Arial" w:cs="Arial"/>
          <w:color w:val="000000"/>
          <w:sz w:val="24"/>
          <w:szCs w:val="24"/>
          <w:lang w:eastAsia="es-CO"/>
        </w:rPr>
      </w:pPr>
    </w:p>
    <w:p w:rsidR="005B62CC" w:rsidRPr="005B62CC" w:rsidRDefault="005B62CC" w:rsidP="005B62CC">
      <w:pPr>
        <w:pStyle w:val="Corpsdetexte"/>
        <w:tabs>
          <w:tab w:val="left" w:pos="2930"/>
        </w:tabs>
        <w:spacing w:line="276" w:lineRule="auto"/>
        <w:contextualSpacing/>
        <w:rPr>
          <w:b/>
          <w:color w:val="000000"/>
          <w:szCs w:val="24"/>
          <w:shd w:val="clear" w:color="auto" w:fill="FFFFFF"/>
          <w:lang w:val="es-ES"/>
        </w:rPr>
      </w:pPr>
      <w:r w:rsidRPr="005B62CC">
        <w:rPr>
          <w:b/>
          <w:color w:val="000000"/>
          <w:szCs w:val="24"/>
          <w:shd w:val="clear" w:color="auto" w:fill="FFFFFF"/>
          <w:lang w:val="es-ES"/>
        </w:rPr>
        <w:t>2.1.2. Fundamento fáctico:</w:t>
      </w:r>
    </w:p>
    <w:p w:rsidR="005B62CC" w:rsidRPr="005B62CC" w:rsidRDefault="005B62CC" w:rsidP="005B62CC">
      <w:pPr>
        <w:pStyle w:val="Paragraphedeliste"/>
        <w:shd w:val="clear" w:color="auto" w:fill="FFFFFF"/>
        <w:tabs>
          <w:tab w:val="left" w:pos="5197"/>
        </w:tabs>
        <w:spacing w:line="276" w:lineRule="auto"/>
        <w:ind w:left="390"/>
        <w:jc w:val="both"/>
        <w:rPr>
          <w:rFonts w:ascii="Arial" w:hAnsi="Arial" w:cs="Arial"/>
          <w:color w:val="000000"/>
          <w:sz w:val="24"/>
          <w:szCs w:val="24"/>
          <w:lang w:eastAsia="es-CO"/>
        </w:rPr>
      </w:pPr>
    </w:p>
    <w:p w:rsidR="005B62CC" w:rsidRPr="005B62CC" w:rsidRDefault="005B62CC" w:rsidP="005B62CC">
      <w:pPr>
        <w:shd w:val="clear" w:color="auto" w:fill="FFFFFF"/>
        <w:tabs>
          <w:tab w:val="left" w:pos="5197"/>
        </w:tabs>
        <w:spacing w:line="276" w:lineRule="auto"/>
        <w:jc w:val="both"/>
        <w:rPr>
          <w:rFonts w:ascii="Arial" w:hAnsi="Arial" w:cs="Arial"/>
          <w:color w:val="000000"/>
          <w:szCs w:val="24"/>
          <w:lang w:eastAsia="es-CO"/>
        </w:rPr>
      </w:pPr>
      <w:r w:rsidRPr="005B62CC">
        <w:rPr>
          <w:rFonts w:ascii="Arial" w:hAnsi="Arial" w:cs="Arial"/>
          <w:color w:val="000000"/>
          <w:szCs w:val="24"/>
          <w:lang w:eastAsia="es-CO"/>
        </w:rPr>
        <w:t xml:space="preserve">Analizando la documental allegada al infolio, no existe duda alguna que </w:t>
      </w:r>
      <w:r w:rsidR="009E2DDB">
        <w:rPr>
          <w:rFonts w:ascii="Arial" w:hAnsi="Arial" w:cs="Arial"/>
          <w:color w:val="000000"/>
          <w:szCs w:val="24"/>
          <w:lang w:eastAsia="es-CO"/>
        </w:rPr>
        <w:t xml:space="preserve">el </w:t>
      </w:r>
      <w:r w:rsidRPr="005B62CC">
        <w:rPr>
          <w:rFonts w:ascii="Arial" w:hAnsi="Arial" w:cs="Arial"/>
          <w:color w:val="000000"/>
          <w:szCs w:val="24"/>
          <w:lang w:eastAsia="es-CO"/>
        </w:rPr>
        <w:t xml:space="preserve">señor </w:t>
      </w:r>
      <w:proofErr w:type="spellStart"/>
      <w:r w:rsidR="00927BCC">
        <w:rPr>
          <w:rFonts w:ascii="Arial" w:hAnsi="Arial" w:cs="Arial"/>
          <w:color w:val="000000"/>
          <w:szCs w:val="24"/>
          <w:lang w:eastAsia="es-CO"/>
        </w:rPr>
        <w:t>Dorancé</w:t>
      </w:r>
      <w:proofErr w:type="spellEnd"/>
      <w:r w:rsidR="00927BCC">
        <w:rPr>
          <w:rFonts w:ascii="Arial" w:hAnsi="Arial" w:cs="Arial"/>
          <w:color w:val="000000"/>
          <w:szCs w:val="24"/>
          <w:lang w:eastAsia="es-CO"/>
        </w:rPr>
        <w:t xml:space="preserve"> Mosquera </w:t>
      </w:r>
      <w:proofErr w:type="spellStart"/>
      <w:r w:rsidR="00927BCC">
        <w:rPr>
          <w:rFonts w:ascii="Arial" w:hAnsi="Arial" w:cs="Arial"/>
          <w:color w:val="000000"/>
          <w:szCs w:val="24"/>
          <w:lang w:eastAsia="es-CO"/>
        </w:rPr>
        <w:t>Taborda</w:t>
      </w:r>
      <w:proofErr w:type="spellEnd"/>
      <w:r w:rsidRPr="005B62CC">
        <w:rPr>
          <w:rFonts w:ascii="Arial" w:hAnsi="Arial" w:cs="Arial"/>
          <w:color w:val="000000"/>
          <w:szCs w:val="24"/>
          <w:lang w:eastAsia="es-CO"/>
        </w:rPr>
        <w:t>, adquirió el derecho a beneficiarse del régimen de transición descrito, toda vez que al 1°</w:t>
      </w:r>
      <w:r w:rsidR="009E2DDB">
        <w:rPr>
          <w:rFonts w:ascii="Arial" w:hAnsi="Arial" w:cs="Arial"/>
          <w:color w:val="000000"/>
          <w:szCs w:val="24"/>
          <w:lang w:eastAsia="es-CO"/>
        </w:rPr>
        <w:t xml:space="preserve"> de abril de 1994 contaba con </w:t>
      </w:r>
      <w:r w:rsidR="00965323">
        <w:rPr>
          <w:rFonts w:ascii="Arial" w:hAnsi="Arial" w:cs="Arial"/>
          <w:color w:val="000000"/>
          <w:szCs w:val="24"/>
          <w:lang w:eastAsia="es-CO"/>
        </w:rPr>
        <w:t>58</w:t>
      </w:r>
      <w:r w:rsidRPr="005B62CC">
        <w:rPr>
          <w:rFonts w:ascii="Arial" w:hAnsi="Arial" w:cs="Arial"/>
          <w:color w:val="000000"/>
          <w:szCs w:val="24"/>
          <w:lang w:eastAsia="es-CO"/>
        </w:rPr>
        <w:t xml:space="preserve"> años de edad cumplidos como quiera que de la copia </w:t>
      </w:r>
      <w:r w:rsidR="00965323">
        <w:rPr>
          <w:rFonts w:ascii="Arial" w:hAnsi="Arial" w:cs="Arial"/>
          <w:color w:val="000000"/>
          <w:szCs w:val="24"/>
          <w:lang w:eastAsia="es-CO"/>
        </w:rPr>
        <w:t>auténtica del registro civil de nacimiento –</w:t>
      </w:r>
      <w:proofErr w:type="spellStart"/>
      <w:r w:rsidR="00965323">
        <w:rPr>
          <w:rFonts w:ascii="Arial" w:hAnsi="Arial" w:cs="Arial"/>
          <w:color w:val="000000"/>
          <w:szCs w:val="24"/>
          <w:lang w:eastAsia="es-CO"/>
        </w:rPr>
        <w:t>fl</w:t>
      </w:r>
      <w:proofErr w:type="spellEnd"/>
      <w:r w:rsidR="00965323">
        <w:rPr>
          <w:rFonts w:ascii="Arial" w:hAnsi="Arial" w:cs="Arial"/>
          <w:color w:val="000000"/>
          <w:szCs w:val="24"/>
          <w:lang w:eastAsia="es-CO"/>
        </w:rPr>
        <w:t xml:space="preserve">. 32- y </w:t>
      </w:r>
      <w:r w:rsidRPr="005B62CC">
        <w:rPr>
          <w:rFonts w:ascii="Arial" w:hAnsi="Arial" w:cs="Arial"/>
          <w:color w:val="000000"/>
          <w:szCs w:val="24"/>
          <w:lang w:eastAsia="es-CO"/>
        </w:rPr>
        <w:t>de</w:t>
      </w:r>
      <w:r w:rsidR="009E2DDB">
        <w:rPr>
          <w:rFonts w:ascii="Arial" w:hAnsi="Arial" w:cs="Arial"/>
          <w:color w:val="000000"/>
          <w:szCs w:val="24"/>
          <w:lang w:eastAsia="es-CO"/>
        </w:rPr>
        <w:t xml:space="preserve"> </w:t>
      </w:r>
      <w:r w:rsidRPr="005B62CC">
        <w:rPr>
          <w:rFonts w:ascii="Arial" w:hAnsi="Arial" w:cs="Arial"/>
          <w:color w:val="000000"/>
          <w:szCs w:val="24"/>
          <w:lang w:eastAsia="es-CO"/>
        </w:rPr>
        <w:t>l</w:t>
      </w:r>
      <w:r w:rsidR="009E2DDB">
        <w:rPr>
          <w:rFonts w:ascii="Arial" w:hAnsi="Arial" w:cs="Arial"/>
          <w:color w:val="000000"/>
          <w:szCs w:val="24"/>
          <w:lang w:eastAsia="es-CO"/>
        </w:rPr>
        <w:t>a</w:t>
      </w:r>
      <w:r w:rsidRPr="005B62CC">
        <w:rPr>
          <w:rFonts w:ascii="Arial" w:hAnsi="Arial" w:cs="Arial"/>
          <w:color w:val="000000"/>
          <w:szCs w:val="24"/>
          <w:lang w:eastAsia="es-CO"/>
        </w:rPr>
        <w:t xml:space="preserve"> </w:t>
      </w:r>
      <w:r w:rsidR="009E2DDB">
        <w:rPr>
          <w:rFonts w:ascii="Arial" w:hAnsi="Arial" w:cs="Arial"/>
          <w:color w:val="000000"/>
          <w:szCs w:val="24"/>
          <w:lang w:eastAsia="es-CO"/>
        </w:rPr>
        <w:t xml:space="preserve">cédula de ciudadanía </w:t>
      </w:r>
      <w:r w:rsidRPr="005B62CC">
        <w:rPr>
          <w:rFonts w:ascii="Arial" w:hAnsi="Arial" w:cs="Arial"/>
          <w:color w:val="000000"/>
          <w:szCs w:val="24"/>
          <w:lang w:eastAsia="es-CO"/>
        </w:rPr>
        <w:t>–</w:t>
      </w:r>
      <w:proofErr w:type="spellStart"/>
      <w:r w:rsidRPr="005B62CC">
        <w:rPr>
          <w:rFonts w:ascii="Arial" w:hAnsi="Arial" w:cs="Arial"/>
          <w:color w:val="000000"/>
          <w:szCs w:val="24"/>
          <w:lang w:eastAsia="es-CO"/>
        </w:rPr>
        <w:t>fl</w:t>
      </w:r>
      <w:proofErr w:type="spellEnd"/>
      <w:r w:rsidRPr="005B62CC">
        <w:rPr>
          <w:rFonts w:ascii="Arial" w:hAnsi="Arial" w:cs="Arial"/>
          <w:color w:val="000000"/>
          <w:szCs w:val="24"/>
          <w:lang w:eastAsia="es-CO"/>
        </w:rPr>
        <w:t>.</w:t>
      </w:r>
      <w:r w:rsidR="00965323">
        <w:rPr>
          <w:rFonts w:ascii="Arial" w:hAnsi="Arial" w:cs="Arial"/>
          <w:color w:val="000000"/>
          <w:szCs w:val="24"/>
          <w:lang w:eastAsia="es-CO"/>
        </w:rPr>
        <w:t xml:space="preserve"> 33</w:t>
      </w:r>
      <w:r w:rsidRPr="005B62CC">
        <w:rPr>
          <w:rFonts w:ascii="Arial" w:hAnsi="Arial" w:cs="Arial"/>
          <w:color w:val="000000"/>
          <w:szCs w:val="24"/>
          <w:lang w:eastAsia="es-CO"/>
        </w:rPr>
        <w:t xml:space="preserve">- se puede extraer que </w:t>
      </w:r>
      <w:r w:rsidRPr="005B62CC">
        <w:rPr>
          <w:rFonts w:ascii="Arial" w:hAnsi="Arial" w:cs="Arial"/>
          <w:color w:val="000000"/>
          <w:szCs w:val="24"/>
          <w:lang w:eastAsia="es-CO"/>
        </w:rPr>
        <w:lastRenderedPageBreak/>
        <w:t xml:space="preserve">nació el </w:t>
      </w:r>
      <w:r w:rsidR="00965323">
        <w:rPr>
          <w:rFonts w:ascii="Arial" w:hAnsi="Arial" w:cs="Arial"/>
          <w:color w:val="000000"/>
          <w:szCs w:val="24"/>
          <w:lang w:eastAsia="es-CO"/>
        </w:rPr>
        <w:t xml:space="preserve"> 16/07/1935</w:t>
      </w:r>
      <w:r w:rsidRPr="005B62CC">
        <w:rPr>
          <w:rFonts w:ascii="Arial" w:hAnsi="Arial" w:cs="Arial"/>
          <w:color w:val="000000"/>
          <w:szCs w:val="24"/>
          <w:lang w:eastAsia="es-CO"/>
        </w:rPr>
        <w:t xml:space="preserve">, de igual manera, porque para esa calenda contaba con </w:t>
      </w:r>
      <w:r w:rsidR="00965323">
        <w:rPr>
          <w:rFonts w:ascii="Arial" w:hAnsi="Arial" w:cs="Arial"/>
          <w:color w:val="000000"/>
          <w:szCs w:val="24"/>
          <w:lang w:eastAsia="es-CO"/>
        </w:rPr>
        <w:t xml:space="preserve">792 </w:t>
      </w:r>
      <w:r w:rsidRPr="005B62CC">
        <w:rPr>
          <w:rFonts w:ascii="Arial" w:hAnsi="Arial" w:cs="Arial"/>
          <w:color w:val="000000"/>
          <w:szCs w:val="24"/>
          <w:lang w:eastAsia="es-CO"/>
        </w:rPr>
        <w:t>semanas</w:t>
      </w:r>
      <w:r w:rsidR="00965323">
        <w:rPr>
          <w:rFonts w:ascii="Arial" w:hAnsi="Arial" w:cs="Arial"/>
          <w:color w:val="000000"/>
          <w:szCs w:val="24"/>
          <w:lang w:eastAsia="es-CO"/>
        </w:rPr>
        <w:t xml:space="preserve"> de servicio público ante el Municipio de la Virginia</w:t>
      </w:r>
      <w:r w:rsidRPr="005B62CC">
        <w:rPr>
          <w:rFonts w:ascii="Arial" w:hAnsi="Arial" w:cs="Arial"/>
          <w:color w:val="000000"/>
          <w:szCs w:val="24"/>
          <w:lang w:eastAsia="es-CO"/>
        </w:rPr>
        <w:t xml:space="preserve">, con lo cual </w:t>
      </w:r>
      <w:r w:rsidR="009E2DDB">
        <w:rPr>
          <w:rFonts w:ascii="Arial" w:hAnsi="Arial" w:cs="Arial"/>
          <w:color w:val="000000"/>
          <w:szCs w:val="24"/>
          <w:lang w:eastAsia="es-CO"/>
        </w:rPr>
        <w:t>se colige que no se vio afectado</w:t>
      </w:r>
      <w:r w:rsidRPr="005B62CC">
        <w:rPr>
          <w:rFonts w:ascii="Arial" w:hAnsi="Arial" w:cs="Arial"/>
          <w:color w:val="000000"/>
          <w:szCs w:val="24"/>
          <w:lang w:eastAsia="es-CO"/>
        </w:rPr>
        <w:t xml:space="preserve"> con la expedición del acto legislativo 01 de 2005.</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sidR="009E2DDB">
        <w:rPr>
          <w:rFonts w:ascii="Arial" w:hAnsi="Arial" w:cs="Arial"/>
          <w:color w:val="000000"/>
          <w:szCs w:val="24"/>
          <w:lang w:eastAsia="es-CO"/>
        </w:rPr>
        <w:t xml:space="preserve">. </w:t>
      </w:r>
    </w:p>
    <w:p w:rsidR="009E2DDB" w:rsidRDefault="009E2DDB" w:rsidP="00F0544F">
      <w:pPr>
        <w:shd w:val="clear" w:color="auto" w:fill="FFFFFF"/>
        <w:tabs>
          <w:tab w:val="left" w:pos="5197"/>
        </w:tabs>
        <w:spacing w:line="276" w:lineRule="auto"/>
        <w:jc w:val="both"/>
        <w:rPr>
          <w:rFonts w:ascii="Arial" w:hAnsi="Arial" w:cs="Arial"/>
          <w:color w:val="000000"/>
          <w:szCs w:val="24"/>
          <w:lang w:eastAsia="es-CO"/>
        </w:rPr>
      </w:pPr>
    </w:p>
    <w:p w:rsidR="009E2DDB" w:rsidRDefault="00664CDA"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bien, en relación con el cómputo del  tiempo cotizado, ha sido clara la jurisprudencia del órgano de cierre de la jurisdicción laboral</w:t>
      </w:r>
      <w:r w:rsidR="00AF1425" w:rsidRPr="007671FD">
        <w:rPr>
          <w:rStyle w:val="Appelnotedebasdep"/>
          <w:rFonts w:ascii="Arial" w:hAnsi="Arial" w:cs="Arial"/>
          <w:i/>
          <w:sz w:val="22"/>
          <w:szCs w:val="22"/>
        </w:rPr>
        <w:footnoteReference w:id="2"/>
      </w:r>
      <w:r>
        <w:rPr>
          <w:rFonts w:ascii="Arial" w:hAnsi="Arial" w:cs="Arial"/>
          <w:color w:val="000000"/>
          <w:szCs w:val="24"/>
          <w:lang w:eastAsia="es-CO"/>
        </w:rPr>
        <w:t>, en relación con que los mismos deben ser cotizados de manera exclusiva al ISS</w:t>
      </w:r>
      <w:r w:rsidR="004354F8">
        <w:rPr>
          <w:rFonts w:ascii="Arial" w:hAnsi="Arial" w:cs="Arial"/>
          <w:color w:val="000000"/>
          <w:szCs w:val="24"/>
          <w:lang w:eastAsia="es-CO"/>
        </w:rPr>
        <w:t xml:space="preserve">; </w:t>
      </w:r>
      <w:r>
        <w:rPr>
          <w:rFonts w:ascii="Arial" w:hAnsi="Arial" w:cs="Arial"/>
          <w:color w:val="000000"/>
          <w:szCs w:val="24"/>
          <w:lang w:eastAsia="es-CO"/>
        </w:rPr>
        <w:t xml:space="preserve">así mismo ha manifestado en relación con el tiempo </w:t>
      </w:r>
      <w:r w:rsidR="00AF1425">
        <w:rPr>
          <w:rFonts w:ascii="Arial" w:hAnsi="Arial" w:cs="Arial"/>
          <w:color w:val="000000"/>
          <w:szCs w:val="24"/>
          <w:lang w:eastAsia="es-CO"/>
        </w:rPr>
        <w:t>público</w:t>
      </w:r>
      <w:r w:rsidR="00011E3E">
        <w:rPr>
          <w:rFonts w:ascii="Arial" w:hAnsi="Arial" w:cs="Arial"/>
          <w:color w:val="000000"/>
          <w:szCs w:val="24"/>
          <w:lang w:eastAsia="es-CO"/>
        </w:rPr>
        <w:t xml:space="preserve"> que</w:t>
      </w:r>
      <w:r w:rsidR="00AF1425">
        <w:rPr>
          <w:rFonts w:ascii="Arial" w:hAnsi="Arial" w:cs="Arial"/>
          <w:color w:val="000000"/>
          <w:szCs w:val="24"/>
          <w:lang w:eastAsia="es-CO"/>
        </w:rPr>
        <w:t xml:space="preserve"> </w:t>
      </w:r>
      <w:r w:rsidR="001A1E86">
        <w:rPr>
          <w:rFonts w:ascii="Arial" w:hAnsi="Arial" w:cs="Arial"/>
          <w:color w:val="000000"/>
          <w:szCs w:val="24"/>
          <w:lang w:eastAsia="es-CO"/>
        </w:rPr>
        <w:t xml:space="preserve">sí puede ser acumulado con las cotizaciones efectuadas a la referida entidad de seguridad social, pero solo para efectos de aplicar </w:t>
      </w:r>
      <w:r w:rsidR="00011E3E">
        <w:rPr>
          <w:rFonts w:ascii="Arial" w:hAnsi="Arial" w:cs="Arial"/>
          <w:color w:val="000000"/>
          <w:szCs w:val="24"/>
          <w:lang w:eastAsia="es-CO"/>
        </w:rPr>
        <w:t xml:space="preserve">otras </w:t>
      </w:r>
      <w:r w:rsidR="006E485C">
        <w:rPr>
          <w:rFonts w:ascii="Arial" w:hAnsi="Arial" w:cs="Arial"/>
          <w:color w:val="000000"/>
          <w:szCs w:val="24"/>
          <w:lang w:eastAsia="es-CO"/>
        </w:rPr>
        <w:t>disposiciones</w:t>
      </w:r>
      <w:r w:rsidR="001A1E86">
        <w:rPr>
          <w:rFonts w:ascii="Arial" w:hAnsi="Arial" w:cs="Arial"/>
          <w:color w:val="000000"/>
          <w:szCs w:val="24"/>
          <w:lang w:eastAsia="es-CO"/>
        </w:rPr>
        <w:t xml:space="preserve"> y no, para el Acuerdo 049 de 1990, tal y como se extrae del siguiente aparte.</w:t>
      </w:r>
    </w:p>
    <w:p w:rsidR="001A1E86" w:rsidRDefault="001A1E86" w:rsidP="00F0544F">
      <w:pPr>
        <w:shd w:val="clear" w:color="auto" w:fill="FFFFFF"/>
        <w:tabs>
          <w:tab w:val="left" w:pos="5197"/>
        </w:tabs>
        <w:spacing w:line="276" w:lineRule="auto"/>
        <w:jc w:val="both"/>
        <w:rPr>
          <w:rFonts w:ascii="Arial" w:hAnsi="Arial" w:cs="Arial"/>
          <w:color w:val="000000"/>
          <w:szCs w:val="24"/>
          <w:lang w:eastAsia="es-CO"/>
        </w:rPr>
      </w:pPr>
    </w:p>
    <w:p w:rsidR="001B0D4C" w:rsidRDefault="001B0D4C" w:rsidP="001B0D4C">
      <w:pPr>
        <w:widowControl w:val="0"/>
        <w:ind w:left="567"/>
        <w:jc w:val="both"/>
        <w:rPr>
          <w:rFonts w:ascii="Arial" w:hAnsi="Arial" w:cs="Arial"/>
          <w:i/>
          <w:sz w:val="22"/>
          <w:szCs w:val="22"/>
        </w:rPr>
      </w:pPr>
      <w:r w:rsidRPr="007671FD">
        <w:rPr>
          <w:rFonts w:ascii="Arial" w:hAnsi="Arial" w:cs="Arial"/>
          <w:i/>
          <w:sz w:val="22"/>
          <w:szCs w:val="22"/>
        </w:rPr>
        <w:t>“</w:t>
      </w:r>
      <w:r w:rsidR="00ED16BA" w:rsidRPr="00ED16BA">
        <w:rPr>
          <w:rFonts w:ascii="Arial" w:hAnsi="Arial" w:cs="Arial"/>
          <w:color w:val="000000"/>
          <w:sz w:val="22"/>
          <w:szCs w:val="22"/>
        </w:rPr>
        <w:t>En ese orden, debe empezar la Sala por decir que acertó el Tribunal al no acoger la tesis del apelante en el sentido de no aplicar las previsiones del Acuerdo 049 de 1990, así como tampoco «</w:t>
      </w:r>
      <w:r w:rsidR="00ED16BA" w:rsidRPr="00ED16BA">
        <w:rPr>
          <w:rFonts w:ascii="Arial" w:hAnsi="Arial" w:cs="Arial"/>
          <w:i/>
          <w:iCs/>
          <w:color w:val="000000"/>
          <w:sz w:val="22"/>
          <w:szCs w:val="22"/>
        </w:rPr>
        <w:t>quien para completar el número de semanas exigido en el Acuerdo 049 de 1990, suma tiempos laborados en el sector público y excluye que el actor reúne el </w:t>
      </w:r>
      <w:r w:rsidR="00ED16BA" w:rsidRPr="00ED16BA">
        <w:rPr>
          <w:rStyle w:val="apple-converted-space"/>
          <w:rFonts w:ascii="Arial" w:hAnsi="Arial" w:cs="Arial"/>
          <w:i/>
          <w:iCs/>
          <w:color w:val="000000"/>
          <w:sz w:val="22"/>
          <w:szCs w:val="22"/>
        </w:rPr>
        <w:t> </w:t>
      </w:r>
      <w:r w:rsidR="00ED16BA" w:rsidRPr="00ED16BA">
        <w:rPr>
          <w:rFonts w:ascii="Arial" w:hAnsi="Arial" w:cs="Arial"/>
          <w:i/>
          <w:iCs/>
          <w:color w:val="000000"/>
          <w:sz w:val="22"/>
          <w:szCs w:val="22"/>
        </w:rPr>
        <w:t>requisito de las 1.000 semanas en cualquier tiempo»,</w:t>
      </w:r>
      <w:r w:rsidR="00ED16BA" w:rsidRPr="00ED16BA">
        <w:rPr>
          <w:rStyle w:val="apple-converted-space"/>
          <w:rFonts w:ascii="Arial" w:hAnsi="Arial" w:cs="Arial"/>
          <w:color w:val="000000"/>
          <w:sz w:val="22"/>
          <w:szCs w:val="22"/>
        </w:rPr>
        <w:t> </w:t>
      </w:r>
      <w:r w:rsidR="00ED16BA" w:rsidRPr="00ED16BA">
        <w:rPr>
          <w:rFonts w:ascii="Arial" w:hAnsi="Arial" w:cs="Arial"/>
          <w:color w:val="000000"/>
          <w:sz w:val="22"/>
          <w:szCs w:val="22"/>
        </w:rPr>
        <w:t>por considerar que tal proceder era indebido</w:t>
      </w:r>
      <w:r w:rsidR="00ED16BA" w:rsidRPr="00ED16BA">
        <w:rPr>
          <w:rStyle w:val="apple-converted-space"/>
          <w:rFonts w:ascii="Arial" w:hAnsi="Arial" w:cs="Arial"/>
          <w:i/>
          <w:iCs/>
          <w:color w:val="000000"/>
          <w:sz w:val="22"/>
          <w:szCs w:val="22"/>
        </w:rPr>
        <w:t> </w:t>
      </w:r>
      <w:r w:rsidR="00ED16BA" w:rsidRPr="00ED16BA">
        <w:rPr>
          <w:rFonts w:ascii="Arial" w:hAnsi="Arial" w:cs="Arial"/>
          <w:i/>
          <w:iCs/>
          <w:color w:val="000000"/>
          <w:sz w:val="22"/>
          <w:szCs w:val="22"/>
        </w:rPr>
        <w:t>«</w:t>
      </w:r>
      <w:r w:rsidR="00ED16BA" w:rsidRPr="00ED16BA">
        <w:rPr>
          <w:rFonts w:ascii="Arial" w:hAnsi="Arial" w:cs="Arial"/>
          <w:i/>
          <w:iCs/>
          <w:color w:val="000000"/>
          <w:sz w:val="22"/>
          <w:szCs w:val="22"/>
          <w:u w:val="single"/>
        </w:rPr>
        <w:t>por cuanto el citado acuerdo no hay disposición alguna que permita sumar otras cotizaciones efectuadas a cajas, fondos o entidades de seguridad social del sector público o privado, como si lo autorizaba la Ley 100 para las pensiones de vejez que se regían íntegramente por ella»,</w:t>
      </w:r>
      <w:r w:rsidR="00ED16BA" w:rsidRPr="00ED16BA">
        <w:rPr>
          <w:rStyle w:val="apple-converted-space"/>
          <w:rFonts w:ascii="Arial" w:hAnsi="Arial" w:cs="Arial"/>
          <w:color w:val="000000"/>
          <w:sz w:val="22"/>
          <w:szCs w:val="22"/>
          <w:u w:val="single"/>
        </w:rPr>
        <w:t> </w:t>
      </w:r>
      <w:r w:rsidR="00ED16BA" w:rsidRPr="00ED16BA">
        <w:rPr>
          <w:rFonts w:ascii="Arial" w:hAnsi="Arial" w:cs="Arial"/>
          <w:color w:val="000000"/>
          <w:sz w:val="22"/>
          <w:szCs w:val="22"/>
          <w:u w:val="single"/>
        </w:rPr>
        <w:t>pues tales consideraciones se advienen al criterio de ésta Corporación, según el cual no es posible la suma de cotizaciones o tiempo de servicios del sector público con cotizaciones privadas realizadas al ISS para adquirir el derecho a la pensión de jubilación con fundamento en el Acuerdo 049 de 1990, por parte de personas que son beneficiarias del régimen de transición del régimen de transición de artículo 36 de la Ley 100 de 1993</w:t>
      </w:r>
      <w:r w:rsidR="00ED16BA">
        <w:rPr>
          <w:rFonts w:ascii="Arial" w:hAnsi="Arial" w:cs="Arial"/>
          <w:color w:val="000000"/>
          <w:sz w:val="22"/>
          <w:szCs w:val="22"/>
          <w:u w:val="single"/>
        </w:rPr>
        <w:t>…</w:t>
      </w:r>
      <w:r w:rsidR="00ED16BA">
        <w:rPr>
          <w:rFonts w:ascii="Arial" w:hAnsi="Arial" w:cs="Arial"/>
          <w:color w:val="000000"/>
          <w:sz w:val="22"/>
          <w:szCs w:val="22"/>
        </w:rPr>
        <w:t>”</w:t>
      </w:r>
    </w:p>
    <w:p w:rsidR="00C71AE7" w:rsidRDefault="00C71AE7" w:rsidP="001B0D4C">
      <w:pPr>
        <w:widowControl w:val="0"/>
        <w:ind w:left="567"/>
        <w:jc w:val="both"/>
        <w:rPr>
          <w:rFonts w:ascii="Arial" w:hAnsi="Arial" w:cs="Arial"/>
          <w:i/>
          <w:sz w:val="22"/>
          <w:szCs w:val="22"/>
        </w:rPr>
      </w:pPr>
    </w:p>
    <w:p w:rsidR="00C71AE7" w:rsidRDefault="00C71AE7" w:rsidP="003A6EB2">
      <w:pPr>
        <w:widowControl w:val="0"/>
        <w:jc w:val="both"/>
        <w:rPr>
          <w:rFonts w:ascii="Arial" w:hAnsi="Arial" w:cs="Arial"/>
          <w:i/>
          <w:sz w:val="22"/>
          <w:szCs w:val="22"/>
        </w:rPr>
      </w:pPr>
    </w:p>
    <w:p w:rsidR="00062F54" w:rsidRDefault="00F0544F" w:rsidP="00062F54">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965323" w:rsidRDefault="00965323" w:rsidP="00062F54">
      <w:pPr>
        <w:shd w:val="clear" w:color="auto" w:fill="FFFFFF"/>
        <w:tabs>
          <w:tab w:val="left" w:pos="5197"/>
        </w:tabs>
        <w:spacing w:line="276" w:lineRule="auto"/>
        <w:jc w:val="both"/>
        <w:rPr>
          <w:rFonts w:ascii="Arial" w:hAnsi="Arial" w:cs="Arial"/>
          <w:b/>
          <w:color w:val="000000"/>
          <w:szCs w:val="24"/>
          <w:lang w:eastAsia="es-CO"/>
        </w:rPr>
      </w:pPr>
    </w:p>
    <w:p w:rsidR="00F008C0" w:rsidRDefault="003A7DAB" w:rsidP="00F008C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F008C0" w:rsidRPr="00FF7655">
        <w:rPr>
          <w:rFonts w:ascii="Arial" w:hAnsi="Arial" w:cs="Arial"/>
          <w:color w:val="000000"/>
          <w:szCs w:val="24"/>
          <w:lang w:eastAsia="es-CO"/>
        </w:rPr>
        <w:t xml:space="preserve">e encuentra probado que </w:t>
      </w:r>
      <w:r w:rsidR="00F008C0">
        <w:rPr>
          <w:rFonts w:ascii="Arial" w:hAnsi="Arial" w:cs="Arial"/>
          <w:color w:val="000000"/>
          <w:szCs w:val="24"/>
          <w:lang w:eastAsia="es-CO"/>
        </w:rPr>
        <w:t xml:space="preserve">el actor nació el </w:t>
      </w:r>
      <w:r w:rsidR="00D7384C">
        <w:rPr>
          <w:rFonts w:ascii="Arial" w:hAnsi="Arial" w:cs="Arial"/>
          <w:color w:val="000000"/>
          <w:szCs w:val="24"/>
          <w:lang w:eastAsia="es-CO"/>
        </w:rPr>
        <w:t>16/07/1935</w:t>
      </w:r>
      <w:r w:rsidR="00F008C0" w:rsidRPr="00FF7655">
        <w:rPr>
          <w:rFonts w:ascii="Arial" w:hAnsi="Arial" w:cs="Arial"/>
          <w:color w:val="000000"/>
          <w:szCs w:val="24"/>
          <w:lang w:eastAsia="es-CO"/>
        </w:rPr>
        <w:t>, por lo tanto, cumplió los 60 año</w:t>
      </w:r>
      <w:r w:rsidR="00F008C0">
        <w:rPr>
          <w:rFonts w:ascii="Arial" w:hAnsi="Arial" w:cs="Arial"/>
          <w:color w:val="000000"/>
          <w:szCs w:val="24"/>
          <w:lang w:eastAsia="es-CO"/>
        </w:rPr>
        <w:t xml:space="preserve">s de edad en esa calenda de </w:t>
      </w:r>
      <w:r w:rsidR="00D7384C">
        <w:rPr>
          <w:rFonts w:ascii="Arial" w:hAnsi="Arial" w:cs="Arial"/>
          <w:color w:val="000000"/>
          <w:szCs w:val="24"/>
          <w:lang w:eastAsia="es-CO"/>
        </w:rPr>
        <w:t>1995</w:t>
      </w:r>
      <w:r w:rsidR="00F008C0" w:rsidRPr="00FF7655">
        <w:rPr>
          <w:rFonts w:ascii="Arial" w:hAnsi="Arial" w:cs="Arial"/>
          <w:color w:val="000000"/>
          <w:szCs w:val="24"/>
          <w:lang w:eastAsia="es-CO"/>
        </w:rPr>
        <w:t>, por</w:t>
      </w:r>
      <w:r w:rsidR="00454184">
        <w:rPr>
          <w:rFonts w:ascii="Arial" w:hAnsi="Arial" w:cs="Arial"/>
          <w:color w:val="000000"/>
          <w:szCs w:val="24"/>
          <w:lang w:eastAsia="es-CO"/>
        </w:rPr>
        <w:t xml:space="preserve"> el</w:t>
      </w:r>
      <w:r w:rsidR="00F008C0" w:rsidRPr="00FF7655">
        <w:rPr>
          <w:rFonts w:ascii="Arial" w:hAnsi="Arial" w:cs="Arial"/>
          <w:color w:val="000000"/>
          <w:szCs w:val="24"/>
          <w:lang w:eastAsia="es-CO"/>
        </w:rPr>
        <w:t>lo satisf</w:t>
      </w:r>
      <w:r w:rsidR="00454184">
        <w:rPr>
          <w:rFonts w:ascii="Arial" w:hAnsi="Arial" w:cs="Arial"/>
          <w:color w:val="000000"/>
          <w:szCs w:val="24"/>
          <w:lang w:eastAsia="es-CO"/>
        </w:rPr>
        <w:t>ace e</w:t>
      </w:r>
      <w:r w:rsidR="00F008C0" w:rsidRPr="00FF7655">
        <w:rPr>
          <w:rFonts w:ascii="Arial" w:hAnsi="Arial" w:cs="Arial"/>
          <w:color w:val="000000"/>
          <w:szCs w:val="24"/>
          <w:lang w:eastAsia="es-CO"/>
        </w:rPr>
        <w:t>l requisito de la edad.</w:t>
      </w:r>
    </w:p>
    <w:p w:rsidR="00B239DD" w:rsidRPr="00FF7655" w:rsidRDefault="00B239DD" w:rsidP="00F008C0">
      <w:pPr>
        <w:shd w:val="clear" w:color="auto" w:fill="FFFFFF"/>
        <w:tabs>
          <w:tab w:val="left" w:pos="5197"/>
        </w:tabs>
        <w:spacing w:line="276" w:lineRule="auto"/>
        <w:jc w:val="both"/>
        <w:rPr>
          <w:rFonts w:ascii="Arial" w:hAnsi="Arial" w:cs="Arial"/>
          <w:color w:val="000000"/>
          <w:szCs w:val="24"/>
          <w:lang w:eastAsia="es-CO"/>
        </w:rPr>
      </w:pPr>
    </w:p>
    <w:p w:rsidR="00F13DEA" w:rsidRDefault="00F008C0" w:rsidP="00D7384C">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w:t>
      </w:r>
      <w:r w:rsidR="00D7384C">
        <w:rPr>
          <w:rFonts w:ascii="Arial" w:hAnsi="Arial" w:cs="Arial"/>
          <w:color w:val="000000"/>
          <w:szCs w:val="24"/>
          <w:lang w:eastAsia="es-CO"/>
        </w:rPr>
        <w:t xml:space="preserve">válida para prestaciones económicas, </w:t>
      </w:r>
      <w:r>
        <w:rPr>
          <w:rFonts w:ascii="Arial" w:hAnsi="Arial" w:cs="Arial"/>
          <w:color w:val="000000"/>
          <w:szCs w:val="24"/>
          <w:lang w:eastAsia="es-CO"/>
        </w:rPr>
        <w:t xml:space="preserve">visible a folio </w:t>
      </w:r>
      <w:r w:rsidR="00D7384C">
        <w:rPr>
          <w:rFonts w:ascii="Arial" w:hAnsi="Arial" w:cs="Arial"/>
          <w:color w:val="000000"/>
          <w:szCs w:val="24"/>
          <w:lang w:eastAsia="es-CO"/>
        </w:rPr>
        <w:t>62</w:t>
      </w:r>
      <w:r>
        <w:rPr>
          <w:rFonts w:ascii="Arial" w:hAnsi="Arial" w:cs="Arial"/>
          <w:color w:val="000000"/>
          <w:szCs w:val="24"/>
          <w:lang w:eastAsia="es-CO"/>
        </w:rPr>
        <w:t xml:space="preserve"> del cuaderno </w:t>
      </w:r>
      <w:r w:rsidR="003A7DAB">
        <w:rPr>
          <w:rFonts w:ascii="Arial" w:hAnsi="Arial" w:cs="Arial"/>
          <w:color w:val="000000"/>
          <w:szCs w:val="24"/>
          <w:lang w:eastAsia="es-CO"/>
        </w:rPr>
        <w:t>1</w:t>
      </w:r>
      <w:r>
        <w:rPr>
          <w:rFonts w:ascii="Arial" w:hAnsi="Arial" w:cs="Arial"/>
          <w:color w:val="000000"/>
          <w:szCs w:val="24"/>
          <w:lang w:eastAsia="es-CO"/>
        </w:rPr>
        <w:t xml:space="preserve">, se </w:t>
      </w:r>
      <w:r w:rsidR="003A7DAB">
        <w:rPr>
          <w:rFonts w:ascii="Arial" w:hAnsi="Arial" w:cs="Arial"/>
          <w:color w:val="000000"/>
          <w:szCs w:val="24"/>
          <w:lang w:eastAsia="es-CO"/>
        </w:rPr>
        <w:t xml:space="preserve">tiene que </w:t>
      </w:r>
      <w:r w:rsidR="003D2D7B">
        <w:rPr>
          <w:rFonts w:ascii="Arial" w:hAnsi="Arial" w:cs="Arial"/>
          <w:color w:val="000000"/>
          <w:szCs w:val="24"/>
          <w:lang w:eastAsia="es-CO"/>
        </w:rPr>
        <w:t xml:space="preserve">en toda la vida </w:t>
      </w:r>
      <w:r w:rsidR="00F13DEA">
        <w:rPr>
          <w:rFonts w:ascii="Arial" w:hAnsi="Arial" w:cs="Arial"/>
          <w:color w:val="000000"/>
          <w:szCs w:val="24"/>
          <w:lang w:eastAsia="es-CO"/>
        </w:rPr>
        <w:t xml:space="preserve">cotizó al Instituto de Seguros Sociales, hoy Colpensiones, un total de </w:t>
      </w:r>
      <w:r w:rsidR="00D7384C">
        <w:rPr>
          <w:rFonts w:ascii="Arial" w:hAnsi="Arial" w:cs="Arial"/>
          <w:color w:val="000000"/>
          <w:szCs w:val="24"/>
          <w:lang w:eastAsia="es-CO"/>
        </w:rPr>
        <w:t>36,29</w:t>
      </w:r>
      <w:r w:rsidR="00F13DEA">
        <w:rPr>
          <w:rFonts w:ascii="Arial" w:hAnsi="Arial" w:cs="Arial"/>
          <w:color w:val="000000"/>
          <w:szCs w:val="24"/>
          <w:lang w:eastAsia="es-CO"/>
        </w:rPr>
        <w:t xml:space="preserve"> </w:t>
      </w:r>
      <w:r w:rsidR="00D7384C">
        <w:rPr>
          <w:rFonts w:ascii="Arial" w:hAnsi="Arial" w:cs="Arial"/>
          <w:color w:val="000000"/>
          <w:szCs w:val="24"/>
          <w:lang w:eastAsia="es-CO"/>
        </w:rPr>
        <w:t xml:space="preserve">semanas; de otro lado, dicha entidad remitió un reporte de semanas cotizadas entre 1967 y 1994 con la </w:t>
      </w:r>
      <w:r w:rsidR="00D7384C">
        <w:rPr>
          <w:rFonts w:ascii="Arial" w:hAnsi="Arial" w:cs="Arial"/>
          <w:color w:val="000000"/>
          <w:szCs w:val="24"/>
          <w:lang w:eastAsia="es-CO"/>
        </w:rPr>
        <w:lastRenderedPageBreak/>
        <w:t>aclaración que se trata de un informativo no válido para prestaciones económicas –</w:t>
      </w:r>
      <w:proofErr w:type="spellStart"/>
      <w:r w:rsidR="00D7384C">
        <w:rPr>
          <w:rFonts w:ascii="Arial" w:hAnsi="Arial" w:cs="Arial"/>
          <w:color w:val="000000"/>
          <w:szCs w:val="24"/>
          <w:lang w:eastAsia="es-CO"/>
        </w:rPr>
        <w:t>fl</w:t>
      </w:r>
      <w:proofErr w:type="spellEnd"/>
      <w:r w:rsidR="00D7384C">
        <w:rPr>
          <w:rFonts w:ascii="Arial" w:hAnsi="Arial" w:cs="Arial"/>
          <w:color w:val="000000"/>
          <w:szCs w:val="24"/>
          <w:lang w:eastAsia="es-CO"/>
        </w:rPr>
        <w:t xml:space="preserve">. 86 y s.s.-, en el cual se registra un monto superior, 118,8571 semanas; sin embargo, </w:t>
      </w:r>
      <w:r w:rsidR="000E132F">
        <w:rPr>
          <w:rFonts w:ascii="Arial" w:hAnsi="Arial" w:cs="Arial"/>
          <w:color w:val="000000"/>
          <w:szCs w:val="24"/>
          <w:lang w:eastAsia="es-CO"/>
        </w:rPr>
        <w:t xml:space="preserve">a los </w:t>
      </w:r>
      <w:r w:rsidR="00F13DEA">
        <w:rPr>
          <w:rFonts w:ascii="Arial" w:hAnsi="Arial" w:cs="Arial"/>
          <w:color w:val="000000"/>
          <w:szCs w:val="24"/>
          <w:lang w:eastAsia="es-CO"/>
        </w:rPr>
        <w:t>guarismo</w:t>
      </w:r>
      <w:r w:rsidR="00D7384C">
        <w:rPr>
          <w:rFonts w:ascii="Arial" w:hAnsi="Arial" w:cs="Arial"/>
          <w:color w:val="000000"/>
          <w:szCs w:val="24"/>
          <w:lang w:eastAsia="es-CO"/>
        </w:rPr>
        <w:t>s</w:t>
      </w:r>
      <w:r w:rsidR="00F13DEA">
        <w:rPr>
          <w:rFonts w:ascii="Arial" w:hAnsi="Arial" w:cs="Arial"/>
          <w:color w:val="000000"/>
          <w:szCs w:val="24"/>
          <w:lang w:eastAsia="es-CO"/>
        </w:rPr>
        <w:t xml:space="preserve"> no se puede adicionar el tiempo </w:t>
      </w:r>
      <w:r w:rsidR="000E132F">
        <w:rPr>
          <w:rFonts w:ascii="Arial" w:hAnsi="Arial" w:cs="Arial"/>
          <w:color w:val="000000"/>
          <w:szCs w:val="24"/>
          <w:lang w:eastAsia="es-CO"/>
        </w:rPr>
        <w:t>laborado en el Municipio de La Virginia</w:t>
      </w:r>
      <w:r w:rsidR="00F13DEA">
        <w:rPr>
          <w:rFonts w:ascii="Arial" w:hAnsi="Arial" w:cs="Arial"/>
          <w:color w:val="000000"/>
          <w:szCs w:val="24"/>
          <w:lang w:eastAsia="es-CO"/>
        </w:rPr>
        <w:t xml:space="preserve">, conforme la jurisprudencia citada, toda vez que se trata de tiempo público, que solo es posible acumular para aplicar la Ley 71 de 1988 </w:t>
      </w:r>
      <w:r w:rsidR="00D7384C">
        <w:rPr>
          <w:rFonts w:ascii="Arial" w:hAnsi="Arial" w:cs="Arial"/>
          <w:color w:val="000000"/>
          <w:szCs w:val="24"/>
          <w:lang w:eastAsia="es-CO"/>
        </w:rPr>
        <w:t>o a la Ley 100/93</w:t>
      </w:r>
      <w:r w:rsidR="0062441D">
        <w:rPr>
          <w:rFonts w:ascii="Arial" w:hAnsi="Arial" w:cs="Arial"/>
          <w:color w:val="000000"/>
          <w:szCs w:val="24"/>
          <w:lang w:eastAsia="es-CO"/>
        </w:rPr>
        <w:t xml:space="preserve"> </w:t>
      </w:r>
      <w:r w:rsidR="00F13DEA">
        <w:rPr>
          <w:rFonts w:ascii="Arial" w:hAnsi="Arial" w:cs="Arial"/>
          <w:color w:val="000000"/>
          <w:szCs w:val="24"/>
          <w:lang w:eastAsia="es-CO"/>
        </w:rPr>
        <w:t>y no, el Acuerdo 049 de 1990, como se depreca en la demanda.</w:t>
      </w:r>
    </w:p>
    <w:p w:rsidR="008C78EA" w:rsidRDefault="008C78EA" w:rsidP="00F008C0">
      <w:pPr>
        <w:shd w:val="clear" w:color="auto" w:fill="FFFFFF"/>
        <w:tabs>
          <w:tab w:val="left" w:pos="5197"/>
        </w:tabs>
        <w:spacing w:line="276" w:lineRule="auto"/>
        <w:jc w:val="both"/>
        <w:rPr>
          <w:rFonts w:ascii="Arial" w:hAnsi="Arial" w:cs="Arial"/>
          <w:color w:val="000000"/>
          <w:szCs w:val="24"/>
          <w:lang w:eastAsia="es-CO"/>
        </w:rPr>
      </w:pPr>
    </w:p>
    <w:p w:rsidR="00D7384C" w:rsidRPr="00FA5FE5" w:rsidRDefault="00D7384C" w:rsidP="00D7384C">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3"/>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D7384C" w:rsidRPr="00FA5FE5" w:rsidRDefault="00D7384C" w:rsidP="00D7384C">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7384C" w:rsidRPr="003A6EB2" w:rsidRDefault="00D7384C" w:rsidP="00D7384C">
      <w:pPr>
        <w:widowControl w:val="0"/>
        <w:spacing w:line="276" w:lineRule="auto"/>
        <w:jc w:val="both"/>
        <w:rPr>
          <w:rFonts w:ascii="Arial" w:hAnsi="Arial" w:cs="Arial"/>
          <w:sz w:val="22"/>
          <w:szCs w:val="22"/>
        </w:rPr>
      </w:pPr>
      <w:r w:rsidRPr="00FA5FE5">
        <w:rPr>
          <w:rFonts w:ascii="Arial" w:hAnsi="Arial" w:cs="Arial"/>
          <w:color w:val="000000"/>
          <w:szCs w:val="24"/>
          <w:lang w:val="es-ES"/>
        </w:rPr>
        <w:t>Ahora, frente a las sentencias de tutela proferidas por el Tribunal Constitucional, no existe duda que las mismas producen efectos inter partes</w:t>
      </w:r>
      <w:r>
        <w:rPr>
          <w:rStyle w:val="Appelnotedebasdep"/>
          <w:rFonts w:ascii="Arial" w:hAnsi="Arial" w:cs="Arial"/>
          <w:color w:val="000000"/>
          <w:szCs w:val="24"/>
          <w:lang w:val="es-ES"/>
        </w:rPr>
        <w:footnoteReference w:id="4"/>
      </w:r>
      <w:r w:rsidRPr="00FA5FE5">
        <w:rPr>
          <w:rFonts w:ascii="Arial" w:hAnsi="Arial" w:cs="Arial"/>
          <w:color w:val="000000"/>
          <w:szCs w:val="24"/>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w:t>
      </w:r>
      <w:r>
        <w:rPr>
          <w:rFonts w:ascii="Arial" w:hAnsi="Arial" w:cs="Arial"/>
          <w:color w:val="000000"/>
          <w:szCs w:val="24"/>
          <w:lang w:val="es-ES"/>
        </w:rPr>
        <w:t>aciones, que no es este el caso</w:t>
      </w:r>
    </w:p>
    <w:p w:rsidR="00D7384C" w:rsidRDefault="00D7384C" w:rsidP="00F008C0">
      <w:pPr>
        <w:shd w:val="clear" w:color="auto" w:fill="FFFFFF"/>
        <w:tabs>
          <w:tab w:val="left" w:pos="5197"/>
        </w:tabs>
        <w:spacing w:line="276" w:lineRule="auto"/>
        <w:jc w:val="both"/>
        <w:rPr>
          <w:rFonts w:ascii="Arial" w:hAnsi="Arial" w:cs="Arial"/>
          <w:color w:val="000000"/>
          <w:szCs w:val="24"/>
          <w:lang w:eastAsia="es-CO"/>
        </w:rPr>
      </w:pPr>
    </w:p>
    <w:p w:rsidR="000C25D2" w:rsidRDefault="000C25D2" w:rsidP="00F008C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Adicional a lo dicho, la Sala mayoritaria comparte los argumentos expuestos por la Corte Suprema de Justicia –</w:t>
      </w:r>
      <w:r w:rsidRPr="000C25D2">
        <w:rPr>
          <w:rFonts w:ascii="Arial" w:hAnsi="Arial" w:cs="Arial"/>
          <w:i/>
          <w:szCs w:val="24"/>
        </w:rPr>
        <w:t>órgano de cierre de esta especialidad-</w:t>
      </w:r>
      <w:r>
        <w:rPr>
          <w:rFonts w:ascii="Arial" w:hAnsi="Arial" w:cs="Arial"/>
          <w:szCs w:val="24"/>
        </w:rPr>
        <w:t xml:space="preserve"> en el sentido de que existe  </w:t>
      </w:r>
      <w:r w:rsidR="00F76A98">
        <w:rPr>
          <w:rFonts w:ascii="Arial" w:hAnsi="Arial" w:cs="Arial"/>
          <w:szCs w:val="24"/>
        </w:rPr>
        <w:t xml:space="preserve">norma especial que regula el evento, la Ley 71 de 1988. Ahora, si el legislador hubiere querido incluir en el Decreto 758/90 la acumulación de aportes, hubiera derogado la norma anterior a </w:t>
      </w:r>
      <w:r w:rsidR="006E485C">
        <w:rPr>
          <w:rFonts w:ascii="Arial" w:hAnsi="Arial" w:cs="Arial"/>
          <w:szCs w:val="24"/>
        </w:rPr>
        <w:t>él</w:t>
      </w:r>
      <w:r w:rsidR="00F76A98">
        <w:rPr>
          <w:rFonts w:ascii="Arial" w:hAnsi="Arial" w:cs="Arial"/>
          <w:szCs w:val="24"/>
        </w:rPr>
        <w:t xml:space="preserve">, como si lo hizo la Ley 100 de 1993. </w:t>
      </w:r>
    </w:p>
    <w:p w:rsidR="00701C5C" w:rsidRDefault="00701C5C" w:rsidP="00C71AE7">
      <w:pPr>
        <w:shd w:val="clear" w:color="auto" w:fill="FFFFFF"/>
        <w:tabs>
          <w:tab w:val="left" w:pos="5197"/>
        </w:tabs>
        <w:spacing w:line="276" w:lineRule="auto"/>
        <w:jc w:val="both"/>
        <w:rPr>
          <w:rFonts w:ascii="Arial" w:hAnsi="Arial" w:cs="Arial"/>
          <w:color w:val="000000"/>
          <w:szCs w:val="24"/>
          <w:lang w:eastAsia="es-CO"/>
        </w:rPr>
      </w:pPr>
    </w:p>
    <w:p w:rsidR="00F008C0" w:rsidRDefault="00F13DEA" w:rsidP="00C71AE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orden de ideas, </w:t>
      </w:r>
      <w:r w:rsidR="00C71AE7">
        <w:rPr>
          <w:rFonts w:ascii="Arial" w:hAnsi="Arial" w:cs="Arial"/>
          <w:color w:val="000000"/>
          <w:szCs w:val="24"/>
          <w:lang w:eastAsia="es-CO"/>
        </w:rPr>
        <w:t xml:space="preserve">es evidente que el señor </w:t>
      </w:r>
      <w:proofErr w:type="spellStart"/>
      <w:r w:rsidR="00D7384C">
        <w:rPr>
          <w:rFonts w:ascii="Arial" w:hAnsi="Arial" w:cs="Arial"/>
          <w:color w:val="000000"/>
          <w:szCs w:val="24"/>
          <w:lang w:eastAsia="es-CO"/>
        </w:rPr>
        <w:t>Dorancé</w:t>
      </w:r>
      <w:proofErr w:type="spellEnd"/>
      <w:r w:rsidR="00D7384C">
        <w:rPr>
          <w:rFonts w:ascii="Arial" w:hAnsi="Arial" w:cs="Arial"/>
          <w:color w:val="000000"/>
          <w:szCs w:val="24"/>
          <w:lang w:eastAsia="es-CO"/>
        </w:rPr>
        <w:t xml:space="preserve"> Mosquera </w:t>
      </w:r>
      <w:proofErr w:type="spellStart"/>
      <w:r w:rsidR="00D7384C">
        <w:rPr>
          <w:rFonts w:ascii="Arial" w:hAnsi="Arial" w:cs="Arial"/>
          <w:color w:val="000000"/>
          <w:szCs w:val="24"/>
          <w:lang w:eastAsia="es-CO"/>
        </w:rPr>
        <w:t>Taborda</w:t>
      </w:r>
      <w:proofErr w:type="spellEnd"/>
      <w:r w:rsidR="00C71AE7">
        <w:rPr>
          <w:rFonts w:ascii="Arial" w:hAnsi="Arial" w:cs="Arial"/>
          <w:color w:val="000000"/>
          <w:szCs w:val="24"/>
          <w:lang w:eastAsia="es-CO"/>
        </w:rPr>
        <w:t xml:space="preserve">, no logró acreditar en su totalidad </w:t>
      </w:r>
      <w:r w:rsidR="00BE13A8">
        <w:rPr>
          <w:rFonts w:ascii="Arial" w:hAnsi="Arial" w:cs="Arial"/>
          <w:color w:val="000000"/>
          <w:szCs w:val="24"/>
          <w:lang w:eastAsia="es-CO"/>
        </w:rPr>
        <w:t xml:space="preserve">los requisitos para poder </w:t>
      </w:r>
      <w:r w:rsidR="00C71AE7">
        <w:rPr>
          <w:rFonts w:ascii="Arial" w:hAnsi="Arial" w:cs="Arial"/>
          <w:color w:val="000000"/>
          <w:szCs w:val="24"/>
          <w:lang w:eastAsia="es-CO"/>
        </w:rPr>
        <w:t xml:space="preserve">gozar del </w:t>
      </w:r>
      <w:r w:rsidR="0013179B">
        <w:rPr>
          <w:rFonts w:ascii="Arial" w:hAnsi="Arial" w:cs="Arial"/>
          <w:color w:val="000000"/>
          <w:szCs w:val="24"/>
          <w:lang w:eastAsia="es-CO"/>
        </w:rPr>
        <w:t xml:space="preserve">beneficio pensional, </w:t>
      </w:r>
      <w:r w:rsidR="0062441D">
        <w:rPr>
          <w:rFonts w:ascii="Arial" w:hAnsi="Arial" w:cs="Arial"/>
          <w:color w:val="000000"/>
          <w:szCs w:val="24"/>
          <w:lang w:eastAsia="es-CO"/>
        </w:rPr>
        <w:t xml:space="preserve">de un lado porque </w:t>
      </w:r>
      <w:r w:rsidR="0013179B">
        <w:rPr>
          <w:rFonts w:ascii="Arial" w:hAnsi="Arial" w:cs="Arial"/>
          <w:color w:val="000000"/>
          <w:szCs w:val="24"/>
          <w:lang w:eastAsia="es-CO"/>
        </w:rPr>
        <w:t>con base en el Acuerdo 049/90 arribó a 118,8571 semanas cotizadas</w:t>
      </w:r>
      <w:r w:rsidR="0062441D">
        <w:rPr>
          <w:rFonts w:ascii="Arial" w:hAnsi="Arial" w:cs="Arial"/>
          <w:color w:val="000000"/>
          <w:szCs w:val="24"/>
          <w:lang w:eastAsia="es-CO"/>
        </w:rPr>
        <w:t xml:space="preserve"> como se dijo precedentemente </w:t>
      </w:r>
      <w:r w:rsidR="0013179B">
        <w:rPr>
          <w:rFonts w:ascii="Arial" w:hAnsi="Arial" w:cs="Arial"/>
          <w:color w:val="000000"/>
          <w:szCs w:val="24"/>
          <w:lang w:eastAsia="es-CO"/>
        </w:rPr>
        <w:t xml:space="preserve">y, </w:t>
      </w:r>
      <w:r w:rsidR="0062441D">
        <w:rPr>
          <w:rFonts w:ascii="Arial" w:hAnsi="Arial" w:cs="Arial"/>
          <w:color w:val="000000"/>
          <w:szCs w:val="24"/>
          <w:lang w:eastAsia="es-CO"/>
        </w:rPr>
        <w:t xml:space="preserve">de otro, dado que </w:t>
      </w:r>
      <w:r w:rsidR="0013179B">
        <w:rPr>
          <w:rFonts w:ascii="Arial" w:hAnsi="Arial" w:cs="Arial"/>
          <w:color w:val="000000"/>
          <w:szCs w:val="24"/>
          <w:lang w:eastAsia="es-CO"/>
        </w:rPr>
        <w:t>bajo el amparo de la Ley 71/88 o la Ley 100/93 solo acreditó un total de</w:t>
      </w:r>
      <w:r w:rsidR="0062441D">
        <w:rPr>
          <w:rFonts w:ascii="Arial" w:hAnsi="Arial" w:cs="Arial"/>
          <w:color w:val="000000"/>
          <w:szCs w:val="24"/>
          <w:lang w:eastAsia="es-CO"/>
        </w:rPr>
        <w:t xml:space="preserve"> 910,99</w:t>
      </w:r>
      <w:r w:rsidR="0062441D">
        <w:rPr>
          <w:rStyle w:val="Appelnotedebasdep"/>
          <w:rFonts w:ascii="Arial" w:hAnsi="Arial" w:cs="Arial"/>
          <w:color w:val="000000"/>
          <w:szCs w:val="24"/>
          <w:lang w:eastAsia="es-CO"/>
        </w:rPr>
        <w:footnoteReference w:id="5"/>
      </w:r>
      <w:r w:rsidR="0013179B">
        <w:rPr>
          <w:rFonts w:ascii="Arial" w:hAnsi="Arial" w:cs="Arial"/>
          <w:color w:val="000000"/>
          <w:szCs w:val="24"/>
          <w:lang w:eastAsia="es-CO"/>
        </w:rPr>
        <w:t xml:space="preserve">  </w:t>
      </w:r>
      <w:r w:rsidR="00C71AE7">
        <w:rPr>
          <w:rFonts w:ascii="Arial" w:hAnsi="Arial" w:cs="Arial"/>
          <w:color w:val="000000"/>
          <w:szCs w:val="24"/>
          <w:lang w:eastAsia="es-CO"/>
        </w:rPr>
        <w:t>y por ende, sus pretensiones no pueden salir airosas, conclusión que coincide con la decisión de primer grado.</w:t>
      </w:r>
    </w:p>
    <w:p w:rsidR="00342738" w:rsidRDefault="00342738" w:rsidP="00313EBE">
      <w:pPr>
        <w:shd w:val="clear" w:color="auto" w:fill="FFFFFF"/>
        <w:tabs>
          <w:tab w:val="left" w:pos="5197"/>
        </w:tabs>
        <w:spacing w:line="276" w:lineRule="auto"/>
        <w:jc w:val="center"/>
        <w:rPr>
          <w:rFonts w:ascii="Arial" w:hAnsi="Arial" w:cs="Arial"/>
          <w:b/>
          <w:color w:val="000000"/>
          <w:szCs w:val="24"/>
          <w:lang w:eastAsia="es-CO"/>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imera instancia será confirmada</w:t>
      </w:r>
      <w:r w:rsidR="004B515C">
        <w:rPr>
          <w:rFonts w:ascii="Arial" w:hAnsi="Arial" w:cs="Arial"/>
          <w:color w:val="000000"/>
          <w:szCs w:val="24"/>
          <w:lang w:eastAsia="es-CO"/>
        </w:rPr>
        <w:t>.</w:t>
      </w:r>
    </w:p>
    <w:p w:rsidR="00706D18" w:rsidRDefault="00706D18"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342738">
        <w:rPr>
          <w:rFonts w:ascii="Arial" w:hAnsi="Arial" w:cs="Arial"/>
          <w:szCs w:val="24"/>
        </w:rPr>
        <w:t xml:space="preserve">a cargo </w:t>
      </w:r>
      <w:proofErr w:type="gramStart"/>
      <w:r w:rsidR="00342738">
        <w:rPr>
          <w:rFonts w:ascii="Arial" w:hAnsi="Arial" w:cs="Arial"/>
          <w:szCs w:val="24"/>
        </w:rPr>
        <w:t>del recurrente dada</w:t>
      </w:r>
      <w:proofErr w:type="gramEnd"/>
      <w:r w:rsidR="00342738">
        <w:rPr>
          <w:rFonts w:ascii="Arial" w:hAnsi="Arial" w:cs="Arial"/>
          <w:szCs w:val="24"/>
        </w:rPr>
        <w:t xml:space="preserve"> la </w:t>
      </w:r>
      <w:proofErr w:type="spellStart"/>
      <w:r w:rsidR="00342738">
        <w:rPr>
          <w:rFonts w:ascii="Arial" w:hAnsi="Arial" w:cs="Arial"/>
          <w:szCs w:val="24"/>
        </w:rPr>
        <w:t>improsperidad</w:t>
      </w:r>
      <w:proofErr w:type="spellEnd"/>
      <w:r w:rsidR="00342738">
        <w:rPr>
          <w:rFonts w:ascii="Arial" w:hAnsi="Arial" w:cs="Arial"/>
          <w:szCs w:val="24"/>
        </w:rPr>
        <w:t xml:space="preserve"> del recurso.</w:t>
      </w:r>
    </w:p>
    <w:p w:rsidR="00313DC2" w:rsidRDefault="00313DC2" w:rsidP="00F017BF">
      <w:pPr>
        <w:spacing w:line="276" w:lineRule="auto"/>
        <w:ind w:firstLine="708"/>
        <w:jc w:val="both"/>
        <w:rPr>
          <w:rFonts w:ascii="Arial" w:hAnsi="Arial" w:cs="Arial"/>
          <w:szCs w:val="24"/>
        </w:rPr>
      </w:pPr>
    </w:p>
    <w:p w:rsidR="00313DC2" w:rsidRPr="00313DC2" w:rsidRDefault="00313DC2" w:rsidP="006E485C">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ansinterligne"/>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226D5F" w:rsidRPr="00D578CB" w:rsidRDefault="00F5729C" w:rsidP="00F5729C">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1365C6" w:rsidRDefault="001320DB" w:rsidP="00342738">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D7384C">
        <w:rPr>
          <w:rFonts w:ascii="Arial" w:hAnsi="Arial" w:cs="Arial"/>
          <w:szCs w:val="24"/>
        </w:rPr>
        <w:t xml:space="preserve">22 </w:t>
      </w:r>
      <w:r w:rsidR="00EA3CA8" w:rsidRPr="00D578CB">
        <w:rPr>
          <w:rFonts w:ascii="Arial" w:hAnsi="Arial" w:cs="Arial"/>
          <w:szCs w:val="24"/>
        </w:rPr>
        <w:t xml:space="preserve">de </w:t>
      </w:r>
      <w:r w:rsidR="00D7384C">
        <w:rPr>
          <w:rFonts w:ascii="Arial" w:hAnsi="Arial" w:cs="Arial"/>
          <w:szCs w:val="24"/>
        </w:rPr>
        <w:t xml:space="preserve">junio </w:t>
      </w:r>
      <w:r w:rsidR="00EA3CA8" w:rsidRPr="00D578CB">
        <w:rPr>
          <w:rFonts w:ascii="Arial" w:hAnsi="Arial" w:cs="Arial"/>
          <w:szCs w:val="24"/>
        </w:rPr>
        <w:t>de 201</w:t>
      </w:r>
      <w:r w:rsidR="00342738">
        <w:rPr>
          <w:rFonts w:ascii="Arial" w:hAnsi="Arial" w:cs="Arial"/>
          <w:szCs w:val="24"/>
        </w:rPr>
        <w:t>6</w:t>
      </w:r>
      <w:r w:rsidR="00EA3CA8" w:rsidRPr="00D578CB">
        <w:rPr>
          <w:rFonts w:ascii="Arial" w:hAnsi="Arial" w:cs="Arial"/>
          <w:szCs w:val="24"/>
        </w:rPr>
        <w:t xml:space="preserve"> por el Juzgado </w:t>
      </w:r>
      <w:r w:rsidR="00D7384C">
        <w:rPr>
          <w:rFonts w:ascii="Arial" w:hAnsi="Arial" w:cs="Arial"/>
          <w:szCs w:val="24"/>
        </w:rPr>
        <w:t xml:space="preserve">Primero </w:t>
      </w:r>
      <w:r w:rsidR="00EA3CA8" w:rsidRPr="00D578CB">
        <w:rPr>
          <w:rFonts w:ascii="Arial" w:hAnsi="Arial" w:cs="Arial"/>
          <w:szCs w:val="24"/>
        </w:rPr>
        <w:t xml:space="preserve">Laboral del Circuito de Pereira, dentro del proceso ordinario laboral propuesto por </w:t>
      </w:r>
      <w:r w:rsidR="009F2EDB">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proofErr w:type="spellStart"/>
      <w:r w:rsidR="00927BCC">
        <w:rPr>
          <w:rFonts w:ascii="Arial" w:hAnsi="Arial" w:cs="Arial"/>
          <w:b/>
          <w:szCs w:val="24"/>
        </w:rPr>
        <w:t>Dorancé</w:t>
      </w:r>
      <w:proofErr w:type="spellEnd"/>
      <w:r w:rsidR="00927BCC">
        <w:rPr>
          <w:rFonts w:ascii="Arial" w:hAnsi="Arial" w:cs="Arial"/>
          <w:b/>
          <w:szCs w:val="24"/>
        </w:rPr>
        <w:t xml:space="preserve"> Mosquera </w:t>
      </w:r>
      <w:proofErr w:type="spellStart"/>
      <w:r w:rsidR="00927BCC">
        <w:rPr>
          <w:rFonts w:ascii="Arial" w:hAnsi="Arial" w:cs="Arial"/>
          <w:b/>
          <w:szCs w:val="24"/>
        </w:rPr>
        <w:t>Taborda</w:t>
      </w:r>
      <w:proofErr w:type="spellEnd"/>
      <w:r w:rsidR="00342738">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342738">
        <w:rPr>
          <w:rFonts w:ascii="Arial" w:hAnsi="Arial" w:cs="Arial"/>
          <w:bCs/>
          <w:iCs/>
          <w:szCs w:val="24"/>
        </w:rPr>
        <w:t>.</w:t>
      </w:r>
    </w:p>
    <w:p w:rsidR="0062441D" w:rsidRDefault="0062441D" w:rsidP="00342738">
      <w:pPr>
        <w:widowControl w:val="0"/>
        <w:autoSpaceDE w:val="0"/>
        <w:autoSpaceDN w:val="0"/>
        <w:adjustRightInd w:val="0"/>
        <w:spacing w:line="276" w:lineRule="auto"/>
        <w:jc w:val="both"/>
        <w:rPr>
          <w:rFonts w:ascii="Arial" w:hAnsi="Arial" w:cs="Arial"/>
          <w:bCs/>
          <w:iCs/>
          <w:szCs w:val="24"/>
        </w:rPr>
      </w:pPr>
    </w:p>
    <w:p w:rsidR="00342738" w:rsidRDefault="001365C6" w:rsidP="00342738">
      <w:pPr>
        <w:spacing w:line="276" w:lineRule="auto"/>
        <w:jc w:val="both"/>
        <w:rPr>
          <w:rFonts w:ascii="Arial" w:hAnsi="Arial" w:cs="Arial"/>
          <w:szCs w:val="24"/>
        </w:rPr>
      </w:pPr>
      <w:r w:rsidRPr="001365C6">
        <w:rPr>
          <w:rFonts w:ascii="Arial" w:hAnsi="Arial" w:cs="Arial"/>
          <w:b/>
          <w:bCs/>
          <w:iCs/>
          <w:szCs w:val="24"/>
        </w:rPr>
        <w:t xml:space="preserve">SEGUNDO: </w:t>
      </w:r>
      <w:r w:rsidR="00342738" w:rsidRPr="00D578CB">
        <w:rPr>
          <w:rFonts w:ascii="Arial" w:hAnsi="Arial" w:cs="Arial"/>
          <w:szCs w:val="24"/>
        </w:rPr>
        <w:t xml:space="preserve">Costas en </w:t>
      </w:r>
      <w:r w:rsidR="00342738">
        <w:rPr>
          <w:rFonts w:ascii="Arial" w:hAnsi="Arial" w:cs="Arial"/>
          <w:szCs w:val="24"/>
        </w:rPr>
        <w:t xml:space="preserve">esta instancia a cargo </w:t>
      </w:r>
      <w:proofErr w:type="gramStart"/>
      <w:r w:rsidR="00342738">
        <w:rPr>
          <w:rFonts w:ascii="Arial" w:hAnsi="Arial" w:cs="Arial"/>
          <w:szCs w:val="24"/>
        </w:rPr>
        <w:t>del recurrente dada</w:t>
      </w:r>
      <w:proofErr w:type="gramEnd"/>
      <w:r w:rsidR="00342738">
        <w:rPr>
          <w:rFonts w:ascii="Arial" w:hAnsi="Arial" w:cs="Arial"/>
          <w:szCs w:val="24"/>
        </w:rPr>
        <w:t xml:space="preserve"> la </w:t>
      </w:r>
      <w:proofErr w:type="spellStart"/>
      <w:r w:rsidR="00342738">
        <w:rPr>
          <w:rFonts w:ascii="Arial" w:hAnsi="Arial" w:cs="Arial"/>
          <w:szCs w:val="24"/>
        </w:rPr>
        <w:t>improsperidad</w:t>
      </w:r>
      <w:proofErr w:type="spellEnd"/>
      <w:r w:rsidR="00342738">
        <w:rPr>
          <w:rFonts w:ascii="Arial" w:hAnsi="Arial" w:cs="Arial"/>
          <w:szCs w:val="24"/>
        </w:rPr>
        <w:t xml:space="preserve"> del recurso.</w:t>
      </w:r>
    </w:p>
    <w:p w:rsidR="00D471CA" w:rsidRDefault="00D471CA" w:rsidP="00D471CA">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342738" w:rsidRDefault="00342738" w:rsidP="00D471CA">
      <w:pPr>
        <w:spacing w:line="276" w:lineRule="auto"/>
        <w:contextualSpacing/>
        <w:jc w:val="both"/>
        <w:rPr>
          <w:rFonts w:ascii="Arial" w:hAnsi="Arial" w:cs="Arial"/>
          <w:szCs w:val="24"/>
        </w:rPr>
      </w:pPr>
    </w:p>
    <w:p w:rsidR="00D471CA" w:rsidRPr="00A47C8D" w:rsidRDefault="00D471CA" w:rsidP="00D471C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ansinterligne"/>
        <w:spacing w:line="276" w:lineRule="auto"/>
        <w:contextualSpacing/>
        <w:rPr>
          <w:rFonts w:ascii="Arial" w:hAnsi="Arial" w:cs="Arial"/>
          <w:sz w:val="24"/>
          <w:szCs w:val="24"/>
          <w:lang w:val="es-ES"/>
        </w:rPr>
      </w:pPr>
    </w:p>
    <w:p w:rsidR="00321BB8" w:rsidRDefault="00321BB8" w:rsidP="00D471CA">
      <w:pPr>
        <w:pStyle w:val="Sansinterligne"/>
        <w:spacing w:line="276" w:lineRule="auto"/>
        <w:contextualSpacing/>
        <w:jc w:val="center"/>
        <w:rPr>
          <w:rFonts w:ascii="Arial" w:hAnsi="Arial" w:cs="Arial"/>
          <w:sz w:val="24"/>
          <w:szCs w:val="24"/>
          <w:lang w:val="es-ES"/>
        </w:rPr>
      </w:pPr>
    </w:p>
    <w:p w:rsidR="00321BB8" w:rsidRDefault="00321BB8" w:rsidP="00D471CA">
      <w:pPr>
        <w:pStyle w:val="Sansinterligne"/>
        <w:spacing w:line="276" w:lineRule="auto"/>
        <w:contextualSpacing/>
        <w:jc w:val="center"/>
        <w:rPr>
          <w:rFonts w:ascii="Arial" w:hAnsi="Arial" w:cs="Arial"/>
          <w:sz w:val="24"/>
          <w:szCs w:val="24"/>
          <w:lang w:val="es-ES"/>
        </w:rPr>
      </w:pPr>
    </w:p>
    <w:p w:rsidR="00321BB8" w:rsidRPr="00D578CB" w:rsidRDefault="00321BB8" w:rsidP="00D471CA">
      <w:pPr>
        <w:pStyle w:val="Sansinterligne"/>
        <w:spacing w:line="276" w:lineRule="auto"/>
        <w:contextualSpacing/>
        <w:jc w:val="center"/>
        <w:rPr>
          <w:rFonts w:ascii="Arial" w:hAnsi="Arial" w:cs="Arial"/>
          <w:sz w:val="24"/>
          <w:szCs w:val="24"/>
          <w:lang w:val="es-ES"/>
        </w:rPr>
      </w:pPr>
    </w:p>
    <w:p w:rsidR="00D471CA" w:rsidRPr="00D578CB" w:rsidRDefault="00D471CA" w:rsidP="00D471C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321BB8" w:rsidRDefault="00321BB8" w:rsidP="00D471CA">
      <w:pPr>
        <w:spacing w:line="276" w:lineRule="auto"/>
        <w:contextualSpacing/>
        <w:jc w:val="both"/>
        <w:rPr>
          <w:rFonts w:ascii="Arial" w:hAnsi="Arial" w:cs="Arial"/>
          <w:b/>
          <w:bCs/>
          <w:iCs/>
          <w:sz w:val="23"/>
          <w:szCs w:val="23"/>
          <w:lang w:val="es-ES"/>
        </w:rPr>
      </w:pPr>
    </w:p>
    <w:p w:rsidR="00321BB8" w:rsidRDefault="00321BB8"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C90894">
        <w:rPr>
          <w:rFonts w:ascii="Arial" w:hAnsi="Arial" w:cs="Arial"/>
          <w:sz w:val="23"/>
          <w:szCs w:val="23"/>
          <w:lang w:val="es-ES"/>
        </w:rPr>
        <w:tab/>
      </w:r>
      <w:r w:rsidR="00C90894">
        <w:rPr>
          <w:rFonts w:ascii="Arial" w:hAnsi="Arial" w:cs="Arial"/>
          <w:sz w:val="23"/>
          <w:szCs w:val="23"/>
          <w:lang w:val="es-ES"/>
        </w:rPr>
        <w:tab/>
      </w:r>
      <w:r w:rsidR="00C90894" w:rsidRPr="0045273B">
        <w:rPr>
          <w:rFonts w:ascii="Arial" w:hAnsi="Arial" w:cs="Arial"/>
          <w:b/>
          <w:bCs/>
          <w:iCs/>
          <w:sz w:val="23"/>
          <w:szCs w:val="23"/>
          <w:lang w:val="es-ES"/>
        </w:rPr>
        <w:t xml:space="preserve">ANA LUCÍA CAICEDO CALDERÓN                         </w:t>
      </w:r>
    </w:p>
    <w:p w:rsidR="00D471CA" w:rsidRPr="0045273B" w:rsidRDefault="00C90894" w:rsidP="00D471CA">
      <w:pPr>
        <w:spacing w:line="276" w:lineRule="auto"/>
        <w:contextualSpacing/>
        <w:jc w:val="both"/>
        <w:rPr>
          <w:rFonts w:ascii="Arial" w:hAnsi="Arial" w:cs="Arial"/>
          <w:sz w:val="23"/>
          <w:szCs w:val="23"/>
          <w:lang w:val="es-ES"/>
        </w:rPr>
      </w:pPr>
      <w:r>
        <w:rPr>
          <w:rFonts w:ascii="Arial" w:hAnsi="Arial" w:cs="Arial"/>
          <w:sz w:val="23"/>
          <w:szCs w:val="23"/>
          <w:lang w:val="es-ES"/>
        </w:rPr>
        <w:t xml:space="preserve">                   Magistrado</w:t>
      </w:r>
      <w:r w:rsidR="00D471CA" w:rsidRPr="0045273B">
        <w:rPr>
          <w:rFonts w:ascii="Arial" w:hAnsi="Arial" w:cs="Arial"/>
          <w:sz w:val="23"/>
          <w:szCs w:val="23"/>
          <w:lang w:val="es-ES"/>
        </w:rPr>
        <w:t xml:space="preserve">                                           </w:t>
      </w:r>
      <w:r>
        <w:rPr>
          <w:rFonts w:ascii="Arial" w:hAnsi="Arial" w:cs="Arial"/>
          <w:sz w:val="23"/>
          <w:szCs w:val="23"/>
          <w:lang w:val="es-ES"/>
        </w:rPr>
        <w:t xml:space="preserve">                      Magistrada</w:t>
      </w:r>
      <w:r w:rsidR="00D471CA"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2F555A">
        <w:rPr>
          <w:rFonts w:ascii="Arial" w:hAnsi="Arial" w:cs="Arial"/>
          <w:bCs/>
          <w:iCs/>
          <w:sz w:val="23"/>
          <w:szCs w:val="23"/>
          <w:lang w:val="es-ES"/>
        </w:rPr>
        <w:t xml:space="preserve">  </w:t>
      </w:r>
      <w:r w:rsidR="002F555A">
        <w:rPr>
          <w:rFonts w:ascii="Arial" w:hAnsi="Arial" w:cs="Arial"/>
          <w:bCs/>
          <w:iCs/>
          <w:sz w:val="23"/>
          <w:szCs w:val="23"/>
          <w:lang w:val="es-ES"/>
        </w:rPr>
        <w:tab/>
      </w:r>
      <w:r w:rsidR="00CB6828">
        <w:rPr>
          <w:rFonts w:ascii="Arial" w:hAnsi="Arial" w:cs="Arial"/>
          <w:bCs/>
          <w:iCs/>
          <w:sz w:val="23"/>
          <w:szCs w:val="23"/>
          <w:lang w:val="es-ES"/>
        </w:rPr>
        <w:t xml:space="preserve">     </w:t>
      </w:r>
      <w:r w:rsidR="00C90894">
        <w:rPr>
          <w:rFonts w:ascii="Arial" w:hAnsi="Arial" w:cs="Arial"/>
          <w:bCs/>
          <w:iCs/>
          <w:sz w:val="23"/>
          <w:szCs w:val="23"/>
          <w:lang w:val="es-ES"/>
        </w:rPr>
        <w:tab/>
      </w:r>
      <w:r w:rsidR="00C90894">
        <w:rPr>
          <w:rFonts w:ascii="Arial" w:hAnsi="Arial" w:cs="Arial"/>
          <w:bCs/>
          <w:iCs/>
          <w:sz w:val="23"/>
          <w:szCs w:val="23"/>
          <w:lang w:val="es-ES"/>
        </w:rPr>
        <w:tab/>
      </w:r>
      <w:r w:rsidR="00C90894">
        <w:rPr>
          <w:rFonts w:ascii="Arial" w:hAnsi="Arial" w:cs="Arial"/>
          <w:bCs/>
          <w:iCs/>
          <w:sz w:val="23"/>
          <w:szCs w:val="23"/>
          <w:lang w:val="es-ES"/>
        </w:rPr>
        <w:tab/>
      </w:r>
      <w:r w:rsidR="00C90894">
        <w:rPr>
          <w:rFonts w:ascii="Arial" w:hAnsi="Arial" w:cs="Arial"/>
          <w:bCs/>
          <w:iCs/>
          <w:sz w:val="23"/>
          <w:szCs w:val="23"/>
          <w:lang w:val="es-ES"/>
        </w:rPr>
        <w:tab/>
      </w:r>
      <w:r w:rsidR="00C90894">
        <w:rPr>
          <w:rFonts w:ascii="Arial" w:hAnsi="Arial" w:cs="Arial"/>
          <w:bCs/>
          <w:iCs/>
          <w:sz w:val="23"/>
          <w:szCs w:val="23"/>
          <w:lang w:val="es-ES"/>
        </w:rPr>
        <w:tab/>
      </w:r>
      <w:r w:rsidR="00C90894">
        <w:rPr>
          <w:rFonts w:ascii="Arial" w:hAnsi="Arial" w:cs="Arial"/>
          <w:bCs/>
          <w:iCs/>
          <w:sz w:val="23"/>
          <w:szCs w:val="23"/>
          <w:lang w:val="es-ES"/>
        </w:rPr>
        <w:tab/>
      </w:r>
      <w:r w:rsidR="00C90894">
        <w:rPr>
          <w:rFonts w:ascii="Arial" w:hAnsi="Arial" w:cs="Arial"/>
          <w:bCs/>
          <w:iCs/>
          <w:sz w:val="23"/>
          <w:szCs w:val="23"/>
          <w:lang w:val="es-ES"/>
        </w:rPr>
        <w:tab/>
      </w:r>
      <w:r w:rsidR="00C90894">
        <w:rPr>
          <w:rFonts w:ascii="Arial" w:hAnsi="Arial" w:cs="Arial"/>
          <w:bCs/>
          <w:iCs/>
          <w:sz w:val="23"/>
          <w:szCs w:val="23"/>
          <w:lang w:val="es-ES"/>
        </w:rPr>
        <w:tab/>
      </w:r>
      <w:r w:rsidR="00CB6828">
        <w:rPr>
          <w:rFonts w:ascii="Arial" w:hAnsi="Arial" w:cs="Arial"/>
          <w:bCs/>
          <w:iCs/>
          <w:sz w:val="23"/>
          <w:szCs w:val="23"/>
          <w:lang w:val="es-ES"/>
        </w:rPr>
        <w:t xml:space="preserve">  (</w:t>
      </w:r>
      <w:proofErr w:type="gramStart"/>
      <w:r w:rsidR="00CB6828">
        <w:rPr>
          <w:rFonts w:ascii="Arial" w:hAnsi="Arial" w:cs="Arial"/>
          <w:bCs/>
          <w:iCs/>
          <w:sz w:val="23"/>
          <w:szCs w:val="23"/>
          <w:lang w:val="es-ES"/>
        </w:rPr>
        <w:t>salva</w:t>
      </w:r>
      <w:proofErr w:type="gramEnd"/>
      <w:r w:rsidR="00CB6828">
        <w:rPr>
          <w:rFonts w:ascii="Arial" w:hAnsi="Arial" w:cs="Arial"/>
          <w:bCs/>
          <w:iCs/>
          <w:sz w:val="23"/>
          <w:szCs w:val="23"/>
          <w:lang w:val="es-ES"/>
        </w:rPr>
        <w:t xml:space="preserve"> voto)</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Default="00D471CA" w:rsidP="00D471CA">
      <w:pPr>
        <w:spacing w:line="276" w:lineRule="auto"/>
        <w:ind w:firstLine="900"/>
        <w:contextualSpacing/>
        <w:jc w:val="both"/>
        <w:rPr>
          <w:rFonts w:ascii="Arial" w:hAnsi="Arial" w:cs="Arial"/>
          <w:bCs/>
          <w:iCs/>
          <w:szCs w:val="24"/>
          <w:lang w:val="es-ES"/>
        </w:rPr>
      </w:pPr>
    </w:p>
    <w:p w:rsidR="00321BB8" w:rsidRDefault="00321BB8" w:rsidP="00D471CA">
      <w:pPr>
        <w:spacing w:line="276" w:lineRule="auto"/>
        <w:ind w:firstLine="900"/>
        <w:contextualSpacing/>
        <w:jc w:val="both"/>
        <w:rPr>
          <w:rFonts w:ascii="Arial" w:hAnsi="Arial" w:cs="Arial"/>
          <w:bCs/>
          <w:iCs/>
          <w:szCs w:val="24"/>
          <w:lang w:val="es-ES"/>
        </w:rPr>
      </w:pPr>
    </w:p>
    <w:p w:rsidR="00321BB8" w:rsidRPr="00AC486E" w:rsidRDefault="00321BB8" w:rsidP="00D471CA">
      <w:pPr>
        <w:spacing w:line="276" w:lineRule="auto"/>
        <w:ind w:firstLine="900"/>
        <w:contextualSpacing/>
        <w:jc w:val="both"/>
        <w:rPr>
          <w:rFonts w:ascii="Arial" w:hAnsi="Arial" w:cs="Arial"/>
          <w:bCs/>
          <w:iCs/>
          <w:szCs w:val="24"/>
          <w:lang w:val="es-ES"/>
        </w:rPr>
      </w:pPr>
    </w:p>
    <w:sectPr w:rsidR="00321BB8" w:rsidRPr="00AC486E"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8B" w:rsidRDefault="00607E8B" w:rsidP="00226D5F">
      <w:r>
        <w:separator/>
      </w:r>
    </w:p>
  </w:endnote>
  <w:endnote w:type="continuationSeparator" w:id="0">
    <w:p w:rsidR="00607E8B" w:rsidRDefault="00607E8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607E8B"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6691">
      <w:rPr>
        <w:rStyle w:val="Numrodepage"/>
        <w:noProof/>
      </w:rPr>
      <w:t>6</w:t>
    </w:r>
    <w:r>
      <w:rPr>
        <w:rStyle w:val="Numrodepage"/>
      </w:rPr>
      <w:fldChar w:fldCharType="end"/>
    </w:r>
  </w:p>
  <w:p w:rsidR="009B4A56" w:rsidRDefault="00607E8B"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8B" w:rsidRDefault="00607E8B" w:rsidP="00226D5F">
      <w:r>
        <w:separator/>
      </w:r>
    </w:p>
  </w:footnote>
  <w:footnote w:type="continuationSeparator" w:id="0">
    <w:p w:rsidR="00607E8B" w:rsidRDefault="00607E8B" w:rsidP="00226D5F">
      <w:r>
        <w:continuationSeparator/>
      </w:r>
    </w:p>
  </w:footnote>
  <w:footnote w:id="1">
    <w:p w:rsidR="00874C3B" w:rsidRPr="00874C3B" w:rsidRDefault="00874C3B">
      <w:pPr>
        <w:pStyle w:val="Notedebasdepage"/>
        <w:rPr>
          <w:rFonts w:ascii="Arial" w:hAnsi="Arial" w:cs="Arial"/>
          <w:sz w:val="18"/>
          <w:szCs w:val="18"/>
          <w:lang w:val="es-AR"/>
        </w:rPr>
      </w:pPr>
      <w:r w:rsidRPr="00874C3B">
        <w:rPr>
          <w:rStyle w:val="Appelnotedebasdep"/>
          <w:rFonts w:ascii="Arial" w:hAnsi="Arial" w:cs="Arial"/>
          <w:sz w:val="18"/>
          <w:szCs w:val="18"/>
        </w:rPr>
        <w:footnoteRef/>
      </w:r>
      <w:r w:rsidRPr="00874C3B">
        <w:rPr>
          <w:rFonts w:ascii="Arial" w:hAnsi="Arial" w:cs="Arial"/>
          <w:sz w:val="18"/>
          <w:szCs w:val="18"/>
        </w:rPr>
        <w:t xml:space="preserve"> </w:t>
      </w:r>
      <w:proofErr w:type="spellStart"/>
      <w:r w:rsidRPr="00874C3B">
        <w:rPr>
          <w:rFonts w:ascii="Arial" w:hAnsi="Arial" w:cs="Arial"/>
          <w:sz w:val="18"/>
          <w:szCs w:val="18"/>
          <w:lang w:val="es-AR"/>
        </w:rPr>
        <w:t>M.P</w:t>
      </w:r>
      <w:proofErr w:type="spellEnd"/>
      <w:r w:rsidRPr="00874C3B">
        <w:rPr>
          <w:rFonts w:ascii="Arial" w:hAnsi="Arial" w:cs="Arial"/>
          <w:sz w:val="18"/>
          <w:szCs w:val="18"/>
          <w:lang w:val="es-AR"/>
        </w:rPr>
        <w:t>. Carlos Ernesto Molina. Radicado 41703.</w:t>
      </w:r>
    </w:p>
  </w:footnote>
  <w:footnote w:id="2">
    <w:p w:rsidR="00AF1425" w:rsidRPr="001B0D4C" w:rsidRDefault="00AF1425" w:rsidP="00D009EE">
      <w:pPr>
        <w:spacing w:line="360" w:lineRule="auto"/>
        <w:rPr>
          <w:lang w:val="es-AR"/>
        </w:rPr>
      </w:pPr>
      <w:r w:rsidRPr="00D009EE">
        <w:rPr>
          <w:rStyle w:val="Appelnotedebasdep"/>
          <w:rFonts w:ascii="Arial" w:hAnsi="Arial" w:cs="Arial"/>
          <w:sz w:val="18"/>
          <w:szCs w:val="18"/>
        </w:rPr>
        <w:footnoteRef/>
      </w:r>
      <w:r w:rsidRPr="00D009EE">
        <w:rPr>
          <w:rFonts w:ascii="Arial" w:hAnsi="Arial" w:cs="Arial"/>
          <w:sz w:val="18"/>
          <w:szCs w:val="18"/>
        </w:rPr>
        <w:t xml:space="preserve"> M. P. Dr. </w:t>
      </w:r>
      <w:r w:rsidR="00D009EE" w:rsidRPr="00D009EE">
        <w:rPr>
          <w:rFonts w:ascii="Arial" w:hAnsi="Arial" w:cs="Arial"/>
          <w:sz w:val="18"/>
          <w:szCs w:val="18"/>
        </w:rPr>
        <w:t xml:space="preserve">Luis </w:t>
      </w:r>
      <w:r w:rsidR="00011E3E" w:rsidRPr="00D009EE">
        <w:rPr>
          <w:rFonts w:ascii="Arial" w:hAnsi="Arial" w:cs="Arial"/>
          <w:sz w:val="18"/>
          <w:szCs w:val="18"/>
        </w:rPr>
        <w:t>Gabriel</w:t>
      </w:r>
      <w:r w:rsidR="00D009EE" w:rsidRPr="00D009EE">
        <w:rPr>
          <w:rFonts w:ascii="Arial" w:hAnsi="Arial" w:cs="Arial"/>
          <w:sz w:val="18"/>
          <w:szCs w:val="18"/>
        </w:rPr>
        <w:t xml:space="preserve"> Miranda </w:t>
      </w:r>
      <w:proofErr w:type="spellStart"/>
      <w:r w:rsidR="00D009EE" w:rsidRPr="00D009EE">
        <w:rPr>
          <w:rFonts w:ascii="Arial" w:hAnsi="Arial" w:cs="Arial"/>
          <w:sz w:val="18"/>
          <w:szCs w:val="18"/>
        </w:rPr>
        <w:t>Buelvas</w:t>
      </w:r>
      <w:proofErr w:type="spellEnd"/>
      <w:r w:rsidRPr="00D009EE">
        <w:rPr>
          <w:rFonts w:ascii="Arial" w:hAnsi="Arial" w:cs="Arial"/>
          <w:sz w:val="18"/>
          <w:szCs w:val="18"/>
        </w:rPr>
        <w:t>.</w:t>
      </w:r>
      <w:r w:rsidR="00D009EE" w:rsidRPr="00D009EE">
        <w:rPr>
          <w:rFonts w:ascii="Arial" w:hAnsi="Arial" w:cs="Arial"/>
          <w:sz w:val="18"/>
          <w:szCs w:val="18"/>
        </w:rPr>
        <w:t xml:space="preserve"> </w:t>
      </w:r>
      <w:r w:rsidR="00D009EE" w:rsidRPr="00D009EE">
        <w:rPr>
          <w:rFonts w:ascii="Arial" w:hAnsi="Arial" w:cs="Arial"/>
          <w:bCs/>
          <w:color w:val="000000"/>
          <w:sz w:val="18"/>
          <w:szCs w:val="18"/>
        </w:rPr>
        <w:t>L2266-2016</w:t>
      </w:r>
      <w:r w:rsidRPr="00D009EE">
        <w:rPr>
          <w:rFonts w:ascii="Arial" w:hAnsi="Arial" w:cs="Arial"/>
          <w:sz w:val="18"/>
          <w:szCs w:val="18"/>
        </w:rPr>
        <w:t xml:space="preserve"> Radicación N.° </w:t>
      </w:r>
      <w:r w:rsidR="00D009EE" w:rsidRPr="00D009EE">
        <w:rPr>
          <w:rFonts w:ascii="Arial" w:hAnsi="Arial" w:cs="Arial"/>
          <w:sz w:val="18"/>
          <w:szCs w:val="18"/>
        </w:rPr>
        <w:t>59926</w:t>
      </w:r>
      <w:r w:rsidRPr="00D009EE">
        <w:rPr>
          <w:rFonts w:ascii="Arial" w:hAnsi="Arial" w:cs="Arial"/>
          <w:sz w:val="18"/>
          <w:szCs w:val="18"/>
        </w:rPr>
        <w:t xml:space="preserve"> del 2</w:t>
      </w:r>
      <w:r w:rsidR="00D009EE" w:rsidRPr="00D009EE">
        <w:rPr>
          <w:rFonts w:ascii="Arial" w:hAnsi="Arial" w:cs="Arial"/>
          <w:sz w:val="18"/>
          <w:szCs w:val="18"/>
        </w:rPr>
        <w:t>7/01/2016</w:t>
      </w:r>
      <w:r w:rsidRPr="003E5977">
        <w:rPr>
          <w:rFonts w:ascii="Bookman Old Style" w:hAnsi="Bookman Old Style" w:cs="Estrangelo Edessa"/>
          <w:sz w:val="28"/>
          <w:szCs w:val="28"/>
        </w:rPr>
        <w:t>.</w:t>
      </w:r>
    </w:p>
  </w:footnote>
  <w:footnote w:id="3">
    <w:p w:rsidR="00D7384C" w:rsidRPr="00676199" w:rsidRDefault="00D7384C" w:rsidP="00D7384C">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4">
    <w:p w:rsidR="00D7384C" w:rsidRPr="000757E9" w:rsidRDefault="00D7384C" w:rsidP="00D7384C">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 w:id="5">
    <w:p w:rsidR="0062441D" w:rsidRPr="0062441D" w:rsidRDefault="0062441D">
      <w:pPr>
        <w:pStyle w:val="Notedebasdepage"/>
        <w:rPr>
          <w:lang w:val="es-AR"/>
        </w:rPr>
      </w:pPr>
      <w:r>
        <w:rPr>
          <w:rStyle w:val="Appelnotedebasdep"/>
        </w:rPr>
        <w:footnoteRef/>
      </w:r>
      <w:r>
        <w:t xml:space="preserve"> </w:t>
      </w:r>
      <w:r>
        <w:rPr>
          <w:lang w:val="es-AR"/>
        </w:rPr>
        <w:t>972,14 como tiempo público + 118,8571 privado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927BCC">
      <w:rPr>
        <w:rFonts w:ascii="Arial" w:hAnsi="Arial" w:cs="Arial"/>
        <w:sz w:val="18"/>
        <w:szCs w:val="18"/>
      </w:rPr>
      <w:t>1</w:t>
    </w:r>
    <w:r w:rsidRPr="00F5729C">
      <w:rPr>
        <w:rFonts w:ascii="Arial" w:hAnsi="Arial" w:cs="Arial"/>
        <w:sz w:val="18"/>
        <w:szCs w:val="18"/>
      </w:rPr>
      <w:t>-2015-00</w:t>
    </w:r>
    <w:r w:rsidR="00927BCC">
      <w:rPr>
        <w:rFonts w:ascii="Arial" w:hAnsi="Arial" w:cs="Arial"/>
        <w:sz w:val="18"/>
        <w:szCs w:val="18"/>
      </w:rPr>
      <w:t>157</w:t>
    </w:r>
    <w:r w:rsidRPr="00F5729C">
      <w:rPr>
        <w:rFonts w:ascii="Arial" w:hAnsi="Arial" w:cs="Arial"/>
        <w:sz w:val="18"/>
        <w:szCs w:val="18"/>
      </w:rPr>
      <w:t>-01</w:t>
    </w:r>
  </w:p>
  <w:p w:rsidR="00F5729C" w:rsidRPr="00F5729C" w:rsidRDefault="00927BCC" w:rsidP="00F5729C">
    <w:pPr>
      <w:pStyle w:val="En-tte"/>
      <w:jc w:val="center"/>
      <w:rPr>
        <w:rFonts w:ascii="Arial" w:hAnsi="Arial" w:cs="Arial"/>
        <w:sz w:val="18"/>
        <w:szCs w:val="18"/>
      </w:rPr>
    </w:pPr>
    <w:proofErr w:type="spellStart"/>
    <w:r>
      <w:rPr>
        <w:rFonts w:ascii="Arial" w:hAnsi="Arial" w:cs="Arial"/>
        <w:sz w:val="18"/>
        <w:szCs w:val="18"/>
      </w:rPr>
      <w:t>Dorancé</w:t>
    </w:r>
    <w:proofErr w:type="spellEnd"/>
    <w:r>
      <w:rPr>
        <w:rFonts w:ascii="Arial" w:hAnsi="Arial" w:cs="Arial"/>
        <w:sz w:val="18"/>
        <w:szCs w:val="18"/>
      </w:rPr>
      <w:t xml:space="preserve"> Mosquera </w:t>
    </w:r>
    <w:proofErr w:type="spellStart"/>
    <w:r>
      <w:rPr>
        <w:rFonts w:ascii="Arial" w:hAnsi="Arial" w:cs="Arial"/>
        <w:sz w:val="18"/>
        <w:szCs w:val="18"/>
      </w:rPr>
      <w:t>Taborda</w:t>
    </w:r>
    <w:proofErr w:type="spellEnd"/>
    <w:r>
      <w:rPr>
        <w:rFonts w:ascii="Arial" w:hAnsi="Arial" w:cs="Arial"/>
        <w:sz w:val="18"/>
        <w:szCs w:val="18"/>
      </w:rPr>
      <w:t xml:space="preserve">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581C"/>
    <w:rsid w:val="00005D7F"/>
    <w:rsid w:val="00007B72"/>
    <w:rsid w:val="00011E3E"/>
    <w:rsid w:val="00011EBE"/>
    <w:rsid w:val="000237B7"/>
    <w:rsid w:val="00026C2A"/>
    <w:rsid w:val="00036B6C"/>
    <w:rsid w:val="00040E9A"/>
    <w:rsid w:val="00040F26"/>
    <w:rsid w:val="000429E7"/>
    <w:rsid w:val="000452F4"/>
    <w:rsid w:val="00057FAE"/>
    <w:rsid w:val="00062F54"/>
    <w:rsid w:val="00080C0E"/>
    <w:rsid w:val="00084002"/>
    <w:rsid w:val="000A397D"/>
    <w:rsid w:val="000B4CF2"/>
    <w:rsid w:val="000B6D17"/>
    <w:rsid w:val="000C08B1"/>
    <w:rsid w:val="000C0A51"/>
    <w:rsid w:val="000C25D2"/>
    <w:rsid w:val="000D0444"/>
    <w:rsid w:val="000D6873"/>
    <w:rsid w:val="000D6AE3"/>
    <w:rsid w:val="000E132F"/>
    <w:rsid w:val="000E2F2C"/>
    <w:rsid w:val="000E70EB"/>
    <w:rsid w:val="000E7F42"/>
    <w:rsid w:val="000F08C1"/>
    <w:rsid w:val="000F38F8"/>
    <w:rsid w:val="000F4C53"/>
    <w:rsid w:val="000F5775"/>
    <w:rsid w:val="000F6FF9"/>
    <w:rsid w:val="001013ED"/>
    <w:rsid w:val="00101DEB"/>
    <w:rsid w:val="00106A7E"/>
    <w:rsid w:val="00106DD0"/>
    <w:rsid w:val="00117283"/>
    <w:rsid w:val="00121C7F"/>
    <w:rsid w:val="00121F87"/>
    <w:rsid w:val="00122A57"/>
    <w:rsid w:val="0012657D"/>
    <w:rsid w:val="00127390"/>
    <w:rsid w:val="0013179B"/>
    <w:rsid w:val="001320DB"/>
    <w:rsid w:val="00132136"/>
    <w:rsid w:val="00133E70"/>
    <w:rsid w:val="00134C86"/>
    <w:rsid w:val="001365C6"/>
    <w:rsid w:val="00146784"/>
    <w:rsid w:val="00150D59"/>
    <w:rsid w:val="00164E8B"/>
    <w:rsid w:val="001667FB"/>
    <w:rsid w:val="00171C56"/>
    <w:rsid w:val="00172834"/>
    <w:rsid w:val="001744EE"/>
    <w:rsid w:val="00183477"/>
    <w:rsid w:val="00183F07"/>
    <w:rsid w:val="00187075"/>
    <w:rsid w:val="001926F2"/>
    <w:rsid w:val="001A1E86"/>
    <w:rsid w:val="001A2492"/>
    <w:rsid w:val="001A2E17"/>
    <w:rsid w:val="001A4D21"/>
    <w:rsid w:val="001B03FA"/>
    <w:rsid w:val="001B0D4C"/>
    <w:rsid w:val="001C46FA"/>
    <w:rsid w:val="001C4D7F"/>
    <w:rsid w:val="001E0313"/>
    <w:rsid w:val="001E3462"/>
    <w:rsid w:val="001F20CE"/>
    <w:rsid w:val="001F49C2"/>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00D6"/>
    <w:rsid w:val="00265520"/>
    <w:rsid w:val="00272C8B"/>
    <w:rsid w:val="00273805"/>
    <w:rsid w:val="00286873"/>
    <w:rsid w:val="00287CC2"/>
    <w:rsid w:val="00290C0B"/>
    <w:rsid w:val="002A02BA"/>
    <w:rsid w:val="002A1785"/>
    <w:rsid w:val="002A6219"/>
    <w:rsid w:val="002B556B"/>
    <w:rsid w:val="002C0923"/>
    <w:rsid w:val="002C15F7"/>
    <w:rsid w:val="002C313D"/>
    <w:rsid w:val="002C5345"/>
    <w:rsid w:val="002D6807"/>
    <w:rsid w:val="002E09C2"/>
    <w:rsid w:val="002E36F9"/>
    <w:rsid w:val="002E4F47"/>
    <w:rsid w:val="002F07BA"/>
    <w:rsid w:val="002F2A42"/>
    <w:rsid w:val="002F555A"/>
    <w:rsid w:val="003021B0"/>
    <w:rsid w:val="003048D2"/>
    <w:rsid w:val="0030740B"/>
    <w:rsid w:val="00312238"/>
    <w:rsid w:val="00313DC2"/>
    <w:rsid w:val="00313EBE"/>
    <w:rsid w:val="00316059"/>
    <w:rsid w:val="00316580"/>
    <w:rsid w:val="00321BB8"/>
    <w:rsid w:val="00324AD2"/>
    <w:rsid w:val="00325F73"/>
    <w:rsid w:val="00342738"/>
    <w:rsid w:val="003440CA"/>
    <w:rsid w:val="00344548"/>
    <w:rsid w:val="003463CD"/>
    <w:rsid w:val="003465C4"/>
    <w:rsid w:val="00347C69"/>
    <w:rsid w:val="00351804"/>
    <w:rsid w:val="003576B8"/>
    <w:rsid w:val="003578D3"/>
    <w:rsid w:val="00357D26"/>
    <w:rsid w:val="003643A6"/>
    <w:rsid w:val="00364783"/>
    <w:rsid w:val="003818A7"/>
    <w:rsid w:val="00382914"/>
    <w:rsid w:val="00382C70"/>
    <w:rsid w:val="00390620"/>
    <w:rsid w:val="00390B71"/>
    <w:rsid w:val="003922FA"/>
    <w:rsid w:val="003932F1"/>
    <w:rsid w:val="003968C4"/>
    <w:rsid w:val="003A2921"/>
    <w:rsid w:val="003A6EB2"/>
    <w:rsid w:val="003A7DAB"/>
    <w:rsid w:val="003B1965"/>
    <w:rsid w:val="003B48CC"/>
    <w:rsid w:val="003B4EA7"/>
    <w:rsid w:val="003C44B5"/>
    <w:rsid w:val="003D0DFC"/>
    <w:rsid w:val="003D2D7B"/>
    <w:rsid w:val="003E7752"/>
    <w:rsid w:val="003F39CE"/>
    <w:rsid w:val="004167F6"/>
    <w:rsid w:val="00416A8D"/>
    <w:rsid w:val="00427FE1"/>
    <w:rsid w:val="004348AB"/>
    <w:rsid w:val="004354F8"/>
    <w:rsid w:val="004375AE"/>
    <w:rsid w:val="004453BD"/>
    <w:rsid w:val="00450598"/>
    <w:rsid w:val="00450903"/>
    <w:rsid w:val="004519EB"/>
    <w:rsid w:val="0045273B"/>
    <w:rsid w:val="00453DC3"/>
    <w:rsid w:val="00454184"/>
    <w:rsid w:val="00470873"/>
    <w:rsid w:val="00480C56"/>
    <w:rsid w:val="00480E65"/>
    <w:rsid w:val="004864DD"/>
    <w:rsid w:val="004A2468"/>
    <w:rsid w:val="004A7AB4"/>
    <w:rsid w:val="004B515C"/>
    <w:rsid w:val="004B6775"/>
    <w:rsid w:val="004C28EB"/>
    <w:rsid w:val="004C5B27"/>
    <w:rsid w:val="004D018B"/>
    <w:rsid w:val="004D01C5"/>
    <w:rsid w:val="004E2F7F"/>
    <w:rsid w:val="004E4CC6"/>
    <w:rsid w:val="004F1774"/>
    <w:rsid w:val="004F5C24"/>
    <w:rsid w:val="004F724D"/>
    <w:rsid w:val="00501034"/>
    <w:rsid w:val="00502691"/>
    <w:rsid w:val="0051055C"/>
    <w:rsid w:val="00515BDC"/>
    <w:rsid w:val="00532E80"/>
    <w:rsid w:val="00533F10"/>
    <w:rsid w:val="0053562A"/>
    <w:rsid w:val="005522AF"/>
    <w:rsid w:val="00552CE3"/>
    <w:rsid w:val="0055465D"/>
    <w:rsid w:val="0056104A"/>
    <w:rsid w:val="0056183E"/>
    <w:rsid w:val="00563283"/>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62CC"/>
    <w:rsid w:val="005B7D0B"/>
    <w:rsid w:val="005C15EB"/>
    <w:rsid w:val="005C3850"/>
    <w:rsid w:val="005C3E71"/>
    <w:rsid w:val="005D1BAD"/>
    <w:rsid w:val="005D1C5A"/>
    <w:rsid w:val="005D5800"/>
    <w:rsid w:val="005D7A47"/>
    <w:rsid w:val="005E0ED1"/>
    <w:rsid w:val="005E664B"/>
    <w:rsid w:val="005E7DA5"/>
    <w:rsid w:val="005F1504"/>
    <w:rsid w:val="005F36B2"/>
    <w:rsid w:val="005F3F1E"/>
    <w:rsid w:val="005F5E82"/>
    <w:rsid w:val="00607E8B"/>
    <w:rsid w:val="006135E9"/>
    <w:rsid w:val="0061484D"/>
    <w:rsid w:val="00615E23"/>
    <w:rsid w:val="0062213D"/>
    <w:rsid w:val="00622B0F"/>
    <w:rsid w:val="0062441D"/>
    <w:rsid w:val="00637118"/>
    <w:rsid w:val="00640EDF"/>
    <w:rsid w:val="0064158C"/>
    <w:rsid w:val="006424B0"/>
    <w:rsid w:val="00643040"/>
    <w:rsid w:val="00643D10"/>
    <w:rsid w:val="0064473C"/>
    <w:rsid w:val="006505D6"/>
    <w:rsid w:val="00650F5D"/>
    <w:rsid w:val="006516CA"/>
    <w:rsid w:val="006528E0"/>
    <w:rsid w:val="00662013"/>
    <w:rsid w:val="00662287"/>
    <w:rsid w:val="00664CDA"/>
    <w:rsid w:val="00675E25"/>
    <w:rsid w:val="0067695F"/>
    <w:rsid w:val="00680867"/>
    <w:rsid w:val="00682BA8"/>
    <w:rsid w:val="00691827"/>
    <w:rsid w:val="00693A37"/>
    <w:rsid w:val="006A0D48"/>
    <w:rsid w:val="006A3D88"/>
    <w:rsid w:val="006A4FD9"/>
    <w:rsid w:val="006C1C3B"/>
    <w:rsid w:val="006C48AA"/>
    <w:rsid w:val="006C4EE8"/>
    <w:rsid w:val="006D0816"/>
    <w:rsid w:val="006D46EB"/>
    <w:rsid w:val="006D7BEC"/>
    <w:rsid w:val="006E11A2"/>
    <w:rsid w:val="006E1F37"/>
    <w:rsid w:val="006E2F01"/>
    <w:rsid w:val="006E3949"/>
    <w:rsid w:val="006E485C"/>
    <w:rsid w:val="006E618B"/>
    <w:rsid w:val="006F2FF3"/>
    <w:rsid w:val="006F3D12"/>
    <w:rsid w:val="006F68BC"/>
    <w:rsid w:val="00701C5C"/>
    <w:rsid w:val="007055CD"/>
    <w:rsid w:val="00706D18"/>
    <w:rsid w:val="00712CFC"/>
    <w:rsid w:val="0071318C"/>
    <w:rsid w:val="00713558"/>
    <w:rsid w:val="00715D74"/>
    <w:rsid w:val="00716474"/>
    <w:rsid w:val="007220D1"/>
    <w:rsid w:val="007257B2"/>
    <w:rsid w:val="007258A6"/>
    <w:rsid w:val="00726CC1"/>
    <w:rsid w:val="007308D1"/>
    <w:rsid w:val="007364DD"/>
    <w:rsid w:val="007401A9"/>
    <w:rsid w:val="00745389"/>
    <w:rsid w:val="00745EC1"/>
    <w:rsid w:val="007465BA"/>
    <w:rsid w:val="0074785C"/>
    <w:rsid w:val="00750744"/>
    <w:rsid w:val="007632AA"/>
    <w:rsid w:val="00764C9B"/>
    <w:rsid w:val="007671FD"/>
    <w:rsid w:val="00776EC7"/>
    <w:rsid w:val="00777072"/>
    <w:rsid w:val="00777D9C"/>
    <w:rsid w:val="00784E91"/>
    <w:rsid w:val="0079430B"/>
    <w:rsid w:val="00795237"/>
    <w:rsid w:val="007A0C0F"/>
    <w:rsid w:val="007A2D40"/>
    <w:rsid w:val="007A73A3"/>
    <w:rsid w:val="007B1977"/>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2712"/>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783D"/>
    <w:rsid w:val="00874C3B"/>
    <w:rsid w:val="008751D8"/>
    <w:rsid w:val="008778BA"/>
    <w:rsid w:val="00881830"/>
    <w:rsid w:val="00891545"/>
    <w:rsid w:val="00892D2A"/>
    <w:rsid w:val="00895036"/>
    <w:rsid w:val="008A04F6"/>
    <w:rsid w:val="008A316B"/>
    <w:rsid w:val="008A66E1"/>
    <w:rsid w:val="008B2194"/>
    <w:rsid w:val="008B48B8"/>
    <w:rsid w:val="008B6691"/>
    <w:rsid w:val="008B702B"/>
    <w:rsid w:val="008C71E2"/>
    <w:rsid w:val="008C78EA"/>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659E"/>
    <w:rsid w:val="009071F5"/>
    <w:rsid w:val="00907A5F"/>
    <w:rsid w:val="00911B29"/>
    <w:rsid w:val="009133B8"/>
    <w:rsid w:val="009137A5"/>
    <w:rsid w:val="00915EE3"/>
    <w:rsid w:val="0091611D"/>
    <w:rsid w:val="00917EFA"/>
    <w:rsid w:val="00927BCC"/>
    <w:rsid w:val="00943F86"/>
    <w:rsid w:val="0096112F"/>
    <w:rsid w:val="00962DDD"/>
    <w:rsid w:val="00965323"/>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1C05"/>
    <w:rsid w:val="009E2DDB"/>
    <w:rsid w:val="009E5A8E"/>
    <w:rsid w:val="009F0B85"/>
    <w:rsid w:val="009F0E24"/>
    <w:rsid w:val="009F1835"/>
    <w:rsid w:val="009F2EDB"/>
    <w:rsid w:val="00A03D62"/>
    <w:rsid w:val="00A1449F"/>
    <w:rsid w:val="00A227F4"/>
    <w:rsid w:val="00A23CFA"/>
    <w:rsid w:val="00A26C03"/>
    <w:rsid w:val="00A27137"/>
    <w:rsid w:val="00A30D33"/>
    <w:rsid w:val="00A32B05"/>
    <w:rsid w:val="00A36479"/>
    <w:rsid w:val="00A36956"/>
    <w:rsid w:val="00A41823"/>
    <w:rsid w:val="00A42244"/>
    <w:rsid w:val="00A5024C"/>
    <w:rsid w:val="00A50E03"/>
    <w:rsid w:val="00A5463B"/>
    <w:rsid w:val="00A8247F"/>
    <w:rsid w:val="00A928D2"/>
    <w:rsid w:val="00A93DCA"/>
    <w:rsid w:val="00A957FB"/>
    <w:rsid w:val="00A95C6B"/>
    <w:rsid w:val="00AA2F30"/>
    <w:rsid w:val="00AB2427"/>
    <w:rsid w:val="00AC1C44"/>
    <w:rsid w:val="00AC486E"/>
    <w:rsid w:val="00AD7EF8"/>
    <w:rsid w:val="00AE118E"/>
    <w:rsid w:val="00AE3317"/>
    <w:rsid w:val="00AE62E4"/>
    <w:rsid w:val="00AF0935"/>
    <w:rsid w:val="00AF1425"/>
    <w:rsid w:val="00AF5C75"/>
    <w:rsid w:val="00AF6E3F"/>
    <w:rsid w:val="00B02F1F"/>
    <w:rsid w:val="00B04151"/>
    <w:rsid w:val="00B0466B"/>
    <w:rsid w:val="00B04949"/>
    <w:rsid w:val="00B220D2"/>
    <w:rsid w:val="00B22E56"/>
    <w:rsid w:val="00B239DD"/>
    <w:rsid w:val="00B310C0"/>
    <w:rsid w:val="00B32243"/>
    <w:rsid w:val="00B35761"/>
    <w:rsid w:val="00B364A1"/>
    <w:rsid w:val="00B36B90"/>
    <w:rsid w:val="00B5427D"/>
    <w:rsid w:val="00B56E76"/>
    <w:rsid w:val="00B63804"/>
    <w:rsid w:val="00B65F9A"/>
    <w:rsid w:val="00B67118"/>
    <w:rsid w:val="00B71C3E"/>
    <w:rsid w:val="00B81804"/>
    <w:rsid w:val="00B86AC5"/>
    <w:rsid w:val="00B92076"/>
    <w:rsid w:val="00B9600C"/>
    <w:rsid w:val="00BA03F6"/>
    <w:rsid w:val="00BA0C20"/>
    <w:rsid w:val="00BA4902"/>
    <w:rsid w:val="00BA56BE"/>
    <w:rsid w:val="00BB1F45"/>
    <w:rsid w:val="00BB2C59"/>
    <w:rsid w:val="00BB74C3"/>
    <w:rsid w:val="00BC31C8"/>
    <w:rsid w:val="00BC70D9"/>
    <w:rsid w:val="00BD6776"/>
    <w:rsid w:val="00BE0373"/>
    <w:rsid w:val="00BE13A8"/>
    <w:rsid w:val="00BF2489"/>
    <w:rsid w:val="00C03079"/>
    <w:rsid w:val="00C1062A"/>
    <w:rsid w:val="00C13CBF"/>
    <w:rsid w:val="00C1591F"/>
    <w:rsid w:val="00C22EE6"/>
    <w:rsid w:val="00C271A2"/>
    <w:rsid w:val="00C4044E"/>
    <w:rsid w:val="00C433FF"/>
    <w:rsid w:val="00C43BEE"/>
    <w:rsid w:val="00C44874"/>
    <w:rsid w:val="00C45EC5"/>
    <w:rsid w:val="00C51CFD"/>
    <w:rsid w:val="00C55D5E"/>
    <w:rsid w:val="00C56E3E"/>
    <w:rsid w:val="00C634AF"/>
    <w:rsid w:val="00C65FCA"/>
    <w:rsid w:val="00C71AE7"/>
    <w:rsid w:val="00C71D5E"/>
    <w:rsid w:val="00C73F27"/>
    <w:rsid w:val="00C80996"/>
    <w:rsid w:val="00C81FE6"/>
    <w:rsid w:val="00C83734"/>
    <w:rsid w:val="00C90894"/>
    <w:rsid w:val="00C91182"/>
    <w:rsid w:val="00C93C83"/>
    <w:rsid w:val="00CA5AFD"/>
    <w:rsid w:val="00CB17D9"/>
    <w:rsid w:val="00CB550B"/>
    <w:rsid w:val="00CB6828"/>
    <w:rsid w:val="00CC01FF"/>
    <w:rsid w:val="00CC0590"/>
    <w:rsid w:val="00CC473D"/>
    <w:rsid w:val="00CC4EF1"/>
    <w:rsid w:val="00CC7F38"/>
    <w:rsid w:val="00CD0F44"/>
    <w:rsid w:val="00CD1FEC"/>
    <w:rsid w:val="00CD3C8C"/>
    <w:rsid w:val="00CD79DF"/>
    <w:rsid w:val="00CE714F"/>
    <w:rsid w:val="00CE7377"/>
    <w:rsid w:val="00CF43C7"/>
    <w:rsid w:val="00CF4FEB"/>
    <w:rsid w:val="00CF576A"/>
    <w:rsid w:val="00CF62DC"/>
    <w:rsid w:val="00D009EE"/>
    <w:rsid w:val="00D05129"/>
    <w:rsid w:val="00D13723"/>
    <w:rsid w:val="00D24656"/>
    <w:rsid w:val="00D260C3"/>
    <w:rsid w:val="00D320B2"/>
    <w:rsid w:val="00D33344"/>
    <w:rsid w:val="00D471CA"/>
    <w:rsid w:val="00D50A1D"/>
    <w:rsid w:val="00D51CB6"/>
    <w:rsid w:val="00D574F6"/>
    <w:rsid w:val="00D578CB"/>
    <w:rsid w:val="00D604E3"/>
    <w:rsid w:val="00D661A9"/>
    <w:rsid w:val="00D736BD"/>
    <w:rsid w:val="00D7384C"/>
    <w:rsid w:val="00D747E2"/>
    <w:rsid w:val="00D91996"/>
    <w:rsid w:val="00D91E4A"/>
    <w:rsid w:val="00D959B2"/>
    <w:rsid w:val="00D96DB6"/>
    <w:rsid w:val="00DA3E57"/>
    <w:rsid w:val="00DA3F38"/>
    <w:rsid w:val="00DA407E"/>
    <w:rsid w:val="00DA4B0A"/>
    <w:rsid w:val="00DA6D45"/>
    <w:rsid w:val="00DC3D92"/>
    <w:rsid w:val="00DD6BF4"/>
    <w:rsid w:val="00DE6CD7"/>
    <w:rsid w:val="00DF193C"/>
    <w:rsid w:val="00DF2718"/>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84B71"/>
    <w:rsid w:val="00EA0A58"/>
    <w:rsid w:val="00EA3CA8"/>
    <w:rsid w:val="00EA4765"/>
    <w:rsid w:val="00EA7E61"/>
    <w:rsid w:val="00EC3979"/>
    <w:rsid w:val="00EC3C6F"/>
    <w:rsid w:val="00ED16BA"/>
    <w:rsid w:val="00ED29F1"/>
    <w:rsid w:val="00ED4B81"/>
    <w:rsid w:val="00ED6759"/>
    <w:rsid w:val="00ED7CCD"/>
    <w:rsid w:val="00EF1695"/>
    <w:rsid w:val="00EF2074"/>
    <w:rsid w:val="00EF46E6"/>
    <w:rsid w:val="00F008C0"/>
    <w:rsid w:val="00F0158C"/>
    <w:rsid w:val="00F017BF"/>
    <w:rsid w:val="00F04F48"/>
    <w:rsid w:val="00F052D5"/>
    <w:rsid w:val="00F0544F"/>
    <w:rsid w:val="00F11410"/>
    <w:rsid w:val="00F13DEA"/>
    <w:rsid w:val="00F21D3D"/>
    <w:rsid w:val="00F364C4"/>
    <w:rsid w:val="00F500A7"/>
    <w:rsid w:val="00F5456E"/>
    <w:rsid w:val="00F5729C"/>
    <w:rsid w:val="00F57ABD"/>
    <w:rsid w:val="00F65645"/>
    <w:rsid w:val="00F678C1"/>
    <w:rsid w:val="00F7085C"/>
    <w:rsid w:val="00F7229A"/>
    <w:rsid w:val="00F76A98"/>
    <w:rsid w:val="00F770B1"/>
    <w:rsid w:val="00F919EA"/>
    <w:rsid w:val="00F9550A"/>
    <w:rsid w:val="00F957C6"/>
    <w:rsid w:val="00F9771E"/>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117263591">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8394-E761-43E1-B9BA-853E80FB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26</cp:revision>
  <cp:lastPrinted>2016-03-14T13:14:00Z</cp:lastPrinted>
  <dcterms:created xsi:type="dcterms:W3CDTF">2017-05-09T12:29:00Z</dcterms:created>
  <dcterms:modified xsi:type="dcterms:W3CDTF">2017-06-28T20:46:00Z</dcterms:modified>
</cp:coreProperties>
</file>