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0A" w:rsidRPr="005F31C4" w:rsidRDefault="0046570A" w:rsidP="0046570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46570A" w:rsidRPr="00D85E04" w:rsidRDefault="0046570A" w:rsidP="0046570A">
      <w:pPr>
        <w:rPr>
          <w:rFonts w:ascii="Tahoma" w:hAnsi="Tahoma" w:cs="Tahoma"/>
          <w:b/>
          <w:sz w:val="18"/>
          <w:szCs w:val="18"/>
          <w:lang w:val="es-CO"/>
        </w:rPr>
      </w:pPr>
    </w:p>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A4F18">
        <w:rPr>
          <w:rFonts w:ascii="Arial" w:hAnsi="Arial" w:cs="Arial"/>
          <w:bCs/>
          <w:sz w:val="18"/>
          <w:szCs w:val="18"/>
        </w:rPr>
        <w:t>1</w:t>
      </w:r>
      <w:r w:rsidR="00290C0B">
        <w:rPr>
          <w:rFonts w:ascii="Arial" w:hAnsi="Arial" w:cs="Arial"/>
          <w:bCs/>
          <w:sz w:val="18"/>
          <w:szCs w:val="18"/>
        </w:rPr>
        <w:t>-201</w:t>
      </w:r>
      <w:r w:rsidR="002807D2">
        <w:rPr>
          <w:rFonts w:ascii="Arial" w:hAnsi="Arial" w:cs="Arial"/>
          <w:bCs/>
          <w:sz w:val="18"/>
          <w:szCs w:val="18"/>
        </w:rPr>
        <w:t>5</w:t>
      </w:r>
      <w:r w:rsidRPr="007C5A02">
        <w:rPr>
          <w:rFonts w:ascii="Arial" w:hAnsi="Arial" w:cs="Arial"/>
          <w:bCs/>
          <w:sz w:val="18"/>
          <w:szCs w:val="18"/>
        </w:rPr>
        <w:t>-00</w:t>
      </w:r>
      <w:r w:rsidR="00EA4F18">
        <w:rPr>
          <w:rFonts w:ascii="Arial" w:hAnsi="Arial" w:cs="Arial"/>
          <w:bCs/>
          <w:sz w:val="18"/>
          <w:szCs w:val="18"/>
        </w:rPr>
        <w:t>432</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A4F18">
        <w:rPr>
          <w:rFonts w:ascii="Arial" w:hAnsi="Arial" w:cs="Arial"/>
          <w:iCs/>
          <w:sz w:val="18"/>
          <w:szCs w:val="18"/>
        </w:rPr>
        <w:t>José William Morales Restrepo</w:t>
      </w:r>
      <w:r w:rsidR="002807D2">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EA4F18">
        <w:rPr>
          <w:rFonts w:ascii="Arial" w:hAnsi="Arial" w:cs="Arial"/>
          <w:sz w:val="18"/>
          <w:szCs w:val="18"/>
        </w:rPr>
        <w:t xml:space="preserve">Primero </w:t>
      </w:r>
      <w:r w:rsidRPr="007C5A02">
        <w:rPr>
          <w:rFonts w:ascii="Arial" w:hAnsi="Arial" w:cs="Arial"/>
          <w:sz w:val="18"/>
          <w:szCs w:val="18"/>
        </w:rPr>
        <w:t>Laboral del Circuito de Pereira.</w:t>
      </w:r>
    </w:p>
    <w:p w:rsidR="0046570A" w:rsidRDefault="0046570A" w:rsidP="0046570A">
      <w:pPr>
        <w:pStyle w:val="Textoindependiente"/>
        <w:ind w:right="51"/>
        <w:contextualSpacing/>
        <w:rPr>
          <w:b/>
          <w:sz w:val="18"/>
          <w:szCs w:val="18"/>
          <w:lang w:val="es-CO"/>
        </w:rPr>
      </w:pPr>
    </w:p>
    <w:p w:rsidR="000E3CA5" w:rsidRPr="000E3CA5" w:rsidRDefault="0046570A" w:rsidP="000E3CA5">
      <w:pPr>
        <w:pStyle w:val="Textoindependiente"/>
        <w:ind w:right="51"/>
        <w:contextualSpacing/>
        <w:rPr>
          <w:sz w:val="18"/>
          <w:szCs w:val="18"/>
          <w:lang w:val="es-CO"/>
        </w:rPr>
      </w:pPr>
      <w:r>
        <w:rPr>
          <w:b/>
          <w:sz w:val="18"/>
          <w:szCs w:val="18"/>
          <w:lang w:val="es-CO"/>
        </w:rPr>
        <w:t>Tema:</w:t>
      </w:r>
      <w:r>
        <w:rPr>
          <w:b/>
          <w:sz w:val="18"/>
          <w:szCs w:val="18"/>
          <w:lang w:val="es-CO"/>
        </w:rPr>
        <w:tab/>
      </w:r>
      <w:r>
        <w:rPr>
          <w:b/>
          <w:sz w:val="18"/>
          <w:szCs w:val="18"/>
          <w:lang w:val="es-CO"/>
        </w:rPr>
        <w:tab/>
      </w:r>
      <w:r>
        <w:rPr>
          <w:b/>
          <w:sz w:val="18"/>
          <w:szCs w:val="18"/>
          <w:lang w:val="es-CO"/>
        </w:rPr>
        <w:tab/>
      </w:r>
      <w:r>
        <w:rPr>
          <w:b/>
          <w:sz w:val="18"/>
          <w:szCs w:val="18"/>
          <w:lang w:val="es-CO"/>
        </w:rPr>
        <w:tab/>
      </w:r>
      <w:r>
        <w:rPr>
          <w:b/>
          <w:sz w:val="18"/>
          <w:szCs w:val="18"/>
          <w:lang w:val="es-CO"/>
        </w:rPr>
        <w:tab/>
      </w:r>
      <w:r>
        <w:rPr>
          <w:b/>
          <w:sz w:val="18"/>
          <w:szCs w:val="18"/>
          <w:lang w:val="es-CO"/>
        </w:rPr>
        <w:tab/>
      </w:r>
      <w:r w:rsidR="001502AE" w:rsidRPr="001502AE">
        <w:rPr>
          <w:b/>
          <w:sz w:val="18"/>
          <w:szCs w:val="18"/>
          <w:lang w:val="es-CO"/>
        </w:rPr>
        <w:t xml:space="preserve">PENSIÓN ESPECIAL DE VEJEZ </w:t>
      </w:r>
      <w:r w:rsidR="00EA4F18">
        <w:rPr>
          <w:b/>
          <w:sz w:val="18"/>
          <w:szCs w:val="18"/>
          <w:lang w:val="es-CO"/>
        </w:rPr>
        <w:t>– ALTO RIESGO</w:t>
      </w:r>
      <w:r w:rsidR="000B59FC">
        <w:rPr>
          <w:b/>
          <w:sz w:val="18"/>
          <w:szCs w:val="18"/>
          <w:lang w:val="es-CO"/>
        </w:rPr>
        <w:t xml:space="preserve"> – </w:t>
      </w:r>
      <w:r>
        <w:rPr>
          <w:b/>
          <w:sz w:val="18"/>
          <w:szCs w:val="18"/>
          <w:lang w:val="es-CO"/>
        </w:rPr>
        <w:t>RÉGIMEN</w:t>
      </w:r>
      <w:r w:rsidR="000B59FC">
        <w:rPr>
          <w:b/>
          <w:sz w:val="18"/>
          <w:szCs w:val="18"/>
          <w:lang w:val="es-CO"/>
        </w:rPr>
        <w:t xml:space="preserve"> DE TRANSICIÓN</w:t>
      </w:r>
      <w:r>
        <w:rPr>
          <w:b/>
          <w:sz w:val="18"/>
          <w:szCs w:val="18"/>
          <w:lang w:val="es-CO"/>
        </w:rPr>
        <w:t xml:space="preserve"> - </w:t>
      </w:r>
      <w:r w:rsidR="000E3CA5" w:rsidRPr="000E3CA5">
        <w:rPr>
          <w:sz w:val="18"/>
          <w:szCs w:val="18"/>
          <w:lang w:val="es-CO"/>
        </w:rPr>
        <w:t>Ya se había dicho que el Decreto 2090 de 2003, es el que establece cuáles con las actividades de alto riesgo. Dicha normativa, establece en el artículo 3° la pensión especial de vejez para los afiliados al RPM que se dediquen al ejercicio de las mismas.</w:t>
      </w:r>
    </w:p>
    <w:p w:rsidR="000E3CA5" w:rsidRP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r w:rsidRPr="000E3CA5">
        <w:rPr>
          <w:sz w:val="18"/>
          <w:szCs w:val="18"/>
          <w:lang w:val="es-CO"/>
        </w:rPr>
        <w:t>Así mismo, establece en el artículo 6°, en su inciso 1°, un régimen de transición para aquellas personas que a su entrada en vigencia -28/07/2003-, hubieren: i) cotizado como mínimo 500 semanas de cotización especial, ii) el número mínimo de semanas exigido en la Ley 797/03 para acceder a la pensión de vejez y, en el parágrafo; (iii) cumplir los requisitos especiales señalados en el artículo 36 de la Ley 100 de 1993; es decir, debe cumplir con las exigencias de dos disposiciones diferentes y vigentes en el tiempo, para poder ser beneficiario de la transición.</w:t>
      </w:r>
    </w:p>
    <w:p w:rsidR="000E3CA5" w:rsidRP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r w:rsidRPr="000E3CA5">
        <w:rPr>
          <w:sz w:val="18"/>
          <w:szCs w:val="18"/>
          <w:lang w:val="es-CO"/>
        </w:rPr>
        <w:t xml:space="preserve">Al respecto, sostuvo lo </w:t>
      </w:r>
      <w:proofErr w:type="spellStart"/>
      <w:r w:rsidRPr="000E3CA5">
        <w:rPr>
          <w:sz w:val="18"/>
          <w:szCs w:val="18"/>
          <w:lang w:val="es-CO"/>
        </w:rPr>
        <w:t>a</w:t>
      </w:r>
      <w:proofErr w:type="spellEnd"/>
      <w:r w:rsidRPr="000E3CA5">
        <w:rPr>
          <w:sz w:val="18"/>
          <w:szCs w:val="18"/>
          <w:lang w:val="es-CO"/>
        </w:rPr>
        <w:t>-quo, que conforme a lo señalado por esta Corporación  y en atención a lo expuesto por la Corte Constitucional en sentencia C-663-07, en virtud del principio de favorabilidad, debía aplicarse el régimen de transición que le resultara más benéfico al trabajador, siendo este, el establecido por la Ley 100/93, que señala que a la entrada en vigencia de esa ley, los hombres cuenten con 40 años de edad o 15 años de servicios.</w:t>
      </w:r>
    </w:p>
    <w:p w:rsidR="000E3CA5" w:rsidRP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r w:rsidRPr="000E3CA5">
        <w:rPr>
          <w:sz w:val="18"/>
          <w:szCs w:val="18"/>
          <w:lang w:val="es-CO"/>
        </w:rPr>
        <w:t xml:space="preserve">Sin embargo, analizada con detenimiento la sentencia de constitucionalidad citada, la ratio </w:t>
      </w:r>
      <w:proofErr w:type="spellStart"/>
      <w:r w:rsidRPr="000E3CA5">
        <w:rPr>
          <w:sz w:val="18"/>
          <w:szCs w:val="18"/>
          <w:lang w:val="es-CO"/>
        </w:rPr>
        <w:t>decidendi</w:t>
      </w:r>
      <w:proofErr w:type="spellEnd"/>
      <w:r w:rsidRPr="000E3CA5">
        <w:rPr>
          <w:sz w:val="18"/>
          <w:szCs w:val="18"/>
          <w:lang w:val="es-CO"/>
        </w:rPr>
        <w:t xml:space="preserve"> de la misma, está relacionada con la declaratoria de </w:t>
      </w:r>
      <w:proofErr w:type="spellStart"/>
      <w:r w:rsidRPr="000E3CA5">
        <w:rPr>
          <w:sz w:val="18"/>
          <w:szCs w:val="18"/>
          <w:lang w:val="es-CO"/>
        </w:rPr>
        <w:t>exequibilidad</w:t>
      </w:r>
      <w:proofErr w:type="spellEnd"/>
      <w:r w:rsidRPr="000E3CA5">
        <w:rPr>
          <w:sz w:val="18"/>
          <w:szCs w:val="18"/>
          <w:lang w:val="es-CO"/>
        </w:rPr>
        <w:t xml:space="preserve"> condicionada del artículo 6° del Decreto 2090/03, en cuanto al requisito de las 500 semanas de “cotización especial”, toda vez que es imposible de cumplir por razones meramente cronológicas; de tal manera que el calificativo de “especial”, debía ser interpretado de la manera más favorable, esto es, permitiendo la contabilización de todas las semanas que pueda acreditar el trabajador efectuadas en cualquier actividad previa a ese decreto, que hubieren sido calificadas jurídicamente como de alto riesgo y no sólo las cotizaciones de carácter “especial” derivadas del Decreto 1281 de 1994; intelección que dista de aquella que afirma que el régimen de transición consagrado en el artículo 36 de la Ley 100/93, conforme al principio de favorabilidad, debía ser aplicado por ser más benéfico para el trabajador, pues esto solo constituye un dicho de paso en la misma, al traer a colación y a título ilustrativo, un caso hipotético en que un trabajador se viera amparado por ambos regímenes de transición.</w:t>
      </w:r>
    </w:p>
    <w:p w:rsidR="000E3CA5" w:rsidRP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r w:rsidRPr="000E3CA5">
        <w:rPr>
          <w:sz w:val="18"/>
          <w:szCs w:val="18"/>
          <w:lang w:val="es-CO"/>
        </w:rPr>
        <w:t>Por lo tanto, deben cumplirse todos los requisitos señalados en el artículo 6° del Decreto 2090/03, incluido el de su parágrafo, que se refiere a los requisitos del régimen de transición de la Ley 100/93.</w:t>
      </w:r>
    </w:p>
    <w:p w:rsidR="000E3CA5" w:rsidRP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r w:rsidRPr="000E3CA5">
        <w:rPr>
          <w:sz w:val="18"/>
          <w:szCs w:val="18"/>
          <w:lang w:val="es-CO"/>
        </w:rPr>
        <w:t>En el caso concreto, el señor José William Morales Restrepo, según el contenido de las distintas historias laborales que reposan en el expediente, para el 28/07/2003 , contaba con 1750,06 semanas cotizadas, las que lo fueron en virtud de la actividad desempeñada en la Vidriera de Caldas S.A., de la cual ya se dijo que había quedado acreditada que era de alto riesgo, con lo cual cumple con las exigencias del inciso 1° del artículo 6 del Decreto 2090/03, para ser beneficiario del régimen de transición.</w:t>
      </w:r>
    </w:p>
    <w:p w:rsidR="000E3CA5" w:rsidRP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r w:rsidRPr="000E3CA5">
        <w:rPr>
          <w:sz w:val="18"/>
          <w:szCs w:val="18"/>
          <w:lang w:val="es-CO"/>
        </w:rPr>
        <w:t>Ahora, la transición del artículo 36 de la Ley 100/93, se obtiene por acreditar 15 años de servicios o 40 años de edad en el caso de los hombres o 35 años en el caso de las mujeres, al 01/04/1994.</w:t>
      </w:r>
    </w:p>
    <w:p w:rsidR="000E3CA5" w:rsidRP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r w:rsidRPr="000E3CA5">
        <w:rPr>
          <w:sz w:val="18"/>
          <w:szCs w:val="18"/>
          <w:lang w:val="es-CO"/>
        </w:rPr>
        <w:t xml:space="preserve">Bien. Para esa calenda, el señor José William Morales tenía 1.303,53 semanas cotizadas, por lo que es evidente que accedió al beneficio de transición, el cual no se vio afectado con el traslado que realizó al </w:t>
      </w:r>
      <w:proofErr w:type="spellStart"/>
      <w:r w:rsidRPr="000E3CA5">
        <w:rPr>
          <w:sz w:val="18"/>
          <w:szCs w:val="18"/>
          <w:lang w:val="es-CO"/>
        </w:rPr>
        <w:t>RAIS</w:t>
      </w:r>
      <w:proofErr w:type="spellEnd"/>
      <w:r w:rsidRPr="000E3CA5">
        <w:rPr>
          <w:sz w:val="18"/>
          <w:szCs w:val="18"/>
          <w:lang w:val="es-CO"/>
        </w:rPr>
        <w:t xml:space="preserve">, como lo sugiere la apoderada de </w:t>
      </w:r>
      <w:proofErr w:type="spellStart"/>
      <w:r w:rsidRPr="000E3CA5">
        <w:rPr>
          <w:sz w:val="18"/>
          <w:szCs w:val="18"/>
          <w:lang w:val="es-CO"/>
        </w:rPr>
        <w:t>Colpensiones</w:t>
      </w:r>
      <w:proofErr w:type="spellEnd"/>
      <w:r w:rsidRPr="000E3CA5">
        <w:rPr>
          <w:sz w:val="18"/>
          <w:szCs w:val="18"/>
          <w:lang w:val="es-CO"/>
        </w:rPr>
        <w:t xml:space="preserve"> en su alzada; por las razones que se explicaran a continuación.</w:t>
      </w:r>
    </w:p>
    <w:p w:rsid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bookmarkStart w:id="0" w:name="_GoBack"/>
      <w:bookmarkEnd w:id="0"/>
      <w:r w:rsidRPr="000E3CA5">
        <w:rPr>
          <w:sz w:val="18"/>
          <w:szCs w:val="18"/>
          <w:lang w:val="es-CO"/>
        </w:rPr>
        <w:t xml:space="preserve">El artículo 9° del Decreto 2090 de 2003, reguló las reglas que definían lo atinente al traslado del </w:t>
      </w:r>
      <w:proofErr w:type="spellStart"/>
      <w:r w:rsidRPr="000E3CA5">
        <w:rPr>
          <w:sz w:val="18"/>
          <w:szCs w:val="18"/>
          <w:lang w:val="es-CO"/>
        </w:rPr>
        <w:t>RAIS</w:t>
      </w:r>
      <w:proofErr w:type="spellEnd"/>
      <w:r w:rsidRPr="000E3CA5">
        <w:rPr>
          <w:sz w:val="18"/>
          <w:szCs w:val="18"/>
          <w:lang w:val="es-CO"/>
        </w:rPr>
        <w:t xml:space="preserve"> al RPM para los trabajadores que desempeñaban actividades de alto riesgo y señaló que el mismo debía darse dentro de los 3 meses siguientes a la fecha de su publicación, que lo fue el 28/07/2003, pero con el fin de no exigírseles el término de permanencia señalado en el literal e) del artículo 13 de la Ley 100/93, modificado por el artículo 2° de la Ley 797/03 y tampoco que se hiciera cuando les faltare más de 10 años para arribar a la edad mínima para pensionarse; por lo que en principio podría tener razón la recurrente.</w:t>
      </w:r>
    </w:p>
    <w:p w:rsidR="000E3CA5" w:rsidRP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r w:rsidRPr="000E3CA5">
        <w:rPr>
          <w:sz w:val="18"/>
          <w:szCs w:val="18"/>
          <w:lang w:val="es-CO"/>
        </w:rPr>
        <w:t>Sin embargo, esa norma fue objeto de estudio de constitucionalidad y la Corte, la declaró la exequible , bajo el entendido que a) el plazo de tres (3) meses se contará a partir de la comunicación de la presente sentencia ; y b) la persona que ejerza la opción, puede aportar voluntariamente los recursos adicionales necesarios en el evento de que el ahorro en el régimen de ahorro individual con solidaridad sea inferior al monto del aporte legal correspondiente, en caso de que hubiere permanecido en el régimen de prima media, como se advirtió en la sentencia C-789 de 2002.</w:t>
      </w:r>
    </w:p>
    <w:p w:rsidR="000E3CA5" w:rsidRP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r w:rsidRPr="000E3CA5">
        <w:rPr>
          <w:sz w:val="18"/>
          <w:szCs w:val="18"/>
          <w:lang w:val="es-CO"/>
        </w:rPr>
        <w:lastRenderedPageBreak/>
        <w:t>Así mismo, dispuso en esa providencia, lo que reiteró en las sentencias SU-062/2010, SU-130/2013 y SU-856/2013, que el referido canon no había establecido la imposibilidad de trasladarse de régimen pensional una vez vencido el plazo de los tres meses, sino la posibilidad de trasladarse durante ese interregno sin la necesidad de acreditar el tiempo de permanencia mínimo de 5 años en el régimen pensional –</w:t>
      </w:r>
      <w:proofErr w:type="spellStart"/>
      <w:r w:rsidRPr="000E3CA5">
        <w:rPr>
          <w:sz w:val="18"/>
          <w:szCs w:val="18"/>
          <w:lang w:val="es-CO"/>
        </w:rPr>
        <w:t>RAIS</w:t>
      </w:r>
      <w:proofErr w:type="spellEnd"/>
      <w:r w:rsidRPr="000E3CA5">
        <w:rPr>
          <w:sz w:val="18"/>
          <w:szCs w:val="18"/>
          <w:lang w:val="es-CO"/>
        </w:rPr>
        <w:t xml:space="preserve">-; dicho en otras palabras, las personas que pretendan retornar al RPM con posterioridad al 28/04/2009 –fecha de comunicación de la sentencia de constitucionalidad-, deben demostrar la permanencia en el </w:t>
      </w:r>
      <w:proofErr w:type="spellStart"/>
      <w:r w:rsidRPr="000E3CA5">
        <w:rPr>
          <w:sz w:val="18"/>
          <w:szCs w:val="18"/>
          <w:lang w:val="es-CO"/>
        </w:rPr>
        <w:t>RAIS</w:t>
      </w:r>
      <w:proofErr w:type="spellEnd"/>
      <w:r w:rsidRPr="000E3CA5">
        <w:rPr>
          <w:sz w:val="18"/>
          <w:szCs w:val="18"/>
          <w:lang w:val="es-CO"/>
        </w:rPr>
        <w:t xml:space="preserve"> por 5 años y que les falta más de 10 años para cumplir la edad mínima para acceder a la pensión especial de vejez, salvo que al 01/04/1994, tuvieran más de 15 años de servicios cotizados.</w:t>
      </w:r>
    </w:p>
    <w:p w:rsidR="000E3CA5" w:rsidRP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r w:rsidRPr="000E3CA5">
        <w:rPr>
          <w:sz w:val="18"/>
          <w:szCs w:val="18"/>
          <w:lang w:val="es-CO"/>
        </w:rPr>
        <w:t xml:space="preserve">Según lo manifestado en los hechos 8.2 y 8.3. </w:t>
      </w:r>
      <w:proofErr w:type="gramStart"/>
      <w:r w:rsidRPr="000E3CA5">
        <w:rPr>
          <w:sz w:val="18"/>
          <w:szCs w:val="18"/>
          <w:lang w:val="es-CO"/>
        </w:rPr>
        <w:t>del</w:t>
      </w:r>
      <w:proofErr w:type="gramEnd"/>
      <w:r w:rsidRPr="000E3CA5">
        <w:rPr>
          <w:sz w:val="18"/>
          <w:szCs w:val="18"/>
          <w:lang w:val="es-CO"/>
        </w:rPr>
        <w:t xml:space="preserve"> libelo y que concuerda con el contenido de las historias laborales, el señor José William Morales Restrepo estuvo vinculado en el </w:t>
      </w:r>
      <w:proofErr w:type="spellStart"/>
      <w:r w:rsidRPr="000E3CA5">
        <w:rPr>
          <w:sz w:val="18"/>
          <w:szCs w:val="18"/>
          <w:lang w:val="es-CO"/>
        </w:rPr>
        <w:t>RAIS</w:t>
      </w:r>
      <w:proofErr w:type="spellEnd"/>
      <w:r w:rsidRPr="000E3CA5">
        <w:rPr>
          <w:sz w:val="18"/>
          <w:szCs w:val="18"/>
          <w:lang w:val="es-CO"/>
        </w:rPr>
        <w:t xml:space="preserve"> desde el 01/11/1999 al 31/08/2010 y retornó al RPM a partir del 01/09/2010.</w:t>
      </w:r>
    </w:p>
    <w:p w:rsidR="000E3CA5" w:rsidRPr="000E3CA5" w:rsidRDefault="000E3CA5" w:rsidP="000E3CA5">
      <w:pPr>
        <w:pStyle w:val="Textoindependiente"/>
        <w:ind w:right="51"/>
        <w:contextualSpacing/>
        <w:rPr>
          <w:sz w:val="18"/>
          <w:szCs w:val="18"/>
          <w:lang w:val="es-CO"/>
        </w:rPr>
      </w:pPr>
    </w:p>
    <w:p w:rsidR="000E3CA5" w:rsidRPr="000E3CA5" w:rsidRDefault="000E3CA5" w:rsidP="000E3CA5">
      <w:pPr>
        <w:pStyle w:val="Textoindependiente"/>
        <w:ind w:right="51"/>
        <w:contextualSpacing/>
        <w:rPr>
          <w:sz w:val="18"/>
          <w:szCs w:val="18"/>
          <w:lang w:val="es-CO"/>
        </w:rPr>
      </w:pPr>
      <w:r w:rsidRPr="000E3CA5">
        <w:rPr>
          <w:sz w:val="18"/>
          <w:szCs w:val="18"/>
          <w:lang w:val="es-CO"/>
        </w:rPr>
        <w:t xml:space="preserve">De lo anterior se concluye que se trasladó nuevamente al otrora </w:t>
      </w:r>
      <w:proofErr w:type="spellStart"/>
      <w:r w:rsidRPr="000E3CA5">
        <w:rPr>
          <w:sz w:val="18"/>
          <w:szCs w:val="18"/>
          <w:lang w:val="es-CO"/>
        </w:rPr>
        <w:t>ISS</w:t>
      </w:r>
      <w:proofErr w:type="spellEnd"/>
      <w:r w:rsidRPr="000E3CA5">
        <w:rPr>
          <w:sz w:val="18"/>
          <w:szCs w:val="18"/>
          <w:lang w:val="es-CO"/>
        </w:rPr>
        <w:t xml:space="preserve"> por fuera del límite establecido por la Corte Constitucional en la sentencia C-030-09, de tal manera que debía acreditar los requisitos antes determinados, el primero de ellos, la permanencia en el </w:t>
      </w:r>
      <w:proofErr w:type="spellStart"/>
      <w:r w:rsidRPr="000E3CA5">
        <w:rPr>
          <w:sz w:val="18"/>
          <w:szCs w:val="18"/>
          <w:lang w:val="es-CO"/>
        </w:rPr>
        <w:t>RAIS</w:t>
      </w:r>
      <w:proofErr w:type="spellEnd"/>
      <w:r w:rsidRPr="000E3CA5">
        <w:rPr>
          <w:sz w:val="18"/>
          <w:szCs w:val="18"/>
          <w:lang w:val="es-CO"/>
        </w:rPr>
        <w:t xml:space="preserve"> por 5 años, que los superó ampliamente, como quiera que estuvo 10 años y 9 meses; el segundo, que al momento del traslado –septiembre de 2010-, le faltaran más de 10 años para pensionarse, si bien no lo cumple, como quiera que su derecho pensional lo causaría en el año 2015, al cumplir los 60 años de edad; dicha falencia se supera porque al 01/04/1994, sobrepasaba los 15 años de servicios, pues como se indicó tenía 1.303,53 semanas, que equivalen a algo más de 25 años.</w:t>
      </w:r>
    </w:p>
    <w:p w:rsidR="000E3CA5" w:rsidRDefault="000E3CA5" w:rsidP="000E3CA5">
      <w:pPr>
        <w:pStyle w:val="Textoindependiente"/>
        <w:ind w:right="51"/>
        <w:contextualSpacing/>
        <w:rPr>
          <w:sz w:val="18"/>
          <w:szCs w:val="18"/>
          <w:lang w:val="es-CO"/>
        </w:rPr>
      </w:pPr>
    </w:p>
    <w:p w:rsidR="00EA4F18" w:rsidRPr="000E3CA5" w:rsidRDefault="000E3CA5" w:rsidP="000E3CA5">
      <w:pPr>
        <w:pStyle w:val="Textoindependiente"/>
        <w:ind w:right="51"/>
        <w:contextualSpacing/>
        <w:rPr>
          <w:sz w:val="18"/>
          <w:szCs w:val="18"/>
          <w:lang w:val="es-CO"/>
        </w:rPr>
      </w:pPr>
      <w:r w:rsidRPr="000E3CA5">
        <w:rPr>
          <w:sz w:val="18"/>
          <w:szCs w:val="18"/>
          <w:lang w:val="es-CO"/>
        </w:rPr>
        <w:t xml:space="preserve">Siendo así las cosas, el demandante no perdió la calidad de beneficiario del régimen de transición, pese al traslado que efectuó del RPM al </w:t>
      </w:r>
      <w:proofErr w:type="spellStart"/>
      <w:r w:rsidRPr="000E3CA5">
        <w:rPr>
          <w:sz w:val="18"/>
          <w:szCs w:val="18"/>
          <w:lang w:val="es-CO"/>
        </w:rPr>
        <w:t>RAIS</w:t>
      </w:r>
      <w:proofErr w:type="spellEnd"/>
      <w:r w:rsidRPr="000E3CA5">
        <w:rPr>
          <w:sz w:val="18"/>
          <w:szCs w:val="18"/>
          <w:lang w:val="es-CO"/>
        </w:rPr>
        <w:t xml:space="preserve"> y su posterior retorno a aquel, por lo que logra acreditar todas las exigencias del canon 6° del Decreto 2090/03, para analizar su prestación con base en la normativa anterior, </w:t>
      </w:r>
      <w:proofErr w:type="gramStart"/>
      <w:r w:rsidRPr="000E3CA5">
        <w:rPr>
          <w:sz w:val="18"/>
          <w:szCs w:val="18"/>
          <w:lang w:val="es-CO"/>
        </w:rPr>
        <w:t>que</w:t>
      </w:r>
      <w:proofErr w:type="gramEnd"/>
      <w:r w:rsidRPr="000E3CA5">
        <w:rPr>
          <w:sz w:val="18"/>
          <w:szCs w:val="18"/>
          <w:lang w:val="es-CO"/>
        </w:rPr>
        <w:t xml:space="preserve"> bien puede ser el Decreto 1281 de 1994 –por ser la norma inmediatamente anterior- o el Acuerdo 049/90, al que se puede acudir, por ser también beneficiario de la transición establecida en el artículo 8° del Decreto 1281/94 ; pero en relación con los requisitos para acceder a la prestación y la forma de determinar el monto de la mesada pensional las exigencias del Decreto 049/90 le resultan más favorables, por lo que  será este el que se aplicará.</w:t>
      </w:r>
    </w:p>
    <w:p w:rsidR="0079609A" w:rsidRDefault="0079609A" w:rsidP="001F6EA3">
      <w:pPr>
        <w:ind w:left="2126"/>
        <w:contextualSpacing/>
        <w:jc w:val="both"/>
        <w:rPr>
          <w:rFonts w:ascii="Arial" w:hAnsi="Arial" w:cs="Arial"/>
          <w:b/>
          <w:bCs/>
          <w:sz w:val="18"/>
          <w:szCs w:val="18"/>
        </w:rPr>
      </w:pPr>
    </w:p>
    <w:p w:rsidR="00EA4F18" w:rsidRDefault="00EA4F18" w:rsidP="001F6EA3">
      <w:pPr>
        <w:ind w:left="2126"/>
        <w:contextualSpacing/>
        <w:jc w:val="both"/>
        <w:rPr>
          <w:rFonts w:ascii="Arial" w:hAnsi="Arial" w:cs="Arial"/>
          <w:b/>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1C3F32" w:rsidRDefault="001C3F32"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En Pereira, a (</w:t>
      </w:r>
      <w:r w:rsidR="00C24826">
        <w:rPr>
          <w:rFonts w:ascii="Arial" w:eastAsia="Calibri" w:hAnsi="Arial" w:cs="Arial"/>
          <w:szCs w:val="24"/>
          <w:lang w:val="es-CO" w:eastAsia="en-US"/>
        </w:rPr>
        <w:t>19</w:t>
      </w:r>
      <w:r w:rsidRPr="00AC486E">
        <w:rPr>
          <w:rFonts w:ascii="Arial" w:eastAsia="Calibri" w:hAnsi="Arial" w:cs="Arial"/>
          <w:szCs w:val="24"/>
          <w:lang w:val="es-CO" w:eastAsia="en-US"/>
        </w:rPr>
        <w:t xml:space="preserve">) </w:t>
      </w:r>
      <w:r w:rsidR="00C24826">
        <w:rPr>
          <w:rFonts w:ascii="Arial" w:eastAsia="Calibri" w:hAnsi="Arial" w:cs="Arial"/>
          <w:szCs w:val="24"/>
          <w:lang w:val="es-CO" w:eastAsia="en-US"/>
        </w:rPr>
        <w:t>de</w:t>
      </w:r>
      <w:r w:rsidRPr="00AC486E">
        <w:rPr>
          <w:rFonts w:ascii="Arial" w:eastAsia="Calibri" w:hAnsi="Arial" w:cs="Arial"/>
          <w:szCs w:val="24"/>
          <w:lang w:val="es-CO" w:eastAsia="en-US"/>
        </w:rPr>
        <w:t xml:space="preserve"> </w:t>
      </w:r>
      <w:r w:rsidR="00337DF9">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A4F1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C24826">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C24826">
        <w:rPr>
          <w:rFonts w:ascii="Arial" w:eastAsia="Calibri" w:hAnsi="Arial" w:cs="Arial"/>
          <w:szCs w:val="24"/>
          <w:lang w:val="es-CO" w:eastAsia="en-US"/>
        </w:rPr>
        <w:t xml:space="preserve">diez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C24826">
        <w:rPr>
          <w:rFonts w:ascii="Arial" w:eastAsia="Calibri" w:hAnsi="Arial" w:cs="Arial"/>
          <w:szCs w:val="24"/>
          <w:lang w:val="es-CO" w:eastAsia="en-US"/>
        </w:rPr>
        <w:t>10</w:t>
      </w:r>
      <w:r w:rsidR="007B76B5">
        <w:rPr>
          <w:rFonts w:ascii="Arial" w:eastAsia="Calibri" w:hAnsi="Arial" w:cs="Arial"/>
          <w:szCs w:val="24"/>
          <w:lang w:val="es-CO" w:eastAsia="en-US"/>
        </w:rPr>
        <w:t>:</w:t>
      </w:r>
      <w:r w:rsidR="002807D2">
        <w:rPr>
          <w:rFonts w:ascii="Arial" w:eastAsia="Calibri" w:hAnsi="Arial" w:cs="Arial"/>
          <w:szCs w:val="24"/>
          <w:lang w:val="es-CO" w:eastAsia="en-US"/>
        </w:rPr>
        <w:t>00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906D5C">
        <w:rPr>
          <w:rFonts w:ascii="Arial" w:hAnsi="Arial" w:cs="Arial"/>
          <w:bCs/>
          <w:color w:val="000000"/>
          <w:szCs w:val="24"/>
          <w:lang w:eastAsia="es-CO"/>
        </w:rPr>
        <w:t xml:space="preserve">grado jurisdiccional de consulta </w:t>
      </w:r>
      <w:r w:rsidR="00337DF9">
        <w:rPr>
          <w:rFonts w:ascii="Arial" w:hAnsi="Arial" w:cs="Arial"/>
          <w:bCs/>
          <w:color w:val="000000"/>
          <w:szCs w:val="24"/>
          <w:lang w:eastAsia="es-CO"/>
        </w:rPr>
        <w:t>y el recurso de apelación r</w:t>
      </w:r>
      <w:r w:rsidR="008261E9">
        <w:rPr>
          <w:rFonts w:ascii="Arial" w:hAnsi="Arial" w:cs="Arial"/>
          <w:bCs/>
          <w:color w:val="000000"/>
          <w:szCs w:val="24"/>
          <w:lang w:eastAsia="es-CO"/>
        </w:rPr>
        <w:t xml:space="preserve">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2807D2">
        <w:rPr>
          <w:rFonts w:ascii="Arial" w:hAnsi="Arial" w:cs="Arial"/>
          <w:szCs w:val="24"/>
        </w:rPr>
        <w:t xml:space="preserve">09 </w:t>
      </w:r>
      <w:r w:rsidRPr="00AC486E">
        <w:rPr>
          <w:rFonts w:ascii="Arial" w:hAnsi="Arial" w:cs="Arial"/>
          <w:szCs w:val="24"/>
        </w:rPr>
        <w:t xml:space="preserve">de </w:t>
      </w:r>
      <w:r w:rsidR="00EA4F18">
        <w:rPr>
          <w:rFonts w:ascii="Arial" w:hAnsi="Arial" w:cs="Arial"/>
          <w:szCs w:val="24"/>
        </w:rPr>
        <w:t xml:space="preserve">septiembre </w:t>
      </w:r>
      <w:r w:rsidRPr="00AC486E">
        <w:rPr>
          <w:rFonts w:ascii="Arial" w:hAnsi="Arial" w:cs="Arial"/>
          <w:szCs w:val="24"/>
        </w:rPr>
        <w:t>de 201</w:t>
      </w:r>
      <w:r w:rsidR="00EA4F18">
        <w:rPr>
          <w:rFonts w:ascii="Arial" w:hAnsi="Arial" w:cs="Arial"/>
          <w:szCs w:val="24"/>
        </w:rPr>
        <w:t>6</w:t>
      </w:r>
      <w:r w:rsidRPr="00AC486E">
        <w:rPr>
          <w:rFonts w:ascii="Arial" w:hAnsi="Arial" w:cs="Arial"/>
          <w:szCs w:val="24"/>
        </w:rPr>
        <w:t xml:space="preserve"> por el Juzgado </w:t>
      </w:r>
      <w:r w:rsidR="00EA4F18">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2807D2">
        <w:rPr>
          <w:rFonts w:ascii="Arial" w:hAnsi="Arial" w:cs="Arial"/>
          <w:szCs w:val="24"/>
        </w:rPr>
        <w:t xml:space="preserve">el </w:t>
      </w:r>
      <w:r w:rsidR="003440CA">
        <w:rPr>
          <w:rFonts w:ascii="Arial" w:hAnsi="Arial" w:cs="Arial"/>
          <w:szCs w:val="24"/>
        </w:rPr>
        <w:t xml:space="preserve">señor </w:t>
      </w:r>
      <w:r w:rsidR="00EA4F18">
        <w:rPr>
          <w:rFonts w:ascii="Arial" w:hAnsi="Arial" w:cs="Arial"/>
          <w:b/>
          <w:szCs w:val="24"/>
        </w:rPr>
        <w:t>José William Morales Restrepo</w:t>
      </w:r>
      <w:r w:rsidR="002807D2">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EA4F18">
        <w:rPr>
          <w:rFonts w:ascii="Arial" w:hAnsi="Arial" w:cs="Arial"/>
          <w:bCs/>
          <w:szCs w:val="24"/>
        </w:rPr>
        <w:t>1</w:t>
      </w:r>
      <w:r w:rsidR="00094E79">
        <w:rPr>
          <w:rFonts w:ascii="Arial" w:hAnsi="Arial" w:cs="Arial"/>
          <w:bCs/>
          <w:szCs w:val="24"/>
        </w:rPr>
        <w:t>-201</w:t>
      </w:r>
      <w:r w:rsidR="002807D2">
        <w:rPr>
          <w:rFonts w:ascii="Arial" w:hAnsi="Arial" w:cs="Arial"/>
          <w:bCs/>
          <w:szCs w:val="24"/>
        </w:rPr>
        <w:t>5</w:t>
      </w:r>
      <w:r w:rsidR="00650C9B">
        <w:rPr>
          <w:rFonts w:ascii="Arial" w:hAnsi="Arial" w:cs="Arial"/>
          <w:bCs/>
          <w:szCs w:val="24"/>
        </w:rPr>
        <w:t>-00</w:t>
      </w:r>
      <w:r w:rsidR="00EA4F18">
        <w:rPr>
          <w:rFonts w:ascii="Arial" w:hAnsi="Arial" w:cs="Arial"/>
          <w:bCs/>
          <w:szCs w:val="24"/>
        </w:rPr>
        <w:t>432</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1502AE" w:rsidRDefault="001502AE" w:rsidP="00350788">
      <w:pPr>
        <w:spacing w:line="276" w:lineRule="auto"/>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66B5F" w:rsidRDefault="002807D2" w:rsidP="00154D84">
      <w:pPr>
        <w:spacing w:line="276" w:lineRule="auto"/>
        <w:jc w:val="both"/>
        <w:rPr>
          <w:rFonts w:ascii="Arial" w:hAnsi="Arial" w:cs="Arial"/>
          <w:szCs w:val="24"/>
        </w:rPr>
      </w:pPr>
      <w:r>
        <w:rPr>
          <w:rFonts w:ascii="Arial" w:hAnsi="Arial" w:cs="Arial"/>
          <w:szCs w:val="24"/>
        </w:rPr>
        <w:t xml:space="preserve">El </w:t>
      </w:r>
      <w:r w:rsidR="00350788" w:rsidRPr="008E0CBF">
        <w:rPr>
          <w:rFonts w:ascii="Arial" w:hAnsi="Arial" w:cs="Arial"/>
          <w:szCs w:val="24"/>
        </w:rPr>
        <w:t xml:space="preserve">señor </w:t>
      </w:r>
      <w:r w:rsidR="00EA4F18">
        <w:rPr>
          <w:rFonts w:ascii="Arial" w:hAnsi="Arial" w:cs="Arial"/>
          <w:szCs w:val="24"/>
        </w:rPr>
        <w:t>José William Morales Restrepo</w:t>
      </w:r>
      <w:r w:rsidR="007B76B5">
        <w:rPr>
          <w:rFonts w:ascii="Arial" w:hAnsi="Arial" w:cs="Arial"/>
          <w:szCs w:val="24"/>
        </w:rPr>
        <w:t xml:space="preserve"> </w:t>
      </w:r>
      <w:r w:rsidR="00350788" w:rsidRPr="008E0CBF">
        <w:rPr>
          <w:rFonts w:ascii="Arial" w:hAnsi="Arial" w:cs="Arial"/>
          <w:szCs w:val="24"/>
        </w:rPr>
        <w:t>solicita que se declare que</w:t>
      </w:r>
      <w:r w:rsidR="00366B5F">
        <w:rPr>
          <w:rFonts w:ascii="Arial" w:hAnsi="Arial" w:cs="Arial"/>
          <w:szCs w:val="24"/>
        </w:rPr>
        <w:t xml:space="preserve">: (i) </w:t>
      </w:r>
      <w:r w:rsidR="00350788" w:rsidRPr="008E0CBF">
        <w:rPr>
          <w:rFonts w:ascii="Arial" w:hAnsi="Arial" w:cs="Arial"/>
          <w:szCs w:val="24"/>
        </w:rPr>
        <w:t xml:space="preserve"> </w:t>
      </w:r>
      <w:r w:rsidR="00366B5F">
        <w:rPr>
          <w:rFonts w:ascii="Arial" w:hAnsi="Arial" w:cs="Arial"/>
          <w:szCs w:val="24"/>
        </w:rPr>
        <w:t>laboró para la Vidriera de Caldas S.A. –hoy liquidada- entre el 02/03/1969 al 30/04/1974 y del 18/05/1974 al 14/08/2012</w:t>
      </w:r>
      <w:r w:rsidR="00E61979">
        <w:rPr>
          <w:rFonts w:ascii="Arial" w:hAnsi="Arial" w:cs="Arial"/>
          <w:szCs w:val="24"/>
        </w:rPr>
        <w:t xml:space="preserve">  -sic-</w:t>
      </w:r>
      <w:r w:rsidR="00366B5F">
        <w:rPr>
          <w:rFonts w:ascii="Arial" w:hAnsi="Arial" w:cs="Arial"/>
          <w:szCs w:val="24"/>
        </w:rPr>
        <w:t xml:space="preserve">, realizando labores en condiciones de alto riesgo – clasificación IV, esto es, temperaturas superiores al 1.700 grados centígrados y expuesto a agentes cancerígenos; (ii) cotizó para los riesgos de </w:t>
      </w:r>
      <w:proofErr w:type="spellStart"/>
      <w:r w:rsidR="00366B5F">
        <w:rPr>
          <w:rFonts w:ascii="Arial" w:hAnsi="Arial" w:cs="Arial"/>
          <w:szCs w:val="24"/>
        </w:rPr>
        <w:t>IVM</w:t>
      </w:r>
      <w:proofErr w:type="spellEnd"/>
      <w:r w:rsidR="00366B5F">
        <w:rPr>
          <w:rFonts w:ascii="Arial" w:hAnsi="Arial" w:cs="Arial"/>
          <w:szCs w:val="24"/>
        </w:rPr>
        <w:t xml:space="preserve"> al </w:t>
      </w:r>
      <w:proofErr w:type="spellStart"/>
      <w:r w:rsidR="00366B5F">
        <w:rPr>
          <w:rFonts w:ascii="Arial" w:hAnsi="Arial" w:cs="Arial"/>
          <w:szCs w:val="24"/>
        </w:rPr>
        <w:t>ISS</w:t>
      </w:r>
      <w:proofErr w:type="spellEnd"/>
      <w:r w:rsidR="00366B5F">
        <w:rPr>
          <w:rFonts w:ascii="Arial" w:hAnsi="Arial" w:cs="Arial"/>
          <w:szCs w:val="24"/>
        </w:rPr>
        <w:t xml:space="preserve"> entre 02/03/1969 al 30/04/1974, 18/05/1974 al 31/10/1999 y del 01/09/2010 al 14/08/2012.</w:t>
      </w:r>
    </w:p>
    <w:p w:rsidR="00366B5F" w:rsidRDefault="00366B5F" w:rsidP="00154D84">
      <w:pPr>
        <w:spacing w:line="276" w:lineRule="auto"/>
        <w:jc w:val="both"/>
        <w:rPr>
          <w:rFonts w:ascii="Arial" w:hAnsi="Arial" w:cs="Arial"/>
          <w:szCs w:val="24"/>
        </w:rPr>
      </w:pPr>
    </w:p>
    <w:p w:rsidR="00990B2C" w:rsidRDefault="00366B5F" w:rsidP="00154D84">
      <w:pPr>
        <w:spacing w:line="276" w:lineRule="auto"/>
        <w:jc w:val="both"/>
        <w:rPr>
          <w:rFonts w:ascii="Arial" w:hAnsi="Arial" w:cs="Arial"/>
          <w:szCs w:val="24"/>
        </w:rPr>
      </w:pPr>
      <w:r>
        <w:rPr>
          <w:rFonts w:ascii="Arial" w:hAnsi="Arial" w:cs="Arial"/>
          <w:szCs w:val="24"/>
        </w:rPr>
        <w:t xml:space="preserve">Como consecuencia de lo anterior, se condene a </w:t>
      </w:r>
      <w:proofErr w:type="spellStart"/>
      <w:r>
        <w:rPr>
          <w:rFonts w:ascii="Arial" w:hAnsi="Arial" w:cs="Arial"/>
          <w:szCs w:val="24"/>
        </w:rPr>
        <w:t>Colpensiones</w:t>
      </w:r>
      <w:proofErr w:type="spellEnd"/>
      <w:r>
        <w:rPr>
          <w:rFonts w:ascii="Arial" w:hAnsi="Arial" w:cs="Arial"/>
          <w:szCs w:val="24"/>
        </w:rPr>
        <w:t xml:space="preserve"> a reconocerle la pensión especial de vejez, con base en el artículo 15 del Acuerdo 049/90, en virtud del régimen de transición previsto en el artículo 8</w:t>
      </w:r>
      <w:r w:rsidR="00094E79">
        <w:rPr>
          <w:rFonts w:ascii="Arial" w:hAnsi="Arial" w:cs="Arial"/>
          <w:szCs w:val="24"/>
        </w:rPr>
        <w:t xml:space="preserve"> de</w:t>
      </w:r>
      <w:r>
        <w:rPr>
          <w:rFonts w:ascii="Arial" w:hAnsi="Arial" w:cs="Arial"/>
          <w:szCs w:val="24"/>
        </w:rPr>
        <w:t>l Decreto Ley 1281/94, a partir del 18/08/1999 –fecha en que cumplió requisitos-, pero con fecha de efectividad del 22/01/2011; el retroactivo correspondiente; los intereses moratorios y las costas del proceso</w:t>
      </w:r>
      <w:r w:rsidR="00990B2C">
        <w:rPr>
          <w:rFonts w:ascii="Arial" w:hAnsi="Arial" w:cs="Arial"/>
          <w:szCs w:val="24"/>
        </w:rPr>
        <w:t>.</w:t>
      </w:r>
    </w:p>
    <w:p w:rsidR="00990B2C" w:rsidRDefault="00990B2C" w:rsidP="00154D84">
      <w:pPr>
        <w:spacing w:line="276" w:lineRule="auto"/>
        <w:jc w:val="both"/>
        <w:rPr>
          <w:rFonts w:ascii="Arial" w:hAnsi="Arial" w:cs="Arial"/>
          <w:szCs w:val="24"/>
        </w:rPr>
      </w:pPr>
    </w:p>
    <w:p w:rsidR="0074746E"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474E80">
        <w:rPr>
          <w:rFonts w:ascii="Arial" w:hAnsi="Arial" w:cs="Arial"/>
          <w:szCs w:val="24"/>
        </w:rPr>
        <w:t xml:space="preserve">nació el </w:t>
      </w:r>
      <w:r w:rsidR="00F3117F">
        <w:rPr>
          <w:rFonts w:ascii="Arial" w:hAnsi="Arial" w:cs="Arial"/>
          <w:szCs w:val="24"/>
        </w:rPr>
        <w:t>1</w:t>
      </w:r>
      <w:r w:rsidR="008F25BF">
        <w:rPr>
          <w:rFonts w:ascii="Arial" w:hAnsi="Arial" w:cs="Arial"/>
          <w:szCs w:val="24"/>
        </w:rPr>
        <w:t>8/08/1955, por lo que a la fecha de presentación de la demanda contaba con 58 años de edad cumplidos</w:t>
      </w:r>
      <w:r w:rsidR="00E61979">
        <w:rPr>
          <w:rFonts w:ascii="Arial" w:hAnsi="Arial" w:cs="Arial"/>
          <w:szCs w:val="24"/>
        </w:rPr>
        <w:t xml:space="preserve"> –sic-</w:t>
      </w:r>
      <w:r w:rsidR="008F25BF">
        <w:rPr>
          <w:rFonts w:ascii="Arial" w:hAnsi="Arial" w:cs="Arial"/>
          <w:szCs w:val="24"/>
        </w:rPr>
        <w:t xml:space="preserve">; (ii) laboró </w:t>
      </w:r>
      <w:r w:rsidR="00D34F52">
        <w:rPr>
          <w:rFonts w:ascii="Arial" w:hAnsi="Arial" w:cs="Arial"/>
          <w:szCs w:val="24"/>
        </w:rPr>
        <w:t xml:space="preserve">como operario de planta (archero y recortador) </w:t>
      </w:r>
      <w:r w:rsidR="008F25BF">
        <w:rPr>
          <w:rFonts w:ascii="Arial" w:hAnsi="Arial" w:cs="Arial"/>
          <w:szCs w:val="24"/>
        </w:rPr>
        <w:t xml:space="preserve">en la Vidriera de Caldas S.A. entre </w:t>
      </w:r>
      <w:r w:rsidR="00D34F52">
        <w:rPr>
          <w:rFonts w:ascii="Arial" w:hAnsi="Arial" w:cs="Arial"/>
          <w:szCs w:val="24"/>
        </w:rPr>
        <w:t xml:space="preserve">02/03/1969 al 30/04/1974 y del </w:t>
      </w:r>
      <w:r w:rsidR="008F25BF">
        <w:rPr>
          <w:rFonts w:ascii="Arial" w:hAnsi="Arial" w:cs="Arial"/>
          <w:szCs w:val="24"/>
        </w:rPr>
        <w:t xml:space="preserve"> 18/05/1974 al </w:t>
      </w:r>
      <w:r w:rsidR="00D34F52">
        <w:rPr>
          <w:rFonts w:ascii="Arial" w:hAnsi="Arial" w:cs="Arial"/>
          <w:szCs w:val="24"/>
        </w:rPr>
        <w:t>14/08/2012; (iii) para el cumplimiento del objeto social de la empresa debía hacerse uso de horno de gas, arena de sílice y asbesto o amianto; (iv) el cumplimiento de las labores del demandante, implicaron el sometimiento continuo a altas temperaturas, inhalación de óxido de silicio o dióxido de silicio y asbesto.</w:t>
      </w:r>
    </w:p>
    <w:p w:rsidR="00D34F52" w:rsidRDefault="00D34F52" w:rsidP="00E55394">
      <w:pPr>
        <w:spacing w:line="276" w:lineRule="auto"/>
        <w:jc w:val="both"/>
        <w:rPr>
          <w:rFonts w:ascii="Arial" w:hAnsi="Arial" w:cs="Arial"/>
          <w:szCs w:val="24"/>
        </w:rPr>
      </w:pPr>
    </w:p>
    <w:p w:rsidR="00C10CE9" w:rsidRDefault="00D34F52" w:rsidP="00E55394">
      <w:pPr>
        <w:spacing w:line="276" w:lineRule="auto"/>
        <w:jc w:val="both"/>
        <w:rPr>
          <w:rFonts w:ascii="Arial" w:hAnsi="Arial" w:cs="Arial"/>
          <w:szCs w:val="24"/>
        </w:rPr>
      </w:pPr>
      <w:r>
        <w:rPr>
          <w:rFonts w:ascii="Arial" w:hAnsi="Arial" w:cs="Arial"/>
          <w:szCs w:val="24"/>
        </w:rPr>
        <w:t xml:space="preserve">(v) Cotizó para los riesgos de </w:t>
      </w:r>
      <w:proofErr w:type="spellStart"/>
      <w:r>
        <w:rPr>
          <w:rFonts w:ascii="Arial" w:hAnsi="Arial" w:cs="Arial"/>
          <w:szCs w:val="24"/>
        </w:rPr>
        <w:t>IVM</w:t>
      </w:r>
      <w:proofErr w:type="spellEnd"/>
      <w:r>
        <w:rPr>
          <w:rFonts w:ascii="Arial" w:hAnsi="Arial" w:cs="Arial"/>
          <w:szCs w:val="24"/>
        </w:rPr>
        <w:t xml:space="preserve">, a través de su empleador al </w:t>
      </w:r>
      <w:proofErr w:type="spellStart"/>
      <w:r>
        <w:rPr>
          <w:rFonts w:ascii="Arial" w:hAnsi="Arial" w:cs="Arial"/>
          <w:szCs w:val="24"/>
        </w:rPr>
        <w:t>ISS</w:t>
      </w:r>
      <w:proofErr w:type="spellEnd"/>
      <w:r>
        <w:rPr>
          <w:rFonts w:ascii="Arial" w:hAnsi="Arial" w:cs="Arial"/>
          <w:szCs w:val="24"/>
        </w:rPr>
        <w:t xml:space="preserve">, en los periodos 02/03/1969 al 30/04/1974 y del 18/05/1974 al 31/10/1999 y a la AFP ING Pensiones y Cesantías del 01/11/1999 al 31/08/2010 y, regresó nuevamente al </w:t>
      </w:r>
      <w:proofErr w:type="spellStart"/>
      <w:r>
        <w:rPr>
          <w:rFonts w:ascii="Arial" w:hAnsi="Arial" w:cs="Arial"/>
          <w:szCs w:val="24"/>
        </w:rPr>
        <w:t>ISS</w:t>
      </w:r>
      <w:proofErr w:type="spellEnd"/>
      <w:r>
        <w:rPr>
          <w:rFonts w:ascii="Arial" w:hAnsi="Arial" w:cs="Arial"/>
          <w:szCs w:val="24"/>
        </w:rPr>
        <w:t xml:space="preserve"> del 01/09/2010 hasta la fecha de su retiro, el 14/08/2012</w:t>
      </w:r>
      <w:r w:rsidR="00C10CE9">
        <w:rPr>
          <w:rFonts w:ascii="Arial" w:hAnsi="Arial" w:cs="Arial"/>
          <w:szCs w:val="24"/>
        </w:rPr>
        <w:t>; para un total de 11.898 días o 1.699 semanas</w:t>
      </w:r>
      <w:r w:rsidR="005F06D5">
        <w:rPr>
          <w:rFonts w:ascii="Arial" w:hAnsi="Arial" w:cs="Arial"/>
          <w:szCs w:val="24"/>
        </w:rPr>
        <w:t xml:space="preserve">; </w:t>
      </w:r>
      <w:r w:rsidR="00C10CE9">
        <w:rPr>
          <w:rFonts w:ascii="Arial" w:hAnsi="Arial" w:cs="Arial"/>
          <w:szCs w:val="24"/>
        </w:rPr>
        <w:t xml:space="preserve">(vi) </w:t>
      </w:r>
      <w:r w:rsidR="0096128E">
        <w:rPr>
          <w:rFonts w:ascii="Arial" w:hAnsi="Arial" w:cs="Arial"/>
          <w:szCs w:val="24"/>
        </w:rPr>
        <w:t>c</w:t>
      </w:r>
      <w:r w:rsidR="00C10CE9">
        <w:rPr>
          <w:rFonts w:ascii="Arial" w:hAnsi="Arial" w:cs="Arial"/>
          <w:szCs w:val="24"/>
        </w:rPr>
        <w:t xml:space="preserve">on la implementación del Sistema General de Riesgos Labores, </w:t>
      </w:r>
      <w:r w:rsidR="005F06D5">
        <w:rPr>
          <w:rFonts w:ascii="Arial" w:hAnsi="Arial" w:cs="Arial"/>
          <w:szCs w:val="24"/>
        </w:rPr>
        <w:t xml:space="preserve">la empresa le cotizó para cubrir el riesgo tipo IV, ante las </w:t>
      </w:r>
      <w:proofErr w:type="spellStart"/>
      <w:r w:rsidR="005F06D5">
        <w:rPr>
          <w:rFonts w:ascii="Arial" w:hAnsi="Arial" w:cs="Arial"/>
          <w:szCs w:val="24"/>
        </w:rPr>
        <w:t>ARP</w:t>
      </w:r>
      <w:proofErr w:type="spellEnd"/>
      <w:r w:rsidR="005F06D5">
        <w:rPr>
          <w:rFonts w:ascii="Arial" w:hAnsi="Arial" w:cs="Arial"/>
          <w:szCs w:val="24"/>
        </w:rPr>
        <w:t xml:space="preserve"> del </w:t>
      </w:r>
      <w:proofErr w:type="spellStart"/>
      <w:r w:rsidR="005F06D5">
        <w:rPr>
          <w:rFonts w:ascii="Arial" w:hAnsi="Arial" w:cs="Arial"/>
          <w:szCs w:val="24"/>
        </w:rPr>
        <w:t>ISS</w:t>
      </w:r>
      <w:proofErr w:type="spellEnd"/>
      <w:r w:rsidR="005F06D5">
        <w:rPr>
          <w:rFonts w:ascii="Arial" w:hAnsi="Arial" w:cs="Arial"/>
          <w:szCs w:val="24"/>
        </w:rPr>
        <w:t>, Previsora Vida S.A. y Positiva Compañía de Seguros S.A.</w:t>
      </w:r>
    </w:p>
    <w:p w:rsidR="005F06D5" w:rsidRDefault="005F06D5" w:rsidP="00E55394">
      <w:pPr>
        <w:spacing w:line="276" w:lineRule="auto"/>
        <w:jc w:val="both"/>
        <w:rPr>
          <w:rFonts w:ascii="Arial" w:hAnsi="Arial" w:cs="Arial"/>
          <w:szCs w:val="24"/>
        </w:rPr>
      </w:pPr>
    </w:p>
    <w:p w:rsidR="005F06D5" w:rsidRDefault="005F06D5" w:rsidP="00E55394">
      <w:pPr>
        <w:spacing w:line="276" w:lineRule="auto"/>
        <w:jc w:val="both"/>
        <w:rPr>
          <w:rFonts w:ascii="Arial" w:hAnsi="Arial" w:cs="Arial"/>
          <w:szCs w:val="24"/>
        </w:rPr>
      </w:pPr>
      <w:r>
        <w:rPr>
          <w:rFonts w:ascii="Arial" w:hAnsi="Arial" w:cs="Arial"/>
          <w:szCs w:val="24"/>
        </w:rPr>
        <w:t xml:space="preserve">(vii) El 22/01/2014 solicitó a </w:t>
      </w:r>
      <w:proofErr w:type="spellStart"/>
      <w:r>
        <w:rPr>
          <w:rFonts w:ascii="Arial" w:hAnsi="Arial" w:cs="Arial"/>
          <w:szCs w:val="24"/>
        </w:rPr>
        <w:t>Colpensiones</w:t>
      </w:r>
      <w:proofErr w:type="spellEnd"/>
      <w:r>
        <w:rPr>
          <w:rFonts w:ascii="Arial" w:hAnsi="Arial" w:cs="Arial"/>
          <w:szCs w:val="24"/>
        </w:rPr>
        <w:t xml:space="preserve"> el reconocimiento de la pensión especial de vejez, pero le fue negada mediante Resolución N° </w:t>
      </w:r>
      <w:proofErr w:type="spellStart"/>
      <w:r>
        <w:rPr>
          <w:rFonts w:ascii="Arial" w:hAnsi="Arial" w:cs="Arial"/>
          <w:szCs w:val="24"/>
        </w:rPr>
        <w:t>GNR</w:t>
      </w:r>
      <w:proofErr w:type="spellEnd"/>
      <w:r>
        <w:rPr>
          <w:rFonts w:ascii="Arial" w:hAnsi="Arial" w:cs="Arial"/>
          <w:szCs w:val="24"/>
        </w:rPr>
        <w:t xml:space="preserve"> 212695 de 2014, bajo dos argumentos: a) el no pago del porcentaje adicional en la cotización, establecido en el Decreto 2090/03 y, b) no acreditar la densidad de semanas de cotización requeridas con anterioridad a esa normativa.</w:t>
      </w:r>
    </w:p>
    <w:p w:rsidR="005F06D5" w:rsidRDefault="005F06D5" w:rsidP="00E55394">
      <w:pPr>
        <w:spacing w:line="276" w:lineRule="auto"/>
        <w:jc w:val="both"/>
        <w:rPr>
          <w:rFonts w:ascii="Arial" w:hAnsi="Arial" w:cs="Arial"/>
          <w:szCs w:val="24"/>
        </w:rPr>
      </w:pPr>
    </w:p>
    <w:p w:rsidR="005F06D5" w:rsidRDefault="005F06D5" w:rsidP="00E55394">
      <w:pPr>
        <w:spacing w:line="276" w:lineRule="auto"/>
        <w:jc w:val="both"/>
        <w:rPr>
          <w:rFonts w:ascii="Arial" w:hAnsi="Arial" w:cs="Arial"/>
          <w:szCs w:val="24"/>
        </w:rPr>
      </w:pPr>
      <w:r>
        <w:rPr>
          <w:rFonts w:ascii="Arial" w:hAnsi="Arial" w:cs="Arial"/>
          <w:szCs w:val="24"/>
        </w:rPr>
        <w:t xml:space="preserve">(viii) La empresa Vidriera de Caldas S.A. inició proceso de liquidación el 14/08/2012 y el 28/11/2013 se ordenó la cancelación de su </w:t>
      </w:r>
      <w:r w:rsidR="00406C6C">
        <w:rPr>
          <w:rFonts w:ascii="Arial" w:hAnsi="Arial" w:cs="Arial"/>
          <w:szCs w:val="24"/>
        </w:rPr>
        <w:t>matrícula</w:t>
      </w:r>
      <w:r>
        <w:rPr>
          <w:rFonts w:ascii="Arial" w:hAnsi="Arial" w:cs="Arial"/>
          <w:szCs w:val="24"/>
        </w:rPr>
        <w:t xml:space="preserve"> mercantil</w:t>
      </w:r>
      <w:r w:rsidR="00D8799B">
        <w:rPr>
          <w:rFonts w:ascii="Arial" w:hAnsi="Arial" w:cs="Arial"/>
          <w:szCs w:val="24"/>
        </w:rPr>
        <w:t>.</w:t>
      </w:r>
    </w:p>
    <w:p w:rsidR="008F25BF" w:rsidRDefault="008F25BF" w:rsidP="00E55394">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w:t>
      </w:r>
      <w:proofErr w:type="spellStart"/>
      <w:r w:rsidR="00B220D2" w:rsidRPr="008E0CBF">
        <w:rPr>
          <w:rFonts w:ascii="Arial" w:hAnsi="Arial" w:cs="Arial"/>
          <w:b/>
          <w:szCs w:val="24"/>
        </w:rPr>
        <w:t>COLPENSIONES</w:t>
      </w:r>
      <w:proofErr w:type="spellEnd"/>
      <w:r w:rsidR="00B220D2" w:rsidRPr="008E0CBF">
        <w:rPr>
          <w:rFonts w:ascii="Arial" w:hAnsi="Arial" w:cs="Arial"/>
          <w:b/>
          <w:szCs w:val="24"/>
        </w:rPr>
        <w:t>-,</w:t>
      </w:r>
      <w:r w:rsidR="0094079B">
        <w:rPr>
          <w:rFonts w:ascii="Arial" w:hAnsi="Arial" w:cs="Arial"/>
          <w:b/>
          <w:szCs w:val="24"/>
        </w:rPr>
        <w:t xml:space="preserve"> </w:t>
      </w:r>
      <w:r w:rsidR="00B0646B" w:rsidRPr="00B0646B">
        <w:rPr>
          <w:rFonts w:ascii="Arial" w:hAnsi="Arial" w:cs="Arial"/>
          <w:szCs w:val="24"/>
        </w:rPr>
        <w:t>se opuso</w:t>
      </w:r>
      <w:r w:rsidR="00B0646B">
        <w:rPr>
          <w:rFonts w:ascii="Arial" w:hAnsi="Arial" w:cs="Arial"/>
          <w:szCs w:val="24"/>
        </w:rPr>
        <w:t xml:space="preserve"> a todas las pretensiones</w:t>
      </w:r>
      <w:r w:rsidR="006D14CB">
        <w:rPr>
          <w:rFonts w:ascii="Arial" w:hAnsi="Arial" w:cs="Arial"/>
          <w:szCs w:val="24"/>
        </w:rPr>
        <w:t xml:space="preserve"> de la demanda y como razones de defensa expresó que el actor no cumple con los requisitos establecidos en el Decreto 2090/03 para </w:t>
      </w:r>
      <w:r w:rsidR="006D14CB">
        <w:rPr>
          <w:rFonts w:ascii="Arial" w:hAnsi="Arial" w:cs="Arial"/>
          <w:szCs w:val="24"/>
        </w:rPr>
        <w:lastRenderedPageBreak/>
        <w:t xml:space="preserve">acceder a la prestación reclamada, según se le había informado cuando se expidió la Resolución </w:t>
      </w:r>
      <w:proofErr w:type="spellStart"/>
      <w:r w:rsidR="006D14CB">
        <w:rPr>
          <w:rFonts w:ascii="Arial" w:hAnsi="Arial" w:cs="Arial"/>
          <w:szCs w:val="24"/>
        </w:rPr>
        <w:t>GNR</w:t>
      </w:r>
      <w:proofErr w:type="spellEnd"/>
      <w:r w:rsidR="006D14CB">
        <w:rPr>
          <w:rFonts w:ascii="Arial" w:hAnsi="Arial" w:cs="Arial"/>
          <w:szCs w:val="24"/>
        </w:rPr>
        <w:t xml:space="preserve"> 212695 de 2014, por lo que solo puede acceder a la indemnización sustitutiva. P</w:t>
      </w:r>
      <w:r w:rsidR="002D1879" w:rsidRPr="008E0CBF">
        <w:rPr>
          <w:rFonts w:ascii="Arial" w:hAnsi="Arial" w:cs="Arial"/>
          <w:szCs w:val="24"/>
        </w:rPr>
        <w:t xml:space="preserve">ropuso como excepciones de mérito las que denominó </w:t>
      </w:r>
      <w:r w:rsidR="00C3467D">
        <w:rPr>
          <w:rFonts w:ascii="Arial" w:hAnsi="Arial" w:cs="Arial"/>
          <w:szCs w:val="24"/>
        </w:rPr>
        <w:t>“Inexistencia de la obligación</w:t>
      </w:r>
      <w:r w:rsidR="00406C6C">
        <w:rPr>
          <w:rFonts w:ascii="Arial" w:hAnsi="Arial" w:cs="Arial"/>
          <w:szCs w:val="24"/>
        </w:rPr>
        <w:t xml:space="preserve"> demandada</w:t>
      </w:r>
      <w:r w:rsidR="00C3467D">
        <w:rPr>
          <w:rFonts w:ascii="Arial" w:hAnsi="Arial" w:cs="Arial"/>
          <w:szCs w:val="24"/>
        </w:rPr>
        <w:t>”</w:t>
      </w:r>
      <w:r w:rsidR="00406C6C">
        <w:rPr>
          <w:rFonts w:ascii="Arial" w:hAnsi="Arial" w:cs="Arial"/>
          <w:szCs w:val="24"/>
        </w:rPr>
        <w:t xml:space="preserve"> y </w:t>
      </w:r>
      <w:r w:rsidR="00C3467D">
        <w:rPr>
          <w:rFonts w:ascii="Arial" w:hAnsi="Arial" w:cs="Arial"/>
          <w:szCs w:val="24"/>
        </w:rPr>
        <w:t>“</w:t>
      </w:r>
      <w:r w:rsidR="00981280">
        <w:rPr>
          <w:rFonts w:ascii="Arial" w:hAnsi="Arial" w:cs="Arial"/>
          <w:szCs w:val="24"/>
        </w:rPr>
        <w:t>Prescripción”</w:t>
      </w:r>
      <w:r w:rsidR="00C3467D">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p>
    <w:p w:rsidR="00F9098C" w:rsidRDefault="00226D5F" w:rsidP="005469D3">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ED136B">
        <w:rPr>
          <w:rFonts w:ascii="Arial" w:hAnsi="Arial" w:cs="Arial"/>
          <w:color w:val="000000"/>
          <w:szCs w:val="24"/>
          <w:lang w:eastAsia="es-CO"/>
        </w:rPr>
        <w:t xml:space="preserve">Primero </w:t>
      </w:r>
      <w:r w:rsidR="005469D3">
        <w:rPr>
          <w:rFonts w:ascii="Arial" w:hAnsi="Arial" w:cs="Arial"/>
          <w:color w:val="000000"/>
          <w:szCs w:val="24"/>
          <w:lang w:eastAsia="es-CO"/>
        </w:rPr>
        <w:t>Laboral del Circuito de Pereira</w:t>
      </w:r>
      <w:r w:rsidR="00F9098C">
        <w:rPr>
          <w:rFonts w:ascii="Arial" w:hAnsi="Arial" w:cs="Arial"/>
          <w:color w:val="000000"/>
          <w:szCs w:val="24"/>
          <w:lang w:eastAsia="es-CO"/>
        </w:rPr>
        <w:t xml:space="preserve">, </w:t>
      </w:r>
      <w:r w:rsidR="0096680F">
        <w:rPr>
          <w:rFonts w:ascii="Arial" w:hAnsi="Arial" w:cs="Arial"/>
          <w:color w:val="000000"/>
          <w:szCs w:val="24"/>
          <w:lang w:eastAsia="es-CO"/>
        </w:rPr>
        <w:t xml:space="preserve">declaró que entre el actor y la Vidriera de Caldas S.A., había existido un contrato de trabajo en los periodos referidos en la demanda y que la labor que ejecutó era de alto riesgo. Así mismo, declaró que era beneficiario del régimen de transición y en consecuencia, le aplicó el Acuerdo 049/90, normativa bajo la cual le reconoció la pensión especial de vejez, a partir del 22/01/2014, en cuantía de $778.628 y a razón de 14 mesadas anuales. Condenó a la demanda al reconocimiento de los intereses moratorios a partir de la ejecutoria de la sentencia y al pago de las costas procesales. </w:t>
      </w:r>
    </w:p>
    <w:p w:rsidR="002C5DC0" w:rsidRDefault="008E541F" w:rsidP="00446EC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expresó </w:t>
      </w:r>
      <w:r w:rsidR="00CC30A7">
        <w:rPr>
          <w:rFonts w:ascii="Arial" w:hAnsi="Arial" w:cs="Arial"/>
          <w:color w:val="000000"/>
          <w:szCs w:val="24"/>
          <w:lang w:eastAsia="es-CO"/>
        </w:rPr>
        <w:t>que conforme las certificaciones emitidas por la empleadora -</w:t>
      </w:r>
      <w:proofErr w:type="spellStart"/>
      <w:r w:rsidR="00CC30A7">
        <w:rPr>
          <w:rFonts w:ascii="Arial" w:hAnsi="Arial" w:cs="Arial"/>
          <w:color w:val="000000"/>
          <w:szCs w:val="24"/>
          <w:lang w:eastAsia="es-CO"/>
        </w:rPr>
        <w:t>fls</w:t>
      </w:r>
      <w:proofErr w:type="spellEnd"/>
      <w:r w:rsidR="00CC30A7">
        <w:rPr>
          <w:rFonts w:ascii="Arial" w:hAnsi="Arial" w:cs="Arial"/>
          <w:color w:val="000000"/>
          <w:szCs w:val="24"/>
          <w:lang w:eastAsia="es-CO"/>
        </w:rPr>
        <w:t xml:space="preserve">. 73 y 24-, la información reportada en la historia laboral emitida por </w:t>
      </w:r>
      <w:proofErr w:type="spellStart"/>
      <w:r w:rsidR="00CC30A7">
        <w:rPr>
          <w:rFonts w:ascii="Arial" w:hAnsi="Arial" w:cs="Arial"/>
          <w:color w:val="000000"/>
          <w:szCs w:val="24"/>
          <w:lang w:eastAsia="es-CO"/>
        </w:rPr>
        <w:t>Colpensiones</w:t>
      </w:r>
      <w:proofErr w:type="spellEnd"/>
      <w:r w:rsidR="00CC30A7">
        <w:rPr>
          <w:rFonts w:ascii="Arial" w:hAnsi="Arial" w:cs="Arial"/>
          <w:color w:val="000000"/>
          <w:szCs w:val="24"/>
          <w:lang w:eastAsia="es-CO"/>
        </w:rPr>
        <w:t xml:space="preserve"> –</w:t>
      </w:r>
      <w:proofErr w:type="spellStart"/>
      <w:r w:rsidR="00CC30A7">
        <w:rPr>
          <w:rFonts w:ascii="Arial" w:hAnsi="Arial" w:cs="Arial"/>
          <w:color w:val="000000"/>
          <w:szCs w:val="24"/>
          <w:lang w:eastAsia="es-CO"/>
        </w:rPr>
        <w:t>fls</w:t>
      </w:r>
      <w:proofErr w:type="spellEnd"/>
      <w:r w:rsidR="00CC30A7">
        <w:rPr>
          <w:rFonts w:ascii="Arial" w:hAnsi="Arial" w:cs="Arial"/>
          <w:color w:val="000000"/>
          <w:szCs w:val="24"/>
          <w:lang w:eastAsia="es-CO"/>
        </w:rPr>
        <w:t xml:space="preserve">. 169 </w:t>
      </w:r>
      <w:proofErr w:type="gramStart"/>
      <w:r w:rsidR="00CC30A7">
        <w:rPr>
          <w:rFonts w:ascii="Arial" w:hAnsi="Arial" w:cs="Arial"/>
          <w:color w:val="000000"/>
          <w:szCs w:val="24"/>
          <w:lang w:eastAsia="es-CO"/>
        </w:rPr>
        <w:t>a</w:t>
      </w:r>
      <w:proofErr w:type="gramEnd"/>
      <w:r w:rsidR="00CC30A7">
        <w:rPr>
          <w:rFonts w:ascii="Arial" w:hAnsi="Arial" w:cs="Arial"/>
          <w:color w:val="000000"/>
          <w:szCs w:val="24"/>
          <w:lang w:eastAsia="es-CO"/>
        </w:rPr>
        <w:t xml:space="preserve"> 178- y la prueba testimonial, la parte actora había logrado acreditar que laboró en la Vidriera de Caldas S.A. ejecutando labores</w:t>
      </w:r>
      <w:r w:rsidR="002C5DC0">
        <w:rPr>
          <w:rFonts w:ascii="Arial" w:hAnsi="Arial" w:cs="Arial"/>
          <w:color w:val="000000"/>
          <w:szCs w:val="24"/>
          <w:lang w:eastAsia="es-CO"/>
        </w:rPr>
        <w:t xml:space="preserve"> de alto riesgo</w:t>
      </w:r>
      <w:r w:rsidR="00CC30A7">
        <w:rPr>
          <w:rFonts w:ascii="Arial" w:hAnsi="Arial" w:cs="Arial"/>
          <w:color w:val="000000"/>
          <w:szCs w:val="24"/>
          <w:lang w:eastAsia="es-CO"/>
        </w:rPr>
        <w:t xml:space="preserve"> en el área de producción de la misma, </w:t>
      </w:r>
      <w:r w:rsidR="002C5DC0">
        <w:rPr>
          <w:rFonts w:ascii="Arial" w:hAnsi="Arial" w:cs="Arial"/>
          <w:color w:val="000000"/>
          <w:szCs w:val="24"/>
          <w:lang w:eastAsia="es-CO"/>
        </w:rPr>
        <w:t xml:space="preserve">porque estaba </w:t>
      </w:r>
      <w:r w:rsidR="00CC30A7">
        <w:rPr>
          <w:rFonts w:ascii="Arial" w:hAnsi="Arial" w:cs="Arial"/>
          <w:color w:val="000000"/>
          <w:szCs w:val="24"/>
          <w:lang w:eastAsia="es-CO"/>
        </w:rPr>
        <w:t>expuesto a las alt</w:t>
      </w:r>
      <w:r w:rsidR="002C5DC0">
        <w:rPr>
          <w:rFonts w:ascii="Arial" w:hAnsi="Arial" w:cs="Arial"/>
          <w:color w:val="000000"/>
          <w:szCs w:val="24"/>
          <w:lang w:eastAsia="es-CO"/>
        </w:rPr>
        <w:t>as temperaturas de los hornos</w:t>
      </w:r>
      <w:r w:rsidR="00CC30A7">
        <w:rPr>
          <w:rFonts w:ascii="Arial" w:hAnsi="Arial" w:cs="Arial"/>
          <w:color w:val="000000"/>
          <w:szCs w:val="24"/>
          <w:lang w:eastAsia="es-CO"/>
        </w:rPr>
        <w:t>, al asbesto porque en ese material estaban hechos los utensilios de protecci</w:t>
      </w:r>
      <w:r w:rsidR="002C5DC0">
        <w:rPr>
          <w:rFonts w:ascii="Arial" w:hAnsi="Arial" w:cs="Arial"/>
          <w:color w:val="000000"/>
          <w:szCs w:val="24"/>
          <w:lang w:eastAsia="es-CO"/>
        </w:rPr>
        <w:t>ón y, a la arena de sílice porque era uno de los materiales con que se elaboraba el vidrio.</w:t>
      </w:r>
    </w:p>
    <w:p w:rsidR="00E605F3" w:rsidRDefault="00E605F3" w:rsidP="00446ECF">
      <w:pPr>
        <w:spacing w:line="276" w:lineRule="auto"/>
        <w:jc w:val="both"/>
        <w:rPr>
          <w:rFonts w:ascii="Arial" w:hAnsi="Arial" w:cs="Arial"/>
          <w:color w:val="000000"/>
          <w:szCs w:val="24"/>
          <w:lang w:eastAsia="es-CO"/>
        </w:rPr>
      </w:pPr>
    </w:p>
    <w:p w:rsidR="0076275C" w:rsidRDefault="00E605F3" w:rsidP="00E605F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Manifestó que según el Decreto 049/90, para acceder a la pensión especial de vejez, se requiere tener 60 años de edad, pero la misma se disminuirá en un año por cada 50 semanas adicionales a las primeras 750 cotizadas.  </w:t>
      </w:r>
    </w:p>
    <w:p w:rsidR="0076275C" w:rsidRDefault="0076275C" w:rsidP="00E605F3">
      <w:pPr>
        <w:spacing w:line="276" w:lineRule="auto"/>
        <w:jc w:val="both"/>
        <w:rPr>
          <w:rFonts w:ascii="Arial" w:hAnsi="Arial" w:cs="Arial"/>
          <w:color w:val="000000"/>
          <w:szCs w:val="24"/>
          <w:lang w:eastAsia="es-CO"/>
        </w:rPr>
      </w:pPr>
    </w:p>
    <w:p w:rsidR="0076275C" w:rsidRDefault="00E605F3" w:rsidP="00E605F3">
      <w:pPr>
        <w:spacing w:line="276" w:lineRule="auto"/>
        <w:jc w:val="both"/>
        <w:rPr>
          <w:rFonts w:ascii="Arial" w:hAnsi="Arial" w:cs="Arial"/>
          <w:color w:val="000000"/>
          <w:szCs w:val="24"/>
          <w:lang w:eastAsia="es-CO"/>
        </w:rPr>
      </w:pPr>
      <w:r>
        <w:rPr>
          <w:rFonts w:ascii="Arial" w:hAnsi="Arial" w:cs="Arial"/>
          <w:color w:val="000000"/>
          <w:szCs w:val="24"/>
          <w:lang w:eastAsia="es-CO"/>
        </w:rPr>
        <w:t>De tal manera que como el actor nació el 28/08/1955, con las semanas cotizadas a agosto de 1999 -</w:t>
      </w:r>
      <w:r w:rsidRPr="00F94754">
        <w:rPr>
          <w:rFonts w:ascii="Arial" w:hAnsi="Arial" w:cs="Arial"/>
          <w:i/>
          <w:color w:val="000000"/>
          <w:szCs w:val="24"/>
          <w:lang w:eastAsia="es-CO"/>
        </w:rPr>
        <w:t>1.562</w:t>
      </w:r>
      <w:r>
        <w:rPr>
          <w:rFonts w:ascii="Arial" w:hAnsi="Arial" w:cs="Arial"/>
          <w:color w:val="000000"/>
          <w:szCs w:val="24"/>
          <w:lang w:eastAsia="es-CO"/>
        </w:rPr>
        <w:t xml:space="preserve">-, podría pensionarse con </w:t>
      </w:r>
      <w:r w:rsidR="00211BA1">
        <w:rPr>
          <w:rFonts w:ascii="Arial" w:hAnsi="Arial" w:cs="Arial"/>
          <w:color w:val="000000"/>
          <w:szCs w:val="24"/>
          <w:lang w:eastAsia="es-CO"/>
        </w:rPr>
        <w:t>41 años, los que cumplió en 1996</w:t>
      </w:r>
      <w:r w:rsidR="0096128E">
        <w:rPr>
          <w:rFonts w:ascii="Arial" w:hAnsi="Arial" w:cs="Arial"/>
          <w:color w:val="000000"/>
          <w:szCs w:val="24"/>
          <w:lang w:eastAsia="es-CO"/>
        </w:rPr>
        <w:t xml:space="preserve"> –sic-</w:t>
      </w:r>
      <w:r w:rsidR="0076275C">
        <w:rPr>
          <w:rFonts w:ascii="Arial" w:hAnsi="Arial" w:cs="Arial"/>
          <w:color w:val="000000"/>
          <w:szCs w:val="24"/>
          <w:lang w:eastAsia="es-CO"/>
        </w:rPr>
        <w:t>; no obstante, como para el momento en que cumplió tales requisitos ya estaba vigente el Decreto 1281/94, que derogó tácitamente el anterior, sería aquella la norma aplicable.</w:t>
      </w:r>
    </w:p>
    <w:p w:rsidR="0076275C" w:rsidRDefault="0076275C" w:rsidP="00E605F3">
      <w:pPr>
        <w:spacing w:line="276" w:lineRule="auto"/>
        <w:jc w:val="both"/>
        <w:rPr>
          <w:rFonts w:ascii="Arial" w:hAnsi="Arial" w:cs="Arial"/>
          <w:color w:val="000000"/>
          <w:szCs w:val="24"/>
          <w:lang w:eastAsia="es-CO"/>
        </w:rPr>
      </w:pPr>
    </w:p>
    <w:p w:rsidR="0076275C" w:rsidRDefault="0076275C" w:rsidP="00E605F3">
      <w:pPr>
        <w:spacing w:line="276" w:lineRule="auto"/>
        <w:jc w:val="both"/>
        <w:rPr>
          <w:rFonts w:ascii="Arial" w:hAnsi="Arial" w:cs="Arial"/>
          <w:color w:val="000000"/>
          <w:szCs w:val="24"/>
          <w:lang w:eastAsia="es-CO"/>
        </w:rPr>
      </w:pPr>
      <w:r>
        <w:rPr>
          <w:rFonts w:ascii="Arial" w:hAnsi="Arial" w:cs="Arial"/>
          <w:color w:val="000000"/>
          <w:szCs w:val="24"/>
          <w:lang w:eastAsia="es-CO"/>
        </w:rPr>
        <w:t>Pero, como la solicitud de reconocimiento pensional fue presentada cuando estaba vigente el Decreto 2090/03, es esta la normativa que debe aplicarse, la que en el artículo 6°, previó un régimen de transición, que debía concordarse con el establecido en el artículo 36 de la Ley 100/93.</w:t>
      </w:r>
    </w:p>
    <w:p w:rsidR="00E605F3" w:rsidRDefault="00E605F3" w:rsidP="00E605F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446ECF" w:rsidRDefault="0076275C" w:rsidP="00446EC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Al respecto indicó, </w:t>
      </w:r>
      <w:r w:rsidR="002C5DC0">
        <w:rPr>
          <w:rFonts w:ascii="Arial" w:hAnsi="Arial" w:cs="Arial"/>
          <w:color w:val="000000"/>
          <w:szCs w:val="24"/>
          <w:lang w:eastAsia="es-CO"/>
        </w:rPr>
        <w:t>que ha sido decantado por esta Corporación</w:t>
      </w:r>
      <w:r w:rsidR="002C5DC0">
        <w:rPr>
          <w:rStyle w:val="Refdenotaalpie"/>
          <w:rFonts w:ascii="Arial" w:hAnsi="Arial" w:cs="Arial"/>
          <w:color w:val="000000"/>
          <w:szCs w:val="24"/>
          <w:lang w:eastAsia="es-CO"/>
        </w:rPr>
        <w:footnoteReference w:id="1"/>
      </w:r>
      <w:r w:rsidR="002C5DC0">
        <w:rPr>
          <w:rFonts w:ascii="Arial" w:hAnsi="Arial" w:cs="Arial"/>
          <w:color w:val="000000"/>
          <w:szCs w:val="24"/>
          <w:lang w:eastAsia="es-CO"/>
        </w:rPr>
        <w:t xml:space="preserve">, que cuando una persona es beneficiaria del régimen de transición establecido en el artículo 36 de la Ley 100/93, como el previsto por el Decreto 2090/03, por principio de favorabilidad, debe aplicarse el primero. </w:t>
      </w:r>
      <w:r>
        <w:rPr>
          <w:rFonts w:ascii="Arial" w:hAnsi="Arial" w:cs="Arial"/>
          <w:color w:val="000000"/>
          <w:szCs w:val="24"/>
          <w:lang w:eastAsia="es-CO"/>
        </w:rPr>
        <w:t xml:space="preserve">Beneficio que obtuvo, por contar con más de 15 años de servicios al 01/04/1994, sin que haya sido afectado por el traslado que efectuó al </w:t>
      </w:r>
      <w:proofErr w:type="spellStart"/>
      <w:r>
        <w:rPr>
          <w:rFonts w:ascii="Arial" w:hAnsi="Arial" w:cs="Arial"/>
          <w:color w:val="000000"/>
          <w:szCs w:val="24"/>
          <w:lang w:eastAsia="es-CO"/>
        </w:rPr>
        <w:t>RAIS</w:t>
      </w:r>
      <w:proofErr w:type="spellEnd"/>
      <w:r>
        <w:rPr>
          <w:rFonts w:ascii="Arial" w:hAnsi="Arial" w:cs="Arial"/>
          <w:color w:val="000000"/>
          <w:szCs w:val="24"/>
          <w:lang w:eastAsia="es-CO"/>
        </w:rPr>
        <w:t xml:space="preserve">, porque este se presentó cuando ya tenía cumplidos los requisitos y por lo tanto, causado el derecho a su favor y, porque cumplió con las condiciones descritas en las sentencias C-789/02 y C-1024/04, esto es, más de 15 </w:t>
      </w:r>
      <w:r>
        <w:rPr>
          <w:rFonts w:ascii="Arial" w:hAnsi="Arial" w:cs="Arial"/>
          <w:color w:val="000000"/>
          <w:szCs w:val="24"/>
          <w:lang w:eastAsia="es-CO"/>
        </w:rPr>
        <w:lastRenderedPageBreak/>
        <w:t>años de servicios al 01/04/1</w:t>
      </w:r>
      <w:r w:rsidR="00337DF9">
        <w:rPr>
          <w:rFonts w:ascii="Arial" w:hAnsi="Arial" w:cs="Arial"/>
          <w:color w:val="000000"/>
          <w:szCs w:val="24"/>
          <w:lang w:eastAsia="es-CO"/>
        </w:rPr>
        <w:t>9</w:t>
      </w:r>
      <w:r>
        <w:rPr>
          <w:rFonts w:ascii="Arial" w:hAnsi="Arial" w:cs="Arial"/>
          <w:color w:val="000000"/>
          <w:szCs w:val="24"/>
          <w:lang w:eastAsia="es-CO"/>
        </w:rPr>
        <w:t xml:space="preserve">94 y trasladó todo sus ahorros con los respectivos rendimientos; requisitos que por demás fueron recogidos por el legislador en el Decreto 3800/03, </w:t>
      </w:r>
      <w:r w:rsidR="005642FE">
        <w:rPr>
          <w:rFonts w:ascii="Arial" w:hAnsi="Arial" w:cs="Arial"/>
          <w:color w:val="000000"/>
          <w:szCs w:val="24"/>
          <w:lang w:eastAsia="es-CO"/>
        </w:rPr>
        <w:t>artículo</w:t>
      </w:r>
      <w:r>
        <w:rPr>
          <w:rFonts w:ascii="Arial" w:hAnsi="Arial" w:cs="Arial"/>
          <w:color w:val="000000"/>
          <w:szCs w:val="24"/>
          <w:lang w:eastAsia="es-CO"/>
        </w:rPr>
        <w:t xml:space="preserve"> 3°.</w:t>
      </w:r>
    </w:p>
    <w:p w:rsidR="005642FE" w:rsidRDefault="005642FE" w:rsidP="00446ECF">
      <w:pPr>
        <w:spacing w:line="276" w:lineRule="auto"/>
        <w:jc w:val="both"/>
        <w:rPr>
          <w:rFonts w:ascii="Arial" w:hAnsi="Arial" w:cs="Arial"/>
          <w:color w:val="000000"/>
          <w:szCs w:val="24"/>
          <w:lang w:eastAsia="es-CO"/>
        </w:rPr>
      </w:pPr>
    </w:p>
    <w:p w:rsidR="008E541F" w:rsidRDefault="00F05513" w:rsidP="00446ECF">
      <w:pPr>
        <w:spacing w:line="276" w:lineRule="auto"/>
        <w:jc w:val="both"/>
        <w:rPr>
          <w:rFonts w:ascii="Arial" w:hAnsi="Arial" w:cs="Arial"/>
          <w:color w:val="000000"/>
          <w:szCs w:val="24"/>
          <w:lang w:eastAsia="es-CO"/>
        </w:rPr>
      </w:pPr>
      <w:r>
        <w:rPr>
          <w:rFonts w:ascii="Arial" w:hAnsi="Arial" w:cs="Arial"/>
          <w:color w:val="000000"/>
          <w:szCs w:val="24"/>
          <w:lang w:eastAsia="es-CO"/>
        </w:rPr>
        <w:t>Pese a que la pensión se había causado desde el año 1999, d</w:t>
      </w:r>
      <w:r w:rsidR="005642FE">
        <w:rPr>
          <w:rFonts w:ascii="Arial" w:hAnsi="Arial" w:cs="Arial"/>
          <w:color w:val="000000"/>
          <w:szCs w:val="24"/>
          <w:lang w:eastAsia="es-CO"/>
        </w:rPr>
        <w:t>ispuso el reconocimiento de la pre</w:t>
      </w:r>
      <w:r w:rsidR="0037336A">
        <w:rPr>
          <w:rFonts w:ascii="Arial" w:hAnsi="Arial" w:cs="Arial"/>
          <w:color w:val="000000"/>
          <w:szCs w:val="24"/>
          <w:lang w:eastAsia="es-CO"/>
        </w:rPr>
        <w:t xml:space="preserve">stación a partir del 22/01/2014, </w:t>
      </w:r>
      <w:r w:rsidR="00837E42">
        <w:rPr>
          <w:rFonts w:ascii="Arial" w:hAnsi="Arial" w:cs="Arial"/>
          <w:color w:val="000000"/>
          <w:szCs w:val="24"/>
          <w:lang w:eastAsia="es-CO"/>
        </w:rPr>
        <w:t xml:space="preserve">pues ante la omisión en el reporte de la novedad de retiro, debía atenderse circunstancias externas que así lo demostraran y, para ese momento </w:t>
      </w:r>
      <w:r w:rsidR="0037336A">
        <w:rPr>
          <w:rFonts w:ascii="Arial" w:hAnsi="Arial" w:cs="Arial"/>
          <w:color w:val="000000"/>
          <w:szCs w:val="24"/>
          <w:lang w:eastAsia="es-CO"/>
        </w:rPr>
        <w:t>el actor</w:t>
      </w:r>
      <w:r w:rsidR="00837E42">
        <w:rPr>
          <w:rFonts w:ascii="Arial" w:hAnsi="Arial" w:cs="Arial"/>
          <w:color w:val="000000"/>
          <w:szCs w:val="24"/>
          <w:lang w:eastAsia="es-CO"/>
        </w:rPr>
        <w:t xml:space="preserve"> ya había efectuado su último aporte –septiembre/2010- y </w:t>
      </w:r>
      <w:r w:rsidR="0037336A">
        <w:rPr>
          <w:rFonts w:ascii="Arial" w:hAnsi="Arial" w:cs="Arial"/>
          <w:color w:val="000000"/>
          <w:szCs w:val="24"/>
          <w:lang w:eastAsia="es-CO"/>
        </w:rPr>
        <w:t xml:space="preserve"> presentó la reclamación administrativa</w:t>
      </w:r>
      <w:r w:rsidR="00837E42">
        <w:rPr>
          <w:rFonts w:ascii="Arial" w:hAnsi="Arial" w:cs="Arial"/>
          <w:color w:val="000000"/>
          <w:szCs w:val="24"/>
          <w:lang w:eastAsia="es-CO"/>
        </w:rPr>
        <w:t xml:space="preserve">. </w:t>
      </w:r>
    </w:p>
    <w:p w:rsidR="00837E42" w:rsidRDefault="00837E42" w:rsidP="00446ECF">
      <w:pPr>
        <w:spacing w:line="276" w:lineRule="auto"/>
        <w:jc w:val="both"/>
        <w:rPr>
          <w:rFonts w:ascii="Arial" w:hAnsi="Arial" w:cs="Arial"/>
          <w:color w:val="000000"/>
          <w:szCs w:val="24"/>
          <w:lang w:eastAsia="es-CO"/>
        </w:rPr>
      </w:pPr>
    </w:p>
    <w:p w:rsidR="00837E42" w:rsidRDefault="00837E42" w:rsidP="00446EC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w:t>
      </w:r>
      <w:proofErr w:type="spellStart"/>
      <w:r>
        <w:rPr>
          <w:rFonts w:ascii="Arial" w:hAnsi="Arial" w:cs="Arial"/>
          <w:color w:val="000000"/>
          <w:szCs w:val="24"/>
          <w:lang w:eastAsia="es-CO"/>
        </w:rPr>
        <w:t>IBL</w:t>
      </w:r>
      <w:proofErr w:type="spellEnd"/>
      <w:r>
        <w:rPr>
          <w:rFonts w:ascii="Arial" w:hAnsi="Arial" w:cs="Arial"/>
          <w:color w:val="000000"/>
          <w:szCs w:val="24"/>
          <w:lang w:eastAsia="es-CO"/>
        </w:rPr>
        <w:t>, lo determinó con base en el promedio de los salarios devengados en los últimos 10 años, por ser más favorables y obtuvo la suma de $865.142, al que al aplicarle una tasa de reemplazo del 90% le generó un valor de $778.628 como monto de la mesada pensional para el 22/01/2014.</w:t>
      </w:r>
    </w:p>
    <w:p w:rsidR="00F05513" w:rsidRDefault="00F05513" w:rsidP="00446ECF">
      <w:pPr>
        <w:spacing w:line="276" w:lineRule="auto"/>
        <w:jc w:val="both"/>
        <w:rPr>
          <w:rFonts w:ascii="Arial" w:hAnsi="Arial" w:cs="Arial"/>
          <w:color w:val="000000"/>
          <w:szCs w:val="24"/>
          <w:lang w:eastAsia="es-CO"/>
        </w:rPr>
      </w:pPr>
      <w:r>
        <w:rPr>
          <w:rFonts w:ascii="Arial" w:hAnsi="Arial" w:cs="Arial"/>
          <w:color w:val="000000"/>
          <w:szCs w:val="24"/>
          <w:lang w:eastAsia="es-CO"/>
        </w:rPr>
        <w:t>Liquidó el retroactivo con base en 14 mesadas, por haberse causado la pensión con anterioridad al 31/07/2010 –acto legislativo-, el que calcul</w:t>
      </w:r>
      <w:r w:rsidR="00211BA1">
        <w:rPr>
          <w:rFonts w:ascii="Arial" w:hAnsi="Arial" w:cs="Arial"/>
          <w:color w:val="000000"/>
          <w:szCs w:val="24"/>
          <w:lang w:eastAsia="es-CO"/>
        </w:rPr>
        <w:t xml:space="preserve">ado </w:t>
      </w:r>
      <w:r>
        <w:rPr>
          <w:rFonts w:ascii="Arial" w:hAnsi="Arial" w:cs="Arial"/>
          <w:color w:val="000000"/>
          <w:szCs w:val="24"/>
          <w:lang w:eastAsia="es-CO"/>
        </w:rPr>
        <w:t>hasta el 09/09/2016, le generó $30´004.768.</w:t>
      </w:r>
    </w:p>
    <w:p w:rsidR="007E012F" w:rsidRDefault="007E012F" w:rsidP="00446ECF">
      <w:pPr>
        <w:spacing w:line="276" w:lineRule="auto"/>
        <w:jc w:val="both"/>
        <w:rPr>
          <w:rFonts w:ascii="Arial" w:hAnsi="Arial" w:cs="Arial"/>
          <w:color w:val="000000"/>
          <w:szCs w:val="24"/>
          <w:lang w:eastAsia="es-CO"/>
        </w:rPr>
      </w:pPr>
    </w:p>
    <w:p w:rsidR="007E012F" w:rsidRDefault="007E012F" w:rsidP="00446EC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w:t>
      </w:r>
      <w:r w:rsidR="00FF5BAF">
        <w:rPr>
          <w:rFonts w:ascii="Arial" w:hAnsi="Arial" w:cs="Arial"/>
          <w:color w:val="000000"/>
          <w:szCs w:val="24"/>
          <w:lang w:eastAsia="es-CO"/>
        </w:rPr>
        <w:t xml:space="preserve">ordenó el reconocimiento de los intereses moratorios a partir de la ejecutoria de la sentencia, porque la negativa de </w:t>
      </w:r>
      <w:proofErr w:type="spellStart"/>
      <w:r w:rsidR="00FF5BAF">
        <w:rPr>
          <w:rFonts w:ascii="Arial" w:hAnsi="Arial" w:cs="Arial"/>
          <w:color w:val="000000"/>
          <w:szCs w:val="24"/>
          <w:lang w:eastAsia="es-CO"/>
        </w:rPr>
        <w:t>Colpensiones</w:t>
      </w:r>
      <w:proofErr w:type="spellEnd"/>
      <w:r w:rsidR="00FF5BAF">
        <w:rPr>
          <w:rFonts w:ascii="Arial" w:hAnsi="Arial" w:cs="Arial"/>
          <w:color w:val="000000"/>
          <w:szCs w:val="24"/>
          <w:lang w:eastAsia="es-CO"/>
        </w:rPr>
        <w:t xml:space="preserve"> se excusaba en el incumplimiento de los requisitos establecidos en el Decreto 2090/0</w:t>
      </w:r>
      <w:r w:rsidR="00211BA1">
        <w:rPr>
          <w:rFonts w:ascii="Arial" w:hAnsi="Arial" w:cs="Arial"/>
          <w:color w:val="000000"/>
          <w:szCs w:val="24"/>
          <w:lang w:eastAsia="es-CO"/>
        </w:rPr>
        <w:t>3</w:t>
      </w:r>
      <w:r w:rsidR="00FF5BAF">
        <w:rPr>
          <w:rFonts w:ascii="Arial" w:hAnsi="Arial" w:cs="Arial"/>
          <w:color w:val="000000"/>
          <w:szCs w:val="24"/>
          <w:lang w:eastAsia="es-CO"/>
        </w:rPr>
        <w:t xml:space="preserve"> y, la orden se emitió en aplicación de una interpretación constitucional favorable, acudiendo al Acuerdo 049/90.</w:t>
      </w:r>
    </w:p>
    <w:p w:rsidR="00837E42" w:rsidRDefault="00837E42" w:rsidP="00446ECF">
      <w:pPr>
        <w:spacing w:line="276" w:lineRule="auto"/>
        <w:jc w:val="both"/>
        <w:rPr>
          <w:rFonts w:ascii="Arial" w:hAnsi="Arial" w:cs="Arial"/>
          <w:color w:val="000000"/>
          <w:szCs w:val="24"/>
          <w:lang w:eastAsia="es-CO"/>
        </w:rPr>
      </w:pPr>
    </w:p>
    <w:p w:rsidR="00926155" w:rsidRPr="00F75BBA" w:rsidRDefault="008E541F" w:rsidP="005469D3">
      <w:pPr>
        <w:spacing w:line="276" w:lineRule="auto"/>
        <w:jc w:val="both"/>
        <w:rPr>
          <w:rFonts w:ascii="Arial" w:hAnsi="Arial" w:cs="Arial"/>
          <w:b/>
          <w:color w:val="000000"/>
          <w:szCs w:val="24"/>
          <w:lang w:eastAsia="es-CO"/>
        </w:rPr>
      </w:pPr>
      <w:r w:rsidRPr="00F75BBA">
        <w:rPr>
          <w:rFonts w:ascii="Arial" w:hAnsi="Arial" w:cs="Arial"/>
          <w:b/>
          <w:color w:val="000000"/>
          <w:szCs w:val="24"/>
          <w:lang w:eastAsia="es-CO"/>
        </w:rPr>
        <w:t>3. Síntesis del recurso de apelación</w:t>
      </w:r>
    </w:p>
    <w:p w:rsidR="008E541F" w:rsidRDefault="008E541F" w:rsidP="005469D3">
      <w:pPr>
        <w:spacing w:line="276" w:lineRule="auto"/>
        <w:jc w:val="both"/>
        <w:rPr>
          <w:rFonts w:ascii="Arial" w:hAnsi="Arial" w:cs="Arial"/>
          <w:color w:val="000000"/>
          <w:szCs w:val="24"/>
          <w:lang w:eastAsia="es-CO"/>
        </w:rPr>
      </w:pPr>
    </w:p>
    <w:p w:rsidR="008E541F" w:rsidRDefault="008E541F" w:rsidP="005469D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Inconforme con lo decidido, la apoderada judicial de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interpuso recurso de apelación y argumentó que </w:t>
      </w:r>
      <w:r w:rsidR="00F75BBA">
        <w:rPr>
          <w:rFonts w:ascii="Arial" w:hAnsi="Arial" w:cs="Arial"/>
          <w:color w:val="000000"/>
          <w:szCs w:val="24"/>
          <w:lang w:eastAsia="es-CO"/>
        </w:rPr>
        <w:t xml:space="preserve">debe analizarse de nuevo si el actor es beneficiario del régimen de transición, toda vez que si bien el Juzgado analizó los argumentos establecidos en las sentencias SU-062, SU-130 y SU-789 de 2002, era necesario también verificar lo establecido en el literal </w:t>
      </w:r>
      <w:r w:rsidR="00375385">
        <w:rPr>
          <w:rFonts w:ascii="Arial" w:hAnsi="Arial" w:cs="Arial"/>
          <w:color w:val="000000"/>
          <w:szCs w:val="24"/>
          <w:lang w:eastAsia="es-CO"/>
        </w:rPr>
        <w:t>e</w:t>
      </w:r>
      <w:r w:rsidR="00F75BBA">
        <w:rPr>
          <w:rFonts w:ascii="Arial" w:hAnsi="Arial" w:cs="Arial"/>
          <w:color w:val="000000"/>
          <w:szCs w:val="24"/>
          <w:lang w:eastAsia="es-CO"/>
        </w:rPr>
        <w:t xml:space="preserve">) del </w:t>
      </w:r>
      <w:r w:rsidR="00375385">
        <w:rPr>
          <w:rFonts w:ascii="Arial" w:hAnsi="Arial" w:cs="Arial"/>
          <w:color w:val="000000"/>
          <w:szCs w:val="24"/>
          <w:lang w:eastAsia="es-CO"/>
        </w:rPr>
        <w:t>artículo 13 de la Ley 100/93, modificado por el artículo 2° de la 797/03;</w:t>
      </w:r>
      <w:r w:rsidR="00F75BBA">
        <w:rPr>
          <w:rFonts w:ascii="Arial" w:hAnsi="Arial" w:cs="Arial"/>
          <w:color w:val="000000"/>
          <w:szCs w:val="24"/>
          <w:lang w:eastAsia="es-CO"/>
        </w:rPr>
        <w:t xml:space="preserve"> porque en el detalle de afiliación del demandante, reposa el traslado al </w:t>
      </w:r>
      <w:proofErr w:type="spellStart"/>
      <w:r w:rsidR="00F75BBA">
        <w:rPr>
          <w:rFonts w:ascii="Arial" w:hAnsi="Arial" w:cs="Arial"/>
          <w:color w:val="000000"/>
          <w:szCs w:val="24"/>
          <w:lang w:eastAsia="es-CO"/>
        </w:rPr>
        <w:t>RAIS</w:t>
      </w:r>
      <w:proofErr w:type="spellEnd"/>
      <w:r w:rsidR="00F75BBA">
        <w:rPr>
          <w:rFonts w:ascii="Arial" w:hAnsi="Arial" w:cs="Arial"/>
          <w:color w:val="000000"/>
          <w:szCs w:val="24"/>
          <w:lang w:eastAsia="es-CO"/>
        </w:rPr>
        <w:t xml:space="preserve"> y su regreso al RPM en el año 2010, toda vez que no se realizó el traslado dentro de los 3 meses siguientes a la publicación del Decreto</w:t>
      </w:r>
      <w:r w:rsidR="00F94754">
        <w:rPr>
          <w:rStyle w:val="Refdenotaalpie"/>
          <w:rFonts w:ascii="Arial" w:hAnsi="Arial" w:cs="Arial"/>
          <w:color w:val="000000"/>
          <w:szCs w:val="24"/>
          <w:lang w:eastAsia="es-CO"/>
        </w:rPr>
        <w:footnoteReference w:id="2"/>
      </w:r>
      <w:r w:rsidR="00F75BBA">
        <w:rPr>
          <w:rFonts w:ascii="Arial" w:hAnsi="Arial" w:cs="Arial"/>
          <w:color w:val="000000"/>
          <w:szCs w:val="24"/>
          <w:lang w:eastAsia="es-CO"/>
        </w:rPr>
        <w:t xml:space="preserve"> -</w:t>
      </w:r>
      <w:r w:rsidR="00F75BBA" w:rsidRPr="00375385">
        <w:rPr>
          <w:rFonts w:ascii="Arial" w:hAnsi="Arial" w:cs="Arial"/>
          <w:i/>
          <w:color w:val="000000"/>
          <w:szCs w:val="24"/>
          <w:lang w:eastAsia="es-CO"/>
        </w:rPr>
        <w:t>28/07/2003</w:t>
      </w:r>
      <w:r w:rsidR="00F75BBA">
        <w:rPr>
          <w:rFonts w:ascii="Arial" w:hAnsi="Arial" w:cs="Arial"/>
          <w:color w:val="000000"/>
          <w:szCs w:val="24"/>
          <w:lang w:eastAsia="es-CO"/>
        </w:rPr>
        <w:t>-.</w:t>
      </w:r>
    </w:p>
    <w:p w:rsidR="007C45FE" w:rsidRDefault="007C45FE" w:rsidP="00A95C09">
      <w:pPr>
        <w:spacing w:line="276" w:lineRule="auto"/>
        <w:jc w:val="both"/>
        <w:rPr>
          <w:rFonts w:ascii="Arial" w:hAnsi="Arial" w:cs="Arial"/>
          <w:color w:val="000000"/>
          <w:szCs w:val="24"/>
          <w:lang w:eastAsia="es-CO"/>
        </w:rPr>
      </w:pPr>
    </w:p>
    <w:p w:rsidR="00350788" w:rsidRDefault="008E541F" w:rsidP="00A95C09">
      <w:pPr>
        <w:spacing w:line="276" w:lineRule="auto"/>
        <w:jc w:val="both"/>
        <w:rPr>
          <w:rFonts w:ascii="Arial" w:hAnsi="Arial" w:cs="Arial"/>
          <w:b/>
          <w:szCs w:val="24"/>
        </w:rPr>
      </w:pPr>
      <w:r>
        <w:rPr>
          <w:rFonts w:ascii="Arial" w:hAnsi="Arial" w:cs="Arial"/>
          <w:b/>
          <w:szCs w:val="24"/>
        </w:rPr>
        <w:t>4</w:t>
      </w:r>
      <w:r w:rsidR="00076F69">
        <w:rPr>
          <w:rFonts w:ascii="Arial" w:hAnsi="Arial" w:cs="Arial"/>
          <w:b/>
          <w:szCs w:val="24"/>
        </w:rPr>
        <w:t xml:space="preserve">. Grado jurisdiccional de consulta </w:t>
      </w:r>
    </w:p>
    <w:p w:rsidR="00356D79" w:rsidRDefault="00356D79" w:rsidP="00A95C09">
      <w:pPr>
        <w:spacing w:line="276" w:lineRule="auto"/>
        <w:jc w:val="both"/>
        <w:rPr>
          <w:rFonts w:ascii="Arial" w:hAnsi="Arial" w:cs="Arial"/>
          <w:b/>
          <w:szCs w:val="24"/>
        </w:rPr>
      </w:pPr>
    </w:p>
    <w:p w:rsidR="00BF52F1" w:rsidRPr="005A2586" w:rsidRDefault="00B51149" w:rsidP="00BF52F1">
      <w:pPr>
        <w:shd w:val="clear" w:color="auto" w:fill="FFFFFF"/>
        <w:tabs>
          <w:tab w:val="left" w:pos="5197"/>
        </w:tabs>
        <w:spacing w:line="276" w:lineRule="auto"/>
        <w:jc w:val="both"/>
        <w:rPr>
          <w:rFonts w:ascii="Arial" w:hAnsi="Arial" w:cs="Arial"/>
          <w:szCs w:val="24"/>
        </w:rPr>
      </w:pPr>
      <w:r>
        <w:rPr>
          <w:rFonts w:ascii="Arial" w:hAnsi="Arial" w:cs="Arial"/>
          <w:szCs w:val="24"/>
        </w:rPr>
        <w:t xml:space="preserve">Como la </w:t>
      </w:r>
      <w:r w:rsidR="00BF52F1" w:rsidRPr="005A2586">
        <w:rPr>
          <w:rFonts w:ascii="Arial" w:hAnsi="Arial" w:cs="Arial"/>
          <w:szCs w:val="24"/>
        </w:rPr>
        <w:t>anterior decisión, resultó adversa a los intereses de la Administradora Colombiana de Pensiones –</w:t>
      </w:r>
      <w:proofErr w:type="spellStart"/>
      <w:r w:rsidR="00BF52F1" w:rsidRPr="005A2586">
        <w:rPr>
          <w:rFonts w:ascii="Arial" w:hAnsi="Arial" w:cs="Arial"/>
          <w:szCs w:val="24"/>
        </w:rPr>
        <w:t>COLPENSIONES</w:t>
      </w:r>
      <w:proofErr w:type="spellEnd"/>
      <w:r w:rsidR="00BF52F1" w:rsidRPr="005A2586">
        <w:rPr>
          <w:rFonts w:ascii="Arial" w:hAnsi="Arial" w:cs="Arial"/>
          <w:szCs w:val="24"/>
        </w:rPr>
        <w:t xml:space="preserve">-, la funcionaria de primer grado, ordenó el grado jurisdiccional de consulta, conforme lo dispone en artículo 69 del </w:t>
      </w:r>
      <w:proofErr w:type="spellStart"/>
      <w:r w:rsidR="00BF52F1" w:rsidRPr="005A2586">
        <w:rPr>
          <w:rFonts w:ascii="Arial" w:hAnsi="Arial" w:cs="Arial"/>
          <w:szCs w:val="24"/>
        </w:rPr>
        <w:t>C.P.L</w:t>
      </w:r>
      <w:proofErr w:type="spellEnd"/>
      <w:r w:rsidR="00BF52F1" w:rsidRPr="005A2586">
        <w:rPr>
          <w:rFonts w:ascii="Arial" w:hAnsi="Arial" w:cs="Arial"/>
          <w:szCs w:val="24"/>
        </w:rPr>
        <w:t>. y la jurisprudencia.</w:t>
      </w:r>
    </w:p>
    <w:p w:rsidR="00BF52F1" w:rsidRPr="00350788" w:rsidRDefault="00BF52F1" w:rsidP="00BF52F1">
      <w:pPr>
        <w:shd w:val="clear" w:color="auto" w:fill="FFFFFF"/>
        <w:spacing w:line="276" w:lineRule="auto"/>
        <w:jc w:val="both"/>
        <w:rPr>
          <w:rFonts w:ascii="Arial" w:hAnsi="Arial" w:cs="Arial"/>
          <w:b/>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8D7A9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226D5F" w:rsidRDefault="00226D5F" w:rsidP="00A227F4">
      <w:pPr>
        <w:pStyle w:val="Sinespaciado"/>
        <w:spacing w:line="276" w:lineRule="auto"/>
        <w:rPr>
          <w:rFonts w:ascii="Arial" w:hAnsi="Arial" w:cs="Arial"/>
          <w:sz w:val="24"/>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8C0AFA" w:rsidRDefault="007D5ED8" w:rsidP="001F6EA3">
      <w:pPr>
        <w:pStyle w:val="Textoindependiente"/>
        <w:spacing w:line="276" w:lineRule="auto"/>
        <w:contextualSpacing/>
        <w:rPr>
          <w:iCs/>
          <w:szCs w:val="24"/>
        </w:rPr>
      </w:pPr>
      <w:r>
        <w:rPr>
          <w:iCs/>
          <w:szCs w:val="24"/>
        </w:rPr>
        <w:t>1.</w:t>
      </w:r>
      <w:r w:rsidR="007C2155">
        <w:rPr>
          <w:iCs/>
          <w:szCs w:val="24"/>
        </w:rPr>
        <w:t>1</w:t>
      </w:r>
      <w:r w:rsidR="00356D79">
        <w:rPr>
          <w:iCs/>
          <w:szCs w:val="24"/>
        </w:rPr>
        <w:t xml:space="preserve">. </w:t>
      </w:r>
      <w:r w:rsidR="008C0AFA">
        <w:rPr>
          <w:iCs/>
          <w:szCs w:val="24"/>
        </w:rPr>
        <w:t>¿Logró acreditar el señor José William Morales Restrepo, que desempeñó funciones calificadas como de alto riesgo en la empresa Vidriera de Caldas?</w:t>
      </w:r>
    </w:p>
    <w:p w:rsidR="008C0AFA" w:rsidRDefault="008C0AFA" w:rsidP="001F6EA3">
      <w:pPr>
        <w:pStyle w:val="Textoindependiente"/>
        <w:spacing w:line="276" w:lineRule="auto"/>
        <w:contextualSpacing/>
        <w:rPr>
          <w:iCs/>
          <w:szCs w:val="24"/>
        </w:rPr>
      </w:pPr>
    </w:p>
    <w:p w:rsidR="00562BC6" w:rsidRDefault="008C0AFA" w:rsidP="001F6EA3">
      <w:pPr>
        <w:pStyle w:val="Textoindependiente"/>
        <w:spacing w:line="276" w:lineRule="auto"/>
        <w:contextualSpacing/>
        <w:rPr>
          <w:iCs/>
          <w:szCs w:val="24"/>
        </w:rPr>
      </w:pPr>
      <w:r>
        <w:rPr>
          <w:iCs/>
          <w:szCs w:val="24"/>
        </w:rPr>
        <w:t xml:space="preserve">1.2. </w:t>
      </w:r>
      <w:r w:rsidR="00562BC6" w:rsidRPr="007F1F65">
        <w:rPr>
          <w:iCs/>
          <w:szCs w:val="24"/>
        </w:rPr>
        <w:t>¿</w:t>
      </w:r>
      <w:r w:rsidR="00446ECF">
        <w:rPr>
          <w:iCs/>
          <w:szCs w:val="24"/>
        </w:rPr>
        <w:t xml:space="preserve">El </w:t>
      </w:r>
      <w:r w:rsidR="00562BC6">
        <w:rPr>
          <w:iCs/>
          <w:szCs w:val="24"/>
        </w:rPr>
        <w:t xml:space="preserve">señor </w:t>
      </w:r>
      <w:r w:rsidR="00EA4F18">
        <w:rPr>
          <w:iCs/>
          <w:szCs w:val="24"/>
        </w:rPr>
        <w:t>José William Morales Restrepo</w:t>
      </w:r>
      <w:r w:rsidR="00591797">
        <w:rPr>
          <w:iCs/>
          <w:szCs w:val="24"/>
        </w:rPr>
        <w:t xml:space="preserve"> </w:t>
      </w:r>
      <w:r w:rsidR="00446ECF">
        <w:rPr>
          <w:iCs/>
          <w:szCs w:val="24"/>
        </w:rPr>
        <w:t>es beneficiario</w:t>
      </w:r>
      <w:r w:rsidR="00562BC6" w:rsidRPr="007F1F65">
        <w:rPr>
          <w:iCs/>
          <w:szCs w:val="24"/>
        </w:rPr>
        <w:t xml:space="preserve"> del Régimen de Transición</w:t>
      </w:r>
      <w:r w:rsidR="003235DE">
        <w:rPr>
          <w:iCs/>
          <w:szCs w:val="24"/>
        </w:rPr>
        <w:t xml:space="preserve"> o lo perdió al haberse trasladado al </w:t>
      </w:r>
      <w:proofErr w:type="spellStart"/>
      <w:r w:rsidR="003235DE">
        <w:rPr>
          <w:iCs/>
          <w:szCs w:val="24"/>
        </w:rPr>
        <w:t>RAIS</w:t>
      </w:r>
      <w:proofErr w:type="spellEnd"/>
      <w:r w:rsidR="003235DE">
        <w:rPr>
          <w:iCs/>
          <w:szCs w:val="24"/>
        </w:rPr>
        <w:t>, pese de haber retornado al mismo</w:t>
      </w:r>
      <w:r w:rsidR="00562BC6" w:rsidRPr="007F1F65">
        <w:rPr>
          <w:iCs/>
          <w:szCs w:val="24"/>
        </w:rPr>
        <w:t>?</w:t>
      </w:r>
    </w:p>
    <w:p w:rsidR="00562BC6" w:rsidRDefault="00562BC6" w:rsidP="00562BC6">
      <w:pPr>
        <w:pStyle w:val="Textoindependiente"/>
        <w:spacing w:line="276" w:lineRule="auto"/>
        <w:contextualSpacing/>
        <w:rPr>
          <w:iCs/>
          <w:szCs w:val="24"/>
        </w:rPr>
      </w:pPr>
    </w:p>
    <w:p w:rsidR="00562BC6" w:rsidRDefault="00337DF9" w:rsidP="00562BC6">
      <w:pPr>
        <w:autoSpaceDE w:val="0"/>
        <w:autoSpaceDN w:val="0"/>
        <w:adjustRightInd w:val="0"/>
        <w:jc w:val="both"/>
        <w:rPr>
          <w:rFonts w:ascii="Arial" w:hAnsi="Arial" w:cs="Arial"/>
          <w:bCs/>
          <w:iCs/>
          <w:color w:val="000000"/>
          <w:szCs w:val="24"/>
          <w:lang w:val="es-CO"/>
        </w:rPr>
      </w:pPr>
      <w:r>
        <w:rPr>
          <w:rFonts w:ascii="Arial" w:hAnsi="Arial" w:cs="Arial"/>
          <w:bCs/>
          <w:iCs/>
          <w:color w:val="000000"/>
          <w:szCs w:val="24"/>
          <w:lang w:val="es-CO"/>
        </w:rPr>
        <w:t>1.3</w:t>
      </w:r>
      <w:r w:rsidR="001F6EA3">
        <w:rPr>
          <w:rFonts w:ascii="Arial" w:hAnsi="Arial" w:cs="Arial"/>
          <w:bCs/>
          <w:iCs/>
          <w:color w:val="000000"/>
          <w:szCs w:val="24"/>
          <w:lang w:val="es-CO"/>
        </w:rPr>
        <w:t>.</w:t>
      </w:r>
      <w:r w:rsidR="00562BC6" w:rsidRPr="00C71D5E">
        <w:rPr>
          <w:rFonts w:ascii="Arial" w:hAnsi="Arial" w:cs="Arial"/>
          <w:bCs/>
          <w:iCs/>
          <w:color w:val="000000"/>
          <w:szCs w:val="24"/>
          <w:lang w:val="es-CO"/>
        </w:rPr>
        <w:t xml:space="preserve"> </w:t>
      </w:r>
      <w:r w:rsidR="00446ECF">
        <w:rPr>
          <w:rFonts w:ascii="Arial" w:hAnsi="Arial" w:cs="Arial"/>
          <w:bCs/>
          <w:iCs/>
          <w:color w:val="000000"/>
          <w:szCs w:val="24"/>
          <w:lang w:val="es-CO"/>
        </w:rPr>
        <w:t xml:space="preserve"> ¿Logró el</w:t>
      </w:r>
      <w:r w:rsidR="00562BC6" w:rsidRPr="00C71D5E">
        <w:rPr>
          <w:rFonts w:ascii="Arial" w:hAnsi="Arial" w:cs="Arial"/>
          <w:bCs/>
          <w:iCs/>
          <w:color w:val="000000"/>
          <w:szCs w:val="24"/>
          <w:lang w:val="es-CO"/>
        </w:rPr>
        <w:t xml:space="preserve"> demandante acreditar los requisitos necesarios para acceder a la Pensión </w:t>
      </w:r>
      <w:r w:rsidR="007C2155">
        <w:rPr>
          <w:rFonts w:ascii="Arial" w:hAnsi="Arial" w:cs="Arial"/>
          <w:bCs/>
          <w:iCs/>
          <w:color w:val="000000"/>
          <w:szCs w:val="24"/>
          <w:lang w:val="es-CO"/>
        </w:rPr>
        <w:t xml:space="preserve">especial </w:t>
      </w:r>
      <w:r w:rsidR="00562BC6" w:rsidRPr="00C71D5E">
        <w:rPr>
          <w:rFonts w:ascii="Arial" w:hAnsi="Arial" w:cs="Arial"/>
          <w:bCs/>
          <w:iCs/>
          <w:color w:val="000000"/>
          <w:szCs w:val="24"/>
          <w:lang w:val="es-CO"/>
        </w:rPr>
        <w:t>de vejez</w:t>
      </w:r>
      <w:r w:rsidR="00562BC6" w:rsidRPr="00B02F1F">
        <w:rPr>
          <w:rFonts w:ascii="Arial" w:hAnsi="Arial" w:cs="Arial"/>
          <w:bCs/>
          <w:iCs/>
          <w:color w:val="000000"/>
          <w:szCs w:val="24"/>
          <w:lang w:val="es-CO"/>
        </w:rPr>
        <w:t xml:space="preserve"> que solicita?</w:t>
      </w:r>
    </w:p>
    <w:p w:rsidR="007521CE" w:rsidRDefault="007521CE" w:rsidP="00562BC6">
      <w:pPr>
        <w:autoSpaceDE w:val="0"/>
        <w:autoSpaceDN w:val="0"/>
        <w:adjustRightInd w:val="0"/>
        <w:jc w:val="both"/>
        <w:rPr>
          <w:rFonts w:ascii="Arial" w:hAnsi="Arial" w:cs="Arial"/>
          <w:bCs/>
          <w:iCs/>
          <w:color w:val="000000"/>
          <w:szCs w:val="24"/>
          <w:lang w:val="es-CO"/>
        </w:rPr>
      </w:pPr>
    </w:p>
    <w:p w:rsidR="00562BC6" w:rsidRDefault="007D5ED8" w:rsidP="00562BC6">
      <w:pPr>
        <w:pStyle w:val="Textoindependiente"/>
        <w:spacing w:line="276" w:lineRule="auto"/>
        <w:contextualSpacing/>
        <w:rPr>
          <w:iCs/>
          <w:szCs w:val="24"/>
        </w:rPr>
      </w:pPr>
      <w:r>
        <w:rPr>
          <w:iCs/>
          <w:szCs w:val="24"/>
        </w:rPr>
        <w:t>1.</w:t>
      </w:r>
      <w:r w:rsidR="00337DF9">
        <w:rPr>
          <w:iCs/>
          <w:szCs w:val="24"/>
        </w:rPr>
        <w:t>4</w:t>
      </w:r>
      <w:r w:rsidR="00562BC6">
        <w:rPr>
          <w:iCs/>
          <w:szCs w:val="24"/>
        </w:rPr>
        <w:t>. En caso positivo, ¿A partir de qué fecha procede el disfrute de la pensión de vejez del actor y, por ende, el correspondiente retroactivo?</w:t>
      </w:r>
    </w:p>
    <w:p w:rsidR="00562BC6" w:rsidRDefault="00562BC6" w:rsidP="00562BC6">
      <w:pPr>
        <w:pStyle w:val="Textoindependiente"/>
        <w:spacing w:line="276" w:lineRule="auto"/>
        <w:contextualSpacing/>
        <w:rPr>
          <w:iCs/>
          <w:szCs w:val="24"/>
        </w:rPr>
      </w:pPr>
    </w:p>
    <w:p w:rsidR="00562BC6" w:rsidRDefault="007D5ED8" w:rsidP="00562BC6">
      <w:pPr>
        <w:pStyle w:val="Textoindependiente"/>
        <w:spacing w:line="276" w:lineRule="auto"/>
        <w:contextualSpacing/>
        <w:rPr>
          <w:iCs/>
          <w:szCs w:val="24"/>
        </w:rPr>
      </w:pPr>
      <w:r>
        <w:rPr>
          <w:iCs/>
          <w:szCs w:val="24"/>
        </w:rPr>
        <w:t>1.</w:t>
      </w:r>
      <w:r w:rsidR="00337DF9">
        <w:rPr>
          <w:iCs/>
          <w:szCs w:val="24"/>
        </w:rPr>
        <w:t>5</w:t>
      </w:r>
      <w:r w:rsidR="00562BC6">
        <w:rPr>
          <w:iCs/>
          <w:szCs w:val="24"/>
        </w:rPr>
        <w:t>. ¿Son procedentes los intereses moratorios previstos en el artículo 141 de la Ley 100 de 1993, en caso afirmativo, desde cuándo?</w:t>
      </w:r>
    </w:p>
    <w:p w:rsidR="001F6EA3" w:rsidRDefault="001F6EA3" w:rsidP="00562BC6">
      <w:pPr>
        <w:pStyle w:val="Textoindependiente"/>
        <w:spacing w:line="276" w:lineRule="auto"/>
        <w:contextualSpacing/>
        <w:rPr>
          <w:iCs/>
          <w:szCs w:val="24"/>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considera necesario precisar, los siguientes aspectos:</w:t>
      </w:r>
    </w:p>
    <w:p w:rsidR="002D2B65" w:rsidRDefault="002D2B65" w:rsidP="002D2B65">
      <w:pPr>
        <w:pStyle w:val="Sinespaciado"/>
        <w:spacing w:line="276" w:lineRule="auto"/>
        <w:contextualSpacing/>
        <w:jc w:val="both"/>
        <w:rPr>
          <w:rFonts w:ascii="Arial" w:hAnsi="Arial" w:cs="Arial"/>
          <w:b/>
          <w:sz w:val="24"/>
          <w:szCs w:val="24"/>
          <w:lang w:val="es-CO" w:eastAsia="es-ES"/>
        </w:rPr>
      </w:pPr>
    </w:p>
    <w:p w:rsidR="00113BF4" w:rsidRDefault="00113BF4" w:rsidP="002D2B65">
      <w:pPr>
        <w:pStyle w:val="Sinespaciado"/>
        <w:spacing w:line="276" w:lineRule="auto"/>
        <w:contextualSpacing/>
        <w:jc w:val="both"/>
        <w:rPr>
          <w:rFonts w:ascii="Arial" w:hAnsi="Arial" w:cs="Arial"/>
          <w:b/>
          <w:sz w:val="24"/>
          <w:szCs w:val="24"/>
          <w:lang w:val="es-CO" w:eastAsia="es-ES"/>
        </w:rPr>
      </w:pPr>
      <w:r>
        <w:rPr>
          <w:rFonts w:ascii="Arial" w:hAnsi="Arial" w:cs="Arial"/>
          <w:b/>
          <w:sz w:val="24"/>
          <w:szCs w:val="24"/>
          <w:lang w:val="es-CO" w:eastAsia="es-ES"/>
        </w:rPr>
        <w:t xml:space="preserve">2.1. De las </w:t>
      </w:r>
      <w:r w:rsidR="00D56110">
        <w:rPr>
          <w:rFonts w:ascii="Arial" w:hAnsi="Arial" w:cs="Arial"/>
          <w:b/>
          <w:sz w:val="24"/>
          <w:szCs w:val="24"/>
          <w:lang w:val="es-CO" w:eastAsia="es-ES"/>
        </w:rPr>
        <w:t>actividades de alto riego</w:t>
      </w:r>
    </w:p>
    <w:p w:rsidR="00D56110" w:rsidRDefault="00D56110" w:rsidP="002D2B65">
      <w:pPr>
        <w:pStyle w:val="Sinespaciado"/>
        <w:spacing w:line="276" w:lineRule="auto"/>
        <w:contextualSpacing/>
        <w:jc w:val="both"/>
        <w:rPr>
          <w:rFonts w:ascii="Arial" w:hAnsi="Arial" w:cs="Arial"/>
          <w:b/>
          <w:sz w:val="24"/>
          <w:szCs w:val="24"/>
          <w:lang w:val="es-CO" w:eastAsia="es-ES"/>
        </w:rPr>
      </w:pPr>
    </w:p>
    <w:p w:rsidR="00D56110" w:rsidRDefault="00D56110" w:rsidP="002D2B65">
      <w:pPr>
        <w:pStyle w:val="Sinespaciado"/>
        <w:spacing w:line="276" w:lineRule="auto"/>
        <w:contextualSpacing/>
        <w:jc w:val="both"/>
        <w:rPr>
          <w:rFonts w:ascii="Arial" w:hAnsi="Arial" w:cs="Arial"/>
          <w:b/>
          <w:sz w:val="24"/>
          <w:szCs w:val="24"/>
          <w:lang w:val="es-CO" w:eastAsia="es-ES"/>
        </w:rPr>
      </w:pPr>
      <w:r>
        <w:rPr>
          <w:rFonts w:ascii="Arial" w:hAnsi="Arial" w:cs="Arial"/>
          <w:b/>
          <w:sz w:val="24"/>
          <w:szCs w:val="24"/>
          <w:lang w:val="es-CO" w:eastAsia="es-ES"/>
        </w:rPr>
        <w:t>2.1.1. Fundamento jurídico</w:t>
      </w:r>
      <w:r w:rsidR="00410A9C">
        <w:rPr>
          <w:rFonts w:ascii="Arial" w:hAnsi="Arial" w:cs="Arial"/>
          <w:b/>
          <w:sz w:val="24"/>
          <w:szCs w:val="24"/>
          <w:lang w:val="es-CO" w:eastAsia="es-ES"/>
        </w:rPr>
        <w:t xml:space="preserve"> </w:t>
      </w:r>
    </w:p>
    <w:p w:rsidR="00410A9C" w:rsidRPr="004F2962" w:rsidRDefault="00410A9C" w:rsidP="002D2B65">
      <w:pPr>
        <w:pStyle w:val="Sinespaciado"/>
        <w:spacing w:line="276" w:lineRule="auto"/>
        <w:contextualSpacing/>
        <w:jc w:val="both"/>
        <w:rPr>
          <w:rFonts w:ascii="Arial" w:hAnsi="Arial" w:cs="Arial"/>
          <w:b/>
          <w:sz w:val="24"/>
          <w:szCs w:val="24"/>
          <w:lang w:val="es-CO" w:eastAsia="es-ES"/>
        </w:rPr>
      </w:pPr>
    </w:p>
    <w:p w:rsidR="00410A9C" w:rsidRDefault="00410A9C" w:rsidP="00410A9C">
      <w:pPr>
        <w:pStyle w:val="Sinespaciado"/>
        <w:spacing w:line="276" w:lineRule="auto"/>
        <w:contextualSpacing/>
        <w:jc w:val="both"/>
        <w:rPr>
          <w:rFonts w:ascii="Arial" w:hAnsi="Arial" w:cs="Arial"/>
          <w:color w:val="000000"/>
          <w:sz w:val="24"/>
          <w:szCs w:val="24"/>
          <w:lang w:val="es-ES"/>
        </w:rPr>
      </w:pPr>
      <w:r w:rsidRPr="004F2962">
        <w:rPr>
          <w:rFonts w:ascii="Arial" w:hAnsi="Arial" w:cs="Arial"/>
          <w:sz w:val="24"/>
          <w:szCs w:val="24"/>
          <w:lang w:val="es-CO" w:eastAsia="es-ES"/>
        </w:rPr>
        <w:t xml:space="preserve">El Decreto 2090 de 2003, en el artículo 2, enlista cuáles son las actividades de alto riesgo para la salud de los trabajadores, entre las cuales, en los numerales 2° y 4°, se encuentran </w:t>
      </w:r>
      <w:r w:rsidRPr="004F2962">
        <w:rPr>
          <w:rFonts w:ascii="Arial" w:hAnsi="Arial" w:cs="Arial"/>
          <w:color w:val="000000"/>
          <w:sz w:val="24"/>
          <w:szCs w:val="24"/>
          <w:lang w:val="es-ES"/>
        </w:rPr>
        <w:t xml:space="preserve">aquellas </w:t>
      </w:r>
      <w:r w:rsidRPr="00410A9C">
        <w:rPr>
          <w:rFonts w:ascii="Arial" w:hAnsi="Arial" w:cs="Arial"/>
          <w:color w:val="000000"/>
          <w:sz w:val="24"/>
          <w:szCs w:val="24"/>
          <w:lang w:val="es-ES"/>
        </w:rPr>
        <w:t xml:space="preserve">que impliquen la </w:t>
      </w:r>
      <w:r w:rsidR="004F2962">
        <w:rPr>
          <w:rFonts w:ascii="Arial" w:hAnsi="Arial" w:cs="Arial"/>
          <w:color w:val="000000"/>
          <w:sz w:val="24"/>
          <w:szCs w:val="24"/>
          <w:lang w:val="es-ES"/>
        </w:rPr>
        <w:t>exposición a altas temperaturas</w:t>
      </w:r>
      <w:r w:rsidRPr="00410A9C">
        <w:rPr>
          <w:rFonts w:ascii="Arial" w:hAnsi="Arial" w:cs="Arial"/>
          <w:color w:val="000000"/>
          <w:sz w:val="24"/>
          <w:szCs w:val="24"/>
          <w:lang w:val="es-ES"/>
        </w:rPr>
        <w:t xml:space="preserve"> </w:t>
      </w:r>
      <w:r w:rsidRPr="004F2962">
        <w:rPr>
          <w:rFonts w:ascii="Arial" w:hAnsi="Arial" w:cs="Arial"/>
          <w:color w:val="000000"/>
          <w:sz w:val="24"/>
          <w:szCs w:val="24"/>
          <w:lang w:val="es-ES"/>
        </w:rPr>
        <w:t xml:space="preserve">y </w:t>
      </w:r>
      <w:r w:rsidRPr="00410A9C">
        <w:rPr>
          <w:rFonts w:ascii="Arial" w:hAnsi="Arial" w:cs="Arial"/>
          <w:color w:val="000000"/>
          <w:sz w:val="24"/>
          <w:szCs w:val="24"/>
          <w:lang w:val="es-ES"/>
        </w:rPr>
        <w:t>a sustanci</w:t>
      </w:r>
      <w:r w:rsidRPr="004F2962">
        <w:rPr>
          <w:rFonts w:ascii="Arial" w:hAnsi="Arial" w:cs="Arial"/>
          <w:color w:val="000000"/>
          <w:sz w:val="24"/>
          <w:szCs w:val="24"/>
          <w:lang w:val="es-ES"/>
        </w:rPr>
        <w:t>as comprobadamente cancerígenas, respectivamente.</w:t>
      </w:r>
    </w:p>
    <w:p w:rsidR="0090259C" w:rsidRDefault="0090259C" w:rsidP="00410A9C">
      <w:pPr>
        <w:pStyle w:val="Sinespaciado"/>
        <w:spacing w:line="276" w:lineRule="auto"/>
        <w:contextualSpacing/>
        <w:jc w:val="both"/>
        <w:rPr>
          <w:rFonts w:ascii="Arial" w:hAnsi="Arial" w:cs="Arial"/>
          <w:color w:val="000000"/>
          <w:sz w:val="24"/>
          <w:szCs w:val="24"/>
          <w:lang w:val="es-ES"/>
        </w:rPr>
      </w:pPr>
    </w:p>
    <w:p w:rsidR="0090259C" w:rsidRPr="00410A9C" w:rsidRDefault="0090259C" w:rsidP="00410A9C">
      <w:pPr>
        <w:pStyle w:val="Sinespaciado"/>
        <w:spacing w:line="276" w:lineRule="auto"/>
        <w:contextualSpacing/>
        <w:jc w:val="both"/>
        <w:rPr>
          <w:rFonts w:ascii="Arial" w:hAnsi="Arial" w:cs="Arial"/>
          <w:color w:val="000000"/>
          <w:sz w:val="24"/>
          <w:szCs w:val="24"/>
          <w:lang w:val="es-ES"/>
        </w:rPr>
      </w:pPr>
      <w:r>
        <w:rPr>
          <w:rFonts w:ascii="Arial" w:hAnsi="Arial" w:cs="Arial"/>
          <w:color w:val="000000"/>
          <w:sz w:val="24"/>
          <w:szCs w:val="24"/>
          <w:lang w:val="es-ES"/>
        </w:rPr>
        <w:t>En relación con la acreditación</w:t>
      </w:r>
      <w:r w:rsidR="00337DF9">
        <w:rPr>
          <w:rFonts w:ascii="Arial" w:hAnsi="Arial" w:cs="Arial"/>
          <w:color w:val="000000"/>
          <w:sz w:val="24"/>
          <w:szCs w:val="24"/>
          <w:lang w:val="es-ES"/>
        </w:rPr>
        <w:t>,</w:t>
      </w:r>
      <w:r>
        <w:rPr>
          <w:rFonts w:ascii="Arial" w:hAnsi="Arial" w:cs="Arial"/>
          <w:color w:val="000000"/>
          <w:sz w:val="24"/>
          <w:szCs w:val="24"/>
          <w:lang w:val="es-ES"/>
        </w:rPr>
        <w:t xml:space="preserve"> que de tales actividades debe realizar quien pretenda acceder a la pensión especial de vejez, la Corte Suprema de Justicia, Sala de Casaci</w:t>
      </w:r>
      <w:r w:rsidR="00EC6A77">
        <w:rPr>
          <w:rFonts w:ascii="Arial" w:hAnsi="Arial" w:cs="Arial"/>
          <w:color w:val="000000"/>
          <w:sz w:val="24"/>
          <w:szCs w:val="24"/>
          <w:lang w:val="es-ES"/>
        </w:rPr>
        <w:t>ón Laboral, ha definido que es deber demostrar que efectivamente se estaban ejecutando tales funciones y no limitarse a acreditar que la empresa donde las ejercía se encontraba clasificada como de alto riesgo</w:t>
      </w:r>
      <w:r w:rsidR="00EC6A77">
        <w:rPr>
          <w:rStyle w:val="Refdenotaalpie"/>
          <w:rFonts w:ascii="Arial" w:hAnsi="Arial" w:cs="Arial"/>
          <w:color w:val="000000"/>
          <w:sz w:val="24"/>
          <w:szCs w:val="24"/>
          <w:lang w:val="es-ES"/>
        </w:rPr>
        <w:footnoteReference w:id="3"/>
      </w:r>
      <w:r w:rsidR="00414AF0">
        <w:rPr>
          <w:rFonts w:ascii="Arial" w:hAnsi="Arial" w:cs="Arial"/>
          <w:color w:val="000000"/>
          <w:sz w:val="24"/>
          <w:szCs w:val="24"/>
          <w:lang w:val="es-ES"/>
        </w:rPr>
        <w:t>, así como que el funcionario judicial puede darla por demostrada a través de cualquier medio probatorio que le permita una libre formación de su convencimiento</w:t>
      </w:r>
      <w:r w:rsidR="00C14118">
        <w:rPr>
          <w:rStyle w:val="Refdenotaalpie"/>
          <w:rFonts w:ascii="Arial" w:hAnsi="Arial" w:cs="Arial"/>
          <w:color w:val="000000"/>
          <w:sz w:val="24"/>
          <w:szCs w:val="24"/>
          <w:lang w:val="es-ES"/>
        </w:rPr>
        <w:footnoteReference w:id="4"/>
      </w:r>
      <w:r w:rsidR="00414AF0">
        <w:rPr>
          <w:rFonts w:ascii="Arial" w:hAnsi="Arial" w:cs="Arial"/>
          <w:color w:val="000000"/>
          <w:sz w:val="24"/>
          <w:szCs w:val="24"/>
          <w:lang w:val="es-ES"/>
        </w:rPr>
        <w:t>.</w:t>
      </w:r>
    </w:p>
    <w:p w:rsidR="00410A9C" w:rsidRPr="00410A9C" w:rsidRDefault="00410A9C" w:rsidP="002D2B65">
      <w:pPr>
        <w:pStyle w:val="Sinespaciado"/>
        <w:spacing w:line="276" w:lineRule="auto"/>
        <w:contextualSpacing/>
        <w:jc w:val="both"/>
        <w:rPr>
          <w:rFonts w:ascii="Arial" w:hAnsi="Arial" w:cs="Arial"/>
          <w:sz w:val="24"/>
          <w:szCs w:val="24"/>
          <w:lang w:val="es-CO" w:eastAsia="es-ES"/>
        </w:rPr>
      </w:pPr>
    </w:p>
    <w:p w:rsidR="00D56110" w:rsidRDefault="004F2962" w:rsidP="002D2B65">
      <w:pPr>
        <w:pStyle w:val="Sinespaciado"/>
        <w:spacing w:line="276" w:lineRule="auto"/>
        <w:contextualSpacing/>
        <w:jc w:val="both"/>
        <w:rPr>
          <w:rFonts w:ascii="Arial" w:hAnsi="Arial" w:cs="Arial"/>
          <w:b/>
          <w:sz w:val="24"/>
          <w:szCs w:val="24"/>
          <w:lang w:val="es-CO" w:eastAsia="es-ES"/>
        </w:rPr>
      </w:pPr>
      <w:r>
        <w:rPr>
          <w:rFonts w:ascii="Arial" w:hAnsi="Arial" w:cs="Arial"/>
          <w:b/>
          <w:sz w:val="24"/>
          <w:szCs w:val="24"/>
          <w:lang w:val="es-CO" w:eastAsia="es-ES"/>
        </w:rPr>
        <w:t>2.1.2. Fundamento fáctico</w:t>
      </w:r>
    </w:p>
    <w:p w:rsidR="004F2962" w:rsidRDefault="004F2962" w:rsidP="002D2B65">
      <w:pPr>
        <w:pStyle w:val="Sinespaciado"/>
        <w:spacing w:line="276" w:lineRule="auto"/>
        <w:contextualSpacing/>
        <w:jc w:val="both"/>
        <w:rPr>
          <w:rFonts w:ascii="Arial" w:hAnsi="Arial" w:cs="Arial"/>
          <w:b/>
          <w:sz w:val="24"/>
          <w:szCs w:val="24"/>
          <w:lang w:val="es-CO" w:eastAsia="es-ES"/>
        </w:rPr>
      </w:pPr>
    </w:p>
    <w:p w:rsidR="00113BF4" w:rsidRDefault="00113BF4" w:rsidP="002D2B65">
      <w:pPr>
        <w:pStyle w:val="Sinespaciado"/>
        <w:spacing w:line="276" w:lineRule="auto"/>
        <w:contextualSpacing/>
        <w:jc w:val="both"/>
        <w:rPr>
          <w:rFonts w:ascii="Arial" w:hAnsi="Arial" w:cs="Arial"/>
          <w:iCs/>
          <w:sz w:val="24"/>
          <w:szCs w:val="24"/>
        </w:rPr>
      </w:pPr>
      <w:r>
        <w:rPr>
          <w:rFonts w:ascii="Arial" w:hAnsi="Arial" w:cs="Arial"/>
          <w:sz w:val="24"/>
          <w:szCs w:val="24"/>
        </w:rPr>
        <w:t xml:space="preserve">Se encuentra suficientemente probado que el señor </w:t>
      </w:r>
      <w:r w:rsidRPr="00113BF4">
        <w:rPr>
          <w:rFonts w:ascii="Arial" w:hAnsi="Arial" w:cs="Arial"/>
          <w:iCs/>
          <w:sz w:val="24"/>
          <w:szCs w:val="24"/>
        </w:rPr>
        <w:t>José William Morales Restrepo</w:t>
      </w:r>
      <w:r>
        <w:rPr>
          <w:rFonts w:ascii="Arial" w:hAnsi="Arial" w:cs="Arial"/>
          <w:iCs/>
          <w:sz w:val="24"/>
          <w:szCs w:val="24"/>
        </w:rPr>
        <w:t xml:space="preserve"> laboró en la empresa Vidriera de Caldas S.A.</w:t>
      </w:r>
      <w:r w:rsidR="004F2962">
        <w:rPr>
          <w:rFonts w:ascii="Arial" w:hAnsi="Arial" w:cs="Arial"/>
          <w:iCs/>
          <w:sz w:val="24"/>
          <w:szCs w:val="24"/>
        </w:rPr>
        <w:t xml:space="preserve">, sociedad </w:t>
      </w:r>
      <w:r w:rsidR="00C64607">
        <w:rPr>
          <w:rFonts w:ascii="Arial" w:hAnsi="Arial" w:cs="Arial"/>
          <w:iCs/>
          <w:sz w:val="24"/>
          <w:szCs w:val="24"/>
        </w:rPr>
        <w:t xml:space="preserve">que se dedicaba </w:t>
      </w:r>
      <w:r w:rsidR="00C64607">
        <w:rPr>
          <w:rFonts w:ascii="Arial" w:hAnsi="Arial" w:cs="Arial"/>
          <w:iCs/>
          <w:sz w:val="24"/>
          <w:szCs w:val="24"/>
        </w:rPr>
        <w:lastRenderedPageBreak/>
        <w:t xml:space="preserve">a la elaboración </w:t>
      </w:r>
      <w:r w:rsidR="004F2962">
        <w:rPr>
          <w:rFonts w:ascii="Arial" w:hAnsi="Arial" w:cs="Arial"/>
          <w:iCs/>
          <w:sz w:val="24"/>
          <w:szCs w:val="24"/>
        </w:rPr>
        <w:t>de vidrio</w:t>
      </w:r>
      <w:r w:rsidR="004F2962">
        <w:rPr>
          <w:rStyle w:val="Refdenotaalpie"/>
          <w:rFonts w:ascii="Arial" w:hAnsi="Arial" w:cs="Arial"/>
          <w:iCs/>
          <w:sz w:val="24"/>
          <w:szCs w:val="24"/>
        </w:rPr>
        <w:footnoteReference w:id="5"/>
      </w:r>
      <w:r w:rsidR="00C64607">
        <w:rPr>
          <w:rFonts w:ascii="Arial" w:hAnsi="Arial" w:cs="Arial"/>
          <w:iCs/>
          <w:sz w:val="24"/>
          <w:szCs w:val="24"/>
        </w:rPr>
        <w:t>, según consta en las certificaciones laborales expedidas por ella a folios 23, 24 y 25 del cd. 1, en los periodos del 02/03/1969 al 30/04/1974 y del 18/05/1974 en adelante y hasta por lo menos el mes de junio de 2010, cuando fueron expedidas</w:t>
      </w:r>
      <w:r w:rsidR="00165474">
        <w:rPr>
          <w:rFonts w:ascii="Arial" w:hAnsi="Arial" w:cs="Arial"/>
          <w:iCs/>
          <w:sz w:val="24"/>
          <w:szCs w:val="24"/>
        </w:rPr>
        <w:t>.</w:t>
      </w:r>
    </w:p>
    <w:p w:rsidR="00165474" w:rsidRDefault="00165474" w:rsidP="002D2B65">
      <w:pPr>
        <w:pStyle w:val="Sinespaciado"/>
        <w:spacing w:line="276" w:lineRule="auto"/>
        <w:contextualSpacing/>
        <w:jc w:val="both"/>
        <w:rPr>
          <w:rFonts w:ascii="Arial" w:hAnsi="Arial" w:cs="Arial"/>
          <w:iCs/>
          <w:sz w:val="24"/>
          <w:szCs w:val="24"/>
        </w:rPr>
      </w:pPr>
    </w:p>
    <w:p w:rsidR="00165474" w:rsidRDefault="00165474" w:rsidP="002D2B65">
      <w:pPr>
        <w:pStyle w:val="Sinespaciado"/>
        <w:spacing w:line="276" w:lineRule="auto"/>
        <w:contextualSpacing/>
        <w:jc w:val="both"/>
        <w:rPr>
          <w:rFonts w:ascii="Arial" w:hAnsi="Arial" w:cs="Arial"/>
          <w:iCs/>
          <w:sz w:val="24"/>
          <w:szCs w:val="24"/>
        </w:rPr>
      </w:pPr>
      <w:r>
        <w:rPr>
          <w:rFonts w:ascii="Arial" w:hAnsi="Arial" w:cs="Arial"/>
          <w:iCs/>
          <w:sz w:val="24"/>
          <w:szCs w:val="24"/>
        </w:rPr>
        <w:t>Asimismo, que sus funciones fueron las de archero entre los años 1974 a 1976 y de recortador desde el año 1977 en adelante.</w:t>
      </w:r>
    </w:p>
    <w:p w:rsidR="00165474" w:rsidRDefault="00165474" w:rsidP="002D2B65">
      <w:pPr>
        <w:pStyle w:val="Sinespaciado"/>
        <w:spacing w:line="276" w:lineRule="auto"/>
        <w:contextualSpacing/>
        <w:jc w:val="both"/>
        <w:rPr>
          <w:rFonts w:ascii="Arial" w:hAnsi="Arial" w:cs="Arial"/>
          <w:iCs/>
          <w:sz w:val="24"/>
          <w:szCs w:val="24"/>
        </w:rPr>
      </w:pPr>
    </w:p>
    <w:p w:rsidR="00165474" w:rsidRDefault="00165474" w:rsidP="002D2B65">
      <w:pPr>
        <w:pStyle w:val="Sinespaciado"/>
        <w:spacing w:line="276" w:lineRule="auto"/>
        <w:contextualSpacing/>
        <w:jc w:val="both"/>
        <w:rPr>
          <w:rFonts w:ascii="Arial" w:hAnsi="Arial" w:cs="Arial"/>
          <w:iCs/>
          <w:sz w:val="24"/>
          <w:szCs w:val="24"/>
        </w:rPr>
      </w:pPr>
      <w:r>
        <w:rPr>
          <w:rFonts w:ascii="Arial" w:hAnsi="Arial" w:cs="Arial"/>
          <w:iCs/>
          <w:sz w:val="24"/>
          <w:szCs w:val="24"/>
        </w:rPr>
        <w:t>Por su parte, los testigos escuchados a instancia del demandante</w:t>
      </w:r>
      <w:r w:rsidR="00C51428">
        <w:rPr>
          <w:rStyle w:val="Refdenotaalpie"/>
          <w:rFonts w:ascii="Arial" w:hAnsi="Arial" w:cs="Arial"/>
          <w:iCs/>
          <w:sz w:val="24"/>
          <w:szCs w:val="24"/>
        </w:rPr>
        <w:footnoteReference w:id="6"/>
      </w:r>
      <w:r w:rsidR="00C14118">
        <w:rPr>
          <w:rFonts w:ascii="Arial" w:hAnsi="Arial" w:cs="Arial"/>
          <w:iCs/>
          <w:sz w:val="24"/>
          <w:szCs w:val="24"/>
        </w:rPr>
        <w:t xml:space="preserve"> -</w:t>
      </w:r>
      <w:r w:rsidRPr="00C14118">
        <w:rPr>
          <w:rFonts w:ascii="Arial" w:hAnsi="Arial" w:cs="Arial"/>
          <w:i/>
          <w:iCs/>
          <w:sz w:val="24"/>
          <w:szCs w:val="24"/>
        </w:rPr>
        <w:t>todos trabajadores en la refer</w:t>
      </w:r>
      <w:r w:rsidR="00095D10" w:rsidRPr="00C14118">
        <w:rPr>
          <w:rFonts w:ascii="Arial" w:hAnsi="Arial" w:cs="Arial"/>
          <w:i/>
          <w:iCs/>
          <w:sz w:val="24"/>
          <w:szCs w:val="24"/>
        </w:rPr>
        <w:t>ida sociedad</w:t>
      </w:r>
      <w:r w:rsidR="00C14118" w:rsidRPr="00C14118">
        <w:rPr>
          <w:rFonts w:ascii="Arial" w:hAnsi="Arial" w:cs="Arial"/>
          <w:i/>
          <w:iCs/>
          <w:sz w:val="24"/>
          <w:szCs w:val="24"/>
        </w:rPr>
        <w:t>-</w:t>
      </w:r>
      <w:r w:rsidR="00C14118">
        <w:rPr>
          <w:rFonts w:ascii="Arial" w:hAnsi="Arial" w:cs="Arial"/>
          <w:iCs/>
          <w:sz w:val="24"/>
          <w:szCs w:val="24"/>
        </w:rPr>
        <w:t>, indicaron</w:t>
      </w:r>
      <w:r w:rsidR="00095D10">
        <w:rPr>
          <w:rFonts w:ascii="Arial" w:hAnsi="Arial" w:cs="Arial"/>
          <w:iCs/>
          <w:sz w:val="24"/>
          <w:szCs w:val="24"/>
        </w:rPr>
        <w:t xml:space="preserve"> unánimemente que él laboró en el área de producción</w:t>
      </w:r>
      <w:r w:rsidR="00230B39">
        <w:rPr>
          <w:rFonts w:ascii="Arial" w:hAnsi="Arial" w:cs="Arial"/>
          <w:iCs/>
          <w:sz w:val="24"/>
          <w:szCs w:val="24"/>
        </w:rPr>
        <w:t>, como archero y recortador, lugar donde se encontraban ubicados los h</w:t>
      </w:r>
      <w:r w:rsidR="00C14118">
        <w:rPr>
          <w:rFonts w:ascii="Arial" w:hAnsi="Arial" w:cs="Arial"/>
          <w:iCs/>
          <w:sz w:val="24"/>
          <w:szCs w:val="24"/>
        </w:rPr>
        <w:t xml:space="preserve">ornos, los </w:t>
      </w:r>
      <w:r w:rsidR="00230B39">
        <w:rPr>
          <w:rFonts w:ascii="Arial" w:hAnsi="Arial" w:cs="Arial"/>
          <w:iCs/>
          <w:sz w:val="24"/>
          <w:szCs w:val="24"/>
        </w:rPr>
        <w:t xml:space="preserve">que manejaban altísimas temperaturas </w:t>
      </w:r>
      <w:r w:rsidR="00C14118">
        <w:rPr>
          <w:rFonts w:ascii="Arial" w:hAnsi="Arial" w:cs="Arial"/>
          <w:iCs/>
          <w:sz w:val="24"/>
          <w:szCs w:val="24"/>
        </w:rPr>
        <w:t>para poder fundir la arena de sílice que se utilizaban para la elaboración del vidrio, y que los ventiladores que existían para reducir el calor, dispersaban por todo el lugar ese material; expresaron también que estaba en contacto con el asbesto porque para el desempeño de su funci</w:t>
      </w:r>
      <w:r w:rsidR="00C847A2">
        <w:rPr>
          <w:rFonts w:ascii="Arial" w:hAnsi="Arial" w:cs="Arial"/>
          <w:iCs/>
          <w:sz w:val="24"/>
          <w:szCs w:val="24"/>
        </w:rPr>
        <w:t xml:space="preserve">ón como recortador, debía utilizar elementos de protección </w:t>
      </w:r>
      <w:r w:rsidR="00EA6FE6">
        <w:rPr>
          <w:rFonts w:ascii="Arial" w:hAnsi="Arial" w:cs="Arial"/>
          <w:iCs/>
          <w:sz w:val="24"/>
          <w:szCs w:val="24"/>
        </w:rPr>
        <w:t>hechos en ese material.</w:t>
      </w:r>
    </w:p>
    <w:p w:rsidR="00EA6FE6" w:rsidRDefault="00EA6FE6" w:rsidP="002D2B65">
      <w:pPr>
        <w:pStyle w:val="Sinespaciado"/>
        <w:spacing w:line="276" w:lineRule="auto"/>
        <w:contextualSpacing/>
        <w:jc w:val="both"/>
        <w:rPr>
          <w:rFonts w:ascii="Arial" w:hAnsi="Arial" w:cs="Arial"/>
          <w:iCs/>
          <w:sz w:val="24"/>
          <w:szCs w:val="24"/>
        </w:rPr>
      </w:pPr>
    </w:p>
    <w:p w:rsidR="00C8784F" w:rsidRDefault="003334E2" w:rsidP="002D2B65">
      <w:pPr>
        <w:pStyle w:val="Sinespaciado"/>
        <w:spacing w:line="276" w:lineRule="auto"/>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Declaraciones que valoradas bajo las reglas de la sana crítica, especialmente las reglas de la ciencia, merecen credibilidad</w:t>
      </w:r>
      <w:r w:rsidR="00DF1B91">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dado que l</w:t>
      </w:r>
      <w:r w:rsidR="00EA6FE6" w:rsidRPr="00EA6FE6">
        <w:rPr>
          <w:rFonts w:ascii="Arial" w:hAnsi="Arial" w:cs="Arial"/>
          <w:color w:val="000000"/>
          <w:sz w:val="24"/>
          <w:szCs w:val="24"/>
          <w:shd w:val="clear" w:color="auto" w:fill="FFFFFF"/>
        </w:rPr>
        <w:t>a fabricación y producción del vidrio se hace en un reactor de fusión, en donde se calienta una mezcla que casi siempre consiste en arena silícea (arcillas) y óxidos metálicos secos pulverizados o granulados. En el proceso de la fusión (paso de sólido a líquido) se forma un líquido viscoso y la masa se hace transparente y homogénea a temperaturas mayores a 1 000ºC</w:t>
      </w:r>
      <w:r w:rsidR="00EA6FE6">
        <w:rPr>
          <w:rStyle w:val="Refdenotaalpie"/>
          <w:rFonts w:ascii="Arial" w:hAnsi="Arial" w:cs="Arial"/>
          <w:color w:val="000000"/>
          <w:sz w:val="24"/>
          <w:szCs w:val="24"/>
          <w:shd w:val="clear" w:color="auto" w:fill="FFFFFF"/>
        </w:rPr>
        <w:footnoteReference w:id="7"/>
      </w:r>
      <w:r>
        <w:rPr>
          <w:rFonts w:ascii="Arial" w:hAnsi="Arial" w:cs="Arial"/>
          <w:color w:val="000000"/>
          <w:sz w:val="24"/>
          <w:szCs w:val="24"/>
          <w:shd w:val="clear" w:color="auto" w:fill="FFFFFF"/>
        </w:rPr>
        <w:t>.</w:t>
      </w:r>
    </w:p>
    <w:p w:rsidR="00C8784F" w:rsidRDefault="00C8784F" w:rsidP="002D2B65">
      <w:pPr>
        <w:pStyle w:val="Sinespaciado"/>
        <w:spacing w:line="276" w:lineRule="auto"/>
        <w:contextualSpacing/>
        <w:jc w:val="both"/>
        <w:rPr>
          <w:rFonts w:ascii="Arial" w:hAnsi="Arial" w:cs="Arial"/>
          <w:color w:val="000000"/>
          <w:sz w:val="24"/>
          <w:szCs w:val="24"/>
          <w:shd w:val="clear" w:color="auto" w:fill="FFFFFF"/>
        </w:rPr>
      </w:pPr>
    </w:p>
    <w:p w:rsidR="00EA6FE6" w:rsidRDefault="003334E2" w:rsidP="00744A8D">
      <w:pPr>
        <w:pStyle w:val="Sinespaciado"/>
        <w:spacing w:line="276" w:lineRule="auto"/>
        <w:contextualSpacing/>
        <w:jc w:val="both"/>
        <w:rPr>
          <w:rFonts w:ascii="Arial" w:hAnsi="Arial" w:cs="Arial"/>
          <w:iCs/>
          <w:sz w:val="24"/>
          <w:szCs w:val="24"/>
        </w:rPr>
      </w:pPr>
      <w:r>
        <w:rPr>
          <w:rFonts w:ascii="Arial" w:hAnsi="Arial" w:cs="Arial"/>
          <w:iCs/>
          <w:sz w:val="24"/>
          <w:szCs w:val="24"/>
        </w:rPr>
        <w:t xml:space="preserve">Así las cosas se demostró que </w:t>
      </w:r>
      <w:r w:rsidR="00744A8D">
        <w:rPr>
          <w:rFonts w:ascii="Arial" w:hAnsi="Arial" w:cs="Arial"/>
          <w:iCs/>
          <w:sz w:val="24"/>
          <w:szCs w:val="24"/>
        </w:rPr>
        <w:t>el demandante estaba expuesto a arena de sílice y asbesto, las que han sido consideradas como sustancias generadoras de cáncer</w:t>
      </w:r>
      <w:r w:rsidR="00744A8D">
        <w:rPr>
          <w:rStyle w:val="Refdenotaalpie"/>
          <w:rFonts w:ascii="Arial" w:hAnsi="Arial" w:cs="Arial"/>
          <w:iCs/>
          <w:sz w:val="24"/>
          <w:szCs w:val="24"/>
        </w:rPr>
        <w:footnoteReference w:id="8"/>
      </w:r>
      <w:r w:rsidR="00255774">
        <w:rPr>
          <w:rFonts w:ascii="Arial" w:hAnsi="Arial" w:cs="Arial"/>
          <w:iCs/>
          <w:sz w:val="24"/>
          <w:szCs w:val="24"/>
        </w:rPr>
        <w:t xml:space="preserve"> y, además su trabajo lo realizaba sometido a altas temperaturas; </w:t>
      </w:r>
      <w:r>
        <w:rPr>
          <w:rFonts w:ascii="Arial" w:hAnsi="Arial" w:cs="Arial"/>
          <w:iCs/>
          <w:sz w:val="24"/>
          <w:szCs w:val="24"/>
        </w:rPr>
        <w:t>por lo cual se probó</w:t>
      </w:r>
      <w:r w:rsidR="00255774">
        <w:rPr>
          <w:rFonts w:ascii="Arial" w:hAnsi="Arial" w:cs="Arial"/>
          <w:iCs/>
          <w:sz w:val="24"/>
          <w:szCs w:val="24"/>
        </w:rPr>
        <w:t xml:space="preserve"> que la labor desarrollada en la Vidriera de Caldas S.A., </w:t>
      </w:r>
      <w:r>
        <w:rPr>
          <w:rFonts w:ascii="Arial" w:hAnsi="Arial" w:cs="Arial"/>
          <w:iCs/>
          <w:sz w:val="24"/>
          <w:szCs w:val="24"/>
        </w:rPr>
        <w:t>fue</w:t>
      </w:r>
      <w:r w:rsidR="00255774">
        <w:rPr>
          <w:rFonts w:ascii="Arial" w:hAnsi="Arial" w:cs="Arial"/>
          <w:iCs/>
          <w:sz w:val="24"/>
          <w:szCs w:val="24"/>
        </w:rPr>
        <w:t xml:space="preserve"> una actividad de alto riesgo</w:t>
      </w:r>
      <w:r>
        <w:rPr>
          <w:rFonts w:ascii="Arial" w:hAnsi="Arial" w:cs="Arial"/>
          <w:iCs/>
          <w:sz w:val="24"/>
          <w:szCs w:val="24"/>
        </w:rPr>
        <w:t xml:space="preserve">, al estar ésta considerada de esta forma en </w:t>
      </w:r>
      <w:r w:rsidR="00255774">
        <w:rPr>
          <w:rFonts w:ascii="Arial" w:hAnsi="Arial" w:cs="Arial"/>
          <w:iCs/>
          <w:sz w:val="24"/>
          <w:szCs w:val="24"/>
        </w:rPr>
        <w:t>el artículo 2° del Decreto 2090 de 2003 y, consecuente con ello, puede acceder a la pensión especial de vejez</w:t>
      </w:r>
      <w:r w:rsidR="00596258">
        <w:rPr>
          <w:rFonts w:ascii="Arial" w:hAnsi="Arial" w:cs="Arial"/>
          <w:iCs/>
          <w:sz w:val="24"/>
          <w:szCs w:val="24"/>
        </w:rPr>
        <w:t xml:space="preserve">, por lo que se abordará el cumplimiento de los requisitos establecidos </w:t>
      </w:r>
      <w:r w:rsidR="0032758B">
        <w:rPr>
          <w:rFonts w:ascii="Arial" w:hAnsi="Arial" w:cs="Arial"/>
          <w:iCs/>
          <w:sz w:val="24"/>
          <w:szCs w:val="24"/>
        </w:rPr>
        <w:t>en la Ley</w:t>
      </w:r>
      <w:r w:rsidR="00255774">
        <w:rPr>
          <w:rFonts w:ascii="Arial" w:hAnsi="Arial" w:cs="Arial"/>
          <w:iCs/>
          <w:sz w:val="24"/>
          <w:szCs w:val="24"/>
        </w:rPr>
        <w:t>.</w:t>
      </w:r>
    </w:p>
    <w:p w:rsidR="008F02F9" w:rsidRDefault="008F02F9" w:rsidP="00744A8D">
      <w:pPr>
        <w:pStyle w:val="Sinespaciado"/>
        <w:spacing w:line="276" w:lineRule="auto"/>
        <w:contextualSpacing/>
        <w:jc w:val="both"/>
        <w:rPr>
          <w:rFonts w:ascii="Arial" w:hAnsi="Arial" w:cs="Arial"/>
          <w:iCs/>
          <w:sz w:val="24"/>
          <w:szCs w:val="24"/>
        </w:rPr>
      </w:pPr>
    </w:p>
    <w:p w:rsidR="008F02F9" w:rsidRDefault="008F02F9" w:rsidP="00744A8D">
      <w:pPr>
        <w:pStyle w:val="Sinespaciado"/>
        <w:spacing w:line="276" w:lineRule="auto"/>
        <w:contextualSpacing/>
        <w:jc w:val="both"/>
        <w:rPr>
          <w:rFonts w:ascii="Arial" w:hAnsi="Arial" w:cs="Arial"/>
          <w:b/>
          <w:iCs/>
          <w:sz w:val="24"/>
          <w:szCs w:val="24"/>
        </w:rPr>
      </w:pPr>
      <w:r w:rsidRPr="008F02F9">
        <w:rPr>
          <w:rFonts w:ascii="Arial" w:hAnsi="Arial" w:cs="Arial"/>
          <w:b/>
          <w:iCs/>
          <w:sz w:val="24"/>
          <w:szCs w:val="24"/>
        </w:rPr>
        <w:t>2.2. De la pensión especial de vejez derivada por el ejercicio de actividades de alto riesgo</w:t>
      </w:r>
      <w:r w:rsidR="00B72A97">
        <w:rPr>
          <w:rFonts w:ascii="Arial" w:hAnsi="Arial" w:cs="Arial"/>
          <w:b/>
          <w:iCs/>
          <w:sz w:val="24"/>
          <w:szCs w:val="24"/>
        </w:rPr>
        <w:t xml:space="preserve"> – Régimen de Transición </w:t>
      </w:r>
    </w:p>
    <w:p w:rsidR="008F02F9" w:rsidRDefault="008F02F9" w:rsidP="00744A8D">
      <w:pPr>
        <w:pStyle w:val="Sinespaciado"/>
        <w:spacing w:line="276" w:lineRule="auto"/>
        <w:contextualSpacing/>
        <w:jc w:val="both"/>
        <w:rPr>
          <w:rFonts w:ascii="Arial" w:hAnsi="Arial" w:cs="Arial"/>
          <w:b/>
          <w:iCs/>
          <w:sz w:val="24"/>
          <w:szCs w:val="24"/>
        </w:rPr>
      </w:pPr>
    </w:p>
    <w:p w:rsidR="008F02F9" w:rsidRDefault="008F02F9" w:rsidP="00744A8D">
      <w:pPr>
        <w:pStyle w:val="Sinespaciado"/>
        <w:spacing w:line="276" w:lineRule="auto"/>
        <w:contextualSpacing/>
        <w:jc w:val="both"/>
        <w:rPr>
          <w:rFonts w:ascii="Arial" w:hAnsi="Arial" w:cs="Arial"/>
          <w:b/>
          <w:iCs/>
          <w:sz w:val="24"/>
          <w:szCs w:val="24"/>
        </w:rPr>
      </w:pPr>
      <w:r>
        <w:rPr>
          <w:rFonts w:ascii="Arial" w:hAnsi="Arial" w:cs="Arial"/>
          <w:b/>
          <w:iCs/>
          <w:sz w:val="24"/>
          <w:szCs w:val="24"/>
        </w:rPr>
        <w:t>2.2.1 Fundamento jurídico</w:t>
      </w:r>
    </w:p>
    <w:p w:rsidR="009C2DCC" w:rsidRDefault="009C2DCC" w:rsidP="00744A8D">
      <w:pPr>
        <w:pStyle w:val="Sinespaciado"/>
        <w:spacing w:line="276" w:lineRule="auto"/>
        <w:contextualSpacing/>
        <w:jc w:val="both"/>
        <w:rPr>
          <w:rFonts w:ascii="Arial" w:hAnsi="Arial" w:cs="Arial"/>
          <w:b/>
          <w:iCs/>
          <w:sz w:val="24"/>
          <w:szCs w:val="24"/>
        </w:rPr>
      </w:pPr>
    </w:p>
    <w:p w:rsidR="009C2DCC" w:rsidRDefault="009C2DCC" w:rsidP="00744A8D">
      <w:pPr>
        <w:pStyle w:val="Sinespaciado"/>
        <w:spacing w:line="276" w:lineRule="auto"/>
        <w:contextualSpacing/>
        <w:jc w:val="both"/>
        <w:rPr>
          <w:rFonts w:ascii="Arial" w:hAnsi="Arial" w:cs="Arial"/>
          <w:iCs/>
          <w:sz w:val="24"/>
          <w:szCs w:val="24"/>
        </w:rPr>
      </w:pPr>
      <w:r>
        <w:rPr>
          <w:rFonts w:ascii="Arial" w:hAnsi="Arial" w:cs="Arial"/>
          <w:iCs/>
          <w:sz w:val="24"/>
          <w:szCs w:val="24"/>
        </w:rPr>
        <w:lastRenderedPageBreak/>
        <w:t xml:space="preserve">Ya se había dicho que el Decreto 2090 de 2003, es el que establece cuáles con las actividades de alto riesgo. Dicha </w:t>
      </w:r>
      <w:r w:rsidR="0032758B">
        <w:rPr>
          <w:rFonts w:ascii="Arial" w:hAnsi="Arial" w:cs="Arial"/>
          <w:iCs/>
          <w:sz w:val="24"/>
          <w:szCs w:val="24"/>
        </w:rPr>
        <w:t>normativa, establece en el artículo 3° la pensión especial de vejez para los afiliados al RPM que se dediquen al ejercicio de las mismas.</w:t>
      </w:r>
    </w:p>
    <w:p w:rsidR="0032758B" w:rsidRDefault="0032758B" w:rsidP="00744A8D">
      <w:pPr>
        <w:pStyle w:val="Sinespaciado"/>
        <w:spacing w:line="276" w:lineRule="auto"/>
        <w:contextualSpacing/>
        <w:jc w:val="both"/>
        <w:rPr>
          <w:rFonts w:ascii="Arial" w:hAnsi="Arial" w:cs="Arial"/>
          <w:iCs/>
          <w:sz w:val="24"/>
          <w:szCs w:val="24"/>
        </w:rPr>
      </w:pPr>
    </w:p>
    <w:p w:rsidR="0032758B" w:rsidRDefault="0032758B" w:rsidP="00744A8D">
      <w:pPr>
        <w:pStyle w:val="Sinespaciado"/>
        <w:spacing w:line="276" w:lineRule="auto"/>
        <w:contextualSpacing/>
        <w:jc w:val="both"/>
        <w:rPr>
          <w:rFonts w:ascii="Arial" w:hAnsi="Arial" w:cs="Arial"/>
          <w:iCs/>
          <w:sz w:val="24"/>
          <w:szCs w:val="24"/>
        </w:rPr>
      </w:pPr>
      <w:r>
        <w:rPr>
          <w:rFonts w:ascii="Arial" w:hAnsi="Arial" w:cs="Arial"/>
          <w:iCs/>
          <w:sz w:val="24"/>
          <w:szCs w:val="24"/>
        </w:rPr>
        <w:t>Así mismo, establece en el artículo 6°,</w:t>
      </w:r>
      <w:r w:rsidR="00380706">
        <w:rPr>
          <w:rFonts w:ascii="Arial" w:hAnsi="Arial" w:cs="Arial"/>
          <w:iCs/>
          <w:sz w:val="24"/>
          <w:szCs w:val="24"/>
        </w:rPr>
        <w:t xml:space="preserve"> en su inciso 1°,</w:t>
      </w:r>
      <w:r>
        <w:rPr>
          <w:rFonts w:ascii="Arial" w:hAnsi="Arial" w:cs="Arial"/>
          <w:iCs/>
          <w:sz w:val="24"/>
          <w:szCs w:val="24"/>
        </w:rPr>
        <w:t xml:space="preserve"> un régimen de transición </w:t>
      </w:r>
      <w:r w:rsidR="00576962">
        <w:rPr>
          <w:rFonts w:ascii="Arial" w:hAnsi="Arial" w:cs="Arial"/>
          <w:iCs/>
          <w:sz w:val="24"/>
          <w:szCs w:val="24"/>
        </w:rPr>
        <w:t>para aquellas personas que a su e</w:t>
      </w:r>
      <w:r w:rsidR="00C45F73">
        <w:rPr>
          <w:rFonts w:ascii="Arial" w:hAnsi="Arial" w:cs="Arial"/>
          <w:iCs/>
          <w:sz w:val="24"/>
          <w:szCs w:val="24"/>
        </w:rPr>
        <w:t>ntrada en vigencia -28/07/2003-, hubieren</w:t>
      </w:r>
      <w:r w:rsidR="00211BA1">
        <w:rPr>
          <w:rFonts w:ascii="Arial" w:hAnsi="Arial" w:cs="Arial"/>
          <w:iCs/>
          <w:sz w:val="24"/>
          <w:szCs w:val="24"/>
        </w:rPr>
        <w:t xml:space="preserve">: </w:t>
      </w:r>
      <w:r w:rsidR="00211BA1" w:rsidRPr="00211BA1">
        <w:rPr>
          <w:rFonts w:ascii="Arial" w:hAnsi="Arial" w:cs="Arial"/>
          <w:i/>
          <w:iCs/>
          <w:sz w:val="24"/>
          <w:szCs w:val="24"/>
        </w:rPr>
        <w:t>i)</w:t>
      </w:r>
      <w:r w:rsidR="00C45F73">
        <w:rPr>
          <w:rFonts w:ascii="Arial" w:hAnsi="Arial" w:cs="Arial"/>
          <w:iCs/>
          <w:sz w:val="24"/>
          <w:szCs w:val="24"/>
        </w:rPr>
        <w:t xml:space="preserve"> cotizado como mínimo 500 semanas de cotización especial, </w:t>
      </w:r>
      <w:r w:rsidR="00211BA1">
        <w:rPr>
          <w:rFonts w:ascii="Arial" w:hAnsi="Arial" w:cs="Arial"/>
          <w:iCs/>
          <w:sz w:val="24"/>
          <w:szCs w:val="24"/>
        </w:rPr>
        <w:t xml:space="preserve">ii) </w:t>
      </w:r>
      <w:r w:rsidR="006049FC">
        <w:rPr>
          <w:rFonts w:ascii="Arial" w:hAnsi="Arial" w:cs="Arial"/>
          <w:iCs/>
          <w:sz w:val="24"/>
          <w:szCs w:val="24"/>
        </w:rPr>
        <w:t>el número mínimo de semanas exigido en la Ley 797/03 para acceder a la pensión de vejez y</w:t>
      </w:r>
      <w:r w:rsidR="00380706">
        <w:rPr>
          <w:rFonts w:ascii="Arial" w:hAnsi="Arial" w:cs="Arial"/>
          <w:iCs/>
          <w:sz w:val="24"/>
          <w:szCs w:val="24"/>
        </w:rPr>
        <w:t>, en el parágrafo</w:t>
      </w:r>
      <w:r w:rsidR="006049FC">
        <w:rPr>
          <w:rFonts w:ascii="Arial" w:hAnsi="Arial" w:cs="Arial"/>
          <w:iCs/>
          <w:sz w:val="24"/>
          <w:szCs w:val="24"/>
        </w:rPr>
        <w:t xml:space="preserve">; (iii) </w:t>
      </w:r>
      <w:r w:rsidR="00C45F73">
        <w:rPr>
          <w:rFonts w:ascii="Arial" w:hAnsi="Arial" w:cs="Arial"/>
          <w:iCs/>
          <w:sz w:val="24"/>
          <w:szCs w:val="24"/>
        </w:rPr>
        <w:t xml:space="preserve">cumplir los requisitos especiales señalados en el artículo 36 de la Ley 100 de 1993; es decir, debe cumplir con </w:t>
      </w:r>
      <w:r w:rsidR="00226B0A">
        <w:rPr>
          <w:rFonts w:ascii="Arial" w:hAnsi="Arial" w:cs="Arial"/>
          <w:iCs/>
          <w:sz w:val="24"/>
          <w:szCs w:val="24"/>
        </w:rPr>
        <w:t xml:space="preserve">las exigencias </w:t>
      </w:r>
      <w:r w:rsidR="00C45F73">
        <w:rPr>
          <w:rFonts w:ascii="Arial" w:hAnsi="Arial" w:cs="Arial"/>
          <w:iCs/>
          <w:sz w:val="24"/>
          <w:szCs w:val="24"/>
        </w:rPr>
        <w:t>de dos disposiciones diferentes y vigentes en el tiempo, para poder ser beneficiario de la transición.</w:t>
      </w:r>
    </w:p>
    <w:p w:rsidR="00C45F73" w:rsidRDefault="00C45F73" w:rsidP="00744A8D">
      <w:pPr>
        <w:pStyle w:val="Sinespaciado"/>
        <w:spacing w:line="276" w:lineRule="auto"/>
        <w:contextualSpacing/>
        <w:jc w:val="both"/>
        <w:rPr>
          <w:rFonts w:ascii="Arial" w:hAnsi="Arial" w:cs="Arial"/>
          <w:iCs/>
          <w:sz w:val="24"/>
          <w:szCs w:val="24"/>
        </w:rPr>
      </w:pPr>
    </w:p>
    <w:p w:rsidR="00ED716E" w:rsidRDefault="00382BD4" w:rsidP="00744A8D">
      <w:pPr>
        <w:pStyle w:val="Sinespaciado"/>
        <w:spacing w:line="276" w:lineRule="auto"/>
        <w:contextualSpacing/>
        <w:jc w:val="both"/>
        <w:rPr>
          <w:rFonts w:ascii="Arial" w:hAnsi="Arial" w:cs="Arial"/>
          <w:iCs/>
          <w:sz w:val="24"/>
          <w:szCs w:val="24"/>
        </w:rPr>
      </w:pPr>
      <w:r>
        <w:rPr>
          <w:rFonts w:ascii="Arial" w:hAnsi="Arial" w:cs="Arial"/>
          <w:iCs/>
          <w:sz w:val="24"/>
          <w:szCs w:val="24"/>
        </w:rPr>
        <w:t xml:space="preserve">Al respecto, </w:t>
      </w:r>
      <w:r w:rsidR="006A7D62">
        <w:rPr>
          <w:rFonts w:ascii="Arial" w:hAnsi="Arial" w:cs="Arial"/>
          <w:iCs/>
          <w:sz w:val="24"/>
          <w:szCs w:val="24"/>
        </w:rPr>
        <w:t xml:space="preserve">sostuvo lo </w:t>
      </w:r>
      <w:proofErr w:type="spellStart"/>
      <w:r w:rsidR="006A7D62">
        <w:rPr>
          <w:rFonts w:ascii="Arial" w:hAnsi="Arial" w:cs="Arial"/>
          <w:iCs/>
          <w:sz w:val="24"/>
          <w:szCs w:val="24"/>
        </w:rPr>
        <w:t>a</w:t>
      </w:r>
      <w:proofErr w:type="spellEnd"/>
      <w:r w:rsidR="006A7D62">
        <w:rPr>
          <w:rFonts w:ascii="Arial" w:hAnsi="Arial" w:cs="Arial"/>
          <w:iCs/>
          <w:sz w:val="24"/>
          <w:szCs w:val="24"/>
        </w:rPr>
        <w:t xml:space="preserve">-quo, que </w:t>
      </w:r>
      <w:r w:rsidR="00DE0105">
        <w:rPr>
          <w:rFonts w:ascii="Arial" w:hAnsi="Arial" w:cs="Arial"/>
          <w:iCs/>
          <w:sz w:val="24"/>
          <w:szCs w:val="24"/>
        </w:rPr>
        <w:t xml:space="preserve">conforme </w:t>
      </w:r>
      <w:r w:rsidR="006A7D62">
        <w:rPr>
          <w:rFonts w:ascii="Arial" w:hAnsi="Arial" w:cs="Arial"/>
          <w:iCs/>
          <w:sz w:val="24"/>
          <w:szCs w:val="24"/>
        </w:rPr>
        <w:t>a lo señalado por</w:t>
      </w:r>
      <w:r w:rsidR="00ED716E">
        <w:rPr>
          <w:rFonts w:ascii="Arial" w:hAnsi="Arial" w:cs="Arial"/>
          <w:iCs/>
          <w:sz w:val="24"/>
          <w:szCs w:val="24"/>
        </w:rPr>
        <w:t xml:space="preserve"> esta Corporación</w:t>
      </w:r>
      <w:r w:rsidR="00ED716E">
        <w:rPr>
          <w:rStyle w:val="Refdenotaalpie"/>
          <w:rFonts w:ascii="Arial" w:hAnsi="Arial" w:cs="Arial"/>
          <w:iCs/>
          <w:sz w:val="24"/>
          <w:szCs w:val="24"/>
        </w:rPr>
        <w:footnoteReference w:id="9"/>
      </w:r>
      <w:r w:rsidR="00ED716E">
        <w:rPr>
          <w:rFonts w:ascii="Arial" w:hAnsi="Arial" w:cs="Arial"/>
          <w:iCs/>
          <w:sz w:val="24"/>
          <w:szCs w:val="24"/>
        </w:rPr>
        <w:t xml:space="preserve"> </w:t>
      </w:r>
      <w:r w:rsidR="006A7D62">
        <w:rPr>
          <w:rFonts w:ascii="Arial" w:hAnsi="Arial" w:cs="Arial"/>
          <w:iCs/>
          <w:sz w:val="24"/>
          <w:szCs w:val="24"/>
        </w:rPr>
        <w:t xml:space="preserve">y </w:t>
      </w:r>
      <w:r w:rsidR="00ED716E">
        <w:rPr>
          <w:rFonts w:ascii="Arial" w:hAnsi="Arial" w:cs="Arial"/>
          <w:iCs/>
          <w:sz w:val="24"/>
          <w:szCs w:val="24"/>
        </w:rPr>
        <w:t xml:space="preserve">en atención a lo </w:t>
      </w:r>
      <w:r w:rsidR="00DF1B91">
        <w:rPr>
          <w:rFonts w:ascii="Arial" w:hAnsi="Arial" w:cs="Arial"/>
          <w:iCs/>
          <w:sz w:val="24"/>
          <w:szCs w:val="24"/>
        </w:rPr>
        <w:t>expuesto</w:t>
      </w:r>
      <w:r w:rsidR="00ED716E">
        <w:rPr>
          <w:rFonts w:ascii="Arial" w:hAnsi="Arial" w:cs="Arial"/>
          <w:iCs/>
          <w:sz w:val="24"/>
          <w:szCs w:val="24"/>
        </w:rPr>
        <w:t xml:space="preserve"> por la Corte Constitucional en sentencia C-663-07, en virtud del </w:t>
      </w:r>
      <w:r w:rsidR="006A7D62">
        <w:rPr>
          <w:rFonts w:ascii="Arial" w:hAnsi="Arial" w:cs="Arial"/>
          <w:iCs/>
          <w:sz w:val="24"/>
          <w:szCs w:val="24"/>
        </w:rPr>
        <w:t>principio de favorabilidad, debía</w:t>
      </w:r>
      <w:r w:rsidR="00ED716E">
        <w:rPr>
          <w:rFonts w:ascii="Arial" w:hAnsi="Arial" w:cs="Arial"/>
          <w:iCs/>
          <w:sz w:val="24"/>
          <w:szCs w:val="24"/>
        </w:rPr>
        <w:t xml:space="preserve"> aplicarse el régi</w:t>
      </w:r>
      <w:r w:rsidR="006A7D62">
        <w:rPr>
          <w:rFonts w:ascii="Arial" w:hAnsi="Arial" w:cs="Arial"/>
          <w:iCs/>
          <w:sz w:val="24"/>
          <w:szCs w:val="24"/>
        </w:rPr>
        <w:t>men de transición que le resultara</w:t>
      </w:r>
      <w:r w:rsidR="00ED716E">
        <w:rPr>
          <w:rFonts w:ascii="Arial" w:hAnsi="Arial" w:cs="Arial"/>
          <w:iCs/>
          <w:sz w:val="24"/>
          <w:szCs w:val="24"/>
        </w:rPr>
        <w:t xml:space="preserve"> más benéfico al trabajador, siendo este, el establecido por la Ley 100/93, que </w:t>
      </w:r>
      <w:r w:rsidR="00DE0105">
        <w:rPr>
          <w:rFonts w:ascii="Arial" w:hAnsi="Arial" w:cs="Arial"/>
          <w:iCs/>
          <w:sz w:val="24"/>
          <w:szCs w:val="24"/>
        </w:rPr>
        <w:t xml:space="preserve">señala </w:t>
      </w:r>
      <w:r w:rsidR="00ED716E">
        <w:rPr>
          <w:rFonts w:ascii="Arial" w:hAnsi="Arial" w:cs="Arial"/>
          <w:iCs/>
          <w:sz w:val="24"/>
          <w:szCs w:val="24"/>
        </w:rPr>
        <w:t>que a la entrada en vigencia de esa ley, los hombres cuenten con 40 años de edad o 15 años de servicios.</w:t>
      </w:r>
    </w:p>
    <w:p w:rsidR="006A7D62" w:rsidRDefault="006A7D62" w:rsidP="00744A8D">
      <w:pPr>
        <w:pStyle w:val="Sinespaciado"/>
        <w:spacing w:line="276" w:lineRule="auto"/>
        <w:contextualSpacing/>
        <w:jc w:val="both"/>
        <w:rPr>
          <w:rFonts w:ascii="Arial" w:hAnsi="Arial" w:cs="Arial"/>
          <w:iCs/>
          <w:sz w:val="24"/>
          <w:szCs w:val="24"/>
        </w:rPr>
      </w:pPr>
    </w:p>
    <w:p w:rsidR="00275CCA" w:rsidRPr="00DE0105" w:rsidRDefault="006A7D62" w:rsidP="00744A8D">
      <w:pPr>
        <w:pStyle w:val="Sinespaciado"/>
        <w:spacing w:line="276" w:lineRule="auto"/>
        <w:contextualSpacing/>
        <w:jc w:val="both"/>
        <w:rPr>
          <w:rFonts w:ascii="Arial" w:hAnsi="Arial" w:cs="Arial"/>
          <w:color w:val="000000"/>
          <w:sz w:val="24"/>
          <w:szCs w:val="24"/>
        </w:rPr>
      </w:pPr>
      <w:r w:rsidRPr="006A7D62">
        <w:rPr>
          <w:rFonts w:ascii="Arial" w:hAnsi="Arial" w:cs="Arial"/>
          <w:iCs/>
          <w:sz w:val="24"/>
          <w:szCs w:val="24"/>
        </w:rPr>
        <w:t xml:space="preserve">Sin embargo, analizada con detenimiento la sentencia de constitucionalidad citada, la </w:t>
      </w:r>
      <w:r w:rsidRPr="006A7D62">
        <w:rPr>
          <w:rFonts w:ascii="Arial" w:hAnsi="Arial" w:cs="Arial"/>
          <w:i/>
          <w:iCs/>
          <w:sz w:val="24"/>
          <w:szCs w:val="24"/>
        </w:rPr>
        <w:t xml:space="preserve">ratio </w:t>
      </w:r>
      <w:proofErr w:type="spellStart"/>
      <w:r w:rsidRPr="006A7D62">
        <w:rPr>
          <w:rFonts w:ascii="Arial" w:hAnsi="Arial" w:cs="Arial"/>
          <w:i/>
          <w:iCs/>
          <w:sz w:val="24"/>
          <w:szCs w:val="24"/>
        </w:rPr>
        <w:t>decidendi</w:t>
      </w:r>
      <w:proofErr w:type="spellEnd"/>
      <w:r w:rsidRPr="006A7D62">
        <w:rPr>
          <w:rFonts w:ascii="Arial" w:hAnsi="Arial" w:cs="Arial"/>
          <w:iCs/>
          <w:sz w:val="24"/>
          <w:szCs w:val="24"/>
        </w:rPr>
        <w:t xml:space="preserve"> de la misma, está relacionada con la declaratoria de </w:t>
      </w:r>
      <w:proofErr w:type="spellStart"/>
      <w:r w:rsidRPr="006A7D62">
        <w:rPr>
          <w:rFonts w:ascii="Arial" w:hAnsi="Arial" w:cs="Arial"/>
          <w:iCs/>
          <w:sz w:val="24"/>
          <w:szCs w:val="24"/>
        </w:rPr>
        <w:t>exequibilidad</w:t>
      </w:r>
      <w:proofErr w:type="spellEnd"/>
      <w:r w:rsidRPr="006A7D62">
        <w:rPr>
          <w:rFonts w:ascii="Arial" w:hAnsi="Arial" w:cs="Arial"/>
          <w:iCs/>
          <w:sz w:val="24"/>
          <w:szCs w:val="24"/>
        </w:rPr>
        <w:t xml:space="preserve"> condicionada del artículo 6° del Decreto 2090/03, en cuanto al requisito de las 500 semanas de “cotización especial”, toda vez que es imposible de cumplir por razones meramente cronológicas</w:t>
      </w:r>
      <w:r w:rsidR="00F66F64">
        <w:rPr>
          <w:rFonts w:ascii="Arial" w:hAnsi="Arial" w:cs="Arial"/>
          <w:iCs/>
          <w:sz w:val="24"/>
          <w:szCs w:val="24"/>
        </w:rPr>
        <w:t>;</w:t>
      </w:r>
      <w:r w:rsidRPr="006A7D62">
        <w:rPr>
          <w:rFonts w:ascii="Arial" w:hAnsi="Arial" w:cs="Arial"/>
          <w:iCs/>
          <w:sz w:val="24"/>
          <w:szCs w:val="24"/>
        </w:rPr>
        <w:t xml:space="preserve"> de tal manera que el calificativo de “especial”, debía ser interpretado de la manera más favorable, esto es, permitiendo la contabilización de todas las semanas </w:t>
      </w:r>
      <w:r w:rsidRPr="00275CCA">
        <w:rPr>
          <w:rFonts w:ascii="Arial" w:hAnsi="Arial" w:cs="Arial"/>
          <w:color w:val="000000"/>
          <w:sz w:val="24"/>
          <w:szCs w:val="24"/>
        </w:rPr>
        <w:t>que pueda acreditar el trabajador efectuadas en cualquier actividad previa a ese decreto, que hubieren sido calificada</w:t>
      </w:r>
      <w:r w:rsidR="00F66F64">
        <w:rPr>
          <w:rFonts w:ascii="Arial" w:hAnsi="Arial" w:cs="Arial"/>
          <w:color w:val="000000"/>
          <w:sz w:val="24"/>
          <w:szCs w:val="24"/>
        </w:rPr>
        <w:t>s</w:t>
      </w:r>
      <w:r w:rsidRPr="00275CCA">
        <w:rPr>
          <w:rFonts w:ascii="Arial" w:hAnsi="Arial" w:cs="Arial"/>
          <w:color w:val="000000"/>
          <w:sz w:val="24"/>
          <w:szCs w:val="24"/>
        </w:rPr>
        <w:t xml:space="preserve"> jurídicamente como de alto riesgo y no sólo las cotizaciones de carácter “especial” derivadas del Decreto 1281 de 1994</w:t>
      </w:r>
      <w:r w:rsidR="00F66F64">
        <w:rPr>
          <w:rFonts w:ascii="Arial" w:hAnsi="Arial" w:cs="Arial"/>
          <w:color w:val="000000"/>
          <w:sz w:val="24"/>
          <w:szCs w:val="24"/>
        </w:rPr>
        <w:t xml:space="preserve">; intelección que dista de aquella que afirma que </w:t>
      </w:r>
      <w:r w:rsidR="00275CCA">
        <w:rPr>
          <w:rFonts w:ascii="Arial" w:hAnsi="Arial" w:cs="Arial"/>
          <w:color w:val="000000"/>
          <w:sz w:val="24"/>
          <w:szCs w:val="24"/>
        </w:rPr>
        <w:t>el régimen de transición consagrado en el artículo 36 de la Ley 100/93, conforme al principio de favorabilidad, debía ser aplicado por ser más benéfico para el trabajador</w:t>
      </w:r>
      <w:r w:rsidR="00DE4043">
        <w:rPr>
          <w:rFonts w:ascii="Arial" w:hAnsi="Arial" w:cs="Arial"/>
          <w:color w:val="000000"/>
          <w:sz w:val="24"/>
          <w:szCs w:val="24"/>
        </w:rPr>
        <w:t>, pues esto solo constitu</w:t>
      </w:r>
      <w:r w:rsidR="00DE0105">
        <w:rPr>
          <w:rFonts w:ascii="Arial" w:hAnsi="Arial" w:cs="Arial"/>
          <w:color w:val="000000"/>
          <w:sz w:val="24"/>
          <w:szCs w:val="24"/>
        </w:rPr>
        <w:t xml:space="preserve">ye un dicho de paso en la misma, al traer a colación y a título ilustrativo, </w:t>
      </w:r>
      <w:r w:rsidR="00DE0105" w:rsidRPr="00DE0105">
        <w:rPr>
          <w:rFonts w:ascii="Arial" w:hAnsi="Arial" w:cs="Arial"/>
          <w:color w:val="000000"/>
          <w:sz w:val="24"/>
          <w:szCs w:val="24"/>
        </w:rPr>
        <w:t xml:space="preserve">un </w:t>
      </w:r>
      <w:r w:rsidR="00DE0105" w:rsidRPr="00DE0105">
        <w:rPr>
          <w:rFonts w:ascii="Arial" w:hAnsi="Arial" w:cs="Arial"/>
          <w:sz w:val="24"/>
          <w:szCs w:val="24"/>
          <w:lang w:val="es-CO"/>
        </w:rPr>
        <w:t xml:space="preserve">caso hipotético en que un trabajador se </w:t>
      </w:r>
      <w:r w:rsidR="00F86980">
        <w:rPr>
          <w:rFonts w:ascii="Arial" w:hAnsi="Arial" w:cs="Arial"/>
          <w:sz w:val="24"/>
          <w:szCs w:val="24"/>
          <w:lang w:val="es-CO"/>
        </w:rPr>
        <w:t xml:space="preserve">viera </w:t>
      </w:r>
      <w:r w:rsidR="00DE0105" w:rsidRPr="00DE0105">
        <w:rPr>
          <w:rFonts w:ascii="Arial" w:hAnsi="Arial" w:cs="Arial"/>
          <w:sz w:val="24"/>
          <w:szCs w:val="24"/>
          <w:lang w:val="es-CO"/>
        </w:rPr>
        <w:t>amparado po</w:t>
      </w:r>
      <w:r w:rsidR="00DE0105">
        <w:rPr>
          <w:rFonts w:ascii="Arial" w:hAnsi="Arial" w:cs="Arial"/>
          <w:sz w:val="24"/>
          <w:szCs w:val="24"/>
          <w:lang w:val="es-CO"/>
        </w:rPr>
        <w:t>r ambos regímenes de transición.</w:t>
      </w:r>
    </w:p>
    <w:p w:rsidR="00F5295F" w:rsidRDefault="00F5295F" w:rsidP="00744A8D">
      <w:pPr>
        <w:pStyle w:val="Sinespaciado"/>
        <w:spacing w:line="276" w:lineRule="auto"/>
        <w:contextualSpacing/>
        <w:jc w:val="both"/>
        <w:rPr>
          <w:rFonts w:ascii="Arial" w:hAnsi="Arial" w:cs="Arial"/>
          <w:color w:val="000000"/>
          <w:sz w:val="24"/>
          <w:szCs w:val="24"/>
        </w:rPr>
      </w:pPr>
    </w:p>
    <w:p w:rsidR="00F5295F" w:rsidRPr="006A7D62" w:rsidRDefault="00F5295F" w:rsidP="00744A8D">
      <w:pPr>
        <w:pStyle w:val="Sinespaciado"/>
        <w:spacing w:line="276" w:lineRule="auto"/>
        <w:contextualSpacing/>
        <w:jc w:val="both"/>
        <w:rPr>
          <w:rFonts w:ascii="Arial" w:hAnsi="Arial" w:cs="Arial"/>
          <w:iCs/>
          <w:sz w:val="24"/>
          <w:szCs w:val="24"/>
        </w:rPr>
      </w:pPr>
      <w:r>
        <w:rPr>
          <w:rFonts w:ascii="Arial" w:hAnsi="Arial" w:cs="Arial"/>
          <w:color w:val="000000"/>
          <w:sz w:val="24"/>
          <w:szCs w:val="24"/>
        </w:rPr>
        <w:t>Por lo tanto, deben cumplirse todos los requisitos señalados en el artículo 6° del Decreto 2090/03, incluido el de su parágrafo</w:t>
      </w:r>
      <w:r w:rsidR="00A40056">
        <w:rPr>
          <w:rFonts w:ascii="Arial" w:hAnsi="Arial" w:cs="Arial"/>
          <w:color w:val="000000"/>
          <w:sz w:val="24"/>
          <w:szCs w:val="24"/>
        </w:rPr>
        <w:t>, que se refiere a los requisitos del régimen de transición de la Ley 100/93.</w:t>
      </w:r>
    </w:p>
    <w:p w:rsidR="00ED716E" w:rsidRDefault="00ED716E" w:rsidP="00744A8D">
      <w:pPr>
        <w:pStyle w:val="Sinespaciado"/>
        <w:spacing w:line="276" w:lineRule="auto"/>
        <w:contextualSpacing/>
        <w:jc w:val="both"/>
        <w:rPr>
          <w:rFonts w:ascii="Arial" w:hAnsi="Arial" w:cs="Arial"/>
          <w:iCs/>
          <w:sz w:val="24"/>
          <w:szCs w:val="24"/>
        </w:rPr>
      </w:pPr>
    </w:p>
    <w:p w:rsidR="00F5295F" w:rsidRDefault="00ED716E" w:rsidP="00744A8D">
      <w:pPr>
        <w:pStyle w:val="Sinespaciado"/>
        <w:spacing w:line="276" w:lineRule="auto"/>
        <w:contextualSpacing/>
        <w:jc w:val="both"/>
        <w:rPr>
          <w:rFonts w:ascii="Arial" w:hAnsi="Arial" w:cs="Arial"/>
          <w:iCs/>
          <w:sz w:val="24"/>
          <w:szCs w:val="24"/>
        </w:rPr>
      </w:pPr>
      <w:r>
        <w:rPr>
          <w:rFonts w:ascii="Arial" w:hAnsi="Arial" w:cs="Arial"/>
          <w:iCs/>
          <w:sz w:val="24"/>
          <w:szCs w:val="24"/>
        </w:rPr>
        <w:t xml:space="preserve">En el caso concreto, el señor José William Morales Restrepo, </w:t>
      </w:r>
      <w:r w:rsidR="004753E8">
        <w:rPr>
          <w:rFonts w:ascii="Arial" w:hAnsi="Arial" w:cs="Arial"/>
          <w:iCs/>
          <w:sz w:val="24"/>
          <w:szCs w:val="24"/>
        </w:rPr>
        <w:t xml:space="preserve">según el contenido de las distintas historias laborales que reposan en el expediente, </w:t>
      </w:r>
      <w:r>
        <w:rPr>
          <w:rFonts w:ascii="Arial" w:hAnsi="Arial" w:cs="Arial"/>
          <w:iCs/>
          <w:sz w:val="24"/>
          <w:szCs w:val="24"/>
        </w:rPr>
        <w:t xml:space="preserve">para el </w:t>
      </w:r>
      <w:r w:rsidR="00F5295F">
        <w:rPr>
          <w:rFonts w:ascii="Arial" w:hAnsi="Arial" w:cs="Arial"/>
          <w:iCs/>
          <w:sz w:val="24"/>
          <w:szCs w:val="24"/>
        </w:rPr>
        <w:t>28/07/2003</w:t>
      </w:r>
      <w:r w:rsidR="00F5295F">
        <w:rPr>
          <w:rStyle w:val="Refdenotaalpie"/>
          <w:rFonts w:ascii="Arial" w:hAnsi="Arial" w:cs="Arial"/>
          <w:iCs/>
          <w:sz w:val="24"/>
          <w:szCs w:val="24"/>
        </w:rPr>
        <w:footnoteReference w:id="10"/>
      </w:r>
      <w:r w:rsidR="00F5295F">
        <w:rPr>
          <w:rFonts w:ascii="Arial" w:hAnsi="Arial" w:cs="Arial"/>
          <w:iCs/>
          <w:sz w:val="24"/>
          <w:szCs w:val="24"/>
        </w:rPr>
        <w:t>, contaba con 1750,06 semanas cotizadas, las que lo fueron en virtud de la actividad desempeñada en la Vidriera de Caldas S.A., de la cual ya se dijo que había quedado ac</w:t>
      </w:r>
      <w:r w:rsidR="00C7499B">
        <w:rPr>
          <w:rFonts w:ascii="Arial" w:hAnsi="Arial" w:cs="Arial"/>
          <w:iCs/>
          <w:sz w:val="24"/>
          <w:szCs w:val="24"/>
        </w:rPr>
        <w:t>red</w:t>
      </w:r>
      <w:r w:rsidR="00F86980">
        <w:rPr>
          <w:rFonts w:ascii="Arial" w:hAnsi="Arial" w:cs="Arial"/>
          <w:iCs/>
          <w:sz w:val="24"/>
          <w:szCs w:val="24"/>
        </w:rPr>
        <w:t xml:space="preserve">itada que era de alto riesgo, con lo cual </w:t>
      </w:r>
      <w:r w:rsidR="00724D49">
        <w:rPr>
          <w:rFonts w:ascii="Arial" w:hAnsi="Arial" w:cs="Arial"/>
          <w:iCs/>
          <w:sz w:val="24"/>
          <w:szCs w:val="24"/>
        </w:rPr>
        <w:t xml:space="preserve">cumple con las </w:t>
      </w:r>
      <w:r w:rsidR="00724D49">
        <w:rPr>
          <w:rFonts w:ascii="Arial" w:hAnsi="Arial" w:cs="Arial"/>
          <w:iCs/>
          <w:sz w:val="24"/>
          <w:szCs w:val="24"/>
        </w:rPr>
        <w:lastRenderedPageBreak/>
        <w:t>exigencia</w:t>
      </w:r>
      <w:r w:rsidR="009129AD">
        <w:rPr>
          <w:rFonts w:ascii="Arial" w:hAnsi="Arial" w:cs="Arial"/>
          <w:iCs/>
          <w:sz w:val="24"/>
          <w:szCs w:val="24"/>
        </w:rPr>
        <w:t>s del inciso 1° del artículo 6 del Decreto 2090/03, para ser beneficiario del régimen de transición</w:t>
      </w:r>
      <w:r w:rsidR="00724D49">
        <w:rPr>
          <w:rFonts w:ascii="Arial" w:hAnsi="Arial" w:cs="Arial"/>
          <w:iCs/>
          <w:sz w:val="24"/>
          <w:szCs w:val="24"/>
        </w:rPr>
        <w:t>.</w:t>
      </w:r>
    </w:p>
    <w:p w:rsidR="00F5295F" w:rsidRDefault="00F5295F" w:rsidP="00744A8D">
      <w:pPr>
        <w:pStyle w:val="Sinespaciado"/>
        <w:spacing w:line="276" w:lineRule="auto"/>
        <w:contextualSpacing/>
        <w:jc w:val="both"/>
        <w:rPr>
          <w:rFonts w:ascii="Arial" w:hAnsi="Arial" w:cs="Arial"/>
          <w:iCs/>
          <w:sz w:val="24"/>
          <w:szCs w:val="24"/>
        </w:rPr>
      </w:pPr>
    </w:p>
    <w:p w:rsidR="00724D49" w:rsidRDefault="00724D49" w:rsidP="00744A8D">
      <w:pPr>
        <w:pStyle w:val="Sinespaciado"/>
        <w:spacing w:line="276" w:lineRule="auto"/>
        <w:contextualSpacing/>
        <w:jc w:val="both"/>
        <w:rPr>
          <w:rFonts w:ascii="Arial" w:hAnsi="Arial" w:cs="Arial"/>
          <w:iCs/>
          <w:sz w:val="24"/>
          <w:szCs w:val="24"/>
        </w:rPr>
      </w:pPr>
      <w:r>
        <w:rPr>
          <w:rFonts w:ascii="Arial" w:hAnsi="Arial" w:cs="Arial"/>
          <w:iCs/>
          <w:sz w:val="24"/>
          <w:szCs w:val="24"/>
        </w:rPr>
        <w:t>Ahora, la transición del artículo 36 de la Ley 100/93, se obtiene por acreditar 15 años de servicios o 40 años de edad en el caso de los hombres o 35 años en el caso de las mujeres, al 01/04/1994.</w:t>
      </w:r>
    </w:p>
    <w:p w:rsidR="00F5295F" w:rsidRDefault="00F5295F" w:rsidP="00744A8D">
      <w:pPr>
        <w:pStyle w:val="Sinespaciado"/>
        <w:spacing w:line="276" w:lineRule="auto"/>
        <w:contextualSpacing/>
        <w:jc w:val="both"/>
        <w:rPr>
          <w:rFonts w:ascii="Arial" w:hAnsi="Arial" w:cs="Arial"/>
          <w:iCs/>
          <w:sz w:val="24"/>
          <w:szCs w:val="24"/>
        </w:rPr>
      </w:pPr>
    </w:p>
    <w:p w:rsidR="004753E8" w:rsidRDefault="00724D49" w:rsidP="00744A8D">
      <w:pPr>
        <w:pStyle w:val="Sinespaciado"/>
        <w:spacing w:line="276" w:lineRule="auto"/>
        <w:contextualSpacing/>
        <w:jc w:val="both"/>
        <w:rPr>
          <w:rFonts w:ascii="Arial" w:hAnsi="Arial" w:cs="Arial"/>
          <w:iCs/>
          <w:sz w:val="24"/>
          <w:szCs w:val="24"/>
        </w:rPr>
      </w:pPr>
      <w:r>
        <w:rPr>
          <w:rFonts w:ascii="Arial" w:hAnsi="Arial" w:cs="Arial"/>
          <w:iCs/>
          <w:sz w:val="24"/>
          <w:szCs w:val="24"/>
        </w:rPr>
        <w:t xml:space="preserve">Bien. Para esa calenda, el señor José William Morales </w:t>
      </w:r>
      <w:r w:rsidR="00ED716E">
        <w:rPr>
          <w:rFonts w:ascii="Arial" w:hAnsi="Arial" w:cs="Arial"/>
          <w:iCs/>
          <w:sz w:val="24"/>
          <w:szCs w:val="24"/>
        </w:rPr>
        <w:t xml:space="preserve">tenía </w:t>
      </w:r>
      <w:r w:rsidR="004753E8">
        <w:rPr>
          <w:rFonts w:ascii="Arial" w:hAnsi="Arial" w:cs="Arial"/>
          <w:iCs/>
          <w:sz w:val="24"/>
          <w:szCs w:val="24"/>
        </w:rPr>
        <w:t>1.303,53 semanas cotizadas, por lo que es evidente que accedió a</w:t>
      </w:r>
      <w:r w:rsidR="00DF1B91">
        <w:rPr>
          <w:rFonts w:ascii="Arial" w:hAnsi="Arial" w:cs="Arial"/>
          <w:iCs/>
          <w:sz w:val="24"/>
          <w:szCs w:val="24"/>
        </w:rPr>
        <w:t>l</w:t>
      </w:r>
      <w:r w:rsidR="004753E8">
        <w:rPr>
          <w:rFonts w:ascii="Arial" w:hAnsi="Arial" w:cs="Arial"/>
          <w:iCs/>
          <w:sz w:val="24"/>
          <w:szCs w:val="24"/>
        </w:rPr>
        <w:t xml:space="preserve"> beneficio</w:t>
      </w:r>
      <w:r w:rsidR="00DF1B91">
        <w:rPr>
          <w:rFonts w:ascii="Arial" w:hAnsi="Arial" w:cs="Arial"/>
          <w:iCs/>
          <w:sz w:val="24"/>
          <w:szCs w:val="24"/>
        </w:rPr>
        <w:t xml:space="preserve"> de transición</w:t>
      </w:r>
      <w:r w:rsidR="004753E8">
        <w:rPr>
          <w:rFonts w:ascii="Arial" w:hAnsi="Arial" w:cs="Arial"/>
          <w:iCs/>
          <w:sz w:val="24"/>
          <w:szCs w:val="24"/>
        </w:rPr>
        <w:t xml:space="preserve">, el cual no se vio afectado con el traslado que realizó al </w:t>
      </w:r>
      <w:proofErr w:type="spellStart"/>
      <w:r w:rsidR="004753E8">
        <w:rPr>
          <w:rFonts w:ascii="Arial" w:hAnsi="Arial" w:cs="Arial"/>
          <w:iCs/>
          <w:sz w:val="24"/>
          <w:szCs w:val="24"/>
        </w:rPr>
        <w:t>RAIS</w:t>
      </w:r>
      <w:proofErr w:type="spellEnd"/>
      <w:r w:rsidR="004753E8">
        <w:rPr>
          <w:rFonts w:ascii="Arial" w:hAnsi="Arial" w:cs="Arial"/>
          <w:iCs/>
          <w:sz w:val="24"/>
          <w:szCs w:val="24"/>
        </w:rPr>
        <w:t xml:space="preserve">, </w:t>
      </w:r>
      <w:r w:rsidR="005D435A">
        <w:rPr>
          <w:rFonts w:ascii="Arial" w:hAnsi="Arial" w:cs="Arial"/>
          <w:iCs/>
          <w:sz w:val="24"/>
          <w:szCs w:val="24"/>
        </w:rPr>
        <w:t xml:space="preserve">como lo sugiere la apoderada de </w:t>
      </w:r>
      <w:proofErr w:type="spellStart"/>
      <w:r w:rsidR="005D435A">
        <w:rPr>
          <w:rFonts w:ascii="Arial" w:hAnsi="Arial" w:cs="Arial"/>
          <w:iCs/>
          <w:sz w:val="24"/>
          <w:szCs w:val="24"/>
        </w:rPr>
        <w:t>Colpensiones</w:t>
      </w:r>
      <w:proofErr w:type="spellEnd"/>
      <w:r w:rsidR="005D435A">
        <w:rPr>
          <w:rFonts w:ascii="Arial" w:hAnsi="Arial" w:cs="Arial"/>
          <w:iCs/>
          <w:sz w:val="24"/>
          <w:szCs w:val="24"/>
        </w:rPr>
        <w:t xml:space="preserve"> en su alzada; por las razones que se explicaran a continuación.</w:t>
      </w:r>
    </w:p>
    <w:p w:rsidR="004300B6" w:rsidRDefault="00407542" w:rsidP="00744A8D">
      <w:pPr>
        <w:pStyle w:val="Sinespaciado"/>
        <w:spacing w:line="276" w:lineRule="auto"/>
        <w:contextualSpacing/>
        <w:jc w:val="both"/>
        <w:rPr>
          <w:rFonts w:ascii="Arial" w:hAnsi="Arial" w:cs="Arial"/>
          <w:iCs/>
          <w:sz w:val="24"/>
          <w:szCs w:val="24"/>
        </w:rPr>
      </w:pPr>
      <w:r>
        <w:rPr>
          <w:rFonts w:ascii="Arial" w:hAnsi="Arial" w:cs="Arial"/>
          <w:iCs/>
          <w:sz w:val="24"/>
          <w:szCs w:val="24"/>
        </w:rPr>
        <w:t>El artículo 9</w:t>
      </w:r>
      <w:r w:rsidR="00867C90">
        <w:rPr>
          <w:rFonts w:ascii="Arial" w:hAnsi="Arial" w:cs="Arial"/>
          <w:iCs/>
          <w:sz w:val="24"/>
          <w:szCs w:val="24"/>
        </w:rPr>
        <w:t>°</w:t>
      </w:r>
      <w:r>
        <w:rPr>
          <w:rFonts w:ascii="Arial" w:hAnsi="Arial" w:cs="Arial"/>
          <w:iCs/>
          <w:sz w:val="24"/>
          <w:szCs w:val="24"/>
        </w:rPr>
        <w:t xml:space="preserve"> del Decreto 2090 de 2003, reguló las reglas que definían lo atinente al traslado </w:t>
      </w:r>
      <w:r w:rsidR="004300B6">
        <w:rPr>
          <w:rFonts w:ascii="Arial" w:hAnsi="Arial" w:cs="Arial"/>
          <w:iCs/>
          <w:sz w:val="24"/>
          <w:szCs w:val="24"/>
        </w:rPr>
        <w:t xml:space="preserve">del </w:t>
      </w:r>
      <w:proofErr w:type="spellStart"/>
      <w:r w:rsidR="004300B6">
        <w:rPr>
          <w:rFonts w:ascii="Arial" w:hAnsi="Arial" w:cs="Arial"/>
          <w:iCs/>
          <w:sz w:val="24"/>
          <w:szCs w:val="24"/>
        </w:rPr>
        <w:t>RAIS</w:t>
      </w:r>
      <w:proofErr w:type="spellEnd"/>
      <w:r w:rsidR="004300B6">
        <w:rPr>
          <w:rFonts w:ascii="Arial" w:hAnsi="Arial" w:cs="Arial"/>
          <w:iCs/>
          <w:sz w:val="24"/>
          <w:szCs w:val="24"/>
        </w:rPr>
        <w:t xml:space="preserve"> al RPM </w:t>
      </w:r>
      <w:r>
        <w:rPr>
          <w:rFonts w:ascii="Arial" w:hAnsi="Arial" w:cs="Arial"/>
          <w:iCs/>
          <w:sz w:val="24"/>
          <w:szCs w:val="24"/>
        </w:rPr>
        <w:t>par</w:t>
      </w:r>
      <w:r w:rsidR="004300B6">
        <w:rPr>
          <w:rFonts w:ascii="Arial" w:hAnsi="Arial" w:cs="Arial"/>
          <w:iCs/>
          <w:sz w:val="24"/>
          <w:szCs w:val="24"/>
        </w:rPr>
        <w:t>a</w:t>
      </w:r>
      <w:r>
        <w:rPr>
          <w:rFonts w:ascii="Arial" w:hAnsi="Arial" w:cs="Arial"/>
          <w:iCs/>
          <w:sz w:val="24"/>
          <w:szCs w:val="24"/>
        </w:rPr>
        <w:t xml:space="preserve"> los trabajadores que desempeñaban actividades de alto riesgo y señaló que el mismo debía darse dentro de los 3 meses siguientes a la fecha de su publicación</w:t>
      </w:r>
      <w:r w:rsidR="00DF1B91">
        <w:rPr>
          <w:rFonts w:ascii="Arial" w:hAnsi="Arial" w:cs="Arial"/>
          <w:iCs/>
          <w:sz w:val="24"/>
          <w:szCs w:val="24"/>
        </w:rPr>
        <w:t>,</w:t>
      </w:r>
      <w:r>
        <w:rPr>
          <w:rFonts w:ascii="Arial" w:hAnsi="Arial" w:cs="Arial"/>
          <w:iCs/>
          <w:sz w:val="24"/>
          <w:szCs w:val="24"/>
        </w:rPr>
        <w:t xml:space="preserve"> que lo fue el 28/07/2003, pero con el fin de no exigírseles </w:t>
      </w:r>
      <w:r w:rsidR="00867C90">
        <w:rPr>
          <w:rFonts w:ascii="Arial" w:hAnsi="Arial" w:cs="Arial"/>
          <w:iCs/>
          <w:sz w:val="24"/>
          <w:szCs w:val="24"/>
        </w:rPr>
        <w:t xml:space="preserve">el término de permanencia señalado en el literal e) del artículo 13 de la Ley 100/93, modificado por el artículo 2° de la Ley 797/03 y tampoco que se hiciera cuando </w:t>
      </w:r>
      <w:r w:rsidR="004300B6">
        <w:rPr>
          <w:rFonts w:ascii="Arial" w:hAnsi="Arial" w:cs="Arial"/>
          <w:iCs/>
          <w:sz w:val="24"/>
          <w:szCs w:val="24"/>
        </w:rPr>
        <w:t>les faltare más de 10 años para arribar a la edad mínima para pensionarse; por lo que en principio podría tener razón la recurrente.</w:t>
      </w:r>
    </w:p>
    <w:p w:rsidR="004300B6" w:rsidRDefault="004300B6" w:rsidP="00744A8D">
      <w:pPr>
        <w:pStyle w:val="Sinespaciado"/>
        <w:spacing w:line="276" w:lineRule="auto"/>
        <w:contextualSpacing/>
        <w:jc w:val="both"/>
        <w:rPr>
          <w:rFonts w:ascii="Arial" w:hAnsi="Arial" w:cs="Arial"/>
          <w:iCs/>
          <w:sz w:val="24"/>
          <w:szCs w:val="24"/>
        </w:rPr>
      </w:pPr>
    </w:p>
    <w:p w:rsidR="004300B6" w:rsidRDefault="004300B6" w:rsidP="004300B6">
      <w:pPr>
        <w:pStyle w:val="Sinespaciado"/>
        <w:spacing w:line="276" w:lineRule="auto"/>
        <w:contextualSpacing/>
        <w:jc w:val="both"/>
        <w:rPr>
          <w:rFonts w:ascii="Arial" w:hAnsi="Arial" w:cs="Arial"/>
          <w:b/>
          <w:color w:val="000000"/>
          <w:sz w:val="24"/>
          <w:szCs w:val="24"/>
          <w:shd w:val="clear" w:color="auto" w:fill="FFFFFF"/>
        </w:rPr>
      </w:pPr>
      <w:r>
        <w:rPr>
          <w:rFonts w:ascii="Arial" w:hAnsi="Arial" w:cs="Arial"/>
          <w:iCs/>
          <w:sz w:val="24"/>
          <w:szCs w:val="24"/>
        </w:rPr>
        <w:t>Sin embargo, esa norma fue objeto de estudio d</w:t>
      </w:r>
      <w:r w:rsidR="009129AD">
        <w:rPr>
          <w:rFonts w:ascii="Arial" w:hAnsi="Arial" w:cs="Arial"/>
          <w:iCs/>
          <w:sz w:val="24"/>
          <w:szCs w:val="24"/>
        </w:rPr>
        <w:t>e constitucionalidad y la Corte</w:t>
      </w:r>
      <w:r>
        <w:rPr>
          <w:rFonts w:ascii="Arial" w:hAnsi="Arial" w:cs="Arial"/>
          <w:iCs/>
          <w:sz w:val="24"/>
          <w:szCs w:val="24"/>
        </w:rPr>
        <w:t xml:space="preserve">, </w:t>
      </w:r>
      <w:r w:rsidR="001D773D">
        <w:rPr>
          <w:rFonts w:ascii="Arial" w:hAnsi="Arial" w:cs="Arial"/>
          <w:iCs/>
          <w:sz w:val="24"/>
          <w:szCs w:val="24"/>
        </w:rPr>
        <w:t xml:space="preserve">la </w:t>
      </w:r>
      <w:r>
        <w:rPr>
          <w:rFonts w:ascii="Arial" w:hAnsi="Arial" w:cs="Arial"/>
          <w:iCs/>
          <w:sz w:val="24"/>
          <w:szCs w:val="24"/>
        </w:rPr>
        <w:t>declaró</w:t>
      </w:r>
      <w:r w:rsidR="001D773D">
        <w:rPr>
          <w:rFonts w:ascii="Arial" w:hAnsi="Arial" w:cs="Arial"/>
          <w:iCs/>
          <w:sz w:val="24"/>
          <w:szCs w:val="24"/>
        </w:rPr>
        <w:t xml:space="preserve"> la </w:t>
      </w:r>
      <w:r>
        <w:rPr>
          <w:rFonts w:ascii="Arial" w:hAnsi="Arial" w:cs="Arial"/>
          <w:iCs/>
          <w:sz w:val="24"/>
          <w:szCs w:val="24"/>
        </w:rPr>
        <w:t>exequible</w:t>
      </w:r>
      <w:r>
        <w:rPr>
          <w:rStyle w:val="Refdenotaalpie"/>
          <w:rFonts w:ascii="Arial" w:hAnsi="Arial" w:cs="Arial"/>
          <w:iCs/>
          <w:sz w:val="24"/>
          <w:szCs w:val="24"/>
        </w:rPr>
        <w:footnoteReference w:id="11"/>
      </w:r>
      <w:r>
        <w:rPr>
          <w:rFonts w:ascii="Arial" w:hAnsi="Arial" w:cs="Arial"/>
          <w:iCs/>
          <w:sz w:val="24"/>
          <w:szCs w:val="24"/>
        </w:rPr>
        <w:t xml:space="preserve">, bajo el entendido que </w:t>
      </w:r>
      <w:r w:rsidRPr="004300B6">
        <w:rPr>
          <w:rStyle w:val="Textoennegrita"/>
          <w:rFonts w:ascii="Arial" w:hAnsi="Arial" w:cs="Arial"/>
          <w:b w:val="0"/>
          <w:color w:val="000000"/>
          <w:sz w:val="24"/>
          <w:szCs w:val="24"/>
          <w:shd w:val="clear" w:color="auto" w:fill="FFFFFF"/>
        </w:rPr>
        <w:t>a) el plazo de tres (3) meses se contará a partir de la comunicación de la presente sentencia</w:t>
      </w:r>
      <w:r>
        <w:rPr>
          <w:rStyle w:val="Refdenotaalpie"/>
          <w:rFonts w:ascii="Arial" w:hAnsi="Arial" w:cs="Arial"/>
          <w:bCs/>
          <w:color w:val="000000"/>
          <w:sz w:val="24"/>
          <w:szCs w:val="24"/>
          <w:shd w:val="clear" w:color="auto" w:fill="FFFFFF"/>
        </w:rPr>
        <w:footnoteReference w:id="12"/>
      </w:r>
      <w:r w:rsidRPr="004300B6">
        <w:rPr>
          <w:rStyle w:val="Textoennegrita"/>
          <w:rFonts w:ascii="Arial" w:hAnsi="Arial" w:cs="Arial"/>
          <w:b w:val="0"/>
          <w:color w:val="000000"/>
          <w:sz w:val="24"/>
          <w:szCs w:val="24"/>
          <w:shd w:val="clear" w:color="auto" w:fill="FFFFFF"/>
        </w:rPr>
        <w:t>; y b) la persona que ejerza la opción, puede aportar voluntariamente los recursos adicionales necesarios en el evento de que el ahorro en el régimen de ahorro individual con solidaridad sea inferior al monto del aporte legal correspondiente, en caso de que hubiere permanecido en el régimen de prima media, como se advirtió en la sentencia C-789 de 2002</w:t>
      </w:r>
      <w:r w:rsidRPr="004300B6">
        <w:rPr>
          <w:rFonts w:ascii="Arial" w:hAnsi="Arial" w:cs="Arial"/>
          <w:b/>
          <w:color w:val="000000"/>
          <w:sz w:val="24"/>
          <w:szCs w:val="24"/>
          <w:shd w:val="clear" w:color="auto" w:fill="FFFFFF"/>
        </w:rPr>
        <w:t>.</w:t>
      </w:r>
    </w:p>
    <w:p w:rsidR="004300B6" w:rsidRDefault="004300B6" w:rsidP="004300B6">
      <w:pPr>
        <w:pStyle w:val="Sinespaciado"/>
        <w:spacing w:line="276" w:lineRule="auto"/>
        <w:contextualSpacing/>
        <w:jc w:val="both"/>
        <w:rPr>
          <w:rFonts w:ascii="Arial" w:hAnsi="Arial" w:cs="Arial"/>
          <w:b/>
          <w:color w:val="000000"/>
          <w:sz w:val="24"/>
          <w:szCs w:val="24"/>
          <w:shd w:val="clear" w:color="auto" w:fill="FFFFFF"/>
        </w:rPr>
      </w:pPr>
    </w:p>
    <w:p w:rsidR="00ED716E" w:rsidRDefault="004300B6" w:rsidP="00C213D0">
      <w:pPr>
        <w:pStyle w:val="Sinespaciado"/>
        <w:spacing w:line="276" w:lineRule="auto"/>
        <w:contextualSpacing/>
        <w:jc w:val="both"/>
        <w:rPr>
          <w:rFonts w:ascii="Arial" w:hAnsi="Arial" w:cs="Arial"/>
          <w:iCs/>
          <w:sz w:val="24"/>
          <w:szCs w:val="24"/>
        </w:rPr>
      </w:pPr>
      <w:r>
        <w:rPr>
          <w:rFonts w:ascii="Arial" w:hAnsi="Arial" w:cs="Arial"/>
          <w:color w:val="000000"/>
          <w:sz w:val="24"/>
          <w:szCs w:val="24"/>
          <w:shd w:val="clear" w:color="auto" w:fill="FFFFFF"/>
        </w:rPr>
        <w:t>Así mismo, dispuso en esa providencia</w:t>
      </w:r>
      <w:r w:rsidR="00CE03F5">
        <w:rPr>
          <w:rFonts w:ascii="Arial" w:hAnsi="Arial" w:cs="Arial"/>
          <w:color w:val="000000"/>
          <w:sz w:val="24"/>
          <w:szCs w:val="24"/>
          <w:shd w:val="clear" w:color="auto" w:fill="FFFFFF"/>
        </w:rPr>
        <w:t>, lo que reiteró en las sentencias SU-062/2010, SU-130/2013 y SU-856/2013, que el referido canon no había establecido la imposibilidad de trasladarse de régimen pensional una vez vencido el plazo de los tres meses, sino la posibilidad de trasladarse durante ese interregno sin la necesidad de acreditar el tiempo de permanencia mínimo de 5 años en el régimen pensional –</w:t>
      </w:r>
      <w:proofErr w:type="spellStart"/>
      <w:r w:rsidR="00CE03F5">
        <w:rPr>
          <w:rFonts w:ascii="Arial" w:hAnsi="Arial" w:cs="Arial"/>
          <w:color w:val="000000"/>
          <w:sz w:val="24"/>
          <w:szCs w:val="24"/>
          <w:shd w:val="clear" w:color="auto" w:fill="FFFFFF"/>
        </w:rPr>
        <w:t>RAIS</w:t>
      </w:r>
      <w:proofErr w:type="spellEnd"/>
      <w:r w:rsidR="00CE03F5">
        <w:rPr>
          <w:rFonts w:ascii="Arial" w:hAnsi="Arial" w:cs="Arial"/>
          <w:color w:val="000000"/>
          <w:sz w:val="24"/>
          <w:szCs w:val="24"/>
          <w:shd w:val="clear" w:color="auto" w:fill="FFFFFF"/>
        </w:rPr>
        <w:t>-; dicho en otras palabras, las personas que pretendan retornar a</w:t>
      </w:r>
      <w:r w:rsidR="00C213D0">
        <w:rPr>
          <w:rFonts w:ascii="Arial" w:hAnsi="Arial" w:cs="Arial"/>
          <w:color w:val="000000"/>
          <w:sz w:val="24"/>
          <w:szCs w:val="24"/>
          <w:shd w:val="clear" w:color="auto" w:fill="FFFFFF"/>
        </w:rPr>
        <w:t>l RPM con posterioridad al 28/04</w:t>
      </w:r>
      <w:r w:rsidR="00CE03F5">
        <w:rPr>
          <w:rFonts w:ascii="Arial" w:hAnsi="Arial" w:cs="Arial"/>
          <w:color w:val="000000"/>
          <w:sz w:val="24"/>
          <w:szCs w:val="24"/>
          <w:shd w:val="clear" w:color="auto" w:fill="FFFFFF"/>
        </w:rPr>
        <w:t>/200</w:t>
      </w:r>
      <w:r w:rsidR="00C213D0">
        <w:rPr>
          <w:rFonts w:ascii="Arial" w:hAnsi="Arial" w:cs="Arial"/>
          <w:color w:val="000000"/>
          <w:sz w:val="24"/>
          <w:szCs w:val="24"/>
          <w:shd w:val="clear" w:color="auto" w:fill="FFFFFF"/>
        </w:rPr>
        <w:t xml:space="preserve">9 </w:t>
      </w:r>
      <w:r w:rsidR="00C213D0" w:rsidRPr="001D773D">
        <w:rPr>
          <w:rFonts w:ascii="Arial" w:hAnsi="Arial" w:cs="Arial"/>
          <w:i/>
          <w:color w:val="000000"/>
          <w:sz w:val="24"/>
          <w:szCs w:val="24"/>
          <w:shd w:val="clear" w:color="auto" w:fill="FFFFFF"/>
        </w:rPr>
        <w:t>–fecha de comunicación de la sentencia de constitucionalidad</w:t>
      </w:r>
      <w:r w:rsidR="00C213D0" w:rsidRPr="006C0407">
        <w:rPr>
          <w:rFonts w:ascii="Arial" w:hAnsi="Arial" w:cs="Arial"/>
          <w:i/>
          <w:color w:val="000000"/>
          <w:sz w:val="24"/>
          <w:szCs w:val="24"/>
          <w:shd w:val="clear" w:color="auto" w:fill="FFFFFF"/>
        </w:rPr>
        <w:t>-</w:t>
      </w:r>
      <w:r w:rsidR="00163D3A" w:rsidRPr="006C0407">
        <w:rPr>
          <w:color w:val="000000"/>
          <w:sz w:val="28"/>
          <w:szCs w:val="28"/>
          <w:shd w:val="clear" w:color="auto" w:fill="FFFFFF"/>
        </w:rPr>
        <w:t xml:space="preserve">, </w:t>
      </w:r>
      <w:r w:rsidR="006C0407" w:rsidRPr="006C0407">
        <w:rPr>
          <w:rFonts w:ascii="Arial" w:hAnsi="Arial" w:cs="Arial"/>
          <w:color w:val="000000"/>
          <w:sz w:val="24"/>
          <w:szCs w:val="24"/>
          <w:shd w:val="clear" w:color="auto" w:fill="FFFFFF"/>
        </w:rPr>
        <w:t xml:space="preserve">deben demostrar la permanencia en el </w:t>
      </w:r>
      <w:proofErr w:type="spellStart"/>
      <w:r w:rsidR="006C0407" w:rsidRPr="006C0407">
        <w:rPr>
          <w:rFonts w:ascii="Arial" w:hAnsi="Arial" w:cs="Arial"/>
          <w:color w:val="000000"/>
          <w:sz w:val="24"/>
          <w:szCs w:val="24"/>
          <w:shd w:val="clear" w:color="auto" w:fill="FFFFFF"/>
        </w:rPr>
        <w:t>RAIS</w:t>
      </w:r>
      <w:proofErr w:type="spellEnd"/>
      <w:r w:rsidR="006C0407" w:rsidRPr="006C0407">
        <w:rPr>
          <w:rFonts w:ascii="Arial" w:hAnsi="Arial" w:cs="Arial"/>
          <w:color w:val="000000"/>
          <w:sz w:val="24"/>
          <w:szCs w:val="24"/>
          <w:shd w:val="clear" w:color="auto" w:fill="FFFFFF"/>
        </w:rPr>
        <w:t xml:space="preserve"> por 5 años </w:t>
      </w:r>
      <w:r w:rsidR="00C213D0" w:rsidRPr="006C0407">
        <w:rPr>
          <w:rFonts w:ascii="Arial" w:hAnsi="Arial" w:cs="Arial"/>
          <w:color w:val="000000"/>
          <w:sz w:val="24"/>
          <w:szCs w:val="24"/>
          <w:shd w:val="clear" w:color="auto" w:fill="FFFFFF"/>
        </w:rPr>
        <w:t>y que les falta más de 10 años para cumplir la edad mínima para acceder a la pensi</w:t>
      </w:r>
      <w:r w:rsidR="00781790" w:rsidRPr="006C0407">
        <w:rPr>
          <w:rFonts w:ascii="Arial" w:hAnsi="Arial" w:cs="Arial"/>
          <w:color w:val="000000"/>
          <w:sz w:val="24"/>
          <w:szCs w:val="24"/>
          <w:shd w:val="clear" w:color="auto" w:fill="FFFFFF"/>
        </w:rPr>
        <w:t xml:space="preserve">ón especial de vejez, salvo que </w:t>
      </w:r>
      <w:r w:rsidR="006C0407" w:rsidRPr="006C0407">
        <w:rPr>
          <w:rFonts w:ascii="Arial" w:hAnsi="Arial" w:cs="Arial"/>
          <w:color w:val="000000"/>
          <w:sz w:val="24"/>
          <w:szCs w:val="24"/>
          <w:shd w:val="clear" w:color="auto" w:fill="FFFFFF"/>
        </w:rPr>
        <w:t>al 01/04/1994, tuvieran más de 15 años de servicios cotizados</w:t>
      </w:r>
      <w:r w:rsidR="00781790" w:rsidRPr="006C0407">
        <w:rPr>
          <w:rStyle w:val="Textoennegrita"/>
          <w:rFonts w:ascii="Arial" w:hAnsi="Arial" w:cs="Arial"/>
          <w:b w:val="0"/>
          <w:color w:val="000000"/>
          <w:sz w:val="24"/>
          <w:szCs w:val="24"/>
          <w:shd w:val="clear" w:color="auto" w:fill="FFFFFF"/>
        </w:rPr>
        <w:t>.</w:t>
      </w:r>
    </w:p>
    <w:p w:rsidR="00525C1F" w:rsidRDefault="00525C1F" w:rsidP="00C213D0">
      <w:pPr>
        <w:pStyle w:val="Sinespaciado"/>
        <w:spacing w:line="276" w:lineRule="auto"/>
        <w:contextualSpacing/>
        <w:jc w:val="both"/>
        <w:rPr>
          <w:rFonts w:ascii="Arial" w:hAnsi="Arial" w:cs="Arial"/>
          <w:iCs/>
          <w:sz w:val="24"/>
          <w:szCs w:val="24"/>
        </w:rPr>
      </w:pPr>
    </w:p>
    <w:p w:rsidR="00525C1F" w:rsidRDefault="00D2268D" w:rsidP="00C213D0">
      <w:pPr>
        <w:pStyle w:val="Sinespaciado"/>
        <w:spacing w:line="276" w:lineRule="auto"/>
        <w:contextualSpacing/>
        <w:jc w:val="both"/>
        <w:rPr>
          <w:rFonts w:ascii="Arial" w:hAnsi="Arial" w:cs="Arial"/>
          <w:iCs/>
          <w:sz w:val="24"/>
          <w:szCs w:val="24"/>
        </w:rPr>
      </w:pPr>
      <w:r>
        <w:rPr>
          <w:rFonts w:ascii="Arial" w:hAnsi="Arial" w:cs="Arial"/>
          <w:iCs/>
          <w:sz w:val="24"/>
          <w:szCs w:val="24"/>
        </w:rPr>
        <w:t xml:space="preserve">Según lo manifestado en los hechos 8.2 y 8.3. </w:t>
      </w:r>
      <w:proofErr w:type="gramStart"/>
      <w:r>
        <w:rPr>
          <w:rFonts w:ascii="Arial" w:hAnsi="Arial" w:cs="Arial"/>
          <w:iCs/>
          <w:sz w:val="24"/>
          <w:szCs w:val="24"/>
        </w:rPr>
        <w:t>del</w:t>
      </w:r>
      <w:proofErr w:type="gramEnd"/>
      <w:r>
        <w:rPr>
          <w:rFonts w:ascii="Arial" w:hAnsi="Arial" w:cs="Arial"/>
          <w:iCs/>
          <w:sz w:val="24"/>
          <w:szCs w:val="24"/>
        </w:rPr>
        <w:t xml:space="preserve"> libelo y que concuerda con el contenido de las historias laborales, </w:t>
      </w:r>
      <w:r w:rsidR="004D26DA">
        <w:rPr>
          <w:rFonts w:ascii="Arial" w:hAnsi="Arial" w:cs="Arial"/>
          <w:iCs/>
          <w:sz w:val="24"/>
          <w:szCs w:val="24"/>
        </w:rPr>
        <w:t xml:space="preserve">el señor José William Morales Restrepo estuvo vinculado en el </w:t>
      </w:r>
      <w:proofErr w:type="spellStart"/>
      <w:r w:rsidR="004D26DA">
        <w:rPr>
          <w:rFonts w:ascii="Arial" w:hAnsi="Arial" w:cs="Arial"/>
          <w:iCs/>
          <w:sz w:val="24"/>
          <w:szCs w:val="24"/>
        </w:rPr>
        <w:t>RAIS</w:t>
      </w:r>
      <w:proofErr w:type="spellEnd"/>
      <w:r w:rsidR="004D26DA">
        <w:rPr>
          <w:rFonts w:ascii="Arial" w:hAnsi="Arial" w:cs="Arial"/>
          <w:iCs/>
          <w:sz w:val="24"/>
          <w:szCs w:val="24"/>
        </w:rPr>
        <w:t xml:space="preserve"> desde el 01/11/1999 al 31/08/2010 y retornó al RPM a partir del 01/09/2010.</w:t>
      </w:r>
    </w:p>
    <w:p w:rsidR="004D26DA" w:rsidRDefault="004D26DA" w:rsidP="00C213D0">
      <w:pPr>
        <w:pStyle w:val="Sinespaciado"/>
        <w:spacing w:line="276" w:lineRule="auto"/>
        <w:contextualSpacing/>
        <w:jc w:val="both"/>
        <w:rPr>
          <w:rFonts w:ascii="Arial" w:hAnsi="Arial" w:cs="Arial"/>
          <w:iCs/>
          <w:sz w:val="24"/>
          <w:szCs w:val="24"/>
        </w:rPr>
      </w:pPr>
    </w:p>
    <w:p w:rsidR="0018351E" w:rsidRDefault="001D44D8" w:rsidP="00C213D0">
      <w:pPr>
        <w:pStyle w:val="Sinespaciado"/>
        <w:spacing w:line="276" w:lineRule="auto"/>
        <w:contextualSpacing/>
        <w:jc w:val="both"/>
        <w:rPr>
          <w:rFonts w:ascii="Arial" w:hAnsi="Arial" w:cs="Arial"/>
          <w:iCs/>
          <w:sz w:val="24"/>
          <w:szCs w:val="24"/>
        </w:rPr>
      </w:pPr>
      <w:r>
        <w:rPr>
          <w:rFonts w:ascii="Arial" w:hAnsi="Arial" w:cs="Arial"/>
          <w:iCs/>
          <w:sz w:val="24"/>
          <w:szCs w:val="24"/>
        </w:rPr>
        <w:t xml:space="preserve">De lo anterior se concluye que se trasladó nuevamente al otrora </w:t>
      </w:r>
      <w:proofErr w:type="spellStart"/>
      <w:r>
        <w:rPr>
          <w:rFonts w:ascii="Arial" w:hAnsi="Arial" w:cs="Arial"/>
          <w:iCs/>
          <w:sz w:val="24"/>
          <w:szCs w:val="24"/>
        </w:rPr>
        <w:t>ISS</w:t>
      </w:r>
      <w:proofErr w:type="spellEnd"/>
      <w:r>
        <w:rPr>
          <w:rFonts w:ascii="Arial" w:hAnsi="Arial" w:cs="Arial"/>
          <w:iCs/>
          <w:sz w:val="24"/>
          <w:szCs w:val="24"/>
        </w:rPr>
        <w:t xml:space="preserve"> por fuera del límite establecido por la Corte Constitucional en la sentencia C-030-09, de tal manera que debía acreditar los requisitos antes determinados, el primero de ellos, la permanencia en el </w:t>
      </w:r>
      <w:proofErr w:type="spellStart"/>
      <w:r>
        <w:rPr>
          <w:rFonts w:ascii="Arial" w:hAnsi="Arial" w:cs="Arial"/>
          <w:iCs/>
          <w:sz w:val="24"/>
          <w:szCs w:val="24"/>
        </w:rPr>
        <w:t>RAIS</w:t>
      </w:r>
      <w:proofErr w:type="spellEnd"/>
      <w:r>
        <w:rPr>
          <w:rFonts w:ascii="Arial" w:hAnsi="Arial" w:cs="Arial"/>
          <w:iCs/>
          <w:sz w:val="24"/>
          <w:szCs w:val="24"/>
        </w:rPr>
        <w:t xml:space="preserve"> por 5 años, </w:t>
      </w:r>
      <w:r w:rsidR="00337DF9">
        <w:rPr>
          <w:rFonts w:ascii="Arial" w:hAnsi="Arial" w:cs="Arial"/>
          <w:iCs/>
          <w:sz w:val="24"/>
          <w:szCs w:val="24"/>
        </w:rPr>
        <w:t xml:space="preserve">que </w:t>
      </w:r>
      <w:r>
        <w:rPr>
          <w:rFonts w:ascii="Arial" w:hAnsi="Arial" w:cs="Arial"/>
          <w:iCs/>
          <w:sz w:val="24"/>
          <w:szCs w:val="24"/>
        </w:rPr>
        <w:t xml:space="preserve">los </w:t>
      </w:r>
      <w:r w:rsidR="00781790">
        <w:rPr>
          <w:rFonts w:ascii="Arial" w:hAnsi="Arial" w:cs="Arial"/>
          <w:iCs/>
          <w:sz w:val="24"/>
          <w:szCs w:val="24"/>
        </w:rPr>
        <w:t>s</w:t>
      </w:r>
      <w:r>
        <w:rPr>
          <w:rFonts w:ascii="Arial" w:hAnsi="Arial" w:cs="Arial"/>
          <w:iCs/>
          <w:sz w:val="24"/>
          <w:szCs w:val="24"/>
        </w:rPr>
        <w:t>uperó ampliamente, como quiera que estuvo 10 años y 9 me</w:t>
      </w:r>
      <w:r w:rsidR="00781790">
        <w:rPr>
          <w:rFonts w:ascii="Arial" w:hAnsi="Arial" w:cs="Arial"/>
          <w:iCs/>
          <w:sz w:val="24"/>
          <w:szCs w:val="24"/>
        </w:rPr>
        <w:t xml:space="preserve">ses; el segundo, </w:t>
      </w:r>
      <w:r w:rsidR="00845A77">
        <w:rPr>
          <w:rFonts w:ascii="Arial" w:hAnsi="Arial" w:cs="Arial"/>
          <w:iCs/>
          <w:sz w:val="24"/>
          <w:szCs w:val="24"/>
        </w:rPr>
        <w:t>que al momento del traslado –</w:t>
      </w:r>
      <w:r w:rsidR="00845A77" w:rsidRPr="00781790">
        <w:rPr>
          <w:rFonts w:ascii="Arial" w:hAnsi="Arial" w:cs="Arial"/>
          <w:i/>
          <w:iCs/>
          <w:sz w:val="24"/>
          <w:szCs w:val="24"/>
        </w:rPr>
        <w:t>septiembre de 2010</w:t>
      </w:r>
      <w:r w:rsidR="00845A77">
        <w:rPr>
          <w:rFonts w:ascii="Arial" w:hAnsi="Arial" w:cs="Arial"/>
          <w:iCs/>
          <w:sz w:val="24"/>
          <w:szCs w:val="24"/>
        </w:rPr>
        <w:t xml:space="preserve">-, </w:t>
      </w:r>
      <w:r w:rsidR="00845A77" w:rsidRPr="008F2B42">
        <w:rPr>
          <w:rFonts w:ascii="Arial" w:hAnsi="Arial" w:cs="Arial"/>
          <w:iCs/>
          <w:sz w:val="24"/>
          <w:szCs w:val="24"/>
        </w:rPr>
        <w:t xml:space="preserve">le faltaran más de 10 años para pensionarse, </w:t>
      </w:r>
      <w:r w:rsidR="006C0407" w:rsidRPr="008F2B42">
        <w:rPr>
          <w:rFonts w:ascii="Arial" w:hAnsi="Arial" w:cs="Arial"/>
          <w:iCs/>
          <w:sz w:val="24"/>
          <w:szCs w:val="24"/>
        </w:rPr>
        <w:t xml:space="preserve">si bien no </w:t>
      </w:r>
      <w:r w:rsidR="00781790" w:rsidRPr="008F2B42">
        <w:rPr>
          <w:rFonts w:ascii="Arial" w:hAnsi="Arial" w:cs="Arial"/>
          <w:iCs/>
          <w:sz w:val="24"/>
          <w:szCs w:val="24"/>
        </w:rPr>
        <w:t xml:space="preserve">lo cumple, como </w:t>
      </w:r>
      <w:r w:rsidR="00DF1B91" w:rsidRPr="008F2B42">
        <w:rPr>
          <w:rFonts w:ascii="Arial" w:hAnsi="Arial" w:cs="Arial"/>
          <w:iCs/>
          <w:sz w:val="24"/>
          <w:szCs w:val="24"/>
        </w:rPr>
        <w:t>quiera que su derecho pensional lo causaría en el año 2015, al cumplir los 60 años de edad</w:t>
      </w:r>
      <w:r w:rsidR="006C0407" w:rsidRPr="008F2B42">
        <w:rPr>
          <w:rFonts w:ascii="Arial" w:hAnsi="Arial" w:cs="Arial"/>
          <w:iCs/>
          <w:sz w:val="24"/>
          <w:szCs w:val="24"/>
        </w:rPr>
        <w:t xml:space="preserve">; dicha falencia se supera porque al 01/04/1994, </w:t>
      </w:r>
      <w:r w:rsidR="009129AD">
        <w:rPr>
          <w:rFonts w:ascii="Arial" w:hAnsi="Arial" w:cs="Arial"/>
          <w:iCs/>
          <w:sz w:val="24"/>
          <w:szCs w:val="24"/>
        </w:rPr>
        <w:t xml:space="preserve">sobrepasaba </w:t>
      </w:r>
      <w:r w:rsidR="006C0407" w:rsidRPr="008F2B42">
        <w:rPr>
          <w:rFonts w:ascii="Arial" w:hAnsi="Arial" w:cs="Arial"/>
          <w:iCs/>
          <w:sz w:val="24"/>
          <w:szCs w:val="24"/>
        </w:rPr>
        <w:t>los 15 años de servicios, pues como</w:t>
      </w:r>
      <w:r w:rsidR="006C0407">
        <w:rPr>
          <w:rFonts w:ascii="Arial" w:hAnsi="Arial" w:cs="Arial"/>
          <w:iCs/>
          <w:sz w:val="24"/>
          <w:szCs w:val="24"/>
        </w:rPr>
        <w:t xml:space="preserve"> se indicó tenía 1.303,53 semanas, que equivalen a algo más de 25 años.</w:t>
      </w:r>
    </w:p>
    <w:p w:rsidR="000E3CB7" w:rsidRDefault="007A31D6" w:rsidP="00C213D0">
      <w:pPr>
        <w:pStyle w:val="Sinespaciado"/>
        <w:spacing w:line="276" w:lineRule="auto"/>
        <w:contextualSpacing/>
        <w:jc w:val="both"/>
        <w:rPr>
          <w:rFonts w:ascii="Arial" w:hAnsi="Arial" w:cs="Arial"/>
          <w:iCs/>
          <w:sz w:val="24"/>
          <w:szCs w:val="24"/>
        </w:rPr>
      </w:pPr>
      <w:r>
        <w:rPr>
          <w:rFonts w:ascii="Arial" w:hAnsi="Arial" w:cs="Arial"/>
          <w:iCs/>
          <w:sz w:val="24"/>
          <w:szCs w:val="24"/>
        </w:rPr>
        <w:t xml:space="preserve">Siendo así las cosas, el demandante no perdió la calidad de beneficiario del régimen de transición, pese al traslado que efectuó del RPM al </w:t>
      </w:r>
      <w:proofErr w:type="spellStart"/>
      <w:r>
        <w:rPr>
          <w:rFonts w:ascii="Arial" w:hAnsi="Arial" w:cs="Arial"/>
          <w:iCs/>
          <w:sz w:val="24"/>
          <w:szCs w:val="24"/>
        </w:rPr>
        <w:t>RAIS</w:t>
      </w:r>
      <w:proofErr w:type="spellEnd"/>
      <w:r>
        <w:rPr>
          <w:rFonts w:ascii="Arial" w:hAnsi="Arial" w:cs="Arial"/>
          <w:iCs/>
          <w:sz w:val="24"/>
          <w:szCs w:val="24"/>
        </w:rPr>
        <w:t xml:space="preserve"> y su posterior retorno a aquel, por lo que </w:t>
      </w:r>
      <w:r w:rsidR="00724D49">
        <w:rPr>
          <w:rFonts w:ascii="Arial" w:hAnsi="Arial" w:cs="Arial"/>
          <w:iCs/>
          <w:sz w:val="24"/>
          <w:szCs w:val="24"/>
        </w:rPr>
        <w:t xml:space="preserve">logra acreditar todas las exigencias del canon 6° del Decreto 2090/03, para analizar su prestación con base en la normativa anterior, </w:t>
      </w:r>
      <w:r w:rsidR="00DD23B0">
        <w:rPr>
          <w:rFonts w:ascii="Arial" w:hAnsi="Arial" w:cs="Arial"/>
          <w:iCs/>
          <w:sz w:val="24"/>
          <w:szCs w:val="24"/>
        </w:rPr>
        <w:t xml:space="preserve">que bien puede ser el </w:t>
      </w:r>
      <w:r w:rsidR="008F2B42">
        <w:rPr>
          <w:rFonts w:ascii="Arial" w:hAnsi="Arial" w:cs="Arial"/>
          <w:iCs/>
          <w:sz w:val="24"/>
          <w:szCs w:val="24"/>
        </w:rPr>
        <w:t>Decreto 1281</w:t>
      </w:r>
      <w:r w:rsidR="00DD23B0">
        <w:rPr>
          <w:rFonts w:ascii="Arial" w:hAnsi="Arial" w:cs="Arial"/>
          <w:iCs/>
          <w:sz w:val="24"/>
          <w:szCs w:val="24"/>
        </w:rPr>
        <w:t xml:space="preserve"> de 1994 </w:t>
      </w:r>
      <w:r w:rsidR="00F86980">
        <w:rPr>
          <w:rFonts w:ascii="Arial" w:hAnsi="Arial" w:cs="Arial"/>
          <w:iCs/>
          <w:sz w:val="24"/>
          <w:szCs w:val="24"/>
        </w:rPr>
        <w:t>–</w:t>
      </w:r>
      <w:r w:rsidR="00F86980" w:rsidRPr="00F86980">
        <w:rPr>
          <w:rFonts w:ascii="Arial" w:hAnsi="Arial" w:cs="Arial"/>
          <w:i/>
          <w:iCs/>
          <w:sz w:val="24"/>
          <w:szCs w:val="24"/>
        </w:rPr>
        <w:t>por ser la norma inmediatamente anterior-</w:t>
      </w:r>
      <w:r w:rsidR="00F86980">
        <w:rPr>
          <w:rFonts w:ascii="Arial" w:hAnsi="Arial" w:cs="Arial"/>
          <w:iCs/>
          <w:sz w:val="24"/>
          <w:szCs w:val="24"/>
        </w:rPr>
        <w:t xml:space="preserve"> </w:t>
      </w:r>
      <w:r w:rsidR="00DD23B0">
        <w:rPr>
          <w:rFonts w:ascii="Arial" w:hAnsi="Arial" w:cs="Arial"/>
          <w:iCs/>
          <w:sz w:val="24"/>
          <w:szCs w:val="24"/>
        </w:rPr>
        <w:t>o el Acuerdo 049/90</w:t>
      </w:r>
      <w:r w:rsidR="00F86980">
        <w:rPr>
          <w:rFonts w:ascii="Arial" w:hAnsi="Arial" w:cs="Arial"/>
          <w:iCs/>
          <w:sz w:val="24"/>
          <w:szCs w:val="24"/>
        </w:rPr>
        <w:t>, al que se puede acudir, por ser también beneficiario de la transición establecida en el artículo 8° del Decreto 1281/94</w:t>
      </w:r>
      <w:r w:rsidR="00F86980">
        <w:rPr>
          <w:rStyle w:val="Refdenotaalpie"/>
          <w:rFonts w:ascii="Arial" w:hAnsi="Arial" w:cs="Arial"/>
          <w:iCs/>
          <w:sz w:val="24"/>
          <w:szCs w:val="24"/>
        </w:rPr>
        <w:footnoteReference w:id="13"/>
      </w:r>
      <w:r w:rsidR="00DD23B0">
        <w:rPr>
          <w:rFonts w:ascii="Arial" w:hAnsi="Arial" w:cs="Arial"/>
          <w:iCs/>
          <w:sz w:val="24"/>
          <w:szCs w:val="24"/>
        </w:rPr>
        <w:t>; pero en relación con los requisitos para acceder a la prestación y la forma de determinar el monto de la mes</w:t>
      </w:r>
      <w:r w:rsidR="0048585D">
        <w:rPr>
          <w:rFonts w:ascii="Arial" w:hAnsi="Arial" w:cs="Arial"/>
          <w:iCs/>
          <w:sz w:val="24"/>
          <w:szCs w:val="24"/>
        </w:rPr>
        <w:t>ada pensional la</w:t>
      </w:r>
      <w:r w:rsidR="00380706">
        <w:rPr>
          <w:rFonts w:ascii="Arial" w:hAnsi="Arial" w:cs="Arial"/>
          <w:iCs/>
          <w:sz w:val="24"/>
          <w:szCs w:val="24"/>
        </w:rPr>
        <w:t xml:space="preserve">s exigencias del Decreto 049/90 </w:t>
      </w:r>
      <w:r w:rsidR="00DD23B0">
        <w:rPr>
          <w:rFonts w:ascii="Arial" w:hAnsi="Arial" w:cs="Arial"/>
          <w:iCs/>
          <w:sz w:val="24"/>
          <w:szCs w:val="24"/>
        </w:rPr>
        <w:t>le resultan más favorables,</w:t>
      </w:r>
      <w:r w:rsidR="00380706">
        <w:rPr>
          <w:rFonts w:ascii="Arial" w:hAnsi="Arial" w:cs="Arial"/>
          <w:iCs/>
          <w:sz w:val="24"/>
          <w:szCs w:val="24"/>
        </w:rPr>
        <w:t xml:space="preserve"> por lo que </w:t>
      </w:r>
      <w:r w:rsidR="00DD23B0">
        <w:rPr>
          <w:rFonts w:ascii="Arial" w:hAnsi="Arial" w:cs="Arial"/>
          <w:iCs/>
          <w:sz w:val="24"/>
          <w:szCs w:val="24"/>
        </w:rPr>
        <w:t xml:space="preserve"> será este el que se aplicará.</w:t>
      </w:r>
    </w:p>
    <w:p w:rsidR="00DD23B0" w:rsidRDefault="00DD23B0" w:rsidP="00C213D0">
      <w:pPr>
        <w:pStyle w:val="Sinespaciado"/>
        <w:spacing w:line="276" w:lineRule="auto"/>
        <w:contextualSpacing/>
        <w:jc w:val="both"/>
        <w:rPr>
          <w:rFonts w:ascii="Arial" w:hAnsi="Arial" w:cs="Arial"/>
          <w:iCs/>
          <w:sz w:val="24"/>
          <w:szCs w:val="24"/>
        </w:rPr>
      </w:pPr>
    </w:p>
    <w:p w:rsidR="003A6EF2" w:rsidRDefault="003A6EF2" w:rsidP="003A6EF2">
      <w:pPr>
        <w:pStyle w:val="Sinespaciado"/>
        <w:spacing w:line="276" w:lineRule="auto"/>
        <w:contextualSpacing/>
        <w:jc w:val="both"/>
        <w:rPr>
          <w:rFonts w:ascii="Arial" w:hAnsi="Arial" w:cs="Arial"/>
          <w:b/>
          <w:iCs/>
          <w:sz w:val="24"/>
          <w:szCs w:val="24"/>
        </w:rPr>
      </w:pPr>
      <w:r>
        <w:rPr>
          <w:rFonts w:ascii="Arial" w:hAnsi="Arial" w:cs="Arial"/>
          <w:b/>
          <w:iCs/>
          <w:sz w:val="24"/>
          <w:szCs w:val="24"/>
        </w:rPr>
        <w:t>2.3. De los r</w:t>
      </w:r>
      <w:r w:rsidRPr="003D0B53">
        <w:rPr>
          <w:rFonts w:ascii="Arial" w:hAnsi="Arial" w:cs="Arial"/>
          <w:b/>
          <w:iCs/>
          <w:sz w:val="24"/>
          <w:szCs w:val="24"/>
        </w:rPr>
        <w:t>equisitos para acceder a la pensión especial de vejez conforme al Acuerdo 049/90</w:t>
      </w:r>
      <w:r w:rsidR="00ED6378">
        <w:rPr>
          <w:rFonts w:ascii="Arial" w:hAnsi="Arial" w:cs="Arial"/>
          <w:b/>
          <w:iCs/>
          <w:sz w:val="24"/>
          <w:szCs w:val="24"/>
        </w:rPr>
        <w:t xml:space="preserve"> y la fecha de disfrute</w:t>
      </w:r>
    </w:p>
    <w:p w:rsidR="003A6EF2" w:rsidRDefault="003A6EF2" w:rsidP="003A6EF2">
      <w:pPr>
        <w:pStyle w:val="Sinespaciado"/>
        <w:spacing w:line="276" w:lineRule="auto"/>
        <w:contextualSpacing/>
        <w:jc w:val="both"/>
        <w:rPr>
          <w:rFonts w:ascii="Arial" w:hAnsi="Arial" w:cs="Arial"/>
          <w:b/>
          <w:iCs/>
          <w:sz w:val="24"/>
          <w:szCs w:val="24"/>
        </w:rPr>
      </w:pPr>
    </w:p>
    <w:p w:rsidR="003A6EF2" w:rsidRPr="003D0B53" w:rsidRDefault="003A6EF2" w:rsidP="003A6EF2">
      <w:pPr>
        <w:pStyle w:val="Sinespaciado"/>
        <w:spacing w:line="276" w:lineRule="auto"/>
        <w:contextualSpacing/>
        <w:jc w:val="both"/>
        <w:rPr>
          <w:rFonts w:ascii="Arial" w:hAnsi="Arial" w:cs="Arial"/>
          <w:b/>
          <w:iCs/>
          <w:sz w:val="24"/>
          <w:szCs w:val="24"/>
        </w:rPr>
      </w:pPr>
      <w:r>
        <w:rPr>
          <w:rFonts w:ascii="Arial" w:hAnsi="Arial" w:cs="Arial"/>
          <w:b/>
          <w:iCs/>
          <w:sz w:val="24"/>
          <w:szCs w:val="24"/>
        </w:rPr>
        <w:t>2.3.1. Fundamento jurídico</w:t>
      </w:r>
    </w:p>
    <w:p w:rsidR="003A6EF2" w:rsidRDefault="003A6EF2" w:rsidP="00F2072F">
      <w:pPr>
        <w:pStyle w:val="Sinespaciado"/>
        <w:spacing w:line="276" w:lineRule="auto"/>
        <w:contextualSpacing/>
        <w:jc w:val="both"/>
        <w:rPr>
          <w:rFonts w:ascii="Arial" w:hAnsi="Arial" w:cs="Arial"/>
          <w:iCs/>
          <w:sz w:val="24"/>
          <w:szCs w:val="24"/>
        </w:rPr>
      </w:pPr>
    </w:p>
    <w:p w:rsidR="00F2072F" w:rsidRDefault="00F2072F" w:rsidP="00F2072F">
      <w:pPr>
        <w:pStyle w:val="Sinespaciado"/>
        <w:spacing w:line="276" w:lineRule="auto"/>
        <w:contextualSpacing/>
        <w:jc w:val="both"/>
        <w:rPr>
          <w:rFonts w:ascii="Arial" w:hAnsi="Arial" w:cs="Arial"/>
          <w:iCs/>
          <w:sz w:val="24"/>
          <w:szCs w:val="24"/>
        </w:rPr>
      </w:pPr>
      <w:r>
        <w:rPr>
          <w:rFonts w:ascii="Arial" w:hAnsi="Arial" w:cs="Arial"/>
          <w:iCs/>
          <w:sz w:val="24"/>
          <w:szCs w:val="24"/>
        </w:rPr>
        <w:t xml:space="preserve">El artículo 15 del Acuerdo 049/90, dispone que la edad para acceder a la pensión de vejez, que según el artículo 12 </w:t>
      </w:r>
      <w:r w:rsidRPr="003D0B53">
        <w:rPr>
          <w:rFonts w:ascii="Arial" w:hAnsi="Arial" w:cs="Arial"/>
          <w:i/>
          <w:iCs/>
          <w:sz w:val="24"/>
          <w:szCs w:val="24"/>
        </w:rPr>
        <w:t>ibídem</w:t>
      </w:r>
      <w:r>
        <w:rPr>
          <w:rFonts w:ascii="Arial" w:hAnsi="Arial" w:cs="Arial"/>
          <w:iCs/>
          <w:sz w:val="24"/>
          <w:szCs w:val="24"/>
        </w:rPr>
        <w:t xml:space="preserve">  es de 60 años en el caso de los hombres, se disminuye en 1 año por cada 50 semanas cotizadas con posterioridad a las primeras 750 de forma continua o discontinua para las personas que ejecuten, entre otras, actividades a altas temperaturas o con exposición a sustancias cancerígenas.</w:t>
      </w:r>
    </w:p>
    <w:p w:rsidR="00F2072F" w:rsidRDefault="00F2072F" w:rsidP="00F2072F">
      <w:pPr>
        <w:pStyle w:val="Sinespaciado"/>
        <w:spacing w:line="276" w:lineRule="auto"/>
        <w:contextualSpacing/>
        <w:jc w:val="both"/>
        <w:rPr>
          <w:rFonts w:ascii="Arial" w:hAnsi="Arial" w:cs="Arial"/>
          <w:iCs/>
          <w:sz w:val="24"/>
          <w:szCs w:val="24"/>
        </w:rPr>
      </w:pPr>
    </w:p>
    <w:p w:rsidR="00F2072F" w:rsidRDefault="00F2072F" w:rsidP="00F2072F">
      <w:pPr>
        <w:pStyle w:val="Sinespaciado"/>
        <w:spacing w:line="276" w:lineRule="auto"/>
        <w:contextualSpacing/>
        <w:jc w:val="both"/>
        <w:rPr>
          <w:rFonts w:ascii="Arial" w:hAnsi="Arial" w:cs="Arial"/>
          <w:iCs/>
          <w:sz w:val="24"/>
          <w:szCs w:val="24"/>
        </w:rPr>
      </w:pPr>
      <w:r>
        <w:rPr>
          <w:rFonts w:ascii="Arial" w:hAnsi="Arial" w:cs="Arial"/>
          <w:iCs/>
          <w:sz w:val="24"/>
          <w:szCs w:val="24"/>
        </w:rPr>
        <w:t>El citado artículo 12, exige igualmente tener como mínimo 1.000 semanas de cotización.</w:t>
      </w:r>
    </w:p>
    <w:p w:rsidR="00ED6378" w:rsidRDefault="00ED6378" w:rsidP="00F2072F">
      <w:pPr>
        <w:pStyle w:val="Sinespaciado"/>
        <w:spacing w:line="276" w:lineRule="auto"/>
        <w:contextualSpacing/>
        <w:jc w:val="both"/>
        <w:rPr>
          <w:rFonts w:ascii="Arial" w:hAnsi="Arial" w:cs="Arial"/>
          <w:iCs/>
          <w:sz w:val="24"/>
          <w:szCs w:val="24"/>
        </w:rPr>
      </w:pPr>
    </w:p>
    <w:p w:rsidR="00ED6378" w:rsidRDefault="00ED6378" w:rsidP="00ED6378">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este último canon y el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ED6378" w:rsidRDefault="00ED6378" w:rsidP="00ED6378">
      <w:pPr>
        <w:pStyle w:val="Textoindependiente"/>
        <w:ind w:firstLine="708"/>
        <w:contextualSpacing/>
        <w:rPr>
          <w:color w:val="000000"/>
          <w:szCs w:val="24"/>
          <w:shd w:val="clear" w:color="auto" w:fill="FFFFFF"/>
          <w:lang w:val="es-ES"/>
        </w:rPr>
      </w:pPr>
    </w:p>
    <w:p w:rsidR="00ED6378" w:rsidRDefault="00ED6378" w:rsidP="00ED6378">
      <w:pPr>
        <w:spacing w:line="276" w:lineRule="auto"/>
        <w:contextualSpacing/>
        <w:jc w:val="both"/>
        <w:rPr>
          <w:rFonts w:ascii="Arial" w:hAnsi="Arial" w:cs="Arial"/>
          <w:szCs w:val="24"/>
        </w:rPr>
      </w:pPr>
      <w:r w:rsidRPr="00403271">
        <w:rPr>
          <w:rFonts w:ascii="Arial" w:hAnsi="Arial" w:cs="Arial"/>
          <w:color w:val="000000"/>
          <w:szCs w:val="24"/>
          <w:shd w:val="clear" w:color="auto" w:fill="FFFFFF"/>
          <w:lang w:val="es-ES"/>
        </w:rPr>
        <w:t xml:space="preserve">Al respecto,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ha </w:t>
      </w:r>
      <w:r>
        <w:rPr>
          <w:rFonts w:ascii="Arial" w:hAnsi="Arial" w:cs="Arial"/>
          <w:color w:val="000000"/>
          <w:szCs w:val="24"/>
          <w:shd w:val="clear" w:color="auto" w:fill="FFFFFF"/>
          <w:lang w:val="es-ES"/>
        </w:rPr>
        <w:t xml:space="preserve">reiterado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14"/>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w:t>
      </w:r>
      <w:r w:rsidRPr="00403271">
        <w:rPr>
          <w:rFonts w:ascii="Arial" w:hAnsi="Arial" w:cs="Arial"/>
          <w:color w:val="000000"/>
          <w:szCs w:val="24"/>
          <w:shd w:val="clear" w:color="auto" w:fill="FFFFFF"/>
          <w:lang w:val="es-ES"/>
        </w:rPr>
        <w:lastRenderedPageBreak/>
        <w:t xml:space="preserve">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15"/>
      </w:r>
      <w:r w:rsidRPr="00403271">
        <w:rPr>
          <w:rFonts w:ascii="Arial" w:hAnsi="Arial" w:cs="Arial"/>
          <w:szCs w:val="24"/>
        </w:rPr>
        <w:t>.</w:t>
      </w:r>
    </w:p>
    <w:p w:rsidR="00F2072F" w:rsidRPr="003D0B53" w:rsidRDefault="00F2072F" w:rsidP="00F2072F">
      <w:pPr>
        <w:pStyle w:val="Sinespaciado"/>
        <w:spacing w:line="276" w:lineRule="auto"/>
        <w:contextualSpacing/>
        <w:jc w:val="both"/>
        <w:rPr>
          <w:rFonts w:ascii="Arial" w:hAnsi="Arial" w:cs="Arial"/>
          <w:b/>
          <w:iCs/>
          <w:sz w:val="24"/>
          <w:szCs w:val="24"/>
        </w:rPr>
      </w:pPr>
      <w:r w:rsidRPr="003D0B53">
        <w:rPr>
          <w:rFonts w:ascii="Arial" w:hAnsi="Arial" w:cs="Arial"/>
          <w:b/>
          <w:iCs/>
          <w:sz w:val="24"/>
          <w:szCs w:val="24"/>
        </w:rPr>
        <w:t>2.3.2. Fundamento fáctico</w:t>
      </w:r>
    </w:p>
    <w:p w:rsidR="00F2072F" w:rsidRDefault="00F2072F" w:rsidP="00F2072F">
      <w:pPr>
        <w:pStyle w:val="Sinespaciado"/>
        <w:spacing w:line="276" w:lineRule="auto"/>
        <w:contextualSpacing/>
        <w:jc w:val="both"/>
        <w:rPr>
          <w:rFonts w:ascii="Arial" w:hAnsi="Arial" w:cs="Arial"/>
          <w:iCs/>
          <w:sz w:val="24"/>
          <w:szCs w:val="24"/>
        </w:rPr>
      </w:pPr>
    </w:p>
    <w:p w:rsidR="00F2072F" w:rsidRDefault="00F2072F" w:rsidP="00F2072F">
      <w:pPr>
        <w:pStyle w:val="Sinespaciado"/>
        <w:spacing w:line="276" w:lineRule="auto"/>
        <w:contextualSpacing/>
        <w:jc w:val="both"/>
        <w:rPr>
          <w:rFonts w:ascii="Arial" w:hAnsi="Arial" w:cs="Arial"/>
          <w:sz w:val="24"/>
          <w:szCs w:val="24"/>
        </w:rPr>
      </w:pPr>
      <w:r>
        <w:rPr>
          <w:rFonts w:ascii="Arial" w:hAnsi="Arial" w:cs="Arial"/>
          <w:iCs/>
          <w:sz w:val="24"/>
          <w:szCs w:val="24"/>
        </w:rPr>
        <w:t>Conforme al contenido de la historia laboral –</w:t>
      </w:r>
      <w:proofErr w:type="spellStart"/>
      <w:r w:rsidRPr="009129AD">
        <w:rPr>
          <w:rFonts w:ascii="Arial" w:hAnsi="Arial" w:cs="Arial"/>
          <w:i/>
          <w:iCs/>
          <w:sz w:val="24"/>
          <w:szCs w:val="24"/>
        </w:rPr>
        <w:t>fl</w:t>
      </w:r>
      <w:proofErr w:type="spellEnd"/>
      <w:r w:rsidRPr="009129AD">
        <w:rPr>
          <w:rFonts w:ascii="Arial" w:hAnsi="Arial" w:cs="Arial"/>
          <w:i/>
          <w:iCs/>
          <w:sz w:val="24"/>
          <w:szCs w:val="24"/>
        </w:rPr>
        <w:t>. 169 y s.s. del cd. 1</w:t>
      </w:r>
      <w:r>
        <w:rPr>
          <w:rFonts w:ascii="Arial" w:hAnsi="Arial" w:cs="Arial"/>
          <w:iCs/>
          <w:sz w:val="24"/>
          <w:szCs w:val="24"/>
        </w:rPr>
        <w:t>-, se tiene que el actor en toda su vida laboral</w:t>
      </w:r>
      <w:r w:rsidR="009129AD">
        <w:rPr>
          <w:rFonts w:ascii="Arial" w:hAnsi="Arial" w:cs="Arial"/>
          <w:iCs/>
          <w:sz w:val="24"/>
          <w:szCs w:val="24"/>
        </w:rPr>
        <w:t>, es decir, hasta septiembre de 2010,</w:t>
      </w:r>
      <w:r>
        <w:rPr>
          <w:rFonts w:ascii="Arial" w:hAnsi="Arial" w:cs="Arial"/>
          <w:iCs/>
          <w:sz w:val="24"/>
          <w:szCs w:val="24"/>
        </w:rPr>
        <w:t xml:space="preserve"> registra un total de 2.122,78 semanas cotizadas, es decir, que supera en 1.372,78 las primeras 750 cotizadas</w:t>
      </w:r>
      <w:r w:rsidR="00ED6378">
        <w:rPr>
          <w:rFonts w:ascii="Arial" w:hAnsi="Arial" w:cs="Arial"/>
          <w:iCs/>
          <w:sz w:val="24"/>
          <w:szCs w:val="24"/>
        </w:rPr>
        <w:t>, que en virtud de simples operaciones aritmé</w:t>
      </w:r>
      <w:r w:rsidR="009129AD">
        <w:rPr>
          <w:rFonts w:ascii="Arial" w:hAnsi="Arial" w:cs="Arial"/>
          <w:iCs/>
          <w:sz w:val="24"/>
          <w:szCs w:val="24"/>
        </w:rPr>
        <w:t>ticas, le disminuirían la edad, incluso en un número mayor al que requería para ese momento</w:t>
      </w:r>
      <w:r w:rsidR="00ED6378">
        <w:rPr>
          <w:rFonts w:ascii="Arial" w:hAnsi="Arial" w:cs="Arial"/>
          <w:iCs/>
          <w:sz w:val="24"/>
          <w:szCs w:val="24"/>
        </w:rPr>
        <w:t>; pero como la última cotización</w:t>
      </w:r>
      <w:r w:rsidR="009129AD">
        <w:rPr>
          <w:rFonts w:ascii="Arial" w:hAnsi="Arial" w:cs="Arial"/>
          <w:iCs/>
          <w:sz w:val="24"/>
          <w:szCs w:val="24"/>
        </w:rPr>
        <w:t>, se itera,</w:t>
      </w:r>
      <w:r w:rsidR="00ED6378">
        <w:rPr>
          <w:rFonts w:ascii="Arial" w:hAnsi="Arial" w:cs="Arial"/>
          <w:iCs/>
          <w:sz w:val="24"/>
          <w:szCs w:val="24"/>
        </w:rPr>
        <w:t xml:space="preserve"> la</w:t>
      </w:r>
      <w:r>
        <w:rPr>
          <w:rFonts w:ascii="Arial" w:hAnsi="Arial" w:cs="Arial"/>
          <w:sz w:val="24"/>
          <w:szCs w:val="24"/>
        </w:rPr>
        <w:t xml:space="preserve"> realizó </w:t>
      </w:r>
      <w:r w:rsidR="00ED6378">
        <w:rPr>
          <w:rFonts w:ascii="Arial" w:hAnsi="Arial" w:cs="Arial"/>
          <w:sz w:val="24"/>
          <w:szCs w:val="24"/>
        </w:rPr>
        <w:t xml:space="preserve">en el mes de agosto </w:t>
      </w:r>
      <w:r w:rsidR="00555B45">
        <w:rPr>
          <w:rFonts w:ascii="Arial" w:hAnsi="Arial" w:cs="Arial"/>
          <w:sz w:val="24"/>
          <w:szCs w:val="24"/>
        </w:rPr>
        <w:t xml:space="preserve">de 2010 y </w:t>
      </w:r>
      <w:r>
        <w:rPr>
          <w:rFonts w:ascii="Arial" w:hAnsi="Arial" w:cs="Arial"/>
          <w:sz w:val="24"/>
          <w:szCs w:val="24"/>
        </w:rPr>
        <w:t xml:space="preserve">elevó la solicitud de reconocimiento pensional el 22/01/2014, conforme se expresa en la Resolución N° </w:t>
      </w:r>
      <w:proofErr w:type="spellStart"/>
      <w:r>
        <w:rPr>
          <w:rFonts w:ascii="Arial" w:hAnsi="Arial" w:cs="Arial"/>
          <w:sz w:val="24"/>
          <w:szCs w:val="24"/>
        </w:rPr>
        <w:t>GNR</w:t>
      </w:r>
      <w:proofErr w:type="spellEnd"/>
      <w:r>
        <w:rPr>
          <w:rFonts w:ascii="Arial" w:hAnsi="Arial" w:cs="Arial"/>
          <w:sz w:val="24"/>
          <w:szCs w:val="24"/>
        </w:rPr>
        <w:t xml:space="preserve"> 212695 del 11/06/2014 –</w:t>
      </w:r>
      <w:proofErr w:type="spellStart"/>
      <w:r>
        <w:rPr>
          <w:rFonts w:ascii="Arial" w:hAnsi="Arial" w:cs="Arial"/>
          <w:sz w:val="24"/>
          <w:szCs w:val="24"/>
        </w:rPr>
        <w:t>fl</w:t>
      </w:r>
      <w:proofErr w:type="spellEnd"/>
      <w:r>
        <w:rPr>
          <w:rFonts w:ascii="Arial" w:hAnsi="Arial" w:cs="Arial"/>
          <w:sz w:val="24"/>
          <w:szCs w:val="24"/>
        </w:rPr>
        <w:t>. 48</w:t>
      </w:r>
      <w:r w:rsidR="00555B45">
        <w:rPr>
          <w:rFonts w:ascii="Arial" w:hAnsi="Arial" w:cs="Arial"/>
          <w:sz w:val="24"/>
          <w:szCs w:val="24"/>
        </w:rPr>
        <w:t xml:space="preserve">-; </w:t>
      </w:r>
      <w:r>
        <w:rPr>
          <w:rFonts w:ascii="Arial" w:hAnsi="Arial" w:cs="Arial"/>
          <w:sz w:val="24"/>
          <w:szCs w:val="24"/>
        </w:rPr>
        <w:t xml:space="preserve">desde la última cotización realizada podría entenderse que se configuró la desafiliación del sistema en términos jurisprudenciales, por ser ese el acto externo </w:t>
      </w:r>
      <w:r w:rsidR="00555B45">
        <w:rPr>
          <w:rFonts w:ascii="Arial" w:hAnsi="Arial" w:cs="Arial"/>
          <w:sz w:val="24"/>
          <w:szCs w:val="24"/>
        </w:rPr>
        <w:t xml:space="preserve">indicativo de tal voluntad y, consecuente con ello, tendría derecho al disfrute de la </w:t>
      </w:r>
      <w:r w:rsidR="00380706">
        <w:rPr>
          <w:rFonts w:ascii="Arial" w:hAnsi="Arial" w:cs="Arial"/>
          <w:sz w:val="24"/>
          <w:szCs w:val="24"/>
        </w:rPr>
        <w:t>pensión a partir</w:t>
      </w:r>
      <w:r w:rsidR="00F71AFC">
        <w:rPr>
          <w:rFonts w:ascii="Arial" w:hAnsi="Arial" w:cs="Arial"/>
          <w:sz w:val="24"/>
          <w:szCs w:val="24"/>
        </w:rPr>
        <w:t xml:space="preserve"> del 01/09/2010, cuando tenía 55</w:t>
      </w:r>
      <w:r w:rsidR="00380706">
        <w:rPr>
          <w:rFonts w:ascii="Arial" w:hAnsi="Arial" w:cs="Arial"/>
          <w:sz w:val="24"/>
          <w:szCs w:val="24"/>
        </w:rPr>
        <w:t xml:space="preserve"> años de edad.</w:t>
      </w:r>
    </w:p>
    <w:p w:rsidR="00F2072F" w:rsidRDefault="00F2072F" w:rsidP="00F2072F">
      <w:pPr>
        <w:pStyle w:val="Sinespaciado"/>
        <w:spacing w:line="276" w:lineRule="auto"/>
        <w:contextualSpacing/>
        <w:jc w:val="both"/>
        <w:rPr>
          <w:rFonts w:ascii="Arial" w:hAnsi="Arial" w:cs="Arial"/>
          <w:sz w:val="24"/>
          <w:szCs w:val="24"/>
        </w:rPr>
      </w:pPr>
    </w:p>
    <w:p w:rsidR="00F2072F" w:rsidRDefault="00F2072F" w:rsidP="00F2072F">
      <w:pPr>
        <w:pStyle w:val="Sinespaciado"/>
        <w:spacing w:line="276" w:lineRule="auto"/>
        <w:jc w:val="both"/>
        <w:rPr>
          <w:rFonts w:ascii="Arial" w:hAnsi="Arial" w:cs="Arial"/>
          <w:sz w:val="24"/>
          <w:szCs w:val="24"/>
        </w:rPr>
      </w:pPr>
      <w:r>
        <w:rPr>
          <w:rFonts w:ascii="Arial" w:hAnsi="Arial" w:cs="Arial"/>
          <w:sz w:val="24"/>
          <w:szCs w:val="24"/>
        </w:rPr>
        <w:t>Sin embargo, como la jueza de primer grado determinó que lo era a partir del 22/</w:t>
      </w:r>
      <w:r w:rsidR="00555B45">
        <w:rPr>
          <w:rFonts w:ascii="Arial" w:hAnsi="Arial" w:cs="Arial"/>
          <w:sz w:val="24"/>
          <w:szCs w:val="24"/>
        </w:rPr>
        <w:t>01</w:t>
      </w:r>
      <w:r>
        <w:rPr>
          <w:rFonts w:ascii="Arial" w:hAnsi="Arial" w:cs="Arial"/>
          <w:sz w:val="24"/>
          <w:szCs w:val="24"/>
        </w:rPr>
        <w:t xml:space="preserve">/2014 y ese aspecto no fue motivo de apelación por la parte actora y la decisión por ella adoptada se revisa en virtud del grado jurisdiccional de consulta que se surte a favor de </w:t>
      </w:r>
      <w:proofErr w:type="spellStart"/>
      <w:r>
        <w:rPr>
          <w:rFonts w:ascii="Arial" w:hAnsi="Arial" w:cs="Arial"/>
          <w:sz w:val="24"/>
          <w:szCs w:val="24"/>
        </w:rPr>
        <w:t>Colpensiones</w:t>
      </w:r>
      <w:proofErr w:type="spellEnd"/>
      <w:r>
        <w:rPr>
          <w:rFonts w:ascii="Arial" w:hAnsi="Arial" w:cs="Arial"/>
          <w:sz w:val="24"/>
          <w:szCs w:val="24"/>
        </w:rPr>
        <w:t xml:space="preserve"> y la alzada presentada por esa misma entidad frente a otro talante, no es posible modificarla y por lo tanto, permanecerá incólume.</w:t>
      </w:r>
    </w:p>
    <w:p w:rsidR="00F2072F" w:rsidRDefault="00F2072F" w:rsidP="00F2072F">
      <w:pPr>
        <w:pStyle w:val="Sinespaciado"/>
        <w:spacing w:line="276" w:lineRule="auto"/>
        <w:jc w:val="both"/>
        <w:rPr>
          <w:rFonts w:ascii="Arial" w:hAnsi="Arial" w:cs="Arial"/>
          <w:sz w:val="24"/>
          <w:szCs w:val="24"/>
        </w:rPr>
      </w:pPr>
    </w:p>
    <w:p w:rsidR="00F2072F" w:rsidRPr="00140527" w:rsidRDefault="00F2072F" w:rsidP="00F2072F">
      <w:pPr>
        <w:pStyle w:val="Sinespaciado"/>
        <w:spacing w:line="276" w:lineRule="auto"/>
        <w:contextualSpacing/>
        <w:jc w:val="both"/>
        <w:rPr>
          <w:rFonts w:ascii="Arial" w:hAnsi="Arial" w:cs="Arial"/>
          <w:b/>
          <w:sz w:val="24"/>
          <w:szCs w:val="24"/>
        </w:rPr>
      </w:pPr>
      <w:r>
        <w:rPr>
          <w:rFonts w:ascii="Arial" w:hAnsi="Arial" w:cs="Arial"/>
          <w:b/>
          <w:sz w:val="24"/>
          <w:szCs w:val="24"/>
        </w:rPr>
        <w:t>2.5</w:t>
      </w:r>
      <w:r w:rsidRPr="00140527">
        <w:rPr>
          <w:rFonts w:ascii="Arial" w:hAnsi="Arial" w:cs="Arial"/>
          <w:b/>
          <w:sz w:val="24"/>
          <w:szCs w:val="24"/>
        </w:rPr>
        <w:t>. De</w:t>
      </w:r>
      <w:r>
        <w:rPr>
          <w:rFonts w:ascii="Arial" w:hAnsi="Arial" w:cs="Arial"/>
          <w:b/>
          <w:sz w:val="24"/>
          <w:szCs w:val="24"/>
        </w:rPr>
        <w:t xml:space="preserve"> la </w:t>
      </w:r>
      <w:r w:rsidRPr="00D119CC">
        <w:rPr>
          <w:rFonts w:ascii="Arial" w:hAnsi="Arial" w:cs="Arial"/>
          <w:b/>
          <w:sz w:val="24"/>
          <w:szCs w:val="24"/>
          <w:lang w:val="es-CO"/>
        </w:rPr>
        <w:t>asignación de la tasa de reemplazo</w:t>
      </w:r>
      <w:r w:rsidRPr="00140527">
        <w:rPr>
          <w:rFonts w:ascii="Arial" w:hAnsi="Arial" w:cs="Arial"/>
          <w:b/>
          <w:sz w:val="24"/>
          <w:szCs w:val="24"/>
        </w:rPr>
        <w:t xml:space="preserve"> </w:t>
      </w:r>
      <w:r>
        <w:rPr>
          <w:rFonts w:ascii="Arial" w:hAnsi="Arial" w:cs="Arial"/>
          <w:b/>
          <w:sz w:val="24"/>
          <w:szCs w:val="24"/>
        </w:rPr>
        <w:t>y la de</w:t>
      </w:r>
      <w:r w:rsidRPr="00140527">
        <w:rPr>
          <w:rFonts w:ascii="Arial" w:hAnsi="Arial" w:cs="Arial"/>
          <w:b/>
          <w:sz w:val="24"/>
          <w:szCs w:val="24"/>
        </w:rPr>
        <w:t xml:space="preserve">terminación del </w:t>
      </w:r>
      <w:proofErr w:type="spellStart"/>
      <w:r w:rsidRPr="00140527">
        <w:rPr>
          <w:rFonts w:ascii="Arial" w:hAnsi="Arial" w:cs="Arial"/>
          <w:b/>
          <w:sz w:val="24"/>
          <w:szCs w:val="24"/>
        </w:rPr>
        <w:t>IBL</w:t>
      </w:r>
      <w:proofErr w:type="spellEnd"/>
      <w:r w:rsidRPr="00140527">
        <w:rPr>
          <w:rFonts w:ascii="Arial" w:hAnsi="Arial" w:cs="Arial"/>
          <w:b/>
          <w:sz w:val="24"/>
          <w:szCs w:val="24"/>
        </w:rPr>
        <w:t xml:space="preserve"> </w:t>
      </w:r>
      <w:r w:rsidRPr="00D119CC">
        <w:rPr>
          <w:rFonts w:ascii="Arial" w:hAnsi="Arial" w:cs="Arial"/>
          <w:b/>
          <w:sz w:val="24"/>
          <w:szCs w:val="24"/>
          <w:lang w:val="es-CO"/>
        </w:rPr>
        <w:t xml:space="preserve"> </w:t>
      </w:r>
    </w:p>
    <w:p w:rsidR="00F2072F" w:rsidRDefault="00F2072F" w:rsidP="00F2072F">
      <w:pPr>
        <w:pStyle w:val="Sinespaciado"/>
        <w:spacing w:line="276" w:lineRule="auto"/>
        <w:contextualSpacing/>
        <w:jc w:val="both"/>
        <w:rPr>
          <w:rFonts w:ascii="Arial" w:eastAsia="Times New Roman" w:hAnsi="Arial"/>
          <w:sz w:val="24"/>
          <w:szCs w:val="24"/>
          <w:lang w:eastAsia="es-ES"/>
        </w:rPr>
      </w:pPr>
    </w:p>
    <w:p w:rsidR="00F2072F" w:rsidRPr="00030B32" w:rsidRDefault="00F2072F" w:rsidP="00F2072F">
      <w:pPr>
        <w:pStyle w:val="Textoindependiente"/>
        <w:spacing w:line="276" w:lineRule="auto"/>
        <w:contextualSpacing/>
        <w:rPr>
          <w:b/>
          <w:szCs w:val="24"/>
          <w:lang w:val="es-CO"/>
        </w:rPr>
      </w:pPr>
      <w:r>
        <w:rPr>
          <w:b/>
          <w:szCs w:val="24"/>
          <w:lang w:val="es-CO"/>
        </w:rPr>
        <w:t>2.5.1. Fundamento jurídico</w:t>
      </w:r>
    </w:p>
    <w:p w:rsidR="00917D04" w:rsidRDefault="00917D04" w:rsidP="00917D04">
      <w:pPr>
        <w:pStyle w:val="Textoindependiente"/>
        <w:spacing w:line="276" w:lineRule="auto"/>
        <w:contextualSpacing/>
        <w:rPr>
          <w:szCs w:val="24"/>
          <w:lang w:val="es-CO"/>
        </w:rPr>
      </w:pPr>
    </w:p>
    <w:p w:rsidR="00ED7907" w:rsidRDefault="00ED7907" w:rsidP="00ED7907">
      <w:pPr>
        <w:pStyle w:val="Textoindependiente"/>
        <w:spacing w:line="276" w:lineRule="auto"/>
        <w:contextualSpacing/>
        <w:rPr>
          <w:szCs w:val="24"/>
          <w:lang w:eastAsia="en-US"/>
        </w:rPr>
      </w:pPr>
      <w:r>
        <w:rPr>
          <w:szCs w:val="24"/>
          <w:lang w:val="es-CO"/>
        </w:rPr>
        <w:t>Para</w:t>
      </w:r>
      <w:r w:rsidRPr="00C6077C">
        <w:rPr>
          <w:szCs w:val="24"/>
          <w:lang w:eastAsia="en-US"/>
        </w:rPr>
        <w:t xml:space="preserve"> los benefici</w:t>
      </w:r>
      <w:r>
        <w:rPr>
          <w:szCs w:val="24"/>
          <w:lang w:eastAsia="en-US"/>
        </w:rPr>
        <w:t xml:space="preserve">arios del régimen de transición que se pensionaron bajo el régimen establecido en el Acuerdo 049/90, conforme al artículo 20, la tasa de reemplazo cuando se superan las 1250 semanas debe ser equivalente al 90% del </w:t>
      </w:r>
      <w:proofErr w:type="spellStart"/>
      <w:r>
        <w:rPr>
          <w:szCs w:val="24"/>
          <w:lang w:eastAsia="en-US"/>
        </w:rPr>
        <w:t>IBL</w:t>
      </w:r>
      <w:proofErr w:type="spellEnd"/>
      <w:r>
        <w:rPr>
          <w:szCs w:val="24"/>
          <w:lang w:eastAsia="en-US"/>
        </w:rPr>
        <w:t>.</w:t>
      </w:r>
    </w:p>
    <w:p w:rsidR="00A9107E" w:rsidRPr="00A9107E" w:rsidRDefault="0048080E" w:rsidP="00A9107E">
      <w:pPr>
        <w:pStyle w:val="NormalWeb"/>
        <w:spacing w:line="276" w:lineRule="auto"/>
        <w:contextualSpacing/>
        <w:jc w:val="both"/>
        <w:rPr>
          <w:rFonts w:ascii="Arial" w:hAnsi="Arial" w:cs="Arial"/>
        </w:rPr>
      </w:pPr>
      <w:r w:rsidRPr="00A9107E">
        <w:rPr>
          <w:rFonts w:ascii="Arial" w:hAnsi="Arial" w:cs="Arial"/>
          <w:lang w:eastAsia="en-US"/>
        </w:rPr>
        <w:t>A</w:t>
      </w:r>
      <w:r w:rsidR="009129AD" w:rsidRPr="00A9107E">
        <w:rPr>
          <w:rFonts w:ascii="Arial" w:hAnsi="Arial" w:cs="Arial"/>
          <w:lang w:eastAsia="en-US"/>
        </w:rPr>
        <w:t xml:space="preserve">hora, </w:t>
      </w:r>
      <w:r w:rsidR="00A9107E" w:rsidRPr="00A9107E">
        <w:rPr>
          <w:rFonts w:ascii="Arial" w:hAnsi="Arial" w:cs="Arial"/>
          <w:lang w:eastAsia="en-US"/>
        </w:rPr>
        <w:t xml:space="preserve">el </w:t>
      </w:r>
      <w:r w:rsidR="0048585D" w:rsidRPr="00A9107E">
        <w:rPr>
          <w:rFonts w:ascii="Arial" w:hAnsi="Arial" w:cs="Arial"/>
          <w:lang w:eastAsia="en-US"/>
        </w:rPr>
        <w:t xml:space="preserve"> </w:t>
      </w:r>
      <w:r w:rsidR="00A9107E" w:rsidRPr="00A9107E">
        <w:rPr>
          <w:rFonts w:ascii="Arial" w:hAnsi="Arial" w:cs="Arial"/>
          <w:lang w:eastAsia="en-US"/>
        </w:rPr>
        <w:t xml:space="preserve">artículo 8° </w:t>
      </w:r>
      <w:r w:rsidR="0048585D" w:rsidRPr="00A9107E">
        <w:rPr>
          <w:rFonts w:ascii="Arial" w:hAnsi="Arial" w:cs="Arial"/>
          <w:lang w:eastAsia="en-US"/>
        </w:rPr>
        <w:t>Decreto 1281/94</w:t>
      </w:r>
      <w:r w:rsidR="0048585D" w:rsidRPr="00A9107E">
        <w:rPr>
          <w:rStyle w:val="Refdenotaalpie"/>
          <w:rFonts w:ascii="Arial" w:hAnsi="Arial" w:cs="Arial"/>
          <w:lang w:eastAsia="en-US"/>
        </w:rPr>
        <w:footnoteReference w:id="16"/>
      </w:r>
      <w:r w:rsidR="0048585D" w:rsidRPr="00A9107E">
        <w:rPr>
          <w:rFonts w:ascii="Arial" w:hAnsi="Arial" w:cs="Arial"/>
          <w:lang w:eastAsia="en-US"/>
        </w:rPr>
        <w:t xml:space="preserve">, establece </w:t>
      </w:r>
      <w:r w:rsidR="00A9107E" w:rsidRPr="00A9107E">
        <w:rPr>
          <w:rFonts w:ascii="Arial" w:hAnsi="Arial" w:cs="Arial"/>
          <w:lang w:eastAsia="en-US"/>
        </w:rPr>
        <w:t xml:space="preserve">que el </w:t>
      </w:r>
      <w:proofErr w:type="spellStart"/>
      <w:r w:rsidR="00A9107E" w:rsidRPr="00A9107E">
        <w:rPr>
          <w:rFonts w:ascii="Arial" w:hAnsi="Arial" w:cs="Arial"/>
          <w:lang w:eastAsia="en-US"/>
        </w:rPr>
        <w:t>IBL</w:t>
      </w:r>
      <w:proofErr w:type="spellEnd"/>
      <w:r w:rsidR="00A9107E">
        <w:rPr>
          <w:rFonts w:ascii="Arial" w:hAnsi="Arial" w:cs="Arial"/>
          <w:lang w:eastAsia="en-US"/>
        </w:rPr>
        <w:t xml:space="preserve"> para aquellas personas que al 02 de junio de 1994, </w:t>
      </w:r>
      <w:r w:rsidR="00A9107E" w:rsidRPr="00A9107E">
        <w:rPr>
          <w:rFonts w:ascii="Arial" w:hAnsi="Arial" w:cs="Arial"/>
        </w:rPr>
        <w:t>les falta</w:t>
      </w:r>
      <w:r w:rsidR="00A9107E">
        <w:rPr>
          <w:rFonts w:ascii="Arial" w:hAnsi="Arial" w:cs="Arial"/>
        </w:rPr>
        <w:t xml:space="preserve">ban </w:t>
      </w:r>
      <w:r w:rsidR="00A9107E" w:rsidRPr="00A9107E">
        <w:rPr>
          <w:rFonts w:ascii="Arial" w:hAnsi="Arial" w:cs="Arial"/>
        </w:rPr>
        <w:t xml:space="preserve">menos de 10 años para adquirir el derecho, será el promedio de lo devengado en el tiempo que les hiciere falta para ello, o el cotizado durante todo el tiempo si este fuese superior, actualizado </w:t>
      </w:r>
      <w:r w:rsidR="00A9107E" w:rsidRPr="00A9107E">
        <w:rPr>
          <w:rFonts w:ascii="Arial" w:hAnsi="Arial" w:cs="Arial"/>
        </w:rPr>
        <w:lastRenderedPageBreak/>
        <w:t xml:space="preserve">anualmente con base en la variación del Índice de Precios al consumidor, según certificación que expida al </w:t>
      </w:r>
      <w:proofErr w:type="spellStart"/>
      <w:r w:rsidR="00A9107E" w:rsidRPr="00A9107E">
        <w:rPr>
          <w:rFonts w:ascii="Arial" w:hAnsi="Arial" w:cs="Arial"/>
        </w:rPr>
        <w:t>DANE</w:t>
      </w:r>
      <w:proofErr w:type="spellEnd"/>
      <w:r w:rsidR="00A9107E" w:rsidRPr="00A9107E">
        <w:rPr>
          <w:rFonts w:ascii="Arial" w:hAnsi="Arial" w:cs="Arial"/>
        </w:rPr>
        <w:t>.</w:t>
      </w:r>
    </w:p>
    <w:p w:rsidR="00A9107E" w:rsidRPr="00A9107E" w:rsidRDefault="00A9107E" w:rsidP="00A9107E">
      <w:pPr>
        <w:spacing w:before="100" w:beforeAutospacing="1" w:after="100" w:afterAutospacing="1" w:line="276" w:lineRule="auto"/>
        <w:contextualSpacing/>
        <w:jc w:val="both"/>
        <w:rPr>
          <w:rFonts w:ascii="Arial" w:hAnsi="Arial" w:cs="Arial"/>
          <w:szCs w:val="24"/>
          <w:lang w:val="es-ES"/>
        </w:rPr>
      </w:pPr>
      <w:r w:rsidRPr="00A9107E">
        <w:rPr>
          <w:rFonts w:ascii="Arial" w:hAnsi="Arial" w:cs="Arial"/>
          <w:szCs w:val="24"/>
          <w:lang w:val="es-ES"/>
        </w:rPr>
        <w:t>Sin embargo, cuando el tiempo que les hiciere falta fuese igual o inferior a dos (2) años a la entrada en vigencia del presente decreto, el ingreso base para liquidar la pensión será el promedio delo devengado en los dos (2) últimos años.</w:t>
      </w:r>
    </w:p>
    <w:p w:rsidR="00917D04" w:rsidRDefault="00917D04" w:rsidP="00917D04">
      <w:pPr>
        <w:pStyle w:val="Textoindependiente33"/>
        <w:spacing w:line="276" w:lineRule="auto"/>
        <w:contextualSpacing/>
        <w:rPr>
          <w:rFonts w:cs="Arial"/>
          <w:b/>
          <w:szCs w:val="24"/>
        </w:rPr>
      </w:pPr>
      <w:r>
        <w:rPr>
          <w:rFonts w:cs="Arial"/>
          <w:b/>
          <w:szCs w:val="24"/>
        </w:rPr>
        <w:t>2.5</w:t>
      </w:r>
      <w:r w:rsidRPr="009D1A17">
        <w:rPr>
          <w:rFonts w:cs="Arial"/>
          <w:b/>
          <w:szCs w:val="24"/>
        </w:rPr>
        <w:t>.2. Fundamento fáctico:</w:t>
      </w:r>
    </w:p>
    <w:p w:rsidR="00917D04" w:rsidRPr="009D1A17" w:rsidRDefault="00917D04" w:rsidP="00917D04">
      <w:pPr>
        <w:pStyle w:val="Textoindependiente33"/>
        <w:spacing w:line="276" w:lineRule="auto"/>
        <w:contextualSpacing/>
        <w:rPr>
          <w:rFonts w:cs="Arial"/>
          <w:b/>
          <w:szCs w:val="24"/>
        </w:rPr>
      </w:pPr>
    </w:p>
    <w:p w:rsidR="00917D04" w:rsidRDefault="00917D04" w:rsidP="00917D04">
      <w:pPr>
        <w:pStyle w:val="Textoindependiente33"/>
        <w:spacing w:line="276" w:lineRule="auto"/>
        <w:contextualSpacing/>
        <w:rPr>
          <w:rFonts w:cs="Arial"/>
          <w:szCs w:val="24"/>
        </w:rPr>
      </w:pPr>
      <w:r>
        <w:rPr>
          <w:rFonts w:cs="Arial"/>
          <w:szCs w:val="24"/>
        </w:rPr>
        <w:t xml:space="preserve">De </w:t>
      </w:r>
      <w:r w:rsidR="009554E8">
        <w:rPr>
          <w:rFonts w:cs="Arial"/>
          <w:szCs w:val="24"/>
        </w:rPr>
        <w:t>entrada debe decirse que como el actor</w:t>
      </w:r>
      <w:r>
        <w:rPr>
          <w:rFonts w:cs="Arial"/>
          <w:szCs w:val="24"/>
        </w:rPr>
        <w:t xml:space="preserve"> supera las 1.250</w:t>
      </w:r>
      <w:r>
        <w:rPr>
          <w:rStyle w:val="Refdenotaalpie"/>
          <w:rFonts w:cs="Arial"/>
          <w:szCs w:val="24"/>
        </w:rPr>
        <w:footnoteReference w:id="17"/>
      </w:r>
      <w:r>
        <w:rPr>
          <w:rFonts w:cs="Arial"/>
          <w:szCs w:val="24"/>
        </w:rPr>
        <w:t xml:space="preserve"> semanas de cotización, conforme al artículo 20 del Decreto 758/90, tiene derecho a una tasa de reemplazo equivalente al 90%, aspecto que no ofrece ninguna discusión.</w:t>
      </w:r>
    </w:p>
    <w:p w:rsidR="00917D04" w:rsidRDefault="00917D04" w:rsidP="00917D04">
      <w:pPr>
        <w:pStyle w:val="Textoindependiente33"/>
        <w:spacing w:line="276" w:lineRule="auto"/>
        <w:contextualSpacing/>
        <w:rPr>
          <w:rFonts w:cs="Arial"/>
          <w:szCs w:val="24"/>
        </w:rPr>
      </w:pPr>
    </w:p>
    <w:p w:rsidR="0048080E" w:rsidRDefault="0048080E" w:rsidP="0048080E">
      <w:pPr>
        <w:pStyle w:val="Textoindependiente33"/>
        <w:spacing w:line="276" w:lineRule="auto"/>
        <w:contextualSpacing/>
        <w:rPr>
          <w:rFonts w:cs="Arial"/>
          <w:szCs w:val="24"/>
        </w:rPr>
      </w:pPr>
      <w:r>
        <w:rPr>
          <w:rFonts w:cs="Arial"/>
          <w:szCs w:val="24"/>
        </w:rPr>
        <w:t>Conforme a la copia de</w:t>
      </w:r>
      <w:r w:rsidR="004D2C96">
        <w:rPr>
          <w:rFonts w:cs="Arial"/>
          <w:szCs w:val="24"/>
        </w:rPr>
        <w:t xml:space="preserve">l registro civil </w:t>
      </w:r>
      <w:r w:rsidR="00337DF9">
        <w:rPr>
          <w:rFonts w:cs="Arial"/>
          <w:szCs w:val="24"/>
        </w:rPr>
        <w:t xml:space="preserve"> de nacimiento </w:t>
      </w:r>
      <w:r w:rsidR="004D2C96">
        <w:rPr>
          <w:rFonts w:cs="Arial"/>
          <w:szCs w:val="24"/>
        </w:rPr>
        <w:t>–</w:t>
      </w:r>
      <w:proofErr w:type="spellStart"/>
      <w:r w:rsidR="004D2C96">
        <w:rPr>
          <w:rFonts w:cs="Arial"/>
          <w:szCs w:val="24"/>
        </w:rPr>
        <w:t>fl</w:t>
      </w:r>
      <w:proofErr w:type="spellEnd"/>
      <w:r w:rsidR="004D2C96">
        <w:rPr>
          <w:rFonts w:cs="Arial"/>
          <w:szCs w:val="24"/>
        </w:rPr>
        <w:t xml:space="preserve">. 22-, </w:t>
      </w:r>
      <w:r>
        <w:rPr>
          <w:rFonts w:cs="Arial"/>
          <w:szCs w:val="24"/>
        </w:rPr>
        <w:t xml:space="preserve">el demandante, </w:t>
      </w:r>
      <w:r w:rsidRPr="00C14A03">
        <w:rPr>
          <w:rFonts w:cs="Arial"/>
          <w:szCs w:val="24"/>
        </w:rPr>
        <w:t xml:space="preserve">nació el </w:t>
      </w:r>
      <w:r>
        <w:rPr>
          <w:rFonts w:cs="Arial"/>
          <w:szCs w:val="24"/>
        </w:rPr>
        <w:t>1</w:t>
      </w:r>
      <w:r w:rsidR="004D2C96">
        <w:rPr>
          <w:rFonts w:cs="Arial"/>
          <w:szCs w:val="24"/>
        </w:rPr>
        <w:t>8/08/1</w:t>
      </w:r>
      <w:r>
        <w:rPr>
          <w:rFonts w:cs="Arial"/>
          <w:szCs w:val="24"/>
        </w:rPr>
        <w:t>95</w:t>
      </w:r>
      <w:r w:rsidR="004D2C96">
        <w:rPr>
          <w:rFonts w:cs="Arial"/>
          <w:szCs w:val="24"/>
        </w:rPr>
        <w:t>5</w:t>
      </w:r>
      <w:r w:rsidRPr="00C14A03">
        <w:rPr>
          <w:rFonts w:cs="Arial"/>
          <w:szCs w:val="24"/>
        </w:rPr>
        <w:t xml:space="preserve">, </w:t>
      </w:r>
      <w:r>
        <w:rPr>
          <w:rFonts w:cs="Arial"/>
          <w:szCs w:val="24"/>
        </w:rPr>
        <w:t xml:space="preserve">lo que significa que </w:t>
      </w:r>
      <w:r w:rsidRPr="00C14A03">
        <w:rPr>
          <w:rFonts w:cs="Arial"/>
          <w:szCs w:val="24"/>
        </w:rPr>
        <w:t xml:space="preserve">a la entrada en vigencia </w:t>
      </w:r>
      <w:r w:rsidR="009F0B34">
        <w:rPr>
          <w:rFonts w:cs="Arial"/>
          <w:szCs w:val="24"/>
        </w:rPr>
        <w:t>del Decreto 1281/94</w:t>
      </w:r>
      <w:r w:rsidRPr="00C14A03">
        <w:rPr>
          <w:rFonts w:cs="Arial"/>
          <w:szCs w:val="24"/>
        </w:rPr>
        <w:t xml:space="preserve">, esto es, el </w:t>
      </w:r>
      <w:r w:rsidR="009F0B34">
        <w:rPr>
          <w:rFonts w:cs="Arial"/>
          <w:szCs w:val="24"/>
        </w:rPr>
        <w:t>2</w:t>
      </w:r>
      <w:r w:rsidRPr="00C14A03">
        <w:rPr>
          <w:rFonts w:cs="Arial"/>
          <w:szCs w:val="24"/>
        </w:rPr>
        <w:t xml:space="preserve"> de </w:t>
      </w:r>
      <w:r w:rsidR="009F0B34">
        <w:rPr>
          <w:rFonts w:cs="Arial"/>
          <w:szCs w:val="24"/>
        </w:rPr>
        <w:t xml:space="preserve">junio </w:t>
      </w:r>
      <w:r w:rsidRPr="00C14A03">
        <w:rPr>
          <w:rFonts w:cs="Arial"/>
          <w:szCs w:val="24"/>
        </w:rPr>
        <w:t xml:space="preserve">de 1994, contaba con </w:t>
      </w:r>
      <w:r w:rsidR="004D2C96">
        <w:rPr>
          <w:rFonts w:cs="Arial"/>
          <w:szCs w:val="24"/>
        </w:rPr>
        <w:t>38</w:t>
      </w:r>
      <w:r w:rsidRPr="00C14A03">
        <w:rPr>
          <w:rFonts w:cs="Arial"/>
          <w:szCs w:val="24"/>
        </w:rPr>
        <w:t xml:space="preserve"> años de edad</w:t>
      </w:r>
      <w:r w:rsidR="004D2C96">
        <w:rPr>
          <w:rFonts w:cs="Arial"/>
          <w:szCs w:val="24"/>
        </w:rPr>
        <w:t xml:space="preserve"> cumplidos</w:t>
      </w:r>
      <w:r w:rsidRPr="00C14A03">
        <w:rPr>
          <w:rFonts w:cs="Arial"/>
          <w:szCs w:val="24"/>
        </w:rPr>
        <w:t xml:space="preserve">, faltándole </w:t>
      </w:r>
      <w:r w:rsidR="00555B45">
        <w:rPr>
          <w:rFonts w:cs="Arial"/>
          <w:szCs w:val="24"/>
        </w:rPr>
        <w:t xml:space="preserve">mucho </w:t>
      </w:r>
      <w:r>
        <w:rPr>
          <w:rFonts w:cs="Arial"/>
          <w:szCs w:val="24"/>
        </w:rPr>
        <w:t xml:space="preserve">más de </w:t>
      </w:r>
      <w:r w:rsidR="00555B45">
        <w:rPr>
          <w:rFonts w:cs="Arial"/>
          <w:szCs w:val="24"/>
        </w:rPr>
        <w:t xml:space="preserve">10 </w:t>
      </w:r>
      <w:r>
        <w:rPr>
          <w:rFonts w:cs="Arial"/>
          <w:szCs w:val="24"/>
        </w:rPr>
        <w:t xml:space="preserve">años </w:t>
      </w:r>
      <w:r w:rsidRPr="00C14A03">
        <w:rPr>
          <w:rFonts w:cs="Arial"/>
          <w:szCs w:val="24"/>
        </w:rPr>
        <w:t>para a</w:t>
      </w:r>
      <w:r>
        <w:rPr>
          <w:rFonts w:cs="Arial"/>
          <w:szCs w:val="24"/>
        </w:rPr>
        <w:t>rribar a la edad requerida para acceder a la subvención por vejez</w:t>
      </w:r>
      <w:r w:rsidR="009F0B34">
        <w:rPr>
          <w:rFonts w:cs="Arial"/>
          <w:szCs w:val="24"/>
        </w:rPr>
        <w:t xml:space="preserve">, por lo que su </w:t>
      </w:r>
      <w:proofErr w:type="spellStart"/>
      <w:r w:rsidR="009F0B34">
        <w:rPr>
          <w:rFonts w:cs="Arial"/>
          <w:szCs w:val="24"/>
        </w:rPr>
        <w:t>IBL</w:t>
      </w:r>
      <w:proofErr w:type="spellEnd"/>
      <w:r w:rsidR="009F0B34">
        <w:rPr>
          <w:rFonts w:cs="Arial"/>
          <w:szCs w:val="24"/>
        </w:rPr>
        <w:t xml:space="preserve">, debe obtenerse con el promedio de los </w:t>
      </w:r>
      <w:r w:rsidRPr="00605B6B">
        <w:rPr>
          <w:rFonts w:cs="Arial"/>
          <w:szCs w:val="24"/>
        </w:rPr>
        <w:t>salarios</w:t>
      </w:r>
      <w:r w:rsidR="009F0B34">
        <w:rPr>
          <w:rFonts w:cs="Arial"/>
          <w:szCs w:val="24"/>
        </w:rPr>
        <w:t xml:space="preserve"> devengados en </w:t>
      </w:r>
      <w:r>
        <w:rPr>
          <w:rFonts w:cs="Arial"/>
          <w:szCs w:val="24"/>
        </w:rPr>
        <w:t xml:space="preserve">toda </w:t>
      </w:r>
      <w:r w:rsidR="009F0B34">
        <w:rPr>
          <w:rFonts w:cs="Arial"/>
          <w:szCs w:val="24"/>
        </w:rPr>
        <w:t>su</w:t>
      </w:r>
      <w:r>
        <w:rPr>
          <w:rFonts w:cs="Arial"/>
          <w:szCs w:val="24"/>
        </w:rPr>
        <w:t xml:space="preserve"> vida</w:t>
      </w:r>
      <w:r w:rsidR="00697250">
        <w:rPr>
          <w:rFonts w:cs="Arial"/>
          <w:szCs w:val="24"/>
        </w:rPr>
        <w:t xml:space="preserve"> y no el de los últimos 10 años, pues esta posibilidad no está prevista en el régimen de transición, por el cual se acude al Acuerdo 049/90.</w:t>
      </w:r>
    </w:p>
    <w:p w:rsidR="0048080E" w:rsidRDefault="0048080E" w:rsidP="0048080E">
      <w:pPr>
        <w:pStyle w:val="Textoindependiente33"/>
        <w:spacing w:line="276" w:lineRule="auto"/>
        <w:contextualSpacing/>
        <w:rPr>
          <w:rFonts w:cs="Arial"/>
          <w:szCs w:val="24"/>
        </w:rPr>
      </w:pPr>
    </w:p>
    <w:p w:rsidR="0048080E" w:rsidRPr="00E1383D" w:rsidRDefault="0048080E" w:rsidP="0048080E">
      <w:pPr>
        <w:pStyle w:val="Sinespaciado"/>
        <w:spacing w:line="276" w:lineRule="auto"/>
        <w:contextualSpacing/>
        <w:jc w:val="both"/>
        <w:rPr>
          <w:rFonts w:ascii="Arial" w:hAnsi="Arial" w:cs="Arial"/>
          <w:sz w:val="24"/>
          <w:szCs w:val="24"/>
        </w:rPr>
      </w:pPr>
      <w:r w:rsidRPr="00E1383D">
        <w:rPr>
          <w:rFonts w:ascii="Arial" w:hAnsi="Arial" w:cs="Arial"/>
          <w:sz w:val="24"/>
          <w:szCs w:val="24"/>
        </w:rPr>
        <w:t xml:space="preserve">Conforme con lo anterior, según la liquidación que hace parte integral del acta que se suscriba con ocasión de esta diligencia, una vez hecho el cálculo </w:t>
      </w:r>
      <w:r w:rsidR="00865D4C">
        <w:rPr>
          <w:rFonts w:ascii="Arial" w:hAnsi="Arial" w:cs="Arial"/>
          <w:sz w:val="24"/>
          <w:szCs w:val="24"/>
        </w:rPr>
        <w:t>pertinente</w:t>
      </w:r>
      <w:r w:rsidRPr="00E1383D">
        <w:rPr>
          <w:rFonts w:ascii="Arial" w:hAnsi="Arial" w:cs="Arial"/>
          <w:sz w:val="24"/>
          <w:szCs w:val="24"/>
        </w:rPr>
        <w:t xml:space="preserve">, se tiene que para el </w:t>
      </w:r>
      <w:r w:rsidR="004D2C96">
        <w:rPr>
          <w:rFonts w:ascii="Arial" w:hAnsi="Arial" w:cs="Arial"/>
          <w:sz w:val="24"/>
          <w:szCs w:val="24"/>
        </w:rPr>
        <w:t>22/01/2014</w:t>
      </w:r>
      <w:r w:rsidRPr="00E1383D">
        <w:rPr>
          <w:rFonts w:ascii="Arial" w:hAnsi="Arial" w:cs="Arial"/>
          <w:sz w:val="24"/>
          <w:szCs w:val="24"/>
        </w:rPr>
        <w:t xml:space="preserve">, su </w:t>
      </w:r>
      <w:proofErr w:type="spellStart"/>
      <w:r w:rsidRPr="00E1383D">
        <w:rPr>
          <w:rFonts w:ascii="Arial" w:hAnsi="Arial" w:cs="Arial"/>
          <w:sz w:val="24"/>
          <w:szCs w:val="24"/>
        </w:rPr>
        <w:t>IBL</w:t>
      </w:r>
      <w:proofErr w:type="spellEnd"/>
      <w:r w:rsidRPr="00E1383D">
        <w:rPr>
          <w:rFonts w:ascii="Arial" w:hAnsi="Arial" w:cs="Arial"/>
          <w:sz w:val="24"/>
          <w:szCs w:val="24"/>
        </w:rPr>
        <w:t xml:space="preserve"> es de $</w:t>
      </w:r>
      <w:r w:rsidR="000E79C4">
        <w:rPr>
          <w:rFonts w:ascii="Arial" w:hAnsi="Arial" w:cs="Arial"/>
          <w:sz w:val="24"/>
          <w:szCs w:val="24"/>
        </w:rPr>
        <w:t>569.101</w:t>
      </w:r>
      <w:r w:rsidRPr="00E1383D">
        <w:rPr>
          <w:rFonts w:ascii="Arial" w:hAnsi="Arial" w:cs="Arial"/>
          <w:sz w:val="24"/>
          <w:szCs w:val="24"/>
        </w:rPr>
        <w:t xml:space="preserve">, que al extraérsele el 90% de la tasa de reemplazo aplicable, arroja una primera mesada pensional por valor de </w:t>
      </w:r>
      <w:r w:rsidRPr="005476B6">
        <w:rPr>
          <w:rFonts w:ascii="Arial" w:hAnsi="Arial" w:cs="Arial"/>
          <w:sz w:val="24"/>
          <w:szCs w:val="24"/>
        </w:rPr>
        <w:t>$</w:t>
      </w:r>
      <w:r w:rsidR="000E79C4" w:rsidRPr="005476B6">
        <w:rPr>
          <w:rFonts w:ascii="Arial" w:hAnsi="Arial" w:cs="Arial"/>
          <w:sz w:val="24"/>
          <w:szCs w:val="24"/>
        </w:rPr>
        <w:t>512.191</w:t>
      </w:r>
      <w:r w:rsidR="00C31121" w:rsidRPr="005476B6">
        <w:rPr>
          <w:rFonts w:ascii="Arial" w:hAnsi="Arial" w:cs="Arial"/>
          <w:sz w:val="24"/>
          <w:szCs w:val="24"/>
        </w:rPr>
        <w:t xml:space="preserve">, que al resultar inferior al </w:t>
      </w:r>
      <w:proofErr w:type="spellStart"/>
      <w:r w:rsidR="00C31121" w:rsidRPr="005476B6">
        <w:rPr>
          <w:rFonts w:ascii="Arial" w:hAnsi="Arial" w:cs="Arial"/>
          <w:sz w:val="24"/>
          <w:szCs w:val="24"/>
        </w:rPr>
        <w:t>SMLMV</w:t>
      </w:r>
      <w:proofErr w:type="spellEnd"/>
      <w:r w:rsidR="001F2919" w:rsidRPr="005476B6">
        <w:rPr>
          <w:rStyle w:val="Refdenotaalpie"/>
          <w:rFonts w:ascii="Arial" w:hAnsi="Arial" w:cs="Arial"/>
          <w:sz w:val="24"/>
          <w:szCs w:val="24"/>
        </w:rPr>
        <w:footnoteReference w:id="18"/>
      </w:r>
      <w:r w:rsidR="005476B6" w:rsidRPr="005476B6">
        <w:rPr>
          <w:rFonts w:ascii="Arial" w:hAnsi="Arial" w:cs="Arial"/>
          <w:sz w:val="24"/>
          <w:szCs w:val="24"/>
        </w:rPr>
        <w:t>, debe ser ajustado a es</w:t>
      </w:r>
      <w:r w:rsidR="00C31121" w:rsidRPr="005476B6">
        <w:rPr>
          <w:rFonts w:ascii="Arial" w:hAnsi="Arial" w:cs="Arial"/>
          <w:sz w:val="24"/>
          <w:szCs w:val="24"/>
        </w:rPr>
        <w:t>e monto.</w:t>
      </w:r>
    </w:p>
    <w:p w:rsidR="0048080E" w:rsidRPr="00E1383D" w:rsidRDefault="0048080E" w:rsidP="0048080E">
      <w:pPr>
        <w:pStyle w:val="Sinespaciado"/>
        <w:spacing w:line="276" w:lineRule="auto"/>
        <w:contextualSpacing/>
        <w:jc w:val="both"/>
        <w:rPr>
          <w:rFonts w:ascii="Arial" w:hAnsi="Arial" w:cs="Arial"/>
          <w:sz w:val="24"/>
          <w:szCs w:val="24"/>
        </w:rPr>
      </w:pPr>
    </w:p>
    <w:p w:rsidR="0048080E" w:rsidRDefault="0048080E" w:rsidP="0048080E">
      <w:pPr>
        <w:pStyle w:val="Textoindependiente"/>
        <w:spacing w:line="276" w:lineRule="auto"/>
        <w:contextualSpacing/>
        <w:rPr>
          <w:rFonts w:eastAsia="Times New Roman"/>
          <w:szCs w:val="24"/>
        </w:rPr>
      </w:pPr>
      <w:r w:rsidRPr="001D26D1">
        <w:rPr>
          <w:iCs/>
          <w:szCs w:val="24"/>
        </w:rPr>
        <w:t xml:space="preserve">En este orden de ideas, se genera </w:t>
      </w:r>
      <w:r>
        <w:rPr>
          <w:iCs/>
          <w:szCs w:val="24"/>
        </w:rPr>
        <w:t xml:space="preserve">como retroactivo pensional desde el </w:t>
      </w:r>
      <w:r w:rsidR="003E2670">
        <w:rPr>
          <w:iCs/>
          <w:szCs w:val="24"/>
        </w:rPr>
        <w:t>22/01/2014</w:t>
      </w:r>
      <w:r>
        <w:rPr>
          <w:iCs/>
          <w:szCs w:val="24"/>
        </w:rPr>
        <w:t xml:space="preserve"> y el 30/08/2017 un total de $</w:t>
      </w:r>
      <w:r w:rsidR="000E79C4">
        <w:rPr>
          <w:iCs/>
          <w:szCs w:val="24"/>
        </w:rPr>
        <w:t>33´487.029</w:t>
      </w:r>
      <w:r>
        <w:rPr>
          <w:iCs/>
          <w:szCs w:val="24"/>
        </w:rPr>
        <w:t xml:space="preserve">, el cual fue liquidado </w:t>
      </w:r>
      <w:r>
        <w:rPr>
          <w:rFonts w:eastAsia="Times New Roman"/>
          <w:szCs w:val="24"/>
        </w:rPr>
        <w:t>con base en 1</w:t>
      </w:r>
      <w:r w:rsidR="003E2670">
        <w:rPr>
          <w:rFonts w:eastAsia="Times New Roman"/>
          <w:szCs w:val="24"/>
        </w:rPr>
        <w:t>4</w:t>
      </w:r>
      <w:r>
        <w:rPr>
          <w:rFonts w:eastAsia="Times New Roman"/>
          <w:szCs w:val="24"/>
        </w:rPr>
        <w:t xml:space="preserve"> mesadas anuales, de conformidad con lo establecido en el parágrafo 6° del Acto Legislativo 01 de 2005</w:t>
      </w:r>
      <w:r w:rsidR="00132E72">
        <w:rPr>
          <w:rFonts w:eastAsia="Times New Roman"/>
          <w:szCs w:val="24"/>
        </w:rPr>
        <w:t>, por haber causado el derecho con anterioridad al 31/07/2011.</w:t>
      </w:r>
    </w:p>
    <w:p w:rsidR="0048080E" w:rsidRDefault="0048080E" w:rsidP="0048080E">
      <w:pPr>
        <w:pStyle w:val="Textoindependiente"/>
        <w:spacing w:line="276" w:lineRule="auto"/>
        <w:contextualSpacing/>
        <w:rPr>
          <w:iCs/>
          <w:szCs w:val="24"/>
        </w:rPr>
      </w:pPr>
    </w:p>
    <w:p w:rsidR="0048080E" w:rsidRPr="00506C76" w:rsidRDefault="0048080E" w:rsidP="0048080E">
      <w:pPr>
        <w:pStyle w:val="Sinespaciado"/>
        <w:spacing w:line="276" w:lineRule="auto"/>
        <w:contextualSpacing/>
        <w:jc w:val="both"/>
        <w:rPr>
          <w:rFonts w:ascii="Arial" w:eastAsia="Times New Roman" w:hAnsi="Arial"/>
          <w:sz w:val="24"/>
          <w:szCs w:val="24"/>
          <w:lang w:eastAsia="es-ES"/>
        </w:rPr>
      </w:pPr>
      <w:r w:rsidRPr="00506C76">
        <w:rPr>
          <w:rFonts w:ascii="Arial" w:eastAsia="Times New Roman" w:hAnsi="Arial"/>
          <w:sz w:val="24"/>
          <w:szCs w:val="24"/>
          <w:lang w:eastAsia="es-ES"/>
        </w:rPr>
        <w:t xml:space="preserve">Respecto de la suma anterior, se autorizará a la entidad demandada a realizar los descuentos correspondientes por </w:t>
      </w:r>
      <w:r>
        <w:rPr>
          <w:rFonts w:ascii="Arial" w:eastAsia="Times New Roman" w:hAnsi="Arial"/>
          <w:sz w:val="24"/>
          <w:szCs w:val="24"/>
          <w:lang w:eastAsia="es-ES"/>
        </w:rPr>
        <w:t>concepto de aportes a salud.</w:t>
      </w:r>
    </w:p>
    <w:p w:rsidR="00917D04" w:rsidRDefault="00917D04" w:rsidP="00917D04">
      <w:pPr>
        <w:pStyle w:val="Textoindependiente"/>
        <w:spacing w:line="276" w:lineRule="auto"/>
        <w:contextualSpacing/>
        <w:rPr>
          <w:iCs/>
          <w:szCs w:val="24"/>
        </w:rPr>
      </w:pPr>
    </w:p>
    <w:p w:rsidR="00C00D21" w:rsidRDefault="00C00D21" w:rsidP="00917D04">
      <w:pPr>
        <w:pStyle w:val="Sinespaciado"/>
        <w:spacing w:line="276" w:lineRule="auto"/>
        <w:contextualSpacing/>
        <w:jc w:val="both"/>
        <w:rPr>
          <w:rFonts w:ascii="Arial" w:eastAsia="Times New Roman" w:hAnsi="Arial"/>
          <w:sz w:val="24"/>
          <w:szCs w:val="24"/>
          <w:lang w:eastAsia="es-ES"/>
        </w:rPr>
      </w:pPr>
      <w:r>
        <w:rPr>
          <w:rFonts w:ascii="Arial" w:eastAsia="Times New Roman" w:hAnsi="Arial"/>
          <w:sz w:val="24"/>
          <w:szCs w:val="24"/>
          <w:lang w:eastAsia="es-ES"/>
        </w:rPr>
        <w:t>No se efectuaran disquisiciones referentes a la procedencia de los intereses moratorios previstos en el artículo 141 de la Ley 100 de 1993, como quiera que podría modificarse el momento determinado por la primera instancia, lo que no resulta posible por el grado jurisdiccional de consulta que se surte a favor de  la demandada.</w:t>
      </w:r>
    </w:p>
    <w:p w:rsidR="00C00D21" w:rsidRDefault="00C00D21" w:rsidP="00917D04">
      <w:pPr>
        <w:pStyle w:val="Sinespaciado"/>
        <w:spacing w:line="276" w:lineRule="auto"/>
        <w:contextualSpacing/>
        <w:jc w:val="both"/>
        <w:rPr>
          <w:rFonts w:ascii="Arial" w:eastAsia="Times New Roman" w:hAnsi="Arial"/>
          <w:sz w:val="24"/>
          <w:szCs w:val="24"/>
          <w:lang w:eastAsia="es-ES"/>
        </w:rPr>
      </w:pPr>
    </w:p>
    <w:p w:rsidR="00C00D21" w:rsidRPr="00506C76" w:rsidRDefault="00C00D21" w:rsidP="00917D04">
      <w:pPr>
        <w:pStyle w:val="Sinespaciado"/>
        <w:spacing w:line="276" w:lineRule="auto"/>
        <w:contextualSpacing/>
        <w:jc w:val="both"/>
        <w:rPr>
          <w:rFonts w:ascii="Arial" w:eastAsia="Times New Roman" w:hAnsi="Arial"/>
          <w:sz w:val="24"/>
          <w:szCs w:val="24"/>
          <w:lang w:eastAsia="es-ES"/>
        </w:rPr>
      </w:pPr>
      <w:r>
        <w:rPr>
          <w:rFonts w:ascii="Arial" w:eastAsia="Times New Roman" w:hAnsi="Arial"/>
          <w:sz w:val="24"/>
          <w:szCs w:val="24"/>
          <w:lang w:eastAsia="es-ES"/>
        </w:rPr>
        <w:t>No está llamada a prosperar la excepción de pres</w:t>
      </w:r>
      <w:r w:rsidR="006D64C1">
        <w:rPr>
          <w:rFonts w:ascii="Arial" w:eastAsia="Times New Roman" w:hAnsi="Arial"/>
          <w:sz w:val="24"/>
          <w:szCs w:val="24"/>
          <w:lang w:eastAsia="es-ES"/>
        </w:rPr>
        <w:t xml:space="preserve">cripción como quiera que entre la fecha determinada como disfrute de la pensión del actor y la de presentación de </w:t>
      </w:r>
      <w:r w:rsidR="006D64C1">
        <w:rPr>
          <w:rFonts w:ascii="Arial" w:eastAsia="Times New Roman" w:hAnsi="Arial"/>
          <w:sz w:val="24"/>
          <w:szCs w:val="24"/>
          <w:lang w:eastAsia="es-ES"/>
        </w:rPr>
        <w:lastRenderedPageBreak/>
        <w:t xml:space="preserve">la demanda -14/08/2015-, conforme al acta individual de reparto, visible a folio 67, no transcurrieron más de 3 años que prevé el artículo 151 del </w:t>
      </w:r>
      <w:proofErr w:type="spellStart"/>
      <w:r w:rsidR="006D64C1">
        <w:rPr>
          <w:rFonts w:ascii="Arial" w:eastAsia="Times New Roman" w:hAnsi="Arial"/>
          <w:sz w:val="24"/>
          <w:szCs w:val="24"/>
          <w:lang w:eastAsia="es-ES"/>
        </w:rPr>
        <w:t>C.P.L</w:t>
      </w:r>
      <w:proofErr w:type="spellEnd"/>
      <w:r w:rsidR="006D64C1">
        <w:rPr>
          <w:rFonts w:ascii="Arial" w:eastAsia="Times New Roman" w:hAnsi="Arial"/>
          <w:sz w:val="24"/>
          <w:szCs w:val="24"/>
          <w:lang w:eastAsia="es-ES"/>
        </w:rPr>
        <w:t xml:space="preserve">. </w:t>
      </w:r>
    </w:p>
    <w:p w:rsidR="005473B8" w:rsidRDefault="005473B8" w:rsidP="00C213D0">
      <w:pPr>
        <w:pStyle w:val="Sinespaciado"/>
        <w:spacing w:line="276" w:lineRule="auto"/>
        <w:contextualSpacing/>
        <w:jc w:val="both"/>
        <w:rPr>
          <w:rFonts w:ascii="Arial" w:hAnsi="Arial" w:cs="Arial"/>
          <w:iCs/>
          <w:sz w:val="24"/>
          <w:szCs w:val="24"/>
        </w:rPr>
      </w:pPr>
    </w:p>
    <w:p w:rsidR="005B215E" w:rsidRDefault="005B215E" w:rsidP="005B215E">
      <w:pPr>
        <w:pStyle w:val="Textoindependiente"/>
        <w:spacing w:line="276" w:lineRule="auto"/>
        <w:jc w:val="center"/>
        <w:rPr>
          <w:b/>
          <w:szCs w:val="24"/>
        </w:rPr>
      </w:pPr>
      <w:r w:rsidRPr="003D09CF">
        <w:rPr>
          <w:b/>
          <w:szCs w:val="24"/>
        </w:rPr>
        <w:t>CONCLUSIÓN</w:t>
      </w:r>
    </w:p>
    <w:p w:rsidR="006F2D18" w:rsidRDefault="006F2D18" w:rsidP="005B215E">
      <w:pPr>
        <w:pStyle w:val="Textoindependiente"/>
        <w:spacing w:line="276" w:lineRule="auto"/>
        <w:jc w:val="center"/>
        <w:rPr>
          <w:b/>
          <w:szCs w:val="24"/>
        </w:rPr>
      </w:pPr>
    </w:p>
    <w:p w:rsidR="0062649A" w:rsidRDefault="0062649A" w:rsidP="00EE629D">
      <w:pPr>
        <w:shd w:val="clear" w:color="auto" w:fill="FFFFFF"/>
        <w:spacing w:line="276" w:lineRule="auto"/>
        <w:jc w:val="both"/>
        <w:rPr>
          <w:rFonts w:ascii="Arial" w:hAnsi="Arial" w:cs="Arial"/>
          <w:szCs w:val="24"/>
        </w:rPr>
      </w:pPr>
      <w:r>
        <w:rPr>
          <w:rFonts w:ascii="Arial" w:hAnsi="Arial" w:cs="Arial"/>
          <w:szCs w:val="24"/>
        </w:rPr>
        <w:t xml:space="preserve">Conforme con lo expuesto, </w:t>
      </w:r>
      <w:r w:rsidR="00E73DC1">
        <w:rPr>
          <w:rFonts w:ascii="Arial" w:hAnsi="Arial" w:cs="Arial"/>
          <w:szCs w:val="24"/>
        </w:rPr>
        <w:t xml:space="preserve">se </w:t>
      </w:r>
      <w:r w:rsidR="00EA4839">
        <w:rPr>
          <w:rFonts w:ascii="Arial" w:hAnsi="Arial" w:cs="Arial"/>
          <w:szCs w:val="24"/>
        </w:rPr>
        <w:t xml:space="preserve">confirmará </w:t>
      </w:r>
      <w:r w:rsidR="00455713">
        <w:rPr>
          <w:rFonts w:ascii="Arial" w:hAnsi="Arial" w:cs="Arial"/>
          <w:szCs w:val="24"/>
        </w:rPr>
        <w:t>la decisión de primer grado</w:t>
      </w:r>
      <w:r w:rsidR="004D7FDC">
        <w:rPr>
          <w:rFonts w:ascii="Arial" w:hAnsi="Arial" w:cs="Arial"/>
          <w:szCs w:val="24"/>
        </w:rPr>
        <w:t xml:space="preserve">, salvo </w:t>
      </w:r>
      <w:r w:rsidR="00E27B45">
        <w:rPr>
          <w:rFonts w:ascii="Arial" w:hAnsi="Arial" w:cs="Arial"/>
          <w:szCs w:val="24"/>
        </w:rPr>
        <w:t>l</w:t>
      </w:r>
      <w:r w:rsidR="00673847">
        <w:rPr>
          <w:rFonts w:ascii="Arial" w:hAnsi="Arial" w:cs="Arial"/>
          <w:szCs w:val="24"/>
        </w:rPr>
        <w:t xml:space="preserve">os </w:t>
      </w:r>
      <w:r w:rsidR="00E27B45">
        <w:rPr>
          <w:rFonts w:ascii="Arial" w:hAnsi="Arial" w:cs="Arial"/>
          <w:szCs w:val="24"/>
        </w:rPr>
        <w:t xml:space="preserve"> </w:t>
      </w:r>
      <w:r w:rsidR="00590C35">
        <w:rPr>
          <w:rFonts w:ascii="Arial" w:hAnsi="Arial" w:cs="Arial"/>
          <w:szCs w:val="24"/>
        </w:rPr>
        <w:t xml:space="preserve"> </w:t>
      </w:r>
      <w:r w:rsidR="004D7FDC">
        <w:rPr>
          <w:rFonts w:ascii="Arial" w:hAnsi="Arial" w:cs="Arial"/>
          <w:szCs w:val="24"/>
        </w:rPr>
        <w:t>numeral</w:t>
      </w:r>
      <w:r w:rsidR="00673847">
        <w:rPr>
          <w:rFonts w:ascii="Arial" w:hAnsi="Arial" w:cs="Arial"/>
          <w:szCs w:val="24"/>
        </w:rPr>
        <w:t xml:space="preserve">es tercero y cuarto </w:t>
      </w:r>
      <w:r w:rsidR="004D7FDC">
        <w:rPr>
          <w:rFonts w:ascii="Arial" w:hAnsi="Arial" w:cs="Arial"/>
          <w:szCs w:val="24"/>
        </w:rPr>
        <w:t>que se modificará con el objeto de</w:t>
      </w:r>
      <w:r w:rsidR="00673847">
        <w:rPr>
          <w:rFonts w:ascii="Arial" w:hAnsi="Arial" w:cs="Arial"/>
          <w:szCs w:val="24"/>
        </w:rPr>
        <w:t xml:space="preserve"> precisar el monto de la pensión y</w:t>
      </w:r>
      <w:r w:rsidR="004D7FDC">
        <w:rPr>
          <w:rFonts w:ascii="Arial" w:hAnsi="Arial" w:cs="Arial"/>
          <w:szCs w:val="24"/>
        </w:rPr>
        <w:t xml:space="preserve"> </w:t>
      </w:r>
      <w:r w:rsidR="00E27B45">
        <w:rPr>
          <w:rFonts w:ascii="Arial" w:hAnsi="Arial" w:cs="Arial"/>
          <w:szCs w:val="24"/>
        </w:rPr>
        <w:t xml:space="preserve">actualizar la condena por concepto de retroactivo pensional </w:t>
      </w:r>
      <w:r w:rsidR="00673847">
        <w:rPr>
          <w:rFonts w:ascii="Arial" w:hAnsi="Arial" w:cs="Arial"/>
          <w:szCs w:val="24"/>
        </w:rPr>
        <w:t xml:space="preserve">liquidado hasta el </w:t>
      </w:r>
      <w:r w:rsidR="00E27B45">
        <w:rPr>
          <w:rFonts w:ascii="Arial" w:hAnsi="Arial" w:cs="Arial"/>
          <w:szCs w:val="24"/>
        </w:rPr>
        <w:t>31</w:t>
      </w:r>
      <w:r w:rsidR="003E2670">
        <w:rPr>
          <w:rFonts w:ascii="Arial" w:hAnsi="Arial" w:cs="Arial"/>
          <w:szCs w:val="24"/>
        </w:rPr>
        <w:t>/08</w:t>
      </w:r>
      <w:r w:rsidR="00673847">
        <w:rPr>
          <w:rFonts w:ascii="Arial" w:hAnsi="Arial" w:cs="Arial"/>
          <w:szCs w:val="24"/>
        </w:rPr>
        <w:t>/2017</w:t>
      </w:r>
      <w:r w:rsidR="00135378">
        <w:rPr>
          <w:rFonts w:ascii="Arial" w:hAnsi="Arial" w:cs="Arial"/>
          <w:szCs w:val="24"/>
        </w:rPr>
        <w:t>.</w:t>
      </w:r>
    </w:p>
    <w:p w:rsidR="00EA3CA8" w:rsidRDefault="00565E83" w:rsidP="00256248">
      <w:pPr>
        <w:spacing w:line="276" w:lineRule="auto"/>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w:t>
      </w:r>
      <w:r w:rsidR="00EA4839">
        <w:rPr>
          <w:rFonts w:ascii="Arial" w:hAnsi="Arial" w:cs="Arial"/>
          <w:szCs w:val="24"/>
        </w:rPr>
        <w:t xml:space="preserve">instancia </w:t>
      </w:r>
      <w:r w:rsidR="00673847">
        <w:rPr>
          <w:rFonts w:ascii="Arial" w:hAnsi="Arial" w:cs="Arial"/>
          <w:szCs w:val="24"/>
        </w:rPr>
        <w:t>a cargo de la entidad demandada y a favor del señor José William Morales Restrepo, al no prosperar la alzada</w:t>
      </w:r>
      <w:r w:rsidR="00756C95">
        <w:rPr>
          <w:rFonts w:ascii="Arial" w:hAnsi="Arial" w:cs="Arial"/>
          <w:szCs w:val="24"/>
        </w:rPr>
        <w:t>.</w:t>
      </w:r>
    </w:p>
    <w:p w:rsidR="00CA7621" w:rsidRDefault="00CA7621" w:rsidP="00256248">
      <w:pPr>
        <w:spacing w:line="276" w:lineRule="auto"/>
        <w:jc w:val="both"/>
        <w:rPr>
          <w:rFonts w:ascii="Arial" w:hAnsi="Arial" w:cs="Arial"/>
          <w:szCs w:val="24"/>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D7FDC" w:rsidRDefault="004D7FDC" w:rsidP="00256248">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3A202C" w:rsidRDefault="001320DB" w:rsidP="003A202C">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w:t>
      </w:r>
      <w:r w:rsidR="00121F87" w:rsidRPr="00D879A8">
        <w:rPr>
          <w:rFonts w:ascii="Arial" w:hAnsi="Arial" w:cs="Arial"/>
          <w:b/>
          <w:szCs w:val="24"/>
          <w:u w:val="single"/>
        </w:rPr>
        <w:t>ERO:</w:t>
      </w:r>
      <w:r w:rsidR="00121F87">
        <w:rPr>
          <w:rFonts w:ascii="Arial" w:hAnsi="Arial" w:cs="Arial"/>
          <w:b/>
          <w:szCs w:val="24"/>
        </w:rPr>
        <w:t xml:space="preserve"> </w:t>
      </w:r>
      <w:r w:rsidR="00EA4839">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101C39">
        <w:rPr>
          <w:rFonts w:ascii="Arial" w:hAnsi="Arial" w:cs="Arial"/>
          <w:szCs w:val="24"/>
        </w:rPr>
        <w:t xml:space="preserve">09 </w:t>
      </w:r>
      <w:r w:rsidR="00EA3CA8" w:rsidRPr="00D578CB">
        <w:rPr>
          <w:rFonts w:ascii="Arial" w:hAnsi="Arial" w:cs="Arial"/>
          <w:szCs w:val="24"/>
        </w:rPr>
        <w:t xml:space="preserve">de </w:t>
      </w:r>
      <w:r w:rsidR="00337DF9">
        <w:rPr>
          <w:rFonts w:ascii="Arial" w:hAnsi="Arial" w:cs="Arial"/>
          <w:szCs w:val="24"/>
        </w:rPr>
        <w:t xml:space="preserve">septiembre </w:t>
      </w:r>
      <w:r w:rsidR="00EA3CA8" w:rsidRPr="00D578CB">
        <w:rPr>
          <w:rFonts w:ascii="Arial" w:hAnsi="Arial" w:cs="Arial"/>
          <w:szCs w:val="24"/>
        </w:rPr>
        <w:t>de 201</w:t>
      </w:r>
      <w:r w:rsidR="00337DF9">
        <w:rPr>
          <w:rFonts w:ascii="Arial" w:hAnsi="Arial" w:cs="Arial"/>
          <w:szCs w:val="24"/>
        </w:rPr>
        <w:t>6</w:t>
      </w:r>
      <w:r w:rsidR="00EA3CA8" w:rsidRPr="00D578CB">
        <w:rPr>
          <w:rFonts w:ascii="Arial" w:hAnsi="Arial" w:cs="Arial"/>
          <w:szCs w:val="24"/>
        </w:rPr>
        <w:t xml:space="preserve"> por el Juzgado </w:t>
      </w:r>
      <w:r w:rsidR="00337DF9">
        <w:rPr>
          <w:rFonts w:ascii="Arial" w:hAnsi="Arial" w:cs="Arial"/>
          <w:szCs w:val="24"/>
        </w:rPr>
        <w:t xml:space="preserve">Primero </w:t>
      </w:r>
      <w:r w:rsidR="00EA3CA8" w:rsidRPr="00D578CB">
        <w:rPr>
          <w:rFonts w:ascii="Arial" w:hAnsi="Arial" w:cs="Arial"/>
          <w:szCs w:val="24"/>
        </w:rPr>
        <w:t xml:space="preserve">Laboral del Circuito de Pereira, dentro del proceso ordinario laboral propuesto por </w:t>
      </w:r>
      <w:r w:rsidR="00101C39">
        <w:rPr>
          <w:rFonts w:ascii="Arial" w:hAnsi="Arial" w:cs="Arial"/>
          <w:szCs w:val="24"/>
        </w:rPr>
        <w:t xml:space="preserve">el </w:t>
      </w:r>
      <w:r w:rsidR="00EA3CA8">
        <w:rPr>
          <w:rFonts w:ascii="Arial" w:hAnsi="Arial" w:cs="Arial"/>
          <w:szCs w:val="24"/>
        </w:rPr>
        <w:t xml:space="preserve">señor </w:t>
      </w:r>
      <w:r w:rsidR="00EA4F18">
        <w:rPr>
          <w:rFonts w:ascii="Arial" w:hAnsi="Arial" w:cs="Arial"/>
          <w:b/>
          <w:szCs w:val="24"/>
        </w:rPr>
        <w:t>José William Morales Restrepo</w:t>
      </w:r>
      <w:r w:rsidR="0026074C">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26074C">
        <w:rPr>
          <w:rFonts w:ascii="Arial" w:hAnsi="Arial" w:cs="Arial"/>
          <w:szCs w:val="24"/>
        </w:rPr>
        <w:t xml:space="preserve"> </w:t>
      </w:r>
      <w:r w:rsidR="00EA3CA8" w:rsidRPr="003440CA">
        <w:rPr>
          <w:rFonts w:ascii="Arial" w:hAnsi="Arial" w:cs="Arial"/>
          <w:szCs w:val="24"/>
        </w:rPr>
        <w:t xml:space="preserve">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proofErr w:type="spellStart"/>
      <w:r w:rsidR="00EA3CA8" w:rsidRPr="003440CA">
        <w:rPr>
          <w:rFonts w:ascii="Arial" w:hAnsi="Arial" w:cs="Arial"/>
          <w:b/>
          <w:bCs/>
          <w:szCs w:val="24"/>
        </w:rPr>
        <w:t>COLPENSIONES</w:t>
      </w:r>
      <w:proofErr w:type="spellEnd"/>
      <w:r w:rsidR="001365C6">
        <w:rPr>
          <w:rFonts w:ascii="Arial" w:hAnsi="Arial" w:cs="Arial"/>
          <w:bCs/>
          <w:szCs w:val="24"/>
        </w:rPr>
        <w:t>, conforme a lo exp</w:t>
      </w:r>
      <w:r w:rsidR="00EA3CA8">
        <w:rPr>
          <w:rFonts w:ascii="Arial" w:hAnsi="Arial" w:cs="Arial"/>
          <w:bCs/>
          <w:iCs/>
          <w:szCs w:val="24"/>
        </w:rPr>
        <w:t>uesto en la parte motiva de esta decisión</w:t>
      </w:r>
      <w:r w:rsidR="004D7FDC">
        <w:rPr>
          <w:rFonts w:ascii="Arial" w:hAnsi="Arial" w:cs="Arial"/>
          <w:bCs/>
          <w:iCs/>
          <w:szCs w:val="24"/>
        </w:rPr>
        <w:t>, salv</w:t>
      </w:r>
      <w:r w:rsidR="00C81112">
        <w:rPr>
          <w:rFonts w:ascii="Arial" w:hAnsi="Arial" w:cs="Arial"/>
          <w:bCs/>
          <w:iCs/>
          <w:szCs w:val="24"/>
        </w:rPr>
        <w:t>o</w:t>
      </w:r>
      <w:r w:rsidR="009B533F">
        <w:rPr>
          <w:rFonts w:ascii="Arial" w:hAnsi="Arial" w:cs="Arial"/>
          <w:bCs/>
          <w:iCs/>
          <w:szCs w:val="24"/>
        </w:rPr>
        <w:t xml:space="preserve"> </w:t>
      </w:r>
      <w:r w:rsidR="00673847">
        <w:rPr>
          <w:rFonts w:ascii="Arial" w:hAnsi="Arial" w:cs="Arial"/>
          <w:bCs/>
          <w:iCs/>
          <w:szCs w:val="24"/>
        </w:rPr>
        <w:t xml:space="preserve">los </w:t>
      </w:r>
      <w:r w:rsidR="00D72BE4">
        <w:rPr>
          <w:rFonts w:ascii="Arial" w:hAnsi="Arial" w:cs="Arial"/>
          <w:bCs/>
          <w:iCs/>
          <w:szCs w:val="24"/>
        </w:rPr>
        <w:t>numeral</w:t>
      </w:r>
      <w:r w:rsidR="00673847">
        <w:rPr>
          <w:rFonts w:ascii="Arial" w:hAnsi="Arial" w:cs="Arial"/>
          <w:bCs/>
          <w:iCs/>
          <w:szCs w:val="24"/>
        </w:rPr>
        <w:t>es</w:t>
      </w:r>
      <w:r w:rsidR="00D72BE4">
        <w:rPr>
          <w:rFonts w:ascii="Arial" w:hAnsi="Arial" w:cs="Arial"/>
          <w:bCs/>
          <w:iCs/>
          <w:szCs w:val="24"/>
        </w:rPr>
        <w:t xml:space="preserve"> </w:t>
      </w:r>
      <w:r w:rsidR="00673847">
        <w:rPr>
          <w:rFonts w:ascii="Arial" w:hAnsi="Arial" w:cs="Arial"/>
          <w:bCs/>
          <w:iCs/>
          <w:szCs w:val="24"/>
        </w:rPr>
        <w:t>tercero y c</w:t>
      </w:r>
      <w:r w:rsidR="00337DF9">
        <w:rPr>
          <w:rFonts w:ascii="Arial" w:hAnsi="Arial" w:cs="Arial"/>
          <w:bCs/>
          <w:iCs/>
          <w:szCs w:val="24"/>
        </w:rPr>
        <w:t>uarto</w:t>
      </w:r>
      <w:r w:rsidR="009B533F">
        <w:rPr>
          <w:rFonts w:ascii="Arial" w:hAnsi="Arial" w:cs="Arial"/>
          <w:bCs/>
          <w:iCs/>
          <w:szCs w:val="24"/>
        </w:rPr>
        <w:t>,</w:t>
      </w:r>
      <w:r w:rsidR="004D7FDC">
        <w:rPr>
          <w:rFonts w:ascii="Arial" w:hAnsi="Arial" w:cs="Arial"/>
          <w:bCs/>
          <w:iCs/>
          <w:szCs w:val="24"/>
        </w:rPr>
        <w:t xml:space="preserve"> que quedará así: </w:t>
      </w:r>
    </w:p>
    <w:p w:rsidR="004D7FDC" w:rsidRDefault="004D7FDC" w:rsidP="003A202C">
      <w:pPr>
        <w:widowControl w:val="0"/>
        <w:autoSpaceDE w:val="0"/>
        <w:autoSpaceDN w:val="0"/>
        <w:adjustRightInd w:val="0"/>
        <w:spacing w:line="276" w:lineRule="auto"/>
        <w:jc w:val="both"/>
        <w:rPr>
          <w:rFonts w:ascii="Arial" w:hAnsi="Arial" w:cs="Arial"/>
          <w:bCs/>
          <w:iCs/>
          <w:szCs w:val="24"/>
        </w:rPr>
      </w:pPr>
    </w:p>
    <w:p w:rsidR="00673847" w:rsidRDefault="00135378" w:rsidP="00555B45">
      <w:pPr>
        <w:widowControl w:val="0"/>
        <w:autoSpaceDE w:val="0"/>
        <w:autoSpaceDN w:val="0"/>
        <w:adjustRightInd w:val="0"/>
        <w:ind w:left="567" w:right="567"/>
        <w:jc w:val="both"/>
        <w:rPr>
          <w:rFonts w:ascii="Arial" w:hAnsi="Arial" w:cs="Arial"/>
          <w:bCs/>
          <w:i/>
          <w:iCs/>
          <w:sz w:val="22"/>
          <w:szCs w:val="22"/>
        </w:rPr>
      </w:pPr>
      <w:r>
        <w:rPr>
          <w:rFonts w:ascii="Arial" w:hAnsi="Arial" w:cs="Arial"/>
          <w:bCs/>
          <w:i/>
          <w:iCs/>
          <w:sz w:val="22"/>
          <w:szCs w:val="22"/>
        </w:rPr>
        <w:t>“</w:t>
      </w:r>
      <w:r w:rsidR="00673847">
        <w:rPr>
          <w:rFonts w:ascii="Arial" w:hAnsi="Arial" w:cs="Arial"/>
          <w:bCs/>
          <w:i/>
          <w:iCs/>
          <w:sz w:val="22"/>
          <w:szCs w:val="22"/>
        </w:rPr>
        <w:t>TERCERO</w:t>
      </w:r>
      <w:r w:rsidR="00101C39" w:rsidRPr="00590C35">
        <w:rPr>
          <w:rFonts w:ascii="Arial" w:hAnsi="Arial" w:cs="Arial"/>
          <w:bCs/>
          <w:i/>
          <w:iCs/>
          <w:sz w:val="22"/>
          <w:szCs w:val="22"/>
        </w:rPr>
        <w:t xml:space="preserve">: </w:t>
      </w:r>
      <w:r w:rsidR="00673847">
        <w:rPr>
          <w:rFonts w:ascii="Arial" w:hAnsi="Arial" w:cs="Arial"/>
          <w:bCs/>
          <w:i/>
          <w:iCs/>
          <w:sz w:val="22"/>
          <w:szCs w:val="22"/>
        </w:rPr>
        <w:t>DECLARA</w:t>
      </w:r>
      <w:r w:rsidR="00555B45">
        <w:rPr>
          <w:rFonts w:ascii="Arial" w:hAnsi="Arial" w:cs="Arial"/>
          <w:bCs/>
          <w:i/>
          <w:iCs/>
          <w:sz w:val="22"/>
          <w:szCs w:val="22"/>
        </w:rPr>
        <w:t>R</w:t>
      </w:r>
      <w:r w:rsidR="00673847">
        <w:rPr>
          <w:rFonts w:ascii="Arial" w:hAnsi="Arial" w:cs="Arial"/>
          <w:bCs/>
          <w:i/>
          <w:iCs/>
          <w:sz w:val="22"/>
          <w:szCs w:val="22"/>
        </w:rPr>
        <w:t xml:space="preserve"> que el señor José William Morales Restrepo, tiene derecho al reconocimiento y pago de la pensión especial de vejez por parte de la </w:t>
      </w:r>
      <w:r w:rsidR="00101C39" w:rsidRPr="00590C35">
        <w:rPr>
          <w:rFonts w:ascii="Arial" w:hAnsi="Arial" w:cs="Arial"/>
          <w:bCs/>
          <w:i/>
          <w:iCs/>
          <w:sz w:val="22"/>
          <w:szCs w:val="22"/>
        </w:rPr>
        <w:t>Administradora Colombian</w:t>
      </w:r>
      <w:r w:rsidR="00673847">
        <w:rPr>
          <w:rFonts w:ascii="Arial" w:hAnsi="Arial" w:cs="Arial"/>
          <w:bCs/>
          <w:i/>
          <w:iCs/>
          <w:sz w:val="22"/>
          <w:szCs w:val="22"/>
        </w:rPr>
        <w:t>a de Pensiones –</w:t>
      </w:r>
      <w:proofErr w:type="spellStart"/>
      <w:r w:rsidR="00673847">
        <w:rPr>
          <w:rFonts w:ascii="Arial" w:hAnsi="Arial" w:cs="Arial"/>
          <w:bCs/>
          <w:i/>
          <w:iCs/>
          <w:sz w:val="22"/>
          <w:szCs w:val="22"/>
        </w:rPr>
        <w:t>COLPENSIONES</w:t>
      </w:r>
      <w:proofErr w:type="spellEnd"/>
      <w:r w:rsidR="00673847">
        <w:rPr>
          <w:rFonts w:ascii="Arial" w:hAnsi="Arial" w:cs="Arial"/>
          <w:bCs/>
          <w:i/>
          <w:iCs/>
          <w:sz w:val="22"/>
          <w:szCs w:val="22"/>
        </w:rPr>
        <w:t>-, de manera efectiva desde el 22/</w:t>
      </w:r>
      <w:r w:rsidR="003E2670">
        <w:rPr>
          <w:rFonts w:ascii="Arial" w:hAnsi="Arial" w:cs="Arial"/>
          <w:bCs/>
          <w:i/>
          <w:iCs/>
          <w:sz w:val="22"/>
          <w:szCs w:val="22"/>
        </w:rPr>
        <w:t>0</w:t>
      </w:r>
      <w:r w:rsidR="00673847">
        <w:rPr>
          <w:rFonts w:ascii="Arial" w:hAnsi="Arial" w:cs="Arial"/>
          <w:bCs/>
          <w:i/>
          <w:iCs/>
          <w:sz w:val="22"/>
          <w:szCs w:val="22"/>
        </w:rPr>
        <w:t>1/2014, en cuantía de $</w:t>
      </w:r>
      <w:r w:rsidR="000E79C4">
        <w:rPr>
          <w:rFonts w:ascii="Arial" w:hAnsi="Arial" w:cs="Arial"/>
          <w:bCs/>
          <w:i/>
          <w:iCs/>
          <w:sz w:val="22"/>
          <w:szCs w:val="22"/>
        </w:rPr>
        <w:t>616.000</w:t>
      </w:r>
      <w:r w:rsidR="00673847">
        <w:rPr>
          <w:rFonts w:ascii="Arial" w:hAnsi="Arial" w:cs="Arial"/>
          <w:bCs/>
          <w:i/>
          <w:iCs/>
          <w:sz w:val="22"/>
          <w:szCs w:val="22"/>
        </w:rPr>
        <w:t>, la cual deberá ser incrementada anualmente conforme lo determine el Gobierno Nacional, con derecho a 14 mesadas pensionales por año.</w:t>
      </w:r>
    </w:p>
    <w:p w:rsidR="00673847" w:rsidRDefault="00673847" w:rsidP="00555B45">
      <w:pPr>
        <w:widowControl w:val="0"/>
        <w:autoSpaceDE w:val="0"/>
        <w:autoSpaceDN w:val="0"/>
        <w:adjustRightInd w:val="0"/>
        <w:ind w:left="567" w:right="567"/>
        <w:jc w:val="both"/>
        <w:rPr>
          <w:rFonts w:ascii="Arial" w:hAnsi="Arial" w:cs="Arial"/>
          <w:bCs/>
          <w:i/>
          <w:iCs/>
          <w:sz w:val="22"/>
          <w:szCs w:val="22"/>
        </w:rPr>
      </w:pPr>
    </w:p>
    <w:p w:rsidR="006945EB" w:rsidRDefault="00673847" w:rsidP="00555B45">
      <w:pPr>
        <w:widowControl w:val="0"/>
        <w:autoSpaceDE w:val="0"/>
        <w:autoSpaceDN w:val="0"/>
        <w:adjustRightInd w:val="0"/>
        <w:ind w:left="567" w:right="567"/>
        <w:jc w:val="both"/>
        <w:rPr>
          <w:rFonts w:ascii="Arial" w:hAnsi="Arial" w:cs="Arial"/>
          <w:bCs/>
          <w:i/>
          <w:iCs/>
          <w:sz w:val="22"/>
          <w:szCs w:val="22"/>
        </w:rPr>
      </w:pPr>
      <w:r>
        <w:rPr>
          <w:rFonts w:ascii="Arial" w:hAnsi="Arial" w:cs="Arial"/>
          <w:bCs/>
          <w:i/>
          <w:iCs/>
          <w:sz w:val="22"/>
          <w:szCs w:val="22"/>
        </w:rPr>
        <w:t xml:space="preserve">CUARTO: ORDENAR, como consecuencia de la anterior decisión, que la demandada </w:t>
      </w:r>
      <w:r w:rsidRPr="00590C35">
        <w:rPr>
          <w:rFonts w:ascii="Arial" w:hAnsi="Arial" w:cs="Arial"/>
          <w:bCs/>
          <w:i/>
          <w:iCs/>
          <w:sz w:val="22"/>
          <w:szCs w:val="22"/>
        </w:rPr>
        <w:t>Administradora Colombian</w:t>
      </w:r>
      <w:r>
        <w:rPr>
          <w:rFonts w:ascii="Arial" w:hAnsi="Arial" w:cs="Arial"/>
          <w:bCs/>
          <w:i/>
          <w:iCs/>
          <w:sz w:val="22"/>
          <w:szCs w:val="22"/>
        </w:rPr>
        <w:t>a de Pensiones –</w:t>
      </w:r>
      <w:proofErr w:type="spellStart"/>
      <w:r>
        <w:rPr>
          <w:rFonts w:ascii="Arial" w:hAnsi="Arial" w:cs="Arial"/>
          <w:bCs/>
          <w:i/>
          <w:iCs/>
          <w:sz w:val="22"/>
          <w:szCs w:val="22"/>
        </w:rPr>
        <w:t>COLPENSIONES</w:t>
      </w:r>
      <w:proofErr w:type="spellEnd"/>
      <w:r>
        <w:rPr>
          <w:rFonts w:ascii="Arial" w:hAnsi="Arial" w:cs="Arial"/>
          <w:bCs/>
          <w:i/>
          <w:iCs/>
          <w:sz w:val="22"/>
          <w:szCs w:val="22"/>
        </w:rPr>
        <w:t>, proceda a efectuar el reconocimiento y pago a favor del demandante del retroactivo pensional, correspondiente a las mesadas causadas desde el 22/</w:t>
      </w:r>
      <w:r w:rsidR="003E2670">
        <w:rPr>
          <w:rFonts w:ascii="Arial" w:hAnsi="Arial" w:cs="Arial"/>
          <w:bCs/>
          <w:i/>
          <w:iCs/>
          <w:sz w:val="22"/>
          <w:szCs w:val="22"/>
        </w:rPr>
        <w:t>0</w:t>
      </w:r>
      <w:r>
        <w:rPr>
          <w:rFonts w:ascii="Arial" w:hAnsi="Arial" w:cs="Arial"/>
          <w:bCs/>
          <w:i/>
          <w:iCs/>
          <w:sz w:val="22"/>
          <w:szCs w:val="22"/>
        </w:rPr>
        <w:t>1/2014 al 31/0</w:t>
      </w:r>
      <w:r w:rsidR="003E2670">
        <w:rPr>
          <w:rFonts w:ascii="Arial" w:hAnsi="Arial" w:cs="Arial"/>
          <w:bCs/>
          <w:i/>
          <w:iCs/>
          <w:sz w:val="22"/>
          <w:szCs w:val="22"/>
        </w:rPr>
        <w:t>8</w:t>
      </w:r>
      <w:r>
        <w:rPr>
          <w:rFonts w:ascii="Arial" w:hAnsi="Arial" w:cs="Arial"/>
          <w:bCs/>
          <w:i/>
          <w:iCs/>
          <w:sz w:val="22"/>
          <w:szCs w:val="22"/>
        </w:rPr>
        <w:t>/2017 por la suma de $</w:t>
      </w:r>
      <w:r w:rsidR="000E79C4">
        <w:rPr>
          <w:rFonts w:ascii="Arial" w:hAnsi="Arial" w:cs="Arial"/>
          <w:bCs/>
          <w:i/>
          <w:iCs/>
          <w:sz w:val="22"/>
          <w:szCs w:val="22"/>
        </w:rPr>
        <w:t>33´487.029</w:t>
      </w:r>
      <w:r>
        <w:rPr>
          <w:rFonts w:ascii="Arial" w:hAnsi="Arial" w:cs="Arial"/>
          <w:bCs/>
          <w:i/>
          <w:iCs/>
          <w:sz w:val="22"/>
          <w:szCs w:val="22"/>
        </w:rPr>
        <w:t>, sin perjuicio de las que se cau</w:t>
      </w:r>
      <w:r w:rsidR="00555B45">
        <w:rPr>
          <w:rFonts w:ascii="Arial" w:hAnsi="Arial" w:cs="Arial"/>
          <w:bCs/>
          <w:i/>
          <w:iCs/>
          <w:sz w:val="22"/>
          <w:szCs w:val="22"/>
        </w:rPr>
        <w:t>sen a futur</w:t>
      </w:r>
      <w:r>
        <w:rPr>
          <w:rFonts w:ascii="Arial" w:hAnsi="Arial" w:cs="Arial"/>
          <w:bCs/>
          <w:i/>
          <w:iCs/>
          <w:sz w:val="22"/>
          <w:szCs w:val="22"/>
        </w:rPr>
        <w:t xml:space="preserve">o. </w:t>
      </w:r>
    </w:p>
    <w:p w:rsidR="00A81BBC" w:rsidRDefault="00A81BBC" w:rsidP="003A202C">
      <w:pPr>
        <w:widowControl w:val="0"/>
        <w:autoSpaceDE w:val="0"/>
        <w:autoSpaceDN w:val="0"/>
        <w:adjustRightInd w:val="0"/>
        <w:spacing w:line="276" w:lineRule="auto"/>
        <w:jc w:val="both"/>
        <w:rPr>
          <w:rFonts w:ascii="Arial" w:hAnsi="Arial" w:cs="Arial"/>
          <w:bCs/>
          <w:i/>
          <w:iCs/>
          <w:sz w:val="22"/>
          <w:szCs w:val="22"/>
        </w:rPr>
      </w:pPr>
    </w:p>
    <w:p w:rsidR="005B215E" w:rsidRDefault="001365C6" w:rsidP="005B215E">
      <w:pPr>
        <w:spacing w:line="276" w:lineRule="auto"/>
        <w:jc w:val="both"/>
        <w:rPr>
          <w:rFonts w:ascii="Arial" w:hAnsi="Arial" w:cs="Arial"/>
          <w:szCs w:val="24"/>
        </w:rPr>
      </w:pPr>
      <w:r w:rsidRPr="00D879A8">
        <w:rPr>
          <w:rFonts w:ascii="Arial" w:hAnsi="Arial" w:cs="Arial"/>
          <w:b/>
          <w:bCs/>
          <w:iCs/>
          <w:szCs w:val="24"/>
          <w:u w:val="single"/>
        </w:rPr>
        <w:t>SEGUNDO</w:t>
      </w:r>
      <w:r w:rsidR="00337DF9">
        <w:rPr>
          <w:rFonts w:ascii="Arial" w:hAnsi="Arial" w:cs="Arial"/>
          <w:b/>
          <w:bCs/>
          <w:iCs/>
          <w:szCs w:val="24"/>
        </w:rPr>
        <w:t xml:space="preserve">: </w:t>
      </w:r>
      <w:r w:rsidR="00337DF9" w:rsidRPr="00337DF9">
        <w:rPr>
          <w:rFonts w:ascii="Arial" w:hAnsi="Arial" w:cs="Arial"/>
          <w:bCs/>
          <w:iCs/>
          <w:szCs w:val="24"/>
        </w:rPr>
        <w:t>C</w:t>
      </w:r>
      <w:r w:rsidR="005B215E" w:rsidRPr="00D578CB">
        <w:rPr>
          <w:rFonts w:ascii="Arial" w:hAnsi="Arial" w:cs="Arial"/>
          <w:szCs w:val="24"/>
        </w:rPr>
        <w:t xml:space="preserve">ostas en </w:t>
      </w:r>
      <w:r w:rsidR="005B215E">
        <w:rPr>
          <w:rFonts w:ascii="Arial" w:hAnsi="Arial" w:cs="Arial"/>
          <w:szCs w:val="24"/>
        </w:rPr>
        <w:t>esta</w:t>
      </w:r>
      <w:r w:rsidR="00D879A8">
        <w:rPr>
          <w:rFonts w:ascii="Arial" w:hAnsi="Arial" w:cs="Arial"/>
          <w:szCs w:val="24"/>
        </w:rPr>
        <w:t xml:space="preserve"> instancia</w:t>
      </w:r>
      <w:r w:rsidR="00756C95">
        <w:rPr>
          <w:rFonts w:ascii="Arial" w:hAnsi="Arial" w:cs="Arial"/>
          <w:szCs w:val="24"/>
        </w:rPr>
        <w:t xml:space="preserve"> </w:t>
      </w:r>
      <w:r w:rsidR="00673847">
        <w:rPr>
          <w:rFonts w:ascii="Arial" w:hAnsi="Arial" w:cs="Arial"/>
          <w:szCs w:val="24"/>
        </w:rPr>
        <w:t xml:space="preserve">a cargo de </w:t>
      </w:r>
      <w:proofErr w:type="spellStart"/>
      <w:r w:rsidR="00673847">
        <w:rPr>
          <w:rFonts w:ascii="Arial" w:hAnsi="Arial" w:cs="Arial"/>
          <w:szCs w:val="24"/>
        </w:rPr>
        <w:t>Colpensiones</w:t>
      </w:r>
      <w:proofErr w:type="spellEnd"/>
      <w:r w:rsidR="00673847">
        <w:rPr>
          <w:rFonts w:ascii="Arial" w:hAnsi="Arial" w:cs="Arial"/>
          <w:szCs w:val="24"/>
        </w:rPr>
        <w:t xml:space="preserve"> y a favor de la parte actora, por lo expuesto.</w:t>
      </w:r>
    </w:p>
    <w:p w:rsidR="00455713" w:rsidRDefault="00455713" w:rsidP="005B215E">
      <w:pPr>
        <w:spacing w:line="276" w:lineRule="auto"/>
        <w:jc w:val="both"/>
        <w:rPr>
          <w:rFonts w:ascii="Arial" w:hAnsi="Arial" w:cs="Arial"/>
          <w:szCs w:val="24"/>
        </w:rPr>
      </w:pPr>
    </w:p>
    <w:p w:rsidR="00455713" w:rsidRDefault="00455713" w:rsidP="005B215E">
      <w:pPr>
        <w:spacing w:line="276" w:lineRule="auto"/>
        <w:jc w:val="both"/>
        <w:rPr>
          <w:rFonts w:ascii="Arial" w:hAnsi="Arial" w:cs="Arial"/>
          <w:szCs w:val="24"/>
        </w:rPr>
      </w:pPr>
      <w:r>
        <w:rPr>
          <w:rFonts w:ascii="Arial" w:hAnsi="Arial" w:cs="Arial"/>
          <w:szCs w:val="24"/>
        </w:rPr>
        <w:t>Notificación surtida en estrados.</w:t>
      </w:r>
    </w:p>
    <w:p w:rsidR="007E66F9" w:rsidRDefault="007E66F9" w:rsidP="005B215E">
      <w:pPr>
        <w:spacing w:line="276" w:lineRule="auto"/>
        <w:jc w:val="both"/>
        <w:rPr>
          <w:rFonts w:ascii="Arial" w:hAnsi="Arial" w:cs="Arial"/>
          <w:szCs w:val="24"/>
        </w:rPr>
      </w:pPr>
    </w:p>
    <w:p w:rsidR="00256248"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8C3CC9" w:rsidRPr="00A47C8D" w:rsidRDefault="008C3CC9" w:rsidP="00256248">
      <w:pPr>
        <w:pStyle w:val="Textoindependiente"/>
        <w:spacing w:line="276" w:lineRule="auto"/>
        <w:contextualSpacing/>
        <w:rPr>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420BC6" w:rsidRDefault="00420BC6" w:rsidP="00256248">
      <w:pPr>
        <w:pStyle w:val="Sinespaciado"/>
        <w:spacing w:line="276" w:lineRule="auto"/>
        <w:contextualSpacing/>
        <w:rPr>
          <w:rFonts w:ascii="Arial" w:hAnsi="Arial" w:cs="Arial"/>
          <w:sz w:val="24"/>
          <w:szCs w:val="24"/>
        </w:rPr>
      </w:pPr>
    </w:p>
    <w:p w:rsidR="003E2670" w:rsidRDefault="003E2670" w:rsidP="00256248">
      <w:pPr>
        <w:pStyle w:val="Sinespaciado"/>
        <w:spacing w:line="276" w:lineRule="auto"/>
        <w:contextualSpacing/>
        <w:rPr>
          <w:rFonts w:ascii="Arial" w:hAnsi="Arial" w:cs="Arial"/>
          <w:sz w:val="24"/>
          <w:szCs w:val="24"/>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56248" w:rsidRDefault="00256248" w:rsidP="00256248">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79609A" w:rsidRDefault="0079609A" w:rsidP="00256248">
      <w:pPr>
        <w:pStyle w:val="Sinespaciado"/>
        <w:spacing w:line="276" w:lineRule="auto"/>
        <w:contextualSpacing/>
        <w:jc w:val="center"/>
        <w:rPr>
          <w:rFonts w:ascii="Arial" w:hAnsi="Arial" w:cs="Arial"/>
          <w:sz w:val="24"/>
          <w:szCs w:val="24"/>
          <w:lang w:val="es-ES"/>
        </w:rPr>
      </w:pPr>
    </w:p>
    <w:p w:rsidR="00555B45" w:rsidRDefault="00555B45" w:rsidP="00256248">
      <w:pPr>
        <w:pStyle w:val="Sinespaciado"/>
        <w:spacing w:line="276" w:lineRule="auto"/>
        <w:contextualSpacing/>
        <w:jc w:val="center"/>
        <w:rPr>
          <w:rFonts w:ascii="Arial" w:hAnsi="Arial" w:cs="Arial"/>
          <w:sz w:val="24"/>
          <w:szCs w:val="24"/>
          <w:lang w:val="es-ES"/>
        </w:rPr>
      </w:pPr>
    </w:p>
    <w:p w:rsidR="0079609A" w:rsidRDefault="0079609A" w:rsidP="00256248">
      <w:pPr>
        <w:spacing w:line="276" w:lineRule="auto"/>
        <w:contextualSpacing/>
        <w:jc w:val="both"/>
        <w:rPr>
          <w:rFonts w:ascii="Arial" w:hAnsi="Arial" w:cs="Arial"/>
          <w:b/>
          <w:bCs/>
          <w:iCs/>
          <w:sz w:val="23"/>
          <w:szCs w:val="23"/>
          <w:lang w:val="es-ES"/>
        </w:rPr>
      </w:pPr>
    </w:p>
    <w:p w:rsidR="00256248" w:rsidRPr="0045273B" w:rsidRDefault="00D879A8" w:rsidP="00256248">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256248" w:rsidRPr="0045273B">
        <w:rPr>
          <w:rFonts w:ascii="Arial" w:hAnsi="Arial" w:cs="Arial"/>
          <w:b/>
          <w:bCs/>
          <w:iCs/>
          <w:sz w:val="23"/>
          <w:szCs w:val="23"/>
          <w:lang w:val="es-ES"/>
        </w:rPr>
        <w:t xml:space="preserve">ANA LUCÍA CAICEDO CALDERÓN                         </w:t>
      </w:r>
    </w:p>
    <w:p w:rsidR="00256248" w:rsidRDefault="00256248" w:rsidP="0025624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79A8">
        <w:rPr>
          <w:rFonts w:ascii="Arial" w:hAnsi="Arial" w:cs="Arial"/>
          <w:sz w:val="23"/>
          <w:szCs w:val="23"/>
          <w:lang w:val="es-ES"/>
        </w:rPr>
        <w:t>Magistrado</w:t>
      </w:r>
      <w:r w:rsidRPr="0045273B">
        <w:rPr>
          <w:rFonts w:ascii="Arial" w:hAnsi="Arial" w:cs="Arial"/>
          <w:sz w:val="23"/>
          <w:szCs w:val="23"/>
          <w:lang w:val="es-ES"/>
        </w:rPr>
        <w:t xml:space="preserve">                                                                </w:t>
      </w:r>
      <w:r w:rsidR="00D879A8">
        <w:rPr>
          <w:rFonts w:ascii="Arial" w:hAnsi="Arial" w:cs="Arial"/>
          <w:sz w:val="23"/>
          <w:szCs w:val="23"/>
          <w:lang w:val="es-ES"/>
        </w:rPr>
        <w:t>Magistrada</w:t>
      </w:r>
      <w:r w:rsidRPr="0045273B">
        <w:rPr>
          <w:rFonts w:ascii="Arial" w:hAnsi="Arial" w:cs="Arial"/>
          <w:sz w:val="23"/>
          <w:szCs w:val="23"/>
          <w:lang w:val="es-ES"/>
        </w:rPr>
        <w:t xml:space="preserve"> </w:t>
      </w:r>
    </w:p>
    <w:p w:rsidR="00135378" w:rsidRDefault="00055655" w:rsidP="00055655">
      <w:pPr>
        <w:spacing w:line="276" w:lineRule="auto"/>
        <w:contextualSpacing/>
        <w:jc w:val="center"/>
        <w:rPr>
          <w:rFonts w:ascii="Arial" w:hAnsi="Arial" w:cs="Arial"/>
          <w:i/>
          <w:sz w:val="23"/>
          <w:szCs w:val="23"/>
          <w:lang w:val="es-ES"/>
        </w:rPr>
      </w:pPr>
      <w:r w:rsidRPr="00055655">
        <w:rPr>
          <w:rFonts w:ascii="Arial" w:hAnsi="Arial" w:cs="Arial"/>
          <w:i/>
          <w:sz w:val="23"/>
          <w:szCs w:val="23"/>
          <w:lang w:val="es-ES"/>
        </w:rPr>
        <w:t>ANEXO 1 –</w:t>
      </w:r>
      <w:r>
        <w:rPr>
          <w:rFonts w:ascii="Arial" w:hAnsi="Arial" w:cs="Arial"/>
          <w:i/>
          <w:sz w:val="23"/>
          <w:szCs w:val="23"/>
          <w:lang w:val="es-ES"/>
        </w:rPr>
        <w:t xml:space="preserve"> LIQUIDACIÓ</w:t>
      </w:r>
      <w:r w:rsidRPr="00055655">
        <w:rPr>
          <w:rFonts w:ascii="Arial" w:hAnsi="Arial" w:cs="Arial"/>
          <w:i/>
          <w:sz w:val="23"/>
          <w:szCs w:val="23"/>
          <w:lang w:val="es-ES"/>
        </w:rPr>
        <w:t xml:space="preserve">N </w:t>
      </w:r>
      <w:proofErr w:type="spellStart"/>
      <w:r w:rsidRPr="00055655">
        <w:rPr>
          <w:rFonts w:ascii="Arial" w:hAnsi="Arial" w:cs="Arial"/>
          <w:i/>
          <w:sz w:val="23"/>
          <w:szCs w:val="23"/>
          <w:lang w:val="es-ES"/>
        </w:rPr>
        <w:t>IBL</w:t>
      </w:r>
      <w:proofErr w:type="spellEnd"/>
    </w:p>
    <w:p w:rsidR="00055655" w:rsidRDefault="00055655" w:rsidP="00055655">
      <w:pPr>
        <w:spacing w:line="276" w:lineRule="auto"/>
        <w:contextualSpacing/>
        <w:jc w:val="center"/>
        <w:rPr>
          <w:rFonts w:ascii="Arial" w:hAnsi="Arial" w:cs="Arial"/>
          <w:i/>
          <w:sz w:val="23"/>
          <w:szCs w:val="23"/>
          <w:lang w:val="es-ES"/>
        </w:rPr>
      </w:pPr>
    </w:p>
    <w:p w:rsidR="00055655" w:rsidRDefault="00055655" w:rsidP="00055655">
      <w:pPr>
        <w:spacing w:line="276" w:lineRule="auto"/>
        <w:contextualSpacing/>
        <w:jc w:val="center"/>
        <w:rPr>
          <w:rFonts w:ascii="Arial" w:hAnsi="Arial" w:cs="Arial"/>
          <w:i/>
          <w:sz w:val="23"/>
          <w:szCs w:val="23"/>
          <w:lang w:val="es-ES"/>
        </w:rPr>
      </w:pPr>
      <w:r w:rsidRPr="00055655">
        <w:rPr>
          <w:noProof/>
          <w:lang w:val="es-ES"/>
        </w:rPr>
        <w:lastRenderedPageBreak/>
        <w:drawing>
          <wp:inline distT="0" distB="0" distL="0" distR="0">
            <wp:extent cx="5523230" cy="8267568"/>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8267568"/>
                    </a:xfrm>
                    <a:prstGeom prst="rect">
                      <a:avLst/>
                    </a:prstGeom>
                    <a:noFill/>
                    <a:ln>
                      <a:noFill/>
                    </a:ln>
                  </pic:spPr>
                </pic:pic>
              </a:graphicData>
            </a:graphic>
          </wp:inline>
        </w:drawing>
      </w:r>
    </w:p>
    <w:p w:rsidR="00055655" w:rsidRDefault="00055655" w:rsidP="00055655">
      <w:pPr>
        <w:spacing w:line="276" w:lineRule="auto"/>
        <w:contextualSpacing/>
        <w:jc w:val="center"/>
        <w:rPr>
          <w:rFonts w:ascii="Arial" w:hAnsi="Arial" w:cs="Arial"/>
          <w:i/>
          <w:iCs/>
          <w:szCs w:val="24"/>
          <w:lang w:val="es-ES"/>
        </w:rPr>
      </w:pPr>
    </w:p>
    <w:p w:rsidR="00055655" w:rsidRDefault="00055655" w:rsidP="00055655">
      <w:pPr>
        <w:spacing w:line="276" w:lineRule="auto"/>
        <w:contextualSpacing/>
        <w:jc w:val="center"/>
        <w:rPr>
          <w:rFonts w:ascii="Arial" w:hAnsi="Arial" w:cs="Arial"/>
          <w:i/>
          <w:iCs/>
          <w:szCs w:val="24"/>
          <w:lang w:val="es-ES"/>
        </w:rPr>
      </w:pPr>
    </w:p>
    <w:p w:rsidR="00055655" w:rsidRDefault="00055655" w:rsidP="00055655">
      <w:pPr>
        <w:spacing w:line="276" w:lineRule="auto"/>
        <w:contextualSpacing/>
        <w:jc w:val="center"/>
        <w:rPr>
          <w:rFonts w:ascii="Arial" w:hAnsi="Arial" w:cs="Arial"/>
          <w:i/>
          <w:iCs/>
          <w:szCs w:val="24"/>
          <w:lang w:val="es-ES"/>
        </w:rPr>
      </w:pPr>
    </w:p>
    <w:p w:rsidR="00055655" w:rsidRDefault="00055655" w:rsidP="00055655">
      <w:pPr>
        <w:spacing w:line="276" w:lineRule="auto"/>
        <w:contextualSpacing/>
        <w:jc w:val="center"/>
        <w:rPr>
          <w:rFonts w:ascii="Arial" w:hAnsi="Arial" w:cs="Arial"/>
          <w:i/>
          <w:iCs/>
          <w:szCs w:val="24"/>
          <w:lang w:val="es-ES"/>
        </w:rPr>
      </w:pPr>
    </w:p>
    <w:p w:rsidR="00055655" w:rsidRDefault="00055655" w:rsidP="00055655">
      <w:pPr>
        <w:spacing w:line="276" w:lineRule="auto"/>
        <w:contextualSpacing/>
        <w:jc w:val="center"/>
        <w:rPr>
          <w:rFonts w:ascii="Arial" w:hAnsi="Arial" w:cs="Arial"/>
          <w:i/>
          <w:iCs/>
          <w:szCs w:val="24"/>
          <w:lang w:val="es-ES"/>
        </w:rPr>
      </w:pPr>
    </w:p>
    <w:p w:rsidR="00055655" w:rsidRDefault="00055655" w:rsidP="00055655">
      <w:pPr>
        <w:spacing w:line="276" w:lineRule="auto"/>
        <w:contextualSpacing/>
        <w:jc w:val="center"/>
        <w:rPr>
          <w:rFonts w:ascii="Arial" w:hAnsi="Arial" w:cs="Arial"/>
          <w:i/>
          <w:iCs/>
          <w:szCs w:val="24"/>
          <w:lang w:val="es-ES"/>
        </w:rPr>
      </w:pPr>
      <w:r w:rsidRPr="00055655">
        <w:rPr>
          <w:noProof/>
          <w:lang w:val="es-ES"/>
        </w:rPr>
        <w:lastRenderedPageBreak/>
        <w:drawing>
          <wp:inline distT="0" distB="0" distL="0" distR="0">
            <wp:extent cx="5523230" cy="9880805"/>
            <wp:effectExtent l="0" t="0" r="127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9880805"/>
                    </a:xfrm>
                    <a:prstGeom prst="rect">
                      <a:avLst/>
                    </a:prstGeom>
                    <a:noFill/>
                    <a:ln>
                      <a:noFill/>
                    </a:ln>
                  </pic:spPr>
                </pic:pic>
              </a:graphicData>
            </a:graphic>
          </wp:inline>
        </w:drawing>
      </w:r>
    </w:p>
    <w:p w:rsidR="00055655" w:rsidRDefault="00055655" w:rsidP="00055655">
      <w:pPr>
        <w:spacing w:line="276" w:lineRule="auto"/>
        <w:contextualSpacing/>
        <w:jc w:val="center"/>
        <w:rPr>
          <w:rFonts w:ascii="Arial" w:hAnsi="Arial" w:cs="Arial"/>
          <w:i/>
          <w:iCs/>
          <w:szCs w:val="24"/>
          <w:lang w:val="es-ES"/>
        </w:rPr>
      </w:pPr>
      <w:r>
        <w:rPr>
          <w:rFonts w:ascii="Arial" w:hAnsi="Arial" w:cs="Arial"/>
          <w:i/>
          <w:iCs/>
          <w:szCs w:val="24"/>
          <w:lang w:val="es-ES"/>
        </w:rPr>
        <w:lastRenderedPageBreak/>
        <w:t>ANEXO 2 – LIQUIDACIÓN RETROACTIVO</w:t>
      </w:r>
    </w:p>
    <w:p w:rsidR="00055655" w:rsidRDefault="00055655" w:rsidP="00055655">
      <w:pPr>
        <w:spacing w:line="276" w:lineRule="auto"/>
        <w:contextualSpacing/>
        <w:jc w:val="center"/>
        <w:rPr>
          <w:rFonts w:ascii="Arial" w:hAnsi="Arial" w:cs="Arial"/>
          <w:i/>
          <w:iCs/>
          <w:szCs w:val="24"/>
          <w:lang w:val="es-ES"/>
        </w:rPr>
      </w:pPr>
    </w:p>
    <w:p w:rsidR="00055655" w:rsidRDefault="00055655" w:rsidP="00055655">
      <w:pPr>
        <w:spacing w:line="276" w:lineRule="auto"/>
        <w:contextualSpacing/>
        <w:jc w:val="center"/>
        <w:rPr>
          <w:rFonts w:ascii="Arial" w:hAnsi="Arial" w:cs="Arial"/>
          <w:i/>
          <w:iCs/>
          <w:szCs w:val="24"/>
          <w:lang w:val="es-ES"/>
        </w:rPr>
      </w:pPr>
    </w:p>
    <w:tbl>
      <w:tblPr>
        <w:tblW w:w="0" w:type="auto"/>
        <w:jc w:val="center"/>
        <w:tblLayout w:type="fixed"/>
        <w:tblCellMar>
          <w:left w:w="30" w:type="dxa"/>
          <w:right w:w="30" w:type="dxa"/>
        </w:tblCellMar>
        <w:tblLook w:val="0000" w:firstRow="0" w:lastRow="0" w:firstColumn="0" w:lastColumn="0" w:noHBand="0" w:noVBand="0"/>
      </w:tblPr>
      <w:tblGrid>
        <w:gridCol w:w="1289"/>
        <w:gridCol w:w="1289"/>
        <w:gridCol w:w="1257"/>
        <w:gridCol w:w="1193"/>
        <w:gridCol w:w="1193"/>
        <w:gridCol w:w="1385"/>
      </w:tblGrid>
      <w:tr w:rsidR="001C3413" w:rsidTr="001C3413">
        <w:trPr>
          <w:trHeight w:val="449"/>
          <w:jc w:val="center"/>
        </w:trPr>
        <w:tc>
          <w:tcPr>
            <w:tcW w:w="1289" w:type="dxa"/>
            <w:tcBorders>
              <w:top w:val="single" w:sz="12" w:space="0" w:color="auto"/>
              <w:left w:val="single" w:sz="12" w:space="0" w:color="auto"/>
              <w:bottom w:val="single" w:sz="12" w:space="0" w:color="auto"/>
              <w:right w:val="single" w:sz="6" w:space="0" w:color="808000"/>
            </w:tcBorders>
            <w:shd w:val="solid" w:color="FFFF99" w:fill="000000"/>
          </w:tcPr>
          <w:p w:rsidR="001C3413" w:rsidRDefault="001C3413">
            <w:pPr>
              <w:autoSpaceDE w:val="0"/>
              <w:autoSpaceDN w:val="0"/>
              <w:adjustRightInd w:val="0"/>
              <w:jc w:val="center"/>
              <w:rPr>
                <w:rFonts w:ascii="Calibri" w:eastAsiaTheme="minorHAnsi" w:hAnsi="Calibri" w:cs="Calibri"/>
                <w:b/>
                <w:bCs/>
                <w:color w:val="000000"/>
                <w:sz w:val="16"/>
                <w:szCs w:val="16"/>
                <w:lang w:val="es-ES" w:eastAsia="en-US"/>
              </w:rPr>
            </w:pPr>
            <w:r>
              <w:rPr>
                <w:rFonts w:ascii="Calibri" w:eastAsiaTheme="minorHAnsi" w:hAnsi="Calibri" w:cs="Calibri"/>
                <w:b/>
                <w:bCs/>
                <w:color w:val="000000"/>
                <w:sz w:val="16"/>
                <w:szCs w:val="16"/>
                <w:lang w:val="es-ES" w:eastAsia="en-US"/>
              </w:rPr>
              <w:t>IPC   (Var. Año anterior)</w:t>
            </w:r>
          </w:p>
        </w:tc>
        <w:tc>
          <w:tcPr>
            <w:tcW w:w="1289" w:type="dxa"/>
            <w:tcBorders>
              <w:top w:val="single" w:sz="12" w:space="0" w:color="auto"/>
              <w:left w:val="single" w:sz="6" w:space="0" w:color="808000"/>
              <w:bottom w:val="single" w:sz="12" w:space="0" w:color="auto"/>
              <w:right w:val="single" w:sz="6" w:space="0" w:color="808000"/>
            </w:tcBorders>
            <w:shd w:val="solid" w:color="FFFF99" w:fill="000000"/>
          </w:tcPr>
          <w:p w:rsidR="001C3413" w:rsidRDefault="001C3413">
            <w:pPr>
              <w:autoSpaceDE w:val="0"/>
              <w:autoSpaceDN w:val="0"/>
              <w:adjustRightInd w:val="0"/>
              <w:jc w:val="center"/>
              <w:rPr>
                <w:rFonts w:ascii="Calibri" w:eastAsiaTheme="minorHAnsi" w:hAnsi="Calibri" w:cs="Calibri"/>
                <w:b/>
                <w:bCs/>
                <w:color w:val="000000"/>
                <w:sz w:val="16"/>
                <w:szCs w:val="16"/>
                <w:lang w:val="es-ES" w:eastAsia="en-US"/>
              </w:rPr>
            </w:pPr>
            <w:r>
              <w:rPr>
                <w:rFonts w:ascii="Calibri" w:eastAsiaTheme="minorHAnsi" w:hAnsi="Calibri" w:cs="Calibri"/>
                <w:b/>
                <w:bCs/>
                <w:color w:val="000000"/>
                <w:sz w:val="16"/>
                <w:szCs w:val="16"/>
                <w:lang w:val="es-ES" w:eastAsia="en-US"/>
              </w:rPr>
              <w:t>Desde</w:t>
            </w:r>
          </w:p>
        </w:tc>
        <w:tc>
          <w:tcPr>
            <w:tcW w:w="1257" w:type="dxa"/>
            <w:tcBorders>
              <w:top w:val="single" w:sz="12" w:space="0" w:color="auto"/>
              <w:left w:val="single" w:sz="6" w:space="0" w:color="808000"/>
              <w:bottom w:val="single" w:sz="12" w:space="0" w:color="auto"/>
              <w:right w:val="single" w:sz="6" w:space="0" w:color="808000"/>
            </w:tcBorders>
            <w:shd w:val="solid" w:color="FFFF99" w:fill="000000"/>
          </w:tcPr>
          <w:p w:rsidR="001C3413" w:rsidRDefault="001C3413">
            <w:pPr>
              <w:autoSpaceDE w:val="0"/>
              <w:autoSpaceDN w:val="0"/>
              <w:adjustRightInd w:val="0"/>
              <w:jc w:val="center"/>
              <w:rPr>
                <w:rFonts w:ascii="Calibri" w:eastAsiaTheme="minorHAnsi" w:hAnsi="Calibri" w:cs="Calibri"/>
                <w:b/>
                <w:bCs/>
                <w:color w:val="000000"/>
                <w:sz w:val="16"/>
                <w:szCs w:val="16"/>
                <w:lang w:val="es-ES" w:eastAsia="en-US"/>
              </w:rPr>
            </w:pPr>
            <w:r>
              <w:rPr>
                <w:rFonts w:ascii="Calibri" w:eastAsiaTheme="minorHAnsi" w:hAnsi="Calibri" w:cs="Calibri"/>
                <w:b/>
                <w:bCs/>
                <w:color w:val="000000"/>
                <w:sz w:val="16"/>
                <w:szCs w:val="16"/>
                <w:lang w:val="es-ES" w:eastAsia="en-US"/>
              </w:rPr>
              <w:t>Hasta</w:t>
            </w:r>
          </w:p>
        </w:tc>
        <w:tc>
          <w:tcPr>
            <w:tcW w:w="1193" w:type="dxa"/>
            <w:tcBorders>
              <w:top w:val="single" w:sz="12" w:space="0" w:color="auto"/>
              <w:left w:val="single" w:sz="6" w:space="0" w:color="808000"/>
              <w:bottom w:val="single" w:sz="12" w:space="0" w:color="auto"/>
              <w:right w:val="single" w:sz="6" w:space="0" w:color="808000"/>
            </w:tcBorders>
            <w:shd w:val="solid" w:color="FFFF99" w:fill="000000"/>
          </w:tcPr>
          <w:p w:rsidR="001C3413" w:rsidRDefault="001C3413">
            <w:pPr>
              <w:autoSpaceDE w:val="0"/>
              <w:autoSpaceDN w:val="0"/>
              <w:adjustRightInd w:val="0"/>
              <w:jc w:val="center"/>
              <w:rPr>
                <w:rFonts w:ascii="Calibri" w:eastAsiaTheme="minorHAnsi" w:hAnsi="Calibri" w:cs="Calibri"/>
                <w:b/>
                <w:bCs/>
                <w:color w:val="000000"/>
                <w:sz w:val="16"/>
                <w:szCs w:val="16"/>
                <w:lang w:val="es-ES" w:eastAsia="en-US"/>
              </w:rPr>
            </w:pPr>
            <w:r>
              <w:rPr>
                <w:rFonts w:ascii="Calibri" w:eastAsiaTheme="minorHAnsi" w:hAnsi="Calibri" w:cs="Calibri"/>
                <w:b/>
                <w:bCs/>
                <w:color w:val="000000"/>
                <w:sz w:val="16"/>
                <w:szCs w:val="16"/>
                <w:lang w:val="es-ES" w:eastAsia="en-US"/>
              </w:rPr>
              <w:t>Causadas</w:t>
            </w:r>
          </w:p>
        </w:tc>
        <w:tc>
          <w:tcPr>
            <w:tcW w:w="1193" w:type="dxa"/>
            <w:tcBorders>
              <w:top w:val="single" w:sz="12" w:space="0" w:color="auto"/>
              <w:left w:val="single" w:sz="6" w:space="0" w:color="808000"/>
              <w:bottom w:val="single" w:sz="12" w:space="0" w:color="auto"/>
              <w:right w:val="single" w:sz="6" w:space="0" w:color="808000"/>
            </w:tcBorders>
            <w:shd w:val="solid" w:color="FFFF99" w:fill="000000"/>
          </w:tcPr>
          <w:p w:rsidR="001C3413" w:rsidRDefault="001C3413">
            <w:pPr>
              <w:autoSpaceDE w:val="0"/>
              <w:autoSpaceDN w:val="0"/>
              <w:adjustRightInd w:val="0"/>
              <w:jc w:val="center"/>
              <w:rPr>
                <w:rFonts w:ascii="Calibri" w:eastAsiaTheme="minorHAnsi" w:hAnsi="Calibri" w:cs="Calibri"/>
                <w:b/>
                <w:bCs/>
                <w:color w:val="000000"/>
                <w:sz w:val="16"/>
                <w:szCs w:val="16"/>
                <w:lang w:val="es-ES" w:eastAsia="en-US"/>
              </w:rPr>
            </w:pPr>
            <w:r>
              <w:rPr>
                <w:rFonts w:ascii="Calibri" w:eastAsiaTheme="minorHAnsi" w:hAnsi="Calibri" w:cs="Calibri"/>
                <w:b/>
                <w:bCs/>
                <w:color w:val="000000"/>
                <w:sz w:val="16"/>
                <w:szCs w:val="16"/>
                <w:lang w:val="es-ES" w:eastAsia="en-US"/>
              </w:rPr>
              <w:t>Valor mesada</w:t>
            </w:r>
          </w:p>
        </w:tc>
        <w:tc>
          <w:tcPr>
            <w:tcW w:w="1385" w:type="dxa"/>
            <w:tcBorders>
              <w:top w:val="single" w:sz="12" w:space="0" w:color="auto"/>
              <w:left w:val="single" w:sz="6" w:space="0" w:color="808000"/>
              <w:bottom w:val="single" w:sz="12" w:space="0" w:color="auto"/>
              <w:right w:val="single" w:sz="6" w:space="0" w:color="808000"/>
            </w:tcBorders>
            <w:shd w:val="solid" w:color="FFFF99" w:fill="000000"/>
          </w:tcPr>
          <w:p w:rsidR="001C3413" w:rsidRDefault="001C3413">
            <w:pPr>
              <w:autoSpaceDE w:val="0"/>
              <w:autoSpaceDN w:val="0"/>
              <w:adjustRightInd w:val="0"/>
              <w:jc w:val="center"/>
              <w:rPr>
                <w:rFonts w:ascii="Calibri" w:eastAsiaTheme="minorHAnsi" w:hAnsi="Calibri" w:cs="Calibri"/>
                <w:b/>
                <w:bCs/>
                <w:color w:val="000000"/>
                <w:sz w:val="16"/>
                <w:szCs w:val="16"/>
                <w:lang w:val="es-ES" w:eastAsia="en-US"/>
              </w:rPr>
            </w:pPr>
            <w:r>
              <w:rPr>
                <w:rFonts w:ascii="Calibri" w:eastAsiaTheme="minorHAnsi" w:hAnsi="Calibri" w:cs="Calibri"/>
                <w:b/>
                <w:bCs/>
                <w:color w:val="000000"/>
                <w:sz w:val="16"/>
                <w:szCs w:val="16"/>
                <w:lang w:val="es-ES" w:eastAsia="en-US"/>
              </w:rPr>
              <w:t xml:space="preserve"> Mesadas por año </w:t>
            </w:r>
          </w:p>
        </w:tc>
      </w:tr>
      <w:tr w:rsidR="001C3413" w:rsidTr="001C3413">
        <w:trPr>
          <w:trHeight w:val="305"/>
          <w:jc w:val="center"/>
        </w:trPr>
        <w:tc>
          <w:tcPr>
            <w:tcW w:w="1289" w:type="dxa"/>
            <w:tcBorders>
              <w:top w:val="nil"/>
              <w:left w:val="single" w:sz="12" w:space="0" w:color="auto"/>
              <w:bottom w:val="single" w:sz="6" w:space="0" w:color="003366"/>
              <w:right w:val="single" w:sz="6" w:space="0" w:color="003366"/>
            </w:tcBorders>
            <w:shd w:val="solid" w:color="FFFFCC"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3,66</w:t>
            </w:r>
          </w:p>
        </w:tc>
        <w:tc>
          <w:tcPr>
            <w:tcW w:w="1289" w:type="dxa"/>
            <w:tcBorders>
              <w:top w:val="nil"/>
              <w:left w:val="single" w:sz="6" w:space="0" w:color="808000"/>
              <w:bottom w:val="single" w:sz="6" w:space="0" w:color="808000"/>
              <w:right w:val="single" w:sz="6" w:space="0" w:color="808000"/>
            </w:tcBorders>
          </w:tcPr>
          <w:p w:rsidR="001C3413" w:rsidRDefault="001C3413">
            <w:pPr>
              <w:autoSpaceDE w:val="0"/>
              <w:autoSpaceDN w:val="0"/>
              <w:adjustRightInd w:val="0"/>
              <w:jc w:val="right"/>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22-ene-14</w:t>
            </w:r>
          </w:p>
        </w:tc>
        <w:tc>
          <w:tcPr>
            <w:tcW w:w="1257" w:type="dxa"/>
            <w:tcBorders>
              <w:top w:val="nil"/>
              <w:left w:val="single" w:sz="6" w:space="0" w:color="808000"/>
              <w:bottom w:val="single" w:sz="6" w:space="0" w:color="808000"/>
              <w:right w:val="single" w:sz="6" w:space="0" w:color="808000"/>
            </w:tcBorders>
          </w:tcPr>
          <w:p w:rsidR="001C3413" w:rsidRDefault="001C3413">
            <w:pPr>
              <w:autoSpaceDE w:val="0"/>
              <w:autoSpaceDN w:val="0"/>
              <w:adjustRightInd w:val="0"/>
              <w:jc w:val="right"/>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31-dic-14</w:t>
            </w:r>
          </w:p>
        </w:tc>
        <w:tc>
          <w:tcPr>
            <w:tcW w:w="1193" w:type="dxa"/>
            <w:tcBorders>
              <w:top w:val="nil"/>
              <w:left w:val="nil"/>
              <w:bottom w:val="nil"/>
              <w:right w:val="nil"/>
            </w:tcBorders>
            <w:shd w:val="solid" w:color="FFFFCC"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13,27</w:t>
            </w:r>
          </w:p>
        </w:tc>
        <w:tc>
          <w:tcPr>
            <w:tcW w:w="1193" w:type="dxa"/>
            <w:tcBorders>
              <w:top w:val="single" w:sz="6" w:space="0" w:color="003366"/>
              <w:left w:val="single" w:sz="6" w:space="0" w:color="003366"/>
              <w:bottom w:val="single" w:sz="6" w:space="0" w:color="003366"/>
              <w:right w:val="single" w:sz="6" w:space="0" w:color="003366"/>
            </w:tcBorders>
            <w:shd w:val="solid" w:color="FFFFCC" w:fill="000000"/>
          </w:tcPr>
          <w:p w:rsidR="001C3413" w:rsidRDefault="001C3413">
            <w:pPr>
              <w:autoSpaceDE w:val="0"/>
              <w:autoSpaceDN w:val="0"/>
              <w:adjustRightInd w:val="0"/>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 xml:space="preserve"> $   616.000 </w:t>
            </w:r>
          </w:p>
        </w:tc>
        <w:tc>
          <w:tcPr>
            <w:tcW w:w="1385" w:type="dxa"/>
            <w:tcBorders>
              <w:top w:val="single" w:sz="6" w:space="0" w:color="003366"/>
              <w:left w:val="single" w:sz="6" w:space="0" w:color="003366"/>
              <w:bottom w:val="single" w:sz="6" w:space="0" w:color="003366"/>
              <w:right w:val="nil"/>
            </w:tcBorders>
            <w:shd w:val="solid" w:color="FFFFCC" w:fill="000000"/>
          </w:tcPr>
          <w:p w:rsidR="001C3413" w:rsidRDefault="001C3413">
            <w:pPr>
              <w:autoSpaceDE w:val="0"/>
              <w:autoSpaceDN w:val="0"/>
              <w:adjustRightInd w:val="0"/>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 xml:space="preserve"> $    8.174.320 </w:t>
            </w:r>
          </w:p>
        </w:tc>
      </w:tr>
      <w:tr w:rsidR="001C3413" w:rsidTr="001C3413">
        <w:trPr>
          <w:trHeight w:val="305"/>
          <w:jc w:val="center"/>
        </w:trPr>
        <w:tc>
          <w:tcPr>
            <w:tcW w:w="1289" w:type="dxa"/>
            <w:tcBorders>
              <w:top w:val="nil"/>
              <w:left w:val="single" w:sz="12" w:space="0" w:color="auto"/>
              <w:bottom w:val="single" w:sz="6" w:space="0" w:color="003366"/>
              <w:right w:val="single" w:sz="6" w:space="0" w:color="003366"/>
            </w:tcBorders>
            <w:shd w:val="solid" w:color="FFFFCC"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6,77</w:t>
            </w:r>
          </w:p>
        </w:tc>
        <w:tc>
          <w:tcPr>
            <w:tcW w:w="1289" w:type="dxa"/>
            <w:tcBorders>
              <w:top w:val="nil"/>
              <w:left w:val="single" w:sz="6" w:space="0" w:color="808000"/>
              <w:bottom w:val="single" w:sz="6" w:space="0" w:color="808000"/>
              <w:right w:val="single" w:sz="6" w:space="0" w:color="808000"/>
            </w:tcBorders>
          </w:tcPr>
          <w:p w:rsidR="001C3413" w:rsidRDefault="001C3413">
            <w:pPr>
              <w:autoSpaceDE w:val="0"/>
              <w:autoSpaceDN w:val="0"/>
              <w:adjustRightInd w:val="0"/>
              <w:jc w:val="right"/>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01-ene-15</w:t>
            </w:r>
          </w:p>
        </w:tc>
        <w:tc>
          <w:tcPr>
            <w:tcW w:w="1257" w:type="dxa"/>
            <w:tcBorders>
              <w:top w:val="nil"/>
              <w:left w:val="single" w:sz="6" w:space="0" w:color="808000"/>
              <w:bottom w:val="single" w:sz="6" w:space="0" w:color="808000"/>
              <w:right w:val="single" w:sz="6" w:space="0" w:color="808000"/>
            </w:tcBorders>
          </w:tcPr>
          <w:p w:rsidR="001C3413" w:rsidRDefault="001C3413">
            <w:pPr>
              <w:autoSpaceDE w:val="0"/>
              <w:autoSpaceDN w:val="0"/>
              <w:adjustRightInd w:val="0"/>
              <w:jc w:val="right"/>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31-dic-15</w:t>
            </w:r>
          </w:p>
        </w:tc>
        <w:tc>
          <w:tcPr>
            <w:tcW w:w="1193" w:type="dxa"/>
            <w:tcBorders>
              <w:top w:val="nil"/>
              <w:left w:val="nil"/>
              <w:bottom w:val="nil"/>
              <w:right w:val="nil"/>
            </w:tcBorders>
            <w:shd w:val="solid" w:color="FFFFCC"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14,00</w:t>
            </w:r>
          </w:p>
        </w:tc>
        <w:tc>
          <w:tcPr>
            <w:tcW w:w="1193" w:type="dxa"/>
            <w:tcBorders>
              <w:top w:val="single" w:sz="6" w:space="0" w:color="003366"/>
              <w:left w:val="single" w:sz="6" w:space="0" w:color="003366"/>
              <w:bottom w:val="single" w:sz="6" w:space="0" w:color="003366"/>
              <w:right w:val="single" w:sz="6" w:space="0" w:color="003366"/>
            </w:tcBorders>
            <w:shd w:val="solid" w:color="FFFFCC" w:fill="000000"/>
          </w:tcPr>
          <w:p w:rsidR="001C3413" w:rsidRDefault="001C3413">
            <w:pPr>
              <w:autoSpaceDE w:val="0"/>
              <w:autoSpaceDN w:val="0"/>
              <w:adjustRightInd w:val="0"/>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 xml:space="preserve"> $   644.350 </w:t>
            </w:r>
          </w:p>
        </w:tc>
        <w:tc>
          <w:tcPr>
            <w:tcW w:w="1385" w:type="dxa"/>
            <w:tcBorders>
              <w:top w:val="single" w:sz="6" w:space="0" w:color="003366"/>
              <w:left w:val="single" w:sz="6" w:space="0" w:color="003366"/>
              <w:bottom w:val="single" w:sz="6" w:space="0" w:color="003366"/>
              <w:right w:val="nil"/>
            </w:tcBorders>
            <w:shd w:val="solid" w:color="FFFFCC" w:fill="000000"/>
          </w:tcPr>
          <w:p w:rsidR="001C3413" w:rsidRDefault="001C3413">
            <w:pPr>
              <w:autoSpaceDE w:val="0"/>
              <w:autoSpaceDN w:val="0"/>
              <w:adjustRightInd w:val="0"/>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 xml:space="preserve"> $    9.020.900 </w:t>
            </w:r>
          </w:p>
        </w:tc>
      </w:tr>
      <w:tr w:rsidR="001C3413" w:rsidTr="001C3413">
        <w:trPr>
          <w:trHeight w:val="305"/>
          <w:jc w:val="center"/>
        </w:trPr>
        <w:tc>
          <w:tcPr>
            <w:tcW w:w="1289" w:type="dxa"/>
            <w:tcBorders>
              <w:top w:val="nil"/>
              <w:left w:val="single" w:sz="12" w:space="0" w:color="auto"/>
              <w:bottom w:val="single" w:sz="6" w:space="0" w:color="003366"/>
              <w:right w:val="single" w:sz="6" w:space="0" w:color="003366"/>
            </w:tcBorders>
            <w:shd w:val="solid" w:color="FFFFCC"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5,75</w:t>
            </w:r>
          </w:p>
        </w:tc>
        <w:tc>
          <w:tcPr>
            <w:tcW w:w="1289" w:type="dxa"/>
            <w:tcBorders>
              <w:top w:val="nil"/>
              <w:left w:val="single" w:sz="6" w:space="0" w:color="808000"/>
              <w:bottom w:val="single" w:sz="6" w:space="0" w:color="808000"/>
              <w:right w:val="single" w:sz="6" w:space="0" w:color="808000"/>
            </w:tcBorders>
          </w:tcPr>
          <w:p w:rsidR="001C3413" w:rsidRDefault="001C3413">
            <w:pPr>
              <w:autoSpaceDE w:val="0"/>
              <w:autoSpaceDN w:val="0"/>
              <w:adjustRightInd w:val="0"/>
              <w:jc w:val="right"/>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01-ene-16</w:t>
            </w:r>
          </w:p>
        </w:tc>
        <w:tc>
          <w:tcPr>
            <w:tcW w:w="1257" w:type="dxa"/>
            <w:tcBorders>
              <w:top w:val="nil"/>
              <w:left w:val="single" w:sz="6" w:space="0" w:color="808000"/>
              <w:bottom w:val="single" w:sz="6" w:space="0" w:color="808000"/>
              <w:right w:val="single" w:sz="6" w:space="0" w:color="808000"/>
            </w:tcBorders>
          </w:tcPr>
          <w:p w:rsidR="001C3413" w:rsidRDefault="001C3413">
            <w:pPr>
              <w:autoSpaceDE w:val="0"/>
              <w:autoSpaceDN w:val="0"/>
              <w:adjustRightInd w:val="0"/>
              <w:jc w:val="right"/>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31-dic-16</w:t>
            </w:r>
          </w:p>
        </w:tc>
        <w:tc>
          <w:tcPr>
            <w:tcW w:w="1193" w:type="dxa"/>
            <w:tcBorders>
              <w:top w:val="nil"/>
              <w:left w:val="nil"/>
              <w:bottom w:val="nil"/>
              <w:right w:val="nil"/>
            </w:tcBorders>
            <w:shd w:val="solid" w:color="FFFFCC"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14,00</w:t>
            </w:r>
          </w:p>
        </w:tc>
        <w:tc>
          <w:tcPr>
            <w:tcW w:w="1193" w:type="dxa"/>
            <w:tcBorders>
              <w:top w:val="single" w:sz="6" w:space="0" w:color="003366"/>
              <w:left w:val="single" w:sz="6" w:space="0" w:color="003366"/>
              <w:bottom w:val="single" w:sz="6" w:space="0" w:color="003366"/>
              <w:right w:val="single" w:sz="6" w:space="0" w:color="003366"/>
            </w:tcBorders>
            <w:shd w:val="solid" w:color="FFFFCC" w:fill="000000"/>
          </w:tcPr>
          <w:p w:rsidR="001C3413" w:rsidRDefault="001C3413" w:rsidP="001C3413">
            <w:pPr>
              <w:autoSpaceDE w:val="0"/>
              <w:autoSpaceDN w:val="0"/>
              <w:adjustRightInd w:val="0"/>
              <w:jc w:val="center"/>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   689.454</w:t>
            </w:r>
          </w:p>
        </w:tc>
        <w:tc>
          <w:tcPr>
            <w:tcW w:w="1385" w:type="dxa"/>
            <w:tcBorders>
              <w:top w:val="single" w:sz="6" w:space="0" w:color="003366"/>
              <w:left w:val="single" w:sz="6" w:space="0" w:color="003366"/>
              <w:bottom w:val="single" w:sz="6" w:space="0" w:color="003366"/>
              <w:right w:val="nil"/>
            </w:tcBorders>
            <w:shd w:val="solid" w:color="FFFFCC" w:fill="000000"/>
          </w:tcPr>
          <w:p w:rsidR="001C3413" w:rsidRDefault="001C3413">
            <w:pPr>
              <w:autoSpaceDE w:val="0"/>
              <w:autoSpaceDN w:val="0"/>
              <w:adjustRightInd w:val="0"/>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 xml:space="preserve"> $    9.652.356 </w:t>
            </w:r>
          </w:p>
        </w:tc>
      </w:tr>
      <w:tr w:rsidR="001C3413" w:rsidTr="001C3413">
        <w:trPr>
          <w:trHeight w:val="319"/>
          <w:jc w:val="center"/>
        </w:trPr>
        <w:tc>
          <w:tcPr>
            <w:tcW w:w="1289" w:type="dxa"/>
            <w:tcBorders>
              <w:top w:val="nil"/>
              <w:left w:val="single" w:sz="12" w:space="0" w:color="auto"/>
              <w:bottom w:val="single" w:sz="12" w:space="0" w:color="auto"/>
              <w:right w:val="single" w:sz="6" w:space="0" w:color="003366"/>
            </w:tcBorders>
            <w:shd w:val="solid" w:color="FFFFCC"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0,00</w:t>
            </w:r>
          </w:p>
        </w:tc>
        <w:tc>
          <w:tcPr>
            <w:tcW w:w="1289" w:type="dxa"/>
            <w:tcBorders>
              <w:top w:val="nil"/>
              <w:left w:val="single" w:sz="6" w:space="0" w:color="808000"/>
              <w:bottom w:val="single" w:sz="12" w:space="0" w:color="auto"/>
              <w:right w:val="single" w:sz="6" w:space="0" w:color="808000"/>
            </w:tcBorders>
          </w:tcPr>
          <w:p w:rsidR="001C3413" w:rsidRDefault="001C3413">
            <w:pPr>
              <w:autoSpaceDE w:val="0"/>
              <w:autoSpaceDN w:val="0"/>
              <w:adjustRightInd w:val="0"/>
              <w:jc w:val="right"/>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01-ene-17</w:t>
            </w:r>
          </w:p>
        </w:tc>
        <w:tc>
          <w:tcPr>
            <w:tcW w:w="1257" w:type="dxa"/>
            <w:tcBorders>
              <w:top w:val="nil"/>
              <w:left w:val="single" w:sz="6" w:space="0" w:color="808000"/>
              <w:bottom w:val="single" w:sz="12" w:space="0" w:color="auto"/>
              <w:right w:val="single" w:sz="6" w:space="0" w:color="808000"/>
            </w:tcBorders>
          </w:tcPr>
          <w:p w:rsidR="001C3413" w:rsidRDefault="001C3413">
            <w:pPr>
              <w:autoSpaceDE w:val="0"/>
              <w:autoSpaceDN w:val="0"/>
              <w:adjustRightInd w:val="0"/>
              <w:jc w:val="right"/>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31-ago-17</w:t>
            </w:r>
          </w:p>
        </w:tc>
        <w:tc>
          <w:tcPr>
            <w:tcW w:w="1193" w:type="dxa"/>
            <w:tcBorders>
              <w:top w:val="nil"/>
              <w:left w:val="nil"/>
              <w:bottom w:val="single" w:sz="12" w:space="0" w:color="auto"/>
              <w:right w:val="nil"/>
            </w:tcBorders>
            <w:shd w:val="solid" w:color="FFFFCC"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9,00</w:t>
            </w:r>
          </w:p>
        </w:tc>
        <w:tc>
          <w:tcPr>
            <w:tcW w:w="1193" w:type="dxa"/>
            <w:tcBorders>
              <w:top w:val="single" w:sz="6" w:space="0" w:color="003366"/>
              <w:left w:val="single" w:sz="6" w:space="0" w:color="003366"/>
              <w:bottom w:val="single" w:sz="12" w:space="0" w:color="auto"/>
              <w:right w:val="single" w:sz="6" w:space="0" w:color="003366"/>
            </w:tcBorders>
            <w:shd w:val="solid" w:color="FFFFCC" w:fill="000000"/>
          </w:tcPr>
          <w:p w:rsidR="001C3413" w:rsidRDefault="001C3413">
            <w:pPr>
              <w:autoSpaceDE w:val="0"/>
              <w:autoSpaceDN w:val="0"/>
              <w:adjustRightInd w:val="0"/>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 xml:space="preserve"> $   737.717 </w:t>
            </w:r>
          </w:p>
        </w:tc>
        <w:tc>
          <w:tcPr>
            <w:tcW w:w="1385" w:type="dxa"/>
            <w:tcBorders>
              <w:top w:val="single" w:sz="6" w:space="0" w:color="003366"/>
              <w:left w:val="single" w:sz="6" w:space="0" w:color="003366"/>
              <w:bottom w:val="single" w:sz="6" w:space="0" w:color="003366"/>
              <w:right w:val="nil"/>
            </w:tcBorders>
            <w:shd w:val="solid" w:color="FFFFCC" w:fill="000000"/>
          </w:tcPr>
          <w:p w:rsidR="001C3413" w:rsidRDefault="001C3413">
            <w:pPr>
              <w:autoSpaceDE w:val="0"/>
              <w:autoSpaceDN w:val="0"/>
              <w:adjustRightInd w:val="0"/>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 xml:space="preserve"> $    6.639.453 </w:t>
            </w:r>
          </w:p>
        </w:tc>
      </w:tr>
      <w:tr w:rsidR="001C3413" w:rsidTr="001C3413">
        <w:trPr>
          <w:trHeight w:val="319"/>
          <w:jc w:val="center"/>
        </w:trPr>
        <w:tc>
          <w:tcPr>
            <w:tcW w:w="2578" w:type="dxa"/>
            <w:gridSpan w:val="2"/>
            <w:tcBorders>
              <w:top w:val="single" w:sz="12" w:space="0" w:color="auto"/>
              <w:left w:val="single" w:sz="12" w:space="0" w:color="auto"/>
              <w:bottom w:val="single" w:sz="12" w:space="0" w:color="auto"/>
              <w:right w:val="nil"/>
            </w:tcBorders>
            <w:shd w:val="solid" w:color="FFFF00"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TOTAL RETROACTIVO</w:t>
            </w:r>
          </w:p>
        </w:tc>
        <w:tc>
          <w:tcPr>
            <w:tcW w:w="1257" w:type="dxa"/>
            <w:tcBorders>
              <w:top w:val="single" w:sz="12" w:space="0" w:color="auto"/>
              <w:left w:val="nil"/>
              <w:bottom w:val="single" w:sz="12" w:space="0" w:color="auto"/>
              <w:right w:val="nil"/>
            </w:tcBorders>
            <w:shd w:val="solid" w:color="FFFF00"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p>
        </w:tc>
        <w:tc>
          <w:tcPr>
            <w:tcW w:w="1193" w:type="dxa"/>
            <w:tcBorders>
              <w:top w:val="single" w:sz="12" w:space="0" w:color="auto"/>
              <w:left w:val="nil"/>
              <w:bottom w:val="single" w:sz="12" w:space="0" w:color="auto"/>
              <w:right w:val="nil"/>
            </w:tcBorders>
            <w:shd w:val="solid" w:color="FFFF00"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p>
        </w:tc>
        <w:tc>
          <w:tcPr>
            <w:tcW w:w="1193" w:type="dxa"/>
            <w:tcBorders>
              <w:top w:val="single" w:sz="12" w:space="0" w:color="auto"/>
              <w:left w:val="nil"/>
              <w:bottom w:val="single" w:sz="12" w:space="0" w:color="auto"/>
              <w:right w:val="nil"/>
            </w:tcBorders>
            <w:shd w:val="solid" w:color="FFFF00" w:fill="000000"/>
          </w:tcPr>
          <w:p w:rsidR="001C3413" w:rsidRDefault="001C3413">
            <w:pPr>
              <w:autoSpaceDE w:val="0"/>
              <w:autoSpaceDN w:val="0"/>
              <w:adjustRightInd w:val="0"/>
              <w:jc w:val="right"/>
              <w:rPr>
                <w:rFonts w:ascii="Calibri" w:eastAsiaTheme="minorHAnsi" w:hAnsi="Calibri" w:cs="Calibri"/>
                <w:color w:val="000000"/>
                <w:sz w:val="20"/>
                <w:lang w:val="es-ES" w:eastAsia="en-US"/>
              </w:rPr>
            </w:pPr>
          </w:p>
        </w:tc>
        <w:tc>
          <w:tcPr>
            <w:tcW w:w="1385" w:type="dxa"/>
            <w:tcBorders>
              <w:top w:val="single" w:sz="12" w:space="0" w:color="auto"/>
              <w:left w:val="nil"/>
              <w:bottom w:val="single" w:sz="12" w:space="0" w:color="auto"/>
              <w:right w:val="nil"/>
            </w:tcBorders>
            <w:shd w:val="solid" w:color="FFFF00" w:fill="000000"/>
          </w:tcPr>
          <w:p w:rsidR="001C3413" w:rsidRDefault="001C3413">
            <w:pPr>
              <w:autoSpaceDE w:val="0"/>
              <w:autoSpaceDN w:val="0"/>
              <w:adjustRightInd w:val="0"/>
              <w:jc w:val="center"/>
              <w:rPr>
                <w:rFonts w:ascii="Calibri" w:eastAsiaTheme="minorHAnsi" w:hAnsi="Calibri" w:cs="Calibri"/>
                <w:color w:val="000000"/>
                <w:sz w:val="20"/>
                <w:lang w:val="es-ES" w:eastAsia="en-US"/>
              </w:rPr>
            </w:pPr>
            <w:r>
              <w:rPr>
                <w:rFonts w:ascii="Calibri" w:eastAsiaTheme="minorHAnsi" w:hAnsi="Calibri" w:cs="Calibri"/>
                <w:color w:val="000000"/>
                <w:sz w:val="20"/>
                <w:lang w:val="es-ES" w:eastAsia="en-US"/>
              </w:rPr>
              <w:t xml:space="preserve"> $  33.487.029 </w:t>
            </w:r>
          </w:p>
        </w:tc>
      </w:tr>
    </w:tbl>
    <w:p w:rsidR="00055655" w:rsidRDefault="00055655" w:rsidP="00055655">
      <w:pPr>
        <w:spacing w:line="276" w:lineRule="auto"/>
        <w:contextualSpacing/>
        <w:jc w:val="center"/>
        <w:rPr>
          <w:rFonts w:ascii="Arial" w:hAnsi="Arial" w:cs="Arial"/>
          <w:i/>
          <w:iCs/>
          <w:szCs w:val="24"/>
          <w:lang w:val="es-ES"/>
        </w:rPr>
      </w:pPr>
    </w:p>
    <w:p w:rsidR="00055655" w:rsidRDefault="00055655" w:rsidP="00055655">
      <w:pPr>
        <w:spacing w:line="276" w:lineRule="auto"/>
        <w:contextualSpacing/>
        <w:jc w:val="center"/>
        <w:rPr>
          <w:rFonts w:ascii="Arial" w:hAnsi="Arial" w:cs="Arial"/>
          <w:i/>
          <w:iCs/>
          <w:szCs w:val="24"/>
          <w:lang w:val="es-ES"/>
        </w:rPr>
      </w:pPr>
    </w:p>
    <w:p w:rsidR="00055655" w:rsidRDefault="00055655" w:rsidP="00055655">
      <w:pPr>
        <w:spacing w:line="276" w:lineRule="auto"/>
        <w:contextualSpacing/>
        <w:jc w:val="center"/>
        <w:rPr>
          <w:rFonts w:ascii="Arial" w:hAnsi="Arial" w:cs="Arial"/>
          <w:i/>
          <w:iCs/>
          <w:szCs w:val="24"/>
          <w:lang w:val="es-ES"/>
        </w:rPr>
      </w:pPr>
    </w:p>
    <w:p w:rsidR="00055655" w:rsidRDefault="00055655" w:rsidP="00055655">
      <w:pPr>
        <w:spacing w:line="276" w:lineRule="auto"/>
        <w:contextualSpacing/>
        <w:jc w:val="center"/>
        <w:rPr>
          <w:rFonts w:ascii="Arial" w:hAnsi="Arial" w:cs="Arial"/>
          <w:i/>
          <w:iCs/>
          <w:szCs w:val="24"/>
          <w:lang w:val="es-ES"/>
        </w:rPr>
      </w:pPr>
    </w:p>
    <w:p w:rsidR="00055655" w:rsidRDefault="00055655" w:rsidP="00055655">
      <w:pPr>
        <w:spacing w:line="276" w:lineRule="auto"/>
        <w:contextualSpacing/>
        <w:jc w:val="center"/>
        <w:rPr>
          <w:rFonts w:ascii="Arial" w:hAnsi="Arial" w:cs="Arial"/>
          <w:i/>
          <w:iCs/>
          <w:szCs w:val="24"/>
          <w:lang w:val="es-ES"/>
        </w:rPr>
      </w:pPr>
    </w:p>
    <w:p w:rsidR="00055655" w:rsidRDefault="00055655" w:rsidP="00055655">
      <w:pPr>
        <w:spacing w:line="276" w:lineRule="auto"/>
        <w:contextualSpacing/>
        <w:jc w:val="center"/>
        <w:rPr>
          <w:rFonts w:ascii="Arial" w:hAnsi="Arial" w:cs="Arial"/>
          <w:i/>
          <w:iCs/>
          <w:szCs w:val="24"/>
          <w:lang w:val="es-ES"/>
        </w:rPr>
      </w:pPr>
      <w:r>
        <w:rPr>
          <w:rFonts w:ascii="Arial" w:hAnsi="Arial" w:cs="Arial"/>
          <w:i/>
          <w:iCs/>
          <w:szCs w:val="24"/>
          <w:lang w:val="es-ES"/>
        </w:rPr>
        <w:t>OLGA LUCÍA HOYOS SEPÚLVEDA</w:t>
      </w:r>
    </w:p>
    <w:p w:rsidR="00055655" w:rsidRPr="00055655" w:rsidRDefault="00055655" w:rsidP="00055655">
      <w:pPr>
        <w:spacing w:line="276" w:lineRule="auto"/>
        <w:contextualSpacing/>
        <w:jc w:val="center"/>
        <w:rPr>
          <w:rFonts w:ascii="Arial" w:hAnsi="Arial" w:cs="Arial"/>
          <w:i/>
          <w:iCs/>
          <w:szCs w:val="24"/>
          <w:lang w:val="es-ES"/>
        </w:rPr>
      </w:pPr>
      <w:r>
        <w:rPr>
          <w:rFonts w:ascii="Arial" w:hAnsi="Arial" w:cs="Arial"/>
          <w:i/>
          <w:iCs/>
          <w:szCs w:val="24"/>
          <w:lang w:val="es-ES"/>
        </w:rPr>
        <w:t>Magistrada</w:t>
      </w:r>
    </w:p>
    <w:sectPr w:rsidR="00055655" w:rsidRPr="00055655" w:rsidSect="009D68F9">
      <w:headerReference w:type="default" r:id="rId10"/>
      <w:footerReference w:type="even" r:id="rId11"/>
      <w:footerReference w:type="default" r:id="rId12"/>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27" w:rsidRDefault="002A1827" w:rsidP="00226D5F">
      <w:r>
        <w:separator/>
      </w:r>
    </w:p>
  </w:endnote>
  <w:endnote w:type="continuationSeparator" w:id="0">
    <w:p w:rsidR="002A1827" w:rsidRDefault="002A182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04" w:rsidRDefault="00917D04" w:rsidP="00FE74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7D04" w:rsidRDefault="00917D04" w:rsidP="00FE741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04" w:rsidRDefault="00917D04" w:rsidP="00FE74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3CA5">
      <w:rPr>
        <w:rStyle w:val="Nmerodepgina"/>
        <w:noProof/>
      </w:rPr>
      <w:t>3</w:t>
    </w:r>
    <w:r>
      <w:rPr>
        <w:rStyle w:val="Nmerodepgina"/>
      </w:rPr>
      <w:fldChar w:fldCharType="end"/>
    </w:r>
  </w:p>
  <w:p w:rsidR="00917D04" w:rsidRDefault="00917D04" w:rsidP="00FE741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27" w:rsidRDefault="002A1827" w:rsidP="00226D5F">
      <w:r>
        <w:separator/>
      </w:r>
    </w:p>
  </w:footnote>
  <w:footnote w:type="continuationSeparator" w:id="0">
    <w:p w:rsidR="002A1827" w:rsidRDefault="002A1827" w:rsidP="00226D5F">
      <w:r>
        <w:continuationSeparator/>
      </w:r>
    </w:p>
  </w:footnote>
  <w:footnote w:id="1">
    <w:p w:rsidR="00917D04" w:rsidRPr="002C5DC0" w:rsidRDefault="00917D04">
      <w:pPr>
        <w:pStyle w:val="Textonotapie"/>
        <w:rPr>
          <w:rFonts w:ascii="Arial" w:hAnsi="Arial" w:cs="Arial"/>
          <w:sz w:val="18"/>
          <w:szCs w:val="18"/>
          <w:lang w:val="es-AR"/>
        </w:rPr>
      </w:pPr>
      <w:r w:rsidRPr="002C5DC0">
        <w:rPr>
          <w:rStyle w:val="Refdenotaalpie"/>
          <w:rFonts w:ascii="Arial" w:hAnsi="Arial" w:cs="Arial"/>
          <w:sz w:val="18"/>
          <w:szCs w:val="18"/>
        </w:rPr>
        <w:footnoteRef/>
      </w:r>
      <w:r w:rsidRPr="002C5DC0">
        <w:rPr>
          <w:rFonts w:ascii="Arial" w:hAnsi="Arial" w:cs="Arial"/>
          <w:sz w:val="18"/>
          <w:szCs w:val="18"/>
        </w:rPr>
        <w:t xml:space="preserve"> </w:t>
      </w:r>
      <w:proofErr w:type="spellStart"/>
      <w:r w:rsidRPr="002C5DC0">
        <w:rPr>
          <w:rFonts w:ascii="Arial" w:hAnsi="Arial" w:cs="Arial"/>
          <w:sz w:val="18"/>
          <w:szCs w:val="18"/>
          <w:lang w:val="es-AR"/>
        </w:rPr>
        <w:t>M.P</w:t>
      </w:r>
      <w:proofErr w:type="spellEnd"/>
      <w:r w:rsidRPr="002C5DC0">
        <w:rPr>
          <w:rFonts w:ascii="Arial" w:hAnsi="Arial" w:cs="Arial"/>
          <w:sz w:val="18"/>
          <w:szCs w:val="18"/>
          <w:lang w:val="es-AR"/>
        </w:rPr>
        <w:t>. Francisco Javier Tamayo Tabares. Radicado 2013-00375 del 14/05/2015</w:t>
      </w:r>
    </w:p>
  </w:footnote>
  <w:footnote w:id="2">
    <w:p w:rsidR="00917D04" w:rsidRPr="007C45FE" w:rsidRDefault="00917D04">
      <w:pPr>
        <w:pStyle w:val="Textonotapie"/>
        <w:rPr>
          <w:rFonts w:ascii="Arial" w:hAnsi="Arial" w:cs="Arial"/>
          <w:sz w:val="18"/>
          <w:szCs w:val="18"/>
          <w:lang w:val="es-AR"/>
        </w:rPr>
      </w:pPr>
      <w:r w:rsidRPr="007C45FE">
        <w:rPr>
          <w:rStyle w:val="Refdenotaalpie"/>
          <w:rFonts w:ascii="Arial" w:hAnsi="Arial" w:cs="Arial"/>
          <w:sz w:val="18"/>
          <w:szCs w:val="18"/>
        </w:rPr>
        <w:footnoteRef/>
      </w:r>
      <w:r w:rsidRPr="007C45FE">
        <w:rPr>
          <w:rFonts w:ascii="Arial" w:hAnsi="Arial" w:cs="Arial"/>
          <w:sz w:val="18"/>
          <w:szCs w:val="18"/>
        </w:rPr>
        <w:t xml:space="preserve"> </w:t>
      </w:r>
      <w:r w:rsidRPr="007C45FE">
        <w:rPr>
          <w:rFonts w:ascii="Arial" w:hAnsi="Arial" w:cs="Arial"/>
          <w:sz w:val="18"/>
          <w:szCs w:val="18"/>
          <w:lang w:val="es-AR"/>
        </w:rPr>
        <w:t>Debe entenderse que es el Decreto 2090/2003, en su artículo 9.</w:t>
      </w:r>
    </w:p>
  </w:footnote>
  <w:footnote w:id="3">
    <w:p w:rsidR="00917D04" w:rsidRPr="00414AF0" w:rsidRDefault="00917D04">
      <w:pPr>
        <w:pStyle w:val="Textonotapie"/>
        <w:rPr>
          <w:rFonts w:ascii="Arial" w:hAnsi="Arial" w:cs="Arial"/>
          <w:sz w:val="18"/>
          <w:szCs w:val="18"/>
          <w:lang w:val="es-AR"/>
        </w:rPr>
      </w:pPr>
      <w:r w:rsidRPr="00414AF0">
        <w:rPr>
          <w:rStyle w:val="Refdenotaalpie"/>
          <w:rFonts w:ascii="Arial" w:hAnsi="Arial" w:cs="Arial"/>
          <w:sz w:val="18"/>
          <w:szCs w:val="18"/>
        </w:rPr>
        <w:footnoteRef/>
      </w:r>
      <w:r w:rsidRPr="00414AF0">
        <w:rPr>
          <w:rFonts w:ascii="Arial" w:hAnsi="Arial" w:cs="Arial"/>
          <w:sz w:val="18"/>
          <w:szCs w:val="18"/>
        </w:rPr>
        <w:t xml:space="preserve"> </w:t>
      </w:r>
      <w:proofErr w:type="spellStart"/>
      <w:r w:rsidRPr="00414AF0">
        <w:rPr>
          <w:rFonts w:ascii="Arial" w:hAnsi="Arial" w:cs="Arial"/>
          <w:sz w:val="18"/>
          <w:szCs w:val="18"/>
        </w:rPr>
        <w:t>M.P</w:t>
      </w:r>
      <w:proofErr w:type="spellEnd"/>
      <w:r w:rsidRPr="00414AF0">
        <w:rPr>
          <w:rFonts w:ascii="Arial" w:hAnsi="Arial" w:cs="Arial"/>
          <w:sz w:val="18"/>
          <w:szCs w:val="18"/>
        </w:rPr>
        <w:t xml:space="preserve">. Dolly Amparo </w:t>
      </w:r>
      <w:proofErr w:type="spellStart"/>
      <w:r w:rsidRPr="00414AF0">
        <w:rPr>
          <w:rFonts w:ascii="Arial" w:hAnsi="Arial" w:cs="Arial"/>
          <w:sz w:val="18"/>
          <w:szCs w:val="18"/>
        </w:rPr>
        <w:t>Caguasango</w:t>
      </w:r>
      <w:proofErr w:type="spellEnd"/>
      <w:r w:rsidRPr="00414AF0">
        <w:rPr>
          <w:rFonts w:ascii="Arial" w:hAnsi="Arial" w:cs="Arial"/>
          <w:sz w:val="18"/>
          <w:szCs w:val="18"/>
          <w:lang w:val="es-AR"/>
        </w:rPr>
        <w:t>, SL.10549. Radicación N° 55643 del 19/07/2017. Sala de Descongestión N° 1.</w:t>
      </w:r>
    </w:p>
  </w:footnote>
  <w:footnote w:id="4">
    <w:p w:rsidR="00917D04" w:rsidRPr="00414AF0" w:rsidRDefault="00917D04" w:rsidP="00C14118">
      <w:pPr>
        <w:jc w:val="both"/>
        <w:rPr>
          <w:lang w:val="es-AR"/>
        </w:rPr>
      </w:pPr>
      <w:r>
        <w:rPr>
          <w:rStyle w:val="Refdenotaalpie"/>
        </w:rPr>
        <w:footnoteRef/>
      </w:r>
      <w:r>
        <w:t xml:space="preserve"> </w:t>
      </w:r>
      <w:proofErr w:type="spellStart"/>
      <w:r w:rsidRPr="00414AF0">
        <w:rPr>
          <w:rFonts w:ascii="Arial" w:hAnsi="Arial" w:cs="Arial"/>
          <w:sz w:val="18"/>
          <w:szCs w:val="18"/>
          <w:lang w:val="es-AR"/>
        </w:rPr>
        <w:t>M.P</w:t>
      </w:r>
      <w:proofErr w:type="spellEnd"/>
      <w:r w:rsidRPr="00414AF0">
        <w:rPr>
          <w:rFonts w:ascii="Arial" w:hAnsi="Arial" w:cs="Arial"/>
          <w:sz w:val="18"/>
          <w:szCs w:val="18"/>
          <w:lang w:val="es-AR"/>
        </w:rPr>
        <w:t xml:space="preserve">. </w:t>
      </w:r>
      <w:r w:rsidRPr="00414AF0">
        <w:rPr>
          <w:rFonts w:ascii="Arial" w:hAnsi="Arial" w:cs="Arial"/>
          <w:sz w:val="18"/>
          <w:szCs w:val="18"/>
        </w:rPr>
        <w:t>Giovanni Francisco Rodríguez Jiménez. SL11207-2017. Radicación N.° 50666 del 26/07/2017. Sala de Descongestión N° 4.</w:t>
      </w:r>
    </w:p>
  </w:footnote>
  <w:footnote w:id="5">
    <w:p w:rsidR="00917D04" w:rsidRPr="00C14118" w:rsidRDefault="00917D04" w:rsidP="00C64607">
      <w:pPr>
        <w:pStyle w:val="Textonotapie"/>
        <w:jc w:val="both"/>
        <w:rPr>
          <w:rFonts w:ascii="Arial" w:hAnsi="Arial" w:cs="Arial"/>
          <w:sz w:val="18"/>
          <w:szCs w:val="18"/>
          <w:lang w:val="es-AR"/>
        </w:rPr>
      </w:pPr>
      <w:r w:rsidRPr="00C14118">
        <w:rPr>
          <w:rStyle w:val="Refdenotaalpie"/>
          <w:rFonts w:ascii="Arial" w:hAnsi="Arial" w:cs="Arial"/>
          <w:sz w:val="18"/>
          <w:szCs w:val="18"/>
        </w:rPr>
        <w:footnoteRef/>
      </w:r>
      <w:r w:rsidRPr="00C14118">
        <w:rPr>
          <w:rFonts w:ascii="Arial" w:hAnsi="Arial" w:cs="Arial"/>
          <w:sz w:val="18"/>
          <w:szCs w:val="18"/>
        </w:rPr>
        <w:t xml:space="preserve"> </w:t>
      </w:r>
      <w:r w:rsidRPr="00C14118">
        <w:rPr>
          <w:rFonts w:ascii="Arial" w:hAnsi="Arial" w:cs="Arial"/>
          <w:sz w:val="18"/>
          <w:szCs w:val="18"/>
          <w:lang w:val="es-AR"/>
        </w:rPr>
        <w:t>Según se desprende de la certificación emitida por Positiva Compañía de Seguros S.A. –</w:t>
      </w:r>
      <w:proofErr w:type="spellStart"/>
      <w:r w:rsidRPr="00C14118">
        <w:rPr>
          <w:rFonts w:ascii="Arial" w:hAnsi="Arial" w:cs="Arial"/>
          <w:sz w:val="18"/>
          <w:szCs w:val="18"/>
          <w:lang w:val="es-AR"/>
        </w:rPr>
        <w:t>fl</w:t>
      </w:r>
      <w:proofErr w:type="spellEnd"/>
      <w:r w:rsidRPr="00C14118">
        <w:rPr>
          <w:rFonts w:ascii="Arial" w:hAnsi="Arial" w:cs="Arial"/>
          <w:sz w:val="18"/>
          <w:szCs w:val="18"/>
          <w:lang w:val="es-AR"/>
        </w:rPr>
        <w:t>. 30-, en la que certifica que esa empresa se encontraba afiliada en riesgos profesionales y su actividad principal es la fabricación de vidrio y de productos de vidrio, emplomados y vitrales.</w:t>
      </w:r>
    </w:p>
  </w:footnote>
  <w:footnote w:id="6">
    <w:p w:rsidR="00917D04" w:rsidRPr="00C51428" w:rsidRDefault="00917D04" w:rsidP="00C51428">
      <w:pPr>
        <w:pStyle w:val="Textonotapie"/>
        <w:jc w:val="both"/>
        <w:rPr>
          <w:rFonts w:ascii="Arial" w:hAnsi="Arial" w:cs="Arial"/>
          <w:sz w:val="18"/>
          <w:szCs w:val="18"/>
          <w:lang w:val="es-AR"/>
        </w:rPr>
      </w:pPr>
      <w:r w:rsidRPr="00C51428">
        <w:rPr>
          <w:rStyle w:val="Refdenotaalpie"/>
          <w:rFonts w:ascii="Arial" w:hAnsi="Arial" w:cs="Arial"/>
          <w:sz w:val="18"/>
          <w:szCs w:val="18"/>
        </w:rPr>
        <w:footnoteRef/>
      </w:r>
      <w:r w:rsidRPr="00C51428">
        <w:rPr>
          <w:rFonts w:ascii="Arial" w:hAnsi="Arial" w:cs="Arial"/>
          <w:sz w:val="18"/>
          <w:szCs w:val="18"/>
        </w:rPr>
        <w:t xml:space="preserve"> </w:t>
      </w:r>
      <w:r w:rsidRPr="00C51428">
        <w:rPr>
          <w:rFonts w:ascii="Arial" w:hAnsi="Arial" w:cs="Arial"/>
          <w:sz w:val="18"/>
          <w:szCs w:val="18"/>
          <w:lang w:val="es-AR"/>
        </w:rPr>
        <w:t xml:space="preserve">Señores </w:t>
      </w:r>
      <w:proofErr w:type="spellStart"/>
      <w:r w:rsidRPr="00C51428">
        <w:rPr>
          <w:rFonts w:ascii="Arial" w:hAnsi="Arial" w:cs="Arial"/>
          <w:sz w:val="18"/>
          <w:szCs w:val="18"/>
          <w:lang w:val="es-AR"/>
        </w:rPr>
        <w:t>Ulmahier</w:t>
      </w:r>
      <w:proofErr w:type="spellEnd"/>
      <w:r w:rsidRPr="00C51428">
        <w:rPr>
          <w:rFonts w:ascii="Arial" w:hAnsi="Arial" w:cs="Arial"/>
          <w:sz w:val="18"/>
          <w:szCs w:val="18"/>
          <w:lang w:val="es-AR"/>
        </w:rPr>
        <w:t xml:space="preserve"> Grajales Parra, Fernando Gil Henao, Nelson de Jesús Sánchez </w:t>
      </w:r>
      <w:proofErr w:type="spellStart"/>
      <w:r w:rsidRPr="00C51428">
        <w:rPr>
          <w:rFonts w:ascii="Arial" w:hAnsi="Arial" w:cs="Arial"/>
          <w:sz w:val="18"/>
          <w:szCs w:val="18"/>
          <w:lang w:val="es-AR"/>
        </w:rPr>
        <w:t>Chaverra</w:t>
      </w:r>
      <w:proofErr w:type="spellEnd"/>
      <w:r w:rsidRPr="00C51428">
        <w:rPr>
          <w:rFonts w:ascii="Arial" w:hAnsi="Arial" w:cs="Arial"/>
          <w:sz w:val="18"/>
          <w:szCs w:val="18"/>
          <w:lang w:val="es-AR"/>
        </w:rPr>
        <w:t xml:space="preserve"> y Jairo Hernando Henao Vasco</w:t>
      </w:r>
    </w:p>
  </w:footnote>
  <w:footnote w:id="7">
    <w:p w:rsidR="00917D04" w:rsidRPr="00EA6FE6" w:rsidRDefault="00917D04">
      <w:pPr>
        <w:pStyle w:val="Textonotapie"/>
        <w:rPr>
          <w:rFonts w:ascii="Arial" w:hAnsi="Arial" w:cs="Arial"/>
          <w:sz w:val="18"/>
          <w:szCs w:val="18"/>
          <w:lang w:val="es-AR"/>
        </w:rPr>
      </w:pPr>
      <w:r>
        <w:rPr>
          <w:rStyle w:val="Refdenotaalpie"/>
        </w:rPr>
        <w:footnoteRef/>
      </w:r>
      <w:r>
        <w:t xml:space="preserve"> </w:t>
      </w:r>
      <w:r w:rsidRPr="00EA6FE6">
        <w:rPr>
          <w:rFonts w:ascii="Arial" w:hAnsi="Arial" w:cs="Arial"/>
          <w:sz w:val="18"/>
          <w:szCs w:val="18"/>
        </w:rPr>
        <w:t>http://bibliotecadigital.ilce.edu.mx/sites/ciencia/volumen3/ciencia3/137/html/sec_4.html</w:t>
      </w:r>
    </w:p>
  </w:footnote>
  <w:footnote w:id="8">
    <w:p w:rsidR="00917D04" w:rsidRDefault="00917D04" w:rsidP="00226B0A">
      <w:pPr>
        <w:pStyle w:val="Textonotapie"/>
        <w:rPr>
          <w:rFonts w:ascii="Arial" w:hAnsi="Arial" w:cs="Arial"/>
          <w:sz w:val="18"/>
          <w:szCs w:val="18"/>
        </w:rPr>
      </w:pPr>
      <w:r>
        <w:rPr>
          <w:rStyle w:val="Refdenotaalpie"/>
        </w:rPr>
        <w:footnoteRef/>
      </w:r>
      <w:r>
        <w:t xml:space="preserve"> </w:t>
      </w:r>
      <w:hyperlink r:id="rId1" w:history="1">
        <w:r w:rsidRPr="005B2D6C">
          <w:rPr>
            <w:rStyle w:val="Hipervnculo"/>
            <w:rFonts w:ascii="Arial" w:hAnsi="Arial" w:cs="Arial"/>
            <w:sz w:val="18"/>
            <w:szCs w:val="18"/>
          </w:rPr>
          <w:t>http://www.insht.es/InshtWeb/Contenidos/Documentacion/FichasTecnicas/NTP/Ficheros/821a921/890w.pdf</w:t>
        </w:r>
      </w:hyperlink>
    </w:p>
    <w:p w:rsidR="00917D04" w:rsidRDefault="00917D04" w:rsidP="00226B0A">
      <w:pPr>
        <w:pStyle w:val="Textonotapie"/>
        <w:rPr>
          <w:rFonts w:ascii="Arial" w:hAnsi="Arial" w:cs="Arial"/>
          <w:sz w:val="18"/>
          <w:szCs w:val="18"/>
          <w:lang w:val="es-AR"/>
        </w:rPr>
      </w:pPr>
      <w:r>
        <w:rPr>
          <w:rFonts w:ascii="Arial" w:hAnsi="Arial" w:cs="Arial"/>
          <w:sz w:val="18"/>
          <w:szCs w:val="18"/>
          <w:lang w:val="es-AR"/>
        </w:rPr>
        <w:t xml:space="preserve">  </w:t>
      </w:r>
      <w:hyperlink r:id="rId2" w:history="1">
        <w:r w:rsidRPr="005B2D6C">
          <w:rPr>
            <w:rStyle w:val="Hipervnculo"/>
            <w:rFonts w:ascii="Arial" w:hAnsi="Arial" w:cs="Arial"/>
            <w:sz w:val="18"/>
            <w:szCs w:val="18"/>
            <w:lang w:val="es-AR"/>
          </w:rPr>
          <w:t>https://www.cancer.gov/espanol/cancer/causas-prevencion/riesgo/sustancias/asbesto/hoja-informativa-asbesto</w:t>
        </w:r>
      </w:hyperlink>
    </w:p>
    <w:p w:rsidR="00917D04" w:rsidRPr="00744A8D" w:rsidRDefault="00917D04">
      <w:pPr>
        <w:pStyle w:val="Textonotapie"/>
        <w:rPr>
          <w:rFonts w:ascii="Arial" w:hAnsi="Arial" w:cs="Arial"/>
          <w:sz w:val="18"/>
          <w:szCs w:val="18"/>
          <w:lang w:val="es-AR"/>
        </w:rPr>
      </w:pPr>
    </w:p>
  </w:footnote>
  <w:footnote w:id="9">
    <w:p w:rsidR="00917D04" w:rsidRPr="00ED716E" w:rsidRDefault="00917D04">
      <w:pPr>
        <w:pStyle w:val="Textonotapie"/>
        <w:rPr>
          <w:rFonts w:ascii="Arial" w:hAnsi="Arial" w:cs="Arial"/>
          <w:sz w:val="18"/>
          <w:szCs w:val="18"/>
          <w:lang w:val="es-AR"/>
        </w:rPr>
      </w:pPr>
      <w:r w:rsidRPr="00ED716E">
        <w:rPr>
          <w:rStyle w:val="Refdenotaalpie"/>
          <w:rFonts w:ascii="Arial" w:hAnsi="Arial" w:cs="Arial"/>
          <w:sz w:val="18"/>
          <w:szCs w:val="18"/>
        </w:rPr>
        <w:footnoteRef/>
      </w:r>
      <w:r w:rsidRPr="00ED716E">
        <w:rPr>
          <w:rFonts w:ascii="Arial" w:hAnsi="Arial" w:cs="Arial"/>
          <w:sz w:val="18"/>
          <w:szCs w:val="18"/>
        </w:rPr>
        <w:t xml:space="preserve"> </w:t>
      </w:r>
      <w:proofErr w:type="spellStart"/>
      <w:r w:rsidRPr="00ED716E">
        <w:rPr>
          <w:rFonts w:ascii="Arial" w:hAnsi="Arial" w:cs="Arial"/>
          <w:sz w:val="18"/>
          <w:szCs w:val="18"/>
          <w:lang w:val="es-AR"/>
        </w:rPr>
        <w:t>M.P</w:t>
      </w:r>
      <w:proofErr w:type="spellEnd"/>
      <w:r w:rsidRPr="00ED716E">
        <w:rPr>
          <w:rFonts w:ascii="Arial" w:hAnsi="Arial" w:cs="Arial"/>
          <w:sz w:val="18"/>
          <w:szCs w:val="18"/>
          <w:lang w:val="es-AR"/>
        </w:rPr>
        <w:t>. Francisco Javier Tamayo Tabares. Rad. 2013-00375 del 14/05/2015</w:t>
      </w:r>
    </w:p>
  </w:footnote>
  <w:footnote w:id="10">
    <w:p w:rsidR="00F5295F" w:rsidRPr="00F5295F" w:rsidRDefault="00F5295F">
      <w:pPr>
        <w:pStyle w:val="Textonotapie"/>
        <w:rPr>
          <w:rFonts w:ascii="Arial" w:hAnsi="Arial" w:cs="Arial"/>
          <w:lang w:val="es-AR"/>
        </w:rPr>
      </w:pPr>
      <w:r w:rsidRPr="00F5295F">
        <w:rPr>
          <w:rStyle w:val="Refdenotaalpie"/>
          <w:rFonts w:ascii="Arial" w:hAnsi="Arial" w:cs="Arial"/>
        </w:rPr>
        <w:footnoteRef/>
      </w:r>
      <w:r w:rsidRPr="00F5295F">
        <w:rPr>
          <w:rFonts w:ascii="Arial" w:hAnsi="Arial" w:cs="Arial"/>
        </w:rPr>
        <w:t xml:space="preserve"> </w:t>
      </w:r>
      <w:r w:rsidRPr="00F5295F">
        <w:rPr>
          <w:rFonts w:ascii="Arial" w:hAnsi="Arial" w:cs="Arial"/>
          <w:lang w:val="es-AR"/>
        </w:rPr>
        <w:t>Cuando entró en vigencia el Decreto 2090/03.</w:t>
      </w:r>
    </w:p>
  </w:footnote>
  <w:footnote w:id="11">
    <w:p w:rsidR="00917D04" w:rsidRPr="00547D4D" w:rsidRDefault="00917D04">
      <w:pPr>
        <w:pStyle w:val="Textonotapie"/>
        <w:rPr>
          <w:rFonts w:ascii="Arial" w:hAnsi="Arial" w:cs="Arial"/>
          <w:sz w:val="18"/>
          <w:szCs w:val="18"/>
          <w:lang w:val="es-AR"/>
        </w:rPr>
      </w:pPr>
      <w:r w:rsidRPr="00547D4D">
        <w:rPr>
          <w:rStyle w:val="Refdenotaalpie"/>
          <w:rFonts w:ascii="Arial" w:hAnsi="Arial" w:cs="Arial"/>
          <w:sz w:val="18"/>
          <w:szCs w:val="18"/>
        </w:rPr>
        <w:footnoteRef/>
      </w:r>
      <w:r w:rsidRPr="00547D4D">
        <w:rPr>
          <w:rFonts w:ascii="Arial" w:hAnsi="Arial" w:cs="Arial"/>
          <w:sz w:val="18"/>
          <w:szCs w:val="18"/>
        </w:rPr>
        <w:t xml:space="preserve"> </w:t>
      </w:r>
      <w:r w:rsidRPr="00547D4D">
        <w:rPr>
          <w:rFonts w:ascii="Arial" w:hAnsi="Arial" w:cs="Arial"/>
          <w:sz w:val="18"/>
          <w:szCs w:val="18"/>
          <w:lang w:val="es-AR"/>
        </w:rPr>
        <w:t>C-030-2009</w:t>
      </w:r>
    </w:p>
  </w:footnote>
  <w:footnote w:id="12">
    <w:p w:rsidR="00917D04" w:rsidRPr="004300B6" w:rsidRDefault="00917D04">
      <w:pPr>
        <w:pStyle w:val="Textonotapie"/>
        <w:rPr>
          <w:lang w:val="es-AR"/>
        </w:rPr>
      </w:pPr>
      <w:r>
        <w:rPr>
          <w:rStyle w:val="Refdenotaalpie"/>
        </w:rPr>
        <w:footnoteRef/>
      </w:r>
      <w:r>
        <w:t xml:space="preserve"> </w:t>
      </w:r>
      <w:r>
        <w:rPr>
          <w:rFonts w:ascii="Helvetica" w:hAnsi="Helvetica"/>
          <w:color w:val="000000"/>
          <w:sz w:val="18"/>
          <w:szCs w:val="18"/>
        </w:rPr>
        <w:t>Comunicado de Prensa No. 02 de 28 de enero de 2009</w:t>
      </w:r>
    </w:p>
  </w:footnote>
  <w:footnote w:id="13">
    <w:p w:rsidR="00F86980" w:rsidRPr="00F86980" w:rsidRDefault="00F86980">
      <w:pPr>
        <w:pStyle w:val="Textonotapie"/>
        <w:rPr>
          <w:rFonts w:ascii="Arial" w:hAnsi="Arial" w:cs="Arial"/>
          <w:sz w:val="18"/>
          <w:szCs w:val="18"/>
          <w:lang w:val="es-AR"/>
        </w:rPr>
      </w:pPr>
      <w:r w:rsidRPr="00F86980">
        <w:rPr>
          <w:rStyle w:val="Refdenotaalpie"/>
          <w:rFonts w:ascii="Arial" w:hAnsi="Arial" w:cs="Arial"/>
          <w:sz w:val="18"/>
          <w:szCs w:val="18"/>
        </w:rPr>
        <w:footnoteRef/>
      </w:r>
      <w:r w:rsidRPr="00F86980">
        <w:rPr>
          <w:rFonts w:ascii="Arial" w:hAnsi="Arial" w:cs="Arial"/>
          <w:sz w:val="18"/>
          <w:szCs w:val="18"/>
        </w:rPr>
        <w:t xml:space="preserve"> </w:t>
      </w:r>
      <w:r w:rsidRPr="00F86980">
        <w:rPr>
          <w:rFonts w:ascii="Arial" w:hAnsi="Arial" w:cs="Arial"/>
          <w:sz w:val="18"/>
          <w:szCs w:val="18"/>
          <w:lang w:val="es-AR"/>
        </w:rPr>
        <w:t>Pues al 02/06/1994, tenía más de 15 años de servicios</w:t>
      </w:r>
    </w:p>
  </w:footnote>
  <w:footnote w:id="14">
    <w:p w:rsidR="00ED6378" w:rsidRPr="001A66F5" w:rsidRDefault="00ED6378" w:rsidP="00ED6378">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15">
    <w:p w:rsidR="00ED6378" w:rsidRDefault="00ED6378" w:rsidP="00ED6378">
      <w:pPr>
        <w:pStyle w:val="Textonotapie"/>
        <w:rPr>
          <w:rFonts w:ascii="Arial" w:hAnsi="Arial" w:cs="Arial"/>
          <w:sz w:val="18"/>
          <w:szCs w:val="18"/>
        </w:rPr>
      </w:pPr>
      <w:r>
        <w:rPr>
          <w:rStyle w:val="Refdenotaalpie"/>
        </w:rPr>
        <w:footnoteRef/>
      </w:r>
      <w: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ED6378" w:rsidRDefault="00ED6378" w:rsidP="00ED6378">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 w:id="16">
    <w:p w:rsidR="0048585D" w:rsidRPr="0048585D" w:rsidRDefault="0048585D">
      <w:pPr>
        <w:pStyle w:val="Textonotapie"/>
        <w:rPr>
          <w:rFonts w:ascii="Arial" w:hAnsi="Arial" w:cs="Arial"/>
          <w:sz w:val="18"/>
          <w:szCs w:val="18"/>
          <w:lang w:val="es-AR"/>
        </w:rPr>
      </w:pPr>
      <w:r w:rsidRPr="0048585D">
        <w:rPr>
          <w:rStyle w:val="Refdenotaalpie"/>
          <w:rFonts w:ascii="Arial" w:hAnsi="Arial" w:cs="Arial"/>
          <w:sz w:val="18"/>
          <w:szCs w:val="18"/>
        </w:rPr>
        <w:footnoteRef/>
      </w:r>
      <w:r w:rsidRPr="0048585D">
        <w:rPr>
          <w:rFonts w:ascii="Arial" w:hAnsi="Arial" w:cs="Arial"/>
          <w:sz w:val="18"/>
          <w:szCs w:val="18"/>
        </w:rPr>
        <w:t xml:space="preserve"> </w:t>
      </w:r>
      <w:r w:rsidRPr="0048585D">
        <w:rPr>
          <w:rFonts w:ascii="Arial" w:hAnsi="Arial" w:cs="Arial"/>
          <w:sz w:val="18"/>
          <w:szCs w:val="18"/>
          <w:lang w:val="es-AR"/>
        </w:rPr>
        <w:t>Norma de la cual el demandante es beneficiario</w:t>
      </w:r>
      <w:r>
        <w:rPr>
          <w:rFonts w:ascii="Arial" w:hAnsi="Arial" w:cs="Arial"/>
          <w:sz w:val="18"/>
          <w:szCs w:val="18"/>
          <w:lang w:val="es-AR"/>
        </w:rPr>
        <w:t>, en virtud de la transición del Decreto 2090/03</w:t>
      </w:r>
    </w:p>
  </w:footnote>
  <w:footnote w:id="17">
    <w:p w:rsidR="00917D04" w:rsidRPr="002239FD" w:rsidRDefault="00917D04" w:rsidP="00917D04">
      <w:pPr>
        <w:pStyle w:val="Textonotapie"/>
        <w:rPr>
          <w:rFonts w:ascii="Arial" w:hAnsi="Arial" w:cs="Arial"/>
          <w:sz w:val="18"/>
          <w:szCs w:val="18"/>
          <w:lang w:val="es-AR"/>
        </w:rPr>
      </w:pPr>
      <w:r w:rsidRPr="002239FD">
        <w:rPr>
          <w:rStyle w:val="Refdenotaalpie"/>
          <w:rFonts w:ascii="Arial" w:hAnsi="Arial" w:cs="Arial"/>
          <w:sz w:val="18"/>
          <w:szCs w:val="18"/>
        </w:rPr>
        <w:footnoteRef/>
      </w:r>
      <w:r w:rsidRPr="002239FD">
        <w:rPr>
          <w:rFonts w:ascii="Arial" w:hAnsi="Arial" w:cs="Arial"/>
          <w:sz w:val="18"/>
          <w:szCs w:val="18"/>
        </w:rPr>
        <w:t xml:space="preserve"> </w:t>
      </w:r>
      <w:r w:rsidR="009554E8">
        <w:rPr>
          <w:rFonts w:ascii="Arial" w:hAnsi="Arial" w:cs="Arial"/>
          <w:sz w:val="18"/>
          <w:szCs w:val="18"/>
        </w:rPr>
        <w:t>Tiene 2.122,78</w:t>
      </w:r>
      <w:r w:rsidR="009554E8">
        <w:rPr>
          <w:rFonts w:ascii="Arial" w:hAnsi="Arial" w:cs="Arial"/>
          <w:sz w:val="18"/>
          <w:szCs w:val="18"/>
          <w:lang w:val="es-AR"/>
        </w:rPr>
        <w:t xml:space="preserve"> </w:t>
      </w:r>
      <w:r>
        <w:rPr>
          <w:rFonts w:ascii="Arial" w:hAnsi="Arial" w:cs="Arial"/>
          <w:sz w:val="18"/>
          <w:szCs w:val="18"/>
          <w:lang w:val="es-AR"/>
        </w:rPr>
        <w:t>hasta el 3</w:t>
      </w:r>
      <w:r w:rsidR="009554E8">
        <w:rPr>
          <w:rFonts w:ascii="Arial" w:hAnsi="Arial" w:cs="Arial"/>
          <w:sz w:val="18"/>
          <w:szCs w:val="18"/>
          <w:lang w:val="es-AR"/>
        </w:rPr>
        <w:t>0/09/2010</w:t>
      </w:r>
    </w:p>
  </w:footnote>
  <w:footnote w:id="18">
    <w:p w:rsidR="001F2919" w:rsidRPr="001F2919" w:rsidRDefault="001F2919">
      <w:pPr>
        <w:pStyle w:val="Textonotapie"/>
        <w:rPr>
          <w:rFonts w:ascii="Arial" w:hAnsi="Arial" w:cs="Arial"/>
          <w:sz w:val="18"/>
          <w:szCs w:val="18"/>
          <w:lang w:val="es-AR"/>
        </w:rPr>
      </w:pPr>
      <w:r w:rsidRPr="001F2919">
        <w:rPr>
          <w:rStyle w:val="Refdenotaalpie"/>
          <w:rFonts w:ascii="Arial" w:hAnsi="Arial" w:cs="Arial"/>
          <w:sz w:val="18"/>
          <w:szCs w:val="18"/>
        </w:rPr>
        <w:footnoteRef/>
      </w:r>
      <w:r w:rsidRPr="001F2919">
        <w:rPr>
          <w:rFonts w:ascii="Arial" w:hAnsi="Arial" w:cs="Arial"/>
          <w:sz w:val="18"/>
          <w:szCs w:val="18"/>
        </w:rPr>
        <w:t xml:space="preserve"> </w:t>
      </w:r>
      <w:r w:rsidRPr="001F2919">
        <w:rPr>
          <w:rFonts w:ascii="Arial" w:hAnsi="Arial" w:cs="Arial"/>
          <w:sz w:val="18"/>
          <w:szCs w:val="18"/>
          <w:lang w:val="es-AR"/>
        </w:rPr>
        <w:t>Que para el año 2014 era de $616.000, conforme al Decreto 3068 de 2013, expedido por el Gobierno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04" w:rsidRPr="001B0E6E" w:rsidRDefault="00917D04"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917D04" w:rsidRPr="001B0E6E" w:rsidRDefault="00917D04" w:rsidP="00350788">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1</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Pr>
        <w:rFonts w:ascii="Arial" w:hAnsi="Arial" w:cs="Arial"/>
        <w:sz w:val="16"/>
        <w:szCs w:val="16"/>
      </w:rPr>
      <w:t>432</w:t>
    </w:r>
    <w:r w:rsidRPr="001B0E6E">
      <w:rPr>
        <w:rFonts w:ascii="Arial" w:hAnsi="Arial" w:cs="Arial"/>
        <w:sz w:val="16"/>
        <w:szCs w:val="16"/>
      </w:rPr>
      <w:t>-01</w:t>
    </w:r>
  </w:p>
  <w:p w:rsidR="00917D04" w:rsidRPr="001B0E6E" w:rsidRDefault="00917D04" w:rsidP="00350788">
    <w:pPr>
      <w:pStyle w:val="Encabezado"/>
      <w:jc w:val="center"/>
      <w:rPr>
        <w:rFonts w:ascii="Arial" w:hAnsi="Arial" w:cs="Arial"/>
        <w:sz w:val="16"/>
        <w:szCs w:val="16"/>
      </w:rPr>
    </w:pPr>
    <w:r>
      <w:rPr>
        <w:rFonts w:ascii="Arial" w:hAnsi="Arial" w:cs="Arial"/>
        <w:sz w:val="16"/>
        <w:szCs w:val="16"/>
      </w:rPr>
      <w:t xml:space="preserve">José William Morales Restrepo </w:t>
    </w:r>
    <w:r w:rsidRPr="001B0E6E">
      <w:rPr>
        <w:rFonts w:ascii="Arial" w:hAnsi="Arial" w:cs="Arial"/>
        <w:sz w:val="16"/>
        <w:szCs w:val="16"/>
      </w:rPr>
      <w:t xml:space="preserve">vs </w:t>
    </w:r>
    <w:proofErr w:type="spellStart"/>
    <w:r w:rsidRPr="001B0E6E">
      <w:rPr>
        <w:rFonts w:ascii="Arial" w:hAnsi="Arial" w:cs="Arial"/>
        <w:sz w:val="16"/>
        <w:szCs w:val="16"/>
      </w:rPr>
      <w:t>Colpensiones</w:t>
    </w:r>
    <w:proofErr w:type="spellEnd"/>
  </w:p>
  <w:p w:rsidR="00917D04" w:rsidRPr="00350788" w:rsidRDefault="00917D04"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7"/>
  </w:num>
  <w:num w:numId="4">
    <w:abstractNumId w:val="12"/>
  </w:num>
  <w:num w:numId="5">
    <w:abstractNumId w:val="0"/>
  </w:num>
  <w:num w:numId="6">
    <w:abstractNumId w:val="10"/>
  </w:num>
  <w:num w:numId="7">
    <w:abstractNumId w:val="11"/>
  </w:num>
  <w:num w:numId="8">
    <w:abstractNumId w:val="9"/>
  </w:num>
  <w:num w:numId="9">
    <w:abstractNumId w:val="5"/>
  </w:num>
  <w:num w:numId="10">
    <w:abstractNumId w:val="4"/>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3EC"/>
    <w:rsid w:val="0000581C"/>
    <w:rsid w:val="00005D7F"/>
    <w:rsid w:val="00007B72"/>
    <w:rsid w:val="0001637B"/>
    <w:rsid w:val="00023B3E"/>
    <w:rsid w:val="00031EF4"/>
    <w:rsid w:val="00034EE6"/>
    <w:rsid w:val="00037D16"/>
    <w:rsid w:val="00040E9A"/>
    <w:rsid w:val="000429E7"/>
    <w:rsid w:val="000452F4"/>
    <w:rsid w:val="00046FBA"/>
    <w:rsid w:val="000513EC"/>
    <w:rsid w:val="00055655"/>
    <w:rsid w:val="00057FAE"/>
    <w:rsid w:val="0007560D"/>
    <w:rsid w:val="00076F69"/>
    <w:rsid w:val="00084002"/>
    <w:rsid w:val="00094E79"/>
    <w:rsid w:val="00095D10"/>
    <w:rsid w:val="00096832"/>
    <w:rsid w:val="000A397D"/>
    <w:rsid w:val="000A7294"/>
    <w:rsid w:val="000A7BA8"/>
    <w:rsid w:val="000B59FC"/>
    <w:rsid w:val="000B6182"/>
    <w:rsid w:val="000C08B1"/>
    <w:rsid w:val="000C0A51"/>
    <w:rsid w:val="000C3195"/>
    <w:rsid w:val="000C42EE"/>
    <w:rsid w:val="000C4643"/>
    <w:rsid w:val="000C7993"/>
    <w:rsid w:val="000D0444"/>
    <w:rsid w:val="000D611F"/>
    <w:rsid w:val="000D6626"/>
    <w:rsid w:val="000D66C4"/>
    <w:rsid w:val="000D6873"/>
    <w:rsid w:val="000D6AE3"/>
    <w:rsid w:val="000E3CA5"/>
    <w:rsid w:val="000E3CB7"/>
    <w:rsid w:val="000E70EB"/>
    <w:rsid w:val="000E79C4"/>
    <w:rsid w:val="000E7F42"/>
    <w:rsid w:val="000F08C1"/>
    <w:rsid w:val="000F1C6A"/>
    <w:rsid w:val="000F30D4"/>
    <w:rsid w:val="000F38F8"/>
    <w:rsid w:val="000F426C"/>
    <w:rsid w:val="000F5775"/>
    <w:rsid w:val="000F6FF9"/>
    <w:rsid w:val="000F7585"/>
    <w:rsid w:val="00101C39"/>
    <w:rsid w:val="00101DEB"/>
    <w:rsid w:val="00106A7E"/>
    <w:rsid w:val="001072B6"/>
    <w:rsid w:val="00111BDE"/>
    <w:rsid w:val="00113BF4"/>
    <w:rsid w:val="00117283"/>
    <w:rsid w:val="00121F87"/>
    <w:rsid w:val="00122794"/>
    <w:rsid w:val="00122A57"/>
    <w:rsid w:val="00122F7E"/>
    <w:rsid w:val="00127390"/>
    <w:rsid w:val="001320DB"/>
    <w:rsid w:val="00132136"/>
    <w:rsid w:val="00132E72"/>
    <w:rsid w:val="00134C86"/>
    <w:rsid w:val="00135378"/>
    <w:rsid w:val="001365C6"/>
    <w:rsid w:val="00146784"/>
    <w:rsid w:val="001479F6"/>
    <w:rsid w:val="001502AE"/>
    <w:rsid w:val="00153057"/>
    <w:rsid w:val="00154D84"/>
    <w:rsid w:val="00163573"/>
    <w:rsid w:val="00163D3A"/>
    <w:rsid w:val="00164E8B"/>
    <w:rsid w:val="00165474"/>
    <w:rsid w:val="001667FB"/>
    <w:rsid w:val="00171C56"/>
    <w:rsid w:val="00172834"/>
    <w:rsid w:val="00176B04"/>
    <w:rsid w:val="00176D18"/>
    <w:rsid w:val="00183477"/>
    <w:rsid w:val="0018351E"/>
    <w:rsid w:val="00186940"/>
    <w:rsid w:val="001879F2"/>
    <w:rsid w:val="001926F2"/>
    <w:rsid w:val="00195E2C"/>
    <w:rsid w:val="00197F26"/>
    <w:rsid w:val="00197FED"/>
    <w:rsid w:val="001A2492"/>
    <w:rsid w:val="001A2E17"/>
    <w:rsid w:val="001A4D21"/>
    <w:rsid w:val="001A6ED0"/>
    <w:rsid w:val="001B03FA"/>
    <w:rsid w:val="001C0A26"/>
    <w:rsid w:val="001C3413"/>
    <w:rsid w:val="001C3F32"/>
    <w:rsid w:val="001C46FA"/>
    <w:rsid w:val="001C4D7F"/>
    <w:rsid w:val="001C7071"/>
    <w:rsid w:val="001D44D8"/>
    <w:rsid w:val="001D773D"/>
    <w:rsid w:val="001E0313"/>
    <w:rsid w:val="001E26AA"/>
    <w:rsid w:val="001E3462"/>
    <w:rsid w:val="001F2919"/>
    <w:rsid w:val="001F5F7D"/>
    <w:rsid w:val="001F6EA3"/>
    <w:rsid w:val="00203ABA"/>
    <w:rsid w:val="0020449A"/>
    <w:rsid w:val="002077A7"/>
    <w:rsid w:val="00211BA1"/>
    <w:rsid w:val="00217431"/>
    <w:rsid w:val="00220899"/>
    <w:rsid w:val="002233EC"/>
    <w:rsid w:val="00226B0A"/>
    <w:rsid w:val="00226D5F"/>
    <w:rsid w:val="0023095E"/>
    <w:rsid w:val="00230AFD"/>
    <w:rsid w:val="00230B39"/>
    <w:rsid w:val="002319BC"/>
    <w:rsid w:val="00231C21"/>
    <w:rsid w:val="002320EB"/>
    <w:rsid w:val="00242152"/>
    <w:rsid w:val="00244804"/>
    <w:rsid w:val="00247BBE"/>
    <w:rsid w:val="00251CC1"/>
    <w:rsid w:val="00255774"/>
    <w:rsid w:val="00256154"/>
    <w:rsid w:val="0025615E"/>
    <w:rsid w:val="00256248"/>
    <w:rsid w:val="0026074C"/>
    <w:rsid w:val="00265520"/>
    <w:rsid w:val="00270CA8"/>
    <w:rsid w:val="00272C8B"/>
    <w:rsid w:val="00273805"/>
    <w:rsid w:val="00273FEB"/>
    <w:rsid w:val="00275B08"/>
    <w:rsid w:val="00275CCA"/>
    <w:rsid w:val="00275FF1"/>
    <w:rsid w:val="00276FE7"/>
    <w:rsid w:val="002807D2"/>
    <w:rsid w:val="00282F91"/>
    <w:rsid w:val="00287CC2"/>
    <w:rsid w:val="00290C0B"/>
    <w:rsid w:val="00293E1D"/>
    <w:rsid w:val="00295C40"/>
    <w:rsid w:val="002A02BA"/>
    <w:rsid w:val="002A1785"/>
    <w:rsid w:val="002A1827"/>
    <w:rsid w:val="002A330E"/>
    <w:rsid w:val="002B556B"/>
    <w:rsid w:val="002B6C00"/>
    <w:rsid w:val="002C15F7"/>
    <w:rsid w:val="002C313D"/>
    <w:rsid w:val="002C5DC0"/>
    <w:rsid w:val="002D1879"/>
    <w:rsid w:val="002D2840"/>
    <w:rsid w:val="002D2B65"/>
    <w:rsid w:val="002D3D5F"/>
    <w:rsid w:val="002D6807"/>
    <w:rsid w:val="002D7A8E"/>
    <w:rsid w:val="002E09C2"/>
    <w:rsid w:val="002E235A"/>
    <w:rsid w:val="002E36F9"/>
    <w:rsid w:val="002E4F47"/>
    <w:rsid w:val="002E54FD"/>
    <w:rsid w:val="002F07BA"/>
    <w:rsid w:val="002F2BAC"/>
    <w:rsid w:val="002F31A3"/>
    <w:rsid w:val="00302C8E"/>
    <w:rsid w:val="00304666"/>
    <w:rsid w:val="00316580"/>
    <w:rsid w:val="003215E8"/>
    <w:rsid w:val="003229C8"/>
    <w:rsid w:val="003235DE"/>
    <w:rsid w:val="00324AD2"/>
    <w:rsid w:val="00325911"/>
    <w:rsid w:val="0032758B"/>
    <w:rsid w:val="003334E2"/>
    <w:rsid w:val="00337DF9"/>
    <w:rsid w:val="00340FCE"/>
    <w:rsid w:val="003440CA"/>
    <w:rsid w:val="003463CD"/>
    <w:rsid w:val="003465C4"/>
    <w:rsid w:val="003468B7"/>
    <w:rsid w:val="00347C69"/>
    <w:rsid w:val="00350788"/>
    <w:rsid w:val="00355709"/>
    <w:rsid w:val="00355D2E"/>
    <w:rsid w:val="00356D79"/>
    <w:rsid w:val="003578D3"/>
    <w:rsid w:val="003606AC"/>
    <w:rsid w:val="00363262"/>
    <w:rsid w:val="00366B5F"/>
    <w:rsid w:val="0037336A"/>
    <w:rsid w:val="003745E6"/>
    <w:rsid w:val="00375385"/>
    <w:rsid w:val="00380706"/>
    <w:rsid w:val="00382914"/>
    <w:rsid w:val="00382BD4"/>
    <w:rsid w:val="00382C70"/>
    <w:rsid w:val="00387FA3"/>
    <w:rsid w:val="00390B71"/>
    <w:rsid w:val="003912BE"/>
    <w:rsid w:val="00391B65"/>
    <w:rsid w:val="003922FA"/>
    <w:rsid w:val="00396403"/>
    <w:rsid w:val="003A202C"/>
    <w:rsid w:val="003A51A8"/>
    <w:rsid w:val="003A6EF2"/>
    <w:rsid w:val="003B2334"/>
    <w:rsid w:val="003B4EA7"/>
    <w:rsid w:val="003B794C"/>
    <w:rsid w:val="003B7E72"/>
    <w:rsid w:val="003C35CA"/>
    <w:rsid w:val="003C50BE"/>
    <w:rsid w:val="003C640A"/>
    <w:rsid w:val="003C7B9B"/>
    <w:rsid w:val="003D0B53"/>
    <w:rsid w:val="003D0C37"/>
    <w:rsid w:val="003D0DFC"/>
    <w:rsid w:val="003D2098"/>
    <w:rsid w:val="003E12DD"/>
    <w:rsid w:val="003E2670"/>
    <w:rsid w:val="003F023F"/>
    <w:rsid w:val="003F0D4B"/>
    <w:rsid w:val="003F0EDB"/>
    <w:rsid w:val="003F1EEA"/>
    <w:rsid w:val="003F39CE"/>
    <w:rsid w:val="003F3D90"/>
    <w:rsid w:val="004021CB"/>
    <w:rsid w:val="00406C6C"/>
    <w:rsid w:val="00407542"/>
    <w:rsid w:val="00410A9C"/>
    <w:rsid w:val="00413A44"/>
    <w:rsid w:val="00414AF0"/>
    <w:rsid w:val="00416A8D"/>
    <w:rsid w:val="00420991"/>
    <w:rsid w:val="00420BC6"/>
    <w:rsid w:val="004248E6"/>
    <w:rsid w:val="00425BB6"/>
    <w:rsid w:val="00427D4E"/>
    <w:rsid w:val="004300B6"/>
    <w:rsid w:val="004348AB"/>
    <w:rsid w:val="004453BD"/>
    <w:rsid w:val="00446364"/>
    <w:rsid w:val="00446ECF"/>
    <w:rsid w:val="00450598"/>
    <w:rsid w:val="00450903"/>
    <w:rsid w:val="004519EB"/>
    <w:rsid w:val="0045273B"/>
    <w:rsid w:val="00453DC3"/>
    <w:rsid w:val="0045544E"/>
    <w:rsid w:val="00455713"/>
    <w:rsid w:val="0046204A"/>
    <w:rsid w:val="0046570A"/>
    <w:rsid w:val="00470873"/>
    <w:rsid w:val="00473DB9"/>
    <w:rsid w:val="00474E80"/>
    <w:rsid w:val="004753E8"/>
    <w:rsid w:val="0048080E"/>
    <w:rsid w:val="0048096D"/>
    <w:rsid w:val="00480C56"/>
    <w:rsid w:val="0048164D"/>
    <w:rsid w:val="0048585D"/>
    <w:rsid w:val="004860D2"/>
    <w:rsid w:val="0049370A"/>
    <w:rsid w:val="004945EE"/>
    <w:rsid w:val="004A2468"/>
    <w:rsid w:val="004A7AB4"/>
    <w:rsid w:val="004B0EDC"/>
    <w:rsid w:val="004B45C3"/>
    <w:rsid w:val="004C0D30"/>
    <w:rsid w:val="004C5B27"/>
    <w:rsid w:val="004D018B"/>
    <w:rsid w:val="004D01C5"/>
    <w:rsid w:val="004D26DA"/>
    <w:rsid w:val="004D2C96"/>
    <w:rsid w:val="004D31B1"/>
    <w:rsid w:val="004D6BDF"/>
    <w:rsid w:val="004D7FDC"/>
    <w:rsid w:val="004E4CC6"/>
    <w:rsid w:val="004E5E8E"/>
    <w:rsid w:val="004E6B7F"/>
    <w:rsid w:val="004F046E"/>
    <w:rsid w:val="004F20BA"/>
    <w:rsid w:val="004F2962"/>
    <w:rsid w:val="004F2AC4"/>
    <w:rsid w:val="004F2F10"/>
    <w:rsid w:val="004F408A"/>
    <w:rsid w:val="004F724D"/>
    <w:rsid w:val="00501034"/>
    <w:rsid w:val="00502691"/>
    <w:rsid w:val="00513150"/>
    <w:rsid w:val="00514C61"/>
    <w:rsid w:val="00515BDC"/>
    <w:rsid w:val="00525C1F"/>
    <w:rsid w:val="005262DB"/>
    <w:rsid w:val="00530158"/>
    <w:rsid w:val="00533F10"/>
    <w:rsid w:val="0053562A"/>
    <w:rsid w:val="0053780E"/>
    <w:rsid w:val="005402C8"/>
    <w:rsid w:val="0054084D"/>
    <w:rsid w:val="00542FD3"/>
    <w:rsid w:val="00544B75"/>
    <w:rsid w:val="005469D3"/>
    <w:rsid w:val="00547158"/>
    <w:rsid w:val="005473B8"/>
    <w:rsid w:val="005475F0"/>
    <w:rsid w:val="005476B6"/>
    <w:rsid w:val="00547D4D"/>
    <w:rsid w:val="00550C34"/>
    <w:rsid w:val="0055106C"/>
    <w:rsid w:val="00552CE3"/>
    <w:rsid w:val="0055465D"/>
    <w:rsid w:val="00555B45"/>
    <w:rsid w:val="0055606A"/>
    <w:rsid w:val="0056027F"/>
    <w:rsid w:val="005608BC"/>
    <w:rsid w:val="0056183E"/>
    <w:rsid w:val="00562BC6"/>
    <w:rsid w:val="00563496"/>
    <w:rsid w:val="005642FE"/>
    <w:rsid w:val="0056453B"/>
    <w:rsid w:val="00565E83"/>
    <w:rsid w:val="00567B33"/>
    <w:rsid w:val="00567C97"/>
    <w:rsid w:val="0057082E"/>
    <w:rsid w:val="00572BE9"/>
    <w:rsid w:val="00576962"/>
    <w:rsid w:val="005832DD"/>
    <w:rsid w:val="00584BAF"/>
    <w:rsid w:val="00586CB3"/>
    <w:rsid w:val="005878E1"/>
    <w:rsid w:val="00590C35"/>
    <w:rsid w:val="00591797"/>
    <w:rsid w:val="00591F75"/>
    <w:rsid w:val="00593363"/>
    <w:rsid w:val="00594723"/>
    <w:rsid w:val="00596258"/>
    <w:rsid w:val="00597963"/>
    <w:rsid w:val="005A19F8"/>
    <w:rsid w:val="005A65D3"/>
    <w:rsid w:val="005B0552"/>
    <w:rsid w:val="005B215E"/>
    <w:rsid w:val="005B7D0B"/>
    <w:rsid w:val="005C376C"/>
    <w:rsid w:val="005C3850"/>
    <w:rsid w:val="005C3CA7"/>
    <w:rsid w:val="005C3E71"/>
    <w:rsid w:val="005C6D39"/>
    <w:rsid w:val="005D1C5A"/>
    <w:rsid w:val="005D38A6"/>
    <w:rsid w:val="005D435A"/>
    <w:rsid w:val="005D46D1"/>
    <w:rsid w:val="005D5800"/>
    <w:rsid w:val="005D6A9A"/>
    <w:rsid w:val="005D7A47"/>
    <w:rsid w:val="005E0B99"/>
    <w:rsid w:val="005E0ED1"/>
    <w:rsid w:val="005E1667"/>
    <w:rsid w:val="005E1A7F"/>
    <w:rsid w:val="005E7DA5"/>
    <w:rsid w:val="005F06D5"/>
    <w:rsid w:val="005F1504"/>
    <w:rsid w:val="005F5E82"/>
    <w:rsid w:val="005F7350"/>
    <w:rsid w:val="0060031C"/>
    <w:rsid w:val="00603A86"/>
    <w:rsid w:val="006049FC"/>
    <w:rsid w:val="0060652C"/>
    <w:rsid w:val="006103BE"/>
    <w:rsid w:val="006135E9"/>
    <w:rsid w:val="0061484D"/>
    <w:rsid w:val="00615E23"/>
    <w:rsid w:val="0062213D"/>
    <w:rsid w:val="00622E08"/>
    <w:rsid w:val="00623898"/>
    <w:rsid w:val="00625C71"/>
    <w:rsid w:val="0062649A"/>
    <w:rsid w:val="00626A64"/>
    <w:rsid w:val="00635DD5"/>
    <w:rsid w:val="00637118"/>
    <w:rsid w:val="0064158C"/>
    <w:rsid w:val="006424B0"/>
    <w:rsid w:val="0064279C"/>
    <w:rsid w:val="00643D10"/>
    <w:rsid w:val="00650C9B"/>
    <w:rsid w:val="006516CA"/>
    <w:rsid w:val="00653884"/>
    <w:rsid w:val="00662013"/>
    <w:rsid w:val="00662287"/>
    <w:rsid w:val="006731C9"/>
    <w:rsid w:val="00673847"/>
    <w:rsid w:val="006738A5"/>
    <w:rsid w:val="00675E25"/>
    <w:rsid w:val="006761A7"/>
    <w:rsid w:val="00681A5C"/>
    <w:rsid w:val="00682681"/>
    <w:rsid w:val="00682BA8"/>
    <w:rsid w:val="00685419"/>
    <w:rsid w:val="006872C0"/>
    <w:rsid w:val="006945EB"/>
    <w:rsid w:val="00697250"/>
    <w:rsid w:val="006A0D48"/>
    <w:rsid w:val="006A3D88"/>
    <w:rsid w:val="006A4FD9"/>
    <w:rsid w:val="006A6E7B"/>
    <w:rsid w:val="006A7D62"/>
    <w:rsid w:val="006B7BB9"/>
    <w:rsid w:val="006C0407"/>
    <w:rsid w:val="006C06D9"/>
    <w:rsid w:val="006C1C3B"/>
    <w:rsid w:val="006C7AE7"/>
    <w:rsid w:val="006D0816"/>
    <w:rsid w:val="006D14CB"/>
    <w:rsid w:val="006D3ECB"/>
    <w:rsid w:val="006D64C1"/>
    <w:rsid w:val="006E11A2"/>
    <w:rsid w:val="006E2F01"/>
    <w:rsid w:val="006E3949"/>
    <w:rsid w:val="006F2D18"/>
    <w:rsid w:val="006F2FF3"/>
    <w:rsid w:val="006F3D12"/>
    <w:rsid w:val="006F54FB"/>
    <w:rsid w:val="006F68BC"/>
    <w:rsid w:val="00705571"/>
    <w:rsid w:val="007106CC"/>
    <w:rsid w:val="007123C3"/>
    <w:rsid w:val="00712CFC"/>
    <w:rsid w:val="00713558"/>
    <w:rsid w:val="00715CD9"/>
    <w:rsid w:val="00716474"/>
    <w:rsid w:val="00720C4E"/>
    <w:rsid w:val="007220D1"/>
    <w:rsid w:val="00722D48"/>
    <w:rsid w:val="00724D49"/>
    <w:rsid w:val="007257B2"/>
    <w:rsid w:val="007258A6"/>
    <w:rsid w:val="00726CC1"/>
    <w:rsid w:val="007308D1"/>
    <w:rsid w:val="0073210C"/>
    <w:rsid w:val="007364DD"/>
    <w:rsid w:val="00741C67"/>
    <w:rsid w:val="00744A8D"/>
    <w:rsid w:val="00745389"/>
    <w:rsid w:val="007465BA"/>
    <w:rsid w:val="0074746E"/>
    <w:rsid w:val="00750744"/>
    <w:rsid w:val="007521CE"/>
    <w:rsid w:val="00756C95"/>
    <w:rsid w:val="0076275C"/>
    <w:rsid w:val="007632AA"/>
    <w:rsid w:val="007642E7"/>
    <w:rsid w:val="00764C9B"/>
    <w:rsid w:val="00767102"/>
    <w:rsid w:val="00774823"/>
    <w:rsid w:val="00775323"/>
    <w:rsid w:val="007762AD"/>
    <w:rsid w:val="00776EC7"/>
    <w:rsid w:val="00777C68"/>
    <w:rsid w:val="00777D9C"/>
    <w:rsid w:val="00781790"/>
    <w:rsid w:val="00792C67"/>
    <w:rsid w:val="00795237"/>
    <w:rsid w:val="0079609A"/>
    <w:rsid w:val="007962CC"/>
    <w:rsid w:val="00797D4B"/>
    <w:rsid w:val="007A2D40"/>
    <w:rsid w:val="007A31D6"/>
    <w:rsid w:val="007B0892"/>
    <w:rsid w:val="007B0BD7"/>
    <w:rsid w:val="007B1977"/>
    <w:rsid w:val="007B5499"/>
    <w:rsid w:val="007B6DED"/>
    <w:rsid w:val="007B6F39"/>
    <w:rsid w:val="007B76B5"/>
    <w:rsid w:val="007C2155"/>
    <w:rsid w:val="007C45FE"/>
    <w:rsid w:val="007C5A02"/>
    <w:rsid w:val="007D180B"/>
    <w:rsid w:val="007D40B8"/>
    <w:rsid w:val="007D5ED8"/>
    <w:rsid w:val="007E012F"/>
    <w:rsid w:val="007E0BAF"/>
    <w:rsid w:val="007E3F4A"/>
    <w:rsid w:val="007E5F18"/>
    <w:rsid w:val="007E66F9"/>
    <w:rsid w:val="007E70B0"/>
    <w:rsid w:val="007F1063"/>
    <w:rsid w:val="007F111B"/>
    <w:rsid w:val="007F176A"/>
    <w:rsid w:val="007F19AC"/>
    <w:rsid w:val="007F1F65"/>
    <w:rsid w:val="007F309E"/>
    <w:rsid w:val="007F65FD"/>
    <w:rsid w:val="007F7476"/>
    <w:rsid w:val="007F7CE7"/>
    <w:rsid w:val="00801AD7"/>
    <w:rsid w:val="008031E8"/>
    <w:rsid w:val="0080681F"/>
    <w:rsid w:val="00810397"/>
    <w:rsid w:val="00814A0A"/>
    <w:rsid w:val="0082591D"/>
    <w:rsid w:val="008261E9"/>
    <w:rsid w:val="0083061B"/>
    <w:rsid w:val="0083155E"/>
    <w:rsid w:val="008353D2"/>
    <w:rsid w:val="00837E42"/>
    <w:rsid w:val="00843782"/>
    <w:rsid w:val="00843DE2"/>
    <w:rsid w:val="00845A77"/>
    <w:rsid w:val="00845E7B"/>
    <w:rsid w:val="008460CC"/>
    <w:rsid w:val="008472E5"/>
    <w:rsid w:val="00851309"/>
    <w:rsid w:val="008525AF"/>
    <w:rsid w:val="00862EBC"/>
    <w:rsid w:val="00865D4C"/>
    <w:rsid w:val="00865FAA"/>
    <w:rsid w:val="00867C90"/>
    <w:rsid w:val="008718AD"/>
    <w:rsid w:val="00874803"/>
    <w:rsid w:val="008751D8"/>
    <w:rsid w:val="008778BA"/>
    <w:rsid w:val="00881830"/>
    <w:rsid w:val="0088258E"/>
    <w:rsid w:val="00882768"/>
    <w:rsid w:val="00882CA8"/>
    <w:rsid w:val="0088744B"/>
    <w:rsid w:val="00891545"/>
    <w:rsid w:val="0089228D"/>
    <w:rsid w:val="00895036"/>
    <w:rsid w:val="008A01A3"/>
    <w:rsid w:val="008A04F6"/>
    <w:rsid w:val="008A316B"/>
    <w:rsid w:val="008B19F4"/>
    <w:rsid w:val="008B2194"/>
    <w:rsid w:val="008B4404"/>
    <w:rsid w:val="008B48B8"/>
    <w:rsid w:val="008B5DB1"/>
    <w:rsid w:val="008C0AA3"/>
    <w:rsid w:val="008C0AFA"/>
    <w:rsid w:val="008C2E3A"/>
    <w:rsid w:val="008C3B2F"/>
    <w:rsid w:val="008C3CC9"/>
    <w:rsid w:val="008D0040"/>
    <w:rsid w:val="008D1AF6"/>
    <w:rsid w:val="008D27EF"/>
    <w:rsid w:val="008D7A9A"/>
    <w:rsid w:val="008E0CBF"/>
    <w:rsid w:val="008E0EF1"/>
    <w:rsid w:val="008E1432"/>
    <w:rsid w:val="008E2244"/>
    <w:rsid w:val="008E4150"/>
    <w:rsid w:val="008E541F"/>
    <w:rsid w:val="008F003B"/>
    <w:rsid w:val="008F02F9"/>
    <w:rsid w:val="008F25BF"/>
    <w:rsid w:val="008F2B42"/>
    <w:rsid w:val="008F31EB"/>
    <w:rsid w:val="009000D4"/>
    <w:rsid w:val="009018F8"/>
    <w:rsid w:val="0090259C"/>
    <w:rsid w:val="00906D5C"/>
    <w:rsid w:val="009071F5"/>
    <w:rsid w:val="00907A5F"/>
    <w:rsid w:val="00911B29"/>
    <w:rsid w:val="009129AD"/>
    <w:rsid w:val="009137A5"/>
    <w:rsid w:val="00915EE3"/>
    <w:rsid w:val="00916ABE"/>
    <w:rsid w:val="00917C27"/>
    <w:rsid w:val="00917D04"/>
    <w:rsid w:val="00921C3D"/>
    <w:rsid w:val="00926155"/>
    <w:rsid w:val="009405CC"/>
    <w:rsid w:val="0094079B"/>
    <w:rsid w:val="00943853"/>
    <w:rsid w:val="00943F86"/>
    <w:rsid w:val="00945AA7"/>
    <w:rsid w:val="009554E8"/>
    <w:rsid w:val="00956E5F"/>
    <w:rsid w:val="00956FD0"/>
    <w:rsid w:val="0096128E"/>
    <w:rsid w:val="00965356"/>
    <w:rsid w:val="009660D4"/>
    <w:rsid w:val="0096680F"/>
    <w:rsid w:val="00966F23"/>
    <w:rsid w:val="009670D4"/>
    <w:rsid w:val="009740CF"/>
    <w:rsid w:val="00975DEE"/>
    <w:rsid w:val="00981280"/>
    <w:rsid w:val="00981DA7"/>
    <w:rsid w:val="009827E2"/>
    <w:rsid w:val="009849BE"/>
    <w:rsid w:val="00990B2C"/>
    <w:rsid w:val="00995393"/>
    <w:rsid w:val="0099755A"/>
    <w:rsid w:val="009A0660"/>
    <w:rsid w:val="009A0681"/>
    <w:rsid w:val="009A2EA0"/>
    <w:rsid w:val="009B06F1"/>
    <w:rsid w:val="009B15A7"/>
    <w:rsid w:val="009B29C3"/>
    <w:rsid w:val="009B4AA4"/>
    <w:rsid w:val="009B533F"/>
    <w:rsid w:val="009C2DCC"/>
    <w:rsid w:val="009C77EB"/>
    <w:rsid w:val="009D1438"/>
    <w:rsid w:val="009D68F9"/>
    <w:rsid w:val="009D6F42"/>
    <w:rsid w:val="009D7443"/>
    <w:rsid w:val="009E51A9"/>
    <w:rsid w:val="009E5A8E"/>
    <w:rsid w:val="009F052F"/>
    <w:rsid w:val="009F0B34"/>
    <w:rsid w:val="009F0B85"/>
    <w:rsid w:val="009F1835"/>
    <w:rsid w:val="00A04EA2"/>
    <w:rsid w:val="00A15ACF"/>
    <w:rsid w:val="00A227F4"/>
    <w:rsid w:val="00A23CFA"/>
    <w:rsid w:val="00A2480D"/>
    <w:rsid w:val="00A26C03"/>
    <w:rsid w:val="00A27137"/>
    <w:rsid w:val="00A30E48"/>
    <w:rsid w:val="00A3173B"/>
    <w:rsid w:val="00A32B05"/>
    <w:rsid w:val="00A32B8A"/>
    <w:rsid w:val="00A36479"/>
    <w:rsid w:val="00A36956"/>
    <w:rsid w:val="00A40056"/>
    <w:rsid w:val="00A41823"/>
    <w:rsid w:val="00A42244"/>
    <w:rsid w:val="00A43FF8"/>
    <w:rsid w:val="00A468C0"/>
    <w:rsid w:val="00A5024C"/>
    <w:rsid w:val="00A558B8"/>
    <w:rsid w:val="00A75235"/>
    <w:rsid w:val="00A81BBC"/>
    <w:rsid w:val="00A8431E"/>
    <w:rsid w:val="00A85FDF"/>
    <w:rsid w:val="00A90157"/>
    <w:rsid w:val="00A9107E"/>
    <w:rsid w:val="00A912C9"/>
    <w:rsid w:val="00A9199C"/>
    <w:rsid w:val="00A928D2"/>
    <w:rsid w:val="00A93D78"/>
    <w:rsid w:val="00A93DCA"/>
    <w:rsid w:val="00A957FB"/>
    <w:rsid w:val="00A95C09"/>
    <w:rsid w:val="00AA17FC"/>
    <w:rsid w:val="00AA2F30"/>
    <w:rsid w:val="00AA4C5B"/>
    <w:rsid w:val="00AA5AE6"/>
    <w:rsid w:val="00AB21B9"/>
    <w:rsid w:val="00AB2427"/>
    <w:rsid w:val="00AB60B5"/>
    <w:rsid w:val="00AB693C"/>
    <w:rsid w:val="00AC2AF9"/>
    <w:rsid w:val="00AC486E"/>
    <w:rsid w:val="00AC75B2"/>
    <w:rsid w:val="00AD1F5C"/>
    <w:rsid w:val="00AD5C30"/>
    <w:rsid w:val="00AD6B64"/>
    <w:rsid w:val="00AD79A8"/>
    <w:rsid w:val="00AD7EF8"/>
    <w:rsid w:val="00AE118E"/>
    <w:rsid w:val="00AE62E4"/>
    <w:rsid w:val="00AE7027"/>
    <w:rsid w:val="00AF1A27"/>
    <w:rsid w:val="00AF434A"/>
    <w:rsid w:val="00AF5C75"/>
    <w:rsid w:val="00AF6A43"/>
    <w:rsid w:val="00AF6E3F"/>
    <w:rsid w:val="00AF71F0"/>
    <w:rsid w:val="00B03E32"/>
    <w:rsid w:val="00B04151"/>
    <w:rsid w:val="00B0466B"/>
    <w:rsid w:val="00B04949"/>
    <w:rsid w:val="00B05B6F"/>
    <w:rsid w:val="00B0646B"/>
    <w:rsid w:val="00B10AF5"/>
    <w:rsid w:val="00B139E9"/>
    <w:rsid w:val="00B15B24"/>
    <w:rsid w:val="00B220D2"/>
    <w:rsid w:val="00B22E56"/>
    <w:rsid w:val="00B30447"/>
    <w:rsid w:val="00B30572"/>
    <w:rsid w:val="00B32C4F"/>
    <w:rsid w:val="00B349B9"/>
    <w:rsid w:val="00B364A1"/>
    <w:rsid w:val="00B51149"/>
    <w:rsid w:val="00B5427D"/>
    <w:rsid w:val="00B56E76"/>
    <w:rsid w:val="00B63804"/>
    <w:rsid w:val="00B63DEE"/>
    <w:rsid w:val="00B649BF"/>
    <w:rsid w:val="00B65F9A"/>
    <w:rsid w:val="00B66117"/>
    <w:rsid w:val="00B67118"/>
    <w:rsid w:val="00B72A97"/>
    <w:rsid w:val="00B84169"/>
    <w:rsid w:val="00B86AC5"/>
    <w:rsid w:val="00B92046"/>
    <w:rsid w:val="00B92076"/>
    <w:rsid w:val="00B9600C"/>
    <w:rsid w:val="00BA0C20"/>
    <w:rsid w:val="00BB1F45"/>
    <w:rsid w:val="00BC31C8"/>
    <w:rsid w:val="00BC70D9"/>
    <w:rsid w:val="00BC7717"/>
    <w:rsid w:val="00BD2840"/>
    <w:rsid w:val="00BD293E"/>
    <w:rsid w:val="00BE0373"/>
    <w:rsid w:val="00BE3F2E"/>
    <w:rsid w:val="00BF2478"/>
    <w:rsid w:val="00BF2489"/>
    <w:rsid w:val="00BF52F1"/>
    <w:rsid w:val="00C00D21"/>
    <w:rsid w:val="00C1062A"/>
    <w:rsid w:val="00C10CE9"/>
    <w:rsid w:val="00C11D9D"/>
    <w:rsid w:val="00C14118"/>
    <w:rsid w:val="00C1591F"/>
    <w:rsid w:val="00C209FE"/>
    <w:rsid w:val="00C213D0"/>
    <w:rsid w:val="00C228AE"/>
    <w:rsid w:val="00C22EE6"/>
    <w:rsid w:val="00C24826"/>
    <w:rsid w:val="00C25918"/>
    <w:rsid w:val="00C31121"/>
    <w:rsid w:val="00C329F6"/>
    <w:rsid w:val="00C3467D"/>
    <w:rsid w:val="00C409E6"/>
    <w:rsid w:val="00C45F73"/>
    <w:rsid w:val="00C51428"/>
    <w:rsid w:val="00C548D8"/>
    <w:rsid w:val="00C607EC"/>
    <w:rsid w:val="00C615A9"/>
    <w:rsid w:val="00C634AF"/>
    <w:rsid w:val="00C64607"/>
    <w:rsid w:val="00C64E25"/>
    <w:rsid w:val="00C65B86"/>
    <w:rsid w:val="00C65FCA"/>
    <w:rsid w:val="00C70EB6"/>
    <w:rsid w:val="00C7499B"/>
    <w:rsid w:val="00C80907"/>
    <w:rsid w:val="00C80996"/>
    <w:rsid w:val="00C81112"/>
    <w:rsid w:val="00C81FE6"/>
    <w:rsid w:val="00C846A9"/>
    <w:rsid w:val="00C847A2"/>
    <w:rsid w:val="00C8784F"/>
    <w:rsid w:val="00C87B9A"/>
    <w:rsid w:val="00C87CD1"/>
    <w:rsid w:val="00C91182"/>
    <w:rsid w:val="00C92394"/>
    <w:rsid w:val="00C93B8B"/>
    <w:rsid w:val="00CA1378"/>
    <w:rsid w:val="00CA7621"/>
    <w:rsid w:val="00CB125C"/>
    <w:rsid w:val="00CB17D9"/>
    <w:rsid w:val="00CB1FCF"/>
    <w:rsid w:val="00CB2589"/>
    <w:rsid w:val="00CB550B"/>
    <w:rsid w:val="00CC023C"/>
    <w:rsid w:val="00CC0590"/>
    <w:rsid w:val="00CC30A7"/>
    <w:rsid w:val="00CC4EF1"/>
    <w:rsid w:val="00CD0F44"/>
    <w:rsid w:val="00CD4DAE"/>
    <w:rsid w:val="00CD79DF"/>
    <w:rsid w:val="00CE03F5"/>
    <w:rsid w:val="00CE3AEE"/>
    <w:rsid w:val="00CE714F"/>
    <w:rsid w:val="00CE75C2"/>
    <w:rsid w:val="00CF5421"/>
    <w:rsid w:val="00CF576A"/>
    <w:rsid w:val="00CF5C91"/>
    <w:rsid w:val="00D0554B"/>
    <w:rsid w:val="00D06A6E"/>
    <w:rsid w:val="00D07779"/>
    <w:rsid w:val="00D13723"/>
    <w:rsid w:val="00D213EB"/>
    <w:rsid w:val="00D2268D"/>
    <w:rsid w:val="00D24908"/>
    <w:rsid w:val="00D260C3"/>
    <w:rsid w:val="00D320B2"/>
    <w:rsid w:val="00D33344"/>
    <w:rsid w:val="00D34F52"/>
    <w:rsid w:val="00D35984"/>
    <w:rsid w:val="00D426FA"/>
    <w:rsid w:val="00D50A1D"/>
    <w:rsid w:val="00D51CB6"/>
    <w:rsid w:val="00D55BF1"/>
    <w:rsid w:val="00D56110"/>
    <w:rsid w:val="00D56DAA"/>
    <w:rsid w:val="00D578CB"/>
    <w:rsid w:val="00D72BE4"/>
    <w:rsid w:val="00D736BD"/>
    <w:rsid w:val="00D747E2"/>
    <w:rsid w:val="00D8473B"/>
    <w:rsid w:val="00D8799B"/>
    <w:rsid w:val="00D879A8"/>
    <w:rsid w:val="00D91996"/>
    <w:rsid w:val="00D955FB"/>
    <w:rsid w:val="00D959B2"/>
    <w:rsid w:val="00D96DB6"/>
    <w:rsid w:val="00DA069C"/>
    <w:rsid w:val="00DA3E57"/>
    <w:rsid w:val="00DA4B0A"/>
    <w:rsid w:val="00DA4FEE"/>
    <w:rsid w:val="00DA516C"/>
    <w:rsid w:val="00DA7434"/>
    <w:rsid w:val="00DB01C9"/>
    <w:rsid w:val="00DB6C87"/>
    <w:rsid w:val="00DC3D92"/>
    <w:rsid w:val="00DC7C5E"/>
    <w:rsid w:val="00DD23B0"/>
    <w:rsid w:val="00DD4354"/>
    <w:rsid w:val="00DD69F2"/>
    <w:rsid w:val="00DD6BF4"/>
    <w:rsid w:val="00DE0105"/>
    <w:rsid w:val="00DE4043"/>
    <w:rsid w:val="00DF1B91"/>
    <w:rsid w:val="00DF23F4"/>
    <w:rsid w:val="00DF30A5"/>
    <w:rsid w:val="00DF5754"/>
    <w:rsid w:val="00E032A5"/>
    <w:rsid w:val="00E04B5A"/>
    <w:rsid w:val="00E04C54"/>
    <w:rsid w:val="00E062F9"/>
    <w:rsid w:val="00E13165"/>
    <w:rsid w:val="00E173F7"/>
    <w:rsid w:val="00E205E5"/>
    <w:rsid w:val="00E2487C"/>
    <w:rsid w:val="00E27B45"/>
    <w:rsid w:val="00E27B52"/>
    <w:rsid w:val="00E368B2"/>
    <w:rsid w:val="00E40CD3"/>
    <w:rsid w:val="00E4434A"/>
    <w:rsid w:val="00E46710"/>
    <w:rsid w:val="00E51CB5"/>
    <w:rsid w:val="00E523D6"/>
    <w:rsid w:val="00E55394"/>
    <w:rsid w:val="00E55E54"/>
    <w:rsid w:val="00E605F3"/>
    <w:rsid w:val="00E61979"/>
    <w:rsid w:val="00E61D88"/>
    <w:rsid w:val="00E665CA"/>
    <w:rsid w:val="00E670B5"/>
    <w:rsid w:val="00E673CC"/>
    <w:rsid w:val="00E70A48"/>
    <w:rsid w:val="00E72202"/>
    <w:rsid w:val="00E73DC1"/>
    <w:rsid w:val="00E74505"/>
    <w:rsid w:val="00E77022"/>
    <w:rsid w:val="00E82ED3"/>
    <w:rsid w:val="00E875E4"/>
    <w:rsid w:val="00E924F2"/>
    <w:rsid w:val="00EA0A58"/>
    <w:rsid w:val="00EA25C2"/>
    <w:rsid w:val="00EA3CA8"/>
    <w:rsid w:val="00EA4765"/>
    <w:rsid w:val="00EA4839"/>
    <w:rsid w:val="00EA4F18"/>
    <w:rsid w:val="00EA64BC"/>
    <w:rsid w:val="00EA6FE6"/>
    <w:rsid w:val="00EC3B1B"/>
    <w:rsid w:val="00EC3C6F"/>
    <w:rsid w:val="00EC6A77"/>
    <w:rsid w:val="00ED136B"/>
    <w:rsid w:val="00ED29F1"/>
    <w:rsid w:val="00ED6378"/>
    <w:rsid w:val="00ED716E"/>
    <w:rsid w:val="00ED7907"/>
    <w:rsid w:val="00ED7CCD"/>
    <w:rsid w:val="00EE108C"/>
    <w:rsid w:val="00EE2EDA"/>
    <w:rsid w:val="00EE629D"/>
    <w:rsid w:val="00EF1695"/>
    <w:rsid w:val="00EF2074"/>
    <w:rsid w:val="00F017BF"/>
    <w:rsid w:val="00F05513"/>
    <w:rsid w:val="00F0773C"/>
    <w:rsid w:val="00F11410"/>
    <w:rsid w:val="00F15807"/>
    <w:rsid w:val="00F20353"/>
    <w:rsid w:val="00F2072F"/>
    <w:rsid w:val="00F22BB5"/>
    <w:rsid w:val="00F31123"/>
    <w:rsid w:val="00F3117F"/>
    <w:rsid w:val="00F33EB5"/>
    <w:rsid w:val="00F35ACC"/>
    <w:rsid w:val="00F35C99"/>
    <w:rsid w:val="00F44401"/>
    <w:rsid w:val="00F500A7"/>
    <w:rsid w:val="00F5295F"/>
    <w:rsid w:val="00F57ABD"/>
    <w:rsid w:val="00F63A70"/>
    <w:rsid w:val="00F65645"/>
    <w:rsid w:val="00F65767"/>
    <w:rsid w:val="00F66F64"/>
    <w:rsid w:val="00F71AFC"/>
    <w:rsid w:val="00F7229A"/>
    <w:rsid w:val="00F75BBA"/>
    <w:rsid w:val="00F76795"/>
    <w:rsid w:val="00F86980"/>
    <w:rsid w:val="00F9098C"/>
    <w:rsid w:val="00F919EA"/>
    <w:rsid w:val="00F94754"/>
    <w:rsid w:val="00F9550A"/>
    <w:rsid w:val="00F97DB3"/>
    <w:rsid w:val="00FA05E4"/>
    <w:rsid w:val="00FA1C30"/>
    <w:rsid w:val="00FA2B83"/>
    <w:rsid w:val="00FA6675"/>
    <w:rsid w:val="00FB101F"/>
    <w:rsid w:val="00FB2817"/>
    <w:rsid w:val="00FB60C3"/>
    <w:rsid w:val="00FC1809"/>
    <w:rsid w:val="00FC46DC"/>
    <w:rsid w:val="00FD0868"/>
    <w:rsid w:val="00FD3CE8"/>
    <w:rsid w:val="00FD6247"/>
    <w:rsid w:val="00FE059A"/>
    <w:rsid w:val="00FE2BDE"/>
    <w:rsid w:val="00FE52E6"/>
    <w:rsid w:val="00FE652F"/>
    <w:rsid w:val="00FE7410"/>
    <w:rsid w:val="00FE7515"/>
    <w:rsid w:val="00FF1110"/>
    <w:rsid w:val="00FF24FA"/>
    <w:rsid w:val="00FF46A3"/>
    <w:rsid w:val="00FF5BAF"/>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paragraph" w:customStyle="1" w:styleId="Textoindependiente33">
    <w:name w:val="Texto independiente 33"/>
    <w:basedOn w:val="Normal"/>
    <w:rsid w:val="00917D04"/>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562694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99151186">
      <w:bodyDiv w:val="1"/>
      <w:marLeft w:val="0"/>
      <w:marRight w:val="0"/>
      <w:marTop w:val="0"/>
      <w:marBottom w:val="0"/>
      <w:divBdr>
        <w:top w:val="none" w:sz="0" w:space="0" w:color="auto"/>
        <w:left w:val="none" w:sz="0" w:space="0" w:color="auto"/>
        <w:bottom w:val="none" w:sz="0" w:space="0" w:color="auto"/>
        <w:right w:val="none" w:sz="0" w:space="0" w:color="auto"/>
      </w:divBdr>
    </w:div>
    <w:div w:id="929237805">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0799431">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5739898">
      <w:bodyDiv w:val="1"/>
      <w:marLeft w:val="0"/>
      <w:marRight w:val="0"/>
      <w:marTop w:val="0"/>
      <w:marBottom w:val="0"/>
      <w:divBdr>
        <w:top w:val="none" w:sz="0" w:space="0" w:color="auto"/>
        <w:left w:val="none" w:sz="0" w:space="0" w:color="auto"/>
        <w:bottom w:val="none" w:sz="0" w:space="0" w:color="auto"/>
        <w:right w:val="none" w:sz="0" w:space="0" w:color="auto"/>
      </w:divBdr>
    </w:div>
    <w:div w:id="172552255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 w:id="1790081542">
      <w:bodyDiv w:val="1"/>
      <w:marLeft w:val="0"/>
      <w:marRight w:val="0"/>
      <w:marTop w:val="0"/>
      <w:marBottom w:val="0"/>
      <w:divBdr>
        <w:top w:val="none" w:sz="0" w:space="0" w:color="auto"/>
        <w:left w:val="none" w:sz="0" w:space="0" w:color="auto"/>
        <w:bottom w:val="none" w:sz="0" w:space="0" w:color="auto"/>
        <w:right w:val="none" w:sz="0" w:space="0" w:color="auto"/>
      </w:divBdr>
    </w:div>
    <w:div w:id="2093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ncer.gov/espanol/cancer/causas-prevencion/riesgo/sustancias/asbesto/hoja-informativa-asbesto" TargetMode="External"/><Relationship Id="rId1" Type="http://schemas.openxmlformats.org/officeDocument/2006/relationships/hyperlink" Target="http://www.insht.es/InshtWeb/Contenidos/Documentacion/FichasTecnicas/NTP/Ficheros/821a921/890w.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82A6-489D-48CF-AFD8-FCCAB202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17</Pages>
  <Words>5979</Words>
  <Characters>32885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49</cp:revision>
  <cp:lastPrinted>2017-09-19T15:05:00Z</cp:lastPrinted>
  <dcterms:created xsi:type="dcterms:W3CDTF">2017-09-05T16:27:00Z</dcterms:created>
  <dcterms:modified xsi:type="dcterms:W3CDTF">2017-11-14T19:24:00Z</dcterms:modified>
</cp:coreProperties>
</file>