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6A8" w:rsidRPr="00A817A6" w:rsidRDefault="003A76A8" w:rsidP="003A7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cstheme="minorHAnsi"/>
          <w:color w:val="222222"/>
          <w:sz w:val="16"/>
          <w:szCs w:val="16"/>
          <w:lang w:eastAsia="fr-FR"/>
        </w:rPr>
      </w:pPr>
      <w:r w:rsidRPr="00A817A6">
        <w:rPr>
          <w:rFonts w:cstheme="minorHAnsi"/>
          <w:color w:val="FF0000"/>
          <w:sz w:val="16"/>
          <w:szCs w:val="16"/>
          <w:lang w:eastAsia="fr-FR"/>
        </w:rPr>
        <w:t>El siguiente e</w:t>
      </w:r>
      <w:r>
        <w:rPr>
          <w:rFonts w:cstheme="minorHAnsi"/>
          <w:color w:val="FF0000"/>
          <w:sz w:val="16"/>
          <w:szCs w:val="16"/>
          <w:lang w:eastAsia="fr-FR"/>
        </w:rPr>
        <w:t>s el documento presentado por la Magistrada</w:t>
      </w:r>
      <w:r w:rsidRPr="00A817A6">
        <w:rPr>
          <w:rFonts w:cstheme="minorHAnsi"/>
          <w:color w:val="FF0000"/>
          <w:sz w:val="16"/>
          <w:szCs w:val="16"/>
          <w:lang w:eastAsia="fr-FR"/>
        </w:rPr>
        <w:t xml:space="preserve"> Ponente que sirvió de base para proferir la providencia dentro del presente proceso. El contenido total y fiel de la decisión debe ser ver</w:t>
      </w:r>
      <w:r>
        <w:rPr>
          <w:rFonts w:cstheme="minorHAnsi"/>
          <w:color w:val="FF0000"/>
          <w:sz w:val="16"/>
          <w:szCs w:val="16"/>
          <w:lang w:eastAsia="fr-FR"/>
        </w:rPr>
        <w:t>ificado en la Secretaría de la respectiva</w:t>
      </w:r>
      <w:r w:rsidRPr="00A817A6">
        <w:rPr>
          <w:rFonts w:cstheme="minorHAnsi"/>
          <w:color w:val="FF0000"/>
          <w:sz w:val="16"/>
          <w:szCs w:val="16"/>
          <w:lang w:eastAsia="fr-FR"/>
        </w:rPr>
        <w:t xml:space="preserve"> Sala.</w:t>
      </w:r>
      <w:r w:rsidRPr="00A817A6">
        <w:rPr>
          <w:rFonts w:cstheme="minorHAnsi"/>
          <w:color w:val="222222"/>
          <w:sz w:val="16"/>
          <w:szCs w:val="16"/>
          <w:lang w:eastAsia="fr-FR"/>
        </w:rPr>
        <w:t> </w:t>
      </w:r>
    </w:p>
    <w:p w:rsidR="003A76A8" w:rsidRPr="009275F8" w:rsidRDefault="003A76A8" w:rsidP="003A76A8">
      <w:pPr>
        <w:pStyle w:val="Sinespaciado"/>
        <w:rPr>
          <w:sz w:val="18"/>
          <w:szCs w:val="18"/>
        </w:rPr>
      </w:pPr>
    </w:p>
    <w:p w:rsidR="00041CDE" w:rsidRPr="00117D71" w:rsidRDefault="00041CDE" w:rsidP="00041CDE">
      <w:pPr>
        <w:spacing w:line="240" w:lineRule="atLeast"/>
        <w:jc w:val="center"/>
        <w:rPr>
          <w:rFonts w:ascii="Edwardian Script ITC" w:hAnsi="Edwardian Script ITC" w:cs="Arial"/>
          <w:b/>
          <w:sz w:val="22"/>
          <w:lang w:val="en-GB"/>
        </w:rPr>
      </w:pPr>
      <w:bookmarkStart w:id="0" w:name="_GoBack"/>
      <w:bookmarkEnd w:id="0"/>
      <w:r w:rsidRPr="00117D71">
        <w:rPr>
          <w:rFonts w:ascii="Edwardian Script ITC" w:hAnsi="Edwardian Script ITC"/>
          <w:noProof/>
          <w:sz w:val="22"/>
        </w:rPr>
        <w:drawing>
          <wp:inline distT="0" distB="0" distL="0" distR="0">
            <wp:extent cx="676275" cy="657225"/>
            <wp:effectExtent l="0" t="0" r="9525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CDE" w:rsidRPr="00D156FB" w:rsidRDefault="00041CDE" w:rsidP="00041CDE">
      <w:pPr>
        <w:widowControl w:val="0"/>
        <w:spacing w:line="360" w:lineRule="auto"/>
        <w:jc w:val="center"/>
        <w:rPr>
          <w:rFonts w:ascii="Arial" w:hAnsi="Arial" w:cs="Arial"/>
          <w:kern w:val="28"/>
          <w:szCs w:val="21"/>
        </w:rPr>
      </w:pPr>
      <w:r w:rsidRPr="00D156FB">
        <w:rPr>
          <w:rFonts w:ascii="Arial" w:hAnsi="Arial" w:cs="Arial"/>
          <w:kern w:val="28"/>
          <w:szCs w:val="21"/>
        </w:rPr>
        <w:t>RAMA JUDICIAL DEL PODER PÚBLICO</w:t>
      </w:r>
    </w:p>
    <w:p w:rsidR="00041CDE" w:rsidRPr="00D156FB" w:rsidRDefault="00041CDE" w:rsidP="00041CDE">
      <w:pPr>
        <w:widowControl w:val="0"/>
        <w:spacing w:line="360" w:lineRule="auto"/>
        <w:jc w:val="center"/>
        <w:rPr>
          <w:rFonts w:ascii="Arial" w:hAnsi="Arial" w:cs="Arial"/>
          <w:kern w:val="28"/>
          <w:szCs w:val="21"/>
        </w:rPr>
      </w:pPr>
      <w:r w:rsidRPr="00D156FB">
        <w:rPr>
          <w:rFonts w:ascii="Arial" w:hAnsi="Arial" w:cs="Arial"/>
          <w:kern w:val="28"/>
          <w:szCs w:val="21"/>
        </w:rPr>
        <w:t>TRIBUNAL SUPERIOR DEL DISTRITO JUDICIAL DE PEREIRA</w:t>
      </w:r>
    </w:p>
    <w:p w:rsidR="00041CDE" w:rsidRPr="00D156FB" w:rsidRDefault="00041CDE" w:rsidP="00041CDE">
      <w:pPr>
        <w:keepNext/>
        <w:spacing w:line="360" w:lineRule="auto"/>
        <w:jc w:val="center"/>
        <w:rPr>
          <w:rFonts w:ascii="Arial" w:hAnsi="Arial" w:cs="Arial"/>
          <w:bCs/>
          <w:szCs w:val="21"/>
        </w:rPr>
      </w:pPr>
      <w:r w:rsidRPr="00D156FB">
        <w:rPr>
          <w:rFonts w:ascii="Arial" w:hAnsi="Arial" w:cs="Arial"/>
          <w:bCs/>
          <w:szCs w:val="21"/>
        </w:rPr>
        <w:t>SALA CUARTA DE DECISIÓN LABORAL</w:t>
      </w:r>
    </w:p>
    <w:p w:rsidR="00150BF8" w:rsidRDefault="00150BF8" w:rsidP="00150BF8">
      <w:pPr>
        <w:autoSpaceDE w:val="0"/>
        <w:ind w:left="3402"/>
        <w:contextualSpacing/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38680A" w:rsidRPr="009C57C2" w:rsidRDefault="0038680A" w:rsidP="0038680A">
      <w:pPr>
        <w:autoSpaceDE w:val="0"/>
        <w:ind w:left="5664" w:hanging="2262"/>
        <w:contextualSpacing/>
        <w:jc w:val="both"/>
        <w:rPr>
          <w:rFonts w:ascii="Arial" w:hAnsi="Arial" w:cs="Arial"/>
          <w:b/>
          <w:bCs/>
          <w:iCs/>
          <w:sz w:val="21"/>
          <w:szCs w:val="21"/>
          <w:u w:val="single"/>
        </w:rPr>
      </w:pPr>
      <w:r w:rsidRPr="009C57C2">
        <w:rPr>
          <w:rFonts w:ascii="Arial" w:hAnsi="Arial" w:cs="Arial"/>
          <w:b/>
          <w:sz w:val="21"/>
          <w:szCs w:val="21"/>
          <w:u w:val="single"/>
        </w:rPr>
        <w:t>Radicación Nro.</w:t>
      </w:r>
      <w:r w:rsidRPr="009C57C2">
        <w:rPr>
          <w:rFonts w:ascii="Arial" w:hAnsi="Arial" w:cs="Arial"/>
          <w:sz w:val="21"/>
          <w:szCs w:val="21"/>
        </w:rPr>
        <w:t xml:space="preserve"> :</w:t>
      </w:r>
      <w:r w:rsidRPr="009C57C2">
        <w:rPr>
          <w:rFonts w:ascii="Arial" w:hAnsi="Arial" w:cs="Arial"/>
          <w:sz w:val="21"/>
          <w:szCs w:val="21"/>
        </w:rPr>
        <w:tab/>
        <w:t>66001-31-05-00</w:t>
      </w:r>
      <w:r w:rsidR="00D44F8F">
        <w:rPr>
          <w:rFonts w:ascii="Arial" w:hAnsi="Arial" w:cs="Arial"/>
          <w:sz w:val="21"/>
          <w:szCs w:val="21"/>
        </w:rPr>
        <w:t>3</w:t>
      </w:r>
      <w:r w:rsidRPr="009C57C2">
        <w:rPr>
          <w:rFonts w:ascii="Arial" w:hAnsi="Arial" w:cs="Arial"/>
          <w:sz w:val="21"/>
          <w:szCs w:val="21"/>
        </w:rPr>
        <w:t>-2017-00</w:t>
      </w:r>
      <w:r w:rsidR="00D44F8F">
        <w:rPr>
          <w:rFonts w:ascii="Arial" w:hAnsi="Arial" w:cs="Arial"/>
          <w:sz w:val="21"/>
          <w:szCs w:val="21"/>
        </w:rPr>
        <w:t>522</w:t>
      </w:r>
      <w:r w:rsidRPr="009C57C2">
        <w:rPr>
          <w:rFonts w:ascii="Arial" w:hAnsi="Arial" w:cs="Arial"/>
          <w:sz w:val="21"/>
          <w:szCs w:val="21"/>
        </w:rPr>
        <w:t>-01</w:t>
      </w:r>
    </w:p>
    <w:p w:rsidR="0038680A" w:rsidRPr="009C57C2" w:rsidRDefault="0038680A" w:rsidP="0038680A">
      <w:pPr>
        <w:ind w:left="5664" w:hanging="2262"/>
        <w:contextualSpacing/>
        <w:jc w:val="both"/>
        <w:rPr>
          <w:rFonts w:ascii="Arial" w:hAnsi="Arial" w:cs="Arial"/>
          <w:iCs/>
          <w:sz w:val="21"/>
          <w:szCs w:val="21"/>
        </w:rPr>
      </w:pPr>
      <w:r w:rsidRPr="009C57C2">
        <w:rPr>
          <w:rFonts w:ascii="Arial" w:hAnsi="Arial" w:cs="Arial"/>
          <w:b/>
          <w:bCs/>
          <w:iCs/>
          <w:sz w:val="21"/>
          <w:szCs w:val="21"/>
          <w:u w:val="single"/>
        </w:rPr>
        <w:t>Accionante:</w:t>
      </w:r>
      <w:r w:rsidRPr="009C57C2">
        <w:rPr>
          <w:rFonts w:ascii="Arial" w:hAnsi="Arial" w:cs="Arial"/>
          <w:iCs/>
          <w:sz w:val="21"/>
          <w:szCs w:val="21"/>
        </w:rPr>
        <w:t xml:space="preserve"> </w:t>
      </w:r>
      <w:r w:rsidRPr="009C57C2">
        <w:rPr>
          <w:rFonts w:ascii="Arial" w:hAnsi="Arial" w:cs="Arial"/>
          <w:iCs/>
          <w:sz w:val="21"/>
          <w:szCs w:val="21"/>
        </w:rPr>
        <w:tab/>
      </w:r>
      <w:r w:rsidR="00D44F8F">
        <w:rPr>
          <w:rFonts w:ascii="Arial" w:hAnsi="Arial" w:cs="Arial"/>
          <w:iCs/>
          <w:sz w:val="21"/>
          <w:szCs w:val="21"/>
        </w:rPr>
        <w:t>Dioselina Saldarriaga Duque</w:t>
      </w:r>
    </w:p>
    <w:p w:rsidR="0038680A" w:rsidRPr="009C57C2" w:rsidRDefault="0038680A" w:rsidP="0038680A">
      <w:pPr>
        <w:autoSpaceDE w:val="0"/>
        <w:ind w:left="5664" w:hanging="2262"/>
        <w:contextualSpacing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9C57C2">
        <w:rPr>
          <w:rFonts w:ascii="Arial" w:hAnsi="Arial" w:cs="Arial"/>
          <w:b/>
          <w:bCs/>
          <w:iCs/>
          <w:sz w:val="21"/>
          <w:szCs w:val="21"/>
          <w:u w:val="single"/>
        </w:rPr>
        <w:t>Accionado:</w:t>
      </w:r>
      <w:r w:rsidRPr="009C57C2">
        <w:rPr>
          <w:rFonts w:ascii="Arial" w:hAnsi="Arial" w:cs="Arial"/>
          <w:sz w:val="21"/>
          <w:szCs w:val="21"/>
        </w:rPr>
        <w:t xml:space="preserve"> </w:t>
      </w:r>
      <w:r w:rsidRPr="009C57C2">
        <w:rPr>
          <w:rFonts w:ascii="Arial" w:hAnsi="Arial" w:cs="Arial"/>
          <w:sz w:val="21"/>
          <w:szCs w:val="21"/>
        </w:rPr>
        <w:tab/>
      </w:r>
      <w:r w:rsidR="00D44F8F">
        <w:rPr>
          <w:rFonts w:ascii="Arial" w:hAnsi="Arial" w:cs="Arial"/>
          <w:sz w:val="21"/>
          <w:szCs w:val="21"/>
        </w:rPr>
        <w:t xml:space="preserve">Administradora Colombiana de Pensiones – Colpensiones </w:t>
      </w:r>
    </w:p>
    <w:p w:rsidR="0038680A" w:rsidRPr="009C57C2" w:rsidRDefault="00912656" w:rsidP="00150BF8">
      <w:pPr>
        <w:autoSpaceDE w:val="0"/>
        <w:ind w:left="5664" w:hanging="2262"/>
        <w:contextualSpacing/>
        <w:jc w:val="both"/>
        <w:rPr>
          <w:rFonts w:ascii="Arial" w:hAnsi="Arial" w:cs="Arial"/>
          <w:b/>
          <w:sz w:val="21"/>
          <w:szCs w:val="21"/>
        </w:rPr>
      </w:pPr>
      <w:r w:rsidRPr="009C57C2">
        <w:rPr>
          <w:rFonts w:ascii="Arial" w:hAnsi="Arial" w:cs="Arial"/>
          <w:b/>
          <w:bCs/>
          <w:iCs/>
          <w:sz w:val="21"/>
          <w:szCs w:val="21"/>
          <w:u w:val="single"/>
        </w:rPr>
        <w:t>Vinculados</w:t>
      </w:r>
      <w:r w:rsidR="00150BF8" w:rsidRPr="009C57C2">
        <w:rPr>
          <w:rFonts w:ascii="Arial" w:hAnsi="Arial" w:cs="Arial"/>
          <w:b/>
          <w:bCs/>
          <w:iCs/>
          <w:sz w:val="21"/>
          <w:szCs w:val="21"/>
          <w:u w:val="single"/>
        </w:rPr>
        <w:t xml:space="preserve">: </w:t>
      </w:r>
      <w:r w:rsidR="00150BF8" w:rsidRPr="009C57C2">
        <w:rPr>
          <w:rFonts w:ascii="Arial" w:hAnsi="Arial" w:cs="Arial"/>
          <w:b/>
          <w:bCs/>
          <w:iCs/>
          <w:sz w:val="21"/>
          <w:szCs w:val="21"/>
        </w:rPr>
        <w:tab/>
      </w:r>
      <w:r w:rsidR="00D607FD">
        <w:rPr>
          <w:rFonts w:ascii="Arial" w:hAnsi="Arial" w:cs="Arial"/>
          <w:bCs/>
          <w:iCs/>
          <w:sz w:val="21"/>
          <w:szCs w:val="21"/>
        </w:rPr>
        <w:t>ASALUD LTDA</w:t>
      </w:r>
    </w:p>
    <w:p w:rsidR="00150BF8" w:rsidRPr="009C57C2" w:rsidRDefault="00150BF8" w:rsidP="00150BF8">
      <w:pPr>
        <w:autoSpaceDE w:val="0"/>
        <w:ind w:left="5664" w:hanging="2262"/>
        <w:contextualSpacing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9C57C2">
        <w:rPr>
          <w:rFonts w:ascii="Arial" w:hAnsi="Arial" w:cs="Arial"/>
          <w:b/>
          <w:sz w:val="21"/>
          <w:szCs w:val="21"/>
          <w:u w:val="single"/>
        </w:rPr>
        <w:t>Providencia</w:t>
      </w:r>
      <w:r w:rsidRPr="009C57C2">
        <w:rPr>
          <w:rFonts w:ascii="Arial" w:hAnsi="Arial" w:cs="Arial"/>
          <w:sz w:val="21"/>
          <w:szCs w:val="21"/>
        </w:rPr>
        <w:t xml:space="preserve">: </w:t>
      </w:r>
      <w:r w:rsidRPr="009C57C2">
        <w:rPr>
          <w:rFonts w:ascii="Arial" w:hAnsi="Arial" w:cs="Arial"/>
          <w:sz w:val="21"/>
          <w:szCs w:val="21"/>
        </w:rPr>
        <w:tab/>
        <w:t xml:space="preserve">Auto </w:t>
      </w:r>
      <w:r w:rsidR="00D607FD">
        <w:rPr>
          <w:rFonts w:ascii="Arial" w:hAnsi="Arial" w:cs="Arial"/>
          <w:sz w:val="21"/>
          <w:szCs w:val="21"/>
        </w:rPr>
        <w:t>que declara inadmisible la impugnación</w:t>
      </w:r>
    </w:p>
    <w:p w:rsidR="00041CDE" w:rsidRPr="005361F5" w:rsidRDefault="00041CDE" w:rsidP="00041CDE">
      <w:pPr>
        <w:jc w:val="center"/>
        <w:rPr>
          <w:rFonts w:ascii="Arial" w:hAnsi="Arial" w:cs="Arial"/>
          <w:color w:val="000000"/>
        </w:rPr>
      </w:pPr>
    </w:p>
    <w:p w:rsidR="00041CDE" w:rsidRPr="008D51D9" w:rsidRDefault="00041CDE" w:rsidP="00041CDE">
      <w:pPr>
        <w:autoSpaceDE w:val="0"/>
        <w:ind w:left="3402"/>
        <w:contextualSpacing/>
        <w:jc w:val="both"/>
        <w:rPr>
          <w:rFonts w:ascii="Arial" w:hAnsi="Arial" w:cs="Arial"/>
          <w:b/>
          <w:sz w:val="22"/>
          <w:szCs w:val="16"/>
          <w:u w:val="single"/>
        </w:rPr>
      </w:pPr>
    </w:p>
    <w:p w:rsidR="00041CDE" w:rsidRPr="008D51D9" w:rsidRDefault="007B0E77" w:rsidP="00D156FB">
      <w:pPr>
        <w:overflowPunct w:val="0"/>
        <w:autoSpaceDE w:val="0"/>
        <w:autoSpaceDN w:val="0"/>
        <w:adjustRightInd w:val="0"/>
        <w:ind w:left="1416"/>
        <w:textAlignment w:val="baseline"/>
        <w:rPr>
          <w:rFonts w:ascii="Arial" w:hAnsi="Arial" w:cs="Arial"/>
          <w:b/>
          <w:szCs w:val="21"/>
          <w:lang w:val="es-ES_tradnl"/>
        </w:rPr>
      </w:pPr>
      <w:r>
        <w:rPr>
          <w:rFonts w:ascii="Arial" w:hAnsi="Arial" w:cs="Arial"/>
          <w:b/>
          <w:szCs w:val="21"/>
          <w:lang w:val="es-ES_tradnl"/>
        </w:rPr>
        <w:t xml:space="preserve">       </w:t>
      </w:r>
      <w:r w:rsidR="00041CDE" w:rsidRPr="008D51D9">
        <w:rPr>
          <w:rFonts w:ascii="Arial" w:hAnsi="Arial" w:cs="Arial"/>
          <w:b/>
          <w:szCs w:val="21"/>
          <w:lang w:val="es-ES_tradnl"/>
        </w:rPr>
        <w:t>MAGISTRADA:</w:t>
      </w:r>
      <w:r w:rsidR="00041CDE" w:rsidRPr="008D51D9">
        <w:rPr>
          <w:rFonts w:ascii="Arial" w:hAnsi="Arial" w:cs="Arial"/>
          <w:szCs w:val="21"/>
          <w:lang w:val="es-ES_tradnl"/>
        </w:rPr>
        <w:t xml:space="preserve"> </w:t>
      </w:r>
      <w:r w:rsidR="00041CDE" w:rsidRPr="008D51D9">
        <w:rPr>
          <w:rFonts w:ascii="Arial" w:hAnsi="Arial" w:cs="Arial"/>
          <w:b/>
          <w:szCs w:val="21"/>
          <w:lang w:val="es-ES_tradnl"/>
        </w:rPr>
        <w:t>OLGA LUCÍA HOYOS SEPÚLVEDA</w:t>
      </w:r>
    </w:p>
    <w:p w:rsidR="00041CDE" w:rsidRPr="008D51D9" w:rsidRDefault="00041CDE" w:rsidP="00D156FB">
      <w:pPr>
        <w:overflowPunct w:val="0"/>
        <w:autoSpaceDE w:val="0"/>
        <w:autoSpaceDN w:val="0"/>
        <w:adjustRightInd w:val="0"/>
        <w:ind w:firstLine="708"/>
        <w:jc w:val="center"/>
        <w:textAlignment w:val="baseline"/>
        <w:rPr>
          <w:rFonts w:ascii="Arial" w:hAnsi="Arial" w:cs="Arial"/>
          <w:szCs w:val="21"/>
          <w:lang w:val="es-ES_tradnl"/>
        </w:rPr>
      </w:pPr>
      <w:r w:rsidRPr="008D51D9">
        <w:rPr>
          <w:rFonts w:ascii="Arial" w:hAnsi="Arial" w:cs="Arial"/>
          <w:szCs w:val="21"/>
          <w:lang w:val="es-ES_tradnl"/>
        </w:rPr>
        <w:t xml:space="preserve">Pereira, </w:t>
      </w:r>
      <w:r w:rsidR="00D607FD">
        <w:rPr>
          <w:rFonts w:ascii="Arial" w:hAnsi="Arial" w:cs="Arial"/>
          <w:szCs w:val="21"/>
          <w:lang w:val="es-ES_tradnl"/>
        </w:rPr>
        <w:t>quince</w:t>
      </w:r>
      <w:r w:rsidR="009C57C2">
        <w:rPr>
          <w:rFonts w:ascii="Arial" w:hAnsi="Arial" w:cs="Arial"/>
          <w:szCs w:val="21"/>
          <w:lang w:val="es-ES_tradnl"/>
        </w:rPr>
        <w:t xml:space="preserve"> (</w:t>
      </w:r>
      <w:r w:rsidR="00D607FD">
        <w:rPr>
          <w:rFonts w:ascii="Arial" w:hAnsi="Arial" w:cs="Arial"/>
          <w:szCs w:val="21"/>
          <w:lang w:val="es-ES_tradnl"/>
        </w:rPr>
        <w:t>15</w:t>
      </w:r>
      <w:r w:rsidRPr="008D51D9">
        <w:rPr>
          <w:rFonts w:ascii="Arial" w:hAnsi="Arial" w:cs="Arial"/>
          <w:szCs w:val="21"/>
          <w:lang w:val="es-ES_tradnl"/>
        </w:rPr>
        <w:t xml:space="preserve">) de </w:t>
      </w:r>
      <w:r w:rsidR="00D607FD">
        <w:rPr>
          <w:rFonts w:ascii="Arial" w:hAnsi="Arial" w:cs="Arial"/>
          <w:szCs w:val="21"/>
          <w:lang w:val="es-ES_tradnl"/>
        </w:rPr>
        <w:t>diciembre</w:t>
      </w:r>
      <w:r w:rsidRPr="008D51D9">
        <w:rPr>
          <w:rFonts w:ascii="Arial" w:hAnsi="Arial" w:cs="Arial"/>
          <w:szCs w:val="21"/>
          <w:lang w:val="es-ES_tradnl"/>
        </w:rPr>
        <w:t xml:space="preserve"> de dos mil diecis</w:t>
      </w:r>
      <w:r w:rsidR="007B0E77">
        <w:rPr>
          <w:rFonts w:ascii="Arial" w:hAnsi="Arial" w:cs="Arial"/>
          <w:szCs w:val="21"/>
          <w:lang w:val="es-ES_tradnl"/>
        </w:rPr>
        <w:t>iete (2017</w:t>
      </w:r>
      <w:r w:rsidRPr="008D51D9">
        <w:rPr>
          <w:rFonts w:ascii="Arial" w:hAnsi="Arial" w:cs="Arial"/>
          <w:szCs w:val="21"/>
          <w:lang w:val="es-ES_tradnl"/>
        </w:rPr>
        <w:t>)</w:t>
      </w:r>
    </w:p>
    <w:p w:rsidR="00D208B9" w:rsidRDefault="00D208B9" w:rsidP="00D208B9">
      <w:pPr>
        <w:widowControl w:val="0"/>
        <w:spacing w:line="276" w:lineRule="auto"/>
        <w:jc w:val="center"/>
        <w:rPr>
          <w:rFonts w:ascii="Arial" w:eastAsia="MS Mincho" w:hAnsi="Arial" w:cs="Arial"/>
          <w:b/>
          <w:bCs/>
        </w:rPr>
      </w:pPr>
    </w:p>
    <w:p w:rsidR="0062395F" w:rsidRDefault="0062395F" w:rsidP="009C57C2">
      <w:pPr>
        <w:jc w:val="both"/>
        <w:rPr>
          <w:rFonts w:ascii="Arial" w:hAnsi="Arial" w:cs="Arial"/>
        </w:rPr>
      </w:pPr>
    </w:p>
    <w:p w:rsidR="0002532C" w:rsidRDefault="0002532C" w:rsidP="009C57C2">
      <w:pPr>
        <w:jc w:val="both"/>
        <w:rPr>
          <w:rFonts w:ascii="Arial" w:hAnsi="Arial" w:cs="Arial"/>
        </w:rPr>
      </w:pPr>
    </w:p>
    <w:p w:rsidR="009C57C2" w:rsidRPr="009C57C2" w:rsidRDefault="009C57C2" w:rsidP="009C57C2">
      <w:pPr>
        <w:jc w:val="both"/>
        <w:rPr>
          <w:rFonts w:ascii="Arial" w:hAnsi="Arial" w:cs="Arial"/>
        </w:rPr>
      </w:pPr>
      <w:r w:rsidRPr="009C57C2">
        <w:rPr>
          <w:rFonts w:ascii="Arial" w:hAnsi="Arial" w:cs="Arial"/>
        </w:rPr>
        <w:t xml:space="preserve">El día </w:t>
      </w:r>
      <w:r w:rsidR="00D607FD">
        <w:rPr>
          <w:rFonts w:ascii="Arial" w:hAnsi="Arial" w:cs="Arial"/>
        </w:rPr>
        <w:t>06</w:t>
      </w:r>
      <w:r>
        <w:rPr>
          <w:rFonts w:ascii="Arial" w:hAnsi="Arial" w:cs="Arial"/>
        </w:rPr>
        <w:t>-</w:t>
      </w:r>
      <w:r w:rsidR="00D607FD">
        <w:rPr>
          <w:rFonts w:ascii="Arial" w:hAnsi="Arial" w:cs="Arial"/>
        </w:rPr>
        <w:t>12</w:t>
      </w:r>
      <w:r w:rsidRPr="009C57C2">
        <w:rPr>
          <w:rFonts w:ascii="Arial" w:hAnsi="Arial" w:cs="Arial"/>
        </w:rPr>
        <w:t>-</w:t>
      </w:r>
      <w:r>
        <w:rPr>
          <w:rFonts w:ascii="Arial" w:hAnsi="Arial" w:cs="Arial"/>
        </w:rPr>
        <w:t>2017</w:t>
      </w:r>
      <w:r w:rsidRPr="009C57C2">
        <w:rPr>
          <w:rFonts w:ascii="Arial" w:hAnsi="Arial" w:cs="Arial"/>
        </w:rPr>
        <w:t>, es asignada a este Despacho la tutela interpuesta por</w:t>
      </w:r>
      <w:r w:rsidR="00D607FD">
        <w:rPr>
          <w:rFonts w:ascii="Arial" w:hAnsi="Arial" w:cs="Arial"/>
        </w:rPr>
        <w:t xml:space="preserve"> la señora Dioselina Saldarriaga Duque</w:t>
      </w:r>
      <w:r>
        <w:rPr>
          <w:rFonts w:ascii="Arial" w:hAnsi="Arial" w:cs="Arial"/>
        </w:rPr>
        <w:t xml:space="preserve"> a través de </w:t>
      </w:r>
      <w:r w:rsidR="00297B6D">
        <w:rPr>
          <w:rFonts w:ascii="Arial" w:hAnsi="Arial" w:cs="Arial"/>
        </w:rPr>
        <w:t xml:space="preserve">apoderada judicial, </w:t>
      </w:r>
      <w:r w:rsidRPr="009C57C2">
        <w:rPr>
          <w:rFonts w:ascii="Arial" w:hAnsi="Arial" w:cs="Arial"/>
        </w:rPr>
        <w:t xml:space="preserve">en contra de </w:t>
      </w:r>
      <w:r w:rsidR="00D607FD">
        <w:rPr>
          <w:rFonts w:ascii="Arial" w:hAnsi="Arial" w:cs="Arial"/>
        </w:rPr>
        <w:t>la Administradora Colombiana de Pensiones – Colpensiones y Asalud LTDA</w:t>
      </w:r>
      <w:r w:rsidRPr="009C57C2">
        <w:rPr>
          <w:rFonts w:ascii="Arial" w:hAnsi="Arial" w:cs="Arial"/>
        </w:rPr>
        <w:t xml:space="preserve">, con la cual solicitaba se tutele </w:t>
      </w:r>
      <w:r>
        <w:rPr>
          <w:rFonts w:ascii="Arial" w:hAnsi="Arial" w:cs="Arial"/>
        </w:rPr>
        <w:t>el</w:t>
      </w:r>
      <w:r w:rsidRPr="009C57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derecho de</w:t>
      </w:r>
      <w:r w:rsidRPr="009C57C2">
        <w:rPr>
          <w:rFonts w:ascii="Arial" w:hAnsi="Arial" w:cs="Arial"/>
        </w:rPr>
        <w:t xml:space="preserve"> petición.</w:t>
      </w:r>
    </w:p>
    <w:p w:rsidR="009C57C2" w:rsidRDefault="009C57C2" w:rsidP="009C57C2">
      <w:pPr>
        <w:jc w:val="both"/>
        <w:rPr>
          <w:rFonts w:ascii="Arial" w:hAnsi="Arial" w:cs="Arial"/>
        </w:rPr>
      </w:pPr>
    </w:p>
    <w:p w:rsidR="0002532C" w:rsidRPr="009C57C2" w:rsidRDefault="0002532C" w:rsidP="009C57C2">
      <w:pPr>
        <w:jc w:val="both"/>
        <w:rPr>
          <w:rFonts w:ascii="Arial" w:hAnsi="Arial" w:cs="Arial"/>
        </w:rPr>
      </w:pPr>
    </w:p>
    <w:p w:rsidR="009C57C2" w:rsidRDefault="009C57C2" w:rsidP="009C57C2">
      <w:pPr>
        <w:jc w:val="both"/>
        <w:rPr>
          <w:rFonts w:ascii="Arial" w:hAnsi="Arial" w:cs="Arial"/>
        </w:rPr>
      </w:pPr>
      <w:r w:rsidRPr="009C57C2">
        <w:rPr>
          <w:rFonts w:ascii="Arial" w:hAnsi="Arial" w:cs="Arial"/>
        </w:rPr>
        <w:t>E</w:t>
      </w:r>
      <w:r>
        <w:rPr>
          <w:rFonts w:ascii="Arial" w:hAnsi="Arial" w:cs="Arial"/>
        </w:rPr>
        <w:t>l 2</w:t>
      </w:r>
      <w:r w:rsidR="00986696">
        <w:rPr>
          <w:rFonts w:ascii="Arial" w:hAnsi="Arial" w:cs="Arial"/>
        </w:rPr>
        <w:t>4</w:t>
      </w:r>
      <w:r>
        <w:rPr>
          <w:rFonts w:ascii="Arial" w:hAnsi="Arial" w:cs="Arial"/>
        </w:rPr>
        <w:t>-</w:t>
      </w:r>
      <w:r w:rsidR="00986696">
        <w:rPr>
          <w:rFonts w:ascii="Arial" w:hAnsi="Arial" w:cs="Arial"/>
        </w:rPr>
        <w:t>11</w:t>
      </w:r>
      <w:r>
        <w:rPr>
          <w:rFonts w:ascii="Arial" w:hAnsi="Arial" w:cs="Arial"/>
        </w:rPr>
        <w:t>-2017</w:t>
      </w:r>
      <w:r w:rsidRPr="009C57C2">
        <w:rPr>
          <w:rFonts w:ascii="Arial" w:hAnsi="Arial" w:cs="Arial"/>
        </w:rPr>
        <w:t xml:space="preserve">, </w:t>
      </w:r>
      <w:r w:rsidR="00986696">
        <w:rPr>
          <w:rFonts w:ascii="Arial" w:hAnsi="Arial" w:cs="Arial"/>
        </w:rPr>
        <w:t>la juez</w:t>
      </w:r>
      <w:r w:rsidR="00EA13C3">
        <w:rPr>
          <w:rFonts w:ascii="Arial" w:hAnsi="Arial" w:cs="Arial"/>
        </w:rPr>
        <w:t>a</w:t>
      </w:r>
      <w:r w:rsidR="00986696">
        <w:rPr>
          <w:rFonts w:ascii="Arial" w:hAnsi="Arial" w:cs="Arial"/>
        </w:rPr>
        <w:t xml:space="preserve"> de primera instancia </w:t>
      </w:r>
      <w:r w:rsidR="00EA13C3">
        <w:rPr>
          <w:rFonts w:ascii="Arial" w:hAnsi="Arial" w:cs="Arial"/>
        </w:rPr>
        <w:t>tuteló</w:t>
      </w:r>
      <w:r w:rsidR="00986696">
        <w:rPr>
          <w:rFonts w:ascii="Arial" w:hAnsi="Arial" w:cs="Arial"/>
        </w:rPr>
        <w:t xml:space="preserve"> el derecho de petición y ordena a Asalud LTDA, que en un término de 48 horas resuelva la petición, igual </w:t>
      </w:r>
      <w:r w:rsidR="00EA13C3">
        <w:rPr>
          <w:rFonts w:ascii="Arial" w:hAnsi="Arial" w:cs="Arial"/>
        </w:rPr>
        <w:t xml:space="preserve">en el </w:t>
      </w:r>
      <w:r w:rsidR="00297B6D">
        <w:rPr>
          <w:rFonts w:ascii="Arial" w:hAnsi="Arial" w:cs="Arial"/>
        </w:rPr>
        <w:t>decide</w:t>
      </w:r>
      <w:r w:rsidR="00986696">
        <w:rPr>
          <w:rFonts w:ascii="Arial" w:hAnsi="Arial" w:cs="Arial"/>
        </w:rPr>
        <w:t xml:space="preserve"> </w:t>
      </w:r>
      <w:r w:rsidR="00EA13C3">
        <w:rPr>
          <w:rFonts w:ascii="Arial" w:hAnsi="Arial" w:cs="Arial"/>
        </w:rPr>
        <w:t xml:space="preserve">en el numeral </w:t>
      </w:r>
      <w:r w:rsidR="00986696" w:rsidRPr="00986696">
        <w:rPr>
          <w:rFonts w:ascii="Arial" w:hAnsi="Arial" w:cs="Arial"/>
          <w:i/>
        </w:rPr>
        <w:t>“</w:t>
      </w:r>
      <w:r w:rsidR="00986696">
        <w:rPr>
          <w:rFonts w:ascii="Arial" w:hAnsi="Arial" w:cs="Arial"/>
          <w:i/>
        </w:rPr>
        <w:t>TERCERO</w:t>
      </w:r>
      <w:r w:rsidR="00986696" w:rsidRPr="00986696">
        <w:rPr>
          <w:rFonts w:ascii="Arial" w:hAnsi="Arial" w:cs="Arial"/>
          <w:i/>
        </w:rPr>
        <w:t>:</w:t>
      </w:r>
      <w:r w:rsidR="00986696">
        <w:rPr>
          <w:rFonts w:ascii="Arial" w:hAnsi="Arial" w:cs="Arial"/>
          <w:i/>
        </w:rPr>
        <w:t xml:space="preserve"> EXONERAR de responsabilidad a la accionada, como se explicó atrás</w:t>
      </w:r>
      <w:r w:rsidR="0062395F">
        <w:rPr>
          <w:rFonts w:ascii="Arial" w:hAnsi="Arial" w:cs="Arial"/>
        </w:rPr>
        <w:t>.</w:t>
      </w:r>
    </w:p>
    <w:p w:rsidR="00A158F6" w:rsidRDefault="00A158F6" w:rsidP="009C57C2">
      <w:pPr>
        <w:jc w:val="both"/>
        <w:rPr>
          <w:rFonts w:ascii="Arial" w:hAnsi="Arial" w:cs="Arial"/>
        </w:rPr>
      </w:pPr>
    </w:p>
    <w:p w:rsidR="0002532C" w:rsidRDefault="0002532C" w:rsidP="009C57C2">
      <w:pPr>
        <w:jc w:val="both"/>
        <w:rPr>
          <w:rFonts w:ascii="Arial" w:hAnsi="Arial" w:cs="Arial"/>
        </w:rPr>
      </w:pPr>
    </w:p>
    <w:p w:rsidR="00A158F6" w:rsidRDefault="00A158F6" w:rsidP="009C57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Por tal razón, la impugnación presentada por parte de Colpensiones el 29-11-2017, no cumple con</w:t>
      </w:r>
      <w:r w:rsidR="00EA13C3">
        <w:rPr>
          <w:rFonts w:ascii="Arial" w:hAnsi="Arial" w:cs="Arial"/>
        </w:rPr>
        <w:t xml:space="preserve"> el requisito de admisibilidad</w:t>
      </w:r>
      <w:r>
        <w:rPr>
          <w:rFonts w:ascii="Arial" w:hAnsi="Arial" w:cs="Arial"/>
        </w:rPr>
        <w:t>, ya que</w:t>
      </w:r>
      <w:r w:rsidR="004412E2">
        <w:rPr>
          <w:rFonts w:ascii="Arial" w:hAnsi="Arial" w:cs="Arial"/>
        </w:rPr>
        <w:t xml:space="preserve"> conforme a la decisión proferida en sede de primera instancia</w:t>
      </w:r>
      <w:r w:rsidR="00EA13C3">
        <w:rPr>
          <w:rFonts w:ascii="Arial" w:hAnsi="Arial" w:cs="Arial"/>
        </w:rPr>
        <w:t xml:space="preserve"> al no serle adversa, </w:t>
      </w:r>
      <w:r>
        <w:rPr>
          <w:rFonts w:ascii="Arial" w:hAnsi="Arial" w:cs="Arial"/>
        </w:rPr>
        <w:t>no se enc</w:t>
      </w:r>
      <w:r w:rsidR="00EA13C3">
        <w:rPr>
          <w:rFonts w:ascii="Arial" w:hAnsi="Arial" w:cs="Arial"/>
        </w:rPr>
        <w:t>uentra legitimada.</w:t>
      </w:r>
    </w:p>
    <w:p w:rsidR="00A158F6" w:rsidRDefault="00A158F6" w:rsidP="009C57C2">
      <w:pPr>
        <w:jc w:val="both"/>
        <w:rPr>
          <w:rFonts w:ascii="Arial" w:hAnsi="Arial" w:cs="Arial"/>
        </w:rPr>
      </w:pPr>
    </w:p>
    <w:p w:rsidR="0002532C" w:rsidRDefault="0002532C" w:rsidP="009C57C2">
      <w:pPr>
        <w:jc w:val="both"/>
        <w:rPr>
          <w:rFonts w:ascii="Arial" w:hAnsi="Arial" w:cs="Arial"/>
        </w:rPr>
      </w:pPr>
    </w:p>
    <w:p w:rsidR="00A158F6" w:rsidRDefault="00EA13C3" w:rsidP="009C57C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 de advertir que</w:t>
      </w:r>
      <w:r w:rsidR="00297B6D">
        <w:rPr>
          <w:rFonts w:ascii="Arial" w:hAnsi="Arial" w:cs="Arial"/>
        </w:rPr>
        <w:t xml:space="preserve"> este estudio debió realizarse</w:t>
      </w:r>
      <w:r w:rsidR="00A158F6">
        <w:rPr>
          <w:rFonts w:ascii="Arial" w:hAnsi="Arial" w:cs="Arial"/>
        </w:rPr>
        <w:t xml:space="preserve"> en primera instancia,</w:t>
      </w:r>
      <w:r>
        <w:rPr>
          <w:rFonts w:ascii="Arial" w:hAnsi="Arial" w:cs="Arial"/>
        </w:rPr>
        <w:t xml:space="preserve"> esto es verificar </w:t>
      </w:r>
      <w:r w:rsidR="00A158F6">
        <w:rPr>
          <w:rFonts w:ascii="Arial" w:hAnsi="Arial" w:cs="Arial"/>
        </w:rPr>
        <w:t xml:space="preserve">si </w:t>
      </w:r>
      <w:r>
        <w:rPr>
          <w:rFonts w:ascii="Arial" w:hAnsi="Arial" w:cs="Arial"/>
        </w:rPr>
        <w:t xml:space="preserve">la </w:t>
      </w:r>
      <w:r w:rsidR="00A158F6">
        <w:rPr>
          <w:rFonts w:ascii="Arial" w:hAnsi="Arial" w:cs="Arial"/>
        </w:rPr>
        <w:t>impugnación cumplía con los requisitos</w:t>
      </w:r>
      <w:r w:rsidR="00297B6D">
        <w:rPr>
          <w:rFonts w:ascii="Arial" w:hAnsi="Arial" w:cs="Arial"/>
        </w:rPr>
        <w:t xml:space="preserve"> de admisibilidad,</w:t>
      </w:r>
      <w:r>
        <w:rPr>
          <w:rFonts w:ascii="Arial" w:hAnsi="Arial" w:cs="Arial"/>
        </w:rPr>
        <w:t xml:space="preserve"> </w:t>
      </w:r>
      <w:r w:rsidR="00A158F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por lo que se</w:t>
      </w:r>
      <w:r w:rsidR="00297B6D">
        <w:rPr>
          <w:rFonts w:ascii="Arial" w:hAnsi="Arial" w:cs="Arial"/>
        </w:rPr>
        <w:t xml:space="preserve"> le</w:t>
      </w:r>
      <w:r>
        <w:rPr>
          <w:rFonts w:ascii="Arial" w:hAnsi="Arial" w:cs="Arial"/>
        </w:rPr>
        <w:t xml:space="preserve"> requiere</w:t>
      </w:r>
      <w:r w:rsidR="00297B6D">
        <w:rPr>
          <w:rFonts w:ascii="Arial" w:hAnsi="Arial" w:cs="Arial"/>
        </w:rPr>
        <w:t xml:space="preserve"> al aquo</w:t>
      </w:r>
      <w:r>
        <w:rPr>
          <w:rFonts w:ascii="Arial" w:hAnsi="Arial" w:cs="Arial"/>
        </w:rPr>
        <w:t xml:space="preserve"> </w:t>
      </w:r>
      <w:r w:rsidR="00297B6D">
        <w:rPr>
          <w:rFonts w:ascii="Arial" w:hAnsi="Arial" w:cs="Arial"/>
        </w:rPr>
        <w:t>asuma</w:t>
      </w:r>
      <w:r>
        <w:rPr>
          <w:rFonts w:ascii="Arial" w:hAnsi="Arial" w:cs="Arial"/>
        </w:rPr>
        <w:t xml:space="preserve"> tal deber en el futuro</w:t>
      </w:r>
      <w:r w:rsidR="00A158F6">
        <w:rPr>
          <w:rFonts w:ascii="Arial" w:hAnsi="Arial" w:cs="Arial"/>
        </w:rPr>
        <w:t>.</w:t>
      </w:r>
    </w:p>
    <w:p w:rsidR="009C57C2" w:rsidRDefault="009C57C2" w:rsidP="009C57C2">
      <w:pPr>
        <w:jc w:val="both"/>
        <w:rPr>
          <w:rFonts w:ascii="Arial Narrow" w:hAnsi="Arial Narrow" w:cs="Arial"/>
          <w:lang w:val="es-ES_tradnl"/>
        </w:rPr>
      </w:pPr>
    </w:p>
    <w:p w:rsidR="0002532C" w:rsidRPr="009A025E" w:rsidRDefault="0002532C" w:rsidP="009C57C2">
      <w:pPr>
        <w:jc w:val="both"/>
        <w:rPr>
          <w:rFonts w:ascii="Arial Narrow" w:hAnsi="Arial Narrow" w:cs="Arial"/>
          <w:lang w:val="es-ES_tradnl"/>
        </w:rPr>
      </w:pPr>
    </w:p>
    <w:p w:rsidR="0062395F" w:rsidRDefault="0062395F" w:rsidP="0062395F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Por lo anterior,</w:t>
      </w:r>
      <w:r w:rsidRPr="007D47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est</w:t>
      </w:r>
      <w:r w:rsidRPr="007D47D3">
        <w:rPr>
          <w:rFonts w:ascii="Arial" w:hAnsi="Arial" w:cs="Arial"/>
        </w:rPr>
        <w:t xml:space="preserve">a Magistratura del </w:t>
      </w:r>
      <w:r w:rsidRPr="001D7689">
        <w:rPr>
          <w:rFonts w:ascii="Arial" w:hAnsi="Arial" w:cs="Arial"/>
          <w:b/>
        </w:rPr>
        <w:t>TRIBUNAL SUPERIOR DEL DISTRITO JUDICIAL SALA CUARTA LABORAL DE PEREIRA</w:t>
      </w:r>
      <w:r w:rsidRPr="007D47D3">
        <w:rPr>
          <w:rFonts w:ascii="Arial" w:hAnsi="Arial" w:cs="Arial"/>
        </w:rPr>
        <w:t xml:space="preserve">, </w:t>
      </w:r>
    </w:p>
    <w:p w:rsidR="00CF1BFD" w:rsidRDefault="00CF1BFD" w:rsidP="00D156FB">
      <w:pPr>
        <w:jc w:val="both"/>
        <w:rPr>
          <w:rFonts w:ascii="Arial" w:eastAsia="MS Mincho" w:hAnsi="Arial" w:cs="Arial"/>
          <w:bCs/>
        </w:rPr>
      </w:pPr>
    </w:p>
    <w:p w:rsidR="0002532C" w:rsidRPr="001147CB" w:rsidRDefault="0002532C" w:rsidP="00D156FB">
      <w:pPr>
        <w:jc w:val="both"/>
        <w:rPr>
          <w:rFonts w:ascii="Arial" w:eastAsia="MS Mincho" w:hAnsi="Arial" w:cs="Arial"/>
          <w:bCs/>
        </w:rPr>
      </w:pPr>
    </w:p>
    <w:p w:rsidR="00CF1BFD" w:rsidRDefault="00CF1BFD" w:rsidP="00D156FB">
      <w:pPr>
        <w:jc w:val="center"/>
        <w:rPr>
          <w:rFonts w:ascii="Arial" w:eastAsia="MS Mincho" w:hAnsi="Arial" w:cs="Arial"/>
          <w:b/>
          <w:bCs/>
        </w:rPr>
      </w:pPr>
      <w:r w:rsidRPr="001147CB">
        <w:rPr>
          <w:rFonts w:ascii="Arial" w:eastAsia="MS Mincho" w:hAnsi="Arial" w:cs="Arial"/>
          <w:b/>
          <w:bCs/>
        </w:rPr>
        <w:t>RESUELVE</w:t>
      </w:r>
    </w:p>
    <w:p w:rsidR="00007B57" w:rsidRPr="001147CB" w:rsidRDefault="00007B57" w:rsidP="00D156FB">
      <w:pPr>
        <w:jc w:val="center"/>
        <w:rPr>
          <w:rFonts w:ascii="Arial" w:eastAsia="MS Mincho" w:hAnsi="Arial" w:cs="Arial"/>
          <w:b/>
          <w:bCs/>
        </w:rPr>
      </w:pPr>
    </w:p>
    <w:p w:rsidR="0062395F" w:rsidRDefault="0062395F" w:rsidP="0062395F">
      <w:pPr>
        <w:jc w:val="both"/>
        <w:rPr>
          <w:rFonts w:ascii="Arial" w:hAnsi="Arial" w:cs="Arial"/>
          <w:b/>
        </w:rPr>
      </w:pPr>
    </w:p>
    <w:p w:rsidR="0062395F" w:rsidRPr="0062395F" w:rsidRDefault="00CF1BFD" w:rsidP="0062395F">
      <w:pPr>
        <w:jc w:val="both"/>
        <w:rPr>
          <w:rFonts w:ascii="Arial" w:hAnsi="Arial" w:cs="Arial"/>
        </w:rPr>
      </w:pPr>
      <w:r w:rsidRPr="001147CB">
        <w:rPr>
          <w:rFonts w:ascii="Arial" w:hAnsi="Arial" w:cs="Arial"/>
          <w:b/>
        </w:rPr>
        <w:lastRenderedPageBreak/>
        <w:t xml:space="preserve">PRIMERO.- </w:t>
      </w:r>
      <w:r w:rsidR="0002532C">
        <w:rPr>
          <w:rFonts w:ascii="Arial" w:hAnsi="Arial" w:cs="Arial"/>
          <w:b/>
        </w:rPr>
        <w:tab/>
        <w:t>INADMITIR</w:t>
      </w:r>
      <w:r w:rsidR="00986696">
        <w:rPr>
          <w:rFonts w:ascii="Arial" w:hAnsi="Arial" w:cs="Arial"/>
          <w:b/>
        </w:rPr>
        <w:t xml:space="preserve"> </w:t>
      </w:r>
      <w:r w:rsidR="00986696">
        <w:rPr>
          <w:rFonts w:ascii="Arial" w:hAnsi="Arial" w:cs="Arial"/>
        </w:rPr>
        <w:t xml:space="preserve">la impugnación </w:t>
      </w:r>
      <w:r w:rsidR="0002532C">
        <w:rPr>
          <w:rFonts w:ascii="Arial" w:hAnsi="Arial" w:cs="Arial"/>
        </w:rPr>
        <w:t>presentada</w:t>
      </w:r>
      <w:r w:rsidR="00986696">
        <w:rPr>
          <w:rFonts w:ascii="Arial" w:hAnsi="Arial" w:cs="Arial"/>
        </w:rPr>
        <w:t xml:space="preserve"> por Colpensiones en e</w:t>
      </w:r>
      <w:r w:rsidR="0062395F" w:rsidRPr="0062395F">
        <w:rPr>
          <w:rFonts w:ascii="Arial" w:hAnsi="Arial" w:cs="Arial"/>
        </w:rPr>
        <w:t>l trámite d</w:t>
      </w:r>
      <w:r w:rsidR="0002532C">
        <w:rPr>
          <w:rFonts w:ascii="Arial" w:hAnsi="Arial" w:cs="Arial"/>
        </w:rPr>
        <w:t>e la acción de tutela de la referencia</w:t>
      </w:r>
      <w:r w:rsidR="0062395F" w:rsidRPr="0062395F">
        <w:rPr>
          <w:rFonts w:ascii="Arial" w:hAnsi="Arial" w:cs="Arial"/>
        </w:rPr>
        <w:t xml:space="preserve">. </w:t>
      </w:r>
    </w:p>
    <w:p w:rsidR="0062395F" w:rsidRDefault="0062395F" w:rsidP="0062395F">
      <w:pPr>
        <w:pStyle w:val="Textoindependiente21"/>
        <w:spacing w:line="240" w:lineRule="auto"/>
        <w:ind w:firstLine="0"/>
        <w:rPr>
          <w:rFonts w:eastAsia="Calibri" w:cs="Arial"/>
          <w:b/>
          <w:szCs w:val="24"/>
        </w:rPr>
      </w:pPr>
    </w:p>
    <w:p w:rsidR="00986696" w:rsidRDefault="00986696" w:rsidP="00986696">
      <w:pPr>
        <w:tabs>
          <w:tab w:val="left" w:pos="1190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u w:val="single"/>
        </w:rPr>
        <w:t>SEGUNDO</w:t>
      </w:r>
      <w:r w:rsidRPr="009E2A66">
        <w:rPr>
          <w:rFonts w:ascii="Arial" w:hAnsi="Arial" w:cs="Arial"/>
          <w:b/>
        </w:rPr>
        <w:t xml:space="preserve">: </w:t>
      </w:r>
      <w:r w:rsidRPr="009E2A66">
        <w:rPr>
          <w:rFonts w:ascii="Arial" w:hAnsi="Arial" w:cs="Arial"/>
          <w:b/>
          <w:color w:val="000000"/>
        </w:rPr>
        <w:t>COMUNICAR</w:t>
      </w:r>
      <w:r w:rsidRPr="009E2A66">
        <w:rPr>
          <w:rFonts w:ascii="Arial" w:hAnsi="Arial" w:cs="Arial"/>
          <w:color w:val="000000"/>
        </w:rPr>
        <w:t xml:space="preserve"> esta decisión a las partes e intervinientes en el término de Ley y al juzgado de origen.</w:t>
      </w:r>
    </w:p>
    <w:p w:rsidR="00986696" w:rsidRDefault="00986696" w:rsidP="00986696">
      <w:pPr>
        <w:tabs>
          <w:tab w:val="left" w:pos="1190"/>
        </w:tabs>
        <w:jc w:val="both"/>
        <w:rPr>
          <w:rFonts w:ascii="Arial" w:hAnsi="Arial" w:cs="Arial"/>
          <w:color w:val="000000"/>
        </w:rPr>
      </w:pPr>
    </w:p>
    <w:p w:rsidR="00986696" w:rsidRPr="00DC2959" w:rsidRDefault="00986696" w:rsidP="00986696">
      <w:pPr>
        <w:tabs>
          <w:tab w:val="left" w:pos="119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TERCER</w:t>
      </w:r>
      <w:r w:rsidRPr="009E2A66">
        <w:rPr>
          <w:rFonts w:ascii="Arial" w:hAnsi="Arial" w:cs="Arial"/>
          <w:b/>
          <w:u w:val="single"/>
        </w:rPr>
        <w:t>O:</w:t>
      </w:r>
      <w:r w:rsidRPr="009E2A66">
        <w:rPr>
          <w:rFonts w:ascii="Arial" w:hAnsi="Arial" w:cs="Arial"/>
          <w:b/>
        </w:rPr>
        <w:t xml:space="preserve"> REMITIR</w:t>
      </w:r>
      <w:r w:rsidRPr="009E2A66">
        <w:rPr>
          <w:rFonts w:ascii="Arial" w:hAnsi="Arial" w:cs="Arial"/>
        </w:rPr>
        <w:t xml:space="preserve"> el expediente a la honorable Corte Constitucional para su eventual revisión.</w:t>
      </w:r>
    </w:p>
    <w:p w:rsidR="0062395F" w:rsidRPr="0062395F" w:rsidRDefault="0062395F" w:rsidP="0062395F">
      <w:pPr>
        <w:jc w:val="both"/>
        <w:rPr>
          <w:rFonts w:ascii="Arial" w:hAnsi="Arial" w:cs="Arial"/>
        </w:rPr>
      </w:pPr>
    </w:p>
    <w:p w:rsidR="00235F5A" w:rsidRPr="00C7098F" w:rsidRDefault="00235F5A" w:rsidP="00235F5A">
      <w:pPr>
        <w:pStyle w:val="Textoindependiente21"/>
        <w:spacing w:line="240" w:lineRule="auto"/>
        <w:ind w:firstLine="0"/>
        <w:rPr>
          <w:rFonts w:cs="Arial"/>
          <w:szCs w:val="21"/>
          <w:lang w:val="es-ES_tradnl"/>
        </w:rPr>
      </w:pPr>
    </w:p>
    <w:p w:rsidR="00DA6F8B" w:rsidRDefault="00DA6F8B" w:rsidP="00D208B9">
      <w:pPr>
        <w:spacing w:line="276" w:lineRule="auto"/>
        <w:jc w:val="center"/>
        <w:rPr>
          <w:rFonts w:ascii="Arial" w:hAnsi="Arial" w:cs="Arial"/>
          <w:b/>
        </w:rPr>
      </w:pPr>
    </w:p>
    <w:p w:rsidR="00DA6F8B" w:rsidRDefault="00DA6F8B" w:rsidP="00D208B9">
      <w:pPr>
        <w:spacing w:line="276" w:lineRule="auto"/>
        <w:jc w:val="center"/>
        <w:rPr>
          <w:rFonts w:ascii="Arial" w:hAnsi="Arial" w:cs="Arial"/>
          <w:b/>
        </w:rPr>
      </w:pPr>
    </w:p>
    <w:p w:rsidR="00CF1BFD" w:rsidRPr="001147CB" w:rsidRDefault="00CF1BFD" w:rsidP="00D208B9">
      <w:pPr>
        <w:spacing w:line="276" w:lineRule="auto"/>
        <w:jc w:val="center"/>
        <w:rPr>
          <w:rFonts w:ascii="Arial" w:hAnsi="Arial" w:cs="Arial"/>
          <w:b/>
        </w:rPr>
      </w:pPr>
      <w:r w:rsidRPr="001147CB">
        <w:rPr>
          <w:rFonts w:ascii="Arial" w:hAnsi="Arial" w:cs="Arial"/>
          <w:b/>
        </w:rPr>
        <w:t xml:space="preserve">NOTIFÍQUESE Y CÚMPLASE </w:t>
      </w:r>
    </w:p>
    <w:p w:rsidR="00CF1BFD" w:rsidRPr="001147CB" w:rsidRDefault="00CF1BFD" w:rsidP="00D208B9">
      <w:pPr>
        <w:spacing w:line="276" w:lineRule="auto"/>
        <w:jc w:val="center"/>
        <w:rPr>
          <w:rFonts w:ascii="Arial" w:hAnsi="Arial" w:cs="Arial"/>
          <w:b/>
        </w:rPr>
      </w:pPr>
    </w:p>
    <w:p w:rsidR="00081282" w:rsidRDefault="00081282" w:rsidP="00D208B9">
      <w:pPr>
        <w:spacing w:line="276" w:lineRule="auto"/>
        <w:rPr>
          <w:rFonts w:ascii="Arial" w:hAnsi="Arial" w:cs="Arial"/>
        </w:rPr>
      </w:pPr>
    </w:p>
    <w:p w:rsidR="00DA6F8B" w:rsidRDefault="00DA6F8B" w:rsidP="00D208B9">
      <w:pPr>
        <w:spacing w:line="276" w:lineRule="auto"/>
        <w:rPr>
          <w:rFonts w:ascii="Arial" w:hAnsi="Arial" w:cs="Arial"/>
        </w:rPr>
      </w:pPr>
    </w:p>
    <w:p w:rsidR="00DA6F8B" w:rsidRPr="001147CB" w:rsidRDefault="00DA6F8B" w:rsidP="00D208B9">
      <w:pPr>
        <w:spacing w:line="276" w:lineRule="auto"/>
        <w:rPr>
          <w:rFonts w:ascii="Arial" w:hAnsi="Arial" w:cs="Arial"/>
        </w:rPr>
      </w:pPr>
    </w:p>
    <w:p w:rsidR="00CF1BFD" w:rsidRPr="001147CB" w:rsidRDefault="00CF1BFD" w:rsidP="00D208B9">
      <w:pPr>
        <w:spacing w:line="276" w:lineRule="auto"/>
        <w:jc w:val="center"/>
        <w:rPr>
          <w:rFonts w:ascii="Arial" w:hAnsi="Arial" w:cs="Arial"/>
          <w:b/>
        </w:rPr>
      </w:pPr>
      <w:r w:rsidRPr="001147CB">
        <w:rPr>
          <w:rFonts w:ascii="Arial" w:hAnsi="Arial" w:cs="Arial"/>
          <w:b/>
        </w:rPr>
        <w:t xml:space="preserve">OLGA LUCÍA HOYOS SEPÚLVEDA </w:t>
      </w:r>
    </w:p>
    <w:p w:rsidR="001E3C3C" w:rsidRPr="001147CB" w:rsidRDefault="00CF1BFD" w:rsidP="00D208B9">
      <w:pPr>
        <w:spacing w:line="276" w:lineRule="auto"/>
        <w:jc w:val="center"/>
        <w:rPr>
          <w:rFonts w:ascii="Arial" w:hAnsi="Arial" w:cs="Arial"/>
        </w:rPr>
      </w:pPr>
      <w:r w:rsidRPr="001147CB">
        <w:rPr>
          <w:rFonts w:ascii="Arial" w:hAnsi="Arial" w:cs="Arial"/>
        </w:rPr>
        <w:t>Magistrada</w:t>
      </w:r>
    </w:p>
    <w:sectPr w:rsidR="001E3C3C" w:rsidRPr="001147CB" w:rsidSect="002637EC">
      <w:pgSz w:w="12242" w:h="18722" w:code="14"/>
      <w:pgMar w:top="1701" w:right="1701" w:bottom="1701" w:left="170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F18" w:rsidRDefault="00176F18" w:rsidP="00A40BAB">
      <w:r>
        <w:separator/>
      </w:r>
    </w:p>
  </w:endnote>
  <w:endnote w:type="continuationSeparator" w:id="0">
    <w:p w:rsidR="00176F18" w:rsidRDefault="00176F18" w:rsidP="00A40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F18" w:rsidRDefault="00176F18" w:rsidP="00A40BAB">
      <w:r>
        <w:separator/>
      </w:r>
    </w:p>
  </w:footnote>
  <w:footnote w:type="continuationSeparator" w:id="0">
    <w:p w:rsidR="00176F18" w:rsidRDefault="00176F18" w:rsidP="00A40B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FD"/>
    <w:rsid w:val="00007B57"/>
    <w:rsid w:val="0001087D"/>
    <w:rsid w:val="000239BB"/>
    <w:rsid w:val="0002532C"/>
    <w:rsid w:val="000413E9"/>
    <w:rsid w:val="00041CDE"/>
    <w:rsid w:val="00052936"/>
    <w:rsid w:val="00081282"/>
    <w:rsid w:val="00087E62"/>
    <w:rsid w:val="00096589"/>
    <w:rsid w:val="000A03EA"/>
    <w:rsid w:val="000A4F3A"/>
    <w:rsid w:val="000A537C"/>
    <w:rsid w:val="000A5612"/>
    <w:rsid w:val="000C569B"/>
    <w:rsid w:val="000F057A"/>
    <w:rsid w:val="000F25B9"/>
    <w:rsid w:val="001147CB"/>
    <w:rsid w:val="0012020F"/>
    <w:rsid w:val="00126D9D"/>
    <w:rsid w:val="00131586"/>
    <w:rsid w:val="00150BF8"/>
    <w:rsid w:val="0015258C"/>
    <w:rsid w:val="0016123A"/>
    <w:rsid w:val="001632BA"/>
    <w:rsid w:val="00176F18"/>
    <w:rsid w:val="00183B70"/>
    <w:rsid w:val="001C06BD"/>
    <w:rsid w:val="001C0862"/>
    <w:rsid w:val="001E3C3C"/>
    <w:rsid w:val="00213AA8"/>
    <w:rsid w:val="00235F5A"/>
    <w:rsid w:val="002413FA"/>
    <w:rsid w:val="0024202D"/>
    <w:rsid w:val="002637EC"/>
    <w:rsid w:val="00264228"/>
    <w:rsid w:val="00281093"/>
    <w:rsid w:val="00297B6D"/>
    <w:rsid w:val="002A3AC0"/>
    <w:rsid w:val="002A635A"/>
    <w:rsid w:val="002B2DF3"/>
    <w:rsid w:val="002D4B95"/>
    <w:rsid w:val="002F4B9F"/>
    <w:rsid w:val="00303498"/>
    <w:rsid w:val="00314558"/>
    <w:rsid w:val="003369A9"/>
    <w:rsid w:val="003660C1"/>
    <w:rsid w:val="0038680A"/>
    <w:rsid w:val="00396C09"/>
    <w:rsid w:val="003A76A8"/>
    <w:rsid w:val="003B3C69"/>
    <w:rsid w:val="003C4340"/>
    <w:rsid w:val="003E7AFF"/>
    <w:rsid w:val="00413D27"/>
    <w:rsid w:val="0042015D"/>
    <w:rsid w:val="004314A4"/>
    <w:rsid w:val="004412E2"/>
    <w:rsid w:val="00445EE3"/>
    <w:rsid w:val="004612EC"/>
    <w:rsid w:val="00475C88"/>
    <w:rsid w:val="004779F0"/>
    <w:rsid w:val="0048426C"/>
    <w:rsid w:val="00494EAB"/>
    <w:rsid w:val="004A4BBB"/>
    <w:rsid w:val="004D3FE6"/>
    <w:rsid w:val="004F2023"/>
    <w:rsid w:val="0050746B"/>
    <w:rsid w:val="005104B3"/>
    <w:rsid w:val="00513875"/>
    <w:rsid w:val="005138A5"/>
    <w:rsid w:val="00557593"/>
    <w:rsid w:val="00587302"/>
    <w:rsid w:val="005B6594"/>
    <w:rsid w:val="005B7C09"/>
    <w:rsid w:val="005C52DB"/>
    <w:rsid w:val="005C5438"/>
    <w:rsid w:val="005D2CDA"/>
    <w:rsid w:val="005D31AE"/>
    <w:rsid w:val="005D5395"/>
    <w:rsid w:val="005D58FD"/>
    <w:rsid w:val="005D764A"/>
    <w:rsid w:val="00606027"/>
    <w:rsid w:val="00621139"/>
    <w:rsid w:val="0062395F"/>
    <w:rsid w:val="006262BE"/>
    <w:rsid w:val="006443F1"/>
    <w:rsid w:val="00645825"/>
    <w:rsid w:val="00652E76"/>
    <w:rsid w:val="006703D8"/>
    <w:rsid w:val="00672543"/>
    <w:rsid w:val="006B7EFB"/>
    <w:rsid w:val="006C5E8D"/>
    <w:rsid w:val="00703F17"/>
    <w:rsid w:val="00716FB0"/>
    <w:rsid w:val="00721DD9"/>
    <w:rsid w:val="00751B21"/>
    <w:rsid w:val="00762ED0"/>
    <w:rsid w:val="0076368A"/>
    <w:rsid w:val="0076434D"/>
    <w:rsid w:val="00767D7D"/>
    <w:rsid w:val="007731F5"/>
    <w:rsid w:val="00797751"/>
    <w:rsid w:val="007A34F2"/>
    <w:rsid w:val="007A75C1"/>
    <w:rsid w:val="007B0E77"/>
    <w:rsid w:val="007B3BC0"/>
    <w:rsid w:val="007B47A7"/>
    <w:rsid w:val="007E0287"/>
    <w:rsid w:val="0081673A"/>
    <w:rsid w:val="008252C3"/>
    <w:rsid w:val="00826192"/>
    <w:rsid w:val="00842355"/>
    <w:rsid w:val="008577EF"/>
    <w:rsid w:val="0089554E"/>
    <w:rsid w:val="008C2B95"/>
    <w:rsid w:val="008E2D48"/>
    <w:rsid w:val="008E5A5F"/>
    <w:rsid w:val="008F33BD"/>
    <w:rsid w:val="00904458"/>
    <w:rsid w:val="009104E3"/>
    <w:rsid w:val="00911A0A"/>
    <w:rsid w:val="00912656"/>
    <w:rsid w:val="00913B9A"/>
    <w:rsid w:val="009326DF"/>
    <w:rsid w:val="009413DF"/>
    <w:rsid w:val="00986696"/>
    <w:rsid w:val="009B0E86"/>
    <w:rsid w:val="009C57C2"/>
    <w:rsid w:val="009D25BB"/>
    <w:rsid w:val="009D270C"/>
    <w:rsid w:val="009E4E9C"/>
    <w:rsid w:val="00A158F6"/>
    <w:rsid w:val="00A166D4"/>
    <w:rsid w:val="00A206E3"/>
    <w:rsid w:val="00A24FE7"/>
    <w:rsid w:val="00A2538B"/>
    <w:rsid w:val="00A40BAB"/>
    <w:rsid w:val="00A9172D"/>
    <w:rsid w:val="00AA1D3F"/>
    <w:rsid w:val="00AC244E"/>
    <w:rsid w:val="00AF35E9"/>
    <w:rsid w:val="00B05E33"/>
    <w:rsid w:val="00B243D6"/>
    <w:rsid w:val="00B378D3"/>
    <w:rsid w:val="00B4666B"/>
    <w:rsid w:val="00B54B7B"/>
    <w:rsid w:val="00B75C9D"/>
    <w:rsid w:val="00BB2C4D"/>
    <w:rsid w:val="00BB795D"/>
    <w:rsid w:val="00BC0229"/>
    <w:rsid w:val="00BD472C"/>
    <w:rsid w:val="00BF3408"/>
    <w:rsid w:val="00C041D2"/>
    <w:rsid w:val="00C0583B"/>
    <w:rsid w:val="00C105E5"/>
    <w:rsid w:val="00C11BAA"/>
    <w:rsid w:val="00C1251D"/>
    <w:rsid w:val="00C34443"/>
    <w:rsid w:val="00C3641C"/>
    <w:rsid w:val="00C44213"/>
    <w:rsid w:val="00C804DB"/>
    <w:rsid w:val="00C96DC5"/>
    <w:rsid w:val="00CC4DBC"/>
    <w:rsid w:val="00CD3202"/>
    <w:rsid w:val="00CE6877"/>
    <w:rsid w:val="00CF1BFD"/>
    <w:rsid w:val="00CF76A1"/>
    <w:rsid w:val="00D03979"/>
    <w:rsid w:val="00D156FB"/>
    <w:rsid w:val="00D208B9"/>
    <w:rsid w:val="00D44F8F"/>
    <w:rsid w:val="00D4549E"/>
    <w:rsid w:val="00D52923"/>
    <w:rsid w:val="00D607FD"/>
    <w:rsid w:val="00D615A3"/>
    <w:rsid w:val="00D8100D"/>
    <w:rsid w:val="00D939C3"/>
    <w:rsid w:val="00D9550C"/>
    <w:rsid w:val="00D973DF"/>
    <w:rsid w:val="00DA6F8B"/>
    <w:rsid w:val="00DB670D"/>
    <w:rsid w:val="00DC7B44"/>
    <w:rsid w:val="00DF1A84"/>
    <w:rsid w:val="00DF6713"/>
    <w:rsid w:val="00E120D1"/>
    <w:rsid w:val="00E12A32"/>
    <w:rsid w:val="00E177F1"/>
    <w:rsid w:val="00E45B00"/>
    <w:rsid w:val="00E5501D"/>
    <w:rsid w:val="00E65D93"/>
    <w:rsid w:val="00E7173D"/>
    <w:rsid w:val="00E912AA"/>
    <w:rsid w:val="00EA13C3"/>
    <w:rsid w:val="00EB5D37"/>
    <w:rsid w:val="00EC0D2E"/>
    <w:rsid w:val="00EC1EC1"/>
    <w:rsid w:val="00EE0CA2"/>
    <w:rsid w:val="00EE1D1C"/>
    <w:rsid w:val="00EF47EF"/>
    <w:rsid w:val="00F14F6A"/>
    <w:rsid w:val="00F32BAB"/>
    <w:rsid w:val="00F40AC4"/>
    <w:rsid w:val="00F41C10"/>
    <w:rsid w:val="00F41DDE"/>
    <w:rsid w:val="00F468C5"/>
    <w:rsid w:val="00F468EC"/>
    <w:rsid w:val="00F514E1"/>
    <w:rsid w:val="00F61053"/>
    <w:rsid w:val="00F7257F"/>
    <w:rsid w:val="00F85508"/>
    <w:rsid w:val="00F967A5"/>
    <w:rsid w:val="00FA25BA"/>
    <w:rsid w:val="00FD01E1"/>
    <w:rsid w:val="00FE0FA7"/>
    <w:rsid w:val="00FE5775"/>
    <w:rsid w:val="00FF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3BC2501D-24A0-4CCC-9E77-5E5C4E07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1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CF1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1BF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1BF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A40B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40BA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40B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BA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50746B"/>
    <w:pPr>
      <w:overflowPunct w:val="0"/>
      <w:autoSpaceDE w:val="0"/>
      <w:autoSpaceDN w:val="0"/>
      <w:adjustRightInd w:val="0"/>
      <w:spacing w:line="360" w:lineRule="auto"/>
      <w:ind w:firstLine="710"/>
      <w:jc w:val="both"/>
      <w:textAlignment w:val="baseline"/>
    </w:pPr>
    <w:rPr>
      <w:rFonts w:ascii="Arial" w:hAnsi="Arial"/>
      <w:szCs w:val="20"/>
      <w:lang w:val="es-CO"/>
    </w:rPr>
  </w:style>
  <w:style w:type="character" w:customStyle="1" w:styleId="apple-converted-space">
    <w:name w:val="apple-converted-space"/>
    <w:basedOn w:val="Fuentedeprrafopredeter"/>
    <w:rsid w:val="00183B70"/>
  </w:style>
  <w:style w:type="character" w:styleId="Hipervnculo">
    <w:name w:val="Hyperlink"/>
    <w:basedOn w:val="Fuentedeprrafopredeter"/>
    <w:uiPriority w:val="99"/>
    <w:unhideWhenUsed/>
    <w:rsid w:val="006B7EFB"/>
    <w:rPr>
      <w:color w:val="0000FF" w:themeColor="hyperlink"/>
      <w:u w:val="single"/>
    </w:rPr>
  </w:style>
  <w:style w:type="character" w:customStyle="1" w:styleId="SinespaciadoCar">
    <w:name w:val="Sin espaciado Car"/>
    <w:link w:val="Sinespaciado"/>
    <w:uiPriority w:val="1"/>
    <w:locked/>
    <w:rsid w:val="003A76A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1101A-78C8-44FD-A480-4AC3AD9F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soporte-pc</dc:creator>
  <cp:lastModifiedBy>Henry Lora Rodriguez</cp:lastModifiedBy>
  <cp:revision>10</cp:revision>
  <cp:lastPrinted>2017-12-15T12:18:00Z</cp:lastPrinted>
  <dcterms:created xsi:type="dcterms:W3CDTF">2017-12-14T16:01:00Z</dcterms:created>
  <dcterms:modified xsi:type="dcterms:W3CDTF">2018-01-24T19:26:00Z</dcterms:modified>
</cp:coreProperties>
</file>