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79C8" w14:textId="77777777" w:rsidR="0082553C" w:rsidRPr="00FC5069" w:rsidRDefault="0082553C" w:rsidP="0082553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bookmarkStart w:id="0" w:name="_GoBack"/>
      <w:r w:rsidRPr="00FC506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C5069">
        <w:rPr>
          <w:rFonts w:ascii="Calibri" w:eastAsia="Calibri" w:hAnsi="Calibri" w:cs="Calibri"/>
          <w:color w:val="222222"/>
          <w:sz w:val="18"/>
          <w:szCs w:val="18"/>
          <w:lang w:val="es-CO" w:eastAsia="fr-FR"/>
        </w:rPr>
        <w:t> </w:t>
      </w:r>
    </w:p>
    <w:p w14:paraId="544BE504" w14:textId="6FDA8DDD" w:rsidR="0082553C" w:rsidRPr="00FC5069" w:rsidRDefault="0082553C" w:rsidP="0082553C">
      <w:pPr>
        <w:shd w:val="clear" w:color="auto" w:fill="FFFFFF"/>
        <w:spacing w:line="240" w:lineRule="auto"/>
        <w:ind w:left="2124" w:hanging="2124"/>
        <w:rPr>
          <w:rFonts w:ascii="Calibri" w:hAnsi="Calibri" w:cs="Calibri"/>
          <w:color w:val="222222"/>
          <w:sz w:val="18"/>
          <w:szCs w:val="18"/>
          <w:lang w:val="es-CO" w:eastAsia="fr-FR"/>
        </w:rPr>
      </w:pPr>
      <w:r w:rsidRPr="00FC5069">
        <w:rPr>
          <w:rFonts w:ascii="Calibri" w:hAnsi="Calibri" w:cs="Calibri"/>
          <w:color w:val="222222"/>
          <w:sz w:val="18"/>
          <w:szCs w:val="18"/>
          <w:lang w:val="es-CO" w:eastAsia="fr-FR"/>
        </w:rPr>
        <w:t>Providencia:</w:t>
      </w:r>
      <w:r w:rsidRPr="00FC5069">
        <w:rPr>
          <w:rFonts w:ascii="Calibri" w:hAnsi="Calibri" w:cs="Calibri"/>
          <w:color w:val="222222"/>
          <w:sz w:val="18"/>
          <w:szCs w:val="18"/>
          <w:lang w:val="es-CO" w:eastAsia="fr-FR"/>
        </w:rPr>
        <w:tab/>
      </w:r>
      <w:r>
        <w:rPr>
          <w:rFonts w:ascii="Calibri" w:hAnsi="Calibri" w:cs="Calibri"/>
          <w:color w:val="222222"/>
          <w:sz w:val="18"/>
          <w:szCs w:val="18"/>
          <w:lang w:val="es-CO" w:eastAsia="fr-FR"/>
        </w:rPr>
        <w:t>Sentencia</w:t>
      </w:r>
      <w:r w:rsidRPr="00FC5069">
        <w:rPr>
          <w:rFonts w:ascii="Calibri" w:hAnsi="Calibri" w:cs="Calibri"/>
          <w:color w:val="222222"/>
          <w:sz w:val="18"/>
          <w:szCs w:val="18"/>
          <w:lang w:val="es-CO" w:eastAsia="fr-FR"/>
        </w:rPr>
        <w:t xml:space="preserve"> - 2ª instancia - 3</w:t>
      </w:r>
      <w:r>
        <w:rPr>
          <w:rFonts w:ascii="Calibri" w:hAnsi="Calibri" w:cs="Calibri"/>
          <w:color w:val="222222"/>
          <w:sz w:val="18"/>
          <w:szCs w:val="18"/>
          <w:lang w:val="es-CO" w:eastAsia="fr-FR"/>
        </w:rPr>
        <w:t>1</w:t>
      </w:r>
      <w:r w:rsidRPr="00FC5069">
        <w:rPr>
          <w:rFonts w:ascii="Calibri" w:hAnsi="Calibri" w:cs="Calibri"/>
          <w:color w:val="222222"/>
          <w:sz w:val="18"/>
          <w:szCs w:val="18"/>
          <w:lang w:val="es-CO" w:eastAsia="fr-FR"/>
        </w:rPr>
        <w:t xml:space="preserve"> de mayo de 2017 </w:t>
      </w:r>
    </w:p>
    <w:p w14:paraId="7E9DB1ED" w14:textId="33AFC09A" w:rsidR="0082553C" w:rsidRPr="00FC5069" w:rsidRDefault="0082553C" w:rsidP="0082553C">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FC5069">
        <w:rPr>
          <w:rFonts w:ascii="Calibri" w:eastAsia="Calibri" w:hAnsi="Calibri" w:cs="Calibri"/>
          <w:color w:val="222222"/>
          <w:sz w:val="18"/>
          <w:szCs w:val="18"/>
          <w:lang w:val="es-MX" w:eastAsia="fr-FR"/>
        </w:rPr>
        <w:t xml:space="preserve">Proceso: </w:t>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t xml:space="preserve"> </w:t>
      </w:r>
      <w:r w:rsidRPr="00FC5069">
        <w:rPr>
          <w:rFonts w:ascii="Calibri" w:eastAsia="Calibri" w:hAnsi="Calibri" w:cs="Calibri"/>
          <w:color w:val="222222"/>
          <w:sz w:val="18"/>
          <w:szCs w:val="18"/>
          <w:lang w:val="es-MX" w:eastAsia="fr-FR"/>
        </w:rPr>
        <w:tab/>
        <w:t xml:space="preserve">Penal – </w:t>
      </w:r>
      <w:r>
        <w:rPr>
          <w:rFonts w:ascii="Calibri" w:eastAsia="Calibri" w:hAnsi="Calibri" w:cs="Calibri"/>
          <w:color w:val="222222"/>
          <w:sz w:val="18"/>
          <w:szCs w:val="18"/>
          <w:lang w:val="es-MX" w:eastAsia="fr-FR"/>
        </w:rPr>
        <w:t>Confirma parcialmente y modifica condena</w:t>
      </w:r>
    </w:p>
    <w:p w14:paraId="02BFCB62" w14:textId="28450ABB" w:rsidR="0082553C" w:rsidRPr="00FC5069" w:rsidRDefault="0082553C" w:rsidP="0082553C">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C5069">
        <w:rPr>
          <w:rFonts w:ascii="Calibri" w:eastAsia="Calibri" w:hAnsi="Calibri" w:cs="Calibri"/>
          <w:color w:val="222222"/>
          <w:sz w:val="18"/>
          <w:szCs w:val="18"/>
          <w:lang w:val="es-CO" w:eastAsia="fr-FR"/>
        </w:rPr>
        <w:t>Radicación Nro. :</w:t>
      </w:r>
      <w:r w:rsidRPr="00FC5069">
        <w:rPr>
          <w:rFonts w:ascii="Calibri" w:eastAsia="Calibri" w:hAnsi="Calibri" w:cs="Calibri"/>
          <w:color w:val="222222"/>
          <w:sz w:val="18"/>
          <w:szCs w:val="18"/>
          <w:lang w:val="es-CO" w:eastAsia="fr-FR"/>
        </w:rPr>
        <w:tab/>
        <w:t xml:space="preserve">  </w:t>
      </w:r>
      <w:r w:rsidRPr="00FC5069">
        <w:rPr>
          <w:rFonts w:ascii="Calibri" w:eastAsia="Calibri" w:hAnsi="Calibri" w:cs="Calibri"/>
          <w:color w:val="222222"/>
          <w:sz w:val="18"/>
          <w:szCs w:val="18"/>
          <w:lang w:val="es-CO" w:eastAsia="fr-FR"/>
        </w:rPr>
        <w:tab/>
        <w:t xml:space="preserve"> </w:t>
      </w:r>
      <w:r w:rsidRPr="0082553C">
        <w:rPr>
          <w:rFonts w:ascii="Calibri" w:eastAsia="Calibri" w:hAnsi="Calibri" w:cs="Calibri"/>
          <w:color w:val="222222"/>
          <w:sz w:val="18"/>
          <w:szCs w:val="18"/>
          <w:lang w:val="es-MX" w:eastAsia="fr-FR"/>
        </w:rPr>
        <w:t>660016000000 2017 00028 01</w:t>
      </w:r>
    </w:p>
    <w:p w14:paraId="12EA32DD" w14:textId="794E3C83" w:rsidR="0082553C" w:rsidRPr="00FC5069" w:rsidRDefault="0082553C" w:rsidP="0082553C">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C5069">
        <w:rPr>
          <w:rFonts w:ascii="Calibri" w:eastAsia="Calibri" w:hAnsi="Calibri" w:cs="Calibri"/>
          <w:color w:val="222222"/>
          <w:sz w:val="18"/>
          <w:szCs w:val="18"/>
          <w:lang w:eastAsia="fr-FR"/>
        </w:rPr>
        <w:t>Procesado</w:t>
      </w:r>
      <w:r w:rsidRPr="00FC5069">
        <w:rPr>
          <w:rFonts w:ascii="Calibri" w:eastAsia="Calibri" w:hAnsi="Calibri" w:cs="Calibri"/>
          <w:color w:val="222222"/>
          <w:sz w:val="18"/>
          <w:szCs w:val="18"/>
          <w:lang w:val="es-MX" w:eastAsia="fr-FR"/>
        </w:rPr>
        <w:t xml:space="preserve">: </w:t>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Pr>
          <w:rFonts w:ascii="Calibri" w:eastAsia="Calibri" w:hAnsi="Calibri" w:cs="Calibri"/>
          <w:color w:val="222222"/>
          <w:sz w:val="18"/>
          <w:szCs w:val="18"/>
          <w:lang w:eastAsia="fr-FR"/>
        </w:rPr>
        <w:t>JULIO CESAR OSPINA CHAVARRO</w:t>
      </w:r>
    </w:p>
    <w:p w14:paraId="3DAE0DF9" w14:textId="77777777" w:rsidR="0082553C" w:rsidRDefault="0082553C" w:rsidP="0082553C">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C5069">
        <w:rPr>
          <w:rFonts w:ascii="Calibri" w:eastAsia="Calibri" w:hAnsi="Calibri" w:cs="Calibri"/>
          <w:color w:val="222222"/>
          <w:sz w:val="18"/>
          <w:szCs w:val="18"/>
          <w:lang w:val="es-MX" w:eastAsia="fr-FR"/>
        </w:rPr>
        <w:t xml:space="preserve">Magistrado Sustanciador: </w:t>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t>JORGE ARTURO CASTAÑO DUQUE</w:t>
      </w:r>
    </w:p>
    <w:p w14:paraId="595AD116" w14:textId="77777777" w:rsidR="0082553C" w:rsidRPr="00FC5069" w:rsidRDefault="0082553C" w:rsidP="0082553C">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14:paraId="0B66CEE6" w14:textId="46D74CFA" w:rsidR="0082553C" w:rsidRPr="005D029D" w:rsidRDefault="0082553C" w:rsidP="0082553C">
      <w:pPr>
        <w:spacing w:line="240" w:lineRule="auto"/>
        <w:rPr>
          <w:rFonts w:ascii="Calibri" w:hAnsi="Calibri" w:cs="Calibri"/>
          <w:sz w:val="18"/>
          <w:szCs w:val="18"/>
          <w:lang w:val="es-MX"/>
        </w:rPr>
      </w:pPr>
      <w:r w:rsidRPr="00FC5069">
        <w:rPr>
          <w:rFonts w:ascii="Calibri" w:eastAsia="Calibri" w:hAnsi="Calibri" w:cs="Calibri"/>
          <w:b/>
          <w:bCs/>
          <w:color w:val="222222"/>
          <w:sz w:val="18"/>
          <w:szCs w:val="18"/>
          <w:lang w:val="es-CO" w:eastAsia="fr-FR"/>
        </w:rPr>
        <w:t>Temas:</w:t>
      </w:r>
      <w:r w:rsidRPr="00FC5069">
        <w:rPr>
          <w:rFonts w:ascii="Calibri" w:eastAsia="Calibri" w:hAnsi="Calibri" w:cs="Calibri"/>
          <w:b/>
          <w:bCs/>
          <w:color w:val="222222"/>
          <w:sz w:val="18"/>
          <w:szCs w:val="18"/>
          <w:lang w:val="es-CO" w:eastAsia="fr-FR"/>
        </w:rPr>
        <w:tab/>
      </w:r>
      <w:r w:rsidR="00B25DDF" w:rsidRPr="0084697E">
        <w:rPr>
          <w:sz w:val="12"/>
          <w:szCs w:val="12"/>
        </w:rPr>
        <w:t xml:space="preserve">                  </w:t>
      </w:r>
      <w:r>
        <w:rPr>
          <w:sz w:val="12"/>
          <w:szCs w:val="12"/>
        </w:rPr>
        <w:t xml:space="preserve">                     </w:t>
      </w:r>
      <w:r w:rsidRPr="005D029D">
        <w:rPr>
          <w:rFonts w:ascii="Calibri" w:hAnsi="Calibri" w:cs="Calibri"/>
          <w:b/>
          <w:sz w:val="18"/>
          <w:szCs w:val="18"/>
        </w:rPr>
        <w:t xml:space="preserve">CONCIERTO PARA DELINQUIR CON FINES DE NARCOTRÁFICO Y TRÁFICO DE </w:t>
      </w:r>
      <w:bookmarkEnd w:id="0"/>
      <w:r w:rsidRPr="005D029D">
        <w:rPr>
          <w:rFonts w:ascii="Calibri" w:hAnsi="Calibri" w:cs="Calibri"/>
          <w:b/>
          <w:sz w:val="18"/>
          <w:szCs w:val="18"/>
        </w:rPr>
        <w:t xml:space="preserve">ESTUPEFACIENTES / MODULACIÓN INHABILIDAD. </w:t>
      </w:r>
      <w:r w:rsidRPr="005D029D">
        <w:rPr>
          <w:rFonts w:ascii="Calibri" w:hAnsi="Calibri" w:cs="Calibri"/>
          <w:sz w:val="18"/>
          <w:szCs w:val="18"/>
        </w:rPr>
        <w:t xml:space="preserve">[L]a inhabilidad intemporal o perpetua, no opera solo para servidores públicos que cometan delitos contra el patrimonio del Estado, como lo entiende el señor juez a quo con fundamento en la regla 51 C.P., sino también por los restantes delitos ampliados con la reforma constitucional cometidos tanto por servidores públicos como por particulares. Y así tiene que entenderse, so pena de dejar el intérprete vacío de contenido el cambio surtido en esa materia a nivel constitucional. (…) </w:t>
      </w:r>
      <w:r w:rsidRPr="005D029D">
        <w:rPr>
          <w:rFonts w:ascii="Calibri" w:hAnsi="Calibri" w:cs="Calibri"/>
          <w:sz w:val="18"/>
          <w:szCs w:val="18"/>
          <w:lang w:val="es-MX"/>
        </w:rPr>
        <w:t xml:space="preserve">Así las cosas, la Sala acogerá los planteamientos esbozados por el delegado del Ministerio Público, y en consecuencia modificará parcialmente el fallo confutado, en el sentido de imponer la inhabilidad en el ejercicio de derecho y funciones públicas al sentenciado, pero modulada en los siguientes términos: </w:t>
      </w:r>
      <w:r w:rsidRPr="005D029D">
        <w:rPr>
          <w:rFonts w:ascii="Calibri" w:hAnsi="Calibri" w:cs="Calibri"/>
          <w:sz w:val="18"/>
          <w:szCs w:val="18"/>
        </w:rPr>
        <w:t>El inciso 5º del artículo 122 C.N. modificado por el artículo 4º del Acto Legislativo 01 de 2009 consignó la inhabilidad perpetua para aspirar a cargos de elección popular, desempeñarse como servidor público, y contratar con el Estado; es decir, que una de las hipótesis de la inhabilidad está relacionada con la pérdida del derecho a ser elegido, pero en ningún momento se hace referencia a la pérdida del derecho al voto o de los derechos inherentes al ejercicio al sufragio. En consecuencia, la sanción intemporal o perenne que le correspondería purgar al procesado 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p>
    <w:p w14:paraId="527EA676" w14:textId="77777777" w:rsidR="0082553C" w:rsidRPr="005D029D" w:rsidRDefault="0082553C" w:rsidP="0082553C">
      <w:pPr>
        <w:spacing w:line="240" w:lineRule="auto"/>
        <w:rPr>
          <w:rFonts w:ascii="Calibri" w:hAnsi="Calibri" w:cs="Calibri"/>
          <w:b/>
          <w:sz w:val="18"/>
          <w:szCs w:val="18"/>
          <w:lang w:val="es-MX"/>
        </w:rPr>
      </w:pPr>
    </w:p>
    <w:p w14:paraId="15CF65D8" w14:textId="77777777" w:rsidR="0082553C" w:rsidRPr="0084697E" w:rsidRDefault="0082553C" w:rsidP="0082553C">
      <w:pPr>
        <w:spacing w:line="240" w:lineRule="auto"/>
        <w:rPr>
          <w:sz w:val="12"/>
          <w:szCs w:val="12"/>
        </w:rPr>
      </w:pPr>
    </w:p>
    <w:p w14:paraId="3F2AF08A" w14:textId="77777777" w:rsidR="00570B8B" w:rsidRPr="0084697E" w:rsidRDefault="00570B8B" w:rsidP="00B16917">
      <w:pPr>
        <w:spacing w:line="240" w:lineRule="auto"/>
        <w:rPr>
          <w:sz w:val="12"/>
          <w:szCs w:val="12"/>
        </w:rPr>
      </w:pPr>
    </w:p>
    <w:p w14:paraId="2CD22A76" w14:textId="4868156B" w:rsidR="00B25DDF" w:rsidRPr="0084697E" w:rsidRDefault="00570B8B" w:rsidP="00B16917">
      <w:pPr>
        <w:spacing w:line="240" w:lineRule="auto"/>
        <w:rPr>
          <w:b/>
          <w:sz w:val="12"/>
          <w:szCs w:val="12"/>
        </w:rPr>
      </w:pPr>
      <w:r w:rsidRPr="0084697E">
        <w:rPr>
          <w:sz w:val="12"/>
          <w:szCs w:val="12"/>
        </w:rPr>
        <w:t xml:space="preserve">                                                                                </w:t>
      </w:r>
      <w:r w:rsidR="0084697E">
        <w:rPr>
          <w:sz w:val="12"/>
          <w:szCs w:val="12"/>
        </w:rPr>
        <w:t xml:space="preserve">     </w:t>
      </w:r>
      <w:r w:rsidR="00B25DDF" w:rsidRPr="0084697E">
        <w:rPr>
          <w:b/>
          <w:sz w:val="12"/>
          <w:szCs w:val="12"/>
        </w:rPr>
        <w:t>REPÚBLICA DE COLOMBIA</w:t>
      </w:r>
    </w:p>
    <w:p w14:paraId="15B3ABFD" w14:textId="5C0A8E20" w:rsidR="00B25DDF" w:rsidRPr="0084697E" w:rsidRDefault="00B25DDF" w:rsidP="00B16917">
      <w:pPr>
        <w:spacing w:line="240" w:lineRule="auto"/>
        <w:rPr>
          <w:b/>
          <w:sz w:val="12"/>
          <w:szCs w:val="12"/>
        </w:rPr>
      </w:pPr>
      <w:r w:rsidRPr="0084697E">
        <w:rPr>
          <w:b/>
          <w:sz w:val="12"/>
          <w:szCs w:val="12"/>
        </w:rPr>
        <w:t xml:space="preserve">                                                              </w:t>
      </w:r>
      <w:r w:rsidR="00B33D4A" w:rsidRPr="0084697E">
        <w:rPr>
          <w:b/>
          <w:sz w:val="12"/>
          <w:szCs w:val="12"/>
        </w:rPr>
        <w:t xml:space="preserve">                               </w:t>
      </w:r>
      <w:r w:rsidR="0084697E">
        <w:rPr>
          <w:b/>
          <w:sz w:val="12"/>
          <w:szCs w:val="12"/>
        </w:rPr>
        <w:t xml:space="preserve"> </w:t>
      </w:r>
      <w:r w:rsidRPr="0084697E">
        <w:rPr>
          <w:b/>
          <w:sz w:val="12"/>
          <w:szCs w:val="12"/>
        </w:rPr>
        <w:t>PEREIRA-RISARALDA</w:t>
      </w:r>
    </w:p>
    <w:p w14:paraId="28D9C873" w14:textId="14743027" w:rsidR="00B25DDF" w:rsidRPr="0084697E" w:rsidRDefault="005D029D" w:rsidP="00B16917">
      <w:pPr>
        <w:tabs>
          <w:tab w:val="left" w:pos="3090"/>
        </w:tabs>
        <w:spacing w:line="240" w:lineRule="auto"/>
        <w:rPr>
          <w:sz w:val="12"/>
          <w:szCs w:val="12"/>
        </w:rPr>
      </w:pPr>
      <w:r>
        <w:rPr>
          <w:b/>
          <w:iCs/>
          <w:noProof/>
          <w:sz w:val="12"/>
          <w:szCs w:val="12"/>
        </w:rPr>
        <w:pict w14:anchorId="1EE90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0;text-align:left;margin-left:167.5pt;margin-top:22.15pt;width:61.25pt;height:41.9pt;z-index:-1;visibility:visible">
            <v:imagedata r:id="rId9" o:title="" grayscale="t"/>
            <w10:wrap type="topAndBottom"/>
          </v:shape>
        </w:pict>
      </w:r>
      <w:r w:rsidR="00B25DDF" w:rsidRPr="0084697E">
        <w:rPr>
          <w:b/>
          <w:sz w:val="12"/>
          <w:szCs w:val="12"/>
        </w:rPr>
        <w:t xml:space="preserve">                                                                                                </w:t>
      </w:r>
      <w:r w:rsidR="0008068F" w:rsidRPr="0084697E">
        <w:rPr>
          <w:b/>
          <w:sz w:val="12"/>
          <w:szCs w:val="12"/>
        </w:rPr>
        <w:t xml:space="preserve"> </w:t>
      </w:r>
      <w:r w:rsidR="00B25DDF" w:rsidRPr="0084697E">
        <w:rPr>
          <w:b/>
          <w:sz w:val="12"/>
          <w:szCs w:val="12"/>
        </w:rPr>
        <w:t xml:space="preserve">  RAMA JUDICIAL</w:t>
      </w:r>
    </w:p>
    <w:p w14:paraId="45EBBED1" w14:textId="77777777" w:rsidR="00B25DDF" w:rsidRPr="0084697E" w:rsidRDefault="00B25DDF" w:rsidP="00B16917">
      <w:pPr>
        <w:spacing w:line="240" w:lineRule="auto"/>
        <w:jc w:val="center"/>
        <w:rPr>
          <w:rFonts w:ascii="Algerian" w:hAnsi="Algerian"/>
          <w:sz w:val="28"/>
          <w:szCs w:val="28"/>
        </w:rPr>
      </w:pPr>
      <w:r w:rsidRPr="0084697E">
        <w:rPr>
          <w:rFonts w:ascii="Algerian" w:hAnsi="Algerian"/>
          <w:smallCaps/>
          <w:color w:val="000000"/>
          <w:sz w:val="28"/>
          <w:szCs w:val="28"/>
        </w:rPr>
        <w:t>TRIBUNAL SUPERIOR DE PEREIRA</w:t>
      </w:r>
    </w:p>
    <w:p w14:paraId="00042601" w14:textId="77777777" w:rsidR="00B25DDF" w:rsidRPr="0084697E" w:rsidRDefault="00AC351E" w:rsidP="00AC351E">
      <w:pPr>
        <w:pStyle w:val="Corpsdetexte3"/>
        <w:tabs>
          <w:tab w:val="left" w:pos="1202"/>
          <w:tab w:val="center" w:pos="4420"/>
          <w:tab w:val="right" w:pos="8840"/>
        </w:tabs>
        <w:spacing w:line="240" w:lineRule="auto"/>
        <w:jc w:val="left"/>
        <w:rPr>
          <w:rFonts w:ascii="Algerian" w:hAnsi="Algerian"/>
          <w:sz w:val="28"/>
          <w:szCs w:val="28"/>
        </w:rPr>
      </w:pPr>
      <w:r w:rsidRPr="0084697E">
        <w:rPr>
          <w:rFonts w:ascii="Algerian" w:hAnsi="Algerian"/>
          <w:sz w:val="28"/>
          <w:szCs w:val="28"/>
        </w:rPr>
        <w:tab/>
      </w:r>
      <w:r w:rsidRPr="0084697E">
        <w:rPr>
          <w:rFonts w:ascii="Algerian" w:hAnsi="Algerian"/>
          <w:sz w:val="28"/>
          <w:szCs w:val="28"/>
        </w:rPr>
        <w:tab/>
      </w:r>
      <w:r w:rsidR="00B25DDF" w:rsidRPr="0084697E">
        <w:rPr>
          <w:rFonts w:ascii="Algerian" w:hAnsi="Algerian"/>
          <w:sz w:val="28"/>
          <w:szCs w:val="28"/>
        </w:rPr>
        <w:t>SALA de decisión PENAL</w:t>
      </w:r>
      <w:r w:rsidRPr="0084697E">
        <w:rPr>
          <w:rFonts w:ascii="Algerian" w:hAnsi="Algerian"/>
          <w:sz w:val="28"/>
          <w:szCs w:val="28"/>
        </w:rPr>
        <w:tab/>
      </w:r>
    </w:p>
    <w:p w14:paraId="3A32B22E" w14:textId="77777777" w:rsidR="00B25DDF" w:rsidRPr="0084697E" w:rsidRDefault="00B25DDF" w:rsidP="00B16917">
      <w:pPr>
        <w:spacing w:line="240" w:lineRule="auto"/>
        <w:jc w:val="center"/>
      </w:pPr>
      <w:r w:rsidRPr="0084697E">
        <w:t>Magistrado Ponente</w:t>
      </w:r>
    </w:p>
    <w:p w14:paraId="45EA62EF" w14:textId="77777777" w:rsidR="00B25DDF" w:rsidRPr="0084697E" w:rsidRDefault="00B25DDF" w:rsidP="00B16917">
      <w:pPr>
        <w:spacing w:line="240" w:lineRule="auto"/>
        <w:jc w:val="center"/>
        <w:rPr>
          <w:sz w:val="24"/>
          <w:szCs w:val="24"/>
        </w:rPr>
      </w:pPr>
      <w:r w:rsidRPr="0084697E">
        <w:rPr>
          <w:sz w:val="24"/>
          <w:szCs w:val="24"/>
        </w:rPr>
        <w:t xml:space="preserve"> JORGE ARTURO CASTAÑO DUQUE</w:t>
      </w:r>
    </w:p>
    <w:p w14:paraId="4BE23275" w14:textId="77777777" w:rsidR="00B25DDF" w:rsidRPr="0084697E" w:rsidRDefault="00B25DDF" w:rsidP="00B16917">
      <w:pPr>
        <w:spacing w:line="240" w:lineRule="auto"/>
      </w:pPr>
      <w:r w:rsidRPr="0084697E">
        <w:t xml:space="preserve">                                                 </w:t>
      </w:r>
    </w:p>
    <w:p w14:paraId="3FB67EDB" w14:textId="77777777" w:rsidR="00FE7AA3" w:rsidRPr="0084697E" w:rsidRDefault="00FE7AA3" w:rsidP="00B16917">
      <w:pPr>
        <w:spacing w:line="240" w:lineRule="auto"/>
      </w:pPr>
    </w:p>
    <w:p w14:paraId="572D74EB" w14:textId="39DD5A6C" w:rsidR="00B25DDF" w:rsidRPr="0084697E" w:rsidRDefault="00EE5EA2" w:rsidP="00B16917">
      <w:pPr>
        <w:spacing w:line="240" w:lineRule="auto"/>
        <w:jc w:val="center"/>
      </w:pPr>
      <w:r w:rsidRPr="0084697E">
        <w:t xml:space="preserve">    Pereira,</w:t>
      </w:r>
      <w:r w:rsidR="005D2A63" w:rsidRPr="0084697E">
        <w:t xml:space="preserve"> treinta y uno </w:t>
      </w:r>
      <w:r w:rsidRPr="0084697E">
        <w:t>(</w:t>
      </w:r>
      <w:r w:rsidR="005D2A63" w:rsidRPr="0084697E">
        <w:t>31</w:t>
      </w:r>
      <w:r w:rsidR="00B25DDF" w:rsidRPr="0084697E">
        <w:t>) d</w:t>
      </w:r>
      <w:r w:rsidRPr="0084697E">
        <w:t xml:space="preserve">e </w:t>
      </w:r>
      <w:r w:rsidR="006C0B3B" w:rsidRPr="0084697E">
        <w:t xml:space="preserve">mayo </w:t>
      </w:r>
      <w:r w:rsidR="00B25DDF" w:rsidRPr="0084697E">
        <w:t xml:space="preserve">de dos mil </w:t>
      </w:r>
      <w:r w:rsidR="00900F1E" w:rsidRPr="0084697E">
        <w:t>diecis</w:t>
      </w:r>
      <w:r w:rsidR="002F167D" w:rsidRPr="0084697E">
        <w:t>iete</w:t>
      </w:r>
      <w:r w:rsidR="00900F1E" w:rsidRPr="0084697E">
        <w:t xml:space="preserve"> </w:t>
      </w:r>
      <w:r w:rsidR="00A44512" w:rsidRPr="0084697E">
        <w:t>(201</w:t>
      </w:r>
      <w:r w:rsidR="002F167D" w:rsidRPr="0084697E">
        <w:t>7</w:t>
      </w:r>
      <w:r w:rsidR="00B25DDF" w:rsidRPr="0084697E">
        <w:t>)</w:t>
      </w:r>
    </w:p>
    <w:p w14:paraId="05EB41A7" w14:textId="77777777" w:rsidR="00B25DDF" w:rsidRPr="0084697E" w:rsidRDefault="00B25DDF" w:rsidP="00B16917">
      <w:pPr>
        <w:spacing w:line="240" w:lineRule="auto"/>
        <w:jc w:val="center"/>
      </w:pPr>
    </w:p>
    <w:p w14:paraId="64BCDC1F" w14:textId="7BE2AE42" w:rsidR="00B25DDF" w:rsidRPr="0084697E" w:rsidRDefault="00B25DDF" w:rsidP="00B16917">
      <w:pPr>
        <w:spacing w:line="240" w:lineRule="auto"/>
        <w:jc w:val="center"/>
        <w:rPr>
          <w:sz w:val="24"/>
          <w:szCs w:val="24"/>
        </w:rPr>
      </w:pPr>
      <w:r w:rsidRPr="0084697E">
        <w:rPr>
          <w:sz w:val="22"/>
          <w:szCs w:val="22"/>
        </w:rPr>
        <w:t xml:space="preserve">  </w:t>
      </w:r>
      <w:r w:rsidR="00F77DCE" w:rsidRPr="0084697E">
        <w:rPr>
          <w:sz w:val="24"/>
          <w:szCs w:val="24"/>
        </w:rPr>
        <w:t xml:space="preserve">ACTA DE APROBACIÓN N° </w:t>
      </w:r>
      <w:r w:rsidR="005D2A63" w:rsidRPr="0084697E">
        <w:rPr>
          <w:sz w:val="24"/>
          <w:szCs w:val="24"/>
        </w:rPr>
        <w:t>486</w:t>
      </w:r>
    </w:p>
    <w:p w14:paraId="3C557751" w14:textId="77777777" w:rsidR="00B25DDF" w:rsidRPr="0084697E" w:rsidRDefault="00B25DDF" w:rsidP="00B16917">
      <w:pPr>
        <w:spacing w:line="240" w:lineRule="auto"/>
        <w:jc w:val="center"/>
        <w:rPr>
          <w:sz w:val="24"/>
          <w:szCs w:val="24"/>
        </w:rPr>
      </w:pPr>
      <w:r w:rsidRPr="0084697E">
        <w:rPr>
          <w:sz w:val="24"/>
          <w:szCs w:val="24"/>
        </w:rPr>
        <w:t xml:space="preserve">  SEGUNDA INSTANCIA</w:t>
      </w:r>
    </w:p>
    <w:p w14:paraId="35CF210A" w14:textId="77777777" w:rsidR="00B25DDF" w:rsidRPr="0084697E" w:rsidRDefault="00B25DDF" w:rsidP="00B16917">
      <w:pPr>
        <w:spacing w:line="240" w:lineRule="auto"/>
        <w:rPr>
          <w:lang w:val="es-CO"/>
        </w:rPr>
      </w:pPr>
    </w:p>
    <w:p w14:paraId="66334277" w14:textId="77777777" w:rsidR="00FE7AA3" w:rsidRPr="0084697E" w:rsidRDefault="00FE7AA3" w:rsidP="00B16917">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84697E" w14:paraId="71DFCDD2"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5789B428" w14:textId="77777777" w:rsidR="00B25DDF" w:rsidRPr="0084697E" w:rsidRDefault="00B25DDF" w:rsidP="00B16917">
            <w:pPr>
              <w:pStyle w:val="Tablaidentificadora"/>
              <w:rPr>
                <w:szCs w:val="24"/>
              </w:rPr>
            </w:pPr>
            <w:r w:rsidRPr="0084697E">
              <w:rPr>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14:paraId="58D15612" w14:textId="42440FB0" w:rsidR="00B25DDF" w:rsidRPr="0084697E" w:rsidRDefault="005D2A63" w:rsidP="00B16917">
            <w:pPr>
              <w:pStyle w:val="Tablaidentificadora"/>
              <w:rPr>
                <w:rFonts w:cs="Tahoma"/>
                <w:szCs w:val="24"/>
              </w:rPr>
            </w:pPr>
            <w:r w:rsidRPr="0084697E">
              <w:rPr>
                <w:rFonts w:cs="Tahoma"/>
                <w:szCs w:val="24"/>
              </w:rPr>
              <w:t>Junio 01 de 2017, 10:00 a.m.</w:t>
            </w:r>
          </w:p>
        </w:tc>
      </w:tr>
      <w:tr w:rsidR="00B25DDF" w:rsidRPr="0084697E" w14:paraId="575160D2"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31E7F6F6" w14:textId="77777777" w:rsidR="00B25DDF" w:rsidRPr="0084697E" w:rsidRDefault="00900F1E" w:rsidP="00900F1E">
            <w:pPr>
              <w:pStyle w:val="Tablaidentificadora"/>
              <w:rPr>
                <w:szCs w:val="24"/>
              </w:rPr>
            </w:pPr>
            <w:r w:rsidRPr="0084697E">
              <w:rPr>
                <w:szCs w:val="24"/>
              </w:rPr>
              <w:t>Acusado</w:t>
            </w:r>
            <w:r w:rsidR="00B25DDF" w:rsidRPr="0084697E">
              <w:rPr>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14:paraId="2AFA1702" w14:textId="77777777" w:rsidR="00B25DDF" w:rsidRPr="0084697E" w:rsidRDefault="00F77DCE" w:rsidP="00900F1E">
            <w:pPr>
              <w:pStyle w:val="Tablaidentificadora"/>
              <w:rPr>
                <w:rFonts w:cs="Tahoma"/>
                <w:szCs w:val="24"/>
              </w:rPr>
            </w:pPr>
            <w:r w:rsidRPr="0084697E">
              <w:rPr>
                <w:rFonts w:cs="Tahoma"/>
                <w:szCs w:val="24"/>
              </w:rPr>
              <w:t>Julio César Ospina Chavarro</w:t>
            </w:r>
            <w:r w:rsidR="001D7FFC" w:rsidRPr="0084697E">
              <w:rPr>
                <w:rFonts w:cs="Tahoma"/>
                <w:szCs w:val="24"/>
              </w:rPr>
              <w:t xml:space="preserve"> y otros</w:t>
            </w:r>
            <w:r w:rsidRPr="0084697E">
              <w:rPr>
                <w:rFonts w:cs="Tahoma"/>
                <w:szCs w:val="24"/>
              </w:rPr>
              <w:t xml:space="preserve"> </w:t>
            </w:r>
          </w:p>
        </w:tc>
      </w:tr>
      <w:tr w:rsidR="00B25DDF" w:rsidRPr="0084697E" w14:paraId="2D3C22D3"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67FC41DC" w14:textId="77777777" w:rsidR="00B25DDF" w:rsidRPr="0084697E" w:rsidRDefault="00B25DDF" w:rsidP="00B16917">
            <w:pPr>
              <w:pStyle w:val="Tablaidentificadora"/>
              <w:rPr>
                <w:szCs w:val="24"/>
              </w:rPr>
            </w:pPr>
            <w:r w:rsidRPr="0084697E">
              <w:rPr>
                <w:szCs w:val="24"/>
              </w:rPr>
              <w:t>Cédula de ciudadanía:</w:t>
            </w:r>
          </w:p>
        </w:tc>
        <w:tc>
          <w:tcPr>
            <w:tcW w:w="4960" w:type="dxa"/>
            <w:tcBorders>
              <w:top w:val="single" w:sz="4" w:space="0" w:color="auto"/>
              <w:left w:val="single" w:sz="4" w:space="0" w:color="auto"/>
              <w:bottom w:val="single" w:sz="4" w:space="0" w:color="auto"/>
              <w:right w:val="single" w:sz="4" w:space="0" w:color="auto"/>
            </w:tcBorders>
          </w:tcPr>
          <w:p w14:paraId="53779280" w14:textId="77777777" w:rsidR="00B25DDF" w:rsidRPr="0084697E" w:rsidRDefault="00F77DCE" w:rsidP="00F77DCE">
            <w:pPr>
              <w:pStyle w:val="Tablaidentificadora"/>
              <w:rPr>
                <w:rFonts w:cs="Tahoma"/>
                <w:szCs w:val="24"/>
              </w:rPr>
            </w:pPr>
            <w:r w:rsidRPr="0084697E">
              <w:rPr>
                <w:rFonts w:cs="Tahoma"/>
                <w:szCs w:val="24"/>
              </w:rPr>
              <w:t xml:space="preserve">16.709.378 </w:t>
            </w:r>
            <w:r w:rsidR="0036167B" w:rsidRPr="0084697E">
              <w:rPr>
                <w:rFonts w:cs="Tahoma"/>
                <w:szCs w:val="24"/>
              </w:rPr>
              <w:t>expedida</w:t>
            </w:r>
            <w:r w:rsidR="00E67FB9" w:rsidRPr="0084697E">
              <w:rPr>
                <w:rFonts w:cs="Tahoma"/>
                <w:szCs w:val="24"/>
              </w:rPr>
              <w:t xml:space="preserve"> en </w:t>
            </w:r>
            <w:r w:rsidRPr="0084697E">
              <w:rPr>
                <w:rFonts w:cs="Tahoma"/>
                <w:szCs w:val="24"/>
              </w:rPr>
              <w:t xml:space="preserve">Cali </w:t>
            </w:r>
            <w:r w:rsidR="00556BDC" w:rsidRPr="0084697E">
              <w:rPr>
                <w:rFonts w:cs="Tahoma"/>
                <w:szCs w:val="24"/>
              </w:rPr>
              <w:t>(</w:t>
            </w:r>
            <w:r w:rsidRPr="0084697E">
              <w:rPr>
                <w:rFonts w:cs="Tahoma"/>
                <w:szCs w:val="24"/>
              </w:rPr>
              <w:t>Valle</w:t>
            </w:r>
            <w:r w:rsidR="00556BDC" w:rsidRPr="0084697E">
              <w:rPr>
                <w:rFonts w:cs="Tahoma"/>
                <w:szCs w:val="24"/>
              </w:rPr>
              <w:t>.)</w:t>
            </w:r>
          </w:p>
        </w:tc>
      </w:tr>
      <w:tr w:rsidR="00B25DDF" w:rsidRPr="0084697E" w14:paraId="2DF77BFC"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7710C8D3" w14:textId="77777777" w:rsidR="00B25DDF" w:rsidRPr="0084697E" w:rsidRDefault="00B25DDF" w:rsidP="00B16917">
            <w:pPr>
              <w:pStyle w:val="Tablaidentificadora"/>
              <w:rPr>
                <w:szCs w:val="24"/>
              </w:rPr>
            </w:pPr>
            <w:r w:rsidRPr="0084697E">
              <w:rPr>
                <w:szCs w:val="24"/>
              </w:rPr>
              <w:t>Delito</w:t>
            </w:r>
            <w:r w:rsidR="00F77DCE" w:rsidRPr="0084697E">
              <w:rPr>
                <w:szCs w:val="24"/>
              </w:rPr>
              <w:t>s</w:t>
            </w:r>
            <w:r w:rsidRPr="0084697E">
              <w:rPr>
                <w:szCs w:val="24"/>
              </w:rPr>
              <w:t>:</w:t>
            </w:r>
          </w:p>
        </w:tc>
        <w:tc>
          <w:tcPr>
            <w:tcW w:w="4960" w:type="dxa"/>
            <w:tcBorders>
              <w:top w:val="single" w:sz="4" w:space="0" w:color="auto"/>
              <w:left w:val="single" w:sz="4" w:space="0" w:color="auto"/>
              <w:bottom w:val="single" w:sz="4" w:space="0" w:color="auto"/>
              <w:right w:val="single" w:sz="4" w:space="0" w:color="auto"/>
            </w:tcBorders>
          </w:tcPr>
          <w:p w14:paraId="59F52E21" w14:textId="77777777" w:rsidR="00B25DDF" w:rsidRPr="0084697E" w:rsidRDefault="00F77DCE" w:rsidP="00F77DCE">
            <w:pPr>
              <w:pStyle w:val="Tablaidentificadora"/>
              <w:rPr>
                <w:rFonts w:cs="Tahoma"/>
                <w:szCs w:val="24"/>
              </w:rPr>
            </w:pPr>
            <w:r w:rsidRPr="0084697E">
              <w:rPr>
                <w:rFonts w:cs="Tahoma"/>
                <w:szCs w:val="24"/>
              </w:rPr>
              <w:t xml:space="preserve">Concierto para delinquir con fines de narcotráfico  y tráfico </w:t>
            </w:r>
            <w:r w:rsidR="006F0B91" w:rsidRPr="0084697E">
              <w:rPr>
                <w:rFonts w:cs="Tahoma"/>
                <w:szCs w:val="24"/>
              </w:rPr>
              <w:t>de estupefacientes</w:t>
            </w:r>
          </w:p>
        </w:tc>
      </w:tr>
      <w:tr w:rsidR="00B25DDF" w:rsidRPr="0084697E" w14:paraId="09EBF4EE"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0A5C3DC7" w14:textId="77777777" w:rsidR="00B25DDF" w:rsidRPr="0084697E" w:rsidRDefault="00F77DCE" w:rsidP="00B16917">
            <w:pPr>
              <w:pStyle w:val="Tablaidentificadora"/>
              <w:rPr>
                <w:szCs w:val="24"/>
              </w:rPr>
            </w:pPr>
            <w:r w:rsidRPr="0084697E">
              <w:rPr>
                <w:szCs w:val="24"/>
              </w:rPr>
              <w:t>Bienes jurídicos tutelados</w:t>
            </w:r>
            <w:r w:rsidR="00B25DDF" w:rsidRPr="0084697E">
              <w:rPr>
                <w:szCs w:val="24"/>
              </w:rPr>
              <w:t>:</w:t>
            </w:r>
          </w:p>
        </w:tc>
        <w:tc>
          <w:tcPr>
            <w:tcW w:w="4960" w:type="dxa"/>
            <w:tcBorders>
              <w:top w:val="single" w:sz="4" w:space="0" w:color="auto"/>
              <w:left w:val="single" w:sz="4" w:space="0" w:color="auto"/>
              <w:bottom w:val="single" w:sz="4" w:space="0" w:color="auto"/>
              <w:right w:val="single" w:sz="4" w:space="0" w:color="auto"/>
            </w:tcBorders>
          </w:tcPr>
          <w:p w14:paraId="0FBABCDC" w14:textId="77777777" w:rsidR="00556BDC" w:rsidRPr="0084697E" w:rsidRDefault="006F0B91" w:rsidP="00F77DCE">
            <w:pPr>
              <w:pStyle w:val="Tablaidentificadora"/>
              <w:rPr>
                <w:rFonts w:cs="Tahoma"/>
                <w:szCs w:val="24"/>
              </w:rPr>
            </w:pPr>
            <w:r w:rsidRPr="0084697E">
              <w:rPr>
                <w:rFonts w:cs="Tahoma"/>
                <w:szCs w:val="24"/>
              </w:rPr>
              <w:t>La</w:t>
            </w:r>
            <w:r w:rsidR="00F77DCE" w:rsidRPr="0084697E">
              <w:rPr>
                <w:rFonts w:cs="Tahoma"/>
                <w:szCs w:val="24"/>
              </w:rPr>
              <w:t xml:space="preserve"> seguridad y la salud públicas</w:t>
            </w:r>
          </w:p>
        </w:tc>
      </w:tr>
      <w:tr w:rsidR="00B25DDF" w:rsidRPr="0084697E" w14:paraId="254C69E7"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3C1FF9FF" w14:textId="77777777" w:rsidR="00B25DDF" w:rsidRPr="0084697E" w:rsidRDefault="00B25DDF" w:rsidP="00B16917">
            <w:pPr>
              <w:pStyle w:val="Tablaidentificadora"/>
              <w:rPr>
                <w:szCs w:val="24"/>
              </w:rPr>
            </w:pPr>
            <w:r w:rsidRPr="0084697E">
              <w:rPr>
                <w:szCs w:val="24"/>
              </w:rPr>
              <w:t>Procedencia:</w:t>
            </w:r>
          </w:p>
        </w:tc>
        <w:tc>
          <w:tcPr>
            <w:tcW w:w="4960" w:type="dxa"/>
            <w:tcBorders>
              <w:top w:val="single" w:sz="4" w:space="0" w:color="auto"/>
              <w:left w:val="single" w:sz="4" w:space="0" w:color="auto"/>
              <w:bottom w:val="single" w:sz="4" w:space="0" w:color="auto"/>
              <w:right w:val="single" w:sz="4" w:space="0" w:color="auto"/>
            </w:tcBorders>
          </w:tcPr>
          <w:p w14:paraId="31C67392" w14:textId="77777777" w:rsidR="00B25DDF" w:rsidRPr="0084697E" w:rsidRDefault="00556BDC" w:rsidP="00E67FB9">
            <w:pPr>
              <w:pStyle w:val="Tablaidentificadora"/>
              <w:rPr>
                <w:rFonts w:cs="Tahoma"/>
                <w:szCs w:val="24"/>
              </w:rPr>
            </w:pPr>
            <w:r w:rsidRPr="0084697E">
              <w:rPr>
                <w:rFonts w:cs="Tahoma"/>
                <w:szCs w:val="24"/>
              </w:rPr>
              <w:t>Juzgado</w:t>
            </w:r>
            <w:r w:rsidR="00900F1E" w:rsidRPr="0084697E">
              <w:rPr>
                <w:rFonts w:cs="Tahoma"/>
                <w:szCs w:val="24"/>
              </w:rPr>
              <w:t xml:space="preserve"> </w:t>
            </w:r>
            <w:r w:rsidR="00E67FB9" w:rsidRPr="0084697E">
              <w:rPr>
                <w:rFonts w:cs="Tahoma"/>
                <w:szCs w:val="24"/>
              </w:rPr>
              <w:t>Segundo P</w:t>
            </w:r>
            <w:r w:rsidR="00991ABA" w:rsidRPr="0084697E">
              <w:rPr>
                <w:rFonts w:cs="Tahoma"/>
                <w:szCs w:val="24"/>
              </w:rPr>
              <w:t>enal del Circuito Especializado</w:t>
            </w:r>
            <w:r w:rsidR="00E67FB9" w:rsidRPr="0084697E">
              <w:rPr>
                <w:rFonts w:cs="Tahoma"/>
                <w:szCs w:val="24"/>
              </w:rPr>
              <w:t xml:space="preserve"> Itinerante de Pereira </w:t>
            </w:r>
            <w:r w:rsidRPr="0084697E">
              <w:rPr>
                <w:rFonts w:cs="Tahoma"/>
                <w:szCs w:val="24"/>
              </w:rPr>
              <w:t>(Rda.)</w:t>
            </w:r>
          </w:p>
        </w:tc>
      </w:tr>
      <w:tr w:rsidR="00B25DDF" w:rsidRPr="0084697E" w14:paraId="4F324C2F"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7F878FCA" w14:textId="77777777" w:rsidR="00B25DDF" w:rsidRPr="0084697E" w:rsidRDefault="00B25DDF" w:rsidP="00B16917">
            <w:pPr>
              <w:pStyle w:val="Tablaidentificadora"/>
              <w:rPr>
                <w:szCs w:val="24"/>
              </w:rPr>
            </w:pPr>
            <w:r w:rsidRPr="0084697E">
              <w:rPr>
                <w:szCs w:val="24"/>
              </w:rPr>
              <w:t>Asunto:</w:t>
            </w:r>
          </w:p>
        </w:tc>
        <w:tc>
          <w:tcPr>
            <w:tcW w:w="4960" w:type="dxa"/>
            <w:tcBorders>
              <w:top w:val="single" w:sz="4" w:space="0" w:color="auto"/>
              <w:left w:val="single" w:sz="4" w:space="0" w:color="auto"/>
              <w:bottom w:val="single" w:sz="4" w:space="0" w:color="auto"/>
              <w:right w:val="single" w:sz="4" w:space="0" w:color="auto"/>
            </w:tcBorders>
          </w:tcPr>
          <w:p w14:paraId="0EA44686" w14:textId="77777777" w:rsidR="00B25DDF" w:rsidRPr="0084697E" w:rsidRDefault="00556BDC" w:rsidP="006C0B3B">
            <w:pPr>
              <w:pStyle w:val="Tablaidentificadora"/>
              <w:rPr>
                <w:rFonts w:cs="Tahoma"/>
                <w:szCs w:val="24"/>
              </w:rPr>
            </w:pPr>
            <w:r w:rsidRPr="0084697E">
              <w:rPr>
                <w:rFonts w:cs="Tahoma"/>
                <w:szCs w:val="24"/>
              </w:rPr>
              <w:t xml:space="preserve">Decide apelación interpuesta por </w:t>
            </w:r>
            <w:r w:rsidR="00E67FB9" w:rsidRPr="0084697E">
              <w:rPr>
                <w:rFonts w:cs="Tahoma"/>
                <w:szCs w:val="24"/>
              </w:rPr>
              <w:t>el representante del Ministerio Público</w:t>
            </w:r>
            <w:r w:rsidR="008406EE" w:rsidRPr="0084697E">
              <w:rPr>
                <w:rFonts w:cs="Tahoma"/>
                <w:szCs w:val="24"/>
              </w:rPr>
              <w:t xml:space="preserve"> </w:t>
            </w:r>
            <w:r w:rsidRPr="0084697E">
              <w:rPr>
                <w:rFonts w:cs="Tahoma"/>
                <w:szCs w:val="24"/>
              </w:rPr>
              <w:t>contra el fallo</w:t>
            </w:r>
            <w:r w:rsidR="00B21788" w:rsidRPr="0084697E">
              <w:rPr>
                <w:rFonts w:cs="Tahoma"/>
                <w:szCs w:val="24"/>
              </w:rPr>
              <w:t xml:space="preserve"> </w:t>
            </w:r>
            <w:r w:rsidR="006C0B3B" w:rsidRPr="0084697E">
              <w:rPr>
                <w:rFonts w:cs="Tahoma"/>
                <w:szCs w:val="24"/>
              </w:rPr>
              <w:t xml:space="preserve">condenatorio </w:t>
            </w:r>
            <w:r w:rsidR="0036167B" w:rsidRPr="0084697E">
              <w:rPr>
                <w:rFonts w:cs="Tahoma"/>
                <w:szCs w:val="24"/>
              </w:rPr>
              <w:t xml:space="preserve">de marzo 22 </w:t>
            </w:r>
            <w:r w:rsidR="00F77DCE" w:rsidRPr="0084697E">
              <w:rPr>
                <w:rFonts w:cs="Tahoma"/>
                <w:szCs w:val="24"/>
              </w:rPr>
              <w:t>de 2017</w:t>
            </w:r>
            <w:r w:rsidR="0036167B" w:rsidRPr="0084697E">
              <w:rPr>
                <w:rFonts w:cs="Tahoma"/>
                <w:szCs w:val="24"/>
              </w:rPr>
              <w:t xml:space="preserve">. </w:t>
            </w:r>
            <w:r w:rsidR="008406EE" w:rsidRPr="0084697E">
              <w:rPr>
                <w:rFonts w:cs="Tahoma"/>
                <w:szCs w:val="24"/>
              </w:rPr>
              <w:t>CONFIRMA</w:t>
            </w:r>
            <w:r w:rsidR="001D7FFC" w:rsidRPr="0084697E">
              <w:rPr>
                <w:rFonts w:cs="Tahoma"/>
                <w:szCs w:val="24"/>
              </w:rPr>
              <w:t xml:space="preserve"> PARCIALMENTE y </w:t>
            </w:r>
            <w:r w:rsidR="000C5B93" w:rsidRPr="0084697E">
              <w:rPr>
                <w:rFonts w:cs="Tahoma"/>
                <w:szCs w:val="24"/>
              </w:rPr>
              <w:t>MODIFICA.</w:t>
            </w:r>
          </w:p>
        </w:tc>
      </w:tr>
    </w:tbl>
    <w:p w14:paraId="6AF23622" w14:textId="77777777" w:rsidR="00B25DDF" w:rsidRPr="0084697E" w:rsidRDefault="00B01B87" w:rsidP="00B25DDF">
      <w:r w:rsidRPr="0084697E">
        <w:lastRenderedPageBreak/>
        <w:t>El Tribunal Superior d</w:t>
      </w:r>
      <w:r w:rsidR="005E41DB" w:rsidRPr="0084697E">
        <w:t>el Distrito Judicial de Pereira</w:t>
      </w:r>
      <w:r w:rsidRPr="0084697E">
        <w:t xml:space="preserve"> pronuncia la sentencia en los siguientes términos:</w:t>
      </w:r>
    </w:p>
    <w:p w14:paraId="6913A5FE" w14:textId="77777777" w:rsidR="00B25DDF" w:rsidRPr="0084697E" w:rsidRDefault="00B25DDF" w:rsidP="00B01B87">
      <w:pPr>
        <w:pStyle w:val="Corpsdetexte2"/>
      </w:pPr>
    </w:p>
    <w:p w14:paraId="31D3F3FD" w14:textId="77777777" w:rsidR="00B01B87" w:rsidRPr="0084697E" w:rsidRDefault="00B01B87" w:rsidP="00D5053F">
      <w:pPr>
        <w:rPr>
          <w:rStyle w:val="Algerian"/>
        </w:rPr>
      </w:pPr>
      <w:r w:rsidRPr="0084697E">
        <w:rPr>
          <w:rStyle w:val="Algerian"/>
        </w:rPr>
        <w:t xml:space="preserve">1.- </w:t>
      </w:r>
      <w:r w:rsidR="009D3DE3" w:rsidRPr="0084697E">
        <w:rPr>
          <w:rStyle w:val="Algerian"/>
        </w:rPr>
        <w:t>hechos Y precedentes</w:t>
      </w:r>
    </w:p>
    <w:p w14:paraId="2B440E46" w14:textId="77777777" w:rsidR="00B01B87" w:rsidRPr="0084697E" w:rsidRDefault="00B01B87" w:rsidP="00B01B87"/>
    <w:p w14:paraId="6CE45357" w14:textId="77777777" w:rsidR="009D3DE3" w:rsidRPr="0084697E" w:rsidRDefault="009D3DE3" w:rsidP="009D3DE3">
      <w:r w:rsidRPr="0084697E">
        <w:t>La situación fáctica jurídicamente relevante y la actuación procesal esencial para la decisión a tomar, se pueden sinte</w:t>
      </w:r>
      <w:r w:rsidR="001F59E7" w:rsidRPr="0084697E">
        <w:t>tizar así:</w:t>
      </w:r>
    </w:p>
    <w:p w14:paraId="0E5E2E7D" w14:textId="77777777" w:rsidR="00B01B87" w:rsidRPr="0084697E" w:rsidRDefault="00B01B87" w:rsidP="00B01B87"/>
    <w:p w14:paraId="4E2A2AE1" w14:textId="77777777" w:rsidR="00685FD9" w:rsidRPr="0084697E" w:rsidRDefault="00B01B87" w:rsidP="001425B7">
      <w:pPr>
        <w:rPr>
          <w:rStyle w:val="Numeracinttulo"/>
          <w:rFonts w:cs="Tahoma"/>
          <w:b w:val="0"/>
          <w:sz w:val="26"/>
        </w:rPr>
      </w:pPr>
      <w:r w:rsidRPr="0084697E">
        <w:rPr>
          <w:rStyle w:val="Numeracinttulo"/>
        </w:rPr>
        <w:t xml:space="preserve">1.1.- </w:t>
      </w:r>
      <w:r w:rsidR="001425B7" w:rsidRPr="0084697E">
        <w:rPr>
          <w:rStyle w:val="Numeracinttulo"/>
          <w:b w:val="0"/>
          <w:sz w:val="26"/>
        </w:rPr>
        <w:t xml:space="preserve">De acuerdo con las labores de investigación adelantadas por la Fiscalía General de la Nación, se logró establecer </w:t>
      </w:r>
      <w:r w:rsidR="00F77DCE" w:rsidRPr="0084697E">
        <w:rPr>
          <w:rStyle w:val="Numeracinttulo"/>
          <w:rFonts w:cs="Tahoma"/>
          <w:b w:val="0"/>
          <w:sz w:val="26"/>
        </w:rPr>
        <w:t xml:space="preserve">la existencia de una organización criminal dedicada al tráfico de estupefacientes en la comuna 9 del municipio </w:t>
      </w:r>
      <w:r w:rsidR="009557BA" w:rsidRPr="0084697E">
        <w:rPr>
          <w:rStyle w:val="Numeracinttulo"/>
          <w:rFonts w:cs="Tahoma"/>
          <w:b w:val="0"/>
          <w:sz w:val="26"/>
        </w:rPr>
        <w:t>de Dosquebradas (Rda.)</w:t>
      </w:r>
      <w:r w:rsidR="008F6226" w:rsidRPr="0084697E">
        <w:rPr>
          <w:rStyle w:val="Numeracinttulo"/>
          <w:rFonts w:cs="Tahoma"/>
          <w:b w:val="0"/>
          <w:sz w:val="26"/>
        </w:rPr>
        <w:t>,</w:t>
      </w:r>
      <w:r w:rsidR="00F77DCE" w:rsidRPr="0084697E">
        <w:rPr>
          <w:rStyle w:val="Numeracinttulo"/>
          <w:rFonts w:cs="Tahoma"/>
          <w:b w:val="0"/>
          <w:sz w:val="26"/>
        </w:rPr>
        <w:t xml:space="preserve"> </w:t>
      </w:r>
      <w:r w:rsidR="001425B7" w:rsidRPr="0084697E">
        <w:rPr>
          <w:rStyle w:val="Numeracinttulo"/>
          <w:rFonts w:cs="Tahoma"/>
          <w:b w:val="0"/>
          <w:sz w:val="26"/>
        </w:rPr>
        <w:t xml:space="preserve">la cual </w:t>
      </w:r>
      <w:r w:rsidR="00F77DCE" w:rsidRPr="0084697E">
        <w:rPr>
          <w:rStyle w:val="Numeracinttulo"/>
          <w:rFonts w:cs="Tahoma"/>
          <w:b w:val="0"/>
          <w:sz w:val="26"/>
        </w:rPr>
        <w:t xml:space="preserve">es </w:t>
      </w:r>
      <w:r w:rsidR="001D7FFC" w:rsidRPr="0084697E">
        <w:rPr>
          <w:rStyle w:val="Numeracinttulo"/>
          <w:rFonts w:cs="Tahoma"/>
          <w:b w:val="0"/>
          <w:sz w:val="26"/>
        </w:rPr>
        <w:t>conocida como la banda de “Los L</w:t>
      </w:r>
      <w:r w:rsidR="00F77DCE" w:rsidRPr="0084697E">
        <w:rPr>
          <w:rStyle w:val="Numeracinttulo"/>
          <w:rFonts w:cs="Tahoma"/>
          <w:b w:val="0"/>
          <w:sz w:val="26"/>
        </w:rPr>
        <w:t xml:space="preserve">ibertadores”, liderada por la señora </w:t>
      </w:r>
      <w:r w:rsidR="001D7FFC" w:rsidRPr="0084697E">
        <w:rPr>
          <w:rStyle w:val="Numeracinttulo"/>
          <w:rFonts w:cs="Tahoma"/>
          <w:b w:val="0"/>
          <w:sz w:val="26"/>
        </w:rPr>
        <w:t>BIBIANA RÍOS IZQUIERDO</w:t>
      </w:r>
      <w:r w:rsidR="009557BA" w:rsidRPr="0084697E">
        <w:rPr>
          <w:rStyle w:val="Numeracinttulo"/>
          <w:rFonts w:cs="Tahoma"/>
          <w:b w:val="0"/>
          <w:sz w:val="26"/>
        </w:rPr>
        <w:t xml:space="preserve"> alias </w:t>
      </w:r>
      <w:r w:rsidR="001425B7" w:rsidRPr="0084697E">
        <w:rPr>
          <w:rStyle w:val="Numeracinttulo"/>
          <w:rFonts w:cs="Tahoma"/>
          <w:b w:val="0"/>
          <w:sz w:val="26"/>
        </w:rPr>
        <w:t xml:space="preserve">“La madre”, </w:t>
      </w:r>
      <w:r w:rsidR="00F77DCE" w:rsidRPr="0084697E">
        <w:rPr>
          <w:rStyle w:val="Numeracinttulo"/>
          <w:rFonts w:cs="Tahoma"/>
          <w:b w:val="0"/>
          <w:sz w:val="26"/>
        </w:rPr>
        <w:t xml:space="preserve"> </w:t>
      </w:r>
      <w:r w:rsidR="008F6226" w:rsidRPr="0084697E">
        <w:rPr>
          <w:rStyle w:val="Numeracinttulo"/>
          <w:rFonts w:cs="Tahoma"/>
          <w:b w:val="0"/>
          <w:sz w:val="26"/>
        </w:rPr>
        <w:t xml:space="preserve">y </w:t>
      </w:r>
      <w:r w:rsidR="009557BA" w:rsidRPr="0084697E">
        <w:rPr>
          <w:rStyle w:val="Numeracinttulo"/>
          <w:rFonts w:cs="Tahoma"/>
          <w:b w:val="0"/>
          <w:sz w:val="26"/>
        </w:rPr>
        <w:t>de la que también hacen parte</w:t>
      </w:r>
      <w:r w:rsidR="008F6226" w:rsidRPr="0084697E">
        <w:rPr>
          <w:rStyle w:val="Numeracinttulo"/>
          <w:rFonts w:cs="Tahoma"/>
          <w:b w:val="0"/>
          <w:sz w:val="26"/>
        </w:rPr>
        <w:t>, entre muchas otras personas,</w:t>
      </w:r>
      <w:r w:rsidR="009557BA" w:rsidRPr="0084697E">
        <w:rPr>
          <w:rStyle w:val="Numeracinttulo"/>
          <w:rFonts w:cs="Tahoma"/>
          <w:b w:val="0"/>
          <w:sz w:val="26"/>
        </w:rPr>
        <w:t xml:space="preserve"> el hijo mayor de ésta</w:t>
      </w:r>
      <w:r w:rsidR="006C0B3B" w:rsidRPr="0084697E">
        <w:rPr>
          <w:rStyle w:val="Numeracinttulo"/>
          <w:rFonts w:cs="Tahoma"/>
          <w:b w:val="0"/>
          <w:sz w:val="26"/>
        </w:rPr>
        <w:t>,</w:t>
      </w:r>
      <w:r w:rsidR="009557BA" w:rsidRPr="0084697E">
        <w:rPr>
          <w:rStyle w:val="Numeracinttulo"/>
          <w:rFonts w:cs="Tahoma"/>
          <w:b w:val="0"/>
          <w:sz w:val="26"/>
        </w:rPr>
        <w:t xml:space="preserve"> </w:t>
      </w:r>
      <w:r w:rsidR="001D7FFC" w:rsidRPr="0084697E">
        <w:rPr>
          <w:rStyle w:val="Numeracinttulo"/>
          <w:rFonts w:cs="Tahoma"/>
          <w:b w:val="0"/>
          <w:sz w:val="26"/>
        </w:rPr>
        <w:t>EDWIN JOANY RÍOS</w:t>
      </w:r>
      <w:r w:rsidR="009557BA" w:rsidRPr="0084697E">
        <w:rPr>
          <w:rStyle w:val="Numeracinttulo"/>
          <w:rFonts w:cs="Tahoma"/>
          <w:b w:val="0"/>
          <w:sz w:val="26"/>
        </w:rPr>
        <w:t xml:space="preserve"> que tiene como remoquete</w:t>
      </w:r>
      <w:r w:rsidR="001425B7" w:rsidRPr="0084697E">
        <w:rPr>
          <w:rStyle w:val="Numeracinttulo"/>
          <w:rFonts w:cs="Tahoma"/>
          <w:b w:val="0"/>
          <w:sz w:val="26"/>
        </w:rPr>
        <w:t xml:space="preserve"> “El Viejo</w:t>
      </w:r>
      <w:r w:rsidR="009557BA" w:rsidRPr="0084697E">
        <w:rPr>
          <w:rStyle w:val="Numeracinttulo"/>
          <w:rFonts w:cs="Tahoma"/>
          <w:b w:val="0"/>
          <w:sz w:val="26"/>
        </w:rPr>
        <w:t xml:space="preserve">”, y </w:t>
      </w:r>
      <w:r w:rsidR="009E02ED" w:rsidRPr="0084697E">
        <w:rPr>
          <w:rStyle w:val="Numeracinttulo"/>
          <w:rFonts w:cs="Tahoma"/>
          <w:sz w:val="22"/>
          <w:szCs w:val="22"/>
        </w:rPr>
        <w:t>JULIO CÉSAR OSPINA CHAVARRO</w:t>
      </w:r>
      <w:r w:rsidR="009557BA" w:rsidRPr="0084697E">
        <w:rPr>
          <w:rStyle w:val="Numeracinttulo"/>
          <w:rFonts w:cs="Tahoma"/>
          <w:b w:val="0"/>
          <w:sz w:val="26"/>
        </w:rPr>
        <w:t xml:space="preserve"> conocido como </w:t>
      </w:r>
      <w:r w:rsidR="009E02ED" w:rsidRPr="0084697E">
        <w:rPr>
          <w:rStyle w:val="Numeracinttulo"/>
          <w:rFonts w:cs="Tahoma"/>
          <w:b w:val="0"/>
          <w:sz w:val="26"/>
        </w:rPr>
        <w:t xml:space="preserve">“Don Berna”, </w:t>
      </w:r>
      <w:r w:rsidR="000C1B5A" w:rsidRPr="0084697E">
        <w:rPr>
          <w:rStyle w:val="Numeracinttulo"/>
          <w:rFonts w:cs="Tahoma"/>
          <w:b w:val="0"/>
          <w:sz w:val="26"/>
        </w:rPr>
        <w:t xml:space="preserve">quien </w:t>
      </w:r>
      <w:r w:rsidR="006E66BC" w:rsidRPr="0084697E">
        <w:rPr>
          <w:rStyle w:val="Numeracinttulo"/>
          <w:rFonts w:cs="Tahoma"/>
          <w:b w:val="0"/>
          <w:sz w:val="26"/>
        </w:rPr>
        <w:t xml:space="preserve">tiene a su </w:t>
      </w:r>
      <w:r w:rsidR="009E02ED" w:rsidRPr="0084697E">
        <w:rPr>
          <w:rStyle w:val="Numeracinttulo"/>
          <w:rFonts w:cs="Tahoma"/>
          <w:b w:val="0"/>
          <w:sz w:val="26"/>
        </w:rPr>
        <w:t>cargo el almacenamiento y</w:t>
      </w:r>
      <w:r w:rsidR="001D7FFC" w:rsidRPr="0084697E">
        <w:rPr>
          <w:rStyle w:val="Numeracinttulo"/>
          <w:rFonts w:cs="Tahoma"/>
          <w:b w:val="0"/>
          <w:sz w:val="26"/>
        </w:rPr>
        <w:t xml:space="preserve"> distribución de</w:t>
      </w:r>
      <w:r w:rsidR="000C1B5A" w:rsidRPr="0084697E">
        <w:rPr>
          <w:rStyle w:val="Numeracinttulo"/>
          <w:rFonts w:cs="Tahoma"/>
          <w:b w:val="0"/>
          <w:sz w:val="26"/>
        </w:rPr>
        <w:t xml:space="preserve"> alucinógeno</w:t>
      </w:r>
      <w:r w:rsidR="001D7FFC" w:rsidRPr="0084697E">
        <w:rPr>
          <w:rStyle w:val="Numeracinttulo"/>
          <w:rFonts w:cs="Tahoma"/>
          <w:b w:val="0"/>
          <w:sz w:val="26"/>
        </w:rPr>
        <w:t>s</w:t>
      </w:r>
      <w:r w:rsidR="009E02ED" w:rsidRPr="0084697E">
        <w:rPr>
          <w:rStyle w:val="Numeracinttulo"/>
          <w:rFonts w:cs="Tahoma"/>
          <w:b w:val="0"/>
          <w:sz w:val="26"/>
        </w:rPr>
        <w:t xml:space="preserve">, </w:t>
      </w:r>
      <w:r w:rsidR="006E66BC" w:rsidRPr="0084697E">
        <w:rPr>
          <w:rStyle w:val="Numeracinttulo"/>
          <w:rFonts w:cs="Tahoma"/>
          <w:b w:val="0"/>
          <w:sz w:val="26"/>
        </w:rPr>
        <w:t>y la supervisión de todas las actividades que se realizan</w:t>
      </w:r>
      <w:r w:rsidR="009557BA" w:rsidRPr="0084697E">
        <w:rPr>
          <w:rStyle w:val="Numeracinttulo"/>
          <w:rFonts w:cs="Tahoma"/>
          <w:b w:val="0"/>
          <w:sz w:val="26"/>
        </w:rPr>
        <w:t>,</w:t>
      </w:r>
      <w:r w:rsidR="006E66BC" w:rsidRPr="0084697E">
        <w:rPr>
          <w:rStyle w:val="Numeracinttulo"/>
          <w:rFonts w:cs="Tahoma"/>
          <w:b w:val="0"/>
          <w:sz w:val="26"/>
        </w:rPr>
        <w:t xml:space="preserve"> para en caso de ser necesario tomar </w:t>
      </w:r>
      <w:r w:rsidR="000C1B5A" w:rsidRPr="0084697E">
        <w:rPr>
          <w:rStyle w:val="Numeracinttulo"/>
          <w:rFonts w:cs="Tahoma"/>
          <w:b w:val="0"/>
          <w:sz w:val="26"/>
        </w:rPr>
        <w:t>los correctivos pertinentes.</w:t>
      </w:r>
    </w:p>
    <w:p w14:paraId="42BBDFCA" w14:textId="77777777" w:rsidR="000D21F1" w:rsidRPr="0084697E" w:rsidRDefault="000D21F1" w:rsidP="000D21F1">
      <w:pPr>
        <w:spacing w:line="240" w:lineRule="auto"/>
        <w:ind w:left="680" w:right="680"/>
        <w:rPr>
          <w:rStyle w:val="Numeracinttulo"/>
          <w:rFonts w:cs="Tahoma"/>
          <w:b w:val="0"/>
          <w:sz w:val="26"/>
        </w:rPr>
      </w:pPr>
    </w:p>
    <w:p w14:paraId="3C85315C" w14:textId="77777777" w:rsidR="003A14D4" w:rsidRPr="0084697E" w:rsidRDefault="0091029F" w:rsidP="0091029F">
      <w:pPr>
        <w:rPr>
          <w:rStyle w:val="Numeracinttulo"/>
          <w:b w:val="0"/>
          <w:sz w:val="26"/>
        </w:rPr>
      </w:pPr>
      <w:r w:rsidRPr="0084697E">
        <w:rPr>
          <w:rStyle w:val="Numeracinttulo"/>
          <w:szCs w:val="24"/>
        </w:rPr>
        <w:t>1.2.-</w:t>
      </w:r>
      <w:r w:rsidRPr="0084697E">
        <w:rPr>
          <w:rStyle w:val="Numeracinttulo"/>
          <w:b w:val="0"/>
          <w:sz w:val="26"/>
        </w:rPr>
        <w:t xml:space="preserve"> </w:t>
      </w:r>
      <w:r w:rsidR="00356290" w:rsidRPr="0084697E">
        <w:rPr>
          <w:rStyle w:val="Numeracinttulo"/>
          <w:b w:val="0"/>
          <w:sz w:val="26"/>
        </w:rPr>
        <w:t xml:space="preserve">En </w:t>
      </w:r>
      <w:r w:rsidR="00E561AD" w:rsidRPr="0084697E">
        <w:rPr>
          <w:rStyle w:val="Numeracinttulo"/>
          <w:b w:val="0"/>
          <w:sz w:val="26"/>
        </w:rPr>
        <w:t>audiencia</w:t>
      </w:r>
      <w:r w:rsidR="00356290" w:rsidRPr="0084697E">
        <w:rPr>
          <w:rStyle w:val="Numeracinttulo"/>
          <w:b w:val="0"/>
          <w:sz w:val="26"/>
        </w:rPr>
        <w:t xml:space="preserve">s preliminares llevadas a cabo ante el Juzgado </w:t>
      </w:r>
      <w:r w:rsidR="000D21F1" w:rsidRPr="0084697E">
        <w:rPr>
          <w:rStyle w:val="Numeracinttulo"/>
          <w:b w:val="0"/>
          <w:sz w:val="26"/>
        </w:rPr>
        <w:t xml:space="preserve">Primero Penal </w:t>
      </w:r>
      <w:r w:rsidR="00356290" w:rsidRPr="0084697E">
        <w:rPr>
          <w:rStyle w:val="Numeracinttulo"/>
          <w:b w:val="0"/>
          <w:sz w:val="26"/>
        </w:rPr>
        <w:t>Municipal con función de control de garantías de</w:t>
      </w:r>
      <w:r w:rsidR="001D7FFC" w:rsidRPr="0084697E">
        <w:rPr>
          <w:rStyle w:val="Numeracinttulo"/>
          <w:b w:val="0"/>
          <w:sz w:val="26"/>
        </w:rPr>
        <w:t xml:space="preserve"> Dosquebradas</w:t>
      </w:r>
      <w:r w:rsidR="00F074B6" w:rsidRPr="0084697E">
        <w:rPr>
          <w:rStyle w:val="Numeracinttulo"/>
          <w:b w:val="0"/>
          <w:sz w:val="26"/>
        </w:rPr>
        <w:t xml:space="preserve"> (</w:t>
      </w:r>
      <w:r w:rsidR="00CC4F6C" w:rsidRPr="0084697E">
        <w:rPr>
          <w:rStyle w:val="Numeracinttulo"/>
          <w:b w:val="0"/>
          <w:sz w:val="26"/>
        </w:rPr>
        <w:t>enero 19 de 2016</w:t>
      </w:r>
      <w:r w:rsidR="00356290" w:rsidRPr="0084697E">
        <w:rPr>
          <w:rStyle w:val="Numeracinttulo"/>
          <w:b w:val="0"/>
          <w:sz w:val="26"/>
        </w:rPr>
        <w:t>),</w:t>
      </w:r>
      <w:r w:rsidR="00E561AD" w:rsidRPr="0084697E">
        <w:rPr>
          <w:rStyle w:val="Numeracinttulo"/>
          <w:b w:val="0"/>
          <w:sz w:val="26"/>
        </w:rPr>
        <w:t xml:space="preserve"> </w:t>
      </w:r>
      <w:r w:rsidR="00356290" w:rsidRPr="0084697E">
        <w:rPr>
          <w:rStyle w:val="Numeracinttulo"/>
          <w:b w:val="0"/>
          <w:sz w:val="26"/>
        </w:rPr>
        <w:t>se declaró legal la</w:t>
      </w:r>
      <w:r w:rsidR="001B737D" w:rsidRPr="0084697E">
        <w:rPr>
          <w:rStyle w:val="Numeracinttulo"/>
          <w:b w:val="0"/>
          <w:sz w:val="26"/>
        </w:rPr>
        <w:t xml:space="preserve"> captura</w:t>
      </w:r>
      <w:r w:rsidR="00CC4F6C" w:rsidRPr="0084697E">
        <w:rPr>
          <w:rStyle w:val="Numeracinttulo"/>
          <w:b w:val="0"/>
          <w:sz w:val="26"/>
        </w:rPr>
        <w:t xml:space="preserve"> de</w:t>
      </w:r>
      <w:r w:rsidR="00356290" w:rsidRPr="0084697E">
        <w:rPr>
          <w:rStyle w:val="Numeracinttulo"/>
          <w:b w:val="0"/>
          <w:sz w:val="26"/>
        </w:rPr>
        <w:t xml:space="preserve"> </w:t>
      </w:r>
      <w:r w:rsidR="001B737D" w:rsidRPr="0084697E">
        <w:rPr>
          <w:rStyle w:val="Numeracinttulo"/>
          <w:sz w:val="22"/>
          <w:szCs w:val="22"/>
        </w:rPr>
        <w:t>JU</w:t>
      </w:r>
      <w:r w:rsidR="00CC4F6C" w:rsidRPr="0084697E">
        <w:rPr>
          <w:rStyle w:val="Numeracinttulo"/>
          <w:sz w:val="22"/>
          <w:szCs w:val="22"/>
        </w:rPr>
        <w:t>LIO CÉSAR OSPINA CHAVARRO</w:t>
      </w:r>
      <w:r w:rsidR="00CC4F6C" w:rsidRPr="0084697E">
        <w:rPr>
          <w:rStyle w:val="Numeracinttulo"/>
          <w:b w:val="0"/>
          <w:sz w:val="26"/>
        </w:rPr>
        <w:t>, a quien</w:t>
      </w:r>
      <w:r w:rsidR="00356290" w:rsidRPr="0084697E">
        <w:rPr>
          <w:rStyle w:val="Numeracinttulo"/>
          <w:b w:val="0"/>
          <w:sz w:val="26"/>
        </w:rPr>
        <w:t xml:space="preserve"> se le </w:t>
      </w:r>
      <w:r w:rsidR="00E561AD" w:rsidRPr="0084697E">
        <w:rPr>
          <w:rStyle w:val="Numeracinttulo"/>
          <w:b w:val="0"/>
          <w:sz w:val="26"/>
        </w:rPr>
        <w:t>formul</w:t>
      </w:r>
      <w:r w:rsidR="00356290" w:rsidRPr="0084697E">
        <w:rPr>
          <w:rStyle w:val="Numeracinttulo"/>
          <w:b w:val="0"/>
          <w:sz w:val="26"/>
        </w:rPr>
        <w:t>ó</w:t>
      </w:r>
      <w:r w:rsidR="00DC0DD8" w:rsidRPr="0084697E">
        <w:rPr>
          <w:rStyle w:val="Numeracinttulo"/>
          <w:b w:val="0"/>
          <w:sz w:val="26"/>
        </w:rPr>
        <w:t xml:space="preserve"> </w:t>
      </w:r>
      <w:r w:rsidR="00E561AD" w:rsidRPr="0084697E">
        <w:rPr>
          <w:rStyle w:val="Numeracinttulo"/>
          <w:b w:val="0"/>
          <w:sz w:val="26"/>
        </w:rPr>
        <w:t>imputación</w:t>
      </w:r>
      <w:r w:rsidR="006E5927" w:rsidRPr="0084697E">
        <w:rPr>
          <w:rStyle w:val="Numeracinttulo"/>
          <w:sz w:val="22"/>
          <w:szCs w:val="22"/>
        </w:rPr>
        <w:t xml:space="preserve"> </w:t>
      </w:r>
      <w:r w:rsidR="00E561AD" w:rsidRPr="0084697E">
        <w:rPr>
          <w:rStyle w:val="Numeracinttulo"/>
          <w:b w:val="0"/>
          <w:sz w:val="26"/>
        </w:rPr>
        <w:t xml:space="preserve">por </w:t>
      </w:r>
      <w:r w:rsidR="001B737D" w:rsidRPr="0084697E">
        <w:rPr>
          <w:rStyle w:val="Numeracinttulo"/>
          <w:b w:val="0"/>
          <w:sz w:val="26"/>
        </w:rPr>
        <w:t>los delitos de concierto para delinquir</w:t>
      </w:r>
      <w:r w:rsidR="006F48F7" w:rsidRPr="0084697E">
        <w:rPr>
          <w:rStyle w:val="Numeracinttulo"/>
          <w:b w:val="0"/>
          <w:sz w:val="26"/>
        </w:rPr>
        <w:t xml:space="preserve"> con fines de narcotráfico</w:t>
      </w:r>
      <w:r w:rsidR="001B737D" w:rsidRPr="0084697E">
        <w:rPr>
          <w:rStyle w:val="Numeracinttulo"/>
          <w:b w:val="0"/>
          <w:sz w:val="26"/>
        </w:rPr>
        <w:t>, reglado en el inciso 2° artículo 340 C.P.</w:t>
      </w:r>
      <w:r w:rsidR="003A14D4" w:rsidRPr="0084697E">
        <w:rPr>
          <w:rStyle w:val="Numeracinttulo"/>
          <w:b w:val="0"/>
          <w:sz w:val="26"/>
        </w:rPr>
        <w:t>, en concurso heterogéneo con t</w:t>
      </w:r>
      <w:r w:rsidR="00356290" w:rsidRPr="0084697E">
        <w:rPr>
          <w:rStyle w:val="Numeracinttulo"/>
          <w:b w:val="0"/>
          <w:sz w:val="26"/>
        </w:rPr>
        <w:t xml:space="preserve">ráfico, fabricación o porte de estupefacientes, en la modalidad de </w:t>
      </w:r>
      <w:r w:rsidR="00426CEA" w:rsidRPr="0084697E">
        <w:rPr>
          <w:rStyle w:val="Numeracinttulo"/>
          <w:b w:val="0"/>
          <w:sz w:val="26"/>
        </w:rPr>
        <w:t>“conservar</w:t>
      </w:r>
      <w:r w:rsidR="001B737D" w:rsidRPr="0084697E">
        <w:rPr>
          <w:rStyle w:val="Numeracinttulo"/>
          <w:b w:val="0"/>
          <w:sz w:val="26"/>
        </w:rPr>
        <w:t>”</w:t>
      </w:r>
      <w:r w:rsidR="00356290" w:rsidRPr="0084697E">
        <w:rPr>
          <w:rStyle w:val="Numeracinttulo"/>
          <w:b w:val="0"/>
          <w:sz w:val="26"/>
        </w:rPr>
        <w:t xml:space="preserve">, conforme lo </w:t>
      </w:r>
      <w:r w:rsidR="006F48F7" w:rsidRPr="0084697E">
        <w:rPr>
          <w:rStyle w:val="Numeracinttulo"/>
          <w:b w:val="0"/>
          <w:sz w:val="26"/>
        </w:rPr>
        <w:t xml:space="preserve">tipificado en </w:t>
      </w:r>
      <w:r w:rsidR="0036167B" w:rsidRPr="0084697E">
        <w:rPr>
          <w:rStyle w:val="Numeracinttulo"/>
          <w:b w:val="0"/>
          <w:sz w:val="26"/>
        </w:rPr>
        <w:t>el inciso 2° artículo</w:t>
      </w:r>
      <w:r w:rsidR="001D7FFC" w:rsidRPr="0084697E">
        <w:rPr>
          <w:rStyle w:val="Numeracinttulo"/>
          <w:b w:val="0"/>
          <w:sz w:val="26"/>
        </w:rPr>
        <w:t xml:space="preserve"> 376 C.P., cargos que </w:t>
      </w:r>
      <w:r w:rsidR="00426CEA" w:rsidRPr="0084697E">
        <w:rPr>
          <w:rStyle w:val="Numeracinttulo"/>
          <w:b w:val="0"/>
          <w:sz w:val="26"/>
        </w:rPr>
        <w:t>NO ACEPTÓ</w:t>
      </w:r>
      <w:r w:rsidR="00F074B6" w:rsidRPr="0084697E">
        <w:rPr>
          <w:rStyle w:val="Numeracinttulo"/>
          <w:b w:val="0"/>
          <w:sz w:val="26"/>
        </w:rPr>
        <w:t>.</w:t>
      </w:r>
    </w:p>
    <w:p w14:paraId="5CC35C41" w14:textId="77777777" w:rsidR="00F074B6" w:rsidRPr="0084697E" w:rsidRDefault="00F074B6" w:rsidP="0091029F">
      <w:pPr>
        <w:rPr>
          <w:rStyle w:val="Numeracinttulo"/>
          <w:szCs w:val="24"/>
        </w:rPr>
      </w:pPr>
    </w:p>
    <w:p w14:paraId="4DB70E8B" w14:textId="77777777" w:rsidR="000C5B93" w:rsidRPr="0084697E" w:rsidRDefault="00BF7668" w:rsidP="0091029F">
      <w:pPr>
        <w:rPr>
          <w:rStyle w:val="Numeracinttulo"/>
          <w:b w:val="0"/>
          <w:sz w:val="26"/>
        </w:rPr>
      </w:pPr>
      <w:r w:rsidRPr="0084697E">
        <w:rPr>
          <w:rStyle w:val="Numeracinttulo"/>
          <w:szCs w:val="24"/>
        </w:rPr>
        <w:t>1.3.-</w:t>
      </w:r>
      <w:r w:rsidR="001B737D" w:rsidRPr="0084697E">
        <w:rPr>
          <w:rStyle w:val="Numeracinttulo"/>
          <w:b w:val="0"/>
          <w:sz w:val="26"/>
        </w:rPr>
        <w:t xml:space="preserve"> </w:t>
      </w:r>
      <w:r w:rsidR="001D7FFC" w:rsidRPr="0084697E">
        <w:rPr>
          <w:rStyle w:val="Numeracinttulo"/>
          <w:b w:val="0"/>
          <w:sz w:val="26"/>
        </w:rPr>
        <w:t>Frente a esa</w:t>
      </w:r>
      <w:r w:rsidR="006F48F7" w:rsidRPr="0084697E">
        <w:rPr>
          <w:rStyle w:val="Numeracinttulo"/>
          <w:b w:val="0"/>
          <w:sz w:val="26"/>
        </w:rPr>
        <w:t xml:space="preserve"> no aceptación, </w:t>
      </w:r>
      <w:r w:rsidR="00356290" w:rsidRPr="0084697E">
        <w:rPr>
          <w:rStyle w:val="Numeracinttulo"/>
          <w:b w:val="0"/>
          <w:sz w:val="26"/>
        </w:rPr>
        <w:t xml:space="preserve">la </w:t>
      </w:r>
      <w:r w:rsidR="008B5DF9" w:rsidRPr="0084697E">
        <w:rPr>
          <w:rStyle w:val="Numeracinttulo"/>
          <w:b w:val="0"/>
          <w:sz w:val="26"/>
        </w:rPr>
        <w:t>F</w:t>
      </w:r>
      <w:r w:rsidR="00356290" w:rsidRPr="0084697E">
        <w:rPr>
          <w:rStyle w:val="Numeracinttulo"/>
          <w:b w:val="0"/>
          <w:sz w:val="26"/>
        </w:rPr>
        <w:t>iscalía</w:t>
      </w:r>
      <w:r w:rsidR="0036167B" w:rsidRPr="0084697E">
        <w:rPr>
          <w:rStyle w:val="Numeracinttulo"/>
          <w:b w:val="0"/>
          <w:sz w:val="26"/>
        </w:rPr>
        <w:t xml:space="preserve"> radicó</w:t>
      </w:r>
      <w:r w:rsidR="0091029F" w:rsidRPr="0084697E">
        <w:rPr>
          <w:rStyle w:val="Numeracinttulo"/>
          <w:b w:val="0"/>
          <w:sz w:val="26"/>
        </w:rPr>
        <w:t xml:space="preserve"> escrito de acusación </w:t>
      </w:r>
      <w:r w:rsidR="00426CEA" w:rsidRPr="0084697E">
        <w:rPr>
          <w:rStyle w:val="Numeracinttulo"/>
          <w:b w:val="0"/>
          <w:sz w:val="26"/>
        </w:rPr>
        <w:t>(mayo 20 de</w:t>
      </w:r>
      <w:r w:rsidR="006F48F7" w:rsidRPr="0084697E">
        <w:rPr>
          <w:rStyle w:val="Numeracinttulo"/>
          <w:b w:val="0"/>
          <w:sz w:val="26"/>
        </w:rPr>
        <w:t xml:space="preserve"> 2016) </w:t>
      </w:r>
      <w:r w:rsidR="00431179" w:rsidRPr="0084697E">
        <w:rPr>
          <w:rStyle w:val="Numeracinttulo"/>
          <w:b w:val="0"/>
          <w:sz w:val="26"/>
        </w:rPr>
        <w:t xml:space="preserve">que se le asignó al Juzgado </w:t>
      </w:r>
      <w:r w:rsidR="006F48F7" w:rsidRPr="0084697E">
        <w:rPr>
          <w:rStyle w:val="Numeracinttulo"/>
          <w:b w:val="0"/>
          <w:sz w:val="26"/>
        </w:rPr>
        <w:t xml:space="preserve">Segundo </w:t>
      </w:r>
      <w:r w:rsidR="00356290" w:rsidRPr="0084697E">
        <w:rPr>
          <w:rStyle w:val="Numeracinttulo"/>
          <w:b w:val="0"/>
          <w:sz w:val="26"/>
        </w:rPr>
        <w:t xml:space="preserve">Penal del Circuito </w:t>
      </w:r>
      <w:r w:rsidR="006F48F7" w:rsidRPr="0084697E">
        <w:rPr>
          <w:rStyle w:val="Numeracinttulo"/>
          <w:b w:val="0"/>
          <w:sz w:val="26"/>
        </w:rPr>
        <w:t xml:space="preserve">Especializado Itinerante de Pereira </w:t>
      </w:r>
      <w:r w:rsidR="00356290" w:rsidRPr="0084697E">
        <w:rPr>
          <w:rStyle w:val="Numeracinttulo"/>
          <w:b w:val="0"/>
          <w:sz w:val="26"/>
        </w:rPr>
        <w:t>(Rda.)</w:t>
      </w:r>
      <w:r w:rsidR="0036167B" w:rsidRPr="0084697E">
        <w:rPr>
          <w:rStyle w:val="Numeracinttulo"/>
          <w:b w:val="0"/>
          <w:sz w:val="26"/>
        </w:rPr>
        <w:t>; sin embargo</w:t>
      </w:r>
      <w:r w:rsidR="00F6636A" w:rsidRPr="0084697E">
        <w:rPr>
          <w:rStyle w:val="Numeracinttulo"/>
          <w:b w:val="0"/>
          <w:sz w:val="26"/>
        </w:rPr>
        <w:t>, antes de llevarse a cabo l</w:t>
      </w:r>
      <w:r w:rsidR="00431179" w:rsidRPr="0084697E">
        <w:rPr>
          <w:rStyle w:val="Numeracinttulo"/>
          <w:b w:val="0"/>
          <w:sz w:val="26"/>
        </w:rPr>
        <w:t xml:space="preserve">a audiencia de </w:t>
      </w:r>
      <w:r w:rsidR="006F48F7" w:rsidRPr="0084697E">
        <w:rPr>
          <w:rStyle w:val="Numeracinttulo"/>
          <w:b w:val="0"/>
          <w:sz w:val="26"/>
        </w:rPr>
        <w:t>f</w:t>
      </w:r>
      <w:r w:rsidR="00426CEA" w:rsidRPr="0084697E">
        <w:rPr>
          <w:rStyle w:val="Numeracinttulo"/>
          <w:b w:val="0"/>
          <w:sz w:val="26"/>
        </w:rPr>
        <w:t xml:space="preserve">ormulación de acusación </w:t>
      </w:r>
      <w:r w:rsidR="006F48F7" w:rsidRPr="0084697E">
        <w:rPr>
          <w:rStyle w:val="Numeracinttulo"/>
          <w:b w:val="0"/>
          <w:sz w:val="26"/>
        </w:rPr>
        <w:t>se present</w:t>
      </w:r>
      <w:r w:rsidR="00731AE6" w:rsidRPr="0084697E">
        <w:rPr>
          <w:rStyle w:val="Numeracinttulo"/>
          <w:b w:val="0"/>
          <w:sz w:val="26"/>
        </w:rPr>
        <w:t>ó</w:t>
      </w:r>
      <w:r w:rsidR="006F48F7" w:rsidRPr="0084697E">
        <w:rPr>
          <w:rStyle w:val="Numeracinttulo"/>
          <w:b w:val="0"/>
          <w:sz w:val="26"/>
        </w:rPr>
        <w:t xml:space="preserve"> preacuerdo </w:t>
      </w:r>
      <w:r w:rsidR="002555E4" w:rsidRPr="0084697E">
        <w:rPr>
          <w:rStyle w:val="Numeracinttulo"/>
          <w:b w:val="0"/>
          <w:sz w:val="26"/>
        </w:rPr>
        <w:lastRenderedPageBreak/>
        <w:t xml:space="preserve">(enero 10 de 2017) </w:t>
      </w:r>
      <w:r w:rsidR="006F48F7" w:rsidRPr="0084697E">
        <w:rPr>
          <w:rStyle w:val="Numeracinttulo"/>
          <w:b w:val="0"/>
          <w:sz w:val="26"/>
        </w:rPr>
        <w:t xml:space="preserve">en el </w:t>
      </w:r>
      <w:r w:rsidR="00731AE6" w:rsidRPr="0084697E">
        <w:rPr>
          <w:rStyle w:val="Numeracinttulo"/>
          <w:b w:val="0"/>
          <w:sz w:val="26"/>
        </w:rPr>
        <w:t xml:space="preserve">que </w:t>
      </w:r>
      <w:r w:rsidR="00F6636A" w:rsidRPr="0084697E">
        <w:rPr>
          <w:rStyle w:val="Numeracinttulo"/>
          <w:b w:val="0"/>
          <w:sz w:val="26"/>
        </w:rPr>
        <w:t xml:space="preserve">el acusado </w:t>
      </w:r>
      <w:r w:rsidR="00F6636A" w:rsidRPr="0084697E">
        <w:rPr>
          <w:rStyle w:val="Numeracinttulo"/>
          <w:sz w:val="22"/>
          <w:szCs w:val="22"/>
        </w:rPr>
        <w:t>OSPINA CHAVARRO</w:t>
      </w:r>
      <w:r w:rsidR="006F48F7" w:rsidRPr="0084697E">
        <w:rPr>
          <w:rStyle w:val="Numeracinttulo"/>
          <w:b w:val="0"/>
          <w:sz w:val="26"/>
        </w:rPr>
        <w:t xml:space="preserve"> acepta su responsabilidad</w:t>
      </w:r>
      <w:r w:rsidR="006C0B3B" w:rsidRPr="0084697E">
        <w:rPr>
          <w:rStyle w:val="Numeracinttulo"/>
          <w:b w:val="0"/>
          <w:sz w:val="26"/>
        </w:rPr>
        <w:t xml:space="preserve"> a cambio de que se le reconozca </w:t>
      </w:r>
      <w:r w:rsidR="006F48F7" w:rsidRPr="0084697E">
        <w:rPr>
          <w:rStyle w:val="Numeracinttulo"/>
          <w:b w:val="0"/>
          <w:sz w:val="26"/>
        </w:rPr>
        <w:t>la circunstancia de marginalidad,</w:t>
      </w:r>
      <w:r w:rsidR="0036167B" w:rsidRPr="0084697E">
        <w:rPr>
          <w:rStyle w:val="Numeracinttulo"/>
          <w:b w:val="0"/>
          <w:sz w:val="26"/>
        </w:rPr>
        <w:t xml:space="preserve"> </w:t>
      </w:r>
      <w:r w:rsidR="006C0B3B" w:rsidRPr="0084697E">
        <w:rPr>
          <w:rStyle w:val="Numeracinttulo"/>
          <w:b w:val="0"/>
          <w:sz w:val="26"/>
        </w:rPr>
        <w:t>y se le imponga</w:t>
      </w:r>
      <w:r w:rsidR="003A4D4C" w:rsidRPr="0084697E">
        <w:rPr>
          <w:rStyle w:val="Numeracinttulo"/>
          <w:b w:val="0"/>
          <w:sz w:val="26"/>
        </w:rPr>
        <w:t xml:space="preserve"> </w:t>
      </w:r>
      <w:r w:rsidR="0036167B" w:rsidRPr="0084697E">
        <w:rPr>
          <w:rStyle w:val="Numeracinttulo"/>
          <w:b w:val="0"/>
          <w:sz w:val="26"/>
        </w:rPr>
        <w:t>una pena</w:t>
      </w:r>
      <w:r w:rsidR="003A4D4C" w:rsidRPr="0084697E">
        <w:rPr>
          <w:rStyle w:val="Numeracinttulo"/>
          <w:b w:val="0"/>
          <w:sz w:val="26"/>
        </w:rPr>
        <w:t xml:space="preserve"> d</w:t>
      </w:r>
      <w:r w:rsidR="00F6636A" w:rsidRPr="0084697E">
        <w:rPr>
          <w:rStyle w:val="Numeracinttulo"/>
          <w:b w:val="0"/>
          <w:sz w:val="26"/>
        </w:rPr>
        <w:t>e</w:t>
      </w:r>
      <w:r w:rsidR="008E3D0B" w:rsidRPr="0084697E">
        <w:rPr>
          <w:rStyle w:val="Numeracinttulo"/>
          <w:b w:val="0"/>
          <w:sz w:val="26"/>
        </w:rPr>
        <w:t xml:space="preserve"> </w:t>
      </w:r>
      <w:r w:rsidR="00F6636A" w:rsidRPr="0084697E">
        <w:rPr>
          <w:rStyle w:val="Numeracinttulo"/>
          <w:b w:val="0"/>
          <w:sz w:val="26"/>
        </w:rPr>
        <w:t>43 meses, 39 por el concierto para delinquir</w:t>
      </w:r>
      <w:r w:rsidR="0036167B" w:rsidRPr="0084697E">
        <w:rPr>
          <w:rStyle w:val="Numeracinttulo"/>
          <w:b w:val="0"/>
          <w:sz w:val="26"/>
        </w:rPr>
        <w:t xml:space="preserve">, aumentados en </w:t>
      </w:r>
      <w:r w:rsidR="00F6636A" w:rsidRPr="0084697E">
        <w:rPr>
          <w:rStyle w:val="Numeracinttulo"/>
          <w:b w:val="0"/>
          <w:sz w:val="26"/>
        </w:rPr>
        <w:t>4 por el punible tr</w:t>
      </w:r>
      <w:r w:rsidR="008E3D0B" w:rsidRPr="0084697E">
        <w:rPr>
          <w:rStyle w:val="Numeracinttulo"/>
          <w:b w:val="0"/>
          <w:sz w:val="26"/>
        </w:rPr>
        <w:t xml:space="preserve">áfico de estupefacientes, </w:t>
      </w:r>
      <w:r w:rsidR="0036167B" w:rsidRPr="0084697E">
        <w:rPr>
          <w:rStyle w:val="Numeracinttulo"/>
          <w:b w:val="0"/>
          <w:sz w:val="26"/>
        </w:rPr>
        <w:t>por lo que se</w:t>
      </w:r>
      <w:r w:rsidR="00EE45CD" w:rsidRPr="0084697E">
        <w:rPr>
          <w:rStyle w:val="Numeracinttulo"/>
          <w:b w:val="0"/>
          <w:sz w:val="26"/>
        </w:rPr>
        <w:t xml:space="preserve"> procedió</w:t>
      </w:r>
      <w:r w:rsidR="008C2BE3" w:rsidRPr="0084697E">
        <w:rPr>
          <w:rStyle w:val="Numeracinttulo"/>
          <w:b w:val="0"/>
          <w:sz w:val="26"/>
        </w:rPr>
        <w:t xml:space="preserve"> a realizar </w:t>
      </w:r>
      <w:r w:rsidR="00E22F57" w:rsidRPr="0084697E">
        <w:rPr>
          <w:rStyle w:val="Numeracinttulo"/>
          <w:b w:val="0"/>
          <w:sz w:val="26"/>
        </w:rPr>
        <w:t>la verificación respectiva</w:t>
      </w:r>
      <w:r w:rsidR="008C2BE3" w:rsidRPr="0084697E">
        <w:rPr>
          <w:rStyle w:val="Numeracinttulo"/>
          <w:b w:val="0"/>
          <w:sz w:val="26"/>
        </w:rPr>
        <w:t xml:space="preserve">. Posteriormente se efectuó la audiencia </w:t>
      </w:r>
      <w:r w:rsidR="00731AE6" w:rsidRPr="0084697E">
        <w:rPr>
          <w:rStyle w:val="Numeracinttulo"/>
          <w:b w:val="0"/>
          <w:sz w:val="26"/>
        </w:rPr>
        <w:t xml:space="preserve">de </w:t>
      </w:r>
      <w:r w:rsidR="00E22F57" w:rsidRPr="0084697E">
        <w:rPr>
          <w:rStyle w:val="Numeracinttulo"/>
          <w:b w:val="0"/>
          <w:sz w:val="26"/>
        </w:rPr>
        <w:t>aprobación de dicha negociación</w:t>
      </w:r>
      <w:r w:rsidR="00F074B6" w:rsidRPr="0084697E">
        <w:rPr>
          <w:rStyle w:val="Numeracinttulo"/>
          <w:b w:val="0"/>
          <w:sz w:val="26"/>
        </w:rPr>
        <w:t xml:space="preserve"> e</w:t>
      </w:r>
      <w:r w:rsidR="008C2BE3" w:rsidRPr="0084697E">
        <w:rPr>
          <w:rStyle w:val="Numeracinttulo"/>
          <w:b w:val="0"/>
          <w:sz w:val="26"/>
        </w:rPr>
        <w:t xml:space="preserve"> </w:t>
      </w:r>
      <w:r w:rsidR="00731AE6" w:rsidRPr="0084697E">
        <w:rPr>
          <w:rStyle w:val="Numeracinttulo"/>
          <w:b w:val="0"/>
          <w:sz w:val="26"/>
        </w:rPr>
        <w:t xml:space="preserve">individualización </w:t>
      </w:r>
      <w:r w:rsidR="00356290" w:rsidRPr="0084697E">
        <w:rPr>
          <w:rStyle w:val="Numeracinttulo"/>
          <w:b w:val="0"/>
          <w:sz w:val="26"/>
        </w:rPr>
        <w:t>de pena y sentencia</w:t>
      </w:r>
      <w:r w:rsidR="008E3D0B" w:rsidRPr="0084697E">
        <w:rPr>
          <w:rStyle w:val="Numeracinttulo"/>
          <w:b w:val="0"/>
          <w:sz w:val="26"/>
        </w:rPr>
        <w:t xml:space="preserve"> (marzo 09 de 2017</w:t>
      </w:r>
      <w:r w:rsidR="008C2BE3" w:rsidRPr="0084697E">
        <w:rPr>
          <w:rStyle w:val="Numeracinttulo"/>
          <w:b w:val="0"/>
          <w:sz w:val="26"/>
        </w:rPr>
        <w:t xml:space="preserve">), </w:t>
      </w:r>
      <w:r w:rsidR="002555E4" w:rsidRPr="0084697E">
        <w:rPr>
          <w:rStyle w:val="Numeracinttulo"/>
          <w:b w:val="0"/>
          <w:sz w:val="26"/>
        </w:rPr>
        <w:t xml:space="preserve">acto en el que se dispuso la ruptura de la unidad </w:t>
      </w:r>
      <w:r w:rsidR="001D7FFC" w:rsidRPr="0084697E">
        <w:rPr>
          <w:rStyle w:val="Numeracinttulo"/>
          <w:b w:val="0"/>
          <w:sz w:val="26"/>
        </w:rPr>
        <w:t>procesal respecto de los coacusados</w:t>
      </w:r>
      <w:r w:rsidR="002555E4" w:rsidRPr="0084697E">
        <w:rPr>
          <w:rStyle w:val="Numeracinttulo"/>
          <w:b w:val="0"/>
          <w:sz w:val="26"/>
        </w:rPr>
        <w:t xml:space="preserve"> OMAR JASSON SEGURA y JHON DEYBER GIRALDO HENAO, </w:t>
      </w:r>
      <w:r w:rsidR="000C5B93" w:rsidRPr="0084697E">
        <w:rPr>
          <w:rStyle w:val="Numeracinttulo"/>
          <w:b w:val="0"/>
          <w:sz w:val="26"/>
        </w:rPr>
        <w:t>y</w:t>
      </w:r>
      <w:r w:rsidR="006A1272" w:rsidRPr="0084697E">
        <w:rPr>
          <w:rStyle w:val="Numeracinttulo"/>
          <w:b w:val="0"/>
          <w:sz w:val="26"/>
        </w:rPr>
        <w:t xml:space="preserve"> finalmente</w:t>
      </w:r>
      <w:r w:rsidR="000C5B93" w:rsidRPr="0084697E">
        <w:rPr>
          <w:rStyle w:val="Numeracinttulo"/>
          <w:b w:val="0"/>
          <w:sz w:val="26"/>
        </w:rPr>
        <w:t xml:space="preserve"> se dio lectura al respectiv</w:t>
      </w:r>
      <w:r w:rsidR="00731AE6" w:rsidRPr="0084697E">
        <w:rPr>
          <w:rStyle w:val="Numeracinttulo"/>
          <w:b w:val="0"/>
          <w:sz w:val="26"/>
        </w:rPr>
        <w:t xml:space="preserve">o fallo </w:t>
      </w:r>
      <w:r w:rsidR="00E22F57" w:rsidRPr="0084697E">
        <w:rPr>
          <w:rStyle w:val="Numeracinttulo"/>
          <w:b w:val="0"/>
          <w:sz w:val="26"/>
        </w:rPr>
        <w:t>(marzo 22</w:t>
      </w:r>
      <w:r w:rsidR="008E3D0B" w:rsidRPr="0084697E">
        <w:rPr>
          <w:rStyle w:val="Numeracinttulo"/>
          <w:b w:val="0"/>
          <w:sz w:val="26"/>
        </w:rPr>
        <w:t xml:space="preserve"> de 2017).</w:t>
      </w:r>
    </w:p>
    <w:p w14:paraId="02B5B7AD" w14:textId="77777777" w:rsidR="00307E4D" w:rsidRPr="0084697E" w:rsidRDefault="00FB14DB" w:rsidP="0091029F">
      <w:pPr>
        <w:rPr>
          <w:rStyle w:val="Numeracinttulo"/>
          <w:b w:val="0"/>
          <w:sz w:val="26"/>
        </w:rPr>
      </w:pPr>
      <w:r w:rsidRPr="0084697E">
        <w:rPr>
          <w:rStyle w:val="Numeracinttulo"/>
          <w:b w:val="0"/>
          <w:sz w:val="26"/>
        </w:rPr>
        <w:t xml:space="preserve"> </w:t>
      </w:r>
    </w:p>
    <w:p w14:paraId="10541EC6" w14:textId="77777777" w:rsidR="002555E4" w:rsidRPr="0084697E" w:rsidRDefault="0091029F" w:rsidP="004730B5">
      <w:pPr>
        <w:rPr>
          <w:rStyle w:val="Numeracinttulo"/>
          <w:b w:val="0"/>
          <w:sz w:val="26"/>
        </w:rPr>
      </w:pPr>
      <w:r w:rsidRPr="0084697E">
        <w:rPr>
          <w:rStyle w:val="Numeracinttulo"/>
          <w:szCs w:val="24"/>
        </w:rPr>
        <w:t>1.</w:t>
      </w:r>
      <w:r w:rsidR="00BF7668" w:rsidRPr="0084697E">
        <w:rPr>
          <w:rStyle w:val="Numeracinttulo"/>
          <w:szCs w:val="24"/>
        </w:rPr>
        <w:t>4</w:t>
      </w:r>
      <w:r w:rsidRPr="0084697E">
        <w:rPr>
          <w:rStyle w:val="Numeracinttulo"/>
          <w:szCs w:val="24"/>
        </w:rPr>
        <w:t>.-</w:t>
      </w:r>
      <w:r w:rsidR="00F074B6" w:rsidRPr="0084697E">
        <w:rPr>
          <w:rStyle w:val="Numeracinttulo"/>
          <w:b w:val="0"/>
          <w:sz w:val="26"/>
        </w:rPr>
        <w:t xml:space="preserve"> Para llegar a la</w:t>
      </w:r>
      <w:r w:rsidR="00BF7B1C" w:rsidRPr="0084697E">
        <w:rPr>
          <w:rStyle w:val="Numeracinttulo"/>
          <w:b w:val="0"/>
          <w:sz w:val="26"/>
        </w:rPr>
        <w:t xml:space="preserve"> </w:t>
      </w:r>
      <w:r w:rsidR="00F074B6" w:rsidRPr="0084697E">
        <w:rPr>
          <w:rStyle w:val="Numeracinttulo"/>
          <w:b w:val="0"/>
          <w:sz w:val="26"/>
        </w:rPr>
        <w:t xml:space="preserve">determinación </w:t>
      </w:r>
      <w:r w:rsidR="00BF7B1C" w:rsidRPr="0084697E">
        <w:rPr>
          <w:rStyle w:val="Numeracinttulo"/>
          <w:b w:val="0"/>
          <w:sz w:val="26"/>
        </w:rPr>
        <w:t xml:space="preserve">de </w:t>
      </w:r>
      <w:r w:rsidR="000C5B93" w:rsidRPr="0084697E">
        <w:rPr>
          <w:rStyle w:val="Numeracinttulo"/>
          <w:b w:val="0"/>
          <w:sz w:val="26"/>
        </w:rPr>
        <w:t>condena</w:t>
      </w:r>
      <w:r w:rsidR="00BF7B1C" w:rsidRPr="0084697E">
        <w:rPr>
          <w:rStyle w:val="Numeracinttulo"/>
          <w:b w:val="0"/>
          <w:sz w:val="26"/>
        </w:rPr>
        <w:t>,</w:t>
      </w:r>
      <w:r w:rsidR="006A0AA3" w:rsidRPr="0084697E">
        <w:rPr>
          <w:rStyle w:val="Numeracinttulo"/>
          <w:b w:val="0"/>
          <w:sz w:val="26"/>
        </w:rPr>
        <w:t xml:space="preserve"> el a quo</w:t>
      </w:r>
      <w:r w:rsidR="00BF7B1C" w:rsidRPr="0084697E">
        <w:rPr>
          <w:rStyle w:val="Numeracinttulo"/>
          <w:b w:val="0"/>
          <w:sz w:val="26"/>
        </w:rPr>
        <w:t xml:space="preserve"> </w:t>
      </w:r>
      <w:r w:rsidR="000C5B93" w:rsidRPr="0084697E">
        <w:rPr>
          <w:rStyle w:val="Numeracinttulo"/>
          <w:b w:val="0"/>
          <w:sz w:val="26"/>
        </w:rPr>
        <w:t xml:space="preserve">tuvo en cuenta la aceptación de cargos que </w:t>
      </w:r>
      <w:r w:rsidR="008C2BE3" w:rsidRPr="0084697E">
        <w:rPr>
          <w:rStyle w:val="Numeracinttulo"/>
          <w:b w:val="0"/>
          <w:sz w:val="26"/>
        </w:rPr>
        <w:t>p</w:t>
      </w:r>
      <w:r w:rsidR="001D7FFC" w:rsidRPr="0084697E">
        <w:rPr>
          <w:rStyle w:val="Numeracinttulo"/>
          <w:b w:val="0"/>
          <w:sz w:val="26"/>
        </w:rPr>
        <w:t xml:space="preserve">or medio de preacuerdo efectuó </w:t>
      </w:r>
      <w:r w:rsidR="002555E4" w:rsidRPr="0084697E">
        <w:rPr>
          <w:rStyle w:val="Numeracinttulo"/>
          <w:sz w:val="22"/>
          <w:szCs w:val="22"/>
        </w:rPr>
        <w:t>OSPINA CHAVARRO</w:t>
      </w:r>
      <w:r w:rsidR="000C5B93" w:rsidRPr="0084697E">
        <w:rPr>
          <w:rStyle w:val="Numeracinttulo"/>
          <w:b w:val="0"/>
          <w:sz w:val="26"/>
        </w:rPr>
        <w:t>, habiéndose aportado por el órgano en</w:t>
      </w:r>
      <w:r w:rsidR="00E650FA" w:rsidRPr="0084697E">
        <w:rPr>
          <w:rStyle w:val="Numeracinttulo"/>
          <w:b w:val="0"/>
          <w:sz w:val="26"/>
        </w:rPr>
        <w:t>cargado de la persecución penal</w:t>
      </w:r>
      <w:r w:rsidR="001D7FFC" w:rsidRPr="0084697E">
        <w:rPr>
          <w:rStyle w:val="Numeracinttulo"/>
          <w:b w:val="0"/>
          <w:sz w:val="26"/>
        </w:rPr>
        <w:t xml:space="preserve"> elementos probatorios que demo</w:t>
      </w:r>
      <w:r w:rsidR="000C5B93" w:rsidRPr="0084697E">
        <w:rPr>
          <w:rStyle w:val="Numeracinttulo"/>
          <w:b w:val="0"/>
          <w:sz w:val="26"/>
        </w:rPr>
        <w:t>stra</w:t>
      </w:r>
      <w:r w:rsidR="001D7FFC" w:rsidRPr="0084697E">
        <w:rPr>
          <w:rStyle w:val="Numeracinttulo"/>
          <w:b w:val="0"/>
          <w:sz w:val="26"/>
        </w:rPr>
        <w:t>ban</w:t>
      </w:r>
      <w:r w:rsidR="000C5B93" w:rsidRPr="0084697E">
        <w:rPr>
          <w:rStyle w:val="Numeracinttulo"/>
          <w:b w:val="0"/>
          <w:sz w:val="26"/>
        </w:rPr>
        <w:t xml:space="preserve"> que efectivamente </w:t>
      </w:r>
      <w:r w:rsidR="002555E4" w:rsidRPr="0084697E">
        <w:rPr>
          <w:rStyle w:val="Numeracinttulo"/>
          <w:b w:val="0"/>
          <w:sz w:val="26"/>
        </w:rPr>
        <w:t>el procesado hacía</w:t>
      </w:r>
      <w:r w:rsidR="008C2BE3" w:rsidRPr="0084697E">
        <w:rPr>
          <w:rStyle w:val="Numeracinttulo"/>
          <w:b w:val="0"/>
          <w:sz w:val="26"/>
        </w:rPr>
        <w:t xml:space="preserve"> parte de una org</w:t>
      </w:r>
      <w:r w:rsidR="003A4D4C" w:rsidRPr="0084697E">
        <w:rPr>
          <w:rStyle w:val="Numeracinttulo"/>
          <w:b w:val="0"/>
          <w:sz w:val="26"/>
        </w:rPr>
        <w:t xml:space="preserve">anización delincuencial </w:t>
      </w:r>
      <w:r w:rsidR="002555E4" w:rsidRPr="0084697E">
        <w:rPr>
          <w:rStyle w:val="Numeracinttulo"/>
          <w:b w:val="0"/>
          <w:sz w:val="26"/>
        </w:rPr>
        <w:t xml:space="preserve">denominada “Los Libertadores”, dedicada </w:t>
      </w:r>
      <w:r w:rsidR="008C2BE3" w:rsidRPr="0084697E">
        <w:rPr>
          <w:rStyle w:val="Numeracinttulo"/>
          <w:b w:val="0"/>
          <w:sz w:val="26"/>
        </w:rPr>
        <w:t xml:space="preserve">a la comercialización de sustancias estupefacientes en </w:t>
      </w:r>
      <w:r w:rsidR="002555E4" w:rsidRPr="0084697E">
        <w:rPr>
          <w:rStyle w:val="Numeracinttulo"/>
          <w:b w:val="0"/>
          <w:sz w:val="26"/>
        </w:rPr>
        <w:t>la comuna 9 del municipio de Dosquebradas (Rda.)</w:t>
      </w:r>
      <w:r w:rsidR="008C2BE3" w:rsidRPr="0084697E">
        <w:rPr>
          <w:rStyle w:val="Numeracinttulo"/>
          <w:b w:val="0"/>
          <w:sz w:val="26"/>
        </w:rPr>
        <w:t>.</w:t>
      </w:r>
    </w:p>
    <w:p w14:paraId="062D4AE2" w14:textId="77777777" w:rsidR="004F7C32" w:rsidRPr="0084697E" w:rsidRDefault="004F7C32" w:rsidP="004730B5">
      <w:pPr>
        <w:rPr>
          <w:rStyle w:val="Numeracinttulo"/>
          <w:b w:val="0"/>
          <w:sz w:val="26"/>
        </w:rPr>
      </w:pPr>
    </w:p>
    <w:p w14:paraId="129E6605" w14:textId="77777777" w:rsidR="002555E4" w:rsidRPr="0084697E" w:rsidRDefault="00E22F57" w:rsidP="004730B5">
      <w:pPr>
        <w:rPr>
          <w:rStyle w:val="Numeracinttulo"/>
          <w:b w:val="0"/>
          <w:sz w:val="26"/>
        </w:rPr>
      </w:pPr>
      <w:r w:rsidRPr="0084697E">
        <w:rPr>
          <w:rStyle w:val="Numeracinttulo"/>
          <w:b w:val="0"/>
          <w:sz w:val="26"/>
        </w:rPr>
        <w:t xml:space="preserve">De igual forma, negó </w:t>
      </w:r>
      <w:r w:rsidR="002555E4" w:rsidRPr="0084697E">
        <w:rPr>
          <w:rStyle w:val="Numeracinttulo"/>
          <w:b w:val="0"/>
          <w:sz w:val="26"/>
        </w:rPr>
        <w:t xml:space="preserve">la solicitud efectuada por el Procurador de imponer al judicializado la pena accesoria </w:t>
      </w:r>
      <w:r w:rsidR="006F7196" w:rsidRPr="0084697E">
        <w:rPr>
          <w:rStyle w:val="Numeracinttulo"/>
          <w:b w:val="0"/>
          <w:sz w:val="26"/>
        </w:rPr>
        <w:t xml:space="preserve">perpetua </w:t>
      </w:r>
      <w:r w:rsidR="002555E4" w:rsidRPr="0084697E">
        <w:rPr>
          <w:rStyle w:val="Numeracinttulo"/>
          <w:b w:val="0"/>
          <w:sz w:val="26"/>
        </w:rPr>
        <w:t xml:space="preserve">señalada en el inciso 5º del artículo 122 </w:t>
      </w:r>
      <w:r w:rsidRPr="0084697E">
        <w:rPr>
          <w:rStyle w:val="Numeracinttulo"/>
          <w:b w:val="0"/>
          <w:sz w:val="26"/>
        </w:rPr>
        <w:t xml:space="preserve">C.P., por tratarse de delitos </w:t>
      </w:r>
      <w:r w:rsidR="00E97FCF" w:rsidRPr="0084697E">
        <w:rPr>
          <w:rStyle w:val="Numeracinttulo"/>
          <w:b w:val="0"/>
          <w:sz w:val="26"/>
        </w:rPr>
        <w:t>conexos con e</w:t>
      </w:r>
      <w:r w:rsidR="00AB2D17" w:rsidRPr="0084697E">
        <w:rPr>
          <w:rStyle w:val="Numeracinttulo"/>
          <w:b w:val="0"/>
          <w:sz w:val="26"/>
        </w:rPr>
        <w:t xml:space="preserve">l narcotráfico, </w:t>
      </w:r>
      <w:r w:rsidR="008A05F3" w:rsidRPr="0084697E">
        <w:rPr>
          <w:rStyle w:val="Numeracinttulo"/>
          <w:b w:val="0"/>
          <w:sz w:val="26"/>
        </w:rPr>
        <w:t>con apoyo en sentencia de esta Sala de febrero 22 de 2017 radicado 2016-0129</w:t>
      </w:r>
      <w:r w:rsidR="00E97FCF" w:rsidRPr="0084697E">
        <w:rPr>
          <w:rStyle w:val="Numeracinttulo"/>
          <w:b w:val="0"/>
          <w:sz w:val="26"/>
        </w:rPr>
        <w:t xml:space="preserve">, </w:t>
      </w:r>
      <w:r w:rsidR="008A05F3" w:rsidRPr="0084697E">
        <w:rPr>
          <w:rStyle w:val="Numeracinttulo"/>
          <w:b w:val="0"/>
          <w:sz w:val="26"/>
        </w:rPr>
        <w:t xml:space="preserve">e </w:t>
      </w:r>
      <w:r w:rsidR="00E97FCF" w:rsidRPr="0084697E">
        <w:rPr>
          <w:rStyle w:val="Numeracinttulo"/>
          <w:b w:val="0"/>
          <w:sz w:val="26"/>
        </w:rPr>
        <w:t xml:space="preserve">indicó que </w:t>
      </w:r>
      <w:r w:rsidR="00BF1588" w:rsidRPr="0084697E">
        <w:rPr>
          <w:rStyle w:val="Numeracinttulo"/>
          <w:b w:val="0"/>
          <w:sz w:val="26"/>
        </w:rPr>
        <w:t>no obstante lo citado en dicha determinación, e incluso en decisión de marzo 13 de 2017 radicado 2016-00080 de esta misma Co</w:t>
      </w:r>
      <w:r w:rsidR="006F7196" w:rsidRPr="0084697E">
        <w:rPr>
          <w:rStyle w:val="Numeracinttulo"/>
          <w:b w:val="0"/>
          <w:sz w:val="26"/>
        </w:rPr>
        <w:t xml:space="preserve">rporación, </w:t>
      </w:r>
      <w:r w:rsidR="00F16EDA" w:rsidRPr="0084697E">
        <w:rPr>
          <w:rStyle w:val="Numeracinttulo"/>
          <w:b w:val="0"/>
          <w:sz w:val="26"/>
        </w:rPr>
        <w:t>e</w:t>
      </w:r>
      <w:r w:rsidR="006F7196" w:rsidRPr="0084697E">
        <w:rPr>
          <w:rStyle w:val="Numeracinttulo"/>
          <w:b w:val="0"/>
          <w:sz w:val="26"/>
        </w:rPr>
        <w:t>l despacho insistiría</w:t>
      </w:r>
      <w:r w:rsidR="00BF1588" w:rsidRPr="0084697E">
        <w:rPr>
          <w:rStyle w:val="Numeracinttulo"/>
          <w:b w:val="0"/>
          <w:sz w:val="26"/>
        </w:rPr>
        <w:t xml:space="preserve"> en la posición que ha tenido sobre el tema, en cuant</w:t>
      </w:r>
      <w:r w:rsidR="006F7196" w:rsidRPr="0084697E">
        <w:rPr>
          <w:rStyle w:val="Numeracinttulo"/>
          <w:b w:val="0"/>
          <w:sz w:val="26"/>
        </w:rPr>
        <w:t xml:space="preserve">o a que no le es dable al juez aplicar </w:t>
      </w:r>
      <w:r w:rsidR="00BF1588" w:rsidRPr="0084697E">
        <w:rPr>
          <w:rStyle w:val="Numeracinttulo"/>
          <w:b w:val="0"/>
          <w:sz w:val="26"/>
        </w:rPr>
        <w:t>d</w:t>
      </w:r>
      <w:r w:rsidRPr="0084697E">
        <w:rPr>
          <w:rStyle w:val="Numeracinttulo"/>
          <w:b w:val="0"/>
          <w:sz w:val="26"/>
        </w:rPr>
        <w:t xml:space="preserve">icha sanción porque no tiene </w:t>
      </w:r>
      <w:r w:rsidR="00BF1588" w:rsidRPr="0084697E">
        <w:rPr>
          <w:rStyle w:val="Numeracinttulo"/>
          <w:b w:val="0"/>
          <w:sz w:val="26"/>
        </w:rPr>
        <w:t xml:space="preserve">carácter de pena accesoria sino </w:t>
      </w:r>
      <w:r w:rsidRPr="0084697E">
        <w:rPr>
          <w:rStyle w:val="Numeracinttulo"/>
          <w:b w:val="0"/>
          <w:sz w:val="26"/>
        </w:rPr>
        <w:t>d</w:t>
      </w:r>
      <w:r w:rsidR="00F62A4E" w:rsidRPr="0084697E">
        <w:rPr>
          <w:rStyle w:val="Numeracinttulo"/>
          <w:b w:val="0"/>
          <w:sz w:val="26"/>
        </w:rPr>
        <w:t>isciplinaria</w:t>
      </w:r>
      <w:r w:rsidR="00096E53" w:rsidRPr="0084697E">
        <w:rPr>
          <w:rStyle w:val="Numeracinttulo"/>
          <w:b w:val="0"/>
          <w:sz w:val="26"/>
        </w:rPr>
        <w:t xml:space="preserve">, </w:t>
      </w:r>
      <w:r w:rsidR="00F62A4E" w:rsidRPr="0084697E">
        <w:rPr>
          <w:rStyle w:val="Numeracinttulo"/>
          <w:b w:val="0"/>
          <w:sz w:val="26"/>
        </w:rPr>
        <w:t>de conformidad con</w:t>
      </w:r>
      <w:r w:rsidR="00BF1588" w:rsidRPr="0084697E">
        <w:rPr>
          <w:rStyle w:val="Numeracinttulo"/>
          <w:b w:val="0"/>
          <w:sz w:val="26"/>
        </w:rPr>
        <w:t xml:space="preserve"> lo considerado al respecto por la Corte Constitucional</w:t>
      </w:r>
      <w:r w:rsidRPr="0084697E">
        <w:rPr>
          <w:rStyle w:val="Numeracinttulo"/>
          <w:b w:val="0"/>
          <w:sz w:val="26"/>
        </w:rPr>
        <w:t xml:space="preserve"> en la C-630/12,</w:t>
      </w:r>
      <w:r w:rsidR="00BF1588" w:rsidRPr="0084697E">
        <w:rPr>
          <w:rStyle w:val="Numeracinttulo"/>
          <w:b w:val="0"/>
          <w:sz w:val="26"/>
        </w:rPr>
        <w:t xml:space="preserve"> aspecto que no fue dilucidado en los referidos fallos. </w:t>
      </w:r>
    </w:p>
    <w:p w14:paraId="61BC7DD8" w14:textId="77777777" w:rsidR="00DE6595" w:rsidRPr="0084697E" w:rsidRDefault="00DE6595" w:rsidP="004730B5">
      <w:pPr>
        <w:rPr>
          <w:rStyle w:val="Numeracinttulo"/>
          <w:b w:val="0"/>
          <w:sz w:val="26"/>
        </w:rPr>
      </w:pPr>
    </w:p>
    <w:p w14:paraId="1734B1DF" w14:textId="77777777" w:rsidR="00FB3983" w:rsidRPr="0084697E" w:rsidRDefault="00DE6595" w:rsidP="0091029F">
      <w:pPr>
        <w:rPr>
          <w:rStyle w:val="Numeracinttulo"/>
          <w:b w:val="0"/>
          <w:sz w:val="26"/>
        </w:rPr>
      </w:pPr>
      <w:r w:rsidRPr="0084697E">
        <w:rPr>
          <w:rStyle w:val="Numeracinttulo"/>
          <w:b w:val="0"/>
          <w:sz w:val="26"/>
        </w:rPr>
        <w:lastRenderedPageBreak/>
        <w:t>De igual</w:t>
      </w:r>
      <w:r w:rsidR="00891253" w:rsidRPr="0084697E">
        <w:rPr>
          <w:rStyle w:val="Numeracinttulo"/>
          <w:b w:val="0"/>
          <w:sz w:val="26"/>
        </w:rPr>
        <w:t xml:space="preserve"> forma, </w:t>
      </w:r>
      <w:r w:rsidRPr="0084697E">
        <w:rPr>
          <w:rStyle w:val="Numeracinttulo"/>
          <w:b w:val="0"/>
          <w:sz w:val="26"/>
        </w:rPr>
        <w:t>la inhabilidad establecida en el inciso 2º del artículo 51 C.P.</w:t>
      </w:r>
      <w:r w:rsidR="00891253" w:rsidRPr="0084697E">
        <w:rPr>
          <w:rStyle w:val="Numeracinttulo"/>
          <w:b w:val="0"/>
          <w:sz w:val="26"/>
        </w:rPr>
        <w:t xml:space="preserve"> tiene un límite temporal</w:t>
      </w:r>
      <w:r w:rsidRPr="0084697E">
        <w:rPr>
          <w:rStyle w:val="Numeracinttulo"/>
          <w:b w:val="0"/>
          <w:sz w:val="26"/>
        </w:rPr>
        <w:t xml:space="preserve">, </w:t>
      </w:r>
      <w:r w:rsidR="00891253" w:rsidRPr="0084697E">
        <w:rPr>
          <w:rStyle w:val="Numeracinttulo"/>
          <w:b w:val="0"/>
          <w:sz w:val="26"/>
        </w:rPr>
        <w:t xml:space="preserve">y la excepción para que sea perpetua </w:t>
      </w:r>
      <w:r w:rsidRPr="0084697E">
        <w:rPr>
          <w:rStyle w:val="Numeracinttulo"/>
          <w:b w:val="0"/>
          <w:sz w:val="26"/>
        </w:rPr>
        <w:t>solo aplica para los servidores públicos</w:t>
      </w:r>
      <w:r w:rsidR="00891253" w:rsidRPr="0084697E">
        <w:rPr>
          <w:rStyle w:val="Numeracinttulo"/>
          <w:b w:val="0"/>
          <w:sz w:val="26"/>
        </w:rPr>
        <w:t xml:space="preserve"> que hayan atentado </w:t>
      </w:r>
      <w:r w:rsidR="002B6565" w:rsidRPr="0084697E">
        <w:rPr>
          <w:rStyle w:val="Numeracinttulo"/>
          <w:b w:val="0"/>
          <w:sz w:val="26"/>
        </w:rPr>
        <w:t>contra el patrimonio del Estado, y no para otros procesados y delitos</w:t>
      </w:r>
      <w:r w:rsidR="008E5991" w:rsidRPr="0084697E">
        <w:rPr>
          <w:rStyle w:val="Numeracinttulo"/>
          <w:b w:val="0"/>
          <w:sz w:val="26"/>
        </w:rPr>
        <w:t>.</w:t>
      </w:r>
    </w:p>
    <w:p w14:paraId="5B9868CA" w14:textId="77777777" w:rsidR="002B6565" w:rsidRPr="0084697E" w:rsidRDefault="002B6565" w:rsidP="0091029F">
      <w:pPr>
        <w:rPr>
          <w:rStyle w:val="Numeracinttulo"/>
          <w:b w:val="0"/>
          <w:sz w:val="26"/>
        </w:rPr>
      </w:pPr>
    </w:p>
    <w:p w14:paraId="00F8F0BE" w14:textId="4ADA454B" w:rsidR="00DA4E76" w:rsidRPr="0084697E" w:rsidRDefault="00640B87" w:rsidP="00F05F48">
      <w:pPr>
        <w:rPr>
          <w:rStyle w:val="Numeracinttulo"/>
          <w:b w:val="0"/>
          <w:sz w:val="26"/>
        </w:rPr>
      </w:pPr>
      <w:r w:rsidRPr="0084697E">
        <w:rPr>
          <w:rStyle w:val="Numeracinttulo"/>
        </w:rPr>
        <w:t>1.</w:t>
      </w:r>
      <w:r w:rsidR="00BF7668" w:rsidRPr="0084697E">
        <w:rPr>
          <w:rStyle w:val="Numeracinttulo"/>
        </w:rPr>
        <w:t>5</w:t>
      </w:r>
      <w:r w:rsidRPr="0084697E">
        <w:rPr>
          <w:rStyle w:val="Numeracinttulo"/>
        </w:rPr>
        <w:t>.-</w:t>
      </w:r>
      <w:r w:rsidR="008C2BE3" w:rsidRPr="0084697E">
        <w:rPr>
          <w:rStyle w:val="Numeracinttulo"/>
          <w:b w:val="0"/>
          <w:sz w:val="26"/>
        </w:rPr>
        <w:t xml:space="preserve"> El señor agente del Ministerio Público </w:t>
      </w:r>
      <w:r w:rsidR="003C35A2" w:rsidRPr="0084697E">
        <w:rPr>
          <w:rStyle w:val="Numeracinttulo"/>
          <w:b w:val="0"/>
          <w:sz w:val="26"/>
        </w:rPr>
        <w:t>se mostr</w:t>
      </w:r>
      <w:r w:rsidR="008C2BE3" w:rsidRPr="0084697E">
        <w:rPr>
          <w:rStyle w:val="Numeracinttulo"/>
          <w:b w:val="0"/>
          <w:sz w:val="26"/>
        </w:rPr>
        <w:t>ó</w:t>
      </w:r>
      <w:r w:rsidR="003C35A2" w:rsidRPr="0084697E">
        <w:rPr>
          <w:rStyle w:val="Numeracinttulo"/>
          <w:b w:val="0"/>
          <w:sz w:val="26"/>
        </w:rPr>
        <w:t xml:space="preserve"> inconforme con la </w:t>
      </w:r>
      <w:r w:rsidRPr="0084697E">
        <w:rPr>
          <w:rStyle w:val="Numeracinttulo"/>
          <w:b w:val="0"/>
          <w:sz w:val="26"/>
        </w:rPr>
        <w:t>decisión,</w:t>
      </w:r>
      <w:r w:rsidR="003C35A2" w:rsidRPr="0084697E">
        <w:rPr>
          <w:rStyle w:val="Numeracinttulo"/>
          <w:b w:val="0"/>
          <w:sz w:val="26"/>
        </w:rPr>
        <w:t xml:space="preserve"> y </w:t>
      </w:r>
      <w:r w:rsidR="0017190F" w:rsidRPr="0084697E">
        <w:rPr>
          <w:rStyle w:val="Numeracinttulo"/>
          <w:b w:val="0"/>
          <w:sz w:val="26"/>
        </w:rPr>
        <w:t>procedió a sustentar el rec</w:t>
      </w:r>
      <w:r w:rsidR="005D3494" w:rsidRPr="0084697E">
        <w:rPr>
          <w:rStyle w:val="Numeracinttulo"/>
          <w:b w:val="0"/>
          <w:sz w:val="26"/>
        </w:rPr>
        <w:t>urso por escrito dentro de los cinco</w:t>
      </w:r>
      <w:r w:rsidR="0017190F" w:rsidRPr="0084697E">
        <w:rPr>
          <w:rStyle w:val="Numeracinttulo"/>
          <w:b w:val="0"/>
          <w:sz w:val="26"/>
        </w:rPr>
        <w:t xml:space="preserve"> días siguientes</w:t>
      </w:r>
      <w:r w:rsidR="000C5B93" w:rsidRPr="0084697E">
        <w:rPr>
          <w:rStyle w:val="Numeracinttulo"/>
          <w:b w:val="0"/>
          <w:sz w:val="26"/>
        </w:rPr>
        <w:t>.</w:t>
      </w:r>
      <w:r w:rsidRPr="0084697E">
        <w:rPr>
          <w:rStyle w:val="Numeracinttulo"/>
          <w:b w:val="0"/>
          <w:sz w:val="26"/>
        </w:rPr>
        <w:t xml:space="preserve"> </w:t>
      </w:r>
    </w:p>
    <w:p w14:paraId="339A7848" w14:textId="77777777" w:rsidR="00570B8B" w:rsidRPr="0084697E" w:rsidRDefault="00570B8B" w:rsidP="00F05F48">
      <w:pPr>
        <w:rPr>
          <w:rStyle w:val="Numeracinttulo"/>
          <w:b w:val="0"/>
          <w:sz w:val="26"/>
        </w:rPr>
      </w:pPr>
    </w:p>
    <w:p w14:paraId="316CB5BF" w14:textId="77777777" w:rsidR="00F05F48" w:rsidRPr="0084697E" w:rsidRDefault="00F05F48" w:rsidP="00F05F48">
      <w:pPr>
        <w:rPr>
          <w:rStyle w:val="Algerian"/>
        </w:rPr>
      </w:pPr>
      <w:r w:rsidRPr="0084697E">
        <w:rPr>
          <w:rStyle w:val="Algerian"/>
        </w:rPr>
        <w:t>2.- Debate</w:t>
      </w:r>
    </w:p>
    <w:p w14:paraId="32851CEE" w14:textId="77777777" w:rsidR="00F05F48" w:rsidRPr="0084697E" w:rsidRDefault="00F05F48" w:rsidP="00F05F48">
      <w:r w:rsidRPr="0084697E">
        <w:t xml:space="preserve"> </w:t>
      </w:r>
    </w:p>
    <w:p w14:paraId="37B3A74F" w14:textId="77777777" w:rsidR="00691DF7" w:rsidRPr="0084697E" w:rsidRDefault="00691DF7" w:rsidP="00691DF7">
      <w:pPr>
        <w:rPr>
          <w:rStyle w:val="Numeracinttulo"/>
          <w:b w:val="0"/>
          <w:sz w:val="26"/>
        </w:rPr>
      </w:pPr>
      <w:r w:rsidRPr="0084697E">
        <w:rPr>
          <w:rStyle w:val="Numeracinttulo"/>
        </w:rPr>
        <w:t>2.1</w:t>
      </w:r>
      <w:r w:rsidRPr="0084697E">
        <w:rPr>
          <w:rStyle w:val="Numeracinttulo"/>
          <w:sz w:val="26"/>
        </w:rPr>
        <w:t xml:space="preserve">.- </w:t>
      </w:r>
      <w:r w:rsidR="008C2BE3" w:rsidRPr="0084697E">
        <w:rPr>
          <w:rStyle w:val="Numeracinttulo"/>
          <w:b w:val="0"/>
          <w:sz w:val="26"/>
        </w:rPr>
        <w:t xml:space="preserve">Ministerio Público </w:t>
      </w:r>
      <w:r w:rsidRPr="0084697E">
        <w:rPr>
          <w:rStyle w:val="Numeracinttulo"/>
          <w:rFonts w:ascii="Verdana" w:hAnsi="Verdana"/>
          <w:b w:val="0"/>
          <w:sz w:val="20"/>
          <w:szCs w:val="20"/>
        </w:rPr>
        <w:t>–recurrente-</w:t>
      </w:r>
    </w:p>
    <w:p w14:paraId="2C386B31" w14:textId="77777777" w:rsidR="00AF08EF" w:rsidRPr="0084697E" w:rsidRDefault="00AF08EF" w:rsidP="00691DF7">
      <w:pPr>
        <w:rPr>
          <w:rStyle w:val="Numeracinttulo"/>
          <w:b w:val="0"/>
          <w:sz w:val="26"/>
        </w:rPr>
      </w:pPr>
    </w:p>
    <w:p w14:paraId="14842F74" w14:textId="265EFC05" w:rsidR="00AE11E7" w:rsidRPr="0084697E" w:rsidRDefault="00AF08EF" w:rsidP="00691DF7">
      <w:pPr>
        <w:rPr>
          <w:rStyle w:val="Numeracinttulo"/>
          <w:b w:val="0"/>
          <w:sz w:val="26"/>
        </w:rPr>
      </w:pPr>
      <w:r w:rsidRPr="0084697E">
        <w:rPr>
          <w:rStyle w:val="Numeracinttulo"/>
          <w:b w:val="0"/>
          <w:sz w:val="26"/>
        </w:rPr>
        <w:t>Solicita d</w:t>
      </w:r>
      <w:r w:rsidR="00AE11E7" w:rsidRPr="0084697E">
        <w:rPr>
          <w:rStyle w:val="Numeracinttulo"/>
          <w:b w:val="0"/>
          <w:sz w:val="26"/>
        </w:rPr>
        <w:t>el Tribunal</w:t>
      </w:r>
      <w:r w:rsidRPr="0084697E">
        <w:rPr>
          <w:rStyle w:val="Numeracinttulo"/>
          <w:b w:val="0"/>
          <w:sz w:val="26"/>
        </w:rPr>
        <w:t xml:space="preserve"> que</w:t>
      </w:r>
      <w:r w:rsidR="00AE11E7" w:rsidRPr="0084697E">
        <w:rPr>
          <w:rStyle w:val="Numeracinttulo"/>
          <w:b w:val="0"/>
          <w:sz w:val="26"/>
        </w:rPr>
        <w:t xml:space="preserve"> haga valer su propio preced</w:t>
      </w:r>
      <w:r w:rsidR="00955980" w:rsidRPr="0084697E">
        <w:rPr>
          <w:rStyle w:val="Numeracinttulo"/>
          <w:b w:val="0"/>
          <w:sz w:val="26"/>
        </w:rPr>
        <w:t xml:space="preserve">ente y la normativa superior, y, en consecuencia, se </w:t>
      </w:r>
      <w:r w:rsidR="00AE11E7" w:rsidRPr="0084697E">
        <w:rPr>
          <w:rStyle w:val="Numeracinttulo"/>
          <w:b w:val="0"/>
          <w:sz w:val="26"/>
        </w:rPr>
        <w:t xml:space="preserve">modifique </w:t>
      </w:r>
      <w:r w:rsidR="00703202" w:rsidRPr="0084697E">
        <w:rPr>
          <w:rStyle w:val="Numeracinttulo"/>
          <w:b w:val="0"/>
          <w:sz w:val="26"/>
        </w:rPr>
        <w:t>la sentencia</w:t>
      </w:r>
      <w:r w:rsidR="00AE11E7" w:rsidRPr="0084697E">
        <w:rPr>
          <w:rStyle w:val="Numeracinttulo"/>
          <w:b w:val="0"/>
          <w:sz w:val="26"/>
        </w:rPr>
        <w:t xml:space="preserve"> impugnada</w:t>
      </w:r>
      <w:r w:rsidR="00FD6400" w:rsidRPr="0084697E">
        <w:rPr>
          <w:rStyle w:val="Numeracinttulo"/>
          <w:b w:val="0"/>
          <w:sz w:val="26"/>
        </w:rPr>
        <w:t xml:space="preserve"> en el sentido de </w:t>
      </w:r>
      <w:r w:rsidR="00AE11E7" w:rsidRPr="0084697E">
        <w:rPr>
          <w:rStyle w:val="Numeracinttulo"/>
          <w:b w:val="0"/>
          <w:sz w:val="26"/>
        </w:rPr>
        <w:t xml:space="preserve">declarar expresamente </w:t>
      </w:r>
      <w:r w:rsidR="00FD6400" w:rsidRPr="0084697E">
        <w:rPr>
          <w:rStyle w:val="Numeracinttulo"/>
          <w:b w:val="0"/>
          <w:sz w:val="26"/>
        </w:rPr>
        <w:t xml:space="preserve"> la </w:t>
      </w:r>
      <w:r w:rsidR="00AE11E7" w:rsidRPr="0084697E">
        <w:rPr>
          <w:rStyle w:val="Numeracinttulo"/>
          <w:b w:val="0"/>
          <w:sz w:val="26"/>
        </w:rPr>
        <w:t xml:space="preserve">aplicación de la </w:t>
      </w:r>
      <w:r w:rsidR="00FD6400" w:rsidRPr="0084697E">
        <w:rPr>
          <w:rStyle w:val="Numeracinttulo"/>
          <w:b w:val="0"/>
          <w:sz w:val="26"/>
        </w:rPr>
        <w:t xml:space="preserve">inhabilidad perpetua a </w:t>
      </w:r>
      <w:r w:rsidRPr="0084697E">
        <w:rPr>
          <w:rStyle w:val="Numeracinttulo"/>
          <w:b w:val="0"/>
          <w:sz w:val="26"/>
        </w:rPr>
        <w:t xml:space="preserve">la </w:t>
      </w:r>
      <w:r w:rsidR="00FD6400" w:rsidRPr="0084697E">
        <w:rPr>
          <w:rStyle w:val="Numeracinttulo"/>
          <w:b w:val="0"/>
          <w:sz w:val="26"/>
        </w:rPr>
        <w:t>que alude el artículo 122 C.N.,</w:t>
      </w:r>
      <w:r w:rsidR="00AE11E7" w:rsidRPr="0084697E">
        <w:rPr>
          <w:rStyle w:val="Numeracinttulo"/>
          <w:b w:val="0"/>
          <w:sz w:val="26"/>
        </w:rPr>
        <w:t xml:space="preserve"> en consonancia c</w:t>
      </w:r>
      <w:r w:rsidRPr="0084697E">
        <w:rPr>
          <w:rStyle w:val="Numeracinttulo"/>
          <w:b w:val="0"/>
          <w:sz w:val="26"/>
        </w:rPr>
        <w:t>on los artículos 51 y 63 C.P. Y al</w:t>
      </w:r>
      <w:r w:rsidR="00AE11E7" w:rsidRPr="0084697E">
        <w:rPr>
          <w:rStyle w:val="Numeracinttulo"/>
          <w:b w:val="0"/>
          <w:sz w:val="26"/>
        </w:rPr>
        <w:t xml:space="preserve"> efecto argumentó:</w:t>
      </w:r>
    </w:p>
    <w:p w14:paraId="2E1D3CC7" w14:textId="77777777" w:rsidR="00AE11E7" w:rsidRPr="0084697E" w:rsidRDefault="00AE11E7" w:rsidP="00691DF7">
      <w:pPr>
        <w:rPr>
          <w:rStyle w:val="Numeracinttulo"/>
          <w:b w:val="0"/>
          <w:sz w:val="26"/>
        </w:rPr>
      </w:pPr>
    </w:p>
    <w:p w14:paraId="32B15B49" w14:textId="77777777" w:rsidR="001B114A" w:rsidRPr="0084697E" w:rsidRDefault="001B114A" w:rsidP="00691DF7">
      <w:pPr>
        <w:rPr>
          <w:rStyle w:val="Numeracinttulo"/>
          <w:b w:val="0"/>
          <w:sz w:val="26"/>
        </w:rPr>
      </w:pPr>
      <w:r w:rsidRPr="0084697E">
        <w:rPr>
          <w:rStyle w:val="Numeracinttulo"/>
          <w:b w:val="0"/>
          <w:sz w:val="26"/>
        </w:rPr>
        <w:t>Según lo indicado</w:t>
      </w:r>
      <w:r w:rsidR="005F77AD" w:rsidRPr="0084697E">
        <w:rPr>
          <w:rStyle w:val="Numeracinttulo"/>
          <w:b w:val="0"/>
          <w:sz w:val="26"/>
        </w:rPr>
        <w:t xml:space="preserve"> en la Convención de las Naciones Unidas contra el Tráfico Ilícito de Estupefacientes y Sustancias Psicotrópicas de 1988, en las sentencias C-176/94 y CSJ SP rad. 41760, el narcotráfico ha sido definido genéricamente como la conducta que comete quien transporta, almacena, conserva, vende o suministra drogas, de la que se exceptúa el llevar consigo.</w:t>
      </w:r>
    </w:p>
    <w:p w14:paraId="5907D3D0" w14:textId="77777777" w:rsidR="005F77AD" w:rsidRPr="0084697E" w:rsidRDefault="005F77AD" w:rsidP="00691DF7">
      <w:pPr>
        <w:rPr>
          <w:rStyle w:val="Numeracinttulo"/>
          <w:b w:val="0"/>
          <w:sz w:val="26"/>
        </w:rPr>
      </w:pPr>
    </w:p>
    <w:p w14:paraId="1C55B9AB" w14:textId="77777777" w:rsidR="005F77AD" w:rsidRPr="0084697E" w:rsidRDefault="005F77AD" w:rsidP="00691DF7">
      <w:pPr>
        <w:rPr>
          <w:rStyle w:val="Numeracinttulo"/>
          <w:b w:val="0"/>
          <w:sz w:val="26"/>
        </w:rPr>
      </w:pPr>
      <w:r w:rsidRPr="0084697E">
        <w:rPr>
          <w:rStyle w:val="Numeracinttulo"/>
          <w:b w:val="0"/>
          <w:sz w:val="26"/>
        </w:rPr>
        <w:t>Los</w:t>
      </w:r>
      <w:r w:rsidR="00230C49" w:rsidRPr="0084697E">
        <w:rPr>
          <w:rStyle w:val="Numeracinttulo"/>
          <w:b w:val="0"/>
          <w:sz w:val="26"/>
        </w:rPr>
        <w:t xml:space="preserve"> jueces penales deben declarar la vigencia de la inhabilidad</w:t>
      </w:r>
      <w:r w:rsidRPr="0084697E">
        <w:rPr>
          <w:rStyle w:val="Numeracinttulo"/>
          <w:b w:val="0"/>
          <w:sz w:val="26"/>
        </w:rPr>
        <w:t xml:space="preserve"> </w:t>
      </w:r>
      <w:r w:rsidR="00BE51D3" w:rsidRPr="0084697E">
        <w:rPr>
          <w:rStyle w:val="Numeracinttulo"/>
          <w:b w:val="0"/>
          <w:sz w:val="26"/>
        </w:rPr>
        <w:t xml:space="preserve">en su sentencia para evitar que una vez se logre la rehabilitación de los derechos políticos, y se extinga la pena de prisión, las personas queden licenciadas en la base de datos SIRI de la Procuraduría General de la Nación para desempeñar cargos públicos y contratar con el Estado, conforme lo dispuesto en el inciso final del artículo 63 C.P., exigencia que está enfocada </w:t>
      </w:r>
      <w:r w:rsidR="00BE51D3" w:rsidRPr="0084697E">
        <w:rPr>
          <w:rStyle w:val="Numeracinttulo"/>
          <w:b w:val="0"/>
          <w:sz w:val="26"/>
        </w:rPr>
        <w:lastRenderedPageBreak/>
        <w:t>a los jueces y no a las autoridades encargadas de la administración de la anotaciones criminales, las cuales no son generadoras de datos.</w:t>
      </w:r>
    </w:p>
    <w:p w14:paraId="1FC08634" w14:textId="77777777" w:rsidR="00BE51D3" w:rsidRPr="0084697E" w:rsidRDefault="00BE51D3" w:rsidP="00691DF7">
      <w:pPr>
        <w:rPr>
          <w:rStyle w:val="Numeracinttulo"/>
          <w:b w:val="0"/>
          <w:sz w:val="26"/>
        </w:rPr>
      </w:pPr>
    </w:p>
    <w:p w14:paraId="37E92B65" w14:textId="77777777" w:rsidR="00BE51D3" w:rsidRPr="0084697E" w:rsidRDefault="00BE51D3" w:rsidP="00691DF7">
      <w:pPr>
        <w:rPr>
          <w:rStyle w:val="Numeracinttulo"/>
          <w:b w:val="0"/>
          <w:sz w:val="26"/>
        </w:rPr>
      </w:pPr>
      <w:r w:rsidRPr="0084697E">
        <w:rPr>
          <w:rStyle w:val="Numeracinttulo"/>
          <w:b w:val="0"/>
          <w:sz w:val="26"/>
        </w:rPr>
        <w:t xml:space="preserve">Olvida el juez a quo que los únicos que pueden declarar inhabilidades son las autoridades disciplinarias, fiscales y judiciales, previo proceso declarativo. En consecuencia, de ninguna manera podría tenerse vigente una inhabilidad en una base de datos como SIRI, sin una declaración previa </w:t>
      </w:r>
      <w:r w:rsidRPr="0084697E">
        <w:rPr>
          <w:rStyle w:val="Numeracinttulo"/>
          <w:rFonts w:ascii="Verdana" w:hAnsi="Verdana"/>
          <w:b w:val="0"/>
          <w:sz w:val="20"/>
          <w:szCs w:val="20"/>
        </w:rPr>
        <w:t>–art. 174 Ley 734/02-</w:t>
      </w:r>
      <w:r w:rsidRPr="0084697E">
        <w:rPr>
          <w:rStyle w:val="Numeracinttulo"/>
          <w:b w:val="0"/>
          <w:sz w:val="26"/>
        </w:rPr>
        <w:t>.</w:t>
      </w:r>
    </w:p>
    <w:p w14:paraId="07328581" w14:textId="77777777" w:rsidR="00BE51D3" w:rsidRPr="0084697E" w:rsidRDefault="00BE51D3" w:rsidP="00691DF7">
      <w:pPr>
        <w:rPr>
          <w:rStyle w:val="Numeracinttulo"/>
          <w:b w:val="0"/>
          <w:sz w:val="26"/>
        </w:rPr>
      </w:pPr>
    </w:p>
    <w:p w14:paraId="3838681A" w14:textId="77777777" w:rsidR="00BE51D3" w:rsidRPr="0084697E" w:rsidRDefault="00BE51D3" w:rsidP="00691DF7">
      <w:pPr>
        <w:rPr>
          <w:rStyle w:val="Numeracinttulo"/>
          <w:b w:val="0"/>
          <w:sz w:val="26"/>
        </w:rPr>
      </w:pPr>
      <w:r w:rsidRPr="0084697E">
        <w:rPr>
          <w:rStyle w:val="Numeracinttulo"/>
          <w:b w:val="0"/>
          <w:sz w:val="26"/>
        </w:rPr>
        <w:t>Si bien las inhabilidades pueden entenderse aplicables de pleno derecho, su registro debe estar antecedido de un acto que así lo ordene, so pena de vulnerar el derecho al habeas data. Por esa razón, la Corte Constitucional en la sentencia C-1066/02 declaró exequible la norma anotada del Código Único Disciplinario, en el entendido que el certificado de antecedentes implica el retiro de las anotaciones a la fecha de su expiración, salvo cuando se haya declarado la inhabilidad intemporal del artículo 122.</w:t>
      </w:r>
    </w:p>
    <w:p w14:paraId="66FE76CC" w14:textId="77777777" w:rsidR="00BE51D3" w:rsidRPr="0084697E" w:rsidRDefault="00BE51D3" w:rsidP="00691DF7">
      <w:pPr>
        <w:rPr>
          <w:rStyle w:val="Numeracinttulo"/>
          <w:b w:val="0"/>
          <w:sz w:val="26"/>
        </w:rPr>
      </w:pPr>
    </w:p>
    <w:p w14:paraId="4B2069A5" w14:textId="76344CF5" w:rsidR="00BE51D3" w:rsidRPr="0084697E" w:rsidRDefault="00BE51D3" w:rsidP="00691DF7">
      <w:pPr>
        <w:rPr>
          <w:rStyle w:val="Numeracinttulo"/>
          <w:b w:val="0"/>
          <w:sz w:val="26"/>
        </w:rPr>
      </w:pPr>
      <w:r w:rsidRPr="0084697E">
        <w:rPr>
          <w:rStyle w:val="Numeracinttulo"/>
          <w:b w:val="0"/>
          <w:sz w:val="26"/>
        </w:rPr>
        <w:t xml:space="preserve">Tan importante es el tema de las inhabilidades y su imperiosa declaración, que en la sentencia T-512/16 la Corte Constitucional analizó el caso de un hombre que a pesar de haber sido condenado por abuso sexual logró nombramiento </w:t>
      </w:r>
      <w:r w:rsidR="002956A9" w:rsidRPr="0084697E">
        <w:rPr>
          <w:rStyle w:val="Numeracinttulo"/>
          <w:b w:val="0"/>
          <w:sz w:val="26"/>
        </w:rPr>
        <w:t>por concurso como docente, toda vez que no se reportó adecuadamente ante el SIRI la inhabilidad para desempeñar cargos públicos, pro</w:t>
      </w:r>
      <w:r w:rsidR="00955980" w:rsidRPr="0084697E">
        <w:rPr>
          <w:rStyle w:val="Numeracinttulo"/>
          <w:b w:val="0"/>
          <w:sz w:val="26"/>
        </w:rPr>
        <w:t>nunciamiento en el cual el alto Tribunal</w:t>
      </w:r>
      <w:r w:rsidR="002956A9" w:rsidRPr="0084697E">
        <w:rPr>
          <w:rStyle w:val="Numeracinttulo"/>
          <w:b w:val="0"/>
          <w:sz w:val="26"/>
        </w:rPr>
        <w:t xml:space="preserve"> reiteró que en materia punitiva n</w:t>
      </w:r>
      <w:r w:rsidR="00D167BB" w:rsidRPr="0084697E">
        <w:rPr>
          <w:rStyle w:val="Numeracinttulo"/>
          <w:b w:val="0"/>
          <w:sz w:val="26"/>
        </w:rPr>
        <w:t xml:space="preserve">o existe el derecho al olvido, </w:t>
      </w:r>
      <w:r w:rsidR="00955980" w:rsidRPr="0084697E">
        <w:rPr>
          <w:rStyle w:val="Numeracinttulo"/>
          <w:b w:val="0"/>
          <w:sz w:val="26"/>
        </w:rPr>
        <w:t xml:space="preserve">reconoció </w:t>
      </w:r>
      <w:r w:rsidR="002956A9" w:rsidRPr="0084697E">
        <w:rPr>
          <w:rStyle w:val="Numeracinttulo"/>
          <w:b w:val="0"/>
          <w:sz w:val="26"/>
        </w:rPr>
        <w:t xml:space="preserve">la existencia de la inhabilidad y </w:t>
      </w:r>
      <w:r w:rsidR="00955980" w:rsidRPr="0084697E">
        <w:rPr>
          <w:rStyle w:val="Numeracinttulo"/>
          <w:b w:val="0"/>
          <w:sz w:val="26"/>
        </w:rPr>
        <w:t xml:space="preserve">dispuso </w:t>
      </w:r>
      <w:r w:rsidR="002956A9" w:rsidRPr="0084697E">
        <w:rPr>
          <w:rStyle w:val="Numeracinttulo"/>
          <w:b w:val="0"/>
          <w:sz w:val="26"/>
        </w:rPr>
        <w:t>la revocatoria del nombramiento.</w:t>
      </w:r>
    </w:p>
    <w:p w14:paraId="3581AA3F" w14:textId="77777777" w:rsidR="00432B7E" w:rsidRPr="0084697E" w:rsidRDefault="00432B7E" w:rsidP="00691DF7">
      <w:pPr>
        <w:rPr>
          <w:rStyle w:val="Numeracinttulo"/>
          <w:b w:val="0"/>
          <w:sz w:val="26"/>
        </w:rPr>
      </w:pPr>
    </w:p>
    <w:p w14:paraId="4A6CFB6B" w14:textId="77777777" w:rsidR="00432B7E" w:rsidRPr="0084697E" w:rsidRDefault="00432B7E" w:rsidP="00691DF7">
      <w:pPr>
        <w:rPr>
          <w:rStyle w:val="Numeracinttulo"/>
          <w:b w:val="0"/>
          <w:sz w:val="26"/>
        </w:rPr>
      </w:pPr>
      <w:r w:rsidRPr="0084697E">
        <w:rPr>
          <w:rStyle w:val="Numeracinttulo"/>
          <w:b w:val="0"/>
          <w:sz w:val="26"/>
        </w:rPr>
        <w:t xml:space="preserve">Lo expuesto por el fallador de primer nivel deviene contradictorio cuando reconoce que el artículo 51 cataloga como imperativa la inhabilidad del artículo 122 pero no la aplica. Si bien la norma hace relación a casos en los que se afecte el patrimonio del Estado, ello obedece a que la redacción del texto original de la norma se enfocaba exclusivamente a ese tipo de conducta, no obstante, con posterioridad al acto legislativo 1 de 2009, </w:t>
      </w:r>
      <w:r w:rsidRPr="0084697E">
        <w:rPr>
          <w:rStyle w:val="Numeracinttulo"/>
          <w:b w:val="0"/>
          <w:sz w:val="26"/>
        </w:rPr>
        <w:lastRenderedPageBreak/>
        <w:t>norma posterior al Código Penal y de categoría superior, se extendió dicha inhabilidad a otros delitos</w:t>
      </w:r>
      <w:r w:rsidR="00665E44" w:rsidRPr="0084697E">
        <w:rPr>
          <w:rStyle w:val="Numeracinttulo"/>
          <w:b w:val="0"/>
          <w:sz w:val="26"/>
        </w:rPr>
        <w:t>, entre los que se encuentra el narcotráfico.</w:t>
      </w:r>
    </w:p>
    <w:p w14:paraId="51F60B1E" w14:textId="77777777" w:rsidR="00380708" w:rsidRPr="0084697E" w:rsidRDefault="00380708" w:rsidP="00691DF7">
      <w:pPr>
        <w:rPr>
          <w:rStyle w:val="Numeracinttulo"/>
          <w:b w:val="0"/>
          <w:sz w:val="26"/>
        </w:rPr>
      </w:pPr>
    </w:p>
    <w:p w14:paraId="6715502B" w14:textId="68688543" w:rsidR="00380708" w:rsidRPr="0084697E" w:rsidRDefault="00380708" w:rsidP="00691DF7">
      <w:pPr>
        <w:rPr>
          <w:rStyle w:val="Numeracinttulo"/>
          <w:b w:val="0"/>
          <w:sz w:val="26"/>
        </w:rPr>
      </w:pPr>
      <w:r w:rsidRPr="0084697E">
        <w:rPr>
          <w:rStyle w:val="Numeracinttulo"/>
          <w:b w:val="0"/>
          <w:sz w:val="26"/>
        </w:rPr>
        <w:t xml:space="preserve">El funcionario de primer </w:t>
      </w:r>
      <w:r w:rsidR="00B069E6" w:rsidRPr="0084697E">
        <w:rPr>
          <w:rStyle w:val="Numeracinttulo"/>
          <w:b w:val="0"/>
          <w:sz w:val="26"/>
        </w:rPr>
        <w:t xml:space="preserve">grado </w:t>
      </w:r>
      <w:r w:rsidRPr="0084697E">
        <w:rPr>
          <w:rStyle w:val="Numeracinttulo"/>
          <w:b w:val="0"/>
          <w:sz w:val="26"/>
        </w:rPr>
        <w:t>indicó que la inhabilidad no es una pena, en lo que le asiste razón, pero lo que no se comparte es que diga que no tiene compete</w:t>
      </w:r>
      <w:r w:rsidR="003D32DB" w:rsidRPr="0084697E">
        <w:rPr>
          <w:rStyle w:val="Numeracinttulo"/>
          <w:b w:val="0"/>
          <w:sz w:val="26"/>
        </w:rPr>
        <w:t xml:space="preserve">ncia para declararla, con </w:t>
      </w:r>
      <w:r w:rsidRPr="0084697E">
        <w:rPr>
          <w:rStyle w:val="Numeracinttulo"/>
          <w:b w:val="0"/>
          <w:sz w:val="26"/>
        </w:rPr>
        <w:t>mayor razón cuando es perpetua y en Colombia no existen penas irredimibles, puesto que ya se dijo que en materia punitiva</w:t>
      </w:r>
      <w:r w:rsidR="003D32DB" w:rsidRPr="0084697E">
        <w:rPr>
          <w:rStyle w:val="Numeracinttulo"/>
          <w:b w:val="0"/>
          <w:sz w:val="26"/>
        </w:rPr>
        <w:t xml:space="preserve"> no existe el derecho al olvido</w:t>
      </w:r>
      <w:r w:rsidRPr="0084697E">
        <w:rPr>
          <w:rStyle w:val="Numeracinttulo"/>
          <w:b w:val="0"/>
          <w:sz w:val="26"/>
        </w:rPr>
        <w:t>, y con ello dejó de lado el sentido teleológico del citado artículo 51 en interpretación sistemática con el 63 ibídem, en cuanto a que esa inhabilidad es una sanción constitucional, y por ello solo puede ser impuesta por un juez luego de un proceso. Al respecto se pronunció la Corte Constitucional en las sentencias C-038/96, C-1212/01 y C373/02</w:t>
      </w:r>
      <w:r w:rsidRPr="0084697E">
        <w:rPr>
          <w:rStyle w:val="Numeracinttulo"/>
          <w:rFonts w:ascii="Verdana" w:hAnsi="Verdana"/>
          <w:b w:val="0"/>
          <w:sz w:val="20"/>
          <w:szCs w:val="20"/>
        </w:rPr>
        <w:t xml:space="preserve"> -cita los apartes pertinentes-</w:t>
      </w:r>
      <w:r w:rsidRPr="0084697E">
        <w:rPr>
          <w:rStyle w:val="Numeracinttulo"/>
          <w:b w:val="0"/>
          <w:sz w:val="26"/>
        </w:rPr>
        <w:t>.</w:t>
      </w:r>
    </w:p>
    <w:p w14:paraId="37B16C65" w14:textId="77777777" w:rsidR="00380708" w:rsidRPr="0084697E" w:rsidRDefault="00380708" w:rsidP="00691DF7">
      <w:pPr>
        <w:rPr>
          <w:rStyle w:val="Numeracinttulo"/>
          <w:b w:val="0"/>
          <w:sz w:val="26"/>
        </w:rPr>
      </w:pPr>
    </w:p>
    <w:p w14:paraId="2C983250" w14:textId="5F96CB7D" w:rsidR="00BC41A1" w:rsidRPr="0084697E" w:rsidRDefault="00380708" w:rsidP="00691DF7">
      <w:pPr>
        <w:rPr>
          <w:rStyle w:val="Numeracinttulo"/>
          <w:b w:val="0"/>
          <w:sz w:val="26"/>
        </w:rPr>
      </w:pPr>
      <w:r w:rsidRPr="0084697E">
        <w:rPr>
          <w:rStyle w:val="Numeracinttulo"/>
          <w:b w:val="0"/>
          <w:sz w:val="26"/>
        </w:rPr>
        <w:t>El recurso no está fundad</w:t>
      </w:r>
      <w:r w:rsidR="00B069E6" w:rsidRPr="0084697E">
        <w:rPr>
          <w:rStyle w:val="Numeracinttulo"/>
          <w:b w:val="0"/>
          <w:sz w:val="26"/>
        </w:rPr>
        <w:t>o en un capricho de su parte</w:t>
      </w:r>
      <w:r w:rsidRPr="0084697E">
        <w:rPr>
          <w:rStyle w:val="Numeracinttulo"/>
          <w:b w:val="0"/>
          <w:sz w:val="26"/>
        </w:rPr>
        <w:t>, sino en la necesidad de ejercer la defensa del interés de la sociedad conforme al artículo 277 Superior, y</w:t>
      </w:r>
      <w:r w:rsidR="00B069E6" w:rsidRPr="0084697E">
        <w:rPr>
          <w:rStyle w:val="Numeracinttulo"/>
          <w:b w:val="0"/>
          <w:sz w:val="26"/>
        </w:rPr>
        <w:t xml:space="preserve"> </w:t>
      </w:r>
      <w:r w:rsidR="003D32DB" w:rsidRPr="0084697E">
        <w:rPr>
          <w:rStyle w:val="Numeracinttulo"/>
          <w:b w:val="0"/>
          <w:sz w:val="26"/>
        </w:rPr>
        <w:t>se mantengan</w:t>
      </w:r>
      <w:r w:rsidRPr="0084697E">
        <w:rPr>
          <w:rStyle w:val="Numeracinttulo"/>
          <w:b w:val="0"/>
          <w:sz w:val="26"/>
        </w:rPr>
        <w:t xml:space="preserve"> vigente</w:t>
      </w:r>
      <w:r w:rsidR="003D32DB" w:rsidRPr="0084697E">
        <w:rPr>
          <w:rStyle w:val="Numeracinttulo"/>
          <w:b w:val="0"/>
          <w:sz w:val="26"/>
        </w:rPr>
        <w:t>s</w:t>
      </w:r>
      <w:r w:rsidRPr="0084697E">
        <w:rPr>
          <w:rStyle w:val="Numeracinttulo"/>
          <w:b w:val="0"/>
          <w:sz w:val="26"/>
        </w:rPr>
        <w:t xml:space="preserve"> los registros de la base de datos SIRI, </w:t>
      </w:r>
      <w:r w:rsidR="003D32DB" w:rsidRPr="0084697E">
        <w:rPr>
          <w:rStyle w:val="Numeracinttulo"/>
          <w:b w:val="0"/>
          <w:sz w:val="26"/>
        </w:rPr>
        <w:t>en aras de evitar que personas</w:t>
      </w:r>
      <w:r w:rsidRPr="0084697E">
        <w:rPr>
          <w:rStyle w:val="Numeracinttulo"/>
          <w:b w:val="0"/>
          <w:sz w:val="26"/>
        </w:rPr>
        <w:t xml:space="preserve"> condenadas </w:t>
      </w:r>
      <w:r w:rsidR="00BC41A1" w:rsidRPr="0084697E">
        <w:rPr>
          <w:rStyle w:val="Numeracinttulo"/>
          <w:b w:val="0"/>
          <w:sz w:val="26"/>
        </w:rPr>
        <w:t xml:space="preserve">por </w:t>
      </w:r>
      <w:r w:rsidR="003D32DB" w:rsidRPr="0084697E">
        <w:rPr>
          <w:rStyle w:val="Numeracinttulo"/>
          <w:b w:val="0"/>
          <w:sz w:val="26"/>
        </w:rPr>
        <w:t xml:space="preserve">los </w:t>
      </w:r>
      <w:r w:rsidR="00BC41A1" w:rsidRPr="0084697E">
        <w:rPr>
          <w:rStyle w:val="Numeracinttulo"/>
          <w:b w:val="0"/>
          <w:sz w:val="26"/>
        </w:rPr>
        <w:t xml:space="preserve">delitos referidos en el artículo 122 Constitucional, incluso por peculado, retornen a la función pública </w:t>
      </w:r>
      <w:r w:rsidR="003D32DB" w:rsidRPr="0084697E">
        <w:rPr>
          <w:rStyle w:val="Numeracinttulo"/>
          <w:b w:val="0"/>
          <w:sz w:val="26"/>
        </w:rPr>
        <w:t xml:space="preserve">debido a que </w:t>
      </w:r>
      <w:r w:rsidR="00BC41A1" w:rsidRPr="0084697E">
        <w:rPr>
          <w:rStyle w:val="Numeracinttulo"/>
          <w:b w:val="0"/>
          <w:sz w:val="26"/>
        </w:rPr>
        <w:t>los jueces penales omitieron la declaración respectiva y la orden del registro de la inhabilidad intemporal en la citada base de dato</w:t>
      </w:r>
      <w:r w:rsidR="003D32DB" w:rsidRPr="0084697E">
        <w:rPr>
          <w:rStyle w:val="Numeracinttulo"/>
          <w:b w:val="0"/>
          <w:sz w:val="26"/>
        </w:rPr>
        <w:t>s</w:t>
      </w:r>
      <w:r w:rsidR="00BC41A1" w:rsidRPr="0084697E">
        <w:rPr>
          <w:rStyle w:val="Numeracinttulo"/>
          <w:b w:val="0"/>
          <w:sz w:val="26"/>
        </w:rPr>
        <w:t>, como ocurre en la actualidad.</w:t>
      </w:r>
    </w:p>
    <w:p w14:paraId="65CEF5CF" w14:textId="77777777" w:rsidR="00BC41A1" w:rsidRPr="0084697E" w:rsidRDefault="00BC41A1" w:rsidP="00691DF7">
      <w:pPr>
        <w:rPr>
          <w:rStyle w:val="Numeracinttulo"/>
          <w:b w:val="0"/>
          <w:sz w:val="26"/>
        </w:rPr>
      </w:pPr>
    </w:p>
    <w:p w14:paraId="4FB902BB" w14:textId="77777777" w:rsidR="00BC214F" w:rsidRPr="0084697E" w:rsidRDefault="0071696B" w:rsidP="00691DF7">
      <w:pPr>
        <w:rPr>
          <w:rStyle w:val="Numeracinttulo"/>
          <w:b w:val="0"/>
          <w:sz w:val="26"/>
        </w:rPr>
      </w:pPr>
      <w:r w:rsidRPr="0084697E">
        <w:rPr>
          <w:rStyle w:val="Numeracinttulo"/>
          <w:b w:val="0"/>
          <w:sz w:val="26"/>
        </w:rPr>
        <w:t>Resalta que esta</w:t>
      </w:r>
      <w:r w:rsidR="003D32DB" w:rsidRPr="0084697E">
        <w:rPr>
          <w:rStyle w:val="Numeracinttulo"/>
          <w:b w:val="0"/>
          <w:sz w:val="26"/>
        </w:rPr>
        <w:t xml:space="preserve"> Sala ha</w:t>
      </w:r>
      <w:r w:rsidR="00BC41A1" w:rsidRPr="0084697E">
        <w:rPr>
          <w:rStyle w:val="Numeracinttulo"/>
          <w:b w:val="0"/>
          <w:sz w:val="26"/>
        </w:rPr>
        <w:t xml:space="preserve"> consignado en la parte resolutiva de sus  sentencias dicha inhabilidad constitucional, por ejemplo, en providencias de julio 27 de 2012 radicado 66001600003520120131 y de febrero 22 de 2017 radicado 666826000048201600129, decisiones que fueron puestas de presente al fallador de primer nivel, y sin embargo </w:t>
      </w:r>
      <w:r w:rsidRPr="0084697E">
        <w:rPr>
          <w:rStyle w:val="Numeracinttulo"/>
          <w:b w:val="0"/>
          <w:sz w:val="26"/>
        </w:rPr>
        <w:t>no modificó su postura</w:t>
      </w:r>
      <w:r w:rsidR="00BC214F" w:rsidRPr="0084697E">
        <w:rPr>
          <w:rStyle w:val="Numeracinttulo"/>
          <w:b w:val="0"/>
          <w:sz w:val="26"/>
        </w:rPr>
        <w:t>.</w:t>
      </w:r>
    </w:p>
    <w:p w14:paraId="07AA956E" w14:textId="77777777" w:rsidR="00691DF7" w:rsidRPr="0084697E" w:rsidRDefault="00691DF7" w:rsidP="00691DF7">
      <w:pPr>
        <w:rPr>
          <w:rStyle w:val="Numeracinttulo"/>
          <w:b w:val="0"/>
          <w:sz w:val="26"/>
        </w:rPr>
      </w:pPr>
    </w:p>
    <w:p w14:paraId="36335A1A" w14:textId="77777777" w:rsidR="00F05F48" w:rsidRPr="0084697E" w:rsidRDefault="00691DF7" w:rsidP="007F3411">
      <w:pPr>
        <w:rPr>
          <w:rStyle w:val="Numeracinttulo"/>
          <w:b w:val="0"/>
          <w:sz w:val="26"/>
        </w:rPr>
      </w:pPr>
      <w:r w:rsidRPr="0084697E">
        <w:rPr>
          <w:rStyle w:val="Numeracinttulo"/>
          <w:szCs w:val="24"/>
        </w:rPr>
        <w:t>2.2.-</w:t>
      </w:r>
      <w:r w:rsidRPr="0084697E">
        <w:rPr>
          <w:rStyle w:val="Numeracinttulo"/>
          <w:b w:val="0"/>
          <w:sz w:val="26"/>
        </w:rPr>
        <w:t xml:space="preserve"> </w:t>
      </w:r>
      <w:r w:rsidR="007F3411" w:rsidRPr="0084697E">
        <w:rPr>
          <w:rStyle w:val="Numeracinttulo"/>
          <w:b w:val="0"/>
        </w:rPr>
        <w:t xml:space="preserve"> </w:t>
      </w:r>
      <w:r w:rsidR="005234B6" w:rsidRPr="0084697E">
        <w:rPr>
          <w:rStyle w:val="Numeracinttulo"/>
          <w:b w:val="0"/>
          <w:sz w:val="26"/>
        </w:rPr>
        <w:t>Defens</w:t>
      </w:r>
      <w:r w:rsidR="00BC41A1" w:rsidRPr="0084697E">
        <w:rPr>
          <w:rStyle w:val="Numeracinttulo"/>
          <w:b w:val="0"/>
          <w:sz w:val="26"/>
        </w:rPr>
        <w:t>a</w:t>
      </w:r>
    </w:p>
    <w:p w14:paraId="0B8CC0B6" w14:textId="77777777" w:rsidR="00BC41A1" w:rsidRPr="0084697E" w:rsidRDefault="004266D9" w:rsidP="00BC41A1">
      <w:pPr>
        <w:rPr>
          <w:rStyle w:val="Numeracinttulo"/>
          <w:b w:val="0"/>
          <w:sz w:val="26"/>
        </w:rPr>
      </w:pPr>
      <w:r w:rsidRPr="0084697E">
        <w:rPr>
          <w:rStyle w:val="Numeracinttulo"/>
          <w:b w:val="0"/>
          <w:sz w:val="26"/>
        </w:rPr>
        <w:t xml:space="preserve">Estima </w:t>
      </w:r>
      <w:r w:rsidR="00FD6400" w:rsidRPr="0084697E">
        <w:rPr>
          <w:rStyle w:val="Numeracinttulo"/>
          <w:b w:val="0"/>
          <w:sz w:val="26"/>
        </w:rPr>
        <w:t xml:space="preserve">que </w:t>
      </w:r>
      <w:r w:rsidR="00BC41A1" w:rsidRPr="0084697E">
        <w:rPr>
          <w:rStyle w:val="Numeracinttulo"/>
          <w:b w:val="0"/>
          <w:sz w:val="26"/>
        </w:rPr>
        <w:t>debe confirmarse la decisión proferida por el juez de primer nivel, en lo que es objeto de recurso, por lo siguiente:</w:t>
      </w:r>
    </w:p>
    <w:p w14:paraId="22A8507B" w14:textId="77777777" w:rsidR="00834DB1" w:rsidRPr="0084697E" w:rsidRDefault="001D4520" w:rsidP="00BC41A1">
      <w:pPr>
        <w:rPr>
          <w:rStyle w:val="Numeracinttulo"/>
          <w:b w:val="0"/>
          <w:sz w:val="26"/>
        </w:rPr>
      </w:pPr>
      <w:r w:rsidRPr="0084697E">
        <w:rPr>
          <w:rStyle w:val="Numeracinttulo"/>
          <w:b w:val="0"/>
          <w:sz w:val="26"/>
        </w:rPr>
        <w:lastRenderedPageBreak/>
        <w:t xml:space="preserve">Las inhabilidades establecidas en el artículo 122 inciso 5º Constitucional operan de pleno derecho, por lo </w:t>
      </w:r>
      <w:r w:rsidR="00AB3290" w:rsidRPr="0084697E">
        <w:rPr>
          <w:rStyle w:val="Numeracinttulo"/>
          <w:b w:val="0"/>
          <w:sz w:val="26"/>
        </w:rPr>
        <w:t xml:space="preserve">que rigen aunque no se declaren, tal como lo ha establecido </w:t>
      </w:r>
      <w:r w:rsidRPr="0084697E">
        <w:rPr>
          <w:rStyle w:val="Numeracinttulo"/>
          <w:b w:val="0"/>
          <w:sz w:val="26"/>
        </w:rPr>
        <w:t>la Corte Suprema de Justicia</w:t>
      </w:r>
      <w:r w:rsidR="00DA4E76" w:rsidRPr="0084697E">
        <w:rPr>
          <w:rStyle w:val="Numeracinttulo"/>
          <w:b w:val="0"/>
          <w:sz w:val="26"/>
        </w:rPr>
        <w:t xml:space="preserve"> </w:t>
      </w:r>
      <w:r w:rsidR="00DA4E76" w:rsidRPr="0084697E">
        <w:rPr>
          <w:rStyle w:val="Numeracinttulo"/>
          <w:rFonts w:ascii="Verdana" w:hAnsi="Verdana"/>
          <w:b w:val="0"/>
          <w:sz w:val="20"/>
          <w:szCs w:val="20"/>
        </w:rPr>
        <w:t>-radicados 20944 de octubre 13 de 2004, 19815 de marzo 16 de 2006, y 36511 de junio 19 de 2013</w:t>
      </w:r>
      <w:r w:rsidR="00AB3290" w:rsidRPr="0084697E">
        <w:rPr>
          <w:rStyle w:val="Numeracinttulo"/>
          <w:b w:val="0"/>
          <w:sz w:val="26"/>
        </w:rPr>
        <w:t xml:space="preserve">, al precisar que </w:t>
      </w:r>
      <w:r w:rsidRPr="0084697E">
        <w:rPr>
          <w:rStyle w:val="Numeracinttulo"/>
          <w:b w:val="0"/>
          <w:sz w:val="26"/>
        </w:rPr>
        <w:t xml:space="preserve">si la conducta por la que se produjo la sentencia condenatoria </w:t>
      </w:r>
      <w:r w:rsidR="00834DB1" w:rsidRPr="0084697E">
        <w:rPr>
          <w:rStyle w:val="Numeracinttulo"/>
          <w:b w:val="0"/>
          <w:sz w:val="26"/>
        </w:rPr>
        <w:t>es de aquellas contenida</w:t>
      </w:r>
      <w:r w:rsidR="00F16EDA" w:rsidRPr="0084697E">
        <w:rPr>
          <w:rStyle w:val="Numeracinttulo"/>
          <w:b w:val="0"/>
          <w:sz w:val="26"/>
        </w:rPr>
        <w:t>s</w:t>
      </w:r>
      <w:r w:rsidR="00834DB1" w:rsidRPr="0084697E">
        <w:rPr>
          <w:rStyle w:val="Numeracinttulo"/>
          <w:b w:val="0"/>
          <w:sz w:val="26"/>
        </w:rPr>
        <w:t xml:space="preserve"> en el citado cano</w:t>
      </w:r>
      <w:r w:rsidR="00F16EDA" w:rsidRPr="0084697E">
        <w:rPr>
          <w:rStyle w:val="Numeracinttulo"/>
          <w:b w:val="0"/>
          <w:sz w:val="26"/>
        </w:rPr>
        <w:t>n superior es explícita la inhabilid</w:t>
      </w:r>
      <w:r w:rsidR="00834DB1" w:rsidRPr="0084697E">
        <w:rPr>
          <w:rStyle w:val="Numeracinttulo"/>
          <w:b w:val="0"/>
          <w:sz w:val="26"/>
        </w:rPr>
        <w:t>ad</w:t>
      </w:r>
      <w:r w:rsidR="001B6157" w:rsidRPr="0084697E">
        <w:rPr>
          <w:rStyle w:val="Numeracinttulo"/>
          <w:b w:val="0"/>
          <w:sz w:val="26"/>
        </w:rPr>
        <w:t>, y al respecto</w:t>
      </w:r>
      <w:r w:rsidR="00834DB1" w:rsidRPr="0084697E">
        <w:rPr>
          <w:rStyle w:val="Numeracinttulo"/>
          <w:b w:val="0"/>
          <w:sz w:val="26"/>
        </w:rPr>
        <w:t xml:space="preserve"> el Consejo de Estado también ha señalado que son de carácter especial, y tienen vigencia y aplicación inmediata, sin que se e</w:t>
      </w:r>
      <w:r w:rsidR="00F16EDA" w:rsidRPr="0084697E">
        <w:rPr>
          <w:rStyle w:val="Numeracinttulo"/>
          <w:b w:val="0"/>
          <w:sz w:val="26"/>
        </w:rPr>
        <w:t>xija su declaración por un juez. En esas condiciones,</w:t>
      </w:r>
      <w:r w:rsidR="00834DB1" w:rsidRPr="0084697E">
        <w:rPr>
          <w:rStyle w:val="Numeracinttulo"/>
          <w:b w:val="0"/>
          <w:sz w:val="26"/>
        </w:rPr>
        <w:t xml:space="preserve"> no resulta imperativo, como lo sostiene el recurrente, que los jueces penales</w:t>
      </w:r>
      <w:r w:rsidR="001B6157" w:rsidRPr="0084697E">
        <w:rPr>
          <w:rStyle w:val="Numeracinttulo"/>
          <w:b w:val="0"/>
          <w:sz w:val="26"/>
        </w:rPr>
        <w:t xml:space="preserve"> la impongan</w:t>
      </w:r>
      <w:r w:rsidR="00834DB1" w:rsidRPr="0084697E">
        <w:rPr>
          <w:rStyle w:val="Numeracinttulo"/>
          <w:b w:val="0"/>
          <w:sz w:val="26"/>
        </w:rPr>
        <w:t xml:space="preserve"> </w:t>
      </w:r>
      <w:r w:rsidR="001B6157" w:rsidRPr="0084697E">
        <w:rPr>
          <w:rStyle w:val="Numeracinttulo"/>
          <w:b w:val="0"/>
          <w:sz w:val="26"/>
        </w:rPr>
        <w:t>en el fallo</w:t>
      </w:r>
      <w:r w:rsidR="00834DB1" w:rsidRPr="0084697E">
        <w:rPr>
          <w:rStyle w:val="Numeracinttulo"/>
          <w:b w:val="0"/>
          <w:sz w:val="26"/>
        </w:rPr>
        <w:t>.</w:t>
      </w:r>
    </w:p>
    <w:p w14:paraId="2E243768" w14:textId="77777777" w:rsidR="00834DB1" w:rsidRPr="0084697E" w:rsidRDefault="00834DB1" w:rsidP="00BC41A1">
      <w:pPr>
        <w:rPr>
          <w:rStyle w:val="Numeracinttulo"/>
          <w:b w:val="0"/>
          <w:sz w:val="26"/>
        </w:rPr>
      </w:pPr>
    </w:p>
    <w:p w14:paraId="3E6E5784" w14:textId="20F851E5" w:rsidR="00834DB1" w:rsidRPr="0084697E" w:rsidRDefault="00834DB1" w:rsidP="00BC41A1">
      <w:pPr>
        <w:rPr>
          <w:rStyle w:val="Numeracinttulo"/>
          <w:b w:val="0"/>
          <w:sz w:val="26"/>
        </w:rPr>
      </w:pPr>
      <w:r w:rsidRPr="0084697E">
        <w:rPr>
          <w:rStyle w:val="Numeracinttulo"/>
          <w:b w:val="0"/>
          <w:sz w:val="26"/>
        </w:rPr>
        <w:t>De igual forma, de la redacción del citado artículo 122 se advierte que la inhab</w:t>
      </w:r>
      <w:r w:rsidR="001B6157" w:rsidRPr="0084697E">
        <w:rPr>
          <w:rStyle w:val="Numeracinttulo"/>
          <w:b w:val="0"/>
          <w:sz w:val="26"/>
        </w:rPr>
        <w:t>ilidad opera de pleno derecho, po</w:t>
      </w:r>
      <w:r w:rsidRPr="0084697E">
        <w:rPr>
          <w:rStyle w:val="Numeracinttulo"/>
          <w:b w:val="0"/>
          <w:sz w:val="26"/>
        </w:rPr>
        <w:t xml:space="preserve">r lo siguiente: (i) como lo señaló el funcionario de instancia, uno de los condicionamientos para imponer la sanción intemporal </w:t>
      </w:r>
      <w:r w:rsidR="001B6157" w:rsidRPr="0084697E">
        <w:rPr>
          <w:rStyle w:val="Numeracinttulo"/>
          <w:b w:val="0"/>
          <w:sz w:val="26"/>
        </w:rPr>
        <w:t xml:space="preserve">es la </w:t>
      </w:r>
      <w:r w:rsidRPr="0084697E">
        <w:rPr>
          <w:rStyle w:val="Numeracinttulo"/>
          <w:b w:val="0"/>
          <w:sz w:val="26"/>
        </w:rPr>
        <w:t>sentencia ejecutoriada, y en ese momento la inhabilidad</w:t>
      </w:r>
      <w:r w:rsidR="001B6157" w:rsidRPr="0084697E">
        <w:rPr>
          <w:rStyle w:val="Numeracinttulo"/>
          <w:b w:val="0"/>
          <w:sz w:val="26"/>
        </w:rPr>
        <w:t xml:space="preserve"> se aplica,</w:t>
      </w:r>
      <w:r w:rsidRPr="0084697E">
        <w:rPr>
          <w:rStyle w:val="Numeracinttulo"/>
          <w:b w:val="0"/>
          <w:sz w:val="26"/>
        </w:rPr>
        <w:t xml:space="preserve"> como se entiende de la lectura del canon 38 de la Ley 734/02; (ii) en el inciso 5</w:t>
      </w:r>
      <w:r w:rsidR="00BD2AFB" w:rsidRPr="0084697E">
        <w:rPr>
          <w:rStyle w:val="Numeracinttulo"/>
          <w:b w:val="0"/>
          <w:sz w:val="26"/>
        </w:rPr>
        <w:t xml:space="preserve">º </w:t>
      </w:r>
      <w:r w:rsidRPr="0084697E">
        <w:rPr>
          <w:rStyle w:val="Numeracinttulo"/>
          <w:b w:val="0"/>
          <w:sz w:val="26"/>
        </w:rPr>
        <w:t xml:space="preserve">del mismo artículo </w:t>
      </w:r>
      <w:r w:rsidR="00B96784" w:rsidRPr="0084697E">
        <w:rPr>
          <w:rStyle w:val="Numeracinttulo"/>
          <w:b w:val="0"/>
          <w:sz w:val="26"/>
        </w:rPr>
        <w:t xml:space="preserve">claramente </w:t>
      </w:r>
      <w:r w:rsidR="001B6157" w:rsidRPr="0084697E">
        <w:rPr>
          <w:rStyle w:val="Numeracinttulo"/>
          <w:b w:val="0"/>
          <w:sz w:val="26"/>
        </w:rPr>
        <w:t xml:space="preserve">se indica </w:t>
      </w:r>
      <w:r w:rsidR="00B96784" w:rsidRPr="0084697E">
        <w:rPr>
          <w:rStyle w:val="Numeracinttulo"/>
          <w:b w:val="0"/>
          <w:sz w:val="26"/>
        </w:rPr>
        <w:t>que quienes resul</w:t>
      </w:r>
      <w:r w:rsidR="001B6157" w:rsidRPr="0084697E">
        <w:rPr>
          <w:rStyle w:val="Numeracinttulo"/>
          <w:b w:val="0"/>
          <w:sz w:val="26"/>
        </w:rPr>
        <w:t>ten condenados por narcotráfico</w:t>
      </w:r>
      <w:r w:rsidR="00B96784" w:rsidRPr="0084697E">
        <w:rPr>
          <w:rStyle w:val="Numeracinttulo"/>
          <w:b w:val="0"/>
          <w:sz w:val="26"/>
        </w:rPr>
        <w:t xml:space="preserve"> por la justicia colombiana o extranjera se verán inmerso</w:t>
      </w:r>
      <w:r w:rsidR="00AB3290" w:rsidRPr="0084697E">
        <w:rPr>
          <w:rStyle w:val="Numeracinttulo"/>
          <w:b w:val="0"/>
          <w:sz w:val="26"/>
        </w:rPr>
        <w:t>s</w:t>
      </w:r>
      <w:r w:rsidR="00B96784" w:rsidRPr="0084697E">
        <w:rPr>
          <w:rStyle w:val="Numeracinttulo"/>
          <w:b w:val="0"/>
          <w:sz w:val="26"/>
        </w:rPr>
        <w:t xml:space="preserve"> en esa sanción, entonces como pedir su consagración expresa, cuando dicha exigencia no será </w:t>
      </w:r>
      <w:r w:rsidR="00AB3290" w:rsidRPr="0084697E">
        <w:rPr>
          <w:rStyle w:val="Numeracinttulo"/>
          <w:b w:val="0"/>
          <w:sz w:val="26"/>
        </w:rPr>
        <w:t>aplicable</w:t>
      </w:r>
      <w:r w:rsidR="001B6157" w:rsidRPr="0084697E">
        <w:rPr>
          <w:rStyle w:val="Numeracinttulo"/>
          <w:b w:val="0"/>
          <w:sz w:val="26"/>
        </w:rPr>
        <w:t xml:space="preserve"> a los funcionarios de otros países, ya que </w:t>
      </w:r>
      <w:r w:rsidR="00B96784" w:rsidRPr="0084697E">
        <w:rPr>
          <w:rStyle w:val="Numeracinttulo"/>
          <w:b w:val="0"/>
          <w:sz w:val="26"/>
        </w:rPr>
        <w:t>no está</w:t>
      </w:r>
      <w:r w:rsidR="001B6157" w:rsidRPr="0084697E">
        <w:rPr>
          <w:rStyle w:val="Numeracinttulo"/>
          <w:b w:val="0"/>
          <w:sz w:val="26"/>
        </w:rPr>
        <w:t>n</w:t>
      </w:r>
      <w:r w:rsidR="00B96784" w:rsidRPr="0084697E">
        <w:rPr>
          <w:rStyle w:val="Numeracinttulo"/>
          <w:b w:val="0"/>
          <w:sz w:val="26"/>
        </w:rPr>
        <w:t xml:space="preserve"> en la obligación de acatar nuestra constitución;</w:t>
      </w:r>
      <w:r w:rsidR="001B6157" w:rsidRPr="0084697E">
        <w:rPr>
          <w:rStyle w:val="Numeracinttulo"/>
          <w:b w:val="0"/>
          <w:sz w:val="26"/>
        </w:rPr>
        <w:t xml:space="preserve"> y</w:t>
      </w:r>
      <w:r w:rsidR="00B96784" w:rsidRPr="0084697E">
        <w:rPr>
          <w:rStyle w:val="Numeracinttulo"/>
          <w:b w:val="0"/>
          <w:sz w:val="26"/>
        </w:rPr>
        <w:t xml:space="preserve"> (iii) seg</w:t>
      </w:r>
      <w:r w:rsidR="00AB3290" w:rsidRPr="0084697E">
        <w:rPr>
          <w:rStyle w:val="Numeracinttulo"/>
          <w:b w:val="0"/>
          <w:sz w:val="26"/>
        </w:rPr>
        <w:t>ún la Directiva Conjunta 5</w:t>
      </w:r>
      <w:r w:rsidR="00B96784" w:rsidRPr="0084697E">
        <w:rPr>
          <w:rStyle w:val="Numeracinttulo"/>
          <w:b w:val="0"/>
          <w:sz w:val="26"/>
        </w:rPr>
        <w:t xml:space="preserve"> de marzo 11 de 2005 del Consejo S</w:t>
      </w:r>
      <w:r w:rsidR="00AB3290" w:rsidRPr="0084697E">
        <w:rPr>
          <w:rStyle w:val="Numeracinttulo"/>
          <w:b w:val="0"/>
          <w:sz w:val="26"/>
        </w:rPr>
        <w:t>uperior de la Judicatura,</w:t>
      </w:r>
      <w:r w:rsidR="00B96784" w:rsidRPr="0084697E">
        <w:rPr>
          <w:rStyle w:val="Numeracinttulo"/>
          <w:b w:val="0"/>
          <w:sz w:val="26"/>
        </w:rPr>
        <w:t xml:space="preserve"> </w:t>
      </w:r>
      <w:r w:rsidR="001B6157" w:rsidRPr="0084697E">
        <w:rPr>
          <w:rStyle w:val="Numeracinttulo"/>
          <w:b w:val="0"/>
          <w:sz w:val="26"/>
        </w:rPr>
        <w:t xml:space="preserve">el sistema SIRI </w:t>
      </w:r>
      <w:r w:rsidR="00AB3290" w:rsidRPr="0084697E">
        <w:rPr>
          <w:rStyle w:val="Numeracinttulo"/>
          <w:b w:val="0"/>
          <w:sz w:val="26"/>
        </w:rPr>
        <w:t>fue impleme</w:t>
      </w:r>
      <w:r w:rsidR="00B96784" w:rsidRPr="0084697E">
        <w:rPr>
          <w:rStyle w:val="Numeracinttulo"/>
          <w:b w:val="0"/>
          <w:sz w:val="26"/>
        </w:rPr>
        <w:t xml:space="preserve">ntado </w:t>
      </w:r>
      <w:r w:rsidR="00BD2AFB" w:rsidRPr="0084697E">
        <w:rPr>
          <w:rStyle w:val="Numeracinttulo"/>
          <w:b w:val="0"/>
          <w:sz w:val="26"/>
        </w:rPr>
        <w:t xml:space="preserve">-sic- </w:t>
      </w:r>
      <w:r w:rsidR="00B96784" w:rsidRPr="0084697E">
        <w:rPr>
          <w:rStyle w:val="Numeracinttulo"/>
          <w:b w:val="0"/>
          <w:sz w:val="26"/>
        </w:rPr>
        <w:t>por la Procuraduría General de la Nación</w:t>
      </w:r>
      <w:r w:rsidR="00AB3290" w:rsidRPr="0084697E">
        <w:rPr>
          <w:rStyle w:val="Numeracinttulo"/>
          <w:b w:val="0"/>
          <w:sz w:val="26"/>
        </w:rPr>
        <w:t>, órgano</w:t>
      </w:r>
      <w:r w:rsidR="00B96784" w:rsidRPr="0084697E">
        <w:rPr>
          <w:rStyle w:val="Numeracinttulo"/>
          <w:b w:val="0"/>
          <w:sz w:val="26"/>
        </w:rPr>
        <w:t xml:space="preserve"> que cumple con mantener vigentes los registros, y no exige el proceso declarativo respecto de ese tipo de inhabilidades.</w:t>
      </w:r>
    </w:p>
    <w:p w14:paraId="2A20286A" w14:textId="77777777" w:rsidR="00196863" w:rsidRPr="0084697E" w:rsidRDefault="00196863" w:rsidP="00BC41A1">
      <w:pPr>
        <w:rPr>
          <w:rStyle w:val="Numeracinttulo"/>
          <w:b w:val="0"/>
          <w:sz w:val="26"/>
        </w:rPr>
      </w:pPr>
    </w:p>
    <w:p w14:paraId="2EBB2C99" w14:textId="208B25C3" w:rsidR="00196863" w:rsidRPr="0084697E" w:rsidRDefault="00196863" w:rsidP="00BC41A1">
      <w:pPr>
        <w:rPr>
          <w:rStyle w:val="Numeracinttulo"/>
          <w:b w:val="0"/>
          <w:sz w:val="26"/>
        </w:rPr>
      </w:pPr>
      <w:r w:rsidRPr="0084697E">
        <w:rPr>
          <w:rStyle w:val="Numeracinttulo"/>
          <w:b w:val="0"/>
          <w:sz w:val="26"/>
        </w:rPr>
        <w:t xml:space="preserve">Adicionalmente, </w:t>
      </w:r>
      <w:r w:rsidR="00BD2AFB" w:rsidRPr="0084697E">
        <w:rPr>
          <w:rStyle w:val="Numeracinttulo"/>
          <w:b w:val="0"/>
          <w:sz w:val="26"/>
        </w:rPr>
        <w:t>debe señalarse que de acuerdo con el</w:t>
      </w:r>
      <w:r w:rsidRPr="0084697E">
        <w:rPr>
          <w:rStyle w:val="Numeracinttulo"/>
          <w:b w:val="0"/>
          <w:sz w:val="26"/>
        </w:rPr>
        <w:t xml:space="preserve"> artículo 480 de la Ley 906/04 la rehabilitación de derechos y funciones públicas serán concedidas por el Juez de Ejecución de Penas y Medidas de Seguridad</w:t>
      </w:r>
      <w:r w:rsidR="00EF3BE6" w:rsidRPr="0084697E">
        <w:rPr>
          <w:rStyle w:val="Numeracinttulo"/>
          <w:b w:val="0"/>
          <w:sz w:val="26"/>
        </w:rPr>
        <w:t>, ante quien el Ministerio Público</w:t>
      </w:r>
      <w:r w:rsidR="00AB3290" w:rsidRPr="0084697E">
        <w:rPr>
          <w:rStyle w:val="Numeracinttulo"/>
          <w:b w:val="0"/>
          <w:sz w:val="26"/>
        </w:rPr>
        <w:t>, previo a su concesión,</w:t>
      </w:r>
      <w:r w:rsidR="00EF3BE6" w:rsidRPr="0084697E">
        <w:rPr>
          <w:rStyle w:val="Numeracinttulo"/>
          <w:b w:val="0"/>
          <w:sz w:val="26"/>
        </w:rPr>
        <w:t xml:space="preserve"> podría recurrir para que </w:t>
      </w:r>
      <w:r w:rsidR="00EF3BE6" w:rsidRPr="0084697E">
        <w:rPr>
          <w:rStyle w:val="Numeracinttulo"/>
          <w:b w:val="0"/>
          <w:sz w:val="26"/>
        </w:rPr>
        <w:lastRenderedPageBreak/>
        <w:t>las inhabilidades intemporales sean informadas a la Procuraduría, en caso de que f</w:t>
      </w:r>
      <w:r w:rsidR="00AB3290" w:rsidRPr="0084697E">
        <w:rPr>
          <w:rStyle w:val="Numeracinttulo"/>
          <w:b w:val="0"/>
          <w:sz w:val="26"/>
        </w:rPr>
        <w:t>uera necesario, lo cual como ya se dijo, no lo es</w:t>
      </w:r>
      <w:r w:rsidR="00EF3BE6" w:rsidRPr="0084697E">
        <w:rPr>
          <w:rStyle w:val="Numeracinttulo"/>
          <w:b w:val="0"/>
          <w:sz w:val="26"/>
        </w:rPr>
        <w:t>.</w:t>
      </w:r>
    </w:p>
    <w:p w14:paraId="5DAAA500" w14:textId="77777777" w:rsidR="00EF3BE6" w:rsidRPr="0084697E" w:rsidRDefault="00EF3BE6" w:rsidP="00BC41A1">
      <w:pPr>
        <w:rPr>
          <w:rStyle w:val="Numeracinttulo"/>
          <w:b w:val="0"/>
          <w:sz w:val="26"/>
        </w:rPr>
      </w:pPr>
    </w:p>
    <w:p w14:paraId="7688CC69" w14:textId="71105641" w:rsidR="00EF3BE6" w:rsidRPr="0084697E" w:rsidRDefault="00EF3BE6" w:rsidP="00BC41A1">
      <w:pPr>
        <w:rPr>
          <w:rStyle w:val="Numeracinttulo"/>
          <w:b w:val="0"/>
          <w:sz w:val="26"/>
        </w:rPr>
      </w:pPr>
      <w:r w:rsidRPr="0084697E">
        <w:rPr>
          <w:rStyle w:val="Numeracinttulo"/>
          <w:b w:val="0"/>
          <w:sz w:val="26"/>
        </w:rPr>
        <w:t>En conclusión, no es exigible ni indispensable que el juez pena</w:t>
      </w:r>
      <w:r w:rsidR="00D10A39" w:rsidRPr="0084697E">
        <w:rPr>
          <w:rStyle w:val="Numeracinttulo"/>
          <w:b w:val="0"/>
          <w:sz w:val="26"/>
        </w:rPr>
        <w:t>l</w:t>
      </w:r>
      <w:r w:rsidRPr="0084697E">
        <w:rPr>
          <w:rStyle w:val="Numeracinttulo"/>
          <w:b w:val="0"/>
          <w:sz w:val="26"/>
        </w:rPr>
        <w:t xml:space="preserve"> incorpore en su sentencia la inhabilidad intemporal del artículo 122 inciso 5</w:t>
      </w:r>
      <w:r w:rsidR="00BD2AFB" w:rsidRPr="0084697E">
        <w:rPr>
          <w:rStyle w:val="Numeracinttulo"/>
          <w:b w:val="0"/>
          <w:sz w:val="26"/>
        </w:rPr>
        <w:t xml:space="preserve">º </w:t>
      </w:r>
      <w:r w:rsidR="00F16EDA" w:rsidRPr="0084697E">
        <w:rPr>
          <w:rStyle w:val="Numeracinttulo"/>
          <w:b w:val="0"/>
          <w:sz w:val="26"/>
        </w:rPr>
        <w:t>constitucional</w:t>
      </w:r>
      <w:r w:rsidRPr="0084697E">
        <w:rPr>
          <w:rStyle w:val="Numeracinttulo"/>
          <w:b w:val="0"/>
          <w:sz w:val="26"/>
        </w:rPr>
        <w:t>, por</w:t>
      </w:r>
      <w:r w:rsidR="00F16EDA" w:rsidRPr="0084697E">
        <w:rPr>
          <w:rStyle w:val="Numeracinttulo"/>
          <w:b w:val="0"/>
          <w:sz w:val="26"/>
        </w:rPr>
        <w:t>que</w:t>
      </w:r>
      <w:r w:rsidRPr="0084697E">
        <w:rPr>
          <w:rStyle w:val="Numeracinttulo"/>
          <w:b w:val="0"/>
          <w:sz w:val="26"/>
        </w:rPr>
        <w:t xml:space="preserve"> opera de pleno derecho, y es la Procuraduría General de la Nación quien tiene la carga de ejercer el registro, actualización y control de dichas inhabilidades, como órgano administrador y certificador.</w:t>
      </w:r>
    </w:p>
    <w:p w14:paraId="7916C90F" w14:textId="77777777" w:rsidR="00694910" w:rsidRPr="0084697E" w:rsidRDefault="00694910" w:rsidP="00BC41A1">
      <w:pPr>
        <w:rPr>
          <w:b/>
          <w:sz w:val="24"/>
          <w:szCs w:val="24"/>
        </w:rPr>
      </w:pPr>
    </w:p>
    <w:p w14:paraId="7A2C3A75" w14:textId="77777777" w:rsidR="00BC41A1" w:rsidRPr="0084697E" w:rsidRDefault="00640B87" w:rsidP="00640B87">
      <w:r w:rsidRPr="0084697E">
        <w:rPr>
          <w:b/>
          <w:sz w:val="24"/>
          <w:szCs w:val="24"/>
        </w:rPr>
        <w:t>2.</w:t>
      </w:r>
      <w:r w:rsidR="00BC41A1" w:rsidRPr="0084697E">
        <w:rPr>
          <w:b/>
          <w:sz w:val="24"/>
          <w:szCs w:val="24"/>
        </w:rPr>
        <w:t>3</w:t>
      </w:r>
      <w:r w:rsidRPr="0084697E">
        <w:rPr>
          <w:b/>
          <w:sz w:val="24"/>
          <w:szCs w:val="24"/>
        </w:rPr>
        <w:t>.-</w:t>
      </w:r>
      <w:r w:rsidR="00BC41A1" w:rsidRPr="0084697E">
        <w:t xml:space="preserve"> La Fiscalía no se pronunció sobre el recurso dentro del término que le fue concedido.</w:t>
      </w:r>
    </w:p>
    <w:p w14:paraId="0DCB9E02" w14:textId="77777777" w:rsidR="00BC41A1" w:rsidRPr="0084697E" w:rsidRDefault="00BC41A1" w:rsidP="00640B87"/>
    <w:p w14:paraId="57795DCF" w14:textId="3E9194E8" w:rsidR="00640B87" w:rsidRPr="0084697E" w:rsidRDefault="00BC41A1" w:rsidP="00640B87">
      <w:r w:rsidRPr="0084697E">
        <w:rPr>
          <w:b/>
          <w:sz w:val="24"/>
          <w:szCs w:val="24"/>
        </w:rPr>
        <w:t>2.4.-</w:t>
      </w:r>
      <w:r w:rsidRPr="0084697E">
        <w:t xml:space="preserve"> De</w:t>
      </w:r>
      <w:r w:rsidR="00BD2AFB" w:rsidRPr="0084697E">
        <w:t>bidamente sustentada la impugnación</w:t>
      </w:r>
      <w:r w:rsidR="00640B87" w:rsidRPr="0084697E">
        <w:t xml:space="preserve">, </w:t>
      </w:r>
      <w:r w:rsidRPr="0084697E">
        <w:t xml:space="preserve">el </w:t>
      </w:r>
      <w:r w:rsidR="00640B87" w:rsidRPr="0084697E">
        <w:t>jue</w:t>
      </w:r>
      <w:r w:rsidR="00BD2AFB" w:rsidRPr="0084697E">
        <w:t>z a quo la</w:t>
      </w:r>
      <w:r w:rsidR="00640B87" w:rsidRPr="0084697E">
        <w:t xml:space="preserve"> concedió en el efectivo suspensivo</w:t>
      </w:r>
      <w:r w:rsidR="00BD2AFB" w:rsidRPr="0084697E">
        <w:t>,</w:t>
      </w:r>
      <w:r w:rsidR="00640B87" w:rsidRPr="0084697E">
        <w:t xml:space="preserve"> y dispuso la remisión de los registros pertinentes ante esta Corporación con el fin de desatar la alzada.</w:t>
      </w:r>
    </w:p>
    <w:p w14:paraId="6610B90C" w14:textId="77777777" w:rsidR="00DF29FC" w:rsidRPr="0084697E" w:rsidRDefault="00DF29FC" w:rsidP="00640B87"/>
    <w:p w14:paraId="2A97DBF3" w14:textId="77777777" w:rsidR="00B01B87" w:rsidRPr="0084697E" w:rsidRDefault="009D3DE3" w:rsidP="00D5053F">
      <w:pPr>
        <w:rPr>
          <w:rStyle w:val="Algerian"/>
        </w:rPr>
      </w:pPr>
      <w:r w:rsidRPr="0084697E">
        <w:rPr>
          <w:rStyle w:val="Algerian"/>
        </w:rPr>
        <w:t xml:space="preserve">3.- </w:t>
      </w:r>
      <w:r w:rsidR="00256002" w:rsidRPr="0084697E">
        <w:rPr>
          <w:rStyle w:val="Algerian"/>
          <w:rFonts w:ascii="Tahoma" w:hAnsi="Tahoma" w:cs="Tahoma"/>
          <w:sz w:val="28"/>
          <w:szCs w:val="28"/>
        </w:rPr>
        <w:t>Para resolver,</w:t>
      </w:r>
      <w:r w:rsidR="00256002" w:rsidRPr="0084697E">
        <w:rPr>
          <w:rStyle w:val="Algerian"/>
        </w:rPr>
        <w:t xml:space="preserve"> se </w:t>
      </w:r>
      <w:r w:rsidRPr="0084697E">
        <w:rPr>
          <w:rStyle w:val="Algerian"/>
        </w:rPr>
        <w:t>considera</w:t>
      </w:r>
    </w:p>
    <w:p w14:paraId="1EDDC3E9" w14:textId="77777777" w:rsidR="00B01B87" w:rsidRPr="0084697E" w:rsidRDefault="009D3DE3" w:rsidP="00B01B87">
      <w:r w:rsidRPr="0084697E">
        <w:t xml:space="preserve"> </w:t>
      </w:r>
    </w:p>
    <w:p w14:paraId="3CB171D3" w14:textId="77777777" w:rsidR="009D3DE3" w:rsidRPr="0084697E" w:rsidRDefault="009D3DE3" w:rsidP="00B01B87">
      <w:pPr>
        <w:rPr>
          <w:b/>
          <w:sz w:val="24"/>
          <w:szCs w:val="24"/>
        </w:rPr>
      </w:pPr>
      <w:r w:rsidRPr="0084697E">
        <w:rPr>
          <w:b/>
          <w:sz w:val="24"/>
          <w:szCs w:val="24"/>
        </w:rPr>
        <w:t>3.1.-</w:t>
      </w:r>
      <w:r w:rsidRPr="0084697E">
        <w:rPr>
          <w:b/>
        </w:rPr>
        <w:t xml:space="preserve"> </w:t>
      </w:r>
      <w:r w:rsidRPr="0084697E">
        <w:rPr>
          <w:b/>
          <w:sz w:val="24"/>
          <w:szCs w:val="24"/>
        </w:rPr>
        <w:t>Competencia</w:t>
      </w:r>
    </w:p>
    <w:p w14:paraId="7E687D9F" w14:textId="77777777" w:rsidR="0029084A" w:rsidRPr="0084697E" w:rsidRDefault="0029084A" w:rsidP="00B01B87">
      <w:pPr>
        <w:rPr>
          <w:b/>
          <w:sz w:val="24"/>
          <w:szCs w:val="24"/>
        </w:rPr>
      </w:pPr>
    </w:p>
    <w:p w14:paraId="09A83207" w14:textId="77777777" w:rsidR="0029084A" w:rsidRPr="0084697E" w:rsidRDefault="0029084A" w:rsidP="0029084A">
      <w:r w:rsidRPr="0084697E">
        <w:t>La tiene esta Colegiatura de conformidad con los factores objetivo, territorial y funcional a voces de los artículos 20, 34.1 y 179 de la Ley 906 de 2004</w:t>
      </w:r>
      <w:r w:rsidRPr="0084697E">
        <w:rPr>
          <w:rFonts w:ascii="Verdana" w:hAnsi="Verdana"/>
          <w:sz w:val="20"/>
          <w:szCs w:val="20"/>
        </w:rPr>
        <w:t xml:space="preserve"> -modificado este último por el artículo 91 de la Ley 1395 de 2010-</w:t>
      </w:r>
      <w:r w:rsidRPr="0084697E">
        <w:t>, al haber sido oportunamente interpuesta y debidamente sustentada una apelación contra providencia susceptible de ese recurso y por una parte habilitada para hacerlo</w:t>
      </w:r>
      <w:r w:rsidR="000F5E0C" w:rsidRPr="0084697E">
        <w:rPr>
          <w:rFonts w:ascii="Verdana" w:hAnsi="Verdana"/>
          <w:sz w:val="20"/>
          <w:szCs w:val="20"/>
        </w:rPr>
        <w:t xml:space="preserve"> </w:t>
      </w:r>
      <w:r w:rsidR="00EF2F93" w:rsidRPr="0084697E">
        <w:rPr>
          <w:rFonts w:ascii="Verdana" w:hAnsi="Verdana"/>
          <w:sz w:val="20"/>
          <w:szCs w:val="20"/>
        </w:rPr>
        <w:t xml:space="preserve">-en nuestro caso </w:t>
      </w:r>
      <w:r w:rsidR="00FA7232" w:rsidRPr="0084697E">
        <w:rPr>
          <w:rFonts w:ascii="Verdana" w:hAnsi="Verdana"/>
          <w:sz w:val="20"/>
          <w:szCs w:val="20"/>
        </w:rPr>
        <w:t>el representante del Ministerio Público</w:t>
      </w:r>
      <w:r w:rsidRPr="0084697E">
        <w:rPr>
          <w:rFonts w:ascii="Verdana" w:hAnsi="Verdana"/>
          <w:sz w:val="20"/>
          <w:szCs w:val="20"/>
        </w:rPr>
        <w:t>-</w:t>
      </w:r>
      <w:r w:rsidRPr="0084697E">
        <w:t>.</w:t>
      </w:r>
    </w:p>
    <w:p w14:paraId="1493F45D" w14:textId="77777777" w:rsidR="00B01B87" w:rsidRPr="0084697E" w:rsidRDefault="00B01B87" w:rsidP="00B01B87"/>
    <w:p w14:paraId="0B1241A5" w14:textId="77777777" w:rsidR="009D3DE3" w:rsidRPr="0084697E" w:rsidRDefault="009D3DE3" w:rsidP="00B01B87">
      <w:r w:rsidRPr="0084697E">
        <w:rPr>
          <w:b/>
          <w:sz w:val="24"/>
          <w:szCs w:val="24"/>
        </w:rPr>
        <w:t>3.2.-</w:t>
      </w:r>
      <w:r w:rsidRPr="0084697E">
        <w:t xml:space="preserve"> </w:t>
      </w:r>
      <w:r w:rsidRPr="0084697E">
        <w:rPr>
          <w:b/>
          <w:sz w:val="24"/>
          <w:szCs w:val="24"/>
        </w:rPr>
        <w:t>Problema jurídico planteado</w:t>
      </w:r>
    </w:p>
    <w:p w14:paraId="566D10B6" w14:textId="77777777" w:rsidR="0029084A" w:rsidRPr="0084697E" w:rsidRDefault="0029084A" w:rsidP="0029084A"/>
    <w:p w14:paraId="3126F1AE" w14:textId="4CD5ABF9" w:rsidR="0029084A" w:rsidRPr="0084697E" w:rsidRDefault="0029084A" w:rsidP="0029084A">
      <w:r w:rsidRPr="0084697E">
        <w:t xml:space="preserve">Se contrae básicamente a </w:t>
      </w:r>
      <w:r w:rsidR="00E70B05" w:rsidRPr="0084697E">
        <w:t xml:space="preserve">establecer si en </w:t>
      </w:r>
      <w:r w:rsidR="00222409" w:rsidRPr="0084697E">
        <w:t xml:space="preserve">el fallo de condena proferido contra </w:t>
      </w:r>
      <w:r w:rsidR="00160E74" w:rsidRPr="0084697E">
        <w:rPr>
          <w:rStyle w:val="Numeracinttulo"/>
          <w:b w:val="0"/>
          <w:sz w:val="26"/>
        </w:rPr>
        <w:t>e</w:t>
      </w:r>
      <w:r w:rsidR="00C64FB4" w:rsidRPr="0084697E">
        <w:rPr>
          <w:rStyle w:val="Numeracinttulo"/>
          <w:b w:val="0"/>
          <w:sz w:val="26"/>
        </w:rPr>
        <w:t>l procesado</w:t>
      </w:r>
      <w:r w:rsidR="00160E74" w:rsidRPr="0084697E">
        <w:rPr>
          <w:rStyle w:val="Numeracinttulo"/>
          <w:b w:val="0"/>
          <w:sz w:val="26"/>
        </w:rPr>
        <w:t xml:space="preserve"> </w:t>
      </w:r>
      <w:r w:rsidR="00E70B05" w:rsidRPr="0084697E">
        <w:rPr>
          <w:rStyle w:val="Numeracinttulo"/>
          <w:sz w:val="22"/>
          <w:szCs w:val="22"/>
        </w:rPr>
        <w:t>JU</w:t>
      </w:r>
      <w:r w:rsidR="00160E74" w:rsidRPr="0084697E">
        <w:rPr>
          <w:rStyle w:val="Numeracinttulo"/>
          <w:sz w:val="22"/>
          <w:szCs w:val="22"/>
        </w:rPr>
        <w:t>LIO CÉSAR OSPINA CHAVARRO</w:t>
      </w:r>
      <w:r w:rsidR="00E70B05" w:rsidRPr="0084697E">
        <w:rPr>
          <w:rStyle w:val="Numeracinttulo"/>
          <w:b w:val="0"/>
          <w:sz w:val="26"/>
        </w:rPr>
        <w:t xml:space="preserve">, </w:t>
      </w:r>
      <w:r w:rsidR="00714053" w:rsidRPr="0084697E">
        <w:t>debe imponérsele la inhabilidad general</w:t>
      </w:r>
      <w:r w:rsidR="00C64FB4" w:rsidRPr="0084697E">
        <w:t xml:space="preserve"> e intemporal</w:t>
      </w:r>
      <w:r w:rsidR="00714053" w:rsidRPr="0084697E">
        <w:t xml:space="preserve"> a</w:t>
      </w:r>
      <w:r w:rsidR="00C64FB4" w:rsidRPr="0084697E">
        <w:t xml:space="preserve"> la</w:t>
      </w:r>
      <w:r w:rsidR="00714053" w:rsidRPr="0084697E">
        <w:t xml:space="preserve"> que alude el canon 122 C.N. como lo </w:t>
      </w:r>
      <w:r w:rsidR="00714053" w:rsidRPr="0084697E">
        <w:lastRenderedPageBreak/>
        <w:t>reclama el agente del Ministerio Público</w:t>
      </w:r>
      <w:r w:rsidR="00C64FB4" w:rsidRPr="0084697E">
        <w:t xml:space="preserve">, </w:t>
      </w:r>
      <w:r w:rsidR="00D745A4" w:rsidRPr="0084697E">
        <w:t>en contraposición a lo sostenido por el juez de instancia y el señor defensor.</w:t>
      </w:r>
    </w:p>
    <w:p w14:paraId="3E1278B4" w14:textId="77777777" w:rsidR="009D3DE3" w:rsidRPr="0084697E" w:rsidRDefault="009D3DE3" w:rsidP="00B01B87"/>
    <w:p w14:paraId="65AD58B8" w14:textId="77777777" w:rsidR="009D3DE3" w:rsidRPr="0084697E" w:rsidRDefault="009D3DE3" w:rsidP="00B01B87">
      <w:pPr>
        <w:rPr>
          <w:b/>
          <w:sz w:val="24"/>
          <w:szCs w:val="24"/>
        </w:rPr>
      </w:pPr>
      <w:r w:rsidRPr="0084697E">
        <w:rPr>
          <w:b/>
          <w:sz w:val="24"/>
          <w:szCs w:val="24"/>
        </w:rPr>
        <w:t>3.3.- Solución a la controversia</w:t>
      </w:r>
    </w:p>
    <w:p w14:paraId="4631880D" w14:textId="77777777" w:rsidR="0029084A" w:rsidRPr="0084697E" w:rsidRDefault="0029084A" w:rsidP="00B01B87">
      <w:pPr>
        <w:rPr>
          <w:b/>
          <w:sz w:val="24"/>
          <w:szCs w:val="24"/>
        </w:rPr>
      </w:pPr>
    </w:p>
    <w:p w14:paraId="753D2234" w14:textId="77777777" w:rsidR="00FA7232" w:rsidRPr="0084697E" w:rsidRDefault="008D0935" w:rsidP="00691DF7">
      <w:pPr>
        <w:rPr>
          <w:rFonts w:cs="Tahoma"/>
        </w:rPr>
      </w:pPr>
      <w:r w:rsidRPr="0084697E">
        <w:rPr>
          <w:rFonts w:cs="Tahoma"/>
        </w:rPr>
        <w:t>No observa la Colegiatura existencia de vicios sustanciales que afecten garantías fundamentales de las partes e intervinientes, puesto que el trámite de todas las etapas procesales se surtió con acatamiento del debido proceso, y los medios de conocimiento fuer</w:t>
      </w:r>
      <w:r w:rsidR="00795EB9" w:rsidRPr="0084697E">
        <w:rPr>
          <w:rFonts w:cs="Tahoma"/>
        </w:rPr>
        <w:t>on incorporados en debida forma</w:t>
      </w:r>
      <w:r w:rsidRPr="0084697E">
        <w:rPr>
          <w:rFonts w:cs="Tahoma"/>
        </w:rPr>
        <w:t xml:space="preserve"> en consonancia con los principios que rigen el sistema penal acusatorio, por lo que se pasará a realizar el análisis correspondiente del fallo adoptado por la primera instancia, en los términos anunciados.</w:t>
      </w:r>
    </w:p>
    <w:p w14:paraId="455609AB" w14:textId="77777777" w:rsidR="00FA7232" w:rsidRPr="0084697E" w:rsidRDefault="00FA7232" w:rsidP="00691DF7">
      <w:pPr>
        <w:rPr>
          <w:rFonts w:cs="Tahoma"/>
        </w:rPr>
      </w:pPr>
    </w:p>
    <w:p w14:paraId="10BDCACD" w14:textId="77777777" w:rsidR="005056F6" w:rsidRPr="0084697E" w:rsidRDefault="00FA7232" w:rsidP="00691DF7">
      <w:pPr>
        <w:rPr>
          <w:rFonts w:cs="Tahoma"/>
        </w:rPr>
      </w:pPr>
      <w:r w:rsidRPr="0084697E">
        <w:rPr>
          <w:rFonts w:cs="Tahoma"/>
        </w:rPr>
        <w:t xml:space="preserve">Se extrae del recurso interpuesto contra el fallo de primer nivel, que </w:t>
      </w:r>
      <w:r w:rsidR="00782579" w:rsidRPr="0084697E">
        <w:rPr>
          <w:rFonts w:cs="Tahoma"/>
        </w:rPr>
        <w:t xml:space="preserve">la </w:t>
      </w:r>
      <w:r w:rsidRPr="0084697E">
        <w:rPr>
          <w:rFonts w:cs="Tahoma"/>
        </w:rPr>
        <w:t>pretensi</w:t>
      </w:r>
      <w:r w:rsidR="00782579" w:rsidRPr="0084697E">
        <w:rPr>
          <w:rFonts w:cs="Tahoma"/>
        </w:rPr>
        <w:t xml:space="preserve">ón del Delegado del </w:t>
      </w:r>
      <w:r w:rsidRPr="0084697E">
        <w:rPr>
          <w:rFonts w:cs="Tahoma"/>
        </w:rPr>
        <w:t xml:space="preserve">Ministerio Público </w:t>
      </w:r>
      <w:r w:rsidR="00DA4E76" w:rsidRPr="0084697E">
        <w:rPr>
          <w:rFonts w:cs="Tahoma"/>
        </w:rPr>
        <w:t>se limita</w:t>
      </w:r>
      <w:r w:rsidR="00782579" w:rsidRPr="0084697E">
        <w:rPr>
          <w:rFonts w:cs="Tahoma"/>
        </w:rPr>
        <w:t xml:space="preserve"> exclusivamente </w:t>
      </w:r>
      <w:r w:rsidRPr="0084697E">
        <w:rPr>
          <w:rFonts w:cs="Tahoma"/>
        </w:rPr>
        <w:t xml:space="preserve">a </w:t>
      </w:r>
      <w:r w:rsidR="00BB0AC5" w:rsidRPr="0084697E">
        <w:rPr>
          <w:rFonts w:cs="Tahoma"/>
        </w:rPr>
        <w:t>que se imponga</w:t>
      </w:r>
      <w:r w:rsidRPr="0084697E">
        <w:rPr>
          <w:rFonts w:cs="Tahoma"/>
        </w:rPr>
        <w:t xml:space="preserve"> </w:t>
      </w:r>
      <w:r w:rsidR="00BB0AC5" w:rsidRPr="0084697E">
        <w:rPr>
          <w:rFonts w:cs="Tahoma"/>
        </w:rPr>
        <w:t xml:space="preserve">al judicializado </w:t>
      </w:r>
      <w:r w:rsidRPr="0084697E">
        <w:rPr>
          <w:rFonts w:cs="Tahoma"/>
        </w:rPr>
        <w:t>la</w:t>
      </w:r>
      <w:r w:rsidR="00BB0AC5" w:rsidRPr="0084697E">
        <w:rPr>
          <w:rFonts w:cs="Tahoma"/>
        </w:rPr>
        <w:t xml:space="preserve"> </w:t>
      </w:r>
      <w:r w:rsidRPr="0084697E">
        <w:rPr>
          <w:rFonts w:cs="Tahoma"/>
        </w:rPr>
        <w:t>inhabilitación perpetua para acceder a cargos públicos y contratar con el Estado a la que se refiere el artículo 122 C.N.</w:t>
      </w:r>
      <w:r w:rsidR="0046795A" w:rsidRPr="0084697E">
        <w:rPr>
          <w:rFonts w:cs="Tahoma"/>
        </w:rPr>
        <w:t xml:space="preserve"> </w:t>
      </w:r>
    </w:p>
    <w:p w14:paraId="5C19E09B" w14:textId="77777777" w:rsidR="00F720A3" w:rsidRPr="0084697E" w:rsidRDefault="00F720A3" w:rsidP="00FA7232"/>
    <w:p w14:paraId="67CA74BF" w14:textId="5912508C" w:rsidR="008E5991" w:rsidRPr="0084697E" w:rsidRDefault="003D6465" w:rsidP="008E5991">
      <w:pPr>
        <w:rPr>
          <w:rStyle w:val="Numeracinttulo"/>
          <w:b w:val="0"/>
          <w:sz w:val="26"/>
        </w:rPr>
      </w:pPr>
      <w:r w:rsidRPr="0084697E">
        <w:t xml:space="preserve">Por parte del fallador </w:t>
      </w:r>
      <w:r w:rsidR="008E5991" w:rsidRPr="0084697E">
        <w:t xml:space="preserve">de primer nivel se negó la petición elevada por el señor Procurador en ese sentido, </w:t>
      </w:r>
      <w:r w:rsidR="00DA4E76" w:rsidRPr="0084697E">
        <w:t>básicamente porque</w:t>
      </w:r>
      <w:r w:rsidR="008E5991" w:rsidRPr="0084697E">
        <w:t xml:space="preserve"> considera que el juez no debe imponer dicha inhabilidad al no tratarse de una</w:t>
      </w:r>
      <w:r w:rsidR="00DA4E76" w:rsidRPr="0084697E">
        <w:t xml:space="preserve"> pena accesoria sino </w:t>
      </w:r>
      <w:r w:rsidR="00713345" w:rsidRPr="0084697E">
        <w:t xml:space="preserve">de </w:t>
      </w:r>
      <w:r w:rsidR="00DA4E76" w:rsidRPr="0084697E">
        <w:t>una sanción disciplinaria</w:t>
      </w:r>
      <w:r w:rsidRPr="0084697E">
        <w:t xml:space="preserve"> </w:t>
      </w:r>
      <w:r w:rsidRPr="0084697E">
        <w:rPr>
          <w:rFonts w:ascii="Verdana" w:hAnsi="Verdana"/>
          <w:sz w:val="20"/>
          <w:szCs w:val="20"/>
        </w:rPr>
        <w:t>–aspecto que no fue tenido</w:t>
      </w:r>
      <w:r w:rsidR="00D10CA9" w:rsidRPr="0084697E">
        <w:rPr>
          <w:rFonts w:ascii="Verdana" w:hAnsi="Verdana"/>
          <w:sz w:val="20"/>
          <w:szCs w:val="20"/>
        </w:rPr>
        <w:t xml:space="preserve"> en cuenta</w:t>
      </w:r>
      <w:r w:rsidRPr="0084697E">
        <w:rPr>
          <w:rFonts w:ascii="Verdana" w:hAnsi="Verdana"/>
          <w:sz w:val="20"/>
          <w:szCs w:val="20"/>
        </w:rPr>
        <w:t xml:space="preserve"> por esta Sala en las decisiones anteriores-</w:t>
      </w:r>
      <w:r w:rsidR="00DA4E76" w:rsidRPr="0084697E">
        <w:t xml:space="preserve">, y </w:t>
      </w:r>
      <w:r w:rsidR="008E5991" w:rsidRPr="0084697E">
        <w:t>d</w:t>
      </w:r>
      <w:r w:rsidR="008E5991" w:rsidRPr="0084697E">
        <w:rPr>
          <w:rStyle w:val="Numeracinttulo"/>
          <w:b w:val="0"/>
          <w:sz w:val="26"/>
        </w:rPr>
        <w:t>e igual forma, por cuanto la excepción consagrada en el inciso 2º del artículo 51 C.P. para que sea perpetua</w:t>
      </w:r>
      <w:r w:rsidR="00713345" w:rsidRPr="0084697E">
        <w:rPr>
          <w:rStyle w:val="Numeracinttulo"/>
          <w:b w:val="0"/>
          <w:sz w:val="26"/>
        </w:rPr>
        <w:t xml:space="preserve"> la inhabilitación de derechos y funciones públicas</w:t>
      </w:r>
      <w:r w:rsidR="008E5991" w:rsidRPr="0084697E">
        <w:rPr>
          <w:rStyle w:val="Numeracinttulo"/>
          <w:b w:val="0"/>
          <w:sz w:val="26"/>
        </w:rPr>
        <w:t>, solo aplica para los servidores públicos que hayan atentado contra el patrimonio del Estado, y no para otros procesados y delitos.</w:t>
      </w:r>
    </w:p>
    <w:p w14:paraId="5CEDA671" w14:textId="77777777" w:rsidR="003D6465" w:rsidRPr="0084697E" w:rsidRDefault="003D6465" w:rsidP="008E5991">
      <w:pPr>
        <w:rPr>
          <w:rStyle w:val="Numeracinttulo"/>
          <w:b w:val="0"/>
          <w:sz w:val="26"/>
        </w:rPr>
      </w:pPr>
    </w:p>
    <w:p w14:paraId="24171BD6" w14:textId="185F249E" w:rsidR="003D6465" w:rsidRPr="0084697E" w:rsidRDefault="003D6465" w:rsidP="008E5991">
      <w:pPr>
        <w:rPr>
          <w:rStyle w:val="Numeracinttulo"/>
          <w:b w:val="0"/>
          <w:sz w:val="26"/>
        </w:rPr>
      </w:pPr>
      <w:r w:rsidRPr="0084697E">
        <w:rPr>
          <w:rStyle w:val="Numeracinttulo"/>
          <w:b w:val="0"/>
          <w:sz w:val="26"/>
        </w:rPr>
        <w:t xml:space="preserve">En ese sentido </w:t>
      </w:r>
      <w:r w:rsidR="005C047B" w:rsidRPr="0084697E">
        <w:rPr>
          <w:rStyle w:val="Numeracinttulo"/>
          <w:b w:val="0"/>
          <w:sz w:val="26"/>
        </w:rPr>
        <w:t xml:space="preserve">debe decir la Sala que </w:t>
      </w:r>
      <w:r w:rsidRPr="0084697E">
        <w:rPr>
          <w:rStyle w:val="Numeracinttulo"/>
          <w:b w:val="0"/>
          <w:sz w:val="26"/>
        </w:rPr>
        <w:t xml:space="preserve">si bien le asiste razón al funcionario a quo, en cuanto a que </w:t>
      </w:r>
      <w:r w:rsidR="005C047B" w:rsidRPr="0084697E">
        <w:rPr>
          <w:rStyle w:val="Numeracinttulo"/>
          <w:b w:val="0"/>
          <w:sz w:val="26"/>
        </w:rPr>
        <w:t xml:space="preserve">la inhabilidad del artículo 122 Constitucional no es una pena </w:t>
      </w:r>
      <w:r w:rsidR="00C15E3D" w:rsidRPr="0084697E">
        <w:rPr>
          <w:rStyle w:val="Numeracinttulo"/>
          <w:b w:val="0"/>
          <w:sz w:val="26"/>
        </w:rPr>
        <w:t xml:space="preserve">o medida de seguridad, tal como lo ha sostenido el máximo </w:t>
      </w:r>
      <w:r w:rsidR="00C15E3D" w:rsidRPr="0084697E">
        <w:rPr>
          <w:rStyle w:val="Numeracinttulo"/>
          <w:b w:val="0"/>
          <w:sz w:val="26"/>
        </w:rPr>
        <w:lastRenderedPageBreak/>
        <w:t>Tribunal Constitucional en múltiples pronunciamientos, entre ellos, en las sentencias C-038/96, C-1212/01 y C</w:t>
      </w:r>
      <w:r w:rsidR="00EF246B" w:rsidRPr="0084697E">
        <w:rPr>
          <w:rStyle w:val="Numeracinttulo"/>
          <w:b w:val="0"/>
          <w:sz w:val="26"/>
        </w:rPr>
        <w:t>-</w:t>
      </w:r>
      <w:r w:rsidR="00C15E3D" w:rsidRPr="0084697E">
        <w:rPr>
          <w:rStyle w:val="Numeracinttulo"/>
          <w:b w:val="0"/>
          <w:sz w:val="26"/>
        </w:rPr>
        <w:t>373/02</w:t>
      </w:r>
      <w:r w:rsidR="00C15E3D" w:rsidRPr="0084697E">
        <w:rPr>
          <w:rStyle w:val="Numeracinttulo"/>
          <w:rFonts w:ascii="Verdana" w:hAnsi="Verdana"/>
          <w:b w:val="0"/>
          <w:sz w:val="20"/>
          <w:szCs w:val="20"/>
        </w:rPr>
        <w:t xml:space="preserve">, </w:t>
      </w:r>
      <w:r w:rsidR="00C15E3D" w:rsidRPr="0084697E">
        <w:rPr>
          <w:rStyle w:val="Numeracinttulo"/>
          <w:b w:val="0"/>
          <w:sz w:val="26"/>
        </w:rPr>
        <w:t xml:space="preserve">citadas por el recurrente, y que a su vez son referidas en la providencia que tomó como soporte de </w:t>
      </w:r>
      <w:r w:rsidR="00BB0AC5" w:rsidRPr="0084697E">
        <w:rPr>
          <w:rStyle w:val="Numeracinttulo"/>
          <w:b w:val="0"/>
          <w:sz w:val="26"/>
        </w:rPr>
        <w:t xml:space="preserve">su </w:t>
      </w:r>
      <w:r w:rsidR="00C15E3D" w:rsidRPr="0084697E">
        <w:rPr>
          <w:rStyle w:val="Numeracinttulo"/>
          <w:b w:val="0"/>
          <w:sz w:val="26"/>
        </w:rPr>
        <w:t>argumentación el funcionario de primer nivel</w:t>
      </w:r>
      <w:r w:rsidR="008A58A6" w:rsidRPr="0084697E">
        <w:rPr>
          <w:rStyle w:val="Numeracinttulo"/>
          <w:b w:val="0"/>
          <w:sz w:val="26"/>
        </w:rPr>
        <w:t xml:space="preserve"> </w:t>
      </w:r>
      <w:r w:rsidR="00C15E3D" w:rsidRPr="0084697E">
        <w:rPr>
          <w:rStyle w:val="Numeracinttulo"/>
          <w:rFonts w:ascii="Verdana" w:hAnsi="Verdana"/>
          <w:b w:val="0"/>
          <w:sz w:val="20"/>
          <w:szCs w:val="20"/>
        </w:rPr>
        <w:t>–Sentencia C-630/12-</w:t>
      </w:r>
      <w:r w:rsidR="00BB0AC5" w:rsidRPr="0084697E">
        <w:rPr>
          <w:rStyle w:val="Numeracinttulo"/>
          <w:b w:val="0"/>
          <w:sz w:val="26"/>
        </w:rPr>
        <w:t>,</w:t>
      </w:r>
      <w:r w:rsidR="00C15E3D" w:rsidRPr="0084697E">
        <w:rPr>
          <w:rStyle w:val="Numeracinttulo"/>
          <w:b w:val="0"/>
          <w:sz w:val="26"/>
        </w:rPr>
        <w:t xml:space="preserve"> esa</w:t>
      </w:r>
      <w:r w:rsidR="008A58A6" w:rsidRPr="0084697E">
        <w:rPr>
          <w:rStyle w:val="Numeracinttulo"/>
          <w:b w:val="0"/>
          <w:sz w:val="26"/>
        </w:rPr>
        <w:t xml:space="preserve"> mera</w:t>
      </w:r>
      <w:r w:rsidR="00C15E3D" w:rsidRPr="0084697E">
        <w:rPr>
          <w:rStyle w:val="Numeracinttulo"/>
          <w:b w:val="0"/>
          <w:sz w:val="26"/>
        </w:rPr>
        <w:t xml:space="preserve"> circunstancia</w:t>
      </w:r>
      <w:r w:rsidR="005C047B" w:rsidRPr="0084697E">
        <w:rPr>
          <w:rStyle w:val="Numeracinttulo"/>
          <w:b w:val="0"/>
          <w:sz w:val="26"/>
        </w:rPr>
        <w:t xml:space="preserve"> no impide</w:t>
      </w:r>
      <w:r w:rsidR="008A58A6" w:rsidRPr="0084697E">
        <w:rPr>
          <w:rStyle w:val="Numeracinttulo"/>
          <w:b w:val="0"/>
          <w:sz w:val="26"/>
        </w:rPr>
        <w:t xml:space="preserve"> en modo alguno</w:t>
      </w:r>
      <w:r w:rsidR="005C047B" w:rsidRPr="0084697E">
        <w:rPr>
          <w:rStyle w:val="Numeracinttulo"/>
          <w:b w:val="0"/>
          <w:sz w:val="26"/>
        </w:rPr>
        <w:t xml:space="preserve"> que la misma</w:t>
      </w:r>
      <w:r w:rsidR="00713345" w:rsidRPr="0084697E">
        <w:rPr>
          <w:rStyle w:val="Numeracinttulo"/>
          <w:b w:val="0"/>
          <w:sz w:val="26"/>
        </w:rPr>
        <w:t xml:space="preserve"> sea decretada</w:t>
      </w:r>
      <w:r w:rsidR="00C15E3D" w:rsidRPr="0084697E">
        <w:rPr>
          <w:rStyle w:val="Numeracinttulo"/>
          <w:b w:val="0"/>
          <w:sz w:val="26"/>
        </w:rPr>
        <w:t xml:space="preserve"> </w:t>
      </w:r>
      <w:r w:rsidR="00713345" w:rsidRPr="0084697E">
        <w:rPr>
          <w:rStyle w:val="Numeracinttulo"/>
          <w:b w:val="0"/>
          <w:sz w:val="26"/>
        </w:rPr>
        <w:t>dentro de los fallos judiciales</w:t>
      </w:r>
      <w:r w:rsidR="00C15E3D" w:rsidRPr="0084697E">
        <w:rPr>
          <w:rStyle w:val="Numeracinttulo"/>
          <w:b w:val="0"/>
          <w:sz w:val="26"/>
        </w:rPr>
        <w:t>.</w:t>
      </w:r>
      <w:r w:rsidR="008A58A6" w:rsidRPr="0084697E">
        <w:rPr>
          <w:rStyle w:val="Numeracinttulo"/>
          <w:b w:val="0"/>
          <w:sz w:val="26"/>
        </w:rPr>
        <w:t xml:space="preserve"> Y es así porque n</w:t>
      </w:r>
      <w:r w:rsidR="00C15E3D" w:rsidRPr="0084697E">
        <w:rPr>
          <w:rStyle w:val="Numeracinttulo"/>
          <w:b w:val="0"/>
          <w:sz w:val="26"/>
        </w:rPr>
        <w:t xml:space="preserve">ótese que </w:t>
      </w:r>
      <w:r w:rsidR="00D10A39" w:rsidRPr="0084697E">
        <w:rPr>
          <w:rStyle w:val="Numeracinttulo"/>
          <w:b w:val="0"/>
          <w:sz w:val="26"/>
        </w:rPr>
        <w:t xml:space="preserve">en </w:t>
      </w:r>
      <w:r w:rsidR="00C15E3D" w:rsidRPr="0084697E">
        <w:rPr>
          <w:rStyle w:val="Numeracinttulo"/>
          <w:b w:val="0"/>
          <w:sz w:val="26"/>
        </w:rPr>
        <w:t>la citada jurisprudencia</w:t>
      </w:r>
      <w:r w:rsidR="009C0664" w:rsidRPr="0084697E">
        <w:rPr>
          <w:rStyle w:val="Numeracinttulo"/>
          <w:b w:val="0"/>
          <w:sz w:val="26"/>
        </w:rPr>
        <w:t xml:space="preserve"> ni en ninguna otra que conozca</w:t>
      </w:r>
      <w:r w:rsidR="005D4AC3" w:rsidRPr="0084697E">
        <w:rPr>
          <w:rStyle w:val="Numeracinttulo"/>
          <w:b w:val="0"/>
          <w:sz w:val="26"/>
        </w:rPr>
        <w:t xml:space="preserve"> esta Corporación</w:t>
      </w:r>
      <w:r w:rsidR="008A58A6" w:rsidRPr="0084697E">
        <w:rPr>
          <w:rStyle w:val="Numeracinttulo"/>
          <w:b w:val="0"/>
          <w:sz w:val="26"/>
        </w:rPr>
        <w:t>,</w:t>
      </w:r>
      <w:r w:rsidR="005D4AC3" w:rsidRPr="0084697E">
        <w:rPr>
          <w:rStyle w:val="Numeracinttulo"/>
          <w:b w:val="0"/>
          <w:sz w:val="26"/>
        </w:rPr>
        <w:t xml:space="preserve"> se </w:t>
      </w:r>
      <w:r w:rsidR="00C15E3D" w:rsidRPr="0084697E">
        <w:rPr>
          <w:rStyle w:val="Numeracinttulo"/>
          <w:b w:val="0"/>
          <w:sz w:val="26"/>
        </w:rPr>
        <w:t xml:space="preserve">indica que los jueces </w:t>
      </w:r>
      <w:r w:rsidR="005C047B" w:rsidRPr="0084697E">
        <w:rPr>
          <w:rStyle w:val="Numeracinttulo"/>
          <w:b w:val="0"/>
          <w:sz w:val="26"/>
        </w:rPr>
        <w:t>deba</w:t>
      </w:r>
      <w:r w:rsidR="00C15E3D" w:rsidRPr="0084697E">
        <w:rPr>
          <w:rStyle w:val="Numeracinttulo"/>
          <w:b w:val="0"/>
          <w:sz w:val="26"/>
        </w:rPr>
        <w:t>n</w:t>
      </w:r>
      <w:r w:rsidR="005C047B" w:rsidRPr="0084697E">
        <w:rPr>
          <w:rStyle w:val="Numeracinttulo"/>
          <w:b w:val="0"/>
          <w:sz w:val="26"/>
        </w:rPr>
        <w:t xml:space="preserve"> abstenerse de i</w:t>
      </w:r>
      <w:r w:rsidR="00D10A39" w:rsidRPr="0084697E">
        <w:rPr>
          <w:rStyle w:val="Numeracinttulo"/>
          <w:b w:val="0"/>
          <w:sz w:val="26"/>
        </w:rPr>
        <w:t>mponer esa</w:t>
      </w:r>
      <w:r w:rsidR="005D4AC3" w:rsidRPr="0084697E">
        <w:rPr>
          <w:rStyle w:val="Numeracinttulo"/>
          <w:b w:val="0"/>
          <w:sz w:val="26"/>
        </w:rPr>
        <w:t xml:space="preserve"> inhabilidad</w:t>
      </w:r>
      <w:r w:rsidR="00D10A39" w:rsidRPr="0084697E">
        <w:rPr>
          <w:rStyle w:val="Numeracinttulo"/>
          <w:b w:val="0"/>
          <w:sz w:val="26"/>
        </w:rPr>
        <w:t xml:space="preserve"> a perpetuidad</w:t>
      </w:r>
      <w:r w:rsidR="005D4AC3" w:rsidRPr="0084697E">
        <w:rPr>
          <w:rStyle w:val="Numeracinttulo"/>
          <w:b w:val="0"/>
          <w:sz w:val="26"/>
        </w:rPr>
        <w:t>,</w:t>
      </w:r>
      <w:r w:rsidR="00713345" w:rsidRPr="0084697E">
        <w:rPr>
          <w:rStyle w:val="Numeracinttulo"/>
          <w:b w:val="0"/>
          <w:sz w:val="26"/>
        </w:rPr>
        <w:t xml:space="preserve"> o que no esté</w:t>
      </w:r>
      <w:r w:rsidR="00C15E3D" w:rsidRPr="0084697E">
        <w:rPr>
          <w:rStyle w:val="Numeracinttulo"/>
          <w:b w:val="0"/>
          <w:sz w:val="26"/>
        </w:rPr>
        <w:t>n</w:t>
      </w:r>
      <w:r w:rsidR="00713345" w:rsidRPr="0084697E">
        <w:rPr>
          <w:rStyle w:val="Numeracinttulo"/>
          <w:b w:val="0"/>
          <w:sz w:val="26"/>
        </w:rPr>
        <w:t xml:space="preserve"> facultado</w:t>
      </w:r>
      <w:r w:rsidR="005D4AC3" w:rsidRPr="0084697E">
        <w:rPr>
          <w:rStyle w:val="Numeracinttulo"/>
          <w:b w:val="0"/>
          <w:sz w:val="26"/>
        </w:rPr>
        <w:t>s</w:t>
      </w:r>
      <w:r w:rsidR="00713345" w:rsidRPr="0084697E">
        <w:rPr>
          <w:rStyle w:val="Numeracinttulo"/>
          <w:b w:val="0"/>
          <w:sz w:val="26"/>
        </w:rPr>
        <w:t xml:space="preserve"> para ello</w:t>
      </w:r>
      <w:r w:rsidR="00C15E3D" w:rsidRPr="0084697E">
        <w:rPr>
          <w:rStyle w:val="Numeracinttulo"/>
          <w:b w:val="0"/>
          <w:sz w:val="26"/>
        </w:rPr>
        <w:t xml:space="preserve">, máxime que todos los </w:t>
      </w:r>
      <w:r w:rsidR="00475049" w:rsidRPr="0084697E">
        <w:rPr>
          <w:rStyle w:val="Numeracinttulo"/>
          <w:b w:val="0"/>
          <w:sz w:val="26"/>
        </w:rPr>
        <w:t>operadores de justicia deben velar por el cumplimiento de los postulados de nuestra Carta Política.</w:t>
      </w:r>
    </w:p>
    <w:p w14:paraId="2593B1F7" w14:textId="77777777" w:rsidR="009A3C35" w:rsidRPr="0084697E" w:rsidRDefault="009A3C35" w:rsidP="008E5991">
      <w:pPr>
        <w:rPr>
          <w:rStyle w:val="Numeracinttulo"/>
          <w:b w:val="0"/>
          <w:sz w:val="26"/>
        </w:rPr>
      </w:pPr>
    </w:p>
    <w:p w14:paraId="2E1F26AD" w14:textId="02C67382" w:rsidR="009A3C35" w:rsidRPr="0084697E" w:rsidRDefault="004203F1" w:rsidP="009A3C35">
      <w:pPr>
        <w:rPr>
          <w:rStyle w:val="Numeracinttulo"/>
          <w:rFonts w:cs="Tahoma"/>
          <w:b w:val="0"/>
          <w:sz w:val="26"/>
        </w:rPr>
      </w:pPr>
      <w:r w:rsidRPr="0084697E">
        <w:rPr>
          <w:rStyle w:val="Numeracinttulo"/>
          <w:b w:val="0"/>
          <w:sz w:val="26"/>
        </w:rPr>
        <w:t>Ahora, es cierto desde luego</w:t>
      </w:r>
      <w:r w:rsidR="009A3C35" w:rsidRPr="0084697E">
        <w:rPr>
          <w:rStyle w:val="Numeracinttulo"/>
          <w:b w:val="0"/>
          <w:sz w:val="26"/>
        </w:rPr>
        <w:t xml:space="preserve"> que el </w:t>
      </w:r>
      <w:r w:rsidRPr="0084697E">
        <w:rPr>
          <w:rStyle w:val="Numeracinttulo"/>
          <w:b w:val="0"/>
          <w:sz w:val="26"/>
        </w:rPr>
        <w:t xml:space="preserve">inciso 2º del </w:t>
      </w:r>
      <w:r w:rsidR="009A3C35" w:rsidRPr="0084697E">
        <w:rPr>
          <w:rStyle w:val="Numeracinttulo"/>
          <w:b w:val="0"/>
          <w:sz w:val="26"/>
        </w:rPr>
        <w:t xml:space="preserve">artículo 51 </w:t>
      </w:r>
      <w:r w:rsidRPr="0084697E">
        <w:rPr>
          <w:rStyle w:val="Numeracinttulo"/>
          <w:b w:val="0"/>
          <w:sz w:val="26"/>
        </w:rPr>
        <w:t xml:space="preserve">C.P. </w:t>
      </w:r>
      <w:r w:rsidR="009A3C35" w:rsidRPr="0084697E">
        <w:rPr>
          <w:rStyle w:val="Numeracinttulo"/>
          <w:b w:val="0"/>
          <w:sz w:val="26"/>
        </w:rPr>
        <w:t>solo consagra como excepción para no aplicar la duración de la inhabilitación en el ejercicio de derechos y funciones públicas consagr</w:t>
      </w:r>
      <w:r w:rsidRPr="0084697E">
        <w:rPr>
          <w:rStyle w:val="Numeracinttulo"/>
          <w:b w:val="0"/>
          <w:sz w:val="26"/>
        </w:rPr>
        <w:t>ada en esa norma,</w:t>
      </w:r>
      <w:r w:rsidR="009A3C35" w:rsidRPr="0084697E">
        <w:rPr>
          <w:rStyle w:val="Numeracinttulo"/>
          <w:b w:val="0"/>
          <w:sz w:val="26"/>
        </w:rPr>
        <w:t xml:space="preserve"> la inhabilidad del inciso 5</w:t>
      </w:r>
      <w:r w:rsidRPr="0084697E">
        <w:rPr>
          <w:rStyle w:val="Numeracinttulo"/>
          <w:b w:val="0"/>
          <w:sz w:val="26"/>
        </w:rPr>
        <w:t xml:space="preserve">º </w:t>
      </w:r>
      <w:r w:rsidR="000808CF" w:rsidRPr="0084697E">
        <w:rPr>
          <w:rStyle w:val="Numeracinttulo"/>
          <w:b w:val="0"/>
          <w:sz w:val="26"/>
        </w:rPr>
        <w:t>del artículo 122 Superior en cuanto a</w:t>
      </w:r>
      <w:r w:rsidR="009A3C35" w:rsidRPr="0084697E">
        <w:rPr>
          <w:rStyle w:val="Numeracinttulo"/>
          <w:b w:val="0"/>
          <w:sz w:val="26"/>
        </w:rPr>
        <w:t xml:space="preserve"> las penas impuestas a servidores públicos condenados por delitos contra el patrimonio del Estado, por cuanto </w:t>
      </w:r>
      <w:r w:rsidR="009A3C35" w:rsidRPr="0084697E">
        <w:t>el texto original del citado canon señalaba:</w:t>
      </w:r>
      <w:r w:rsidR="009A3C35" w:rsidRPr="0084697E">
        <w:rPr>
          <w:rFonts w:ascii="Verdana" w:hAnsi="Verdana" w:cs="Tahoma"/>
          <w:sz w:val="20"/>
          <w:szCs w:val="20"/>
        </w:rPr>
        <w:t xml:space="preserve"> “Sin perjuicio de las demás sanciones que establezca la ley, el servidor público que sea condenado por </w:t>
      </w:r>
      <w:r w:rsidR="009A3C35" w:rsidRPr="0084697E">
        <w:rPr>
          <w:rFonts w:ascii="Verdana" w:hAnsi="Verdana" w:cs="Tahoma"/>
          <w:b/>
          <w:sz w:val="18"/>
          <w:szCs w:val="18"/>
        </w:rPr>
        <w:t>delitos contra el patrimonio del Estado, quedará inhabilitado para el desempeño de funciones públicas”</w:t>
      </w:r>
      <w:r w:rsidR="009A3C35" w:rsidRPr="0084697E">
        <w:rPr>
          <w:rFonts w:ascii="Verdana" w:hAnsi="Verdana" w:cs="Tahoma"/>
          <w:sz w:val="20"/>
          <w:szCs w:val="20"/>
        </w:rPr>
        <w:t xml:space="preserve">. </w:t>
      </w:r>
      <w:r w:rsidR="000808CF" w:rsidRPr="0084697E">
        <w:rPr>
          <w:rStyle w:val="Numeracinttulo"/>
          <w:b w:val="0"/>
          <w:sz w:val="26"/>
        </w:rPr>
        <w:t>P</w:t>
      </w:r>
      <w:r w:rsidR="009A3C35" w:rsidRPr="0084697E">
        <w:rPr>
          <w:rStyle w:val="Numeracinttulo"/>
          <w:b w:val="0"/>
          <w:sz w:val="26"/>
        </w:rPr>
        <w:t>ero</w:t>
      </w:r>
      <w:r w:rsidR="000808CF" w:rsidRPr="0084697E">
        <w:rPr>
          <w:rStyle w:val="Numeracinttulo"/>
          <w:b w:val="0"/>
          <w:sz w:val="26"/>
        </w:rPr>
        <w:t xml:space="preserve"> ocurre que no se puede pasar inadvertido</w:t>
      </w:r>
      <w:r w:rsidR="00BB0AC5" w:rsidRPr="0084697E">
        <w:rPr>
          <w:rStyle w:val="Numeracinttulo"/>
          <w:b w:val="0"/>
          <w:sz w:val="26"/>
        </w:rPr>
        <w:t>, como lo sostiene el delegado del Ministerio Público</w:t>
      </w:r>
      <w:r w:rsidR="009A3C35" w:rsidRPr="0084697E">
        <w:rPr>
          <w:rStyle w:val="Numeracinttulo"/>
          <w:b w:val="0"/>
          <w:sz w:val="26"/>
        </w:rPr>
        <w:t xml:space="preserve">, que el </w:t>
      </w:r>
      <w:r w:rsidR="009A3C35" w:rsidRPr="0084697E">
        <w:rPr>
          <w:rFonts w:cs="Tahoma"/>
          <w:color w:val="000000"/>
        </w:rPr>
        <w:t>Acto Legislativo 1 de 2009, cuyo artículo 4º modificó el citado canon constitucional para incluir allí también a</w:t>
      </w:r>
      <w:r w:rsidR="000808CF" w:rsidRPr="0084697E">
        <w:rPr>
          <w:rFonts w:cs="Tahoma"/>
          <w:color w:val="000000"/>
        </w:rPr>
        <w:t xml:space="preserve">: </w:t>
      </w:r>
      <w:r w:rsidR="000808CF" w:rsidRPr="0084697E">
        <w:rPr>
          <w:rFonts w:ascii="Verdana" w:hAnsi="Verdana" w:cs="Arial"/>
          <w:color w:val="000000"/>
          <w:sz w:val="20"/>
          <w:szCs w:val="20"/>
        </w:rPr>
        <w:t>”quienes h</w:t>
      </w:r>
      <w:r w:rsidR="009A3C35" w:rsidRPr="0084697E">
        <w:rPr>
          <w:rFonts w:ascii="Verdana" w:hAnsi="Verdana" w:cs="Arial"/>
          <w:color w:val="000000"/>
          <w:sz w:val="20"/>
          <w:szCs w:val="20"/>
        </w:rPr>
        <w:t xml:space="preserve">ayan sido condenados, en cualquier tiempo, por la comisión de </w:t>
      </w:r>
      <w:r w:rsidR="009A3C35" w:rsidRPr="0084697E">
        <w:rPr>
          <w:rFonts w:ascii="Verdana" w:hAnsi="Verdana" w:cs="Arial"/>
          <w:b/>
          <w:color w:val="000000"/>
          <w:sz w:val="18"/>
          <w:szCs w:val="18"/>
        </w:rPr>
        <w:t>delitos que afecten el patrimonio del Estado o quienes hayan sido condenados por delitos relacionados con la pertenencia, promoción o financiación de grupos armados ilegales, delitos de lesa humanidad o por narcotráfico en Colombia o en el exterior</w:t>
      </w:r>
      <w:r w:rsidR="009A3C35" w:rsidRPr="0084697E">
        <w:rPr>
          <w:rFonts w:ascii="Verdana" w:hAnsi="Verdana" w:cs="Arial"/>
          <w:color w:val="000000"/>
          <w:sz w:val="20"/>
          <w:szCs w:val="20"/>
        </w:rPr>
        <w:t xml:space="preserve">”, </w:t>
      </w:r>
      <w:r w:rsidR="009A3C35" w:rsidRPr="0084697E">
        <w:rPr>
          <w:rFonts w:cs="Tahoma"/>
          <w:color w:val="000000"/>
        </w:rPr>
        <w:t>es decir,</w:t>
      </w:r>
      <w:r w:rsidR="000808CF" w:rsidRPr="0084697E">
        <w:rPr>
          <w:rFonts w:cs="Tahoma"/>
          <w:color w:val="000000"/>
        </w:rPr>
        <w:t xml:space="preserve"> que se trata de una norma posterior al Código Penal</w:t>
      </w:r>
      <w:r w:rsidR="009A3C35" w:rsidRPr="0084697E">
        <w:rPr>
          <w:rFonts w:cs="Tahoma"/>
          <w:color w:val="000000"/>
        </w:rPr>
        <w:t xml:space="preserve"> y por ello no fue incluida en es</w:t>
      </w:r>
      <w:r w:rsidR="000808CF" w:rsidRPr="0084697E">
        <w:rPr>
          <w:rFonts w:cs="Tahoma"/>
          <w:color w:val="000000"/>
        </w:rPr>
        <w:t>te, pero que sin ninguna duda es una regla</w:t>
      </w:r>
      <w:r w:rsidR="009A3C35" w:rsidRPr="0084697E">
        <w:rPr>
          <w:rFonts w:cs="Tahoma"/>
          <w:color w:val="000000"/>
        </w:rPr>
        <w:t xml:space="preserve"> de rango superior y prima su aplicación por la supremacía de la Carta Política;</w:t>
      </w:r>
      <w:r w:rsidR="000808CF" w:rsidRPr="0084697E">
        <w:rPr>
          <w:rFonts w:cs="Tahoma"/>
          <w:color w:val="000000"/>
        </w:rPr>
        <w:t xml:space="preserve"> en consecuencia</w:t>
      </w:r>
      <w:r w:rsidR="00BB0AC5" w:rsidRPr="0084697E">
        <w:rPr>
          <w:rFonts w:cs="Tahoma"/>
          <w:color w:val="000000"/>
        </w:rPr>
        <w:t>, no es válido l</w:t>
      </w:r>
      <w:r w:rsidR="009A3C35" w:rsidRPr="0084697E">
        <w:rPr>
          <w:rFonts w:cs="Tahoma"/>
          <w:color w:val="000000"/>
        </w:rPr>
        <w:t>o planteado por el juez a q</w:t>
      </w:r>
      <w:r w:rsidR="000808CF" w:rsidRPr="0084697E">
        <w:rPr>
          <w:rFonts w:cs="Tahoma"/>
          <w:color w:val="000000"/>
        </w:rPr>
        <w:t>uo a ese</w:t>
      </w:r>
      <w:r w:rsidR="009A3C35" w:rsidRPr="0084697E">
        <w:rPr>
          <w:rFonts w:cs="Tahoma"/>
          <w:color w:val="000000"/>
        </w:rPr>
        <w:t xml:space="preserve"> respecto.</w:t>
      </w:r>
    </w:p>
    <w:p w14:paraId="7C1B7B6F" w14:textId="77777777" w:rsidR="00BB0AC5" w:rsidRPr="0084697E" w:rsidRDefault="00BB0AC5" w:rsidP="00035DCB">
      <w:pPr>
        <w:pStyle w:val="Notedebasdepage"/>
        <w:spacing w:line="360" w:lineRule="auto"/>
        <w:rPr>
          <w:rStyle w:val="Numeracinttulo"/>
          <w:rFonts w:cs="Tahoma"/>
          <w:b w:val="0"/>
          <w:sz w:val="26"/>
          <w:szCs w:val="26"/>
        </w:rPr>
      </w:pPr>
    </w:p>
    <w:p w14:paraId="4AC46548" w14:textId="77777777" w:rsidR="00AD5A65" w:rsidRPr="0084697E" w:rsidRDefault="00AD5A65" w:rsidP="00035DCB">
      <w:pPr>
        <w:pStyle w:val="Notedebasdepage"/>
        <w:spacing w:line="360" w:lineRule="auto"/>
        <w:rPr>
          <w:rStyle w:val="Numeracinttulo"/>
          <w:rFonts w:cs="Tahoma"/>
          <w:b w:val="0"/>
          <w:sz w:val="26"/>
          <w:szCs w:val="26"/>
        </w:rPr>
      </w:pPr>
      <w:r w:rsidRPr="0084697E">
        <w:rPr>
          <w:rStyle w:val="Numeracinttulo"/>
          <w:rFonts w:cs="Tahoma"/>
          <w:b w:val="0"/>
          <w:sz w:val="26"/>
          <w:szCs w:val="26"/>
        </w:rPr>
        <w:lastRenderedPageBreak/>
        <w:t>En conclusión, y dado el cabal entendimiento que el asunto amerita, hoy por hoy, la inhabilidad intemporal o perpetua, no opera solo para servidores públicos que cometan delitos contra el patrimonio del Estado, como lo entiende el señor juez a quo con fundamento en la regla 51 C.P., sino también por los restantes delitos ampliados con la reforma constitucional cometidos tanto por servidores públicos como por particulares. Y así tiene que entenderse, so pena de dejar el intérprete vacío de contenido el cambio surtido en esa materia a nivel constitucional.</w:t>
      </w:r>
    </w:p>
    <w:p w14:paraId="00A6047F" w14:textId="77777777" w:rsidR="00AD5A65" w:rsidRPr="0084697E" w:rsidRDefault="00AD5A65" w:rsidP="00035DCB">
      <w:pPr>
        <w:pStyle w:val="Notedebasdepage"/>
        <w:spacing w:line="360" w:lineRule="auto"/>
        <w:rPr>
          <w:rStyle w:val="Numeracinttulo"/>
          <w:rFonts w:cs="Tahoma"/>
          <w:b w:val="0"/>
          <w:sz w:val="26"/>
          <w:szCs w:val="26"/>
        </w:rPr>
      </w:pPr>
    </w:p>
    <w:p w14:paraId="455B4131" w14:textId="6B6E46FB" w:rsidR="00CB39A5" w:rsidRPr="0084697E" w:rsidRDefault="00BB0AC5" w:rsidP="00035DCB">
      <w:pPr>
        <w:pStyle w:val="Notedebasdepage"/>
        <w:spacing w:line="360" w:lineRule="auto"/>
        <w:rPr>
          <w:rFonts w:ascii="Tahoma" w:hAnsi="Tahoma" w:cs="Tahoma"/>
          <w:sz w:val="26"/>
          <w:szCs w:val="26"/>
        </w:rPr>
      </w:pPr>
      <w:r w:rsidRPr="0084697E">
        <w:rPr>
          <w:rStyle w:val="Numeracinttulo"/>
          <w:rFonts w:cs="Tahoma"/>
          <w:b w:val="0"/>
          <w:sz w:val="26"/>
          <w:szCs w:val="26"/>
        </w:rPr>
        <w:t>De otra parte, e</w:t>
      </w:r>
      <w:r w:rsidR="005D4AC3" w:rsidRPr="0084697E">
        <w:rPr>
          <w:rStyle w:val="Numeracinttulo"/>
          <w:rFonts w:cs="Tahoma"/>
          <w:b w:val="0"/>
          <w:sz w:val="26"/>
          <w:szCs w:val="26"/>
        </w:rPr>
        <w:t>n vari</w:t>
      </w:r>
      <w:r w:rsidR="00151740" w:rsidRPr="0084697E">
        <w:rPr>
          <w:rStyle w:val="Numeracinttulo"/>
          <w:rFonts w:cs="Tahoma"/>
          <w:b w:val="0"/>
          <w:sz w:val="26"/>
          <w:szCs w:val="26"/>
        </w:rPr>
        <w:t>a</w:t>
      </w:r>
      <w:r w:rsidR="005D4AC3" w:rsidRPr="0084697E">
        <w:rPr>
          <w:rStyle w:val="Numeracinttulo"/>
          <w:rFonts w:cs="Tahoma"/>
          <w:b w:val="0"/>
          <w:sz w:val="26"/>
          <w:szCs w:val="26"/>
        </w:rPr>
        <w:t>s de las decisiones</w:t>
      </w:r>
      <w:r w:rsidR="00126BA2" w:rsidRPr="0084697E">
        <w:rPr>
          <w:rStyle w:val="Numeracinttulo"/>
          <w:rFonts w:cs="Tahoma"/>
          <w:b w:val="0"/>
          <w:sz w:val="26"/>
          <w:szCs w:val="26"/>
        </w:rPr>
        <w:t xml:space="preserve"> de</w:t>
      </w:r>
      <w:r w:rsidR="00313FB1" w:rsidRPr="0084697E">
        <w:rPr>
          <w:rStyle w:val="Numeracinttulo"/>
          <w:rFonts w:cs="Tahoma"/>
          <w:b w:val="0"/>
          <w:sz w:val="26"/>
          <w:szCs w:val="26"/>
        </w:rPr>
        <w:t xml:space="preserve"> </w:t>
      </w:r>
      <w:r w:rsidR="00495D7C" w:rsidRPr="0084697E">
        <w:rPr>
          <w:rStyle w:val="Numeracinttulo"/>
          <w:rFonts w:cs="Tahoma"/>
          <w:b w:val="0"/>
          <w:sz w:val="26"/>
          <w:szCs w:val="26"/>
        </w:rPr>
        <w:t>la Corte Suprema de Justicia Sala de Casación Penal</w:t>
      </w:r>
      <w:r w:rsidR="00126BA2" w:rsidRPr="0084697E">
        <w:rPr>
          <w:rStyle w:val="Numeracinttulo"/>
          <w:rFonts w:cs="Tahoma"/>
          <w:b w:val="0"/>
          <w:sz w:val="26"/>
          <w:szCs w:val="26"/>
        </w:rPr>
        <w:t xml:space="preserve"> </w:t>
      </w:r>
      <w:r w:rsidRPr="0084697E">
        <w:rPr>
          <w:rStyle w:val="Numeracinttulo"/>
          <w:rFonts w:cs="Tahoma"/>
          <w:b w:val="0"/>
          <w:sz w:val="26"/>
          <w:szCs w:val="26"/>
        </w:rPr>
        <w:t>referida</w:t>
      </w:r>
      <w:r w:rsidR="00E72396" w:rsidRPr="0084697E">
        <w:rPr>
          <w:rStyle w:val="Numeracinttulo"/>
          <w:rFonts w:cs="Tahoma"/>
          <w:b w:val="0"/>
          <w:sz w:val="26"/>
          <w:szCs w:val="26"/>
        </w:rPr>
        <w:t xml:space="preserve">s </w:t>
      </w:r>
      <w:r w:rsidR="00126BA2" w:rsidRPr="0084697E">
        <w:rPr>
          <w:rStyle w:val="Numeracinttulo"/>
          <w:rFonts w:cs="Tahoma"/>
          <w:b w:val="0"/>
          <w:sz w:val="26"/>
          <w:szCs w:val="26"/>
        </w:rPr>
        <w:t>por el señor defensor</w:t>
      </w:r>
      <w:r w:rsidR="00BC5A9A" w:rsidRPr="0084697E">
        <w:rPr>
          <w:rStyle w:val="Appelnotedebasdep"/>
          <w:rFonts w:ascii="Tahoma" w:hAnsi="Tahoma" w:cs="Tahoma"/>
          <w:sz w:val="26"/>
          <w:szCs w:val="26"/>
        </w:rPr>
        <w:footnoteReference w:id="1"/>
      </w:r>
      <w:r w:rsidR="00126BA2" w:rsidRPr="0084697E">
        <w:rPr>
          <w:rStyle w:val="Numeracinttulo"/>
          <w:rFonts w:cs="Tahoma"/>
          <w:b w:val="0"/>
          <w:sz w:val="26"/>
          <w:szCs w:val="26"/>
        </w:rPr>
        <w:t xml:space="preserve">, </w:t>
      </w:r>
      <w:r w:rsidR="00F54159" w:rsidRPr="0084697E">
        <w:rPr>
          <w:rFonts w:ascii="Tahoma" w:hAnsi="Tahoma" w:cs="Tahoma"/>
          <w:color w:val="000000"/>
          <w:sz w:val="26"/>
          <w:szCs w:val="26"/>
        </w:rPr>
        <w:t xml:space="preserve">se consigna </w:t>
      </w:r>
      <w:r w:rsidR="0095771D" w:rsidRPr="0084697E">
        <w:rPr>
          <w:rFonts w:ascii="Tahoma" w:hAnsi="Tahoma" w:cs="Tahoma"/>
          <w:color w:val="000000"/>
          <w:sz w:val="26"/>
          <w:szCs w:val="26"/>
        </w:rPr>
        <w:t xml:space="preserve">que no </w:t>
      </w:r>
      <w:r w:rsidR="00313FB1" w:rsidRPr="0084697E">
        <w:rPr>
          <w:rFonts w:ascii="Tahoma" w:hAnsi="Tahoma" w:cs="Tahoma"/>
          <w:color w:val="000000"/>
          <w:sz w:val="26"/>
          <w:szCs w:val="26"/>
        </w:rPr>
        <w:t>e</w:t>
      </w:r>
      <w:r w:rsidR="0095771D" w:rsidRPr="0084697E">
        <w:rPr>
          <w:rFonts w:ascii="Tahoma" w:hAnsi="Tahoma" w:cs="Tahoma"/>
          <w:color w:val="000000"/>
          <w:sz w:val="26"/>
          <w:szCs w:val="26"/>
        </w:rPr>
        <w:t>s</w:t>
      </w:r>
      <w:r w:rsidR="00313FB1" w:rsidRPr="0084697E">
        <w:rPr>
          <w:rFonts w:ascii="Tahoma" w:hAnsi="Tahoma" w:cs="Tahoma"/>
          <w:color w:val="000000"/>
          <w:sz w:val="26"/>
          <w:szCs w:val="26"/>
        </w:rPr>
        <w:t xml:space="preserve"> indispensable</w:t>
      </w:r>
      <w:r w:rsidR="00126BA2" w:rsidRPr="0084697E">
        <w:rPr>
          <w:rFonts w:ascii="Tahoma" w:hAnsi="Tahoma" w:cs="Tahoma"/>
          <w:color w:val="000000"/>
          <w:sz w:val="26"/>
          <w:szCs w:val="26"/>
        </w:rPr>
        <w:t xml:space="preserve"> que el juez haga</w:t>
      </w:r>
      <w:r w:rsidR="00313FB1" w:rsidRPr="0084697E">
        <w:rPr>
          <w:rFonts w:ascii="Tahoma" w:hAnsi="Tahoma" w:cs="Tahoma"/>
          <w:color w:val="000000"/>
          <w:sz w:val="26"/>
          <w:szCs w:val="26"/>
        </w:rPr>
        <w:t xml:space="preserve"> un</w:t>
      </w:r>
      <w:r w:rsidR="00126BA2" w:rsidRPr="0084697E">
        <w:rPr>
          <w:rFonts w:ascii="Tahoma" w:hAnsi="Tahoma" w:cs="Tahoma"/>
          <w:color w:val="000000"/>
          <w:sz w:val="26"/>
          <w:szCs w:val="26"/>
        </w:rPr>
        <w:t>a</w:t>
      </w:r>
      <w:r w:rsidR="00313FB1" w:rsidRPr="0084697E">
        <w:rPr>
          <w:rFonts w:ascii="Tahoma" w:hAnsi="Tahoma" w:cs="Tahoma"/>
          <w:color w:val="000000"/>
          <w:sz w:val="26"/>
          <w:szCs w:val="26"/>
        </w:rPr>
        <w:t xml:space="preserve"> imposici</w:t>
      </w:r>
      <w:r w:rsidR="0095771D" w:rsidRPr="0084697E">
        <w:rPr>
          <w:rFonts w:ascii="Tahoma" w:hAnsi="Tahoma" w:cs="Tahoma"/>
          <w:color w:val="000000"/>
          <w:sz w:val="26"/>
          <w:szCs w:val="26"/>
        </w:rPr>
        <w:t xml:space="preserve">ón de dicha </w:t>
      </w:r>
      <w:r w:rsidR="00126BA2" w:rsidRPr="0084697E">
        <w:rPr>
          <w:rFonts w:ascii="Tahoma" w:hAnsi="Tahoma" w:cs="Tahoma"/>
          <w:color w:val="000000"/>
          <w:sz w:val="26"/>
          <w:szCs w:val="26"/>
        </w:rPr>
        <w:t>inhabilidad</w:t>
      </w:r>
      <w:r w:rsidR="00CB39A5" w:rsidRPr="0084697E">
        <w:rPr>
          <w:rFonts w:ascii="Tahoma" w:hAnsi="Tahoma" w:cs="Tahoma"/>
          <w:color w:val="000000"/>
          <w:sz w:val="26"/>
          <w:szCs w:val="26"/>
        </w:rPr>
        <w:t xml:space="preserve"> </w:t>
      </w:r>
      <w:r w:rsidR="00126BA2" w:rsidRPr="0084697E">
        <w:rPr>
          <w:rFonts w:ascii="Tahoma" w:hAnsi="Tahoma" w:cs="Tahoma"/>
          <w:color w:val="000000"/>
          <w:sz w:val="26"/>
          <w:szCs w:val="26"/>
        </w:rPr>
        <w:t>porque opera de pleno derecho,</w:t>
      </w:r>
      <w:r w:rsidR="00313FB1" w:rsidRPr="0084697E">
        <w:rPr>
          <w:rFonts w:ascii="Tahoma" w:hAnsi="Tahoma" w:cs="Tahoma"/>
          <w:color w:val="000000"/>
          <w:sz w:val="26"/>
          <w:szCs w:val="26"/>
        </w:rPr>
        <w:t xml:space="preserve"> </w:t>
      </w:r>
      <w:r w:rsidR="0095771D" w:rsidRPr="0084697E">
        <w:rPr>
          <w:rFonts w:ascii="Tahoma" w:hAnsi="Tahoma" w:cs="Tahoma"/>
          <w:color w:val="000000"/>
          <w:sz w:val="26"/>
          <w:szCs w:val="26"/>
        </w:rPr>
        <w:t xml:space="preserve">pero </w:t>
      </w:r>
      <w:r w:rsidR="00CB39A5" w:rsidRPr="0084697E">
        <w:rPr>
          <w:rFonts w:ascii="Tahoma" w:hAnsi="Tahoma" w:cs="Tahoma"/>
          <w:color w:val="000000"/>
          <w:sz w:val="26"/>
          <w:szCs w:val="26"/>
        </w:rPr>
        <w:t xml:space="preserve">resulta que éstos en su mayoría fueron proferidos antes de la modificación que el Acto Legislativo 01 </w:t>
      </w:r>
      <w:r w:rsidR="00E72396" w:rsidRPr="0084697E">
        <w:rPr>
          <w:rFonts w:ascii="Tahoma" w:hAnsi="Tahoma" w:cs="Tahoma"/>
          <w:color w:val="000000"/>
          <w:sz w:val="26"/>
          <w:szCs w:val="26"/>
        </w:rPr>
        <w:t xml:space="preserve">del 2009 hizo </w:t>
      </w:r>
      <w:r w:rsidR="00CB39A5" w:rsidRPr="0084697E">
        <w:rPr>
          <w:rFonts w:ascii="Tahoma" w:hAnsi="Tahoma" w:cs="Tahoma"/>
          <w:color w:val="000000"/>
          <w:sz w:val="26"/>
          <w:szCs w:val="26"/>
        </w:rPr>
        <w:t>del inciso 5</w:t>
      </w:r>
      <w:r w:rsidR="00C0172B" w:rsidRPr="0084697E">
        <w:rPr>
          <w:rFonts w:ascii="Tahoma" w:hAnsi="Tahoma" w:cs="Tahoma"/>
          <w:color w:val="000000"/>
          <w:sz w:val="26"/>
          <w:szCs w:val="26"/>
        </w:rPr>
        <w:t xml:space="preserve">º </w:t>
      </w:r>
      <w:r w:rsidR="00CB39A5" w:rsidRPr="0084697E">
        <w:rPr>
          <w:rFonts w:ascii="Tahoma" w:hAnsi="Tahoma" w:cs="Tahoma"/>
          <w:color w:val="000000"/>
          <w:sz w:val="26"/>
          <w:szCs w:val="26"/>
        </w:rPr>
        <w:t>del artículo 122 Constitucional, es decir, cuando la misma solo estaba dirigida a los servidores públicos que fueran condenados por delitos contra el patrimonio del Estado, lo cual no requería de un análisis exhaustivo para determinar en qué casos se aplicaba y en cuáles no.</w:t>
      </w:r>
    </w:p>
    <w:p w14:paraId="58E0D5FB" w14:textId="77777777" w:rsidR="00CB39A5" w:rsidRPr="0084697E" w:rsidRDefault="00CB39A5" w:rsidP="00035DCB">
      <w:pPr>
        <w:pStyle w:val="Notedebasdepage"/>
        <w:spacing w:line="360" w:lineRule="auto"/>
        <w:rPr>
          <w:rFonts w:ascii="Tahoma" w:hAnsi="Tahoma" w:cs="Tahoma"/>
          <w:color w:val="000000"/>
          <w:sz w:val="26"/>
          <w:szCs w:val="26"/>
        </w:rPr>
      </w:pPr>
    </w:p>
    <w:p w14:paraId="447DEE93" w14:textId="6D0CCAFE" w:rsidR="00313FB1" w:rsidRPr="0084697E" w:rsidRDefault="00C0172B" w:rsidP="00035DCB">
      <w:pPr>
        <w:pStyle w:val="Notedebasdepage"/>
        <w:spacing w:line="360" w:lineRule="auto"/>
        <w:rPr>
          <w:rFonts w:ascii="Tahoma" w:hAnsi="Tahoma" w:cs="Tahoma"/>
          <w:color w:val="000000"/>
          <w:sz w:val="26"/>
          <w:szCs w:val="26"/>
        </w:rPr>
      </w:pPr>
      <w:r w:rsidRPr="0084697E">
        <w:rPr>
          <w:rFonts w:ascii="Tahoma" w:hAnsi="Tahoma" w:cs="Tahoma"/>
          <w:color w:val="000000"/>
          <w:sz w:val="26"/>
          <w:szCs w:val="26"/>
        </w:rPr>
        <w:t>Sea como fuere</w:t>
      </w:r>
      <w:r w:rsidR="00151740" w:rsidRPr="0084697E">
        <w:rPr>
          <w:rFonts w:ascii="Tahoma" w:hAnsi="Tahoma" w:cs="Tahoma"/>
          <w:color w:val="000000"/>
          <w:sz w:val="26"/>
          <w:szCs w:val="26"/>
        </w:rPr>
        <w:t xml:space="preserve">, </w:t>
      </w:r>
      <w:r w:rsidR="00352141" w:rsidRPr="0084697E">
        <w:rPr>
          <w:rFonts w:ascii="Tahoma" w:hAnsi="Tahoma" w:cs="Tahoma"/>
          <w:color w:val="000000"/>
          <w:sz w:val="26"/>
          <w:szCs w:val="26"/>
        </w:rPr>
        <w:t xml:space="preserve">en </w:t>
      </w:r>
      <w:r w:rsidR="00151740" w:rsidRPr="0084697E">
        <w:rPr>
          <w:rFonts w:ascii="Tahoma" w:hAnsi="Tahoma" w:cs="Tahoma"/>
          <w:color w:val="000000"/>
          <w:sz w:val="26"/>
          <w:szCs w:val="26"/>
        </w:rPr>
        <w:t>otro de los pronunciamientos</w:t>
      </w:r>
      <w:r w:rsidR="00E72396" w:rsidRPr="0084697E">
        <w:rPr>
          <w:rFonts w:ascii="Tahoma" w:hAnsi="Tahoma" w:cs="Tahoma"/>
          <w:color w:val="000000"/>
          <w:sz w:val="26"/>
          <w:szCs w:val="26"/>
        </w:rPr>
        <w:t xml:space="preserve"> señalado por el togado</w:t>
      </w:r>
      <w:r w:rsidR="00151740" w:rsidRPr="0084697E">
        <w:rPr>
          <w:rFonts w:ascii="Tahoma" w:hAnsi="Tahoma" w:cs="Tahoma"/>
          <w:color w:val="000000"/>
          <w:sz w:val="26"/>
          <w:szCs w:val="26"/>
        </w:rPr>
        <w:t xml:space="preserve"> -</w:t>
      </w:r>
      <w:r w:rsidR="00151740" w:rsidRPr="0084697E">
        <w:rPr>
          <w:rFonts w:cs="Tahoma"/>
          <w:color w:val="000000"/>
        </w:rPr>
        <w:t xml:space="preserve">sentencia </w:t>
      </w:r>
      <w:r w:rsidR="00151740" w:rsidRPr="0084697E">
        <w:rPr>
          <w:rStyle w:val="Numeracinttulo"/>
          <w:rFonts w:ascii="Verdana" w:hAnsi="Verdana" w:cs="Tahoma"/>
          <w:b w:val="0"/>
          <w:sz w:val="20"/>
        </w:rPr>
        <w:t>36511 de junio 19 de 2013-</w:t>
      </w:r>
      <w:r w:rsidR="00E72396" w:rsidRPr="0084697E">
        <w:rPr>
          <w:rFonts w:ascii="Tahoma" w:hAnsi="Tahoma" w:cs="Tahoma"/>
          <w:color w:val="000000"/>
          <w:sz w:val="26"/>
          <w:szCs w:val="26"/>
        </w:rPr>
        <w:t xml:space="preserve"> el cual sí fue dictado</w:t>
      </w:r>
      <w:r w:rsidR="00151740" w:rsidRPr="0084697E">
        <w:rPr>
          <w:rFonts w:ascii="Tahoma" w:hAnsi="Tahoma" w:cs="Tahoma"/>
          <w:color w:val="000000"/>
          <w:sz w:val="26"/>
          <w:szCs w:val="26"/>
        </w:rPr>
        <w:t xml:space="preserve"> con posterioridad a la</w:t>
      </w:r>
      <w:r w:rsidR="00CB39A5" w:rsidRPr="0084697E">
        <w:rPr>
          <w:rFonts w:ascii="Tahoma" w:hAnsi="Tahoma" w:cs="Tahoma"/>
          <w:color w:val="000000"/>
          <w:sz w:val="26"/>
          <w:szCs w:val="26"/>
        </w:rPr>
        <w:t xml:space="preserve"> vigencia</w:t>
      </w:r>
      <w:r w:rsidR="00151740" w:rsidRPr="0084697E">
        <w:rPr>
          <w:rFonts w:ascii="Tahoma" w:hAnsi="Tahoma" w:cs="Tahoma"/>
          <w:color w:val="000000"/>
          <w:sz w:val="26"/>
          <w:szCs w:val="26"/>
        </w:rPr>
        <w:t xml:space="preserve"> del citado acto legislativo</w:t>
      </w:r>
      <w:r w:rsidR="00CB39A5" w:rsidRPr="0084697E">
        <w:rPr>
          <w:rFonts w:ascii="Tahoma" w:hAnsi="Tahoma" w:cs="Tahoma"/>
          <w:color w:val="000000"/>
          <w:sz w:val="26"/>
          <w:szCs w:val="26"/>
        </w:rPr>
        <w:t xml:space="preserve">, esto es, </w:t>
      </w:r>
      <w:r w:rsidR="001134F7" w:rsidRPr="0084697E">
        <w:rPr>
          <w:rFonts w:ascii="Tahoma" w:hAnsi="Tahoma" w:cs="Tahoma"/>
          <w:color w:val="000000"/>
          <w:sz w:val="26"/>
          <w:szCs w:val="26"/>
        </w:rPr>
        <w:t>cuando ya se había extendido la prohibición a delitos que afecten el patrimonio del Estado o quienes hayan sido condenados por delitos relacionados con la pertenencia, promoción o financiación de grupos armados ilegales, delitos de lesa humanidad o por narcotráfico</w:t>
      </w:r>
      <w:r w:rsidR="00151740" w:rsidRPr="0084697E">
        <w:rPr>
          <w:rFonts w:ascii="Tahoma" w:hAnsi="Tahoma" w:cs="Tahoma"/>
          <w:color w:val="000000"/>
          <w:sz w:val="26"/>
          <w:szCs w:val="26"/>
        </w:rPr>
        <w:t xml:space="preserve"> en Colombia</w:t>
      </w:r>
      <w:r w:rsidR="00CB39A5" w:rsidRPr="0084697E">
        <w:rPr>
          <w:rStyle w:val="Numeracinttulo"/>
          <w:rFonts w:cs="Tahoma"/>
          <w:b w:val="0"/>
          <w:sz w:val="26"/>
          <w:szCs w:val="26"/>
        </w:rPr>
        <w:t xml:space="preserve">, </w:t>
      </w:r>
      <w:r w:rsidR="00352141" w:rsidRPr="0084697E">
        <w:rPr>
          <w:rStyle w:val="Numeracinttulo"/>
          <w:rFonts w:cs="Tahoma"/>
          <w:b w:val="0"/>
          <w:sz w:val="26"/>
          <w:szCs w:val="26"/>
        </w:rPr>
        <w:t xml:space="preserve">y </w:t>
      </w:r>
      <w:r w:rsidR="00CB39A5" w:rsidRPr="0084697E">
        <w:rPr>
          <w:rStyle w:val="Numeracinttulo"/>
          <w:rFonts w:cs="Tahoma"/>
          <w:b w:val="0"/>
          <w:sz w:val="26"/>
          <w:szCs w:val="26"/>
        </w:rPr>
        <w:t xml:space="preserve">cuyo contenido ha </w:t>
      </w:r>
      <w:r w:rsidR="0095771D" w:rsidRPr="0084697E">
        <w:rPr>
          <w:rStyle w:val="Numeracinttulo"/>
          <w:rFonts w:cs="Tahoma"/>
          <w:b w:val="0"/>
          <w:sz w:val="26"/>
          <w:szCs w:val="26"/>
        </w:rPr>
        <w:t xml:space="preserve">sido </w:t>
      </w:r>
      <w:r w:rsidR="003B3533" w:rsidRPr="0084697E">
        <w:rPr>
          <w:rStyle w:val="Numeracinttulo"/>
          <w:rFonts w:cs="Tahoma"/>
          <w:b w:val="0"/>
          <w:sz w:val="26"/>
          <w:szCs w:val="26"/>
        </w:rPr>
        <w:t>reiterado en otra</w:t>
      </w:r>
      <w:r w:rsidR="00CB39A5" w:rsidRPr="0084697E">
        <w:rPr>
          <w:rStyle w:val="Numeracinttulo"/>
          <w:rFonts w:cs="Tahoma"/>
          <w:b w:val="0"/>
          <w:sz w:val="26"/>
          <w:szCs w:val="26"/>
        </w:rPr>
        <w:t>s</w:t>
      </w:r>
      <w:r w:rsidR="003B3533" w:rsidRPr="0084697E">
        <w:rPr>
          <w:rStyle w:val="Numeracinttulo"/>
          <w:rFonts w:cs="Tahoma"/>
          <w:b w:val="0"/>
          <w:sz w:val="26"/>
          <w:szCs w:val="26"/>
        </w:rPr>
        <w:t xml:space="preserve"> decisiones de dicho órgano </w:t>
      </w:r>
      <w:r w:rsidR="003B3533" w:rsidRPr="0084697E">
        <w:rPr>
          <w:rStyle w:val="Numeracinttulo"/>
          <w:rFonts w:ascii="Verdana" w:hAnsi="Verdana" w:cs="Tahoma"/>
          <w:b w:val="0"/>
          <w:sz w:val="20"/>
        </w:rPr>
        <w:t>-CSJ SP, 21 oct. 2013, rad. 34930 CSJ AP., 20  nov. 2013, rad. 42517-</w:t>
      </w:r>
      <w:r w:rsidR="003B3533" w:rsidRPr="0084697E">
        <w:rPr>
          <w:rStyle w:val="Numeracinttulo"/>
          <w:rFonts w:cs="Tahoma"/>
          <w:b w:val="0"/>
          <w:sz w:val="26"/>
          <w:szCs w:val="26"/>
        </w:rPr>
        <w:t xml:space="preserve">, </w:t>
      </w:r>
      <w:r w:rsidR="00035DCB" w:rsidRPr="0084697E">
        <w:rPr>
          <w:rStyle w:val="Numeracinttulo"/>
          <w:rFonts w:cs="Tahoma"/>
          <w:b w:val="0"/>
          <w:sz w:val="26"/>
          <w:szCs w:val="26"/>
        </w:rPr>
        <w:t>se indicó que</w:t>
      </w:r>
      <w:r w:rsidR="00126BA2" w:rsidRPr="0084697E">
        <w:rPr>
          <w:rFonts w:ascii="Tahoma" w:hAnsi="Tahoma" w:cs="Tahoma"/>
          <w:color w:val="000000"/>
          <w:sz w:val="26"/>
          <w:szCs w:val="26"/>
        </w:rPr>
        <w:t>:</w:t>
      </w:r>
      <w:r w:rsidR="00CB39A5" w:rsidRPr="0084697E">
        <w:rPr>
          <w:rFonts w:ascii="Tahoma" w:hAnsi="Tahoma" w:cs="Tahoma"/>
          <w:color w:val="000000"/>
          <w:sz w:val="26"/>
          <w:szCs w:val="26"/>
        </w:rPr>
        <w:t xml:space="preserve"> </w:t>
      </w:r>
      <w:r w:rsidR="00313FB1" w:rsidRPr="0084697E">
        <w:rPr>
          <w:rFonts w:cs="Arial"/>
          <w:color w:val="000000"/>
        </w:rPr>
        <w:t>“[…]</w:t>
      </w:r>
      <w:r w:rsidR="00313FB1" w:rsidRPr="0084697E">
        <w:rPr>
          <w:rFonts w:cs="Arial"/>
          <w:b/>
          <w:color w:val="000000"/>
          <w:sz w:val="18"/>
          <w:szCs w:val="18"/>
        </w:rPr>
        <w:t xml:space="preserve">Es deseable en la </w:t>
      </w:r>
      <w:r w:rsidR="00313FB1" w:rsidRPr="0084697E">
        <w:rPr>
          <w:rFonts w:cs="Arial"/>
          <w:b/>
          <w:color w:val="000000"/>
          <w:sz w:val="18"/>
          <w:szCs w:val="18"/>
        </w:rPr>
        <w:lastRenderedPageBreak/>
        <w:t>sentencia, a la vez, imponer la sanción permanente del artículo 122, inciso 5</w:t>
      </w:r>
      <w:r w:rsidRPr="0084697E">
        <w:rPr>
          <w:rFonts w:cs="Arial"/>
          <w:b/>
          <w:color w:val="000000"/>
          <w:sz w:val="18"/>
          <w:szCs w:val="18"/>
        </w:rPr>
        <w:t>º</w:t>
      </w:r>
      <w:r w:rsidR="00313FB1" w:rsidRPr="0084697E">
        <w:rPr>
          <w:rFonts w:cs="Arial"/>
          <w:b/>
          <w:color w:val="000000"/>
          <w:sz w:val="18"/>
          <w:szCs w:val="18"/>
        </w:rPr>
        <w:t>, de la Constitución</w:t>
      </w:r>
      <w:r w:rsidR="00313FB1" w:rsidRPr="0084697E">
        <w:rPr>
          <w:rFonts w:cs="Arial"/>
          <w:color w:val="000000"/>
        </w:rPr>
        <w:t xml:space="preserve">. </w:t>
      </w:r>
      <w:r w:rsidR="00313FB1" w:rsidRPr="0084697E">
        <w:rPr>
          <w:rFonts w:cs="Arial"/>
          <w:b/>
          <w:color w:val="000000"/>
          <w:sz w:val="18"/>
          <w:szCs w:val="18"/>
        </w:rPr>
        <w:t>Pero si no se hace, es una omisión intrascendente porque, de todas formas, como lo ha reiterado la Sala, la medida opera de pleno derecho</w:t>
      </w:r>
      <w:r w:rsidR="00313FB1" w:rsidRPr="0084697E">
        <w:rPr>
          <w:rFonts w:cs="Arial"/>
          <w:color w:val="000000"/>
        </w:rPr>
        <w:t xml:space="preserve"> […]”</w:t>
      </w:r>
      <w:r w:rsidR="00313FB1" w:rsidRPr="0084697E">
        <w:rPr>
          <w:rStyle w:val="Appelnotedebasdep"/>
          <w:rFonts w:cs="Arial"/>
          <w:color w:val="000000"/>
        </w:rPr>
        <w:footnoteReference w:id="2"/>
      </w:r>
      <w:r w:rsidRPr="0084697E">
        <w:rPr>
          <w:rFonts w:cs="Arial"/>
          <w:color w:val="000000"/>
        </w:rPr>
        <w:t xml:space="preserve"> </w:t>
      </w:r>
      <w:r w:rsidR="00F54159" w:rsidRPr="0084697E">
        <w:rPr>
          <w:rFonts w:cs="Tahoma"/>
          <w:color w:val="000000"/>
        </w:rPr>
        <w:t>-negrillas no originales-</w:t>
      </w:r>
    </w:p>
    <w:p w14:paraId="2E3668ED" w14:textId="77777777" w:rsidR="00352141" w:rsidRPr="0084697E" w:rsidRDefault="00352141" w:rsidP="00035DCB">
      <w:pPr>
        <w:pStyle w:val="Notedebasdepage"/>
        <w:spacing w:line="360" w:lineRule="auto"/>
        <w:rPr>
          <w:rFonts w:ascii="Tahoma" w:hAnsi="Tahoma" w:cs="Tahoma"/>
          <w:color w:val="000000"/>
          <w:sz w:val="26"/>
          <w:szCs w:val="26"/>
        </w:rPr>
      </w:pPr>
    </w:p>
    <w:p w14:paraId="786418AC" w14:textId="6C355E2A" w:rsidR="00352141" w:rsidRPr="0084697E" w:rsidRDefault="00352141" w:rsidP="00035DCB">
      <w:pPr>
        <w:pStyle w:val="Notedebasdepage"/>
        <w:spacing w:line="360" w:lineRule="auto"/>
        <w:rPr>
          <w:rFonts w:ascii="Tahoma" w:hAnsi="Tahoma" w:cs="Tahoma"/>
          <w:color w:val="000000"/>
          <w:sz w:val="26"/>
          <w:szCs w:val="26"/>
        </w:rPr>
      </w:pPr>
      <w:r w:rsidRPr="0084697E">
        <w:rPr>
          <w:rFonts w:ascii="Tahoma" w:hAnsi="Tahoma" w:cs="Tahoma"/>
          <w:color w:val="000000"/>
          <w:sz w:val="26"/>
          <w:szCs w:val="26"/>
        </w:rPr>
        <w:t xml:space="preserve">Del contenido de esa determinación, que como ya se dijo fue ratificado en otras decisiones de esa </w:t>
      </w:r>
      <w:r w:rsidR="00800941" w:rsidRPr="0084697E">
        <w:rPr>
          <w:rFonts w:ascii="Tahoma" w:hAnsi="Tahoma" w:cs="Tahoma"/>
          <w:color w:val="000000"/>
          <w:sz w:val="26"/>
          <w:szCs w:val="26"/>
        </w:rPr>
        <w:t xml:space="preserve">Alta </w:t>
      </w:r>
      <w:r w:rsidRPr="0084697E">
        <w:rPr>
          <w:rFonts w:ascii="Tahoma" w:hAnsi="Tahoma" w:cs="Tahoma"/>
          <w:color w:val="000000"/>
          <w:sz w:val="26"/>
          <w:szCs w:val="26"/>
        </w:rPr>
        <w:t>Corporación</w:t>
      </w:r>
      <w:r w:rsidR="00F54159" w:rsidRPr="0084697E">
        <w:rPr>
          <w:rFonts w:ascii="Tahoma" w:hAnsi="Tahoma" w:cs="Tahoma"/>
          <w:color w:val="000000"/>
          <w:sz w:val="26"/>
          <w:szCs w:val="26"/>
        </w:rPr>
        <w:t xml:space="preserve"> que constituyen precedente</w:t>
      </w:r>
      <w:r w:rsidRPr="0084697E">
        <w:rPr>
          <w:rFonts w:ascii="Tahoma" w:hAnsi="Tahoma" w:cs="Tahoma"/>
          <w:color w:val="000000"/>
          <w:sz w:val="26"/>
          <w:szCs w:val="26"/>
        </w:rPr>
        <w:t xml:space="preserve">, se infiere que contrario a lo sostenido por el </w:t>
      </w:r>
      <w:r w:rsidR="00F54159" w:rsidRPr="0084697E">
        <w:rPr>
          <w:rFonts w:ascii="Tahoma" w:hAnsi="Tahoma" w:cs="Tahoma"/>
          <w:color w:val="000000"/>
          <w:sz w:val="26"/>
          <w:szCs w:val="26"/>
        </w:rPr>
        <w:t xml:space="preserve">funcionario de primer grado </w:t>
      </w:r>
      <w:r w:rsidRPr="0084697E">
        <w:rPr>
          <w:rFonts w:ascii="Tahoma" w:hAnsi="Tahoma" w:cs="Tahoma"/>
          <w:color w:val="000000"/>
          <w:sz w:val="26"/>
          <w:szCs w:val="26"/>
        </w:rPr>
        <w:t>y el profesional que representa los interese</w:t>
      </w:r>
      <w:r w:rsidR="00F54159" w:rsidRPr="0084697E">
        <w:rPr>
          <w:rFonts w:ascii="Tahoma" w:hAnsi="Tahoma" w:cs="Tahoma"/>
          <w:color w:val="000000"/>
          <w:sz w:val="26"/>
          <w:szCs w:val="26"/>
        </w:rPr>
        <w:t>s del procesado</w:t>
      </w:r>
      <w:r w:rsidRPr="0084697E">
        <w:rPr>
          <w:rFonts w:ascii="Tahoma" w:hAnsi="Tahoma" w:cs="Tahoma"/>
          <w:color w:val="000000"/>
          <w:sz w:val="26"/>
          <w:szCs w:val="26"/>
        </w:rPr>
        <w:t xml:space="preserve">, </w:t>
      </w:r>
      <w:r w:rsidR="00800941" w:rsidRPr="0084697E">
        <w:rPr>
          <w:rFonts w:ascii="Tahoma" w:hAnsi="Tahoma" w:cs="Tahoma"/>
          <w:color w:val="000000"/>
          <w:sz w:val="26"/>
          <w:szCs w:val="26"/>
        </w:rPr>
        <w:t>LO ESPERADO ES QUE EL JUEZ IMPONGA LA SANCIÓN PREVISTA EN LA NORMA CONSTITUCIONAL</w:t>
      </w:r>
      <w:r w:rsidRPr="0084697E">
        <w:rPr>
          <w:rFonts w:ascii="Tahoma" w:hAnsi="Tahoma" w:cs="Tahoma"/>
          <w:color w:val="000000"/>
          <w:sz w:val="26"/>
          <w:szCs w:val="26"/>
        </w:rPr>
        <w:t xml:space="preserve">, aunque si no lo hace no se cuestiona su omisión </w:t>
      </w:r>
      <w:r w:rsidR="00E72396" w:rsidRPr="0084697E">
        <w:rPr>
          <w:rFonts w:ascii="Tahoma" w:hAnsi="Tahoma" w:cs="Tahoma"/>
          <w:color w:val="000000"/>
          <w:sz w:val="26"/>
          <w:szCs w:val="26"/>
        </w:rPr>
        <w:t xml:space="preserve">porque </w:t>
      </w:r>
      <w:r w:rsidRPr="0084697E">
        <w:rPr>
          <w:rFonts w:ascii="Tahoma" w:hAnsi="Tahoma" w:cs="Tahoma"/>
          <w:color w:val="000000"/>
          <w:sz w:val="26"/>
          <w:szCs w:val="26"/>
        </w:rPr>
        <w:t>la misma opera de pleno derecho.</w:t>
      </w:r>
    </w:p>
    <w:p w14:paraId="331370C0" w14:textId="77777777" w:rsidR="00E72396" w:rsidRPr="0084697E" w:rsidRDefault="00E72396" w:rsidP="00035DCB">
      <w:pPr>
        <w:pStyle w:val="Notedebasdepage"/>
        <w:spacing w:line="360" w:lineRule="auto"/>
        <w:rPr>
          <w:rFonts w:ascii="Tahoma" w:hAnsi="Tahoma" w:cs="Tahoma"/>
          <w:color w:val="000000"/>
          <w:sz w:val="26"/>
          <w:szCs w:val="26"/>
        </w:rPr>
      </w:pPr>
    </w:p>
    <w:p w14:paraId="0BD94FBE" w14:textId="43C2DC48" w:rsidR="00352141" w:rsidRPr="0084697E" w:rsidRDefault="00352141" w:rsidP="00035DCB">
      <w:pPr>
        <w:pStyle w:val="Notedebasdepage"/>
        <w:spacing w:line="360" w:lineRule="auto"/>
        <w:rPr>
          <w:rFonts w:ascii="Tahoma" w:hAnsi="Tahoma" w:cs="Tahoma"/>
          <w:color w:val="000000"/>
          <w:sz w:val="26"/>
          <w:szCs w:val="26"/>
        </w:rPr>
      </w:pPr>
      <w:r w:rsidRPr="0084697E">
        <w:rPr>
          <w:rFonts w:ascii="Tahoma" w:hAnsi="Tahoma" w:cs="Tahoma"/>
          <w:color w:val="000000"/>
          <w:sz w:val="26"/>
          <w:szCs w:val="26"/>
        </w:rPr>
        <w:t>Con apoyo en es</w:t>
      </w:r>
      <w:r w:rsidR="00F54159" w:rsidRPr="0084697E">
        <w:rPr>
          <w:rFonts w:ascii="Tahoma" w:hAnsi="Tahoma" w:cs="Tahoma"/>
          <w:color w:val="000000"/>
          <w:sz w:val="26"/>
          <w:szCs w:val="26"/>
        </w:rPr>
        <w:t>a jurisprudencia</w:t>
      </w:r>
      <w:r w:rsidR="00800941" w:rsidRPr="0084697E">
        <w:rPr>
          <w:rFonts w:ascii="Tahoma" w:hAnsi="Tahoma" w:cs="Tahoma"/>
          <w:color w:val="000000"/>
          <w:sz w:val="26"/>
          <w:szCs w:val="26"/>
        </w:rPr>
        <w:t xml:space="preserve"> de nuestro órgano de c</w:t>
      </w:r>
      <w:r w:rsidR="000F5903" w:rsidRPr="0084697E">
        <w:rPr>
          <w:rFonts w:ascii="Tahoma" w:hAnsi="Tahoma" w:cs="Tahoma"/>
          <w:color w:val="000000"/>
          <w:sz w:val="26"/>
          <w:szCs w:val="26"/>
        </w:rPr>
        <w:t>ierre,</w:t>
      </w:r>
      <w:r w:rsidRPr="0084697E">
        <w:rPr>
          <w:rFonts w:ascii="Tahoma" w:hAnsi="Tahoma" w:cs="Tahoma"/>
          <w:color w:val="000000"/>
          <w:sz w:val="26"/>
          <w:szCs w:val="26"/>
        </w:rPr>
        <w:t xml:space="preserve"> esta Sala considera que debe mantener su </w:t>
      </w:r>
      <w:r w:rsidRPr="0084697E">
        <w:rPr>
          <w:rFonts w:ascii="Tahoma" w:hAnsi="Tahoma" w:cs="Tahoma"/>
          <w:sz w:val="26"/>
          <w:szCs w:val="26"/>
        </w:rPr>
        <w:t xml:space="preserve">postura de </w:t>
      </w:r>
      <w:r w:rsidR="000F5903" w:rsidRPr="0084697E">
        <w:rPr>
          <w:rFonts w:ascii="Tahoma" w:hAnsi="Tahoma" w:cs="Tahoma"/>
          <w:sz w:val="26"/>
          <w:szCs w:val="26"/>
        </w:rPr>
        <w:t>disponer expresamente lo atinente a la citada inhabilidad en los fallos judiciales</w:t>
      </w:r>
      <w:r w:rsidR="00E72396" w:rsidRPr="0084697E">
        <w:rPr>
          <w:rFonts w:ascii="Tahoma" w:hAnsi="Tahoma" w:cs="Tahoma"/>
          <w:sz w:val="26"/>
          <w:szCs w:val="26"/>
        </w:rPr>
        <w:t>,</w:t>
      </w:r>
      <w:r w:rsidR="000F5903" w:rsidRPr="0084697E">
        <w:rPr>
          <w:rFonts w:ascii="Tahoma" w:hAnsi="Tahoma" w:cs="Tahoma"/>
          <w:sz w:val="26"/>
          <w:szCs w:val="26"/>
        </w:rPr>
        <w:t xml:space="preserve"> </w:t>
      </w:r>
      <w:r w:rsidR="00F54159" w:rsidRPr="0084697E">
        <w:rPr>
          <w:rFonts w:ascii="Tahoma" w:hAnsi="Tahoma" w:cs="Tahoma"/>
          <w:sz w:val="26"/>
          <w:szCs w:val="26"/>
        </w:rPr>
        <w:t>ya que consideramos que con</w:t>
      </w:r>
      <w:r w:rsidR="000F5903" w:rsidRPr="0084697E">
        <w:rPr>
          <w:rFonts w:ascii="Tahoma" w:hAnsi="Tahoma" w:cs="Tahoma"/>
          <w:sz w:val="26"/>
          <w:szCs w:val="26"/>
        </w:rPr>
        <w:t xml:space="preserve"> </w:t>
      </w:r>
      <w:r w:rsidR="001C2754" w:rsidRPr="0084697E">
        <w:rPr>
          <w:rFonts w:ascii="Tahoma" w:hAnsi="Tahoma" w:cs="Tahoma"/>
          <w:sz w:val="26"/>
          <w:szCs w:val="26"/>
        </w:rPr>
        <w:t xml:space="preserve">ese proceder </w:t>
      </w:r>
      <w:r w:rsidR="00F54159" w:rsidRPr="0084697E">
        <w:rPr>
          <w:rFonts w:ascii="Tahoma" w:hAnsi="Tahoma" w:cs="Tahoma"/>
          <w:sz w:val="26"/>
          <w:szCs w:val="26"/>
        </w:rPr>
        <w:t xml:space="preserve">se </w:t>
      </w:r>
      <w:r w:rsidR="001C2754" w:rsidRPr="0084697E">
        <w:rPr>
          <w:rFonts w:ascii="Tahoma" w:hAnsi="Tahoma" w:cs="Tahoma"/>
          <w:sz w:val="26"/>
          <w:szCs w:val="26"/>
        </w:rPr>
        <w:t>evita</w:t>
      </w:r>
      <w:r w:rsidR="00F54159" w:rsidRPr="0084697E">
        <w:rPr>
          <w:rFonts w:ascii="Tahoma" w:hAnsi="Tahoma" w:cs="Tahoma"/>
          <w:sz w:val="26"/>
          <w:szCs w:val="26"/>
        </w:rPr>
        <w:t>n</w:t>
      </w:r>
      <w:r w:rsidR="001C2754" w:rsidRPr="0084697E">
        <w:rPr>
          <w:rFonts w:ascii="Tahoma" w:hAnsi="Tahoma" w:cs="Tahoma"/>
          <w:sz w:val="26"/>
          <w:szCs w:val="26"/>
        </w:rPr>
        <w:t xml:space="preserve"> </w:t>
      </w:r>
      <w:r w:rsidRPr="0084697E">
        <w:rPr>
          <w:rFonts w:ascii="Tahoma" w:hAnsi="Tahoma" w:cs="Tahoma"/>
          <w:sz w:val="26"/>
          <w:szCs w:val="26"/>
        </w:rPr>
        <w:t>imprecisiones</w:t>
      </w:r>
      <w:r w:rsidR="001C2754" w:rsidRPr="0084697E">
        <w:rPr>
          <w:rFonts w:ascii="Tahoma" w:hAnsi="Tahoma" w:cs="Tahoma"/>
          <w:sz w:val="26"/>
          <w:szCs w:val="26"/>
        </w:rPr>
        <w:t xml:space="preserve"> u omisiones</w:t>
      </w:r>
      <w:r w:rsidR="00800941" w:rsidRPr="0084697E">
        <w:rPr>
          <w:rFonts w:ascii="Tahoma" w:hAnsi="Tahoma" w:cs="Tahoma"/>
          <w:sz w:val="26"/>
          <w:szCs w:val="26"/>
        </w:rPr>
        <w:t>, sobre todo en aquellos eventos en los cuales</w:t>
      </w:r>
      <w:r w:rsidRPr="0084697E">
        <w:rPr>
          <w:rFonts w:ascii="Tahoma" w:hAnsi="Tahoma" w:cs="Tahoma"/>
          <w:sz w:val="26"/>
          <w:szCs w:val="26"/>
        </w:rPr>
        <w:t xml:space="preserve"> no es tan claro si debe o no aplicarse dicha inhabilidad </w:t>
      </w:r>
      <w:r w:rsidR="001C2754" w:rsidRPr="0084697E">
        <w:rPr>
          <w:rFonts w:ascii="Tahoma" w:hAnsi="Tahoma" w:cs="Tahoma"/>
          <w:color w:val="000000"/>
          <w:sz w:val="26"/>
          <w:szCs w:val="26"/>
        </w:rPr>
        <w:t xml:space="preserve">perpetua, puesto que </w:t>
      </w:r>
      <w:r w:rsidR="000F5903" w:rsidRPr="0084697E">
        <w:rPr>
          <w:rFonts w:ascii="Tahoma" w:hAnsi="Tahoma" w:cs="Tahoma"/>
          <w:color w:val="000000"/>
          <w:sz w:val="26"/>
          <w:szCs w:val="26"/>
        </w:rPr>
        <w:t xml:space="preserve">en algunos casos por el tipo de delito es muy fácil determinar si se afectó el </w:t>
      </w:r>
      <w:r w:rsidRPr="0084697E">
        <w:rPr>
          <w:rFonts w:ascii="Tahoma" w:hAnsi="Tahoma" w:cs="Tahoma"/>
          <w:color w:val="000000"/>
          <w:sz w:val="26"/>
          <w:szCs w:val="26"/>
        </w:rPr>
        <w:t>patrimonio del Estado</w:t>
      </w:r>
      <w:r w:rsidR="009A3C35" w:rsidRPr="0084697E">
        <w:rPr>
          <w:rFonts w:ascii="Tahoma" w:hAnsi="Tahoma" w:cs="Tahoma"/>
          <w:color w:val="000000"/>
          <w:sz w:val="26"/>
          <w:szCs w:val="26"/>
        </w:rPr>
        <w:t xml:space="preserve">, </w:t>
      </w:r>
      <w:r w:rsidR="000F5903" w:rsidRPr="0084697E">
        <w:rPr>
          <w:rFonts w:ascii="Tahoma" w:hAnsi="Tahoma" w:cs="Tahoma"/>
          <w:color w:val="000000"/>
          <w:sz w:val="26"/>
          <w:szCs w:val="26"/>
        </w:rPr>
        <w:t xml:space="preserve">o si se trata de delitos </w:t>
      </w:r>
      <w:r w:rsidRPr="0084697E">
        <w:rPr>
          <w:rFonts w:ascii="Tahoma" w:hAnsi="Tahoma" w:cs="Tahoma"/>
          <w:color w:val="000000"/>
          <w:sz w:val="26"/>
          <w:szCs w:val="26"/>
        </w:rPr>
        <w:t xml:space="preserve">relacionados con la pertenencia, promoción o financiación de grupos armados ilegales, delitos de lesa humanidad o narcotráfico, </w:t>
      </w:r>
      <w:r w:rsidR="000F5903" w:rsidRPr="0084697E">
        <w:rPr>
          <w:rFonts w:ascii="Tahoma" w:hAnsi="Tahoma" w:cs="Tahoma"/>
          <w:color w:val="000000"/>
          <w:sz w:val="26"/>
          <w:szCs w:val="26"/>
        </w:rPr>
        <w:t>y por</w:t>
      </w:r>
      <w:r w:rsidR="001C2754" w:rsidRPr="0084697E">
        <w:rPr>
          <w:rFonts w:ascii="Tahoma" w:hAnsi="Tahoma" w:cs="Tahoma"/>
          <w:color w:val="000000"/>
          <w:sz w:val="26"/>
          <w:szCs w:val="26"/>
        </w:rPr>
        <w:t xml:space="preserve"> tanto p</w:t>
      </w:r>
      <w:r w:rsidR="000F5903" w:rsidRPr="0084697E">
        <w:rPr>
          <w:rFonts w:ascii="Tahoma" w:hAnsi="Tahoma" w:cs="Tahoma"/>
          <w:color w:val="000000"/>
          <w:sz w:val="26"/>
          <w:szCs w:val="26"/>
        </w:rPr>
        <w:t xml:space="preserve">uede que no exista mayor confusión en ese sentido, aunque </w:t>
      </w:r>
      <w:r w:rsidR="001C2754" w:rsidRPr="0084697E">
        <w:rPr>
          <w:rFonts w:ascii="Tahoma" w:hAnsi="Tahoma" w:cs="Tahoma"/>
          <w:color w:val="000000"/>
          <w:sz w:val="26"/>
          <w:szCs w:val="26"/>
        </w:rPr>
        <w:t xml:space="preserve">no están exentos de que se genere </w:t>
      </w:r>
      <w:r w:rsidR="000F5903" w:rsidRPr="0084697E">
        <w:rPr>
          <w:rFonts w:ascii="Tahoma" w:hAnsi="Tahoma" w:cs="Tahoma"/>
          <w:color w:val="000000"/>
          <w:sz w:val="26"/>
          <w:szCs w:val="26"/>
        </w:rPr>
        <w:t>ambigüedad</w:t>
      </w:r>
      <w:r w:rsidR="001C2754" w:rsidRPr="0084697E">
        <w:rPr>
          <w:rFonts w:ascii="Tahoma" w:hAnsi="Tahoma" w:cs="Tahoma"/>
          <w:color w:val="000000"/>
          <w:sz w:val="26"/>
          <w:szCs w:val="26"/>
        </w:rPr>
        <w:t>; sin embargo, habrá eventos en que</w:t>
      </w:r>
      <w:r w:rsidRPr="0084697E">
        <w:rPr>
          <w:rFonts w:ascii="Tahoma" w:hAnsi="Tahoma" w:cs="Tahoma"/>
          <w:color w:val="000000"/>
          <w:sz w:val="26"/>
          <w:szCs w:val="26"/>
        </w:rPr>
        <w:t xml:space="preserve"> sí hay </w:t>
      </w:r>
      <w:r w:rsidR="002720A8" w:rsidRPr="0084697E">
        <w:rPr>
          <w:rFonts w:ascii="Tahoma" w:hAnsi="Tahoma" w:cs="Tahoma"/>
          <w:color w:val="000000"/>
          <w:sz w:val="26"/>
          <w:szCs w:val="26"/>
        </w:rPr>
        <w:t>un mayor grado de dificultad para determinar si</w:t>
      </w:r>
      <w:r w:rsidR="009A3C35" w:rsidRPr="0084697E">
        <w:rPr>
          <w:rFonts w:ascii="Tahoma" w:hAnsi="Tahoma" w:cs="Tahoma"/>
          <w:color w:val="000000"/>
          <w:sz w:val="26"/>
          <w:szCs w:val="26"/>
        </w:rPr>
        <w:t xml:space="preserve"> debe impon</w:t>
      </w:r>
      <w:r w:rsidR="001C2754" w:rsidRPr="0084697E">
        <w:rPr>
          <w:rFonts w:ascii="Tahoma" w:hAnsi="Tahoma" w:cs="Tahoma"/>
          <w:color w:val="000000"/>
          <w:sz w:val="26"/>
          <w:szCs w:val="26"/>
        </w:rPr>
        <w:t>erse</w:t>
      </w:r>
      <w:r w:rsidR="009A3C35" w:rsidRPr="0084697E">
        <w:rPr>
          <w:rFonts w:ascii="Tahoma" w:hAnsi="Tahoma" w:cs="Tahoma"/>
          <w:color w:val="000000"/>
          <w:sz w:val="26"/>
          <w:szCs w:val="26"/>
        </w:rPr>
        <w:t xml:space="preserve"> dicha sanción</w:t>
      </w:r>
      <w:r w:rsidR="002720A8" w:rsidRPr="0084697E">
        <w:rPr>
          <w:rFonts w:ascii="Tahoma" w:hAnsi="Tahoma" w:cs="Tahoma"/>
          <w:color w:val="000000"/>
          <w:sz w:val="26"/>
          <w:szCs w:val="26"/>
        </w:rPr>
        <w:t xml:space="preserve">, </w:t>
      </w:r>
      <w:r w:rsidR="00D6411B" w:rsidRPr="0084697E">
        <w:rPr>
          <w:rFonts w:ascii="Tahoma" w:hAnsi="Tahoma" w:cs="Tahoma"/>
          <w:color w:val="000000"/>
          <w:sz w:val="26"/>
          <w:szCs w:val="26"/>
        </w:rPr>
        <w:t xml:space="preserve">porque </w:t>
      </w:r>
      <w:r w:rsidR="001C2754" w:rsidRPr="0084697E">
        <w:rPr>
          <w:rFonts w:ascii="Tahoma" w:hAnsi="Tahoma" w:cs="Tahoma"/>
          <w:color w:val="000000"/>
          <w:sz w:val="26"/>
          <w:szCs w:val="26"/>
        </w:rPr>
        <w:t>e</w:t>
      </w:r>
      <w:r w:rsidR="00D6411B" w:rsidRPr="0084697E">
        <w:rPr>
          <w:rFonts w:ascii="Tahoma" w:hAnsi="Tahoma" w:cs="Tahoma"/>
          <w:color w:val="000000"/>
          <w:sz w:val="26"/>
          <w:szCs w:val="26"/>
        </w:rPr>
        <w:t>l tipo penal por el que se emite</w:t>
      </w:r>
      <w:r w:rsidR="001C2754" w:rsidRPr="0084697E">
        <w:rPr>
          <w:rFonts w:ascii="Tahoma" w:hAnsi="Tahoma" w:cs="Tahoma"/>
          <w:color w:val="000000"/>
          <w:sz w:val="26"/>
          <w:szCs w:val="26"/>
        </w:rPr>
        <w:t xml:space="preserve"> la sentencia</w:t>
      </w:r>
      <w:r w:rsidR="00D6411B" w:rsidRPr="0084697E">
        <w:rPr>
          <w:rFonts w:ascii="Tahoma" w:hAnsi="Tahoma" w:cs="Tahoma"/>
          <w:color w:val="000000"/>
          <w:sz w:val="26"/>
          <w:szCs w:val="26"/>
        </w:rPr>
        <w:t xml:space="preserve"> no e</w:t>
      </w:r>
      <w:r w:rsidR="009E01F0" w:rsidRPr="0084697E">
        <w:rPr>
          <w:rFonts w:ascii="Tahoma" w:hAnsi="Tahoma" w:cs="Tahoma"/>
          <w:color w:val="000000"/>
          <w:sz w:val="26"/>
          <w:szCs w:val="26"/>
        </w:rPr>
        <w:t>s suficiente para establecer tal</w:t>
      </w:r>
      <w:r w:rsidR="00D6411B" w:rsidRPr="0084697E">
        <w:rPr>
          <w:rFonts w:ascii="Tahoma" w:hAnsi="Tahoma" w:cs="Tahoma"/>
          <w:color w:val="000000"/>
          <w:sz w:val="26"/>
          <w:szCs w:val="26"/>
        </w:rPr>
        <w:t xml:space="preserve"> aspecto</w:t>
      </w:r>
      <w:r w:rsidR="001C2754" w:rsidRPr="0084697E">
        <w:rPr>
          <w:rFonts w:ascii="Tahoma" w:hAnsi="Tahoma" w:cs="Tahoma"/>
          <w:color w:val="000000"/>
          <w:sz w:val="26"/>
          <w:szCs w:val="26"/>
        </w:rPr>
        <w:t>, sino que hay lugar a hacer un análisis de fondo que permita llegar a esa conclusión,</w:t>
      </w:r>
      <w:r w:rsidR="000F5903" w:rsidRPr="0084697E">
        <w:rPr>
          <w:rFonts w:ascii="Tahoma" w:hAnsi="Tahoma" w:cs="Tahoma"/>
          <w:color w:val="000000"/>
          <w:sz w:val="26"/>
          <w:szCs w:val="26"/>
        </w:rPr>
        <w:t xml:space="preserve"> </w:t>
      </w:r>
      <w:r w:rsidR="002720A8" w:rsidRPr="0084697E">
        <w:rPr>
          <w:rFonts w:ascii="Tahoma" w:hAnsi="Tahoma" w:cs="Tahoma"/>
          <w:color w:val="000000"/>
          <w:sz w:val="26"/>
          <w:szCs w:val="26"/>
        </w:rPr>
        <w:t>y</w:t>
      </w:r>
      <w:r w:rsidR="009E01F0" w:rsidRPr="0084697E">
        <w:rPr>
          <w:rFonts w:ascii="Tahoma" w:hAnsi="Tahoma" w:cs="Tahoma"/>
          <w:color w:val="000000"/>
          <w:sz w:val="26"/>
          <w:szCs w:val="26"/>
        </w:rPr>
        <w:t xml:space="preserve"> huelga preguntarnos: ¿</w:t>
      </w:r>
      <w:r w:rsidR="009A3C35" w:rsidRPr="0084697E">
        <w:rPr>
          <w:rFonts w:ascii="Tahoma" w:hAnsi="Tahoma" w:cs="Tahoma"/>
          <w:color w:val="000000"/>
          <w:sz w:val="26"/>
          <w:szCs w:val="26"/>
        </w:rPr>
        <w:t xml:space="preserve">quien más indicado que </w:t>
      </w:r>
      <w:r w:rsidR="002720A8" w:rsidRPr="0084697E">
        <w:rPr>
          <w:rFonts w:ascii="Tahoma" w:hAnsi="Tahoma" w:cs="Tahoma"/>
          <w:color w:val="000000"/>
          <w:sz w:val="26"/>
          <w:szCs w:val="26"/>
        </w:rPr>
        <w:t>el juez</w:t>
      </w:r>
      <w:r w:rsidR="009A3C35" w:rsidRPr="0084697E">
        <w:rPr>
          <w:rFonts w:ascii="Tahoma" w:hAnsi="Tahoma" w:cs="Tahoma"/>
          <w:color w:val="000000"/>
          <w:sz w:val="26"/>
          <w:szCs w:val="26"/>
        </w:rPr>
        <w:t xml:space="preserve"> penal de conocimiento para</w:t>
      </w:r>
      <w:r w:rsidR="002720A8" w:rsidRPr="0084697E">
        <w:rPr>
          <w:rFonts w:ascii="Tahoma" w:hAnsi="Tahoma" w:cs="Tahoma"/>
          <w:color w:val="000000"/>
          <w:sz w:val="26"/>
          <w:szCs w:val="26"/>
        </w:rPr>
        <w:t xml:space="preserve"> aclarar el panorama al respecto, y despejar las dudas que puedan surgir</w:t>
      </w:r>
      <w:r w:rsidR="009E01F0" w:rsidRPr="0084697E">
        <w:rPr>
          <w:rFonts w:ascii="Tahoma" w:hAnsi="Tahoma" w:cs="Tahoma"/>
          <w:color w:val="000000"/>
          <w:sz w:val="26"/>
          <w:szCs w:val="26"/>
        </w:rPr>
        <w:t>?</w:t>
      </w:r>
      <w:r w:rsidR="002720A8" w:rsidRPr="0084697E">
        <w:rPr>
          <w:rFonts w:ascii="Tahoma" w:hAnsi="Tahoma" w:cs="Tahoma"/>
          <w:color w:val="000000"/>
          <w:sz w:val="26"/>
          <w:szCs w:val="26"/>
        </w:rPr>
        <w:t>, porque de no ser así, ni siquiera la Procuraduría podrá incluir</w:t>
      </w:r>
      <w:r w:rsidR="00E72396" w:rsidRPr="0084697E">
        <w:rPr>
          <w:rFonts w:ascii="Tahoma" w:hAnsi="Tahoma" w:cs="Tahoma"/>
          <w:color w:val="000000"/>
          <w:sz w:val="26"/>
          <w:szCs w:val="26"/>
        </w:rPr>
        <w:t xml:space="preserve"> en su base de </w:t>
      </w:r>
      <w:r w:rsidR="00E72396" w:rsidRPr="0084697E">
        <w:rPr>
          <w:rFonts w:ascii="Tahoma" w:hAnsi="Tahoma" w:cs="Tahoma"/>
          <w:color w:val="000000"/>
          <w:sz w:val="26"/>
          <w:szCs w:val="26"/>
        </w:rPr>
        <w:lastRenderedPageBreak/>
        <w:t>datos la sanción, o lo que es peor aún</w:t>
      </w:r>
      <w:r w:rsidR="009A3C35" w:rsidRPr="0084697E">
        <w:rPr>
          <w:rFonts w:ascii="Tahoma" w:hAnsi="Tahoma" w:cs="Tahoma"/>
          <w:color w:val="000000"/>
          <w:sz w:val="26"/>
          <w:szCs w:val="26"/>
        </w:rPr>
        <w:t>,</w:t>
      </w:r>
      <w:r w:rsidR="00E72396" w:rsidRPr="0084697E">
        <w:rPr>
          <w:rFonts w:ascii="Tahoma" w:hAnsi="Tahoma" w:cs="Tahoma"/>
          <w:color w:val="000000"/>
          <w:sz w:val="26"/>
          <w:szCs w:val="26"/>
        </w:rPr>
        <w:t xml:space="preserve"> podr</w:t>
      </w:r>
      <w:r w:rsidR="009A3C35" w:rsidRPr="0084697E">
        <w:rPr>
          <w:rFonts w:ascii="Tahoma" w:hAnsi="Tahoma" w:cs="Tahoma"/>
          <w:color w:val="000000"/>
          <w:sz w:val="26"/>
          <w:szCs w:val="26"/>
        </w:rPr>
        <w:t>ía registrarse</w:t>
      </w:r>
      <w:r w:rsidR="00E72396" w:rsidRPr="0084697E">
        <w:rPr>
          <w:rFonts w:ascii="Tahoma" w:hAnsi="Tahoma" w:cs="Tahoma"/>
          <w:color w:val="000000"/>
          <w:sz w:val="26"/>
          <w:szCs w:val="26"/>
        </w:rPr>
        <w:t xml:space="preserve"> la sanción a un s</w:t>
      </w:r>
      <w:r w:rsidR="00D6411B" w:rsidRPr="0084697E">
        <w:rPr>
          <w:rFonts w:ascii="Tahoma" w:hAnsi="Tahoma" w:cs="Tahoma"/>
          <w:color w:val="000000"/>
          <w:sz w:val="26"/>
          <w:szCs w:val="26"/>
        </w:rPr>
        <w:t xml:space="preserve">entenciado que no es merecedor </w:t>
      </w:r>
      <w:r w:rsidR="00E72396" w:rsidRPr="0084697E">
        <w:rPr>
          <w:rFonts w:ascii="Tahoma" w:hAnsi="Tahoma" w:cs="Tahoma"/>
          <w:color w:val="000000"/>
          <w:sz w:val="26"/>
          <w:szCs w:val="26"/>
        </w:rPr>
        <w:t>de la misma.</w:t>
      </w:r>
    </w:p>
    <w:p w14:paraId="2AD4E545" w14:textId="77777777" w:rsidR="001C2754" w:rsidRPr="0084697E" w:rsidRDefault="001C2754" w:rsidP="00035DCB">
      <w:pPr>
        <w:pStyle w:val="Notedebasdepage"/>
        <w:spacing w:line="360" w:lineRule="auto"/>
        <w:rPr>
          <w:rFonts w:ascii="Tahoma" w:hAnsi="Tahoma" w:cs="Tahoma"/>
          <w:color w:val="000000"/>
          <w:sz w:val="26"/>
          <w:szCs w:val="26"/>
        </w:rPr>
      </w:pPr>
    </w:p>
    <w:p w14:paraId="6196874A" w14:textId="77777777" w:rsidR="00022621" w:rsidRPr="0084697E" w:rsidRDefault="002720A8" w:rsidP="00022621">
      <w:pPr>
        <w:rPr>
          <w:rFonts w:cs="Tahoma"/>
        </w:rPr>
      </w:pPr>
      <w:r w:rsidRPr="0084697E">
        <w:rPr>
          <w:rFonts w:cs="Tahoma"/>
          <w:color w:val="000000"/>
        </w:rPr>
        <w:t xml:space="preserve">Por </w:t>
      </w:r>
      <w:r w:rsidR="00D302A9" w:rsidRPr="0084697E">
        <w:rPr>
          <w:rFonts w:cs="Tahoma"/>
          <w:color w:val="000000"/>
        </w:rPr>
        <w:t xml:space="preserve">citar solo un </w:t>
      </w:r>
      <w:r w:rsidRPr="0084697E">
        <w:rPr>
          <w:rFonts w:cs="Tahoma"/>
          <w:color w:val="000000"/>
        </w:rPr>
        <w:t>ej</w:t>
      </w:r>
      <w:r w:rsidR="009A3C35" w:rsidRPr="0084697E">
        <w:rPr>
          <w:rFonts w:cs="Tahoma"/>
          <w:color w:val="000000"/>
        </w:rPr>
        <w:t xml:space="preserve">emplo, si bien </w:t>
      </w:r>
      <w:r w:rsidRPr="0084697E">
        <w:rPr>
          <w:rFonts w:cs="Tahoma"/>
          <w:color w:val="000000"/>
        </w:rPr>
        <w:t xml:space="preserve">surge diáfano que el concierto para delinquir con fines de narcotráfico </w:t>
      </w:r>
      <w:r w:rsidR="009A3C35" w:rsidRPr="0084697E">
        <w:rPr>
          <w:rFonts w:cs="Tahoma"/>
          <w:color w:val="000000"/>
        </w:rPr>
        <w:t>está dentro de los delitos señalados en la norma,</w:t>
      </w:r>
      <w:r w:rsidRPr="0084697E">
        <w:rPr>
          <w:rFonts w:cs="Tahoma"/>
          <w:color w:val="000000"/>
        </w:rPr>
        <w:t xml:space="preserve"> no ocurre lo mismo con el punible de tráfico de estupefacientes</w:t>
      </w:r>
      <w:r w:rsidR="00D302A9" w:rsidRPr="0084697E">
        <w:rPr>
          <w:rFonts w:cs="Tahoma"/>
          <w:color w:val="000000"/>
        </w:rPr>
        <w:t xml:space="preserve"> en su modalidad simple</w:t>
      </w:r>
      <w:r w:rsidRPr="0084697E">
        <w:rPr>
          <w:rFonts w:cs="Tahoma"/>
          <w:color w:val="000000"/>
        </w:rPr>
        <w:t xml:space="preserve">, pues </w:t>
      </w:r>
      <w:r w:rsidR="009A3C35" w:rsidRPr="0084697E">
        <w:rPr>
          <w:rFonts w:cs="Tahoma"/>
          <w:color w:val="000000"/>
        </w:rPr>
        <w:t xml:space="preserve">de entrada podría pensarse que </w:t>
      </w:r>
      <w:r w:rsidRPr="0084697E">
        <w:rPr>
          <w:rFonts w:cs="Tahoma"/>
          <w:color w:val="000000"/>
        </w:rPr>
        <w:t>tiene una relación directa con el narcotráfico</w:t>
      </w:r>
      <w:r w:rsidR="009A3C35" w:rsidRPr="0084697E">
        <w:rPr>
          <w:rFonts w:cs="Tahoma"/>
          <w:color w:val="000000"/>
        </w:rPr>
        <w:t>, pero como ya se ha aclarado por este Tribunal en pretéritas providencias sobre este mismo tema, a la luz no solo de los instrumentos internacionales</w:t>
      </w:r>
      <w:r w:rsidR="00A4388A" w:rsidRPr="0084697E">
        <w:rPr>
          <w:rFonts w:cs="Tahoma"/>
        </w:rPr>
        <w:t xml:space="preserve"> que orientan el tratamiento de los Estados miembros frente al tráfico de drogas</w:t>
      </w:r>
      <w:r w:rsidR="009A3C35" w:rsidRPr="0084697E">
        <w:rPr>
          <w:rFonts w:ascii="Verdana" w:hAnsi="Verdana" w:cs="Tahoma"/>
          <w:color w:val="000000"/>
          <w:sz w:val="20"/>
          <w:szCs w:val="20"/>
        </w:rPr>
        <w:t xml:space="preserve"> </w:t>
      </w:r>
      <w:r w:rsidR="00A4388A" w:rsidRPr="0084697E">
        <w:rPr>
          <w:rFonts w:ascii="Verdana" w:hAnsi="Verdana" w:cs="Tahoma"/>
          <w:color w:val="000000"/>
          <w:sz w:val="20"/>
          <w:szCs w:val="20"/>
        </w:rPr>
        <w:t>-</w:t>
      </w:r>
      <w:r w:rsidR="00A4388A" w:rsidRPr="0084697E">
        <w:rPr>
          <w:rStyle w:val="Numeracinttulo"/>
          <w:rFonts w:ascii="Verdana" w:hAnsi="Verdana"/>
          <w:b w:val="0"/>
          <w:sz w:val="20"/>
          <w:szCs w:val="20"/>
        </w:rPr>
        <w:t xml:space="preserve">Convención de las Naciones Unidas contra el Tráfico Ilícito de Estupefacientes y Sustancias Psicotrópicas de 1988- </w:t>
      </w:r>
      <w:r w:rsidR="00A4388A" w:rsidRPr="0084697E">
        <w:rPr>
          <w:rFonts w:cs="Tahoma"/>
          <w:color w:val="000000"/>
        </w:rPr>
        <w:t>sino</w:t>
      </w:r>
      <w:r w:rsidR="009A3C35" w:rsidRPr="0084697E">
        <w:rPr>
          <w:rFonts w:cs="Tahoma"/>
          <w:color w:val="000000"/>
        </w:rPr>
        <w:t xml:space="preserve"> también de las sentencias expedidas por nuestra Corte Suprema de Justicia</w:t>
      </w:r>
      <w:r w:rsidR="00A4388A" w:rsidRPr="0084697E">
        <w:rPr>
          <w:rFonts w:cs="Tahoma"/>
          <w:color w:val="000000"/>
        </w:rPr>
        <w:t xml:space="preserve"> </w:t>
      </w:r>
      <w:r w:rsidR="00A4388A" w:rsidRPr="0084697E">
        <w:rPr>
          <w:rFonts w:ascii="Verdana" w:hAnsi="Verdana" w:cs="Tahoma"/>
          <w:sz w:val="20"/>
          <w:szCs w:val="20"/>
        </w:rPr>
        <w:t>-sentencias de casación penal de noviembre 12 de 2014, radicado 42617, y de marzo 09 de 2016, radicado 41760-</w:t>
      </w:r>
      <w:r w:rsidR="00A4388A" w:rsidRPr="0084697E">
        <w:rPr>
          <w:rFonts w:cs="Tahoma"/>
          <w:color w:val="000000"/>
        </w:rPr>
        <w:t xml:space="preserve">, </w:t>
      </w:r>
      <w:r w:rsidR="009A3C35" w:rsidRPr="0084697E">
        <w:rPr>
          <w:rFonts w:cs="Tahoma"/>
          <w:color w:val="000000"/>
        </w:rPr>
        <w:t xml:space="preserve">en cada caso concreto el juez debe </w:t>
      </w:r>
      <w:r w:rsidR="00937E35" w:rsidRPr="0084697E">
        <w:rPr>
          <w:rFonts w:cs="Tahoma"/>
        </w:rPr>
        <w:t>desentrañar</w:t>
      </w:r>
      <w:r w:rsidR="00A4388A" w:rsidRPr="0084697E">
        <w:rPr>
          <w:rFonts w:cs="Tahoma"/>
        </w:rPr>
        <w:t xml:space="preserve"> </w:t>
      </w:r>
      <w:r w:rsidR="00937E35" w:rsidRPr="0084697E">
        <w:rPr>
          <w:rFonts w:cs="Tahoma"/>
        </w:rPr>
        <w:t>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r w:rsidR="00A4388A" w:rsidRPr="0084697E">
        <w:rPr>
          <w:rFonts w:cs="Tahoma"/>
        </w:rPr>
        <w:t>, ya que en la primera de la</w:t>
      </w:r>
      <w:r w:rsidR="00D302A9" w:rsidRPr="0084697E">
        <w:rPr>
          <w:rFonts w:cs="Tahoma"/>
        </w:rPr>
        <w:t>s</w:t>
      </w:r>
      <w:r w:rsidR="00A4388A" w:rsidRPr="0084697E">
        <w:rPr>
          <w:rFonts w:cs="Tahoma"/>
        </w:rPr>
        <w:t xml:space="preserve"> hipótesis no podríamos decir que estamos frente a un punible relacionado con el narcotráfico</w:t>
      </w:r>
      <w:r w:rsidR="00D302A9" w:rsidRPr="0084697E">
        <w:rPr>
          <w:rFonts w:cs="Tahoma"/>
        </w:rPr>
        <w:t>, en cuanto</w:t>
      </w:r>
      <w:r w:rsidR="000B39B0" w:rsidRPr="0084697E">
        <w:rPr>
          <w:rFonts w:cs="Tahoma"/>
        </w:rPr>
        <w:t xml:space="preserve"> el dispositivo Superior debe entenderse referido </w:t>
      </w:r>
      <w:r w:rsidR="00D302A9" w:rsidRPr="0084697E">
        <w:rPr>
          <w:rFonts w:cs="Tahoma"/>
        </w:rPr>
        <w:t xml:space="preserve">a </w:t>
      </w:r>
      <w:r w:rsidR="00E20445" w:rsidRPr="0084697E">
        <w:rPr>
          <w:rFonts w:cs="Tahoma"/>
        </w:rPr>
        <w:t>castigar más severamente a quienes afectan con su accionar a terceros y no a quienes están inmersos en esa cadena e</w:t>
      </w:r>
      <w:r w:rsidR="000B39B0" w:rsidRPr="0084697E">
        <w:rPr>
          <w:rFonts w:cs="Tahoma"/>
        </w:rPr>
        <w:t>n virtud de su personal dependencia</w:t>
      </w:r>
      <w:r w:rsidR="00E20445" w:rsidRPr="0084697E">
        <w:rPr>
          <w:rFonts w:cs="Tahoma"/>
        </w:rPr>
        <w:t xml:space="preserve">. </w:t>
      </w:r>
    </w:p>
    <w:p w14:paraId="7B97AB64" w14:textId="77777777" w:rsidR="00022621" w:rsidRPr="0084697E" w:rsidRDefault="00022621" w:rsidP="00022621">
      <w:pPr>
        <w:rPr>
          <w:rFonts w:cs="Tahoma"/>
        </w:rPr>
      </w:pPr>
    </w:p>
    <w:p w14:paraId="2F65B8B7" w14:textId="4BEA15D0" w:rsidR="000F5903" w:rsidRPr="0084697E" w:rsidRDefault="00A33126" w:rsidP="00022621">
      <w:pPr>
        <w:rPr>
          <w:rFonts w:cs="Tahoma"/>
          <w:color w:val="000000"/>
        </w:rPr>
      </w:pPr>
      <w:r w:rsidRPr="0084697E">
        <w:rPr>
          <w:rFonts w:cs="Tahoma"/>
          <w:color w:val="000000"/>
        </w:rPr>
        <w:t>El mismo artículo 38 de la Ley 734/02 es indicati</w:t>
      </w:r>
      <w:r w:rsidR="003F21BF" w:rsidRPr="0084697E">
        <w:rPr>
          <w:rFonts w:cs="Tahoma"/>
          <w:color w:val="000000"/>
        </w:rPr>
        <w:t>vo de ello, por cuanto allí se expresa</w:t>
      </w:r>
      <w:r w:rsidRPr="0084697E">
        <w:rPr>
          <w:rFonts w:cs="Tahoma"/>
          <w:color w:val="000000"/>
        </w:rPr>
        <w:t xml:space="preserve"> que par</w:t>
      </w:r>
      <w:r w:rsidR="003F21BF" w:rsidRPr="0084697E">
        <w:rPr>
          <w:rFonts w:cs="Tahoma"/>
          <w:color w:val="000000"/>
        </w:rPr>
        <w:t>a efectos de aplicar lo prescrito</w:t>
      </w:r>
      <w:r w:rsidRPr="0084697E">
        <w:rPr>
          <w:rFonts w:cs="Tahoma"/>
          <w:color w:val="000000"/>
        </w:rPr>
        <w:t xml:space="preserve"> en el parágrafo segundo de esa norma, referente a que para los fines previsto en el inciso final del artículo 122 de la Constitución </w:t>
      </w:r>
      <w:r w:rsidRPr="0084697E">
        <w:rPr>
          <w:rFonts w:ascii="Verdana" w:hAnsi="Verdana" w:cs="Tahoma"/>
          <w:color w:val="000000"/>
          <w:sz w:val="20"/>
          <w:szCs w:val="20"/>
        </w:rPr>
        <w:t>-sin la modificación el acto Legislativo 1 de 2009-</w:t>
      </w:r>
      <w:r w:rsidRPr="0084697E">
        <w:rPr>
          <w:rFonts w:cs="Tahoma"/>
          <w:color w:val="000000"/>
        </w:rPr>
        <w:t xml:space="preserve"> la sentencia condenatoria deberá especificar si la conducta objeto de la misma constituye un delito que afecte el patrimonio del Estado.</w:t>
      </w:r>
    </w:p>
    <w:p w14:paraId="6E53B9F5" w14:textId="77777777" w:rsidR="003F21BF" w:rsidRPr="0084697E" w:rsidRDefault="003F21BF" w:rsidP="00022621">
      <w:pPr>
        <w:rPr>
          <w:rFonts w:cs="Tahoma"/>
        </w:rPr>
      </w:pPr>
    </w:p>
    <w:p w14:paraId="6C6C0D9C" w14:textId="56841389" w:rsidR="00D6411B" w:rsidRPr="0084697E" w:rsidRDefault="00D6411B" w:rsidP="00D6411B">
      <w:pPr>
        <w:pStyle w:val="Notedebasdepage"/>
        <w:spacing w:line="360" w:lineRule="auto"/>
        <w:rPr>
          <w:rFonts w:ascii="Tahoma" w:hAnsi="Tahoma" w:cs="Tahoma"/>
          <w:color w:val="000000"/>
          <w:sz w:val="26"/>
          <w:szCs w:val="26"/>
        </w:rPr>
      </w:pPr>
      <w:r w:rsidRPr="0084697E">
        <w:rPr>
          <w:rFonts w:ascii="Tahoma" w:hAnsi="Tahoma" w:cs="Tahoma"/>
          <w:sz w:val="26"/>
          <w:szCs w:val="26"/>
        </w:rPr>
        <w:lastRenderedPageBreak/>
        <w:t xml:space="preserve">En ningún </w:t>
      </w:r>
      <w:r w:rsidR="003F21BF" w:rsidRPr="0084697E">
        <w:rPr>
          <w:rFonts w:ascii="Tahoma" w:hAnsi="Tahoma" w:cs="Tahoma"/>
          <w:sz w:val="26"/>
          <w:szCs w:val="26"/>
        </w:rPr>
        <w:t xml:space="preserve">momento </w:t>
      </w:r>
      <w:r w:rsidRPr="0084697E">
        <w:rPr>
          <w:rFonts w:ascii="Tahoma" w:hAnsi="Tahoma" w:cs="Tahoma"/>
          <w:sz w:val="26"/>
          <w:szCs w:val="26"/>
        </w:rPr>
        <w:t xml:space="preserve">desconoce el Tribunal la función que corresponde a la Procuraduría de mantener actualizada la base de datos </w:t>
      </w:r>
      <w:r w:rsidRPr="0084697E">
        <w:rPr>
          <w:rFonts w:ascii="Tahoma" w:hAnsi="Tahoma" w:cs="Tahoma"/>
          <w:sz w:val="26"/>
          <w:szCs w:val="26"/>
          <w:shd w:val="clear" w:color="auto" w:fill="FFFFFF"/>
        </w:rPr>
        <w:t>del sistema de Información de Registro de Sanciones y Causas de Inhabilidad</w:t>
      </w:r>
      <w:r w:rsidR="003F21BF" w:rsidRPr="0084697E">
        <w:rPr>
          <w:rFonts w:ascii="Tahoma" w:hAnsi="Tahoma" w:cs="Tahoma"/>
          <w:sz w:val="26"/>
          <w:szCs w:val="26"/>
          <w:shd w:val="clear" w:color="auto" w:fill="FFFFFF"/>
        </w:rPr>
        <w:t xml:space="preserve"> </w:t>
      </w:r>
      <w:r w:rsidR="003767F0" w:rsidRPr="0084697E">
        <w:rPr>
          <w:rFonts w:ascii="Tahoma" w:hAnsi="Tahoma" w:cs="Tahoma"/>
          <w:sz w:val="26"/>
          <w:szCs w:val="26"/>
          <w:shd w:val="clear" w:color="auto" w:fill="FFFFFF"/>
        </w:rPr>
        <w:t>-</w:t>
      </w:r>
      <w:r w:rsidR="003F21BF" w:rsidRPr="0084697E">
        <w:rPr>
          <w:rFonts w:ascii="Tahoma" w:hAnsi="Tahoma" w:cs="Tahoma"/>
          <w:sz w:val="26"/>
          <w:szCs w:val="26"/>
          <w:shd w:val="clear" w:color="auto" w:fill="FFFFFF"/>
        </w:rPr>
        <w:t xml:space="preserve">SIRI </w:t>
      </w:r>
      <w:r w:rsidR="003F21BF" w:rsidRPr="0084697E">
        <w:rPr>
          <w:rFonts w:cs="Tahoma"/>
          <w:shd w:val="clear" w:color="auto" w:fill="FFFFFF"/>
        </w:rPr>
        <w:t>-artículo 174 Ley 734/02-,</w:t>
      </w:r>
      <w:r w:rsidR="003F21BF" w:rsidRPr="0084697E">
        <w:rPr>
          <w:rFonts w:ascii="Tahoma" w:hAnsi="Tahoma" w:cs="Tahoma"/>
          <w:sz w:val="26"/>
          <w:szCs w:val="26"/>
          <w:shd w:val="clear" w:color="auto" w:fill="FFFFFF"/>
        </w:rPr>
        <w:t xml:space="preserve"> y</w:t>
      </w:r>
      <w:r w:rsidRPr="0084697E">
        <w:rPr>
          <w:rFonts w:ascii="Tahoma" w:hAnsi="Tahoma" w:cs="Tahoma"/>
          <w:sz w:val="26"/>
          <w:szCs w:val="26"/>
          <w:shd w:val="clear" w:color="auto" w:fill="FFFFFF"/>
        </w:rPr>
        <w:t xml:space="preserve"> el deber legal </w:t>
      </w:r>
      <w:r w:rsidR="003767F0" w:rsidRPr="0084697E">
        <w:rPr>
          <w:rFonts w:cs="Tahoma"/>
          <w:shd w:val="clear" w:color="auto" w:fill="FFFFFF"/>
        </w:rPr>
        <w:t>-artículo 166 Ley 906/04-</w:t>
      </w:r>
      <w:r w:rsidR="003767F0" w:rsidRPr="0084697E">
        <w:rPr>
          <w:rFonts w:ascii="Tahoma" w:hAnsi="Tahoma" w:cs="Tahoma"/>
          <w:sz w:val="26"/>
          <w:szCs w:val="26"/>
          <w:shd w:val="clear" w:color="auto" w:fill="FFFFFF"/>
        </w:rPr>
        <w:t xml:space="preserve"> </w:t>
      </w:r>
      <w:r w:rsidRPr="0084697E">
        <w:rPr>
          <w:rFonts w:ascii="Tahoma" w:hAnsi="Tahoma" w:cs="Tahoma"/>
          <w:sz w:val="26"/>
          <w:szCs w:val="26"/>
          <w:shd w:val="clear" w:color="auto" w:fill="FFFFFF"/>
        </w:rPr>
        <w:t xml:space="preserve">de los jueces de informar a dicho órgano </w:t>
      </w:r>
      <w:r w:rsidR="003767F0" w:rsidRPr="0084697E">
        <w:rPr>
          <w:rFonts w:ascii="Tahoma" w:hAnsi="Tahoma" w:cs="Tahoma"/>
          <w:sz w:val="26"/>
          <w:szCs w:val="26"/>
          <w:shd w:val="clear" w:color="auto" w:fill="FFFFFF"/>
        </w:rPr>
        <w:t xml:space="preserve">y a las demás autoridades </w:t>
      </w:r>
      <w:r w:rsidRPr="0084697E">
        <w:rPr>
          <w:rFonts w:ascii="Tahoma" w:hAnsi="Tahoma" w:cs="Tahoma"/>
          <w:sz w:val="26"/>
          <w:szCs w:val="26"/>
          <w:shd w:val="clear" w:color="auto" w:fill="FFFFFF"/>
        </w:rPr>
        <w:t>sobre las sentencias de condena para que pueda e</w:t>
      </w:r>
      <w:r w:rsidR="003F21BF" w:rsidRPr="0084697E">
        <w:rPr>
          <w:rFonts w:ascii="Tahoma" w:hAnsi="Tahoma" w:cs="Tahoma"/>
          <w:sz w:val="26"/>
          <w:szCs w:val="26"/>
          <w:shd w:val="clear" w:color="auto" w:fill="FFFFFF"/>
        </w:rPr>
        <w:t>jercer adecuadamente su labor. L</w:t>
      </w:r>
      <w:r w:rsidRPr="0084697E">
        <w:rPr>
          <w:rFonts w:ascii="Tahoma" w:hAnsi="Tahoma" w:cs="Tahoma"/>
          <w:sz w:val="26"/>
          <w:szCs w:val="26"/>
          <w:shd w:val="clear" w:color="auto" w:fill="FFFFFF"/>
        </w:rPr>
        <w:t xml:space="preserve">o único </w:t>
      </w:r>
      <w:r w:rsidR="000A55D8" w:rsidRPr="0084697E">
        <w:rPr>
          <w:rFonts w:ascii="Tahoma" w:hAnsi="Tahoma" w:cs="Tahoma"/>
          <w:sz w:val="26"/>
          <w:szCs w:val="26"/>
          <w:shd w:val="clear" w:color="auto" w:fill="FFFFFF"/>
        </w:rPr>
        <w:t xml:space="preserve">por lo </w:t>
      </w:r>
      <w:r w:rsidRPr="0084697E">
        <w:rPr>
          <w:rFonts w:ascii="Tahoma" w:hAnsi="Tahoma" w:cs="Tahoma"/>
          <w:sz w:val="26"/>
          <w:szCs w:val="26"/>
          <w:shd w:val="clear" w:color="auto" w:fill="FFFFFF"/>
        </w:rPr>
        <w:t xml:space="preserve">que se propugna es evitar tanto omisiones como extralimitaciones en relación con dicha inhabilidad. </w:t>
      </w:r>
    </w:p>
    <w:p w14:paraId="0852FE4E" w14:textId="77777777" w:rsidR="00D6411B" w:rsidRPr="0084697E" w:rsidRDefault="00D6411B" w:rsidP="00937E35">
      <w:pPr>
        <w:ind w:right="27"/>
        <w:rPr>
          <w:rFonts w:cs="Tahoma"/>
          <w:lang w:val="es-MX"/>
        </w:rPr>
      </w:pPr>
    </w:p>
    <w:p w14:paraId="72F2A7B6" w14:textId="77777777" w:rsidR="00937E35" w:rsidRPr="0084697E" w:rsidRDefault="00937E35" w:rsidP="00937E35">
      <w:pPr>
        <w:ind w:right="27"/>
        <w:rPr>
          <w:rFonts w:cs="Tahoma"/>
          <w:lang w:val="es-MX"/>
        </w:rPr>
      </w:pPr>
      <w:r w:rsidRPr="0084697E">
        <w:rPr>
          <w:rFonts w:cs="Tahoma"/>
          <w:lang w:val="es-MX"/>
        </w:rPr>
        <w:t xml:space="preserve">Así las cosas, la Sala acogerá los planteamientos esbozados por el delegado del Ministerio Público, y en consecuencia modificará parcialmente el fallo confutado, en el sentido de imponer la </w:t>
      </w:r>
      <w:r w:rsidR="00CE22FD" w:rsidRPr="0084697E">
        <w:rPr>
          <w:rFonts w:cs="Tahoma"/>
          <w:lang w:val="es-MX"/>
        </w:rPr>
        <w:t>inhabilidad</w:t>
      </w:r>
      <w:r w:rsidRPr="0084697E">
        <w:rPr>
          <w:rFonts w:cs="Tahoma"/>
          <w:lang w:val="es-MX"/>
        </w:rPr>
        <w:t xml:space="preserve"> en el ejercicio de derecho y funciones públicas a</w:t>
      </w:r>
      <w:r w:rsidR="00E20445" w:rsidRPr="0084697E">
        <w:rPr>
          <w:rFonts w:cs="Tahoma"/>
          <w:lang w:val="es-MX"/>
        </w:rPr>
        <w:t>l</w:t>
      </w:r>
      <w:r w:rsidRPr="0084697E">
        <w:rPr>
          <w:rFonts w:cs="Tahoma"/>
          <w:lang w:val="es-MX"/>
        </w:rPr>
        <w:t xml:space="preserve"> sentenciado, pero modulada en los siguientes términos:</w:t>
      </w:r>
    </w:p>
    <w:p w14:paraId="6218E5DB" w14:textId="77777777" w:rsidR="00937E35" w:rsidRPr="0084697E" w:rsidRDefault="00937E35" w:rsidP="00937E35">
      <w:pPr>
        <w:ind w:right="27"/>
        <w:rPr>
          <w:rFonts w:cs="Tahoma"/>
          <w:lang w:val="es-MX"/>
        </w:rPr>
      </w:pPr>
    </w:p>
    <w:p w14:paraId="7036DC65" w14:textId="77777777" w:rsidR="00937E35" w:rsidRPr="0084697E" w:rsidRDefault="00937E35" w:rsidP="00937E35">
      <w:pPr>
        <w:pStyle w:val="Sansinterligne"/>
        <w:spacing w:line="360" w:lineRule="auto"/>
        <w:jc w:val="both"/>
        <w:rPr>
          <w:rFonts w:ascii="Tahoma" w:hAnsi="Tahoma" w:cs="Tahoma"/>
          <w:sz w:val="26"/>
          <w:szCs w:val="26"/>
        </w:rPr>
      </w:pPr>
      <w:r w:rsidRPr="0084697E">
        <w:rPr>
          <w:rFonts w:ascii="Tahoma" w:hAnsi="Tahoma" w:cs="Tahoma"/>
          <w:sz w:val="26"/>
          <w:szCs w:val="26"/>
        </w:rPr>
        <w:t>El inciso 5º del artículo 122 C.N. modificado por el artículo 4º del Acto Legislati</w:t>
      </w:r>
      <w:r w:rsidR="00DA4E76" w:rsidRPr="0084697E">
        <w:rPr>
          <w:rFonts w:ascii="Tahoma" w:hAnsi="Tahoma" w:cs="Tahoma"/>
          <w:sz w:val="26"/>
          <w:szCs w:val="26"/>
        </w:rPr>
        <w:t>vo 01 de 2009 consignó</w:t>
      </w:r>
      <w:r w:rsidRPr="0084697E">
        <w:rPr>
          <w:rFonts w:ascii="Tahoma" w:hAnsi="Tahoma" w:cs="Tahoma"/>
          <w:sz w:val="26"/>
          <w:szCs w:val="26"/>
        </w:rPr>
        <w:t xml:space="preserve"> la inhabilidad perpetua para aspirar a cargos de elección popular, desempeñarse como servidor público, y contratar con el Estado; es decir, que una de las hipótesis de la inhabilidad está relacionada con la pérdida del derecho a ser elegido</w:t>
      </w:r>
      <w:r w:rsidRPr="0084697E">
        <w:rPr>
          <w:rFonts w:ascii="Tahoma" w:hAnsi="Tahoma" w:cs="Tahoma"/>
          <w:color w:val="000000"/>
          <w:sz w:val="26"/>
          <w:szCs w:val="26"/>
        </w:rPr>
        <w:t xml:space="preserve">, pero en ningún momento se hace referencia a la pérdida del derecho al voto o de los derechos inherentes al ejercicio al sufragio. En consecuencia, la sanción intemporal o perenne </w:t>
      </w:r>
      <w:r w:rsidRPr="0084697E">
        <w:rPr>
          <w:rFonts w:ascii="Tahoma" w:hAnsi="Tahoma" w:cs="Tahoma"/>
          <w:sz w:val="26"/>
          <w:szCs w:val="26"/>
        </w:rPr>
        <w:t>que le correspondería purgar a</w:t>
      </w:r>
      <w:r w:rsidR="00DA4E76" w:rsidRPr="0084697E">
        <w:rPr>
          <w:rFonts w:ascii="Tahoma" w:hAnsi="Tahoma" w:cs="Tahoma"/>
          <w:sz w:val="26"/>
          <w:szCs w:val="26"/>
        </w:rPr>
        <w:t>l procesado</w:t>
      </w:r>
      <w:r w:rsidR="00CE7770" w:rsidRPr="0084697E">
        <w:rPr>
          <w:rFonts w:ascii="Tahoma" w:hAnsi="Tahoma" w:cs="Tahoma"/>
          <w:sz w:val="26"/>
          <w:szCs w:val="26"/>
        </w:rPr>
        <w:t xml:space="preserve"> </w:t>
      </w:r>
      <w:r w:rsidRPr="0084697E">
        <w:rPr>
          <w:rFonts w:ascii="Tahoma" w:hAnsi="Tahoma" w:cs="Tahoma"/>
          <w:sz w:val="26"/>
          <w:szCs w:val="26"/>
        </w:rPr>
        <w:t>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p>
    <w:p w14:paraId="03B206BB" w14:textId="77777777" w:rsidR="00937E35" w:rsidRPr="0084697E" w:rsidRDefault="00937E35" w:rsidP="00937E35">
      <w:pPr>
        <w:rPr>
          <w:rFonts w:cs="Tahoma"/>
          <w:lang w:val="es-MX"/>
        </w:rPr>
      </w:pPr>
    </w:p>
    <w:p w14:paraId="5FB8E71C" w14:textId="77777777" w:rsidR="00937E35" w:rsidRPr="0084697E" w:rsidRDefault="00937E35" w:rsidP="00937E35">
      <w:pPr>
        <w:rPr>
          <w:rFonts w:cs="Tahoma"/>
          <w:lang w:val="es-MX"/>
        </w:rPr>
      </w:pPr>
      <w:r w:rsidRPr="0084697E">
        <w:rPr>
          <w:rFonts w:cs="Tahoma"/>
          <w:lang w:val="es-MX"/>
        </w:rPr>
        <w:t xml:space="preserve">Por lo expuesto, la Sala de Decisión Penal del Tribunal Superior del Distrito Judicial de Pereira, administrando justicia en nombre de la República y por </w:t>
      </w:r>
      <w:r w:rsidRPr="0084697E">
        <w:rPr>
          <w:rFonts w:cs="Tahoma"/>
          <w:lang w:val="es-MX"/>
        </w:rPr>
        <w:lastRenderedPageBreak/>
        <w:t xml:space="preserve">autoridad de la ley, </w:t>
      </w:r>
      <w:r w:rsidRPr="0084697E">
        <w:rPr>
          <w:rFonts w:cs="Tahoma"/>
          <w:b/>
          <w:sz w:val="22"/>
          <w:szCs w:val="22"/>
          <w:lang w:val="es-MX"/>
        </w:rPr>
        <w:t>CONFIRMA PARCIALMENTE</w:t>
      </w:r>
      <w:r w:rsidRPr="0084697E">
        <w:rPr>
          <w:rFonts w:cs="Tahoma"/>
          <w:lang w:val="es-MX"/>
        </w:rPr>
        <w:t xml:space="preserve"> la sentencia proferida por el Juzgado </w:t>
      </w:r>
      <w:r w:rsidR="00CE7770" w:rsidRPr="0084697E">
        <w:rPr>
          <w:rFonts w:cs="Tahoma"/>
          <w:lang w:val="es-MX"/>
        </w:rPr>
        <w:t xml:space="preserve">Segundo </w:t>
      </w:r>
      <w:r w:rsidRPr="0084697E">
        <w:rPr>
          <w:rFonts w:cs="Tahoma"/>
          <w:lang w:val="es-MX"/>
        </w:rPr>
        <w:t xml:space="preserve">Penal del Circuito </w:t>
      </w:r>
      <w:r w:rsidR="00CE7770" w:rsidRPr="0084697E">
        <w:rPr>
          <w:rFonts w:cs="Tahoma"/>
          <w:lang w:val="es-MX"/>
        </w:rPr>
        <w:t>Especializado, Itinerante de Pereira</w:t>
      </w:r>
      <w:r w:rsidRPr="0084697E">
        <w:rPr>
          <w:rFonts w:cs="Tahoma"/>
          <w:lang w:val="es-MX"/>
        </w:rPr>
        <w:t xml:space="preserve"> objeto de apelación, y la</w:t>
      </w:r>
      <w:r w:rsidRPr="0084697E">
        <w:rPr>
          <w:rFonts w:cs="Tahoma"/>
          <w:b/>
          <w:sz w:val="24"/>
          <w:szCs w:val="24"/>
          <w:lang w:val="es-MX"/>
        </w:rPr>
        <w:t xml:space="preserve"> </w:t>
      </w:r>
      <w:r w:rsidRPr="0084697E">
        <w:rPr>
          <w:rFonts w:cs="Tahoma"/>
          <w:b/>
          <w:sz w:val="22"/>
          <w:szCs w:val="22"/>
          <w:lang w:val="es-MX"/>
        </w:rPr>
        <w:t>MODIFICA</w:t>
      </w:r>
      <w:r w:rsidRPr="0084697E">
        <w:rPr>
          <w:rFonts w:cs="Tahoma"/>
          <w:lang w:val="es-MX"/>
        </w:rPr>
        <w:t xml:space="preserve"> en el sentido de imponer </w:t>
      </w:r>
      <w:r w:rsidR="00CE22FD" w:rsidRPr="0084697E">
        <w:rPr>
          <w:rFonts w:cs="Tahoma"/>
          <w:lang w:val="es-MX"/>
        </w:rPr>
        <w:t xml:space="preserve">al condenado </w:t>
      </w:r>
      <w:r w:rsidR="00CE22FD" w:rsidRPr="0084697E">
        <w:rPr>
          <w:rFonts w:cs="Tahoma"/>
          <w:b/>
          <w:sz w:val="22"/>
          <w:szCs w:val="22"/>
          <w:lang w:val="es-MX"/>
        </w:rPr>
        <w:t>JULIO CÉSAR OSPINA CHAVARRO</w:t>
      </w:r>
      <w:r w:rsidR="00CE22FD" w:rsidRPr="0084697E">
        <w:rPr>
          <w:rFonts w:cs="Tahoma"/>
          <w:lang w:val="es-MX"/>
        </w:rPr>
        <w:t xml:space="preserve"> </w:t>
      </w:r>
      <w:r w:rsidRPr="0084697E">
        <w:rPr>
          <w:rFonts w:cs="Tahoma"/>
          <w:lang w:val="es-MX"/>
        </w:rPr>
        <w:t xml:space="preserve">la inhabilitación a perpetuidad para </w:t>
      </w:r>
      <w:r w:rsidRPr="0084697E">
        <w:rPr>
          <w:rFonts w:cs="Tahoma"/>
        </w:rPr>
        <w:t>aspirar a cargos de elección popular, desempeñarse como servidor público, y contratar con el Estado; en tanto lo que respecta con el ejercicio del derecho al sufragio o el ejercicio de cualquier otro derecho público inherente a la condición de ciudadano, la sanción de inhabilitación será por el mismo término de duración de la pena principal.</w:t>
      </w:r>
    </w:p>
    <w:p w14:paraId="5386F955" w14:textId="77777777" w:rsidR="00937E35" w:rsidRPr="0084697E" w:rsidRDefault="00937E35" w:rsidP="00937E35">
      <w:pPr>
        <w:rPr>
          <w:rFonts w:cs="Tahoma"/>
          <w:lang w:val="es-MX"/>
        </w:rPr>
      </w:pPr>
    </w:p>
    <w:p w14:paraId="7C181BC0" w14:textId="77777777" w:rsidR="00937E35" w:rsidRPr="0084697E" w:rsidRDefault="00937E35" w:rsidP="00937E35">
      <w:pPr>
        <w:rPr>
          <w:rFonts w:cs="Tahoma"/>
          <w:lang w:val="es-MX"/>
        </w:rPr>
      </w:pPr>
      <w:r w:rsidRPr="0084697E">
        <w:rPr>
          <w:rFonts w:cs="Tahoma"/>
          <w:lang w:val="es-MX"/>
        </w:rPr>
        <w:t>Esta decisión queda notificada en estrados y contra la misma procede el recurso extraordinario de casación que de interponerse deberá hacerse dentro del término de ley.</w:t>
      </w:r>
    </w:p>
    <w:p w14:paraId="43ED87D7" w14:textId="77777777" w:rsidR="00937E35" w:rsidRPr="0084697E" w:rsidRDefault="00937E35" w:rsidP="00937E35"/>
    <w:p w14:paraId="0A811CF3" w14:textId="77777777" w:rsidR="00937E35" w:rsidRPr="0084697E" w:rsidRDefault="00937E35" w:rsidP="00937E35">
      <w:r w:rsidRPr="0084697E">
        <w:t xml:space="preserve">Los Magistrados, </w:t>
      </w:r>
    </w:p>
    <w:p w14:paraId="16404197" w14:textId="77777777" w:rsidR="00937E35" w:rsidRPr="0084697E" w:rsidRDefault="00937E35" w:rsidP="00937E35">
      <w:pPr>
        <w:rPr>
          <w:lang w:val="es-ES_tradnl"/>
        </w:rPr>
      </w:pPr>
    </w:p>
    <w:p w14:paraId="3A20F0E2" w14:textId="77777777" w:rsidR="00937E35" w:rsidRDefault="00937E35" w:rsidP="00937E35">
      <w:pPr>
        <w:rPr>
          <w:lang w:val="es-ES_tradnl"/>
        </w:rPr>
      </w:pPr>
    </w:p>
    <w:p w14:paraId="5520E6BE" w14:textId="77777777" w:rsidR="00DC2C8D" w:rsidRPr="0084697E" w:rsidRDefault="00DC2C8D" w:rsidP="00937E35">
      <w:pPr>
        <w:rPr>
          <w:lang w:val="es-ES_tradnl"/>
        </w:rPr>
      </w:pPr>
    </w:p>
    <w:p w14:paraId="1CC5DC54" w14:textId="77777777" w:rsidR="00937E35" w:rsidRPr="0084697E" w:rsidRDefault="00937E35" w:rsidP="00937E35">
      <w:pPr>
        <w:rPr>
          <w:lang w:val="es-ES_tradnl"/>
        </w:rPr>
      </w:pPr>
      <w:r w:rsidRPr="0084697E">
        <w:rPr>
          <w:lang w:val="es-ES_tradnl"/>
        </w:rPr>
        <w:t>JORGE ARTURO CASTAÑO DUQUE</w:t>
      </w:r>
      <w:r w:rsidRPr="0084697E">
        <w:rPr>
          <w:lang w:val="es-ES_tradnl"/>
        </w:rPr>
        <w:tab/>
        <w:t xml:space="preserve">        JAIRO ERNESTO ESCOBAR SANZ</w:t>
      </w:r>
    </w:p>
    <w:p w14:paraId="6DA24E44" w14:textId="77777777" w:rsidR="00937E35" w:rsidRDefault="00937E35" w:rsidP="00937E35">
      <w:pPr>
        <w:rPr>
          <w:lang w:val="es-ES_tradnl"/>
        </w:rPr>
      </w:pPr>
    </w:p>
    <w:p w14:paraId="6A40FB16" w14:textId="77777777" w:rsidR="00DC2C8D" w:rsidRPr="0084697E" w:rsidRDefault="00DC2C8D" w:rsidP="00937E35">
      <w:pPr>
        <w:rPr>
          <w:lang w:val="es-ES_tradnl"/>
        </w:rPr>
      </w:pPr>
    </w:p>
    <w:p w14:paraId="06A1790C" w14:textId="77777777" w:rsidR="00937E35" w:rsidRPr="0084697E" w:rsidRDefault="00937E35" w:rsidP="00937E35">
      <w:pPr>
        <w:rPr>
          <w:lang w:val="es-ES_tradnl"/>
        </w:rPr>
      </w:pPr>
    </w:p>
    <w:p w14:paraId="7BAD7C06" w14:textId="77777777" w:rsidR="00937E35" w:rsidRPr="0084697E" w:rsidRDefault="00937E35" w:rsidP="00937E35">
      <w:pPr>
        <w:jc w:val="center"/>
        <w:rPr>
          <w:lang w:val="es-ES_tradnl"/>
        </w:rPr>
      </w:pPr>
      <w:r w:rsidRPr="0084697E">
        <w:rPr>
          <w:lang w:val="es-ES_tradnl"/>
        </w:rPr>
        <w:t>MANUEL YARZAGARAY BANDERA</w:t>
      </w:r>
    </w:p>
    <w:p w14:paraId="497BFB00" w14:textId="77777777" w:rsidR="00CE22FD" w:rsidRPr="0084697E" w:rsidRDefault="00CE22FD" w:rsidP="00937E35">
      <w:pPr>
        <w:spacing w:line="276" w:lineRule="auto"/>
        <w:rPr>
          <w:lang w:val="es-ES_tradnl"/>
        </w:rPr>
      </w:pPr>
    </w:p>
    <w:p w14:paraId="3458FC8D" w14:textId="02F00921" w:rsidR="00937E35" w:rsidRPr="0084697E" w:rsidRDefault="00DC2C8D" w:rsidP="00937E35">
      <w:pPr>
        <w:spacing w:line="276" w:lineRule="auto"/>
      </w:pPr>
      <w:r>
        <w:rPr>
          <w:lang w:val="es-ES_tradnl"/>
        </w:rPr>
        <w:t>La S</w:t>
      </w:r>
      <w:r w:rsidR="0084697E">
        <w:rPr>
          <w:lang w:val="es-ES_tradnl"/>
        </w:rPr>
        <w:t>ecretaria</w:t>
      </w:r>
      <w:r w:rsidR="00937E35" w:rsidRPr="0084697E">
        <w:t xml:space="preserve"> de la Sala,</w:t>
      </w:r>
    </w:p>
    <w:p w14:paraId="54DD86FC" w14:textId="77777777" w:rsidR="00937E35" w:rsidRPr="0084697E" w:rsidRDefault="00937E35" w:rsidP="00937E35">
      <w:pPr>
        <w:spacing w:line="276" w:lineRule="auto"/>
        <w:rPr>
          <w:lang w:val="es-ES_tradnl"/>
        </w:rPr>
      </w:pPr>
    </w:p>
    <w:p w14:paraId="5190629D" w14:textId="77777777" w:rsidR="00937E35" w:rsidRDefault="00937E35" w:rsidP="00937E35">
      <w:pPr>
        <w:spacing w:line="276" w:lineRule="auto"/>
        <w:jc w:val="center"/>
        <w:rPr>
          <w:lang w:val="es-ES_tradnl"/>
        </w:rPr>
      </w:pPr>
    </w:p>
    <w:p w14:paraId="4D9AEEE2" w14:textId="77777777" w:rsidR="00DC2C8D" w:rsidRPr="0084697E" w:rsidRDefault="00DC2C8D" w:rsidP="00937E35">
      <w:pPr>
        <w:spacing w:line="276" w:lineRule="auto"/>
        <w:jc w:val="center"/>
        <w:rPr>
          <w:lang w:val="es-ES_tradnl"/>
        </w:rPr>
      </w:pPr>
    </w:p>
    <w:p w14:paraId="2B23FE8C" w14:textId="506B0AD4" w:rsidR="00DA4E76" w:rsidRPr="0084697E" w:rsidRDefault="0084697E" w:rsidP="000F5903">
      <w:pPr>
        <w:spacing w:line="276" w:lineRule="auto"/>
        <w:ind w:left="708" w:hanging="708"/>
        <w:jc w:val="center"/>
        <w:rPr>
          <w:rFonts w:ascii="Verdana" w:hAnsi="Verdana"/>
          <w:sz w:val="20"/>
          <w:szCs w:val="20"/>
        </w:rPr>
      </w:pPr>
      <w:r>
        <w:rPr>
          <w:lang w:val="es-ES_tradnl"/>
        </w:rPr>
        <w:t>MARÍA ELENA RÍOS VÁSQUEZ</w:t>
      </w:r>
    </w:p>
    <w:sectPr w:rsidR="00DA4E76" w:rsidRPr="0084697E" w:rsidSect="00570B8B">
      <w:headerReference w:type="default" r:id="rId10"/>
      <w:footerReference w:type="default" r:id="rId11"/>
      <w:pgSz w:w="12242" w:h="18722" w:code="124"/>
      <w:pgMar w:top="2041" w:right="1758" w:bottom="1361"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0FA2" w14:textId="77777777" w:rsidR="005D029D" w:rsidRDefault="005D029D">
      <w:r>
        <w:separator/>
      </w:r>
    </w:p>
    <w:p w14:paraId="2B186A7C" w14:textId="77777777" w:rsidR="005D029D" w:rsidRDefault="005D029D"/>
  </w:endnote>
  <w:endnote w:type="continuationSeparator" w:id="0">
    <w:p w14:paraId="0DAAD521" w14:textId="77777777" w:rsidR="005D029D" w:rsidRDefault="005D029D">
      <w:r>
        <w:continuationSeparator/>
      </w:r>
    </w:p>
    <w:p w14:paraId="6DBF1C6A" w14:textId="77777777" w:rsidR="005D029D" w:rsidRDefault="005D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8B6E" w14:textId="77777777" w:rsidR="00D302A9" w:rsidRDefault="00D302A9">
    <w:pPr>
      <w:pStyle w:val="Pieddepage"/>
    </w:pPr>
    <w:r>
      <w:t xml:space="preserve">Página </w:t>
    </w:r>
    <w:r>
      <w:fldChar w:fldCharType="begin"/>
    </w:r>
    <w:r>
      <w:instrText xml:space="preserve"> PAGE </w:instrText>
    </w:r>
    <w:r>
      <w:fldChar w:fldCharType="separate"/>
    </w:r>
    <w:r w:rsidR="0082553C">
      <w:rPr>
        <w:noProof/>
      </w:rPr>
      <w:t>1</w:t>
    </w:r>
    <w:r>
      <w:fldChar w:fldCharType="end"/>
    </w:r>
    <w:r>
      <w:t xml:space="preserve"> de </w:t>
    </w:r>
    <w:r>
      <w:fldChar w:fldCharType="begin"/>
    </w:r>
    <w:r>
      <w:instrText xml:space="preserve"> NUMPAGES </w:instrText>
    </w:r>
    <w:r>
      <w:fldChar w:fldCharType="separate"/>
    </w:r>
    <w:r w:rsidR="0082553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517B" w14:textId="77777777" w:rsidR="005D029D" w:rsidRDefault="005D029D">
      <w:r>
        <w:separator/>
      </w:r>
    </w:p>
    <w:p w14:paraId="5093C602" w14:textId="77777777" w:rsidR="005D029D" w:rsidRDefault="005D029D"/>
  </w:footnote>
  <w:footnote w:type="continuationSeparator" w:id="0">
    <w:p w14:paraId="7BC17953" w14:textId="77777777" w:rsidR="005D029D" w:rsidRDefault="005D029D">
      <w:r>
        <w:continuationSeparator/>
      </w:r>
    </w:p>
    <w:p w14:paraId="48586042" w14:textId="77777777" w:rsidR="005D029D" w:rsidRDefault="005D029D"/>
  </w:footnote>
  <w:footnote w:id="1">
    <w:p w14:paraId="0AB7830F" w14:textId="77777777" w:rsidR="00D302A9" w:rsidRPr="00BC5A9A" w:rsidRDefault="00D302A9">
      <w:pPr>
        <w:pStyle w:val="Notedebasdepage"/>
        <w:rPr>
          <w:lang w:val="es-CO"/>
        </w:rPr>
      </w:pPr>
      <w:r>
        <w:rPr>
          <w:rStyle w:val="Appelnotedebasdep"/>
        </w:rPr>
        <w:footnoteRef/>
      </w:r>
      <w:r>
        <w:t xml:space="preserve"> CSJ </w:t>
      </w:r>
      <w:r w:rsidRPr="00DA4E76">
        <w:rPr>
          <w:rStyle w:val="Numeracinttulo"/>
          <w:rFonts w:ascii="Verdana" w:hAnsi="Verdana"/>
          <w:b w:val="0"/>
          <w:spacing w:val="-2"/>
          <w:sz w:val="20"/>
        </w:rPr>
        <w:t>rad</w:t>
      </w:r>
      <w:r>
        <w:rPr>
          <w:rStyle w:val="Numeracinttulo"/>
          <w:rFonts w:ascii="Verdana" w:hAnsi="Verdana"/>
          <w:b w:val="0"/>
          <w:spacing w:val="-2"/>
          <w:sz w:val="20"/>
        </w:rPr>
        <w:t>icados</w:t>
      </w:r>
      <w:r w:rsidRPr="00DA4E76">
        <w:rPr>
          <w:rStyle w:val="Numeracinttulo"/>
          <w:rFonts w:ascii="Verdana" w:hAnsi="Verdana"/>
          <w:b w:val="0"/>
          <w:spacing w:val="-2"/>
          <w:sz w:val="20"/>
        </w:rPr>
        <w:t xml:space="preserve"> 20944 de</w:t>
      </w:r>
      <w:r>
        <w:rPr>
          <w:rStyle w:val="Numeracinttulo"/>
          <w:rFonts w:ascii="Verdana" w:hAnsi="Verdana"/>
          <w:b w:val="0"/>
          <w:spacing w:val="-2"/>
          <w:sz w:val="20"/>
        </w:rPr>
        <w:t xml:space="preserve"> octubre 13 de 2004, 19815 </w:t>
      </w:r>
      <w:r w:rsidRPr="00DA4E76">
        <w:rPr>
          <w:rStyle w:val="Numeracinttulo"/>
          <w:rFonts w:ascii="Verdana" w:hAnsi="Verdana"/>
          <w:b w:val="0"/>
          <w:spacing w:val="-2"/>
          <w:sz w:val="20"/>
        </w:rPr>
        <w:t>de marzo 16 de 2006, y</w:t>
      </w:r>
      <w:r>
        <w:rPr>
          <w:rStyle w:val="Numeracinttulo"/>
          <w:rFonts w:ascii="Verdana" w:hAnsi="Verdana"/>
          <w:b w:val="0"/>
          <w:spacing w:val="-2"/>
          <w:sz w:val="20"/>
        </w:rPr>
        <w:t xml:space="preserve"> </w:t>
      </w:r>
      <w:r w:rsidRPr="00DA4E76">
        <w:rPr>
          <w:rStyle w:val="Numeracinttulo"/>
          <w:rFonts w:ascii="Verdana" w:hAnsi="Verdana"/>
          <w:b w:val="0"/>
          <w:spacing w:val="-2"/>
          <w:sz w:val="20"/>
        </w:rPr>
        <w:t>36511 de junio 19 de 2013</w:t>
      </w:r>
      <w:r>
        <w:rPr>
          <w:rStyle w:val="Numeracinttulo"/>
          <w:rFonts w:ascii="Verdana" w:hAnsi="Verdana"/>
          <w:b w:val="0"/>
          <w:spacing w:val="-2"/>
          <w:sz w:val="20"/>
        </w:rPr>
        <w:t>.</w:t>
      </w:r>
    </w:p>
  </w:footnote>
  <w:footnote w:id="2">
    <w:p w14:paraId="3D2B7C23" w14:textId="77777777" w:rsidR="00D302A9" w:rsidRPr="00313FB1" w:rsidRDefault="00D302A9">
      <w:pPr>
        <w:pStyle w:val="Notedebasdepage"/>
        <w:rPr>
          <w:lang w:val="es-CO"/>
        </w:rPr>
      </w:pPr>
      <w:r>
        <w:rPr>
          <w:rStyle w:val="Appelnotedebasdep"/>
        </w:rPr>
        <w:footnoteRef/>
      </w:r>
      <w:r>
        <w:t xml:space="preserve"> </w:t>
      </w:r>
      <w:r>
        <w:rPr>
          <w:rFonts w:cs="Arial"/>
          <w:color w:val="000000"/>
          <w:szCs w:val="28"/>
        </w:rPr>
        <w:t>CSJ SP, 19 jun. 2013, rad. 36511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DEE3" w14:textId="77777777" w:rsidR="00D302A9" w:rsidRPr="00082E81" w:rsidRDefault="00D302A9" w:rsidP="00C379F4">
    <w:pPr>
      <w:pStyle w:val="En-tte"/>
      <w:spacing w:line="240" w:lineRule="auto"/>
      <w:jc w:val="right"/>
      <w:rPr>
        <w:rFonts w:ascii="Courier New" w:hAnsi="Courier New"/>
        <w:sz w:val="16"/>
        <w:lang w:val="es-MX"/>
      </w:rPr>
    </w:pPr>
    <w:r>
      <w:rPr>
        <w:rFonts w:ascii="Courier New" w:hAnsi="Courier New"/>
        <w:sz w:val="16"/>
        <w:lang w:val="es-MX"/>
      </w:rPr>
      <w:t>CONCIERTO PARA DELINQUIR Y OTRO</w:t>
    </w:r>
  </w:p>
  <w:p w14:paraId="16DB7851" w14:textId="77777777" w:rsidR="00D302A9" w:rsidRDefault="00D302A9" w:rsidP="00C379F4">
    <w:pPr>
      <w:pStyle w:val="En-tte"/>
      <w:spacing w:line="240" w:lineRule="auto"/>
      <w:jc w:val="right"/>
      <w:rPr>
        <w:rFonts w:ascii="Courier New" w:hAnsi="Courier New"/>
        <w:sz w:val="16"/>
        <w:lang w:val="es-MX"/>
      </w:rPr>
    </w:pPr>
    <w:r>
      <w:rPr>
        <w:rFonts w:ascii="Courier New" w:hAnsi="Courier New"/>
        <w:sz w:val="16"/>
        <w:lang w:val="es-MX"/>
      </w:rPr>
      <w:t>RADICACIÓN: 660016000000 2017 00028 01</w:t>
    </w:r>
  </w:p>
  <w:p w14:paraId="7CA38AB2" w14:textId="77777777" w:rsidR="00D302A9" w:rsidRDefault="00D302A9" w:rsidP="00C379F4">
    <w:pPr>
      <w:pStyle w:val="En-tte"/>
      <w:spacing w:line="240" w:lineRule="auto"/>
      <w:jc w:val="right"/>
      <w:rPr>
        <w:rFonts w:ascii="Courier New" w:hAnsi="Courier New"/>
        <w:sz w:val="16"/>
        <w:lang w:val="es-MX"/>
      </w:rPr>
    </w:pPr>
    <w:r>
      <w:rPr>
        <w:rFonts w:ascii="Courier New" w:hAnsi="Courier New"/>
        <w:sz w:val="16"/>
        <w:lang w:val="es-MX"/>
      </w:rPr>
      <w:t>PROCESADO: JULIO CÉSAR OSPINA CHAVARRO</w:t>
    </w:r>
  </w:p>
  <w:p w14:paraId="290CD59D" w14:textId="77777777" w:rsidR="00D302A9" w:rsidRDefault="00D302A9" w:rsidP="00C379F4">
    <w:pPr>
      <w:pStyle w:val="En-tte"/>
      <w:spacing w:line="240" w:lineRule="auto"/>
      <w:jc w:val="right"/>
      <w:rPr>
        <w:rFonts w:ascii="Courier New" w:hAnsi="Courier New"/>
        <w:sz w:val="16"/>
        <w:lang w:val="es-MX"/>
      </w:rPr>
    </w:pPr>
    <w:r>
      <w:rPr>
        <w:rFonts w:ascii="Courier New" w:hAnsi="Courier New"/>
        <w:sz w:val="16"/>
        <w:lang w:val="es-MX"/>
      </w:rPr>
      <w:t xml:space="preserve">CONFIRMA PARCIALMENTE Y MODIFICA </w:t>
    </w:r>
  </w:p>
  <w:p w14:paraId="6C6BA0C1" w14:textId="02F041DE" w:rsidR="00D302A9" w:rsidRDefault="00570B8B" w:rsidP="00B16917">
    <w:pPr>
      <w:pStyle w:val="En-tte"/>
      <w:spacing w:line="240" w:lineRule="auto"/>
      <w:jc w:val="right"/>
      <w:rPr>
        <w:rFonts w:ascii="Courier New" w:hAnsi="Courier New"/>
        <w:sz w:val="16"/>
        <w:lang w:val="es-MX"/>
      </w:rPr>
    </w:pPr>
    <w:r w:rsidRPr="00570B8B">
      <w:rPr>
        <w:rFonts w:ascii="Courier New" w:hAnsi="Courier New"/>
        <w:sz w:val="16"/>
        <w:lang w:val="es-MX"/>
      </w:rPr>
      <w:t>S.N°25</w:t>
    </w:r>
  </w:p>
  <w:p w14:paraId="7802F935" w14:textId="77777777" w:rsidR="00D302A9" w:rsidRDefault="00D302A9" w:rsidP="00C379F4">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F8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B87"/>
    <w:rsid w:val="00000417"/>
    <w:rsid w:val="000139FA"/>
    <w:rsid w:val="00015253"/>
    <w:rsid w:val="00016743"/>
    <w:rsid w:val="00016E3A"/>
    <w:rsid w:val="00021861"/>
    <w:rsid w:val="00022621"/>
    <w:rsid w:val="00022CFC"/>
    <w:rsid w:val="00022D89"/>
    <w:rsid w:val="00025FA4"/>
    <w:rsid w:val="000276AD"/>
    <w:rsid w:val="00033364"/>
    <w:rsid w:val="00035DCB"/>
    <w:rsid w:val="00043244"/>
    <w:rsid w:val="00043DED"/>
    <w:rsid w:val="0004788F"/>
    <w:rsid w:val="00050C3B"/>
    <w:rsid w:val="00060FCF"/>
    <w:rsid w:val="00062113"/>
    <w:rsid w:val="000632C3"/>
    <w:rsid w:val="00065259"/>
    <w:rsid w:val="00074F99"/>
    <w:rsid w:val="0008068F"/>
    <w:rsid w:val="000808CF"/>
    <w:rsid w:val="00080ED6"/>
    <w:rsid w:val="00081ED1"/>
    <w:rsid w:val="00082E81"/>
    <w:rsid w:val="000849CA"/>
    <w:rsid w:val="00087C77"/>
    <w:rsid w:val="00096E53"/>
    <w:rsid w:val="000A31BF"/>
    <w:rsid w:val="000A4B15"/>
    <w:rsid w:val="000A4F95"/>
    <w:rsid w:val="000A55D8"/>
    <w:rsid w:val="000A70F6"/>
    <w:rsid w:val="000B257E"/>
    <w:rsid w:val="000B39B0"/>
    <w:rsid w:val="000B752F"/>
    <w:rsid w:val="000C1B5A"/>
    <w:rsid w:val="000C311F"/>
    <w:rsid w:val="000C5B93"/>
    <w:rsid w:val="000D21F1"/>
    <w:rsid w:val="000D2BEA"/>
    <w:rsid w:val="000D4528"/>
    <w:rsid w:val="000D4B3D"/>
    <w:rsid w:val="000D552E"/>
    <w:rsid w:val="000E514A"/>
    <w:rsid w:val="000E52D7"/>
    <w:rsid w:val="000E601F"/>
    <w:rsid w:val="000E6CCB"/>
    <w:rsid w:val="000F1A7D"/>
    <w:rsid w:val="000F388B"/>
    <w:rsid w:val="000F5903"/>
    <w:rsid w:val="000F5E0C"/>
    <w:rsid w:val="00105787"/>
    <w:rsid w:val="00112689"/>
    <w:rsid w:val="001134F7"/>
    <w:rsid w:val="001138C5"/>
    <w:rsid w:val="001140D0"/>
    <w:rsid w:val="001220BD"/>
    <w:rsid w:val="0012461D"/>
    <w:rsid w:val="00126BA2"/>
    <w:rsid w:val="00130836"/>
    <w:rsid w:val="0013100C"/>
    <w:rsid w:val="00134143"/>
    <w:rsid w:val="00140492"/>
    <w:rsid w:val="00141F61"/>
    <w:rsid w:val="001425B7"/>
    <w:rsid w:val="00142878"/>
    <w:rsid w:val="001436A6"/>
    <w:rsid w:val="00144D44"/>
    <w:rsid w:val="001462AB"/>
    <w:rsid w:val="001463C1"/>
    <w:rsid w:val="00151740"/>
    <w:rsid w:val="00152531"/>
    <w:rsid w:val="00152D8D"/>
    <w:rsid w:val="00153E94"/>
    <w:rsid w:val="00156C8E"/>
    <w:rsid w:val="00160E74"/>
    <w:rsid w:val="00162E25"/>
    <w:rsid w:val="00163A35"/>
    <w:rsid w:val="00163E66"/>
    <w:rsid w:val="00164E86"/>
    <w:rsid w:val="001666D3"/>
    <w:rsid w:val="0017190F"/>
    <w:rsid w:val="00172535"/>
    <w:rsid w:val="00182795"/>
    <w:rsid w:val="001903D9"/>
    <w:rsid w:val="0019226A"/>
    <w:rsid w:val="00196863"/>
    <w:rsid w:val="00197D9B"/>
    <w:rsid w:val="001A3ADC"/>
    <w:rsid w:val="001B114A"/>
    <w:rsid w:val="001B2225"/>
    <w:rsid w:val="001B2E66"/>
    <w:rsid w:val="001B58D6"/>
    <w:rsid w:val="001B6157"/>
    <w:rsid w:val="001B737D"/>
    <w:rsid w:val="001B74D5"/>
    <w:rsid w:val="001B7954"/>
    <w:rsid w:val="001B7EE3"/>
    <w:rsid w:val="001C17BB"/>
    <w:rsid w:val="001C2754"/>
    <w:rsid w:val="001C3165"/>
    <w:rsid w:val="001C3E76"/>
    <w:rsid w:val="001C58B1"/>
    <w:rsid w:val="001C67EF"/>
    <w:rsid w:val="001C7448"/>
    <w:rsid w:val="001C7D5D"/>
    <w:rsid w:val="001D112A"/>
    <w:rsid w:val="001D4520"/>
    <w:rsid w:val="001D7FFC"/>
    <w:rsid w:val="001E053B"/>
    <w:rsid w:val="001E3D8F"/>
    <w:rsid w:val="001F0D0C"/>
    <w:rsid w:val="001F33C1"/>
    <w:rsid w:val="001F4938"/>
    <w:rsid w:val="001F59E7"/>
    <w:rsid w:val="002016D8"/>
    <w:rsid w:val="00205145"/>
    <w:rsid w:val="00205590"/>
    <w:rsid w:val="00205892"/>
    <w:rsid w:val="00207940"/>
    <w:rsid w:val="00207DC2"/>
    <w:rsid w:val="00214FDC"/>
    <w:rsid w:val="00215FA1"/>
    <w:rsid w:val="00220156"/>
    <w:rsid w:val="00221B96"/>
    <w:rsid w:val="002223B2"/>
    <w:rsid w:val="00222409"/>
    <w:rsid w:val="00224F50"/>
    <w:rsid w:val="002250C3"/>
    <w:rsid w:val="00230C49"/>
    <w:rsid w:val="00233E23"/>
    <w:rsid w:val="00234337"/>
    <w:rsid w:val="002343B0"/>
    <w:rsid w:val="0023795E"/>
    <w:rsid w:val="002555E4"/>
    <w:rsid w:val="00256002"/>
    <w:rsid w:val="00261534"/>
    <w:rsid w:val="0026793D"/>
    <w:rsid w:val="00270053"/>
    <w:rsid w:val="00270ECA"/>
    <w:rsid w:val="00271048"/>
    <w:rsid w:val="002720A8"/>
    <w:rsid w:val="002800E7"/>
    <w:rsid w:val="002823AB"/>
    <w:rsid w:val="00283520"/>
    <w:rsid w:val="00284344"/>
    <w:rsid w:val="002849AB"/>
    <w:rsid w:val="00284B99"/>
    <w:rsid w:val="00287D0F"/>
    <w:rsid w:val="0029084A"/>
    <w:rsid w:val="00294A81"/>
    <w:rsid w:val="002956A9"/>
    <w:rsid w:val="002A293B"/>
    <w:rsid w:val="002A7B14"/>
    <w:rsid w:val="002B1B02"/>
    <w:rsid w:val="002B4C73"/>
    <w:rsid w:val="002B6360"/>
    <w:rsid w:val="002B6565"/>
    <w:rsid w:val="002B7278"/>
    <w:rsid w:val="002B7358"/>
    <w:rsid w:val="002C2DDC"/>
    <w:rsid w:val="002C361E"/>
    <w:rsid w:val="002D00EC"/>
    <w:rsid w:val="002D2FD9"/>
    <w:rsid w:val="002D38E2"/>
    <w:rsid w:val="002D5C8E"/>
    <w:rsid w:val="002D67B3"/>
    <w:rsid w:val="002E01C6"/>
    <w:rsid w:val="002E06EF"/>
    <w:rsid w:val="002E2DBA"/>
    <w:rsid w:val="002E6A8D"/>
    <w:rsid w:val="002F0C4A"/>
    <w:rsid w:val="002F167D"/>
    <w:rsid w:val="002F38CE"/>
    <w:rsid w:val="002F66B0"/>
    <w:rsid w:val="003007ED"/>
    <w:rsid w:val="00303B69"/>
    <w:rsid w:val="00307E4D"/>
    <w:rsid w:val="00310CA9"/>
    <w:rsid w:val="003118A0"/>
    <w:rsid w:val="00313FB1"/>
    <w:rsid w:val="00317ED2"/>
    <w:rsid w:val="003263D6"/>
    <w:rsid w:val="003264FF"/>
    <w:rsid w:val="00332A0B"/>
    <w:rsid w:val="003337A4"/>
    <w:rsid w:val="00334387"/>
    <w:rsid w:val="003346FC"/>
    <w:rsid w:val="00335225"/>
    <w:rsid w:val="00335F17"/>
    <w:rsid w:val="00336B8F"/>
    <w:rsid w:val="0034356A"/>
    <w:rsid w:val="00352141"/>
    <w:rsid w:val="00356290"/>
    <w:rsid w:val="0036167B"/>
    <w:rsid w:val="00363CE7"/>
    <w:rsid w:val="00364227"/>
    <w:rsid w:val="00364762"/>
    <w:rsid w:val="00365A8F"/>
    <w:rsid w:val="00365C4E"/>
    <w:rsid w:val="00365F7B"/>
    <w:rsid w:val="003677C9"/>
    <w:rsid w:val="00367A88"/>
    <w:rsid w:val="00370546"/>
    <w:rsid w:val="003706F6"/>
    <w:rsid w:val="00373B40"/>
    <w:rsid w:val="003744CD"/>
    <w:rsid w:val="0037595B"/>
    <w:rsid w:val="003767F0"/>
    <w:rsid w:val="003772A9"/>
    <w:rsid w:val="00380708"/>
    <w:rsid w:val="003843D6"/>
    <w:rsid w:val="00384AC7"/>
    <w:rsid w:val="003850C9"/>
    <w:rsid w:val="00394708"/>
    <w:rsid w:val="00397E87"/>
    <w:rsid w:val="003A14D4"/>
    <w:rsid w:val="003A2EBF"/>
    <w:rsid w:val="003A4D4C"/>
    <w:rsid w:val="003A5948"/>
    <w:rsid w:val="003A5AC9"/>
    <w:rsid w:val="003A6330"/>
    <w:rsid w:val="003B2445"/>
    <w:rsid w:val="003B3533"/>
    <w:rsid w:val="003B3FB9"/>
    <w:rsid w:val="003B4C3C"/>
    <w:rsid w:val="003C00DD"/>
    <w:rsid w:val="003C35A2"/>
    <w:rsid w:val="003C47C2"/>
    <w:rsid w:val="003C5A48"/>
    <w:rsid w:val="003D32DB"/>
    <w:rsid w:val="003D6465"/>
    <w:rsid w:val="003E0439"/>
    <w:rsid w:val="003E485D"/>
    <w:rsid w:val="003E51CA"/>
    <w:rsid w:val="003E794C"/>
    <w:rsid w:val="003F1FD4"/>
    <w:rsid w:val="003F21BF"/>
    <w:rsid w:val="003F3102"/>
    <w:rsid w:val="003F4B31"/>
    <w:rsid w:val="00400B7D"/>
    <w:rsid w:val="004034ED"/>
    <w:rsid w:val="0040466B"/>
    <w:rsid w:val="00412BF2"/>
    <w:rsid w:val="00415B1C"/>
    <w:rsid w:val="00416414"/>
    <w:rsid w:val="004203F1"/>
    <w:rsid w:val="00421161"/>
    <w:rsid w:val="00421D5C"/>
    <w:rsid w:val="00426550"/>
    <w:rsid w:val="004266D9"/>
    <w:rsid w:val="00426CEA"/>
    <w:rsid w:val="004273CE"/>
    <w:rsid w:val="0042763C"/>
    <w:rsid w:val="00431179"/>
    <w:rsid w:val="00432B7E"/>
    <w:rsid w:val="004336DB"/>
    <w:rsid w:val="00436F63"/>
    <w:rsid w:val="0044024C"/>
    <w:rsid w:val="00441547"/>
    <w:rsid w:val="004425FC"/>
    <w:rsid w:val="0044594A"/>
    <w:rsid w:val="00452CA2"/>
    <w:rsid w:val="00455C47"/>
    <w:rsid w:val="00456AE0"/>
    <w:rsid w:val="00457BDA"/>
    <w:rsid w:val="00457F37"/>
    <w:rsid w:val="004632BF"/>
    <w:rsid w:val="004647FB"/>
    <w:rsid w:val="0046795A"/>
    <w:rsid w:val="00470D39"/>
    <w:rsid w:val="004714EE"/>
    <w:rsid w:val="004730B5"/>
    <w:rsid w:val="00473974"/>
    <w:rsid w:val="00475049"/>
    <w:rsid w:val="00476E86"/>
    <w:rsid w:val="00476F77"/>
    <w:rsid w:val="00482DDB"/>
    <w:rsid w:val="004836A9"/>
    <w:rsid w:val="00483B1C"/>
    <w:rsid w:val="00490FA6"/>
    <w:rsid w:val="0049293D"/>
    <w:rsid w:val="00495D7C"/>
    <w:rsid w:val="00495DDB"/>
    <w:rsid w:val="00496CC0"/>
    <w:rsid w:val="004A2A70"/>
    <w:rsid w:val="004A4006"/>
    <w:rsid w:val="004A4721"/>
    <w:rsid w:val="004A5984"/>
    <w:rsid w:val="004A6AFC"/>
    <w:rsid w:val="004B118B"/>
    <w:rsid w:val="004B356F"/>
    <w:rsid w:val="004C3774"/>
    <w:rsid w:val="004D22B0"/>
    <w:rsid w:val="004D4086"/>
    <w:rsid w:val="004D54B6"/>
    <w:rsid w:val="004D56A2"/>
    <w:rsid w:val="004D7FBC"/>
    <w:rsid w:val="004E1F64"/>
    <w:rsid w:val="004F7C32"/>
    <w:rsid w:val="00501BF5"/>
    <w:rsid w:val="005056F6"/>
    <w:rsid w:val="00515D0B"/>
    <w:rsid w:val="00515E1A"/>
    <w:rsid w:val="005160CA"/>
    <w:rsid w:val="005161F4"/>
    <w:rsid w:val="005224FC"/>
    <w:rsid w:val="005234B6"/>
    <w:rsid w:val="00524E03"/>
    <w:rsid w:val="005254B0"/>
    <w:rsid w:val="00526023"/>
    <w:rsid w:val="00531A15"/>
    <w:rsid w:val="00531BD0"/>
    <w:rsid w:val="0053581C"/>
    <w:rsid w:val="00535F57"/>
    <w:rsid w:val="0053621B"/>
    <w:rsid w:val="00537378"/>
    <w:rsid w:val="00540993"/>
    <w:rsid w:val="00540BF9"/>
    <w:rsid w:val="00541189"/>
    <w:rsid w:val="00542277"/>
    <w:rsid w:val="00542DD2"/>
    <w:rsid w:val="00546418"/>
    <w:rsid w:val="00546505"/>
    <w:rsid w:val="005519A6"/>
    <w:rsid w:val="00554E69"/>
    <w:rsid w:val="005557D9"/>
    <w:rsid w:val="00556BDC"/>
    <w:rsid w:val="00564298"/>
    <w:rsid w:val="00570140"/>
    <w:rsid w:val="005702D8"/>
    <w:rsid w:val="00570B8B"/>
    <w:rsid w:val="00571F62"/>
    <w:rsid w:val="005740AF"/>
    <w:rsid w:val="00574BDB"/>
    <w:rsid w:val="0057771D"/>
    <w:rsid w:val="00593482"/>
    <w:rsid w:val="005950FC"/>
    <w:rsid w:val="00595EC1"/>
    <w:rsid w:val="00596B13"/>
    <w:rsid w:val="00597872"/>
    <w:rsid w:val="005A2887"/>
    <w:rsid w:val="005A355A"/>
    <w:rsid w:val="005A3704"/>
    <w:rsid w:val="005A5713"/>
    <w:rsid w:val="005A62B7"/>
    <w:rsid w:val="005B2CF5"/>
    <w:rsid w:val="005B43AE"/>
    <w:rsid w:val="005B5D70"/>
    <w:rsid w:val="005B7682"/>
    <w:rsid w:val="005C00EC"/>
    <w:rsid w:val="005C047B"/>
    <w:rsid w:val="005C16D2"/>
    <w:rsid w:val="005C1FB2"/>
    <w:rsid w:val="005C2746"/>
    <w:rsid w:val="005C2B51"/>
    <w:rsid w:val="005D029D"/>
    <w:rsid w:val="005D255F"/>
    <w:rsid w:val="005D2A63"/>
    <w:rsid w:val="005D3494"/>
    <w:rsid w:val="005D4AC3"/>
    <w:rsid w:val="005D6162"/>
    <w:rsid w:val="005E0038"/>
    <w:rsid w:val="005E0B72"/>
    <w:rsid w:val="005E1A73"/>
    <w:rsid w:val="005E3BEC"/>
    <w:rsid w:val="005E41DB"/>
    <w:rsid w:val="005E54C8"/>
    <w:rsid w:val="005E6F65"/>
    <w:rsid w:val="005F0B15"/>
    <w:rsid w:val="005F1684"/>
    <w:rsid w:val="005F2D82"/>
    <w:rsid w:val="005F77AD"/>
    <w:rsid w:val="00606B9C"/>
    <w:rsid w:val="00606DCC"/>
    <w:rsid w:val="00611255"/>
    <w:rsid w:val="00612DAC"/>
    <w:rsid w:val="00615612"/>
    <w:rsid w:val="00615E16"/>
    <w:rsid w:val="00623F04"/>
    <w:rsid w:val="00626254"/>
    <w:rsid w:val="0063408E"/>
    <w:rsid w:val="00634796"/>
    <w:rsid w:val="00635A61"/>
    <w:rsid w:val="00635FE7"/>
    <w:rsid w:val="00637083"/>
    <w:rsid w:val="00640B87"/>
    <w:rsid w:val="0064511F"/>
    <w:rsid w:val="00650B00"/>
    <w:rsid w:val="006513DE"/>
    <w:rsid w:val="0065280F"/>
    <w:rsid w:val="006541FC"/>
    <w:rsid w:val="00654702"/>
    <w:rsid w:val="00656D8D"/>
    <w:rsid w:val="00657A41"/>
    <w:rsid w:val="00660C0F"/>
    <w:rsid w:val="006636D0"/>
    <w:rsid w:val="00664280"/>
    <w:rsid w:val="00665E44"/>
    <w:rsid w:val="006678FE"/>
    <w:rsid w:val="00672D6F"/>
    <w:rsid w:val="00674327"/>
    <w:rsid w:val="00681B9B"/>
    <w:rsid w:val="0068265A"/>
    <w:rsid w:val="00685FD9"/>
    <w:rsid w:val="00685FDD"/>
    <w:rsid w:val="00686D97"/>
    <w:rsid w:val="00687CE4"/>
    <w:rsid w:val="0069135D"/>
    <w:rsid w:val="00691DF7"/>
    <w:rsid w:val="00694910"/>
    <w:rsid w:val="006A0AA3"/>
    <w:rsid w:val="006A1272"/>
    <w:rsid w:val="006A2A1B"/>
    <w:rsid w:val="006A76D4"/>
    <w:rsid w:val="006B1C54"/>
    <w:rsid w:val="006C0B3B"/>
    <w:rsid w:val="006C1807"/>
    <w:rsid w:val="006C3873"/>
    <w:rsid w:val="006C44BA"/>
    <w:rsid w:val="006C511A"/>
    <w:rsid w:val="006C73D0"/>
    <w:rsid w:val="006C74E7"/>
    <w:rsid w:val="006D4AB5"/>
    <w:rsid w:val="006D5CE9"/>
    <w:rsid w:val="006D6314"/>
    <w:rsid w:val="006E559A"/>
    <w:rsid w:val="006E5927"/>
    <w:rsid w:val="006E66BC"/>
    <w:rsid w:val="006F0B91"/>
    <w:rsid w:val="006F1356"/>
    <w:rsid w:val="006F1454"/>
    <w:rsid w:val="006F2CA6"/>
    <w:rsid w:val="006F3E64"/>
    <w:rsid w:val="006F48F7"/>
    <w:rsid w:val="006F7196"/>
    <w:rsid w:val="007019E0"/>
    <w:rsid w:val="00702056"/>
    <w:rsid w:val="00703202"/>
    <w:rsid w:val="00703459"/>
    <w:rsid w:val="00707D3D"/>
    <w:rsid w:val="00711BA2"/>
    <w:rsid w:val="00713345"/>
    <w:rsid w:val="00713E97"/>
    <w:rsid w:val="00714053"/>
    <w:rsid w:val="00714183"/>
    <w:rsid w:val="00715F42"/>
    <w:rsid w:val="0071624B"/>
    <w:rsid w:val="0071696B"/>
    <w:rsid w:val="0072125E"/>
    <w:rsid w:val="0072182E"/>
    <w:rsid w:val="00722B50"/>
    <w:rsid w:val="007315E3"/>
    <w:rsid w:val="00731AE6"/>
    <w:rsid w:val="00735839"/>
    <w:rsid w:val="00741706"/>
    <w:rsid w:val="00744A9F"/>
    <w:rsid w:val="007471B2"/>
    <w:rsid w:val="007471F0"/>
    <w:rsid w:val="00747B0C"/>
    <w:rsid w:val="00750E2D"/>
    <w:rsid w:val="00750F2D"/>
    <w:rsid w:val="00752F1E"/>
    <w:rsid w:val="007628F1"/>
    <w:rsid w:val="00762C5D"/>
    <w:rsid w:val="007640C9"/>
    <w:rsid w:val="00764451"/>
    <w:rsid w:val="007647C0"/>
    <w:rsid w:val="00764950"/>
    <w:rsid w:val="00765A95"/>
    <w:rsid w:val="00767256"/>
    <w:rsid w:val="00767897"/>
    <w:rsid w:val="00773DD1"/>
    <w:rsid w:val="00776F27"/>
    <w:rsid w:val="0078100C"/>
    <w:rsid w:val="0078206A"/>
    <w:rsid w:val="00782579"/>
    <w:rsid w:val="00786EBE"/>
    <w:rsid w:val="007905B9"/>
    <w:rsid w:val="00794912"/>
    <w:rsid w:val="00795EB9"/>
    <w:rsid w:val="007969FA"/>
    <w:rsid w:val="007A11AD"/>
    <w:rsid w:val="007B0E42"/>
    <w:rsid w:val="007B0E97"/>
    <w:rsid w:val="007B1065"/>
    <w:rsid w:val="007B2CB1"/>
    <w:rsid w:val="007B3EA9"/>
    <w:rsid w:val="007B536F"/>
    <w:rsid w:val="007B7FC5"/>
    <w:rsid w:val="007C3191"/>
    <w:rsid w:val="007C70FE"/>
    <w:rsid w:val="007E4EB4"/>
    <w:rsid w:val="007F1A28"/>
    <w:rsid w:val="007F1F1D"/>
    <w:rsid w:val="007F2B97"/>
    <w:rsid w:val="007F3411"/>
    <w:rsid w:val="007F5DD7"/>
    <w:rsid w:val="007F63F9"/>
    <w:rsid w:val="00800941"/>
    <w:rsid w:val="008048BE"/>
    <w:rsid w:val="00804955"/>
    <w:rsid w:val="00807B1B"/>
    <w:rsid w:val="00811D2E"/>
    <w:rsid w:val="0082553C"/>
    <w:rsid w:val="00832922"/>
    <w:rsid w:val="00834DB1"/>
    <w:rsid w:val="008400D5"/>
    <w:rsid w:val="008406EE"/>
    <w:rsid w:val="0084697E"/>
    <w:rsid w:val="00852594"/>
    <w:rsid w:val="00856261"/>
    <w:rsid w:val="0085685D"/>
    <w:rsid w:val="00864546"/>
    <w:rsid w:val="00865E7E"/>
    <w:rsid w:val="008672D0"/>
    <w:rsid w:val="0087223D"/>
    <w:rsid w:val="008727E7"/>
    <w:rsid w:val="0087625C"/>
    <w:rsid w:val="00877AF1"/>
    <w:rsid w:val="00877FDF"/>
    <w:rsid w:val="0088127E"/>
    <w:rsid w:val="00881B75"/>
    <w:rsid w:val="00891253"/>
    <w:rsid w:val="00891724"/>
    <w:rsid w:val="0089332B"/>
    <w:rsid w:val="008944BC"/>
    <w:rsid w:val="0089624D"/>
    <w:rsid w:val="008972BD"/>
    <w:rsid w:val="008A05F3"/>
    <w:rsid w:val="008A077B"/>
    <w:rsid w:val="008A1F59"/>
    <w:rsid w:val="008A3A7E"/>
    <w:rsid w:val="008A42CD"/>
    <w:rsid w:val="008A58A6"/>
    <w:rsid w:val="008B03F5"/>
    <w:rsid w:val="008B5DF9"/>
    <w:rsid w:val="008C2BE3"/>
    <w:rsid w:val="008C70B5"/>
    <w:rsid w:val="008D0935"/>
    <w:rsid w:val="008D2D71"/>
    <w:rsid w:val="008D3E08"/>
    <w:rsid w:val="008D542E"/>
    <w:rsid w:val="008E3D0B"/>
    <w:rsid w:val="008E4B4D"/>
    <w:rsid w:val="008E5991"/>
    <w:rsid w:val="008E5B13"/>
    <w:rsid w:val="008F34F3"/>
    <w:rsid w:val="008F6226"/>
    <w:rsid w:val="00900F1E"/>
    <w:rsid w:val="00905431"/>
    <w:rsid w:val="0091029F"/>
    <w:rsid w:val="0091504B"/>
    <w:rsid w:val="00921712"/>
    <w:rsid w:val="00923601"/>
    <w:rsid w:val="00933682"/>
    <w:rsid w:val="009361C3"/>
    <w:rsid w:val="00936AE1"/>
    <w:rsid w:val="009372F9"/>
    <w:rsid w:val="00937E35"/>
    <w:rsid w:val="0094082D"/>
    <w:rsid w:val="009412C8"/>
    <w:rsid w:val="00943F35"/>
    <w:rsid w:val="00944D63"/>
    <w:rsid w:val="00946074"/>
    <w:rsid w:val="00946D49"/>
    <w:rsid w:val="00947AC0"/>
    <w:rsid w:val="009526BE"/>
    <w:rsid w:val="009557BA"/>
    <w:rsid w:val="00955980"/>
    <w:rsid w:val="0095771D"/>
    <w:rsid w:val="00965D0E"/>
    <w:rsid w:val="00966BD6"/>
    <w:rsid w:val="00966FF8"/>
    <w:rsid w:val="009759C6"/>
    <w:rsid w:val="00980ACA"/>
    <w:rsid w:val="00984928"/>
    <w:rsid w:val="00990830"/>
    <w:rsid w:val="00991ABA"/>
    <w:rsid w:val="0099305E"/>
    <w:rsid w:val="009958E9"/>
    <w:rsid w:val="009A082A"/>
    <w:rsid w:val="009A1124"/>
    <w:rsid w:val="009A3C35"/>
    <w:rsid w:val="009A498F"/>
    <w:rsid w:val="009A7917"/>
    <w:rsid w:val="009A7A05"/>
    <w:rsid w:val="009A7A06"/>
    <w:rsid w:val="009B2B9B"/>
    <w:rsid w:val="009B7994"/>
    <w:rsid w:val="009C0664"/>
    <w:rsid w:val="009D290F"/>
    <w:rsid w:val="009D3DE3"/>
    <w:rsid w:val="009E01F0"/>
    <w:rsid w:val="009E02ED"/>
    <w:rsid w:val="009E5787"/>
    <w:rsid w:val="00A00CEC"/>
    <w:rsid w:val="00A05268"/>
    <w:rsid w:val="00A05C39"/>
    <w:rsid w:val="00A13083"/>
    <w:rsid w:val="00A137BA"/>
    <w:rsid w:val="00A13DF3"/>
    <w:rsid w:val="00A156FC"/>
    <w:rsid w:val="00A23F4B"/>
    <w:rsid w:val="00A26D49"/>
    <w:rsid w:val="00A279DF"/>
    <w:rsid w:val="00A3070E"/>
    <w:rsid w:val="00A33126"/>
    <w:rsid w:val="00A34DF9"/>
    <w:rsid w:val="00A34F0D"/>
    <w:rsid w:val="00A37457"/>
    <w:rsid w:val="00A4388A"/>
    <w:rsid w:val="00A44512"/>
    <w:rsid w:val="00A4710B"/>
    <w:rsid w:val="00A51B75"/>
    <w:rsid w:val="00A5338A"/>
    <w:rsid w:val="00A548FD"/>
    <w:rsid w:val="00A54FE1"/>
    <w:rsid w:val="00A571EE"/>
    <w:rsid w:val="00A60908"/>
    <w:rsid w:val="00A638AE"/>
    <w:rsid w:val="00A72276"/>
    <w:rsid w:val="00A8747F"/>
    <w:rsid w:val="00A95E98"/>
    <w:rsid w:val="00AA5B76"/>
    <w:rsid w:val="00AA6BCC"/>
    <w:rsid w:val="00AB0DAB"/>
    <w:rsid w:val="00AB129D"/>
    <w:rsid w:val="00AB12E0"/>
    <w:rsid w:val="00AB2D17"/>
    <w:rsid w:val="00AB2DD7"/>
    <w:rsid w:val="00AB3290"/>
    <w:rsid w:val="00AB3F9A"/>
    <w:rsid w:val="00AC272A"/>
    <w:rsid w:val="00AC351E"/>
    <w:rsid w:val="00AD0385"/>
    <w:rsid w:val="00AD5A65"/>
    <w:rsid w:val="00AD69B2"/>
    <w:rsid w:val="00AE11C9"/>
    <w:rsid w:val="00AE11E7"/>
    <w:rsid w:val="00AE2E5D"/>
    <w:rsid w:val="00AE64FC"/>
    <w:rsid w:val="00AE7246"/>
    <w:rsid w:val="00AF08EF"/>
    <w:rsid w:val="00AF3C73"/>
    <w:rsid w:val="00AF5EFD"/>
    <w:rsid w:val="00B01B87"/>
    <w:rsid w:val="00B069E6"/>
    <w:rsid w:val="00B134B4"/>
    <w:rsid w:val="00B14533"/>
    <w:rsid w:val="00B14BBF"/>
    <w:rsid w:val="00B163E1"/>
    <w:rsid w:val="00B16917"/>
    <w:rsid w:val="00B1724D"/>
    <w:rsid w:val="00B2167B"/>
    <w:rsid w:val="00B21788"/>
    <w:rsid w:val="00B242F1"/>
    <w:rsid w:val="00B24345"/>
    <w:rsid w:val="00B24E7C"/>
    <w:rsid w:val="00B25B00"/>
    <w:rsid w:val="00B25DDF"/>
    <w:rsid w:val="00B31DB5"/>
    <w:rsid w:val="00B339E6"/>
    <w:rsid w:val="00B33D4A"/>
    <w:rsid w:val="00B3709E"/>
    <w:rsid w:val="00B415D9"/>
    <w:rsid w:val="00B4194E"/>
    <w:rsid w:val="00B422A7"/>
    <w:rsid w:val="00B42E98"/>
    <w:rsid w:val="00B47FA8"/>
    <w:rsid w:val="00B61E7B"/>
    <w:rsid w:val="00B62DB6"/>
    <w:rsid w:val="00B64F87"/>
    <w:rsid w:val="00B70631"/>
    <w:rsid w:val="00B75534"/>
    <w:rsid w:val="00B805A9"/>
    <w:rsid w:val="00B812A1"/>
    <w:rsid w:val="00B83D19"/>
    <w:rsid w:val="00B87EE3"/>
    <w:rsid w:val="00B9507A"/>
    <w:rsid w:val="00B96784"/>
    <w:rsid w:val="00B97892"/>
    <w:rsid w:val="00BA5AF3"/>
    <w:rsid w:val="00BA5B36"/>
    <w:rsid w:val="00BB0AC5"/>
    <w:rsid w:val="00BB187B"/>
    <w:rsid w:val="00BB3E39"/>
    <w:rsid w:val="00BB78AE"/>
    <w:rsid w:val="00BC214F"/>
    <w:rsid w:val="00BC2502"/>
    <w:rsid w:val="00BC41A1"/>
    <w:rsid w:val="00BC5A9A"/>
    <w:rsid w:val="00BC6130"/>
    <w:rsid w:val="00BD2AFB"/>
    <w:rsid w:val="00BD3758"/>
    <w:rsid w:val="00BD47B1"/>
    <w:rsid w:val="00BD63D9"/>
    <w:rsid w:val="00BD7625"/>
    <w:rsid w:val="00BE0358"/>
    <w:rsid w:val="00BE0D8A"/>
    <w:rsid w:val="00BE1F3C"/>
    <w:rsid w:val="00BE294E"/>
    <w:rsid w:val="00BE2D77"/>
    <w:rsid w:val="00BE38EA"/>
    <w:rsid w:val="00BE51D3"/>
    <w:rsid w:val="00BE5859"/>
    <w:rsid w:val="00BF1588"/>
    <w:rsid w:val="00BF232E"/>
    <w:rsid w:val="00BF4A49"/>
    <w:rsid w:val="00BF6F43"/>
    <w:rsid w:val="00BF7668"/>
    <w:rsid w:val="00BF7B1C"/>
    <w:rsid w:val="00C0172B"/>
    <w:rsid w:val="00C05684"/>
    <w:rsid w:val="00C07800"/>
    <w:rsid w:val="00C10195"/>
    <w:rsid w:val="00C15E3D"/>
    <w:rsid w:val="00C1783E"/>
    <w:rsid w:val="00C17DD5"/>
    <w:rsid w:val="00C2295E"/>
    <w:rsid w:val="00C23BE1"/>
    <w:rsid w:val="00C249DE"/>
    <w:rsid w:val="00C257B9"/>
    <w:rsid w:val="00C2691F"/>
    <w:rsid w:val="00C272EC"/>
    <w:rsid w:val="00C2752A"/>
    <w:rsid w:val="00C304B8"/>
    <w:rsid w:val="00C32081"/>
    <w:rsid w:val="00C34291"/>
    <w:rsid w:val="00C379F4"/>
    <w:rsid w:val="00C41973"/>
    <w:rsid w:val="00C42DEC"/>
    <w:rsid w:val="00C46980"/>
    <w:rsid w:val="00C50271"/>
    <w:rsid w:val="00C54257"/>
    <w:rsid w:val="00C563E3"/>
    <w:rsid w:val="00C5696E"/>
    <w:rsid w:val="00C57257"/>
    <w:rsid w:val="00C608A2"/>
    <w:rsid w:val="00C618DB"/>
    <w:rsid w:val="00C62590"/>
    <w:rsid w:val="00C646B4"/>
    <w:rsid w:val="00C64FB4"/>
    <w:rsid w:val="00C701D8"/>
    <w:rsid w:val="00C722A1"/>
    <w:rsid w:val="00C73D34"/>
    <w:rsid w:val="00C7412F"/>
    <w:rsid w:val="00C75BE6"/>
    <w:rsid w:val="00C77831"/>
    <w:rsid w:val="00C81EB5"/>
    <w:rsid w:val="00C86B93"/>
    <w:rsid w:val="00C87524"/>
    <w:rsid w:val="00C921C7"/>
    <w:rsid w:val="00C940F6"/>
    <w:rsid w:val="00C9548C"/>
    <w:rsid w:val="00C95626"/>
    <w:rsid w:val="00C9658A"/>
    <w:rsid w:val="00CA2C87"/>
    <w:rsid w:val="00CA421A"/>
    <w:rsid w:val="00CA592A"/>
    <w:rsid w:val="00CA68B3"/>
    <w:rsid w:val="00CB39A5"/>
    <w:rsid w:val="00CB3CF9"/>
    <w:rsid w:val="00CB4C70"/>
    <w:rsid w:val="00CB7C61"/>
    <w:rsid w:val="00CC4F6C"/>
    <w:rsid w:val="00CD096B"/>
    <w:rsid w:val="00CD218F"/>
    <w:rsid w:val="00CD451C"/>
    <w:rsid w:val="00CD5901"/>
    <w:rsid w:val="00CD792F"/>
    <w:rsid w:val="00CE0062"/>
    <w:rsid w:val="00CE22FD"/>
    <w:rsid w:val="00CE5F37"/>
    <w:rsid w:val="00CE6B56"/>
    <w:rsid w:val="00CE7454"/>
    <w:rsid w:val="00CE7770"/>
    <w:rsid w:val="00CF0D33"/>
    <w:rsid w:val="00CF336D"/>
    <w:rsid w:val="00CF6344"/>
    <w:rsid w:val="00D01D9C"/>
    <w:rsid w:val="00D05E90"/>
    <w:rsid w:val="00D05FBC"/>
    <w:rsid w:val="00D10A39"/>
    <w:rsid w:val="00D10CA9"/>
    <w:rsid w:val="00D11746"/>
    <w:rsid w:val="00D11DF7"/>
    <w:rsid w:val="00D1248F"/>
    <w:rsid w:val="00D150F8"/>
    <w:rsid w:val="00D167BB"/>
    <w:rsid w:val="00D21B38"/>
    <w:rsid w:val="00D23953"/>
    <w:rsid w:val="00D24232"/>
    <w:rsid w:val="00D248AB"/>
    <w:rsid w:val="00D24A52"/>
    <w:rsid w:val="00D270AC"/>
    <w:rsid w:val="00D302A9"/>
    <w:rsid w:val="00D324A4"/>
    <w:rsid w:val="00D37A1B"/>
    <w:rsid w:val="00D405C5"/>
    <w:rsid w:val="00D4123F"/>
    <w:rsid w:val="00D5053F"/>
    <w:rsid w:val="00D553DE"/>
    <w:rsid w:val="00D62C23"/>
    <w:rsid w:val="00D6411B"/>
    <w:rsid w:val="00D65828"/>
    <w:rsid w:val="00D71A7D"/>
    <w:rsid w:val="00D745A4"/>
    <w:rsid w:val="00D77469"/>
    <w:rsid w:val="00D8075E"/>
    <w:rsid w:val="00D81D72"/>
    <w:rsid w:val="00D9452C"/>
    <w:rsid w:val="00DA4E76"/>
    <w:rsid w:val="00DA53ED"/>
    <w:rsid w:val="00DB0A8B"/>
    <w:rsid w:val="00DB3C9F"/>
    <w:rsid w:val="00DB742F"/>
    <w:rsid w:val="00DC0DD8"/>
    <w:rsid w:val="00DC2C8D"/>
    <w:rsid w:val="00DC3F9C"/>
    <w:rsid w:val="00DD45F6"/>
    <w:rsid w:val="00DE0382"/>
    <w:rsid w:val="00DE0C55"/>
    <w:rsid w:val="00DE51C1"/>
    <w:rsid w:val="00DE6595"/>
    <w:rsid w:val="00DE7887"/>
    <w:rsid w:val="00DF29FC"/>
    <w:rsid w:val="00DF4D3F"/>
    <w:rsid w:val="00E030D5"/>
    <w:rsid w:val="00E06AF5"/>
    <w:rsid w:val="00E10327"/>
    <w:rsid w:val="00E113CD"/>
    <w:rsid w:val="00E11761"/>
    <w:rsid w:val="00E12409"/>
    <w:rsid w:val="00E13892"/>
    <w:rsid w:val="00E15A6A"/>
    <w:rsid w:val="00E20445"/>
    <w:rsid w:val="00E20838"/>
    <w:rsid w:val="00E22435"/>
    <w:rsid w:val="00E22F57"/>
    <w:rsid w:val="00E23CD3"/>
    <w:rsid w:val="00E23FA8"/>
    <w:rsid w:val="00E2474B"/>
    <w:rsid w:val="00E31A9B"/>
    <w:rsid w:val="00E32A3D"/>
    <w:rsid w:val="00E354E5"/>
    <w:rsid w:val="00E35D25"/>
    <w:rsid w:val="00E446C6"/>
    <w:rsid w:val="00E5518D"/>
    <w:rsid w:val="00E561AD"/>
    <w:rsid w:val="00E57A32"/>
    <w:rsid w:val="00E650FA"/>
    <w:rsid w:val="00E67FB9"/>
    <w:rsid w:val="00E70B05"/>
    <w:rsid w:val="00E72396"/>
    <w:rsid w:val="00E72465"/>
    <w:rsid w:val="00E736B8"/>
    <w:rsid w:val="00E74DDC"/>
    <w:rsid w:val="00E76D0E"/>
    <w:rsid w:val="00E82E32"/>
    <w:rsid w:val="00E854E8"/>
    <w:rsid w:val="00E90666"/>
    <w:rsid w:val="00E9148D"/>
    <w:rsid w:val="00E97492"/>
    <w:rsid w:val="00E97FCF"/>
    <w:rsid w:val="00EA281A"/>
    <w:rsid w:val="00EA2F74"/>
    <w:rsid w:val="00EA6B2A"/>
    <w:rsid w:val="00EB28A0"/>
    <w:rsid w:val="00EB77B8"/>
    <w:rsid w:val="00EC71B8"/>
    <w:rsid w:val="00EC71DB"/>
    <w:rsid w:val="00ED12F4"/>
    <w:rsid w:val="00ED2AFA"/>
    <w:rsid w:val="00ED2D17"/>
    <w:rsid w:val="00ED754B"/>
    <w:rsid w:val="00EE0B33"/>
    <w:rsid w:val="00EE3250"/>
    <w:rsid w:val="00EE45CD"/>
    <w:rsid w:val="00EE5EA2"/>
    <w:rsid w:val="00EE6C66"/>
    <w:rsid w:val="00EE76EC"/>
    <w:rsid w:val="00EE7921"/>
    <w:rsid w:val="00EF246B"/>
    <w:rsid w:val="00EF2F93"/>
    <w:rsid w:val="00EF3BE6"/>
    <w:rsid w:val="00EF40CF"/>
    <w:rsid w:val="00EF7C17"/>
    <w:rsid w:val="00F02000"/>
    <w:rsid w:val="00F0205A"/>
    <w:rsid w:val="00F02405"/>
    <w:rsid w:val="00F02867"/>
    <w:rsid w:val="00F05F48"/>
    <w:rsid w:val="00F074B6"/>
    <w:rsid w:val="00F15FC5"/>
    <w:rsid w:val="00F16120"/>
    <w:rsid w:val="00F16EDA"/>
    <w:rsid w:val="00F22F3C"/>
    <w:rsid w:val="00F26DE5"/>
    <w:rsid w:val="00F27E8D"/>
    <w:rsid w:val="00F33E8C"/>
    <w:rsid w:val="00F34DC4"/>
    <w:rsid w:val="00F36AF8"/>
    <w:rsid w:val="00F44539"/>
    <w:rsid w:val="00F467BE"/>
    <w:rsid w:val="00F54159"/>
    <w:rsid w:val="00F56911"/>
    <w:rsid w:val="00F57CA4"/>
    <w:rsid w:val="00F60D73"/>
    <w:rsid w:val="00F61222"/>
    <w:rsid w:val="00F61CAC"/>
    <w:rsid w:val="00F61F6B"/>
    <w:rsid w:val="00F62A4E"/>
    <w:rsid w:val="00F65D40"/>
    <w:rsid w:val="00F6636A"/>
    <w:rsid w:val="00F673DF"/>
    <w:rsid w:val="00F720A3"/>
    <w:rsid w:val="00F73256"/>
    <w:rsid w:val="00F734C2"/>
    <w:rsid w:val="00F74576"/>
    <w:rsid w:val="00F7710E"/>
    <w:rsid w:val="00F77DCE"/>
    <w:rsid w:val="00F839F1"/>
    <w:rsid w:val="00F92762"/>
    <w:rsid w:val="00FA621D"/>
    <w:rsid w:val="00FA6B2C"/>
    <w:rsid w:val="00FA70ED"/>
    <w:rsid w:val="00FA7232"/>
    <w:rsid w:val="00FB14DB"/>
    <w:rsid w:val="00FB3983"/>
    <w:rsid w:val="00FC0392"/>
    <w:rsid w:val="00FC1665"/>
    <w:rsid w:val="00FC629E"/>
    <w:rsid w:val="00FC6E80"/>
    <w:rsid w:val="00FC7B0D"/>
    <w:rsid w:val="00FD3A41"/>
    <w:rsid w:val="00FD6400"/>
    <w:rsid w:val="00FE3C8C"/>
    <w:rsid w:val="00FE7AA3"/>
    <w:rsid w:val="00FF210C"/>
    <w:rsid w:val="00FF2FC5"/>
    <w:rsid w:val="00FF3F55"/>
    <w:rsid w:val="00FF67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qFormat="1"/>
    <w:lsdException w:name="header" w:uiPriority="99"/>
    <w:lsdException w:name="caption" w:qFormat="1"/>
    <w:lsdException w:name="footnote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aliases w:val="Footnote Text Char Char Char Char Char,Footnote Text Char Char Char Char,Ref. de nota al pie1,FA Fu,texto de nota al pie,Ref. de nota al pie2,Appel note de bas de page,referencia nota al pie,BVI fnr,Footnote symbol,Footnote,FC"/>
    <w:basedOn w:val="Normal"/>
    <w:link w:val="Notedebasdepag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uiPriority w:val="99"/>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Appel note de bas de page Car,referencia nota al pie Car,FC Car"/>
    <w:link w:val="Notedebasdepage"/>
    <w:uiPriority w:val="99"/>
    <w:rsid w:val="00080ED6"/>
    <w:rPr>
      <w:rFonts w:ascii="Verdana" w:eastAsia="Times New Roman" w:hAnsi="Verdana"/>
      <w:lang w:val="es-ES" w:eastAsia="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SansinterligneCar">
    <w:name w:val="Sans interligne Car"/>
    <w:link w:val="Sansinterligne"/>
    <w:uiPriority w:val="1"/>
    <w:locked/>
    <w:rsid w:val="00FA7232"/>
    <w:rPr>
      <w:rFonts w:ascii="Verdana" w:hAnsi="Verdana"/>
      <w:sz w:val="28"/>
      <w:lang w:val="es-ES" w:eastAsia="x-none"/>
    </w:rPr>
  </w:style>
  <w:style w:type="paragraph" w:styleId="Sansinterligne">
    <w:name w:val="No Spacing"/>
    <w:link w:val="SansinterligneCar"/>
    <w:uiPriority w:val="1"/>
    <w:qFormat/>
    <w:rsid w:val="00FA7232"/>
    <w:rPr>
      <w:rFonts w:ascii="Verdana" w:hAnsi="Verdana"/>
      <w:sz w:val="28"/>
      <w:lang w:val="es-ES" w:eastAsia="es-CO"/>
    </w:rPr>
  </w:style>
  <w:style w:type="paragraph" w:customStyle="1" w:styleId="section1">
    <w:name w:val="section1"/>
    <w:basedOn w:val="Normal"/>
    <w:rsid w:val="00635FE7"/>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apple-converted-space">
    <w:name w:val="apple-converted-space"/>
    <w:rsid w:val="00635FE7"/>
  </w:style>
  <w:style w:type="character" w:styleId="lev">
    <w:name w:val="Strong"/>
    <w:uiPriority w:val="22"/>
    <w:qFormat/>
    <w:rsid w:val="00635FE7"/>
    <w:rPr>
      <w:b/>
      <w:bCs/>
    </w:rPr>
  </w:style>
  <w:style w:type="character" w:styleId="Lienhypertexte">
    <w:name w:val="Hyperlink"/>
    <w:uiPriority w:val="99"/>
    <w:unhideWhenUsed/>
    <w:rsid w:val="00635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137769754">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387412801">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9526-81C8-4004-8713-D77BF51B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4566</Words>
  <Characters>25118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Malucimedina</cp:lastModifiedBy>
  <cp:revision>38</cp:revision>
  <cp:lastPrinted>2017-04-24T15:33:00Z</cp:lastPrinted>
  <dcterms:created xsi:type="dcterms:W3CDTF">2017-05-04T15:38:00Z</dcterms:created>
  <dcterms:modified xsi:type="dcterms:W3CDTF">2017-09-08T08:27:00Z</dcterms:modified>
</cp:coreProperties>
</file>