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D5094" w:rsidRPr="00CB549E" w:rsidRDefault="00ED5094" w:rsidP="00ED5094">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6"/>
          <w:szCs w:val="16"/>
          <w:lang w:val="es-CO" w:eastAsia="fr-FR"/>
        </w:rPr>
      </w:pPr>
      <w:r w:rsidRPr="00CB549E">
        <w:rPr>
          <w:rFonts w:asciiTheme="minorHAnsi" w:eastAsia="Calibri" w:hAnsiTheme="minorHAns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B549E">
        <w:rPr>
          <w:rFonts w:asciiTheme="minorHAnsi" w:eastAsia="Calibri" w:hAnsiTheme="minorHAnsi" w:cs="Calibri"/>
          <w:color w:val="222222"/>
          <w:sz w:val="16"/>
          <w:szCs w:val="16"/>
          <w:lang w:val="es-CO" w:eastAsia="fr-FR"/>
        </w:rPr>
        <w:t> </w:t>
      </w:r>
    </w:p>
    <w:p w:rsidR="00ED5094" w:rsidRPr="00D373FB" w:rsidRDefault="00ED5094" w:rsidP="00ED5094">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-17</w:t>
      </w:r>
      <w:r w:rsidR="00FF792B">
        <w:rPr>
          <w:rFonts w:asciiTheme="minorHAnsi" w:hAnsiTheme="minorHAnsi" w:cs="Calibri"/>
          <w:color w:val="222222"/>
          <w:sz w:val="18"/>
          <w:szCs w:val="18"/>
          <w:lang w:val="es-CO" w:eastAsia="fr-FR"/>
        </w:rPr>
        <w:t xml:space="preserve"> de enero de 2018</w:t>
      </w:r>
      <w:bookmarkStart w:id="0" w:name="_GoBack"/>
      <w:bookmarkEnd w:id="0"/>
    </w:p>
    <w:p w:rsidR="00ED5094" w:rsidRPr="00D373FB" w:rsidRDefault="00ED5094" w:rsidP="00ED5094">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ED5094">
        <w:rPr>
          <w:rFonts w:asciiTheme="minorHAnsi" w:eastAsia="Calibri" w:hAnsiTheme="minorHAnsi" w:cs="Calibri"/>
          <w:color w:val="222222"/>
          <w:sz w:val="18"/>
          <w:szCs w:val="18"/>
          <w:lang w:eastAsia="fr-FR"/>
        </w:rPr>
        <w:t>2017-01317-00 (Interna No.1317)</w:t>
      </w:r>
    </w:p>
    <w:p w:rsidR="00ED5094" w:rsidRPr="00D373FB" w:rsidRDefault="00ED5094" w:rsidP="00ED5094">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ED5094">
        <w:rPr>
          <w:rFonts w:asciiTheme="minorHAnsi" w:eastAsia="Calibri" w:hAnsiTheme="minorHAnsi" w:cs="Calibri"/>
          <w:bCs/>
          <w:color w:val="222222"/>
          <w:sz w:val="18"/>
          <w:szCs w:val="18"/>
          <w:lang w:val="es-CO" w:eastAsia="fr-FR"/>
        </w:rPr>
        <w:t>Abel Mauricio Arias Cortés</w:t>
      </w:r>
      <w:r w:rsidRPr="00D373FB">
        <w:rPr>
          <w:rFonts w:asciiTheme="minorHAnsi" w:eastAsia="Calibri" w:hAnsiTheme="minorHAnsi" w:cs="Calibri"/>
          <w:bCs/>
          <w:color w:val="222222"/>
          <w:sz w:val="18"/>
          <w:szCs w:val="18"/>
          <w:lang w:val="es-CO" w:eastAsia="fr-FR"/>
        </w:rPr>
        <w:t>.</w:t>
      </w:r>
    </w:p>
    <w:p w:rsidR="00ED5094" w:rsidRPr="00ED5094" w:rsidRDefault="00ED5094" w:rsidP="00ED5094">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ED5094">
        <w:rPr>
          <w:rFonts w:asciiTheme="minorHAnsi" w:eastAsia="Calibri" w:hAnsiTheme="minorHAnsi" w:cs="Calibri"/>
          <w:bCs/>
          <w:color w:val="222222"/>
          <w:sz w:val="18"/>
          <w:szCs w:val="18"/>
          <w:lang w:val="es-CO" w:eastAsia="fr-FR"/>
        </w:rPr>
        <w:t>Juzgado Segundo Civil del Circuito de Pereira</w:t>
      </w:r>
    </w:p>
    <w:p w:rsidR="00ED5094" w:rsidRDefault="00ED5094" w:rsidP="00ED5094">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val="es-CO" w:eastAsia="fr-FR"/>
        </w:rPr>
        <w:t>Vinculado (s)</w:t>
      </w:r>
      <w:r w:rsidRPr="00ED5094">
        <w:rPr>
          <w:rFonts w:asciiTheme="minorHAnsi" w:eastAsia="Calibri" w:hAnsiTheme="minorHAnsi" w:cs="Calibri"/>
          <w:bCs/>
          <w:color w:val="222222"/>
          <w:sz w:val="18"/>
          <w:szCs w:val="18"/>
          <w:lang w:val="es-CO" w:eastAsia="fr-FR"/>
        </w:rPr>
        <w:t>:</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ED5094">
        <w:rPr>
          <w:rFonts w:asciiTheme="minorHAnsi" w:eastAsia="Calibri" w:hAnsiTheme="minorHAnsi" w:cs="Calibri"/>
          <w:bCs/>
          <w:color w:val="222222"/>
          <w:sz w:val="18"/>
          <w:szCs w:val="18"/>
          <w:lang w:val="es-CO" w:eastAsia="fr-FR"/>
        </w:rPr>
        <w:t>Juzgado Octavo Civil Municipal de Pereira y otra</w:t>
      </w:r>
    </w:p>
    <w:p w:rsidR="00ED5094" w:rsidRPr="00D373FB" w:rsidRDefault="00ED5094" w:rsidP="00ED5094">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ED5094" w:rsidRPr="00D373FB" w:rsidRDefault="00ED5094" w:rsidP="00ED5094">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ED5094" w:rsidRPr="00D373FB" w:rsidRDefault="00ED5094" w:rsidP="00ED5094">
      <w:pPr>
        <w:shd w:val="clear" w:color="auto" w:fill="FFFFFF"/>
        <w:ind w:left="2124" w:hanging="2124"/>
        <w:jc w:val="both"/>
        <w:rPr>
          <w:rFonts w:asciiTheme="minorHAnsi" w:eastAsia="Calibri" w:hAnsiTheme="minorHAnsi" w:cs="Calibri"/>
          <w:bCs/>
          <w:iCs/>
          <w:color w:val="222222"/>
          <w:sz w:val="18"/>
          <w:szCs w:val="18"/>
          <w:lang w:val="es-CO" w:eastAsia="fr-FR"/>
        </w:rPr>
      </w:pPr>
    </w:p>
    <w:p w:rsidR="00ED5094" w:rsidRDefault="00ED5094" w:rsidP="00ED5094">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RESOLUCIÓN DE CONTRATO DE COMPRAVENTA </w:t>
      </w:r>
      <w:r w:rsidR="000C3B39">
        <w:rPr>
          <w:rFonts w:asciiTheme="minorHAnsi" w:hAnsiTheme="minorHAnsi"/>
          <w:b/>
          <w:sz w:val="18"/>
          <w:szCs w:val="18"/>
          <w:lang w:val="es-CO" w:eastAsia="fr-FR"/>
        </w:rPr>
        <w:t xml:space="preserve">/ INEXISTENCIA DEFECTO SUSTANCIAL / INEXISTENCIA </w:t>
      </w:r>
      <w:r>
        <w:rPr>
          <w:rFonts w:asciiTheme="minorHAnsi" w:hAnsiTheme="minorHAnsi"/>
          <w:b/>
          <w:sz w:val="18"/>
          <w:szCs w:val="18"/>
          <w:lang w:val="es-CO" w:eastAsia="fr-FR"/>
        </w:rPr>
        <w:t>DE DEFECTO FÁCTICO /</w:t>
      </w:r>
      <w:r w:rsidR="000C3B39">
        <w:rPr>
          <w:rFonts w:asciiTheme="minorHAnsi" w:hAnsiTheme="minorHAnsi"/>
          <w:b/>
          <w:sz w:val="18"/>
          <w:szCs w:val="18"/>
          <w:lang w:val="es-CO" w:eastAsia="fr-FR"/>
        </w:rPr>
        <w:t xml:space="preserve"> NO DESCONOCIÓ EL PRECEDENTE /  </w:t>
      </w:r>
      <w:r>
        <w:rPr>
          <w:rFonts w:asciiTheme="minorHAnsi" w:hAnsiTheme="minorHAnsi"/>
          <w:b/>
          <w:sz w:val="18"/>
          <w:szCs w:val="18"/>
          <w:lang w:val="es-CO" w:eastAsia="fr-FR"/>
        </w:rPr>
        <w:t>NIEGA</w:t>
      </w:r>
      <w:r w:rsidR="000C3B39">
        <w:rPr>
          <w:rFonts w:asciiTheme="minorHAnsi" w:hAnsiTheme="minorHAnsi"/>
          <w:b/>
          <w:sz w:val="18"/>
          <w:szCs w:val="18"/>
          <w:lang w:val="es-CO" w:eastAsia="fr-FR"/>
        </w:rPr>
        <w:t xml:space="preserve"> - </w:t>
      </w:r>
      <w:r w:rsidRPr="00ED5094">
        <w:rPr>
          <w:rFonts w:asciiTheme="minorHAnsi" w:hAnsiTheme="minorHAnsi"/>
          <w:sz w:val="18"/>
          <w:szCs w:val="18"/>
          <w:lang w:val="es-CO" w:eastAsia="fr-FR"/>
        </w:rPr>
        <w:t>Refirió el actor que promovió demanda ordinaria de resolución de contrato de compraventa contra la señora Yolanda Vásquez, radicada al No.2014-00346-00, ante el Juzgado Octavo Civil Municipal de Pereira, quien profirió sentencia estimatoria de las pretensiones; apelada por la demandada, se revocó por el Juzgado Segundo Civil del Circuito de Pereira mediante fallo carente de motivación, de valoración probatoria y de aplicación normativa, como el artículo 1609 del CC, y ni siquiera se tuvo en cuenta la jurisprudencia referida por el a quo</w:t>
      </w:r>
    </w:p>
    <w:p w:rsidR="00ED5094" w:rsidRDefault="000C3B39" w:rsidP="00ED5094">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0C3B39" w:rsidRDefault="000C3B39" w:rsidP="00ED5094">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De tiempo atrás y en forma reiterada la doctrina  y la jurisprudencia - - -  hacen consistir los requisitos de la acción resolutoria en: (i) Demostración del negocio jurídico bilateral, del cual se pretende la resolución, como convenio válido entre las partes; (ii) Acreditación del cumplimiento de las prestaciones que correspondían al demandante, es decir, que pueda calificarse como cumplidor de los deberes que le impone la convención o cuando menos se haya allanado a cumplirlos en la forma y tiempo debidos; y, (iii) Allegar la prueba del incumplimiento del demandado, sea total o parcial, de las obligaciones contraídas en el pacto.</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Ahora, dispone el artículo 1546 del CC, que la acción dirigida a obtener la ejecución de un contrato o su resolución, exige que el demandante haya cumplido las obligaciones a su cargo. Por su parte, el artículo 1609 ídem, advierte que en los contratos bilaterales ninguno de los contratantes está en mora por dejar de cumplir sus obligaciones si el otro no ha cumplido o se ha allanado a hacerlo en la forma pactada, ello siempre que se trate de simultaneidad en la exigibilidad mutua o para cuando el demandante tenía a su cargo una obligación que ha debido cumplir previamente.</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Las normas propenden por exigirle al que reclama una obligación contractual, que previamente haya cumplido las que le son exigibles, antes que las que reclama, y que simultáneamente debe hacerlo con otras, igualmente las cumpla o se allane a hacerlo. Es decir, no le está dado al demandante pedirle al otro contratante el cumplimiento de una obligación contractual si por su parte ha incumplido con las suyas y están vencidas o debe cumplirlas simultáneamente con las que reclama en la demanda.</w:t>
      </w:r>
    </w:p>
    <w:p w:rsidR="000C3B39" w:rsidRPr="000C3B39" w:rsidRDefault="000C3B39" w:rsidP="000C3B39">
      <w:pPr>
        <w:pStyle w:val="Sinespaciado"/>
        <w:jc w:val="both"/>
        <w:rPr>
          <w:rFonts w:asciiTheme="minorHAnsi" w:hAnsiTheme="minorHAnsi"/>
          <w:sz w:val="18"/>
          <w:szCs w:val="18"/>
          <w:lang w:val="es-CO" w:eastAsia="fr-FR"/>
        </w:rPr>
      </w:pPr>
    </w:p>
    <w:p w:rsidR="00ED5094"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Conforme a las premisas jurisprudenciales y normas referidas, considera esta Magistratura que el despacho judicial accionado, en manera alguna incurrió en el defecto sustancial endilgado.</w:t>
      </w:r>
    </w:p>
    <w:p w:rsidR="000C3B39" w:rsidRDefault="000C3B39" w:rsidP="00ED5094">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0C3B39" w:rsidRDefault="000C3B39" w:rsidP="00ED5094">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A este respecto la Sala también advierte la inexistencia de vulneración o amenaza de los derechos; el accionado guió su decisión según la verificación de los presupuestos de la pretensión resolutoria y la centró en el incumplimiento de una de las prestaciones que le correspondían al demandante, consistente en el arribo a la Notaría por fuera de la hora convenida en la promesa de compraventa, circunstancia que fue reconocida en la demanda introductoria (Hecho 6º) (Disco compacto visible a folio 44, ib.); también se colige del acta No.2 de la Notaría 4ª del Circulo de Pereira (Disco compacto visible a folio 44, ib.); inclusive, se reitera en el petitorio de esta tutela (Hecho 6) (Folio 3, ib.).</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 xml:space="preserve">Así entonces, resultaba inane analizar el restante material probatorio dirigido a demostrar el incumplimiento contractual de la parte pasiva, pues, como se aludió en precedencia, y bien lo enunció el juez accionado, la pretensión resolutoria está en manos del contratante cumplido. </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Al decir de la CSJ : “(…) este derecho únicamente puede ser ejercido en forma típica y peculiar por quien ha cumplido sus obligaciones o se allanó a cumplirlas y como prerrogativa a su arbitrio, siguiendo el programa contractual estipulado en el tiempo y en la forma convenida (…)”. “(…) Si quien demanda o reconviene la resolución contractual, ha sido incumplido, a tono con la doctrina mayoritaria fulge indiscutido, no satisface el segundo presupuesto anunciado; y por lo tanto, la faena dará al traste, porque la acción se edifica como privilegio intrínseco del contratante cumplido, en contra de quien contravino el acuerdo, (…)”. Criterio acogido por esta Sala del Tribunal Superior .</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Tampoco puede afirmarse que el accionado deliberadamente haya omitido considerar el restante material probatorio, pues era innecesario hacerlo, si en cuenta se tiene que las demás pruebas en el asunto estaban orientadas a demostrar el incumplimiento de la contraparte, actividad inocua a la luz de lo previamente comprobado.</w:t>
      </w:r>
    </w:p>
    <w:p w:rsidR="000C3B39" w:rsidRDefault="000C3B39" w:rsidP="00ED5094">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0C3B39" w:rsidRDefault="000C3B39" w:rsidP="00ED5094">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Recuérdese que la jurisprudencia de la CSJ “(…) tiene fuerza de precedente y se encarga no solo de trazar unas directrices dentro de la respectiva jurisdicción (civil, penal, laboral), sino también de ofrecer una garantía de que las decisiones judiciales se basen en una interpretación razonable del marco legal establecido (…)” .</w:t>
      </w: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 xml:space="preserve"> </w:t>
      </w: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 xml:space="preserve">Así las cosas, como la decisión cuestionada fue tomada por un juez en ejercicio de su jurisdicción civil, debía entonces acatar la doctrina jurisprudencial que su órgano de cierre (Precedente vertical) haya instituido en materia de resolución contractual, salvo que, haya tenido razones suficientes para apartarse y referidas en su decisión. </w:t>
      </w:r>
    </w:p>
    <w:p w:rsidR="000C3B39" w:rsidRPr="000C3B39" w:rsidRDefault="000C3B39" w:rsidP="000C3B39">
      <w:pPr>
        <w:pStyle w:val="Sinespaciado"/>
        <w:jc w:val="both"/>
        <w:rPr>
          <w:rFonts w:asciiTheme="minorHAnsi" w:hAnsiTheme="minorHAnsi"/>
          <w:sz w:val="18"/>
          <w:szCs w:val="18"/>
          <w:lang w:val="es-CO" w:eastAsia="fr-FR"/>
        </w:rPr>
      </w:pPr>
    </w:p>
    <w:p w:rsidR="000C3B39" w:rsidRP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 xml:space="preserve">En el fallo cuestionado el juez tuvo a bien considerar el postulado contenido en la sentencia del 01-12-1993, exp.4022, de la que acogió el alcance interpretativo que se hizo del artículo 1546 del CC, en el sentido de que el contratante incumplido carece del </w:t>
      </w:r>
      <w:r w:rsidRPr="000C3B39">
        <w:rPr>
          <w:rFonts w:asciiTheme="minorHAnsi" w:hAnsiTheme="minorHAnsi"/>
          <w:sz w:val="18"/>
          <w:szCs w:val="18"/>
          <w:lang w:val="es-CO" w:eastAsia="fr-FR"/>
        </w:rPr>
        <w:lastRenderedPageBreak/>
        <w:t xml:space="preserve">derecho de resolución contractual. </w:t>
      </w:r>
    </w:p>
    <w:p w:rsidR="000C3B39" w:rsidRPr="000C3B39" w:rsidRDefault="000C3B39" w:rsidP="000C3B39">
      <w:pPr>
        <w:pStyle w:val="Sinespaciado"/>
        <w:jc w:val="both"/>
        <w:rPr>
          <w:rFonts w:asciiTheme="minorHAnsi" w:hAnsiTheme="minorHAnsi"/>
          <w:sz w:val="18"/>
          <w:szCs w:val="18"/>
          <w:lang w:val="es-CO" w:eastAsia="fr-FR"/>
        </w:rPr>
      </w:pPr>
    </w:p>
    <w:p w:rsidR="000C3B39" w:rsidRDefault="000C3B39" w:rsidP="000C3B39">
      <w:pPr>
        <w:pStyle w:val="Sinespaciado"/>
        <w:jc w:val="both"/>
        <w:rPr>
          <w:rFonts w:asciiTheme="minorHAnsi" w:hAnsiTheme="minorHAnsi"/>
          <w:sz w:val="18"/>
          <w:szCs w:val="18"/>
          <w:lang w:val="es-CO" w:eastAsia="fr-FR"/>
        </w:rPr>
      </w:pPr>
      <w:r w:rsidRPr="000C3B39">
        <w:rPr>
          <w:rFonts w:asciiTheme="minorHAnsi" w:hAnsiTheme="minorHAnsi"/>
          <w:sz w:val="18"/>
          <w:szCs w:val="18"/>
          <w:lang w:val="es-CO" w:eastAsia="fr-FR"/>
        </w:rPr>
        <w:t>Esta decisión sin actualizar, contiene criterios vigentes y reiterados por la CSJ en el fallo SC4420-2014. Incluso existe precedente horizontal de esta misma Sala , en la que se prohíjan.  Es inexistente entonces defecto</w:t>
      </w:r>
    </w:p>
    <w:p w:rsidR="000C3B39" w:rsidRDefault="000C3B39" w:rsidP="00ED5094">
      <w:pPr>
        <w:pStyle w:val="Sinespaciado"/>
        <w:jc w:val="both"/>
        <w:rPr>
          <w:rFonts w:asciiTheme="minorHAnsi" w:hAnsiTheme="minorHAnsi"/>
          <w:sz w:val="18"/>
          <w:szCs w:val="18"/>
          <w:lang w:val="es-CO" w:eastAsia="fr-FR"/>
        </w:rPr>
      </w:pPr>
    </w:p>
    <w:p w:rsidR="00ED5094" w:rsidRPr="00E13E13" w:rsidRDefault="00ED5094" w:rsidP="00ED5094">
      <w:pPr>
        <w:pStyle w:val="Sinespaciado"/>
        <w:jc w:val="both"/>
        <w:rPr>
          <w:rFonts w:asciiTheme="minorHAnsi" w:hAnsiTheme="minorHAnsi"/>
          <w:sz w:val="18"/>
          <w:szCs w:val="18"/>
          <w:lang w:val="es-CO" w:eastAsia="fr-FR"/>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Abel Mauricio Arias Cortés</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Juzgado Segundo Civil del Circuito de Pereira</w:t>
      </w:r>
    </w:p>
    <w:p w:rsidR="00A00766" w:rsidRPr="001E5B6B" w:rsidRDefault="00A00766" w:rsidP="00A00766">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2513D1">
        <w:rPr>
          <w:rFonts w:ascii="Georgia" w:hAnsi="Georgia" w:cs="Arial"/>
          <w:sz w:val="22"/>
          <w:szCs w:val="22"/>
        </w:rPr>
        <w:t>Juzgado Octavo Civil Municipal de Pereira y otra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5118AB" w:rsidRPr="001E5B6B">
        <w:rPr>
          <w:rFonts w:ascii="Georgia" w:hAnsi="Georgia" w:cs="Arial"/>
          <w:sz w:val="22"/>
        </w:rPr>
        <w:t>201</w:t>
      </w:r>
      <w:r w:rsidR="00370887" w:rsidRPr="001E5B6B">
        <w:rPr>
          <w:rFonts w:ascii="Georgia" w:hAnsi="Georgia" w:cs="Arial"/>
          <w:sz w:val="22"/>
        </w:rPr>
        <w:t>7</w:t>
      </w:r>
      <w:r w:rsidR="005118AB" w:rsidRPr="001E5B6B">
        <w:rPr>
          <w:rFonts w:ascii="Georgia" w:hAnsi="Georgia" w:cs="Arial"/>
          <w:sz w:val="22"/>
        </w:rPr>
        <w:t>-</w:t>
      </w:r>
      <w:r w:rsidR="002513D1">
        <w:rPr>
          <w:rFonts w:ascii="Georgia" w:hAnsi="Georgia" w:cs="Arial"/>
          <w:sz w:val="22"/>
        </w:rPr>
        <w:t>01317</w:t>
      </w:r>
      <w:r w:rsidR="000E7284" w:rsidRPr="001E5B6B">
        <w:rPr>
          <w:rFonts w:ascii="Georgia" w:hAnsi="Georgia" w:cs="Arial"/>
          <w:sz w:val="22"/>
        </w:rPr>
        <w:t>-00</w:t>
      </w:r>
      <w:r w:rsidR="007949D4" w:rsidRPr="001E5B6B">
        <w:rPr>
          <w:rFonts w:ascii="Georgia" w:hAnsi="Georgia" w:cs="Arial"/>
          <w:sz w:val="22"/>
        </w:rPr>
        <w:t xml:space="preserve"> </w:t>
      </w:r>
      <w:r w:rsidR="00CC4186" w:rsidRPr="001E5B6B">
        <w:rPr>
          <w:rFonts w:ascii="Georgia" w:hAnsi="Georgia" w:cs="Arial"/>
          <w:sz w:val="22"/>
        </w:rPr>
        <w:t>(Interna No.</w:t>
      </w:r>
      <w:r w:rsidR="002513D1">
        <w:rPr>
          <w:rFonts w:ascii="Georgia" w:hAnsi="Georgia" w:cs="Arial"/>
          <w:sz w:val="22"/>
        </w:rPr>
        <w:t>1317</w:t>
      </w:r>
      <w:r w:rsidR="00CC4186" w:rsidRPr="001E5B6B">
        <w:rPr>
          <w:rFonts w:ascii="Georgia" w:hAnsi="Georgia" w:cs="Arial"/>
          <w:sz w:val="22"/>
        </w:rPr>
        <w:t>)</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5118AB" w:rsidRPr="001E5B6B">
        <w:rPr>
          <w:rFonts w:ascii="Georgia" w:hAnsi="Georgia" w:cs="Arial"/>
          <w:sz w:val="22"/>
          <w:szCs w:val="22"/>
        </w:rPr>
        <w:t>Defecto</w:t>
      </w:r>
      <w:r w:rsidR="002B4A4A">
        <w:rPr>
          <w:rFonts w:ascii="Georgia" w:hAnsi="Georgia" w:cs="Arial"/>
          <w:sz w:val="22"/>
          <w:szCs w:val="22"/>
        </w:rPr>
        <w:t>s</w:t>
      </w:r>
      <w:r w:rsidR="005118AB" w:rsidRPr="001E5B6B">
        <w:rPr>
          <w:rFonts w:ascii="Georgia" w:hAnsi="Georgia" w:cs="Arial"/>
          <w:sz w:val="22"/>
          <w:szCs w:val="22"/>
        </w:rPr>
        <w:t xml:space="preserve"> </w:t>
      </w:r>
      <w:r w:rsidR="009465CB">
        <w:rPr>
          <w:rFonts w:ascii="Georgia" w:hAnsi="Georgia" w:cs="Arial"/>
          <w:sz w:val="22"/>
          <w:szCs w:val="22"/>
        </w:rPr>
        <w:t xml:space="preserve">factico, </w:t>
      </w:r>
      <w:r w:rsidR="002B4A4A">
        <w:rPr>
          <w:rFonts w:ascii="Georgia" w:hAnsi="Georgia" w:cs="Arial"/>
          <w:sz w:val="22"/>
          <w:szCs w:val="22"/>
        </w:rPr>
        <w:t>sustantivo</w:t>
      </w:r>
      <w:r w:rsidR="000C4396" w:rsidRPr="00334FE8">
        <w:rPr>
          <w:rFonts w:ascii="Georgia" w:hAnsi="Georgia" w:cs="Arial"/>
          <w:sz w:val="22"/>
          <w:szCs w:val="21"/>
        </w:rPr>
        <w:t xml:space="preserve"> </w:t>
      </w:r>
      <w:r w:rsidR="009465CB">
        <w:rPr>
          <w:rFonts w:ascii="Georgia" w:hAnsi="Georgia" w:cs="Arial"/>
          <w:sz w:val="22"/>
          <w:szCs w:val="21"/>
        </w:rPr>
        <w:t>y precedente judicial</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r w:rsidR="0099045D" w:rsidRPr="001E5B6B">
        <w:rPr>
          <w:rFonts w:ascii="Georgia" w:hAnsi="Georgia"/>
          <w:smallCaps/>
          <w:sz w:val="22"/>
          <w:szCs w:val="22"/>
        </w:rPr>
        <w:t>Duberney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9404D7">
        <w:rPr>
          <w:rFonts w:ascii="Georgia" w:hAnsi="Georgia"/>
          <w:sz w:val="22"/>
          <w:szCs w:val="22"/>
        </w:rPr>
        <w:t>3</w:t>
      </w:r>
      <w:r w:rsidR="002513D1">
        <w:rPr>
          <w:rFonts w:ascii="Georgia" w:hAnsi="Georgia"/>
          <w:sz w:val="22"/>
          <w:szCs w:val="22"/>
        </w:rPr>
        <w:t xml:space="preserve"> </w:t>
      </w:r>
      <w:r w:rsidR="001236E9">
        <w:rPr>
          <w:rFonts w:ascii="Georgia" w:hAnsi="Georgia"/>
          <w:sz w:val="22"/>
          <w:szCs w:val="22"/>
        </w:rPr>
        <w:t xml:space="preserve">del </w:t>
      </w:r>
      <w:r w:rsidR="009404D7">
        <w:rPr>
          <w:rFonts w:ascii="Georgia" w:hAnsi="Georgia"/>
          <w:sz w:val="22"/>
          <w:szCs w:val="22"/>
        </w:rPr>
        <w:t>17</w:t>
      </w:r>
      <w:r w:rsidR="002513D1">
        <w:rPr>
          <w:rFonts w:ascii="Georgia" w:hAnsi="Georgia"/>
          <w:sz w:val="22"/>
          <w:szCs w:val="22"/>
        </w:rPr>
        <w:t>-01-2018</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9404D7">
        <w:rPr>
          <w:rFonts w:ascii="Georgia" w:hAnsi="Georgia" w:cs="Arial"/>
          <w:iCs/>
          <w:smallCaps/>
          <w:sz w:val="28"/>
          <w:szCs w:val="28"/>
          <w:lang w:val="es-CO"/>
        </w:rPr>
        <w:t xml:space="preserve">diecisiete </w:t>
      </w:r>
      <w:r w:rsidRPr="001E5B6B">
        <w:rPr>
          <w:rFonts w:ascii="Georgia" w:hAnsi="Georgia" w:cs="Arial"/>
          <w:iCs/>
          <w:smallCaps/>
          <w:sz w:val="28"/>
          <w:szCs w:val="28"/>
          <w:lang w:val="es-CO"/>
        </w:rPr>
        <w:t>(</w:t>
      </w:r>
      <w:r w:rsidR="009404D7">
        <w:rPr>
          <w:rFonts w:ascii="Georgia" w:hAnsi="Georgia" w:cs="Arial"/>
          <w:iCs/>
          <w:smallCaps/>
          <w:sz w:val="28"/>
          <w:szCs w:val="28"/>
          <w:lang w:val="es-CO"/>
        </w:rPr>
        <w:t>17</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2513D1">
        <w:rPr>
          <w:rFonts w:ascii="Georgia" w:hAnsi="Georgia" w:cs="Arial"/>
          <w:iCs/>
          <w:smallCaps/>
          <w:sz w:val="28"/>
          <w:szCs w:val="28"/>
          <w:lang w:val="es-CO"/>
        </w:rPr>
        <w:t xml:space="preserve">enero </w:t>
      </w:r>
      <w:r w:rsidRPr="001E5B6B">
        <w:rPr>
          <w:rFonts w:ascii="Georgia" w:hAnsi="Georgia" w:cs="Arial"/>
          <w:iCs/>
          <w:smallCaps/>
          <w:sz w:val="28"/>
          <w:szCs w:val="28"/>
          <w:lang w:val="es-CO"/>
        </w:rPr>
        <w:t xml:space="preserve">de dos mil </w:t>
      </w:r>
      <w:r w:rsidR="002513D1">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3B216F">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9404D7" w:rsidRDefault="000147A2" w:rsidP="001E5C81">
      <w:pPr>
        <w:spacing w:line="360" w:lineRule="auto"/>
        <w:ind w:left="708" w:firstLine="708"/>
        <w:rPr>
          <w:rFonts w:ascii="Georgia" w:hAnsi="Georgia" w:cs="Arial"/>
          <w:b/>
          <w:bCs/>
          <w:sz w:val="20"/>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9404D7"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DB41DC" w:rsidRPr="006B3213" w:rsidRDefault="00AD1C9C" w:rsidP="00DB41DC">
      <w:pPr>
        <w:spacing w:line="360" w:lineRule="auto"/>
        <w:jc w:val="both"/>
        <w:rPr>
          <w:rFonts w:ascii="Georgia" w:hAnsi="Georgia" w:cs="Arial"/>
          <w:i/>
          <w:lang w:val="es-CO"/>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w:t>
      </w:r>
      <w:r w:rsidR="002513D1">
        <w:rPr>
          <w:rFonts w:ascii="Georgia" w:hAnsi="Georgia" w:cs="Arial"/>
          <w:lang w:val="es-CO"/>
        </w:rPr>
        <w:t xml:space="preserve">que promovió demanda ordinaria de resolución de contrato </w:t>
      </w:r>
      <w:r w:rsidR="002B4A4A">
        <w:rPr>
          <w:rFonts w:ascii="Georgia" w:hAnsi="Georgia" w:cs="Arial"/>
          <w:lang w:val="es-CO"/>
        </w:rPr>
        <w:t xml:space="preserve">de </w:t>
      </w:r>
      <w:r w:rsidR="002513D1">
        <w:rPr>
          <w:rFonts w:ascii="Georgia" w:hAnsi="Georgia" w:cs="Arial"/>
          <w:lang w:val="es-CO"/>
        </w:rPr>
        <w:t>compraventa contra la señora Yolanda Vásquez, radicada al No.2014-00346-00, ante el Juzgado Octavo Civil Municipal de Pereira</w:t>
      </w:r>
      <w:r w:rsidR="009F2716">
        <w:rPr>
          <w:rFonts w:ascii="Georgia" w:hAnsi="Georgia" w:cs="Arial"/>
          <w:lang w:val="es-CO"/>
        </w:rPr>
        <w:t xml:space="preserve">, quien profirió sentencia estimatoria </w:t>
      </w:r>
      <w:r w:rsidR="002513D1">
        <w:rPr>
          <w:rFonts w:ascii="Georgia" w:hAnsi="Georgia" w:cs="Arial"/>
          <w:lang w:val="es-CO"/>
        </w:rPr>
        <w:t xml:space="preserve">de las pretensiones; apelada por la demandada, </w:t>
      </w:r>
      <w:r w:rsidR="00065666">
        <w:rPr>
          <w:rFonts w:ascii="Georgia" w:hAnsi="Georgia" w:cs="Arial"/>
          <w:lang w:val="es-CO"/>
        </w:rPr>
        <w:t xml:space="preserve">se revocó </w:t>
      </w:r>
      <w:r w:rsidR="002513D1">
        <w:rPr>
          <w:rFonts w:ascii="Georgia" w:hAnsi="Georgia" w:cs="Arial"/>
          <w:lang w:val="es-CO"/>
        </w:rPr>
        <w:t xml:space="preserve">por el Juzgado Segundo Civil del Circuito de Pereira </w:t>
      </w:r>
      <w:r w:rsidR="009F2716">
        <w:rPr>
          <w:rFonts w:ascii="Georgia" w:hAnsi="Georgia" w:cs="Arial"/>
          <w:lang w:val="es-CO"/>
        </w:rPr>
        <w:t xml:space="preserve">mediante fallo </w:t>
      </w:r>
      <w:r w:rsidR="00065666">
        <w:rPr>
          <w:rFonts w:ascii="Georgia" w:hAnsi="Georgia" w:cs="Arial"/>
          <w:lang w:val="es-CO"/>
        </w:rPr>
        <w:t xml:space="preserve">carente de motivación, de valoración probatoria </w:t>
      </w:r>
      <w:r w:rsidR="0045116A">
        <w:rPr>
          <w:rFonts w:ascii="Georgia" w:hAnsi="Georgia" w:cs="Arial"/>
          <w:lang w:val="es-CO"/>
        </w:rPr>
        <w:t xml:space="preserve">y </w:t>
      </w:r>
      <w:r w:rsidR="00065666">
        <w:rPr>
          <w:rFonts w:ascii="Georgia" w:hAnsi="Georgia" w:cs="Arial"/>
          <w:lang w:val="es-CO"/>
        </w:rPr>
        <w:t>de aplicación normativa</w:t>
      </w:r>
      <w:r w:rsidR="009F2716">
        <w:rPr>
          <w:rFonts w:ascii="Georgia" w:hAnsi="Georgia" w:cs="Arial"/>
          <w:lang w:val="es-CO"/>
        </w:rPr>
        <w:t>,</w:t>
      </w:r>
      <w:r w:rsidR="00065666">
        <w:rPr>
          <w:rFonts w:ascii="Georgia" w:hAnsi="Georgia" w:cs="Arial"/>
          <w:lang w:val="es-CO"/>
        </w:rPr>
        <w:t xml:space="preserve"> como el artículo 1609 del CC</w:t>
      </w:r>
      <w:r w:rsidR="009F2716">
        <w:rPr>
          <w:rFonts w:ascii="Georgia" w:hAnsi="Georgia" w:cs="Arial"/>
          <w:lang w:val="es-CO"/>
        </w:rPr>
        <w:t>,</w:t>
      </w:r>
      <w:r w:rsidR="00065666">
        <w:rPr>
          <w:rFonts w:ascii="Georgia" w:hAnsi="Georgia" w:cs="Arial"/>
          <w:lang w:val="es-CO"/>
        </w:rPr>
        <w:t xml:space="preserve"> </w:t>
      </w:r>
      <w:r w:rsidR="0045116A">
        <w:rPr>
          <w:rFonts w:ascii="Georgia" w:hAnsi="Georgia" w:cs="Arial"/>
          <w:lang w:val="es-CO"/>
        </w:rPr>
        <w:t xml:space="preserve">y ni siquiera se tuvo en cuenta </w:t>
      </w:r>
      <w:r w:rsidR="00065666">
        <w:rPr>
          <w:rFonts w:ascii="Georgia" w:hAnsi="Georgia" w:cs="Arial"/>
          <w:lang w:val="es-CO"/>
        </w:rPr>
        <w:t xml:space="preserve">la jurisprudencia referida por el </w:t>
      </w:r>
      <w:r w:rsidR="00065666" w:rsidRPr="00065666">
        <w:rPr>
          <w:rFonts w:ascii="Georgia" w:hAnsi="Georgia" w:cs="Arial"/>
          <w:i/>
          <w:lang w:val="es-CO"/>
        </w:rPr>
        <w:t>a quo</w:t>
      </w:r>
      <w:r w:rsidR="00540F2D">
        <w:rPr>
          <w:rFonts w:ascii="Georgia" w:hAnsi="Georgia" w:cs="Arial"/>
          <w:lang w:val="es-CO"/>
        </w:rPr>
        <w:t xml:space="preserve"> </w:t>
      </w:r>
      <w:r w:rsidR="00F009CB" w:rsidRPr="001E5B6B">
        <w:rPr>
          <w:rFonts w:ascii="Georgia" w:hAnsi="Georgia" w:cs="Arial"/>
        </w:rPr>
        <w:t>(Folio</w:t>
      </w:r>
      <w:r w:rsidR="00540F2D">
        <w:rPr>
          <w:rFonts w:ascii="Georgia" w:hAnsi="Georgia" w:cs="Arial"/>
        </w:rPr>
        <w:t>s 2 a 7</w:t>
      </w:r>
      <w:r w:rsidR="00EF2286" w:rsidRPr="001E5B6B">
        <w:rPr>
          <w:rFonts w:ascii="Georgia" w:hAnsi="Georgia" w:cs="Arial"/>
        </w:rPr>
        <w:t>,</w:t>
      </w:r>
      <w:r w:rsidR="00DB41DC" w:rsidRPr="001E5B6B">
        <w:rPr>
          <w:rFonts w:ascii="Georgia" w:hAnsi="Georgia" w:cs="Arial"/>
        </w:rPr>
        <w:t xml:space="preserve"> de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w:t>
      </w:r>
      <w:r w:rsidR="00540F2D">
        <w:rPr>
          <w:rFonts w:ascii="Georgia" w:hAnsi="Georgia" w:cs="Arial"/>
          <w:spacing w:val="-3"/>
          <w:lang w:val="es-ES_tradnl"/>
        </w:rPr>
        <w:t xml:space="preserve">correcta administración de justicia </w:t>
      </w:r>
      <w:r w:rsidR="004A4E9F" w:rsidRPr="001E5B6B">
        <w:rPr>
          <w:rFonts w:ascii="Georgia" w:hAnsi="Georgia" w:cs="Arial"/>
          <w:spacing w:val="-3"/>
          <w:lang w:val="es-ES_tradnl"/>
        </w:rPr>
        <w:t xml:space="preserve">(Folio </w:t>
      </w:r>
      <w:r w:rsidR="00540F2D">
        <w:rPr>
          <w:rFonts w:ascii="Georgia" w:hAnsi="Georgia" w:cs="Arial"/>
          <w:spacing w:val="-3"/>
          <w:lang w:val="es-ES_tradnl"/>
        </w:rPr>
        <w:t>1</w:t>
      </w:r>
      <w:r w:rsidR="000E7284" w:rsidRPr="001E5B6B">
        <w:rPr>
          <w:rFonts w:ascii="Georgia" w:hAnsi="Georgia" w:cs="Arial"/>
          <w:spacing w:val="-3"/>
          <w:lang w:val="es-ES_tradnl"/>
        </w:rPr>
        <w:t xml:space="preserve">, </w:t>
      </w:r>
      <w:r w:rsidR="00CD73B4" w:rsidRPr="001E5B6B">
        <w:rPr>
          <w:rFonts w:ascii="Georgia" w:hAnsi="Georgia" w:cs="Arial"/>
          <w:spacing w:val="-3"/>
          <w:lang w:val="es-ES_tradnl"/>
        </w:rPr>
        <w:t xml:space="preserve">de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lastRenderedPageBreak/>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ordene al </w:t>
      </w:r>
      <w:r w:rsidR="005206D2" w:rsidRPr="001E5B6B">
        <w:rPr>
          <w:rFonts w:ascii="Georgia" w:hAnsi="Georgia" w:cs="Arial"/>
        </w:rPr>
        <w:t xml:space="preserve">Juzgado </w:t>
      </w:r>
      <w:r w:rsidRPr="001E5B6B">
        <w:rPr>
          <w:rFonts w:ascii="Georgia" w:hAnsi="Georgia" w:cs="Arial"/>
        </w:rPr>
        <w:t>accionado</w:t>
      </w:r>
      <w:r w:rsidR="005206D2" w:rsidRPr="001E5B6B">
        <w:rPr>
          <w:rFonts w:ascii="Georgia" w:hAnsi="Georgia" w:cs="Arial"/>
        </w:rPr>
        <w:t xml:space="preserve"> </w:t>
      </w:r>
      <w:r w:rsidR="00540F2D">
        <w:rPr>
          <w:rFonts w:ascii="Georgia" w:hAnsi="Georgia" w:cs="Arial"/>
        </w:rPr>
        <w:t>dejar sin efectos la sentencia de segunda instancia datada el 09-06-2017 y profiera una nueva que consulte los parámetros legales, jurisprudenciales, doctrinarios y constitucionales confirmando la decisión apelada (Folio</w:t>
      </w:r>
      <w:r w:rsidR="00F578D6">
        <w:rPr>
          <w:rFonts w:ascii="Georgia" w:hAnsi="Georgia" w:cs="Arial"/>
        </w:rPr>
        <w:t xml:space="preserve"> </w:t>
      </w:r>
      <w:r w:rsidR="00540F2D">
        <w:rPr>
          <w:rFonts w:ascii="Georgia" w:hAnsi="Georgia" w:cs="Arial"/>
        </w:rPr>
        <w:t>7</w:t>
      </w:r>
      <w:r w:rsidRPr="001E5B6B">
        <w:rPr>
          <w:rFonts w:ascii="Georgia" w:hAnsi="Georgia" w:cs="Arial"/>
        </w:rPr>
        <w:t>, este cuaderno).</w:t>
      </w:r>
    </w:p>
    <w:p w:rsidR="006A5340" w:rsidRPr="009404D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9404D7" w:rsidRDefault="001E5B6B" w:rsidP="001E5B6B">
      <w:pPr>
        <w:pStyle w:val="Sinespaciado"/>
        <w:spacing w:line="360" w:lineRule="auto"/>
        <w:ind w:left="360"/>
        <w:jc w:val="both"/>
        <w:rPr>
          <w:rFonts w:ascii="Georgia" w:hAnsi="Georgia"/>
          <w:smallCaps/>
          <w:sz w:val="20"/>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F578D6">
        <w:rPr>
          <w:rFonts w:ascii="Georgia" w:hAnsi="Georgia"/>
        </w:rPr>
        <w:t xml:space="preserve">del </w:t>
      </w:r>
      <w:r w:rsidR="00540F2D">
        <w:rPr>
          <w:rFonts w:ascii="Georgia" w:hAnsi="Georgia"/>
        </w:rPr>
        <w:t>12</w:t>
      </w:r>
      <w:r w:rsidR="00F578D6">
        <w:rPr>
          <w:rFonts w:ascii="Georgia" w:hAnsi="Georgia"/>
        </w:rPr>
        <w:t xml:space="preserve">-12-2017 </w:t>
      </w:r>
      <w:r w:rsidRPr="001E5B6B">
        <w:rPr>
          <w:rFonts w:ascii="Georgia" w:hAnsi="Georgia"/>
        </w:rPr>
        <w:t xml:space="preserve">se asignó el conocimiento a este Despacho, </w:t>
      </w:r>
      <w:r w:rsidR="008E6CF4" w:rsidRPr="001E5B6B">
        <w:rPr>
          <w:rFonts w:ascii="Georgia" w:hAnsi="Georgia"/>
        </w:rPr>
        <w:t xml:space="preserve">con providencia del </w:t>
      </w:r>
      <w:r w:rsidR="00540F2D">
        <w:rPr>
          <w:rFonts w:ascii="Georgia" w:hAnsi="Georgia"/>
        </w:rPr>
        <w:t>14</w:t>
      </w:r>
      <w:r w:rsidR="00F578D6">
        <w:rPr>
          <w:rFonts w:ascii="Georgia" w:hAnsi="Georgia"/>
        </w:rPr>
        <w:t>-12-2017</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 xml:space="preserve">(Folio </w:t>
      </w:r>
      <w:r w:rsidR="00540F2D">
        <w:rPr>
          <w:rFonts w:ascii="Georgia" w:hAnsi="Georgia"/>
        </w:rPr>
        <w:t>37</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 xml:space="preserve">os extremos </w:t>
      </w:r>
      <w:r w:rsidR="00540F2D">
        <w:rPr>
          <w:rFonts w:ascii="Georgia" w:hAnsi="Georgia"/>
        </w:rPr>
        <w:t>de la acción (Folios 38 a 42</w:t>
      </w:r>
      <w:r w:rsidR="008E6CF4" w:rsidRPr="001E5B6B">
        <w:rPr>
          <w:rFonts w:ascii="Georgia" w:hAnsi="Georgia"/>
        </w:rPr>
        <w:t xml:space="preserve">, ibídem). </w:t>
      </w:r>
      <w:r w:rsidR="00540F2D">
        <w:rPr>
          <w:rFonts w:ascii="Georgia" w:hAnsi="Georgia"/>
        </w:rPr>
        <w:t xml:space="preserve">La parte accionada guardó silencio (Folio 43, ib.). </w:t>
      </w:r>
      <w:r w:rsidRPr="001E5B6B">
        <w:rPr>
          <w:rFonts w:ascii="Georgia" w:hAnsi="Georgia"/>
        </w:rPr>
        <w:t xml:space="preserve">El accionado arrimó </w:t>
      </w:r>
      <w:r w:rsidR="00540F2D">
        <w:rPr>
          <w:rFonts w:ascii="Georgia" w:hAnsi="Georgia"/>
        </w:rPr>
        <w:t>la documentación requerida (Folio</w:t>
      </w:r>
      <w:r w:rsidR="002B2AA0" w:rsidRPr="001E5B6B">
        <w:rPr>
          <w:rFonts w:ascii="Georgia" w:hAnsi="Georgia"/>
        </w:rPr>
        <w:t xml:space="preserve"> </w:t>
      </w:r>
      <w:r w:rsidR="00540F2D">
        <w:rPr>
          <w:rFonts w:ascii="Georgia" w:hAnsi="Georgia"/>
        </w:rPr>
        <w:t>44</w:t>
      </w:r>
      <w:r w:rsidR="00C57632" w:rsidRPr="001E5B6B">
        <w:rPr>
          <w:rFonts w:ascii="Georgia" w:hAnsi="Georgia"/>
        </w:rPr>
        <w:t>, ib.).</w:t>
      </w:r>
    </w:p>
    <w:p w:rsidR="00687FAC" w:rsidRPr="001E5B6B" w:rsidRDefault="00687FAC" w:rsidP="00687FAC">
      <w:pPr>
        <w:pStyle w:val="Sinespaciado"/>
        <w:tabs>
          <w:tab w:val="left" w:pos="1200"/>
        </w:tabs>
        <w:spacing w:line="360" w:lineRule="auto"/>
        <w:jc w:val="both"/>
        <w:rPr>
          <w:rFonts w:ascii="Georgia" w:hAnsi="Georgia"/>
          <w:sz w:val="20"/>
          <w:szCs w:val="24"/>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1E5B6B" w:rsidRDefault="005A09B7" w:rsidP="005A09B7">
      <w:pPr>
        <w:pStyle w:val="Textoindependiente"/>
        <w:spacing w:line="360" w:lineRule="auto"/>
        <w:ind w:left="400"/>
        <w:rPr>
          <w:rFonts w:ascii="Georgia" w:hAnsi="Georgia"/>
          <w:sz w:val="20"/>
          <w:szCs w:val="24"/>
        </w:rPr>
      </w:pPr>
    </w:p>
    <w:p w:rsidR="007B47FA" w:rsidRPr="001E5B6B" w:rsidRDefault="007B47FA" w:rsidP="007B47FA">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540F2D">
        <w:rPr>
          <w:rFonts w:ascii="Georgia" w:hAnsi="Georgia" w:cs="Arial"/>
          <w:color w:val="000000"/>
          <w:szCs w:val="24"/>
        </w:rPr>
        <w:t xml:space="preserve">Segundo </w:t>
      </w:r>
      <w:r w:rsidRPr="001E5B6B">
        <w:rPr>
          <w:rFonts w:ascii="Georgia" w:hAnsi="Georgia" w:cs="Arial"/>
          <w:color w:val="000000"/>
          <w:szCs w:val="24"/>
        </w:rPr>
        <w:t>Civil del Circuito de Pereira.</w:t>
      </w:r>
    </w:p>
    <w:p w:rsidR="007B47FA" w:rsidRPr="009404D7" w:rsidRDefault="007B47FA" w:rsidP="007B47FA">
      <w:pPr>
        <w:pStyle w:val="Prrafodelista"/>
        <w:rPr>
          <w:rFonts w:ascii="Georgia" w:hAnsi="Georgia" w:cs="Arial"/>
          <w:sz w:val="20"/>
        </w:rPr>
      </w:pPr>
    </w:p>
    <w:p w:rsidR="007B47FA" w:rsidRPr="001E5B6B" w:rsidRDefault="007B47FA" w:rsidP="007B47FA">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9404D7" w:rsidRDefault="007B47FA" w:rsidP="007B47FA">
      <w:pPr>
        <w:rPr>
          <w:rFonts w:ascii="Georgia" w:hAnsi="Georgia" w:cs="Arial"/>
          <w:sz w:val="20"/>
        </w:rPr>
      </w:pPr>
    </w:p>
    <w:p w:rsidR="007B47FA" w:rsidRPr="001E5B6B" w:rsidRDefault="007B47FA" w:rsidP="009404D7">
      <w:pPr>
        <w:pStyle w:val="Prrafodelista"/>
        <w:numPr>
          <w:ilvl w:val="1"/>
          <w:numId w:val="18"/>
        </w:numPr>
        <w:spacing w:line="360" w:lineRule="auto"/>
        <w:rPr>
          <w:rFonts w:ascii="Georgia" w:hAnsi="Georgia" w:cs="Arial"/>
          <w:smallCaps/>
        </w:rPr>
      </w:pPr>
      <w:r w:rsidRPr="001E5B6B">
        <w:rPr>
          <w:rFonts w:ascii="Georgia" w:hAnsi="Georgia" w:cs="Arial"/>
          <w:smallCaps/>
        </w:rPr>
        <w:t>Los presupuestos generales de procedencia</w:t>
      </w:r>
    </w:p>
    <w:p w:rsidR="007B47FA" w:rsidRPr="009404D7" w:rsidRDefault="007B47FA" w:rsidP="009404D7">
      <w:pPr>
        <w:pStyle w:val="Prrafodelista"/>
        <w:spacing w:line="360" w:lineRule="auto"/>
        <w:ind w:left="720"/>
        <w:rPr>
          <w:rFonts w:ascii="Georgia" w:hAnsi="Georgia" w:cs="Arial"/>
          <w:sz w:val="20"/>
        </w:rPr>
      </w:pPr>
    </w:p>
    <w:p w:rsidR="007B47FA" w:rsidRPr="001E5B6B" w:rsidRDefault="007B47FA" w:rsidP="009404D7">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540F2D">
        <w:rPr>
          <w:rFonts w:ascii="Georgia" w:hAnsi="Georgia" w:cs="Arial"/>
          <w:szCs w:val="24"/>
        </w:rPr>
        <w:t xml:space="preserve">el accionante promovió el proceso de resolución contractual </w:t>
      </w:r>
      <w:r w:rsidRPr="001E5B6B">
        <w:rPr>
          <w:rFonts w:ascii="Georgia" w:hAnsi="Georgia" w:cs="Arial"/>
          <w:szCs w:val="24"/>
        </w:rPr>
        <w:t xml:space="preserve">en </w:t>
      </w:r>
      <w:r w:rsidR="00540F2D">
        <w:rPr>
          <w:rFonts w:ascii="Georgia" w:hAnsi="Georgia" w:cs="Arial"/>
          <w:szCs w:val="24"/>
        </w:rPr>
        <w:t xml:space="preserve">el que </w:t>
      </w:r>
      <w:r w:rsidRPr="001E5B6B">
        <w:rPr>
          <w:rFonts w:ascii="Georgia" w:hAnsi="Georgia" w:cs="Arial"/>
          <w:szCs w:val="24"/>
        </w:rPr>
        <w:t>reprocha la falta al debido proceso. Y por pasiva</w:t>
      </w:r>
      <w:r w:rsidR="00540F2D">
        <w:rPr>
          <w:rFonts w:ascii="Georgia" w:hAnsi="Georgia" w:cs="Arial"/>
          <w:szCs w:val="24"/>
        </w:rPr>
        <w:t xml:space="preserve"> lo son los Juzgados Octavo Civil Municipal y Segundo Civil del Circuito de Pereira</w:t>
      </w:r>
      <w:r w:rsidRPr="001E5B6B">
        <w:rPr>
          <w:rFonts w:ascii="Georgia" w:hAnsi="Georgia" w:cs="Arial"/>
          <w:szCs w:val="24"/>
        </w:rPr>
        <w:t xml:space="preserve">, </w:t>
      </w:r>
      <w:r w:rsidR="00540F2D">
        <w:rPr>
          <w:rFonts w:ascii="Georgia" w:hAnsi="Georgia" w:cs="Arial"/>
          <w:szCs w:val="24"/>
        </w:rPr>
        <w:t xml:space="preserve">porque fueron las </w:t>
      </w:r>
      <w:r w:rsidRPr="001E5B6B">
        <w:rPr>
          <w:rFonts w:ascii="Georgia" w:hAnsi="Georgia" w:cs="Arial"/>
          <w:szCs w:val="24"/>
        </w:rPr>
        <w:t>autoridad</w:t>
      </w:r>
      <w:r w:rsidR="00540F2D">
        <w:rPr>
          <w:rFonts w:ascii="Georgia" w:hAnsi="Georgia" w:cs="Arial"/>
          <w:szCs w:val="24"/>
        </w:rPr>
        <w:t>es</w:t>
      </w:r>
      <w:r w:rsidRPr="001E5B6B">
        <w:rPr>
          <w:rFonts w:ascii="Georgia" w:hAnsi="Georgia" w:cs="Arial"/>
          <w:szCs w:val="24"/>
        </w:rPr>
        <w:t xml:space="preserve"> judicial</w:t>
      </w:r>
      <w:r w:rsidR="00540F2D">
        <w:rPr>
          <w:rFonts w:ascii="Georgia" w:hAnsi="Georgia" w:cs="Arial"/>
          <w:szCs w:val="24"/>
        </w:rPr>
        <w:t>es</w:t>
      </w:r>
      <w:r w:rsidRPr="001E5B6B">
        <w:rPr>
          <w:rFonts w:ascii="Georgia" w:hAnsi="Georgia" w:cs="Arial"/>
          <w:szCs w:val="24"/>
        </w:rPr>
        <w:t xml:space="preserve"> que </w:t>
      </w:r>
      <w:r w:rsidR="00540F2D">
        <w:rPr>
          <w:rFonts w:ascii="Georgia" w:hAnsi="Georgia" w:cs="Arial"/>
          <w:szCs w:val="24"/>
        </w:rPr>
        <w:t xml:space="preserve">conocieron </w:t>
      </w:r>
      <w:r w:rsidRPr="001E5B6B">
        <w:rPr>
          <w:rFonts w:ascii="Georgia" w:hAnsi="Georgia" w:cs="Arial"/>
          <w:szCs w:val="24"/>
        </w:rPr>
        <w:t>el  juicio.</w:t>
      </w:r>
    </w:p>
    <w:p w:rsidR="007B47FA" w:rsidRPr="009404D7" w:rsidRDefault="007B47FA" w:rsidP="007B47FA">
      <w:pPr>
        <w:pStyle w:val="Prrafodelista"/>
        <w:rPr>
          <w:rFonts w:ascii="Georgia" w:hAnsi="Georgia" w:cs="Arial"/>
          <w:sz w:val="20"/>
          <w:lang w:val="es-CO"/>
        </w:rPr>
      </w:pPr>
    </w:p>
    <w:p w:rsidR="00047B6A" w:rsidRPr="003A0558" w:rsidRDefault="00047B6A" w:rsidP="00047B6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3A0558">
        <w:rPr>
          <w:rFonts w:ascii="Georgia" w:hAnsi="Georgia" w:cs="Verdana"/>
          <w:smallCaps/>
          <w:spacing w:val="0"/>
          <w:sz w:val="22"/>
          <w:szCs w:val="24"/>
          <w:lang w:val="es-ES"/>
        </w:rPr>
        <w:t>Las sub-reglas de análisis en la procedibilidad frente a decisiones judiciales</w:t>
      </w:r>
    </w:p>
    <w:p w:rsidR="00626B65" w:rsidRPr="009404D7" w:rsidRDefault="00626B65" w:rsidP="00626B6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0"/>
          <w:szCs w:val="24"/>
          <w:lang w:val="es-ES"/>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w:t>
      </w:r>
      <w:r w:rsidR="00B374C2" w:rsidRPr="003A0558">
        <w:rPr>
          <w:rFonts w:ascii="Georgia" w:hAnsi="Georgia" w:cs="Arial"/>
          <w:szCs w:val="24"/>
        </w:rPr>
        <w:t xml:space="preserve"> </w:t>
      </w:r>
      <w:r w:rsidRPr="003A0558">
        <w:rPr>
          <w:rFonts w:ascii="Georgia" w:hAnsi="Georgia" w:cs="Arial"/>
          <w:szCs w:val="24"/>
        </w:rPr>
        <w:t xml:space="preserve">la </w:t>
      </w:r>
      <w:r w:rsidR="00B374C2" w:rsidRPr="003A0558">
        <w:rPr>
          <w:rFonts w:ascii="Georgia" w:hAnsi="Georgia" w:cs="Arial"/>
          <w:szCs w:val="24"/>
        </w:rPr>
        <w:t xml:space="preserve"> </w:t>
      </w:r>
      <w:r w:rsidRPr="003A0558">
        <w:rPr>
          <w:rFonts w:ascii="Georgia" w:hAnsi="Georgia" w:cs="Arial"/>
          <w:szCs w:val="24"/>
        </w:rPr>
        <w:t xml:space="preserve">sentencia </w:t>
      </w:r>
      <w:r w:rsidR="00B374C2" w:rsidRPr="003A0558">
        <w:rPr>
          <w:rFonts w:ascii="Georgia" w:hAnsi="Georgia" w:cs="Arial"/>
          <w:szCs w:val="24"/>
        </w:rPr>
        <w:t xml:space="preserve"> </w:t>
      </w:r>
      <w:r w:rsidRPr="003A0558">
        <w:rPr>
          <w:rFonts w:ascii="Georgia" w:hAnsi="Georgia" w:cs="Arial"/>
          <w:szCs w:val="24"/>
        </w:rPr>
        <w:t xml:space="preserve">C-543 </w:t>
      </w:r>
      <w:r w:rsidRPr="003A0558">
        <w:rPr>
          <w:rFonts w:ascii="Georgia" w:hAnsi="Georgia"/>
        </w:rPr>
        <w:t xml:space="preserve"> </w:t>
      </w:r>
      <w:r w:rsidR="00B374C2" w:rsidRPr="003A0558">
        <w:rPr>
          <w:rFonts w:ascii="Georgia" w:hAnsi="Georgia"/>
        </w:rPr>
        <w:t xml:space="preserve"> </w:t>
      </w:r>
      <w:r w:rsidRPr="003A0558">
        <w:rPr>
          <w:rFonts w:ascii="Georgia" w:hAnsi="Georgia" w:cs="Arial"/>
          <w:szCs w:val="24"/>
        </w:rPr>
        <w:t xml:space="preserve">de  </w:t>
      </w:r>
      <w:r w:rsidR="00B374C2" w:rsidRPr="003A0558">
        <w:rPr>
          <w:rFonts w:ascii="Georgia" w:hAnsi="Georgia" w:cs="Arial"/>
          <w:szCs w:val="24"/>
        </w:rPr>
        <w:t xml:space="preserve"> </w:t>
      </w:r>
      <w:r w:rsidRPr="003A0558">
        <w:rPr>
          <w:rFonts w:ascii="Georgia" w:hAnsi="Georgia" w:cs="Arial"/>
          <w:szCs w:val="24"/>
        </w:rPr>
        <w:t xml:space="preserve">1992,  </w:t>
      </w:r>
      <w:r w:rsidR="00B374C2" w:rsidRPr="003A0558">
        <w:rPr>
          <w:rFonts w:ascii="Georgia" w:hAnsi="Georgia" w:cs="Arial"/>
          <w:szCs w:val="24"/>
        </w:rPr>
        <w:t xml:space="preserve"> </w:t>
      </w:r>
      <w:r w:rsidRPr="003A0558">
        <w:rPr>
          <w:rFonts w:ascii="Georgia" w:hAnsi="Georgia" w:cs="Arial"/>
          <w:szCs w:val="24"/>
        </w:rPr>
        <w:t xml:space="preserve">que </w:t>
      </w:r>
      <w:r w:rsidR="00B374C2" w:rsidRPr="003A0558">
        <w:rPr>
          <w:rFonts w:ascii="Georgia" w:hAnsi="Georgia" w:cs="Arial"/>
          <w:szCs w:val="24"/>
        </w:rPr>
        <w:t xml:space="preserve"> </w:t>
      </w:r>
      <w:r w:rsidRPr="003A0558">
        <w:rPr>
          <w:rFonts w:ascii="Georgia" w:hAnsi="Georgia" w:cs="Arial"/>
          <w:szCs w:val="24"/>
        </w:rPr>
        <w:t xml:space="preserve">examinó </w:t>
      </w:r>
      <w:r w:rsidR="00B374C2" w:rsidRPr="003A0558">
        <w:rPr>
          <w:rFonts w:ascii="Georgia" w:hAnsi="Georgia" w:cs="Arial"/>
          <w:szCs w:val="24"/>
        </w:rPr>
        <w:t xml:space="preserve"> </w:t>
      </w:r>
      <w:r w:rsidRPr="003A0558">
        <w:rPr>
          <w:rFonts w:ascii="Georgia" w:hAnsi="Georgia" w:cs="Arial"/>
          <w:szCs w:val="24"/>
        </w:rPr>
        <w:t xml:space="preserve">en </w:t>
      </w:r>
      <w:r w:rsidR="00B374C2" w:rsidRPr="003A0558">
        <w:rPr>
          <w:rFonts w:ascii="Georgia" w:hAnsi="Georgia" w:cs="Arial"/>
          <w:szCs w:val="24"/>
        </w:rPr>
        <w:t xml:space="preserve"> </w:t>
      </w:r>
      <w:r w:rsidRPr="003A0558">
        <w:rPr>
          <w:rFonts w:ascii="Georgia" w:hAnsi="Georgia" w:cs="Arial"/>
          <w:szCs w:val="24"/>
        </w:rPr>
        <w:t xml:space="preserve">constitucionalidad, los artículos 11,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xml:space="preserve">, básicamente sustituyó la expresión “vías de </w:t>
      </w:r>
      <w:r w:rsidRPr="003A0558">
        <w:rPr>
          <w:rFonts w:ascii="Georgia" w:hAnsi="Georgia" w:cs="Arial"/>
          <w:szCs w:val="24"/>
        </w:rPr>
        <w:lastRenderedPageBreak/>
        <w:t>hecho” por la de “causales genéricas de procedibilidad” y ensanchó las causales especiales, pasando de cuatro (4) a ocho (8).  En el mismo sentido Quiroga Natale</w:t>
      </w:r>
      <w:r w:rsidRPr="003A0558">
        <w:rPr>
          <w:rStyle w:val="Refdenotaalpie"/>
          <w:rFonts w:ascii="Georgia" w:hAnsi="Georgia"/>
          <w:szCs w:val="24"/>
        </w:rPr>
        <w:footnoteReference w:id="2"/>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Ahora, en frente del examen que se reclama en sede constitucional, resulta de mayúscula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procedibilidad, se han definido los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255DD9" w:rsidRPr="009404D7" w:rsidRDefault="00255DD9" w:rsidP="00047B6A">
      <w:pPr>
        <w:pStyle w:val="Textoindependiente"/>
        <w:shd w:val="clear" w:color="auto" w:fill="FFFFFF" w:themeFill="background1"/>
        <w:spacing w:line="360" w:lineRule="auto"/>
        <w:rPr>
          <w:rFonts w:ascii="Georgia" w:hAnsi="Georgia" w:cs="Arial"/>
          <w:sz w:val="20"/>
          <w:szCs w:val="24"/>
        </w:rPr>
      </w:pPr>
    </w:p>
    <w:p w:rsidR="00540F2D" w:rsidRPr="003A0558" w:rsidRDefault="00540F2D" w:rsidP="00540F2D">
      <w:pPr>
        <w:pStyle w:val="Prrafodelista"/>
        <w:numPr>
          <w:ilvl w:val="1"/>
          <w:numId w:val="18"/>
        </w:numPr>
        <w:spacing w:line="360" w:lineRule="auto"/>
        <w:ind w:right="51"/>
        <w:jc w:val="both"/>
        <w:rPr>
          <w:rFonts w:ascii="Georgia" w:hAnsi="Georgia"/>
          <w:smallCaps/>
          <w:lang w:val="es-ES_tradnl"/>
        </w:rPr>
      </w:pPr>
      <w:r w:rsidRPr="003A0558">
        <w:rPr>
          <w:rFonts w:ascii="Georgia" w:hAnsi="Georgia" w:cs="Arial"/>
          <w:smallCaps/>
        </w:rPr>
        <w:t xml:space="preserve">El defecto fáctico </w:t>
      </w:r>
    </w:p>
    <w:p w:rsidR="00540F2D" w:rsidRPr="0066066E" w:rsidRDefault="00540F2D" w:rsidP="00540F2D">
      <w:pPr>
        <w:spacing w:line="360" w:lineRule="auto"/>
        <w:ind w:right="51"/>
        <w:jc w:val="both"/>
        <w:rPr>
          <w:rFonts w:ascii="Georgia" w:hAnsi="Georgia"/>
          <w:sz w:val="20"/>
          <w:lang w:val="es-ES_tradnl"/>
        </w:rPr>
      </w:pPr>
    </w:p>
    <w:p w:rsidR="00540F2D" w:rsidRPr="003A0558" w:rsidRDefault="00540F2D" w:rsidP="00540F2D">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3A0558">
        <w:rPr>
          <w:rFonts w:ascii="Georgia" w:hAnsi="Georgia" w:cs="Arial"/>
          <w:szCs w:val="22"/>
        </w:rPr>
        <w:t>La doctrina constitucional</w:t>
      </w:r>
      <w:r w:rsidRPr="003A0558">
        <w:rPr>
          <w:rStyle w:val="Refdenotaalpie"/>
          <w:rFonts w:ascii="Georgia" w:hAnsi="Georgia"/>
          <w:szCs w:val="22"/>
        </w:rPr>
        <w:footnoteReference w:id="9"/>
      </w:r>
      <w:r w:rsidRPr="003A0558">
        <w:rPr>
          <w:rFonts w:ascii="Georgia" w:hAnsi="Georgia" w:cs="Arial"/>
          <w:szCs w:val="22"/>
        </w:rPr>
        <w:t xml:space="preserve"> sobre esta específica causal de procedibilidad tiene dicho que: </w:t>
      </w:r>
      <w:r w:rsidRPr="003A0558">
        <w:rPr>
          <w:rFonts w:ascii="Georgia" w:hAnsi="Georgia"/>
          <w:szCs w:val="22"/>
          <w:lang w:val="es-ES_tradnl"/>
        </w:rPr>
        <w:t>“</w:t>
      </w:r>
      <w:r w:rsidRPr="003A0558">
        <w:rPr>
          <w:rFonts w:ascii="Georgia" w:hAnsi="Georgia"/>
          <w:i/>
          <w:sz w:val="22"/>
          <w:szCs w:val="22"/>
          <w:lang w:val="es-ES_tradnl"/>
        </w:rPr>
        <w:t xml:space="preserve">(…) </w:t>
      </w:r>
      <w:r w:rsidRPr="003A0558">
        <w:rPr>
          <w:rFonts w:ascii="Georgia" w:hAnsi="Georgia" w:cs="Arial"/>
          <w:i/>
          <w:sz w:val="22"/>
          <w:szCs w:val="22"/>
        </w:rPr>
        <w:t>se produce cuando el juez toma una decisión sin que se encuentren plenamente comprobados los hechos que legalmente la determinan</w:t>
      </w:r>
      <w:r w:rsidRPr="003A0558">
        <w:rPr>
          <w:rStyle w:val="Refdenotaalpie"/>
          <w:rFonts w:ascii="Georgia" w:hAnsi="Georgia" w:cs="Arial"/>
          <w:i/>
          <w:sz w:val="22"/>
          <w:szCs w:val="22"/>
        </w:rPr>
        <w:footnoteReference w:id="10"/>
      </w:r>
      <w:r w:rsidRPr="003A0558">
        <w:rPr>
          <w:rFonts w:ascii="Georgia" w:hAnsi="Georgia" w:cs="Arial"/>
          <w:i/>
          <w:sz w:val="22"/>
          <w:szCs w:val="22"/>
        </w:rPr>
        <w:t xml:space="preserve">, como consecuencia de una omisión en </w:t>
      </w:r>
      <w:r w:rsidRPr="003A0558">
        <w:rPr>
          <w:rFonts w:ascii="Georgia" w:hAnsi="Georgia" w:cs="Arial"/>
          <w:i/>
          <w:sz w:val="22"/>
          <w:szCs w:val="22"/>
        </w:rPr>
        <w:lastRenderedPageBreak/>
        <w:t>el decreto o valoración de las pruebas</w:t>
      </w:r>
      <w:r w:rsidRPr="003A0558">
        <w:rPr>
          <w:rStyle w:val="Refdenotaalpie"/>
          <w:rFonts w:ascii="Georgia" w:hAnsi="Georgia" w:cs="Arial"/>
          <w:i/>
          <w:sz w:val="22"/>
          <w:szCs w:val="22"/>
        </w:rPr>
        <w:footnoteReference w:id="11"/>
      </w:r>
      <w:r w:rsidRPr="003A0558">
        <w:rPr>
          <w:rFonts w:ascii="Georgia" w:hAnsi="Georgia" w:cs="Arial"/>
          <w:i/>
          <w:sz w:val="22"/>
          <w:szCs w:val="22"/>
        </w:rPr>
        <w:t>, la valoración irrazonable o contra evidente de los medios probatorios, o la suposición de pruebas.</w:t>
      </w:r>
      <w:r w:rsidRPr="003A0558">
        <w:rPr>
          <w:rFonts w:ascii="Georgia" w:hAnsi="Georgia" w:cs="Arial"/>
          <w:szCs w:val="28"/>
        </w:rPr>
        <w:t>”</w:t>
      </w:r>
      <w:r w:rsidRPr="003A0558">
        <w:rPr>
          <w:rFonts w:ascii="Georgia" w:hAnsi="Georgia"/>
          <w:szCs w:val="20"/>
          <w:lang w:val="es-ES_tradnl"/>
        </w:rPr>
        <w:t>,</w:t>
      </w:r>
      <w:r w:rsidRPr="003A0558">
        <w:rPr>
          <w:rFonts w:ascii="Georgia" w:hAnsi="Georgia"/>
          <w:sz w:val="22"/>
          <w:szCs w:val="20"/>
          <w:lang w:val="es-ES_tradnl"/>
        </w:rPr>
        <w:t xml:space="preserve"> </w:t>
      </w:r>
      <w:r w:rsidRPr="003A0558">
        <w:rPr>
          <w:rFonts w:ascii="Georgia" w:hAnsi="Georgia"/>
          <w:szCs w:val="20"/>
          <w:lang w:val="es-ES_tradnl"/>
        </w:rPr>
        <w:t>luego en otra decisión posterior se precisó</w:t>
      </w:r>
      <w:r w:rsidRPr="003A0558">
        <w:rPr>
          <w:rStyle w:val="Refdenotaalpie"/>
          <w:rFonts w:ascii="Georgia" w:hAnsi="Georgia"/>
          <w:sz w:val="22"/>
          <w:szCs w:val="20"/>
          <w:lang w:val="es-ES_tradnl"/>
        </w:rPr>
        <w:footnoteReference w:id="12"/>
      </w:r>
      <w:r w:rsidRPr="003A0558">
        <w:rPr>
          <w:rFonts w:ascii="Georgia" w:hAnsi="Georgia" w:cs="Arial"/>
          <w:szCs w:val="22"/>
        </w:rPr>
        <w:t>:</w:t>
      </w:r>
    </w:p>
    <w:p w:rsidR="00540F2D" w:rsidRPr="003A0558" w:rsidRDefault="00540F2D" w:rsidP="00540F2D">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 w:val="18"/>
          <w:szCs w:val="22"/>
        </w:rPr>
      </w:pPr>
    </w:p>
    <w:p w:rsidR="00540F2D" w:rsidRPr="003A0558" w:rsidRDefault="00540F2D" w:rsidP="00540F2D">
      <w:pPr>
        <w:ind w:left="567" w:right="567"/>
        <w:jc w:val="both"/>
        <w:rPr>
          <w:rFonts w:ascii="Georgia" w:hAnsi="Georgia"/>
          <w:szCs w:val="22"/>
          <w:lang w:val="es-ES_tradnl"/>
        </w:rPr>
      </w:pPr>
      <w:r w:rsidRPr="003A0558">
        <w:rPr>
          <w:rFonts w:ascii="Georgia" w:hAnsi="Georgia"/>
          <w:szCs w:val="22"/>
          <w:lang w:val="es-ES_tradnl"/>
        </w:rPr>
        <w:t>Ahora bien, para mayor ilustración se tiene que en la valoración de las pruebas puede ocurrir: “</w:t>
      </w:r>
      <w:r w:rsidRPr="003A0558">
        <w:rPr>
          <w:rFonts w:ascii="Georgia" w:hAnsi="Georgia"/>
          <w:szCs w:val="22"/>
          <w:u w:val="single"/>
          <w:lang w:val="es-ES_tradnl"/>
        </w:rPr>
        <w:t>defecto fáctico por omisión en el decreto y práctica de pruebas</w:t>
      </w:r>
      <w:r w:rsidRPr="003A0558">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540F2D" w:rsidRPr="003A0558" w:rsidRDefault="00540F2D" w:rsidP="00540F2D">
      <w:pPr>
        <w:ind w:left="567" w:right="567"/>
        <w:jc w:val="both"/>
        <w:rPr>
          <w:rFonts w:ascii="Georgia" w:hAnsi="Georgia"/>
          <w:szCs w:val="22"/>
          <w:u w:val="single"/>
          <w:lang w:val="es-ES_tradnl"/>
        </w:rPr>
      </w:pPr>
    </w:p>
    <w:p w:rsidR="00540F2D" w:rsidRPr="003A0558" w:rsidRDefault="00540F2D" w:rsidP="00540F2D">
      <w:pPr>
        <w:ind w:left="567" w:right="567"/>
        <w:jc w:val="both"/>
        <w:rPr>
          <w:rFonts w:ascii="Georgia" w:hAnsi="Georgia"/>
          <w:szCs w:val="22"/>
          <w:lang w:val="es-ES_tradnl"/>
        </w:rPr>
      </w:pPr>
      <w:r w:rsidRPr="003A0558">
        <w:rPr>
          <w:rFonts w:ascii="Georgia" w:hAnsi="Georgia"/>
          <w:szCs w:val="22"/>
          <w:u w:val="single"/>
          <w:lang w:val="es-ES_tradnl"/>
        </w:rPr>
        <w:t xml:space="preserve">Defecto fáctico por la no valoración del acervo probatorio: </w:t>
      </w:r>
      <w:r w:rsidRPr="003A0558">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540F2D" w:rsidRPr="003A0558" w:rsidRDefault="00540F2D" w:rsidP="00540F2D">
      <w:pPr>
        <w:ind w:left="567" w:right="567"/>
        <w:jc w:val="both"/>
        <w:rPr>
          <w:rFonts w:ascii="Georgia" w:hAnsi="Georgia"/>
          <w:szCs w:val="22"/>
          <w:u w:val="single"/>
          <w:lang w:val="es-ES_tradnl"/>
        </w:rPr>
      </w:pPr>
    </w:p>
    <w:p w:rsidR="00540F2D" w:rsidRPr="003A0558" w:rsidRDefault="00540F2D" w:rsidP="00540F2D">
      <w:pPr>
        <w:ind w:left="567" w:right="567"/>
        <w:jc w:val="both"/>
        <w:rPr>
          <w:rFonts w:ascii="Georgia" w:hAnsi="Georgia"/>
          <w:szCs w:val="22"/>
          <w:lang w:val="es-ES_tradnl"/>
        </w:rPr>
      </w:pPr>
      <w:r w:rsidRPr="003A0558">
        <w:rPr>
          <w:rFonts w:ascii="Georgia" w:hAnsi="Georgia"/>
          <w:szCs w:val="22"/>
          <w:u w:val="single"/>
          <w:lang w:val="es-ES_tradnl"/>
        </w:rPr>
        <w:t>Defecto fáctico por valoración defectuosa del material probatorio:</w:t>
      </w:r>
      <w:r w:rsidRPr="003A0558">
        <w:rPr>
          <w:rFonts w:ascii="Georgia" w:hAnsi="Georgia"/>
          <w:szCs w:val="22"/>
          <w:lang w:val="es-ES_tradnl"/>
        </w:rPr>
        <w:t xml:space="preserve">1) el funcionario judicial, en contra de la evidencia probatoria, decide separarse por completo de los hechos, </w:t>
      </w:r>
      <w:r w:rsidRPr="003A0558">
        <w:rPr>
          <w:rFonts w:ascii="Georgia" w:hAnsi="Georgia"/>
          <w:szCs w:val="22"/>
          <w:u w:val="single"/>
          <w:lang w:val="es-ES_tradnl"/>
        </w:rPr>
        <w:t>debidamente probados</w:t>
      </w:r>
      <w:r w:rsidRPr="003A0558">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3A0558">
        <w:rPr>
          <w:rFonts w:ascii="Georgia" w:hAnsi="Georgia"/>
          <w:i/>
          <w:szCs w:val="22"/>
          <w:lang w:val="es-ES_tradnl"/>
        </w:rPr>
        <w:t xml:space="preserve">  </w:t>
      </w:r>
      <w:r w:rsidRPr="003A0558">
        <w:rPr>
          <w:rFonts w:ascii="Georgia" w:hAnsi="Georgia"/>
          <w:szCs w:val="22"/>
          <w:lang w:val="es-ES_tradnl"/>
        </w:rPr>
        <w:t>El resaltado es de este Tribunal.</w:t>
      </w:r>
    </w:p>
    <w:p w:rsidR="00540F2D" w:rsidRPr="003A0558" w:rsidRDefault="00540F2D" w:rsidP="00540F2D">
      <w:pPr>
        <w:pStyle w:val="Textoindependiente"/>
        <w:spacing w:line="360" w:lineRule="auto"/>
        <w:rPr>
          <w:rFonts w:ascii="Georgia" w:hAnsi="Georgia" w:cs="Arial"/>
          <w:szCs w:val="24"/>
        </w:rPr>
      </w:pPr>
    </w:p>
    <w:p w:rsidR="00540F2D" w:rsidRPr="003A0558" w:rsidRDefault="00540F2D" w:rsidP="00540F2D">
      <w:pPr>
        <w:pStyle w:val="Textoindependiente"/>
        <w:spacing w:line="360" w:lineRule="auto"/>
        <w:rPr>
          <w:rFonts w:ascii="Georgia" w:hAnsi="Georgia" w:cs="Arial"/>
          <w:szCs w:val="24"/>
        </w:rPr>
      </w:pPr>
      <w:r w:rsidRPr="003A0558">
        <w:rPr>
          <w:rFonts w:ascii="Georgia" w:hAnsi="Georgia" w:cs="Arial"/>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3A0558">
        <w:rPr>
          <w:rStyle w:val="Refdenotaalpie"/>
          <w:rFonts w:ascii="Georgia" w:hAnsi="Georgia"/>
          <w:szCs w:val="24"/>
        </w:rPr>
        <w:footnoteReference w:id="13"/>
      </w:r>
      <w:r w:rsidRPr="003A0558">
        <w:rPr>
          <w:rFonts w:ascii="Georgia" w:hAnsi="Georgia" w:cs="Arial"/>
          <w:szCs w:val="24"/>
        </w:rPr>
        <w:t>.</w:t>
      </w:r>
    </w:p>
    <w:p w:rsidR="00540F2D" w:rsidRPr="009404D7" w:rsidRDefault="00540F2D" w:rsidP="00047B6A">
      <w:pPr>
        <w:pStyle w:val="Textoindependiente"/>
        <w:shd w:val="clear" w:color="auto" w:fill="FFFFFF" w:themeFill="background1"/>
        <w:spacing w:line="360" w:lineRule="auto"/>
        <w:rPr>
          <w:rFonts w:ascii="Georgia" w:hAnsi="Georgia" w:cs="Arial"/>
          <w:sz w:val="20"/>
          <w:szCs w:val="24"/>
        </w:rPr>
      </w:pPr>
    </w:p>
    <w:p w:rsidR="00765006" w:rsidRPr="003A0558" w:rsidRDefault="00765006" w:rsidP="00047B6A">
      <w:pPr>
        <w:pStyle w:val="Textoindependiente"/>
        <w:numPr>
          <w:ilvl w:val="1"/>
          <w:numId w:val="18"/>
        </w:numPr>
        <w:shd w:val="clear" w:color="auto" w:fill="FFFFFF" w:themeFill="background1"/>
        <w:spacing w:line="360" w:lineRule="auto"/>
        <w:rPr>
          <w:rFonts w:ascii="Georgia" w:hAnsi="Georgia" w:cs="Arial"/>
          <w:szCs w:val="24"/>
        </w:rPr>
      </w:pPr>
      <w:r w:rsidRPr="003A0558">
        <w:rPr>
          <w:rFonts w:ascii="Georgia" w:hAnsi="Georgia"/>
          <w:smallCaps/>
        </w:rPr>
        <w:t>El defecto sustantivo o material</w:t>
      </w:r>
    </w:p>
    <w:p w:rsidR="00765006" w:rsidRPr="003A0558" w:rsidRDefault="00765006" w:rsidP="00765006">
      <w:pPr>
        <w:spacing w:line="360" w:lineRule="auto"/>
        <w:ind w:right="22"/>
        <w:jc w:val="both"/>
        <w:rPr>
          <w:rFonts w:ascii="Georgia" w:hAnsi="Georgia" w:cs="Arial"/>
          <w:sz w:val="20"/>
          <w:szCs w:val="22"/>
          <w:lang w:val="es-ES_tradnl"/>
        </w:rPr>
      </w:pPr>
    </w:p>
    <w:p w:rsidR="003D24E8" w:rsidRDefault="003D24E8" w:rsidP="003D24E8">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4"/>
      </w:r>
      <w:r w:rsidRPr="003A0558">
        <w:rPr>
          <w:rFonts w:ascii="Georgia" w:hAnsi="Georgia" w:cs="Arial"/>
          <w:szCs w:val="22"/>
          <w:lang w:val="es-ES_tradnl"/>
        </w:rPr>
        <w:t>, luego en otra decisión</w:t>
      </w:r>
      <w:r w:rsidRPr="003A0558">
        <w:rPr>
          <w:rStyle w:val="Refdenotaalpie"/>
          <w:rFonts w:ascii="Georgia" w:hAnsi="Georgia"/>
          <w:szCs w:val="22"/>
        </w:rPr>
        <w:footnoteReference w:id="15"/>
      </w:r>
      <w:r w:rsidRPr="003A0558">
        <w:rPr>
          <w:rFonts w:ascii="Georgia" w:hAnsi="Georgia" w:cs="Arial"/>
          <w:szCs w:val="22"/>
          <w:lang w:val="es-ES_tradnl"/>
        </w:rPr>
        <w:t xml:space="preserve"> añadió que surge cuando quiera que </w:t>
      </w:r>
      <w:r w:rsidRPr="003A0558">
        <w:rPr>
          <w:rFonts w:ascii="Georgia" w:hAnsi="Georgia" w:cs="Arial"/>
        </w:rPr>
        <w:t>la autoridad judicial desatiende reglas legales o infralegales,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6"/>
      </w:r>
      <w:r w:rsidRPr="003A0558">
        <w:rPr>
          <w:rFonts w:ascii="Georgia" w:hAnsi="Georgia" w:cs="Arial"/>
          <w:szCs w:val="22"/>
          <w:lang w:val="es-ES_tradnl"/>
        </w:rPr>
        <w:t>, al efecto tiene precisadas distintas variables:</w:t>
      </w:r>
    </w:p>
    <w:p w:rsidR="002B4A4A" w:rsidRPr="009404D7" w:rsidRDefault="002B4A4A" w:rsidP="003D24E8">
      <w:pPr>
        <w:spacing w:line="360" w:lineRule="auto"/>
        <w:ind w:right="22"/>
        <w:jc w:val="both"/>
        <w:rPr>
          <w:rFonts w:ascii="Georgia" w:hAnsi="Georgia" w:cs="Arial"/>
          <w:sz w:val="20"/>
          <w:szCs w:val="22"/>
          <w:lang w:val="es-ES_tradnl"/>
        </w:rPr>
      </w:pPr>
    </w:p>
    <w:p w:rsidR="003D24E8" w:rsidRPr="003A0558" w:rsidRDefault="003D24E8" w:rsidP="003D24E8">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7"/>
      </w:r>
      <w:r w:rsidRPr="003A0558">
        <w:rPr>
          <w:rFonts w:ascii="Georgia" w:hAnsi="Georgia" w:cs="Arial"/>
        </w:rPr>
        <w:t xml:space="preserve">, (ii) cuando a pesar del amplio margen interpretativo que la Constitución le reconoce a las autoridades judiciales, la aplicación final de la </w:t>
      </w:r>
      <w:r w:rsidRPr="003A0558">
        <w:rPr>
          <w:rFonts w:ascii="Georgia" w:hAnsi="Georgia" w:cs="Arial"/>
        </w:rPr>
        <w:lastRenderedPageBreak/>
        <w:t>regla es inaceptable por tratarse de una interpretación contraevidente</w:t>
      </w:r>
      <w:r w:rsidRPr="003A0558">
        <w:rPr>
          <w:rFonts w:ascii="Georgia" w:hAnsi="Georgia" w:cs="Arial"/>
          <w:vertAlign w:val="superscript"/>
        </w:rPr>
        <w:footnoteReference w:id="18"/>
      </w:r>
      <w:r w:rsidRPr="003A0558">
        <w:rPr>
          <w:rFonts w:ascii="Georgia" w:hAnsi="Georgia" w:cs="Arial"/>
        </w:rPr>
        <w:t xml:space="preserve"> (interpretación </w:t>
      </w:r>
      <w:r w:rsidRPr="003A0558">
        <w:rPr>
          <w:rFonts w:ascii="Georgia" w:hAnsi="Georgia" w:cs="Arial"/>
          <w:iCs/>
        </w:rPr>
        <w:t xml:space="preserve">contra </w:t>
      </w:r>
      <w:r w:rsidRPr="003A0558">
        <w:rPr>
          <w:rFonts w:ascii="Georgia" w:hAnsi="Georgia" w:cs="Arial"/>
          <w:i/>
          <w:iCs/>
        </w:rPr>
        <w:t>legem</w:t>
      </w:r>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9"/>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3D24E8" w:rsidRPr="003A0558" w:rsidRDefault="003D24E8" w:rsidP="003D24E8">
      <w:pPr>
        <w:ind w:left="567" w:right="567"/>
        <w:jc w:val="both"/>
        <w:rPr>
          <w:rFonts w:ascii="Georgia" w:hAnsi="Georgia" w:cs="Arial"/>
        </w:rPr>
      </w:pPr>
      <w:r w:rsidRPr="003A0558">
        <w:rPr>
          <w:rStyle w:val="Refdenotaalpie"/>
          <w:rFonts w:ascii="Georgia" w:hAnsi="Georgia"/>
          <w:iCs/>
        </w:rPr>
        <w:footnoteReference w:id="20"/>
      </w:r>
      <w:r w:rsidRPr="003A0558">
        <w:rPr>
          <w:rFonts w:ascii="Georgia" w:hAnsi="Georgia" w:cs="Arial"/>
          <w:iCs/>
        </w:rPr>
        <w:t>.</w:t>
      </w:r>
    </w:p>
    <w:p w:rsidR="003D24E8" w:rsidRPr="003A0558" w:rsidRDefault="003D24E8" w:rsidP="003D24E8">
      <w:pPr>
        <w:pStyle w:val="Textoindependiente"/>
        <w:spacing w:line="360" w:lineRule="auto"/>
        <w:rPr>
          <w:rFonts w:ascii="Georgia" w:hAnsi="Georgia" w:cs="Arial"/>
          <w:sz w:val="20"/>
        </w:rPr>
      </w:pPr>
    </w:p>
    <w:p w:rsidR="003D24E8" w:rsidRPr="003A0558" w:rsidRDefault="003D24E8" w:rsidP="003D24E8">
      <w:pPr>
        <w:pStyle w:val="Textoindependiente"/>
        <w:spacing w:line="360" w:lineRule="auto"/>
        <w:rPr>
          <w:rFonts w:ascii="Georgia" w:hAnsi="Georgia" w:cs="Arial"/>
        </w:rPr>
      </w:pPr>
      <w:r w:rsidRPr="003A0558">
        <w:rPr>
          <w:rFonts w:ascii="Georgia" w:hAnsi="Georgia" w:cs="Arial"/>
        </w:rPr>
        <w:t>Así mismo el alto Tribunal Constitucional</w:t>
      </w:r>
      <w:r w:rsidRPr="003A0558">
        <w:rPr>
          <w:rStyle w:val="Refdenotaalpie"/>
          <w:rFonts w:ascii="Georgia" w:hAnsi="Georgia"/>
        </w:rPr>
        <w:footnoteReference w:id="21"/>
      </w:r>
      <w:r w:rsidRPr="003A0558">
        <w:rPr>
          <w:rFonts w:ascii="Georgia" w:hAnsi="Georgia" w:cs="Arial"/>
        </w:rPr>
        <w:t xml:space="preserve">, señaló: </w:t>
      </w:r>
    </w:p>
    <w:p w:rsidR="003D24E8" w:rsidRPr="009404D7" w:rsidRDefault="003D24E8" w:rsidP="003D24E8">
      <w:pPr>
        <w:ind w:left="567" w:right="567"/>
        <w:jc w:val="both"/>
        <w:rPr>
          <w:rFonts w:ascii="Georgia" w:hAnsi="Georgia" w:cs="Arial"/>
          <w:sz w:val="22"/>
        </w:rPr>
      </w:pPr>
    </w:p>
    <w:p w:rsidR="003D24E8" w:rsidRPr="003A0558" w:rsidRDefault="003D24E8" w:rsidP="003D24E8">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3D24E8" w:rsidRPr="003A0558" w:rsidRDefault="003D24E8" w:rsidP="003D24E8">
      <w:pPr>
        <w:pStyle w:val="Textoindependiente"/>
        <w:spacing w:line="240" w:lineRule="auto"/>
        <w:rPr>
          <w:rFonts w:ascii="Georgia" w:hAnsi="Georgia" w:cs="Arial"/>
        </w:rPr>
      </w:pPr>
    </w:p>
    <w:p w:rsidR="003D24E8" w:rsidRPr="003A0558" w:rsidRDefault="003D24E8" w:rsidP="003D24E8">
      <w:pPr>
        <w:pStyle w:val="Textoindependiente"/>
        <w:spacing w:line="240" w:lineRule="auto"/>
        <w:ind w:left="567" w:right="567"/>
        <w:rPr>
          <w:rFonts w:ascii="Georgia" w:hAnsi="Georgia" w:cs="Arial"/>
          <w:spacing w:val="0"/>
          <w:szCs w:val="24"/>
          <w:lang w:val="es-ES"/>
        </w:rPr>
      </w:pPr>
      <w:r w:rsidRPr="003A0558">
        <w:rPr>
          <w:rFonts w:ascii="Georgia" w:hAnsi="Georgia" w:cs="Arial"/>
          <w:spacing w:val="0"/>
          <w:szCs w:val="24"/>
          <w:lang w:val="es-ES"/>
        </w:rPr>
        <w:t>Así las cosas, constituye un defecto material o sustantivo la decisión judicial que se funda en una interpretación indebida de una disposición legal.  (Sublínea fuera de texto).</w:t>
      </w:r>
    </w:p>
    <w:p w:rsidR="003D24E8" w:rsidRPr="00FE5CDD" w:rsidRDefault="003D24E8" w:rsidP="003D24E8">
      <w:pPr>
        <w:spacing w:line="360" w:lineRule="auto"/>
        <w:jc w:val="both"/>
        <w:rPr>
          <w:rFonts w:ascii="Georgia" w:hAnsi="Georgia" w:cs="Arial"/>
          <w:lang w:val="es-ES_tradnl"/>
        </w:rPr>
      </w:pPr>
    </w:p>
    <w:p w:rsidR="003D24E8" w:rsidRPr="003A0558" w:rsidRDefault="003D24E8" w:rsidP="003D24E8">
      <w:pPr>
        <w:spacing w:line="360" w:lineRule="auto"/>
        <w:jc w:val="both"/>
        <w:rPr>
          <w:rFonts w:ascii="Georgia" w:hAnsi="Georgia" w:cs="Arial"/>
          <w:lang w:val="es-ES_tradnl"/>
        </w:rPr>
      </w:pPr>
      <w:r w:rsidRPr="003A0558">
        <w:rPr>
          <w:rFonts w:ascii="Georgia" w:hAnsi="Georgia" w:cs="Arial"/>
          <w:lang w:val="es-ES_tradnl"/>
        </w:rPr>
        <w:t>Criterio reiterado en varias y recientes decisiones</w:t>
      </w:r>
      <w:r w:rsidRPr="003A0558">
        <w:rPr>
          <w:rStyle w:val="Refdenotaalpie"/>
          <w:rFonts w:ascii="Georgia" w:hAnsi="Georgia"/>
        </w:rPr>
        <w:footnoteReference w:id="22"/>
      </w:r>
      <w:r w:rsidRPr="003A0558">
        <w:rPr>
          <w:rFonts w:ascii="Georgia" w:hAnsi="Georgia" w:cs="Arial"/>
          <w:lang w:val="es-ES_tradnl"/>
        </w:rPr>
        <w:t>, según el análisis de la línea decisional sobre el tema.</w:t>
      </w:r>
    </w:p>
    <w:p w:rsidR="001B386E" w:rsidRPr="009404D7" w:rsidRDefault="001B386E" w:rsidP="0062273B">
      <w:pPr>
        <w:spacing w:line="360" w:lineRule="auto"/>
        <w:jc w:val="both"/>
        <w:rPr>
          <w:rFonts w:ascii="Georgia" w:hAnsi="Georgia" w:cs="Arial"/>
          <w:sz w:val="20"/>
          <w:lang w:val="es-ES_tradnl"/>
        </w:rPr>
      </w:pPr>
    </w:p>
    <w:p w:rsidR="003A0558" w:rsidRPr="003A0558" w:rsidRDefault="003A0558" w:rsidP="003A0558">
      <w:pPr>
        <w:pStyle w:val="Textoindependiente"/>
        <w:numPr>
          <w:ilvl w:val="1"/>
          <w:numId w:val="18"/>
        </w:numPr>
        <w:spacing w:line="360" w:lineRule="auto"/>
        <w:rPr>
          <w:rFonts w:ascii="Georgia" w:hAnsi="Georgia" w:cs="Arial"/>
          <w:smallCaps/>
          <w:sz w:val="28"/>
          <w:szCs w:val="24"/>
        </w:rPr>
      </w:pPr>
      <w:r w:rsidRPr="003A0558">
        <w:rPr>
          <w:rFonts w:ascii="Georgia" w:hAnsi="Georgia" w:cs="Arial"/>
          <w:smallCaps/>
          <w:szCs w:val="24"/>
        </w:rPr>
        <w:t>El desconocimiento del precedente</w:t>
      </w:r>
    </w:p>
    <w:p w:rsidR="003A0558" w:rsidRPr="009404D7" w:rsidRDefault="003A0558" w:rsidP="003A0558">
      <w:pPr>
        <w:pStyle w:val="Textoindependiente"/>
        <w:spacing w:line="360" w:lineRule="auto"/>
        <w:rPr>
          <w:rFonts w:ascii="Georgia" w:hAnsi="Georgia" w:cs="Arial"/>
          <w:sz w:val="20"/>
        </w:rPr>
      </w:pPr>
    </w:p>
    <w:p w:rsidR="003A0558" w:rsidRDefault="003A0558" w:rsidP="003A0558">
      <w:pPr>
        <w:pStyle w:val="Textoindependiente"/>
        <w:tabs>
          <w:tab w:val="clear" w:pos="0"/>
          <w:tab w:val="clear" w:pos="708"/>
          <w:tab w:val="left" w:pos="709"/>
        </w:tabs>
        <w:spacing w:line="360" w:lineRule="auto"/>
        <w:rPr>
          <w:rFonts w:ascii="Georgia" w:hAnsi="Georgia" w:cs="Arial"/>
          <w:szCs w:val="24"/>
          <w:lang w:eastAsia="es-MX"/>
        </w:rPr>
      </w:pPr>
      <w:r w:rsidRPr="003A0558">
        <w:rPr>
          <w:rFonts w:ascii="Georgia" w:hAnsi="Georgia" w:cs="Arial"/>
          <w:szCs w:val="24"/>
        </w:rPr>
        <w:t xml:space="preserve">Se entiende por </w:t>
      </w:r>
      <w:r w:rsidRPr="003A0558">
        <w:rPr>
          <w:rFonts w:ascii="Georgia" w:hAnsi="Georgia" w:cs="Arial"/>
          <w:bCs/>
          <w:szCs w:val="24"/>
        </w:rPr>
        <w:t>precedente judicial</w:t>
      </w:r>
      <w:r w:rsidRPr="003A0558">
        <w:rPr>
          <w:rFonts w:ascii="Georgia" w:hAnsi="Georgia" w:cs="Arial"/>
          <w:szCs w:val="24"/>
          <w:vertAlign w:val="superscript"/>
        </w:rPr>
        <w:footnoteReference w:id="23"/>
      </w:r>
      <w:r w:rsidRPr="003A0558">
        <w:rPr>
          <w:rFonts w:ascii="Georgia" w:hAnsi="Georgia" w:cs="Arial"/>
          <w:bCs/>
          <w:szCs w:val="24"/>
        </w:rPr>
        <w:t>, ha dicho la CC</w:t>
      </w:r>
      <w:r w:rsidRPr="003A0558">
        <w:rPr>
          <w:rStyle w:val="Refdenotaalpie"/>
          <w:rFonts w:ascii="Georgia" w:hAnsi="Georgia"/>
          <w:bCs/>
          <w:szCs w:val="24"/>
        </w:rPr>
        <w:footnoteReference w:id="24"/>
      </w:r>
      <w:r w:rsidRPr="003A0558">
        <w:rPr>
          <w:rFonts w:ascii="Georgia" w:hAnsi="Georgia" w:cs="Arial"/>
          <w:szCs w:val="24"/>
        </w:rPr>
        <w:t xml:space="preserve">: </w:t>
      </w:r>
      <w:r w:rsidRPr="003A0558">
        <w:rPr>
          <w:rFonts w:ascii="Georgia" w:hAnsi="Georgia" w:cs="Arial"/>
          <w:i/>
          <w:sz w:val="22"/>
          <w:szCs w:val="24"/>
        </w:rPr>
        <w:t xml:space="preserve">“(…) </w:t>
      </w:r>
      <w:r w:rsidRPr="003A0558">
        <w:rPr>
          <w:rFonts w:ascii="Georgia" w:hAnsi="Georgia" w:cs="Arial"/>
          <w:i/>
          <w:iCs/>
          <w:sz w:val="22"/>
          <w:szCs w:val="24"/>
          <w:lang w:val="es-CO"/>
        </w:rPr>
        <w:t>por regla general, es aquella sentencia o conjunto de sentencias que presentan similitudes con un caso nuevo objeto de escrutinio en materia de (i) patrones fácticos y (ii) problemas jurídicos, y en las que en su ratio decidendi se ha fijado una regla para resolver la controversia, que sirve también para solucionar el nuevo caso</w:t>
      </w:r>
      <w:r w:rsidRPr="003A0558">
        <w:rPr>
          <w:rFonts w:ascii="Georgia" w:hAnsi="Georgia" w:cs="Arial"/>
          <w:i/>
          <w:sz w:val="22"/>
          <w:szCs w:val="24"/>
          <w:lang w:val="es-ES"/>
        </w:rPr>
        <w:t xml:space="preserve"> </w:t>
      </w:r>
      <w:r w:rsidRPr="003A0558">
        <w:rPr>
          <w:rFonts w:ascii="Georgia" w:hAnsi="Georgia" w:cs="Arial"/>
          <w:i/>
          <w:sz w:val="22"/>
          <w:szCs w:val="24"/>
        </w:rPr>
        <w:t>(…)”</w:t>
      </w:r>
      <w:r w:rsidRPr="003A0558">
        <w:rPr>
          <w:rFonts w:ascii="Georgia" w:hAnsi="Georgia" w:cs="Arial"/>
          <w:i/>
          <w:szCs w:val="24"/>
        </w:rPr>
        <w:t>.</w:t>
      </w:r>
      <w:r w:rsidRPr="003A0558">
        <w:rPr>
          <w:rFonts w:ascii="Georgia" w:hAnsi="Georgia" w:cs="Arial"/>
          <w:szCs w:val="24"/>
        </w:rPr>
        <w:t xml:space="preserve">  La doctrina nacional más autorizada en esta materia, cuenta con la obra </w:t>
      </w:r>
      <w:r w:rsidRPr="003A0558">
        <w:rPr>
          <w:rFonts w:ascii="Georgia" w:hAnsi="Georgia" w:cs="Arial"/>
          <w:szCs w:val="24"/>
          <w:lang w:eastAsia="es-MX"/>
        </w:rPr>
        <w:t>del profesor López Medina</w:t>
      </w:r>
      <w:r w:rsidRPr="003A0558">
        <w:rPr>
          <w:rStyle w:val="Refdenotaalpie"/>
          <w:rFonts w:ascii="Georgia" w:hAnsi="Georgia" w:cs="Arial"/>
          <w:szCs w:val="24"/>
          <w:lang w:eastAsia="es-MX"/>
        </w:rPr>
        <w:footnoteReference w:id="25"/>
      </w:r>
      <w:r w:rsidRPr="003A0558">
        <w:rPr>
          <w:rFonts w:ascii="Georgia" w:hAnsi="Georgia" w:cs="Arial"/>
          <w:szCs w:val="24"/>
          <w:lang w:eastAsia="es-MX"/>
        </w:rPr>
        <w:t>, que puede consultarse para mayor ilustración académica.</w:t>
      </w:r>
    </w:p>
    <w:p w:rsidR="009404D7" w:rsidRPr="009404D7" w:rsidRDefault="009404D7" w:rsidP="003A0558">
      <w:pPr>
        <w:pStyle w:val="Textoindependiente"/>
        <w:tabs>
          <w:tab w:val="clear" w:pos="0"/>
          <w:tab w:val="clear" w:pos="708"/>
          <w:tab w:val="left" w:pos="709"/>
        </w:tabs>
        <w:spacing w:line="360" w:lineRule="auto"/>
        <w:rPr>
          <w:rFonts w:ascii="Georgia" w:hAnsi="Georgia" w:cs="Arial"/>
          <w:sz w:val="20"/>
          <w:szCs w:val="24"/>
          <w:lang w:eastAsia="es-MX"/>
        </w:rPr>
      </w:pPr>
    </w:p>
    <w:p w:rsidR="003A0558" w:rsidRPr="003A0558" w:rsidRDefault="003A0558" w:rsidP="003A0558">
      <w:pPr>
        <w:pStyle w:val="Textoindependiente"/>
        <w:tabs>
          <w:tab w:val="clear" w:pos="0"/>
          <w:tab w:val="clear" w:pos="708"/>
          <w:tab w:val="left" w:pos="709"/>
        </w:tabs>
        <w:spacing w:line="360" w:lineRule="auto"/>
        <w:rPr>
          <w:rFonts w:ascii="Georgia" w:hAnsi="Georgia"/>
          <w:szCs w:val="24"/>
        </w:rPr>
      </w:pPr>
      <w:r w:rsidRPr="003A0558">
        <w:rPr>
          <w:rFonts w:ascii="Georgia" w:hAnsi="Georgia" w:cs="Arial"/>
          <w:szCs w:val="24"/>
          <w:lang w:eastAsia="es-CO"/>
        </w:rPr>
        <w:t>En la teoría del derecho judicial y en particular nuestro Alto Tribunal constitucional, se distingue el precedente horizontal y el vertical</w:t>
      </w:r>
      <w:r w:rsidRPr="003A0558">
        <w:rPr>
          <w:rFonts w:ascii="Georgia" w:hAnsi="Georgia" w:cs="Arial"/>
          <w:szCs w:val="24"/>
          <w:vertAlign w:val="superscript"/>
          <w:lang w:eastAsia="es-CO"/>
        </w:rPr>
        <w:footnoteReference w:id="26"/>
      </w:r>
      <w:r w:rsidRPr="003A0558">
        <w:rPr>
          <w:rFonts w:ascii="Georgia" w:hAnsi="Georgia" w:cs="Arial"/>
          <w:szCs w:val="24"/>
          <w:lang w:eastAsia="es-CO"/>
        </w:rPr>
        <w:t xml:space="preserve"> (2017), según la autoridad judicial que </w:t>
      </w:r>
      <w:r w:rsidRPr="003A0558">
        <w:rPr>
          <w:rFonts w:ascii="Georgia" w:hAnsi="Georgia" w:cs="Arial"/>
          <w:szCs w:val="24"/>
          <w:lang w:eastAsia="es-CO"/>
        </w:rPr>
        <w:lastRenderedPageBreak/>
        <w:t>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CC</w:t>
      </w:r>
      <w:r w:rsidRPr="003A0558">
        <w:rPr>
          <w:rStyle w:val="Refdenotaalpie"/>
          <w:rFonts w:ascii="Georgia" w:hAnsi="Georgia"/>
          <w:szCs w:val="24"/>
          <w:lang w:eastAsia="es-CO"/>
        </w:rPr>
        <w:footnoteReference w:id="27"/>
      </w:r>
      <w:r w:rsidRPr="003A0558">
        <w:rPr>
          <w:rFonts w:ascii="Georgia" w:hAnsi="Georgia" w:cs="Arial"/>
          <w:szCs w:val="24"/>
          <w:lang w:eastAsia="es-CO"/>
        </w:rPr>
        <w:t>.</w:t>
      </w:r>
    </w:p>
    <w:p w:rsidR="003A0558" w:rsidRPr="009404D7" w:rsidRDefault="003A0558" w:rsidP="003A0558">
      <w:pPr>
        <w:pStyle w:val="Textoindependiente"/>
        <w:tabs>
          <w:tab w:val="clear" w:pos="0"/>
          <w:tab w:val="clear" w:pos="708"/>
          <w:tab w:val="left" w:pos="709"/>
        </w:tabs>
        <w:spacing w:line="360" w:lineRule="auto"/>
        <w:rPr>
          <w:rFonts w:ascii="Georgia" w:hAnsi="Georgia"/>
          <w:sz w:val="20"/>
          <w:szCs w:val="24"/>
          <w:lang w:val="es-CO"/>
        </w:rPr>
      </w:pPr>
    </w:p>
    <w:p w:rsidR="009404D7" w:rsidRDefault="003A0558" w:rsidP="003A0558">
      <w:pPr>
        <w:pStyle w:val="Textoindependiente"/>
        <w:tabs>
          <w:tab w:val="clear" w:pos="0"/>
          <w:tab w:val="clear" w:pos="708"/>
          <w:tab w:val="left" w:pos="709"/>
        </w:tabs>
        <w:spacing w:line="360" w:lineRule="auto"/>
        <w:rPr>
          <w:rFonts w:ascii="Georgia" w:hAnsi="Georgia" w:cs="Arial"/>
          <w:i/>
          <w:sz w:val="22"/>
          <w:szCs w:val="24"/>
          <w:lang w:eastAsia="es-CO"/>
        </w:rPr>
      </w:pPr>
      <w:r w:rsidRPr="003A0558">
        <w:rPr>
          <w:rFonts w:ascii="Georgia" w:hAnsi="Georgia"/>
          <w:szCs w:val="24"/>
        </w:rPr>
        <w:t>En</w:t>
      </w:r>
      <w:r w:rsidR="009404D7">
        <w:rPr>
          <w:rFonts w:ascii="Georgia" w:hAnsi="Georgia"/>
          <w:szCs w:val="24"/>
        </w:rPr>
        <w:t xml:space="preserve"> </w:t>
      </w:r>
      <w:r w:rsidRPr="003A0558">
        <w:rPr>
          <w:rFonts w:ascii="Georgia" w:hAnsi="Georgia"/>
          <w:szCs w:val="24"/>
        </w:rPr>
        <w:t xml:space="preserve"> la </w:t>
      </w:r>
      <w:r w:rsidR="009404D7">
        <w:rPr>
          <w:rFonts w:ascii="Georgia" w:hAnsi="Georgia"/>
          <w:szCs w:val="24"/>
        </w:rPr>
        <w:t xml:space="preserve"> </w:t>
      </w:r>
      <w:r w:rsidRPr="003A0558">
        <w:rPr>
          <w:rFonts w:ascii="Georgia" w:hAnsi="Georgia"/>
          <w:szCs w:val="24"/>
        </w:rPr>
        <w:t xml:space="preserve">decisión </w:t>
      </w:r>
      <w:r w:rsidR="009404D7">
        <w:rPr>
          <w:rFonts w:ascii="Georgia" w:hAnsi="Georgia"/>
          <w:szCs w:val="24"/>
        </w:rPr>
        <w:t xml:space="preserve"> </w:t>
      </w:r>
      <w:r w:rsidRPr="003A0558">
        <w:rPr>
          <w:rFonts w:ascii="Georgia" w:hAnsi="Georgia"/>
          <w:szCs w:val="24"/>
        </w:rPr>
        <w:t xml:space="preserve">aludida </w:t>
      </w:r>
      <w:r w:rsidR="009404D7">
        <w:rPr>
          <w:rFonts w:ascii="Georgia" w:hAnsi="Georgia"/>
          <w:szCs w:val="24"/>
        </w:rPr>
        <w:t xml:space="preserve"> </w:t>
      </w:r>
      <w:r w:rsidRPr="003A0558">
        <w:rPr>
          <w:rFonts w:ascii="Georgia" w:hAnsi="Georgia"/>
          <w:szCs w:val="24"/>
        </w:rPr>
        <w:t xml:space="preserve">concluyó </w:t>
      </w:r>
      <w:r w:rsidR="009404D7">
        <w:rPr>
          <w:rFonts w:ascii="Georgia" w:hAnsi="Georgia"/>
          <w:szCs w:val="24"/>
        </w:rPr>
        <w:t xml:space="preserve"> </w:t>
      </w:r>
      <w:r w:rsidRPr="003A0558">
        <w:rPr>
          <w:rFonts w:ascii="Georgia" w:hAnsi="Georgia"/>
          <w:szCs w:val="24"/>
        </w:rPr>
        <w:t xml:space="preserve">la </w:t>
      </w:r>
      <w:r w:rsidR="009404D7">
        <w:rPr>
          <w:rFonts w:ascii="Georgia" w:hAnsi="Georgia"/>
          <w:szCs w:val="24"/>
        </w:rPr>
        <w:t xml:space="preserve"> </w:t>
      </w:r>
      <w:r w:rsidRPr="003A0558">
        <w:rPr>
          <w:rFonts w:ascii="Georgia" w:hAnsi="Georgia"/>
          <w:szCs w:val="24"/>
        </w:rPr>
        <w:t xml:space="preserve">Corporación </w:t>
      </w:r>
      <w:r w:rsidR="009404D7">
        <w:rPr>
          <w:rFonts w:ascii="Georgia" w:hAnsi="Georgia"/>
          <w:szCs w:val="24"/>
        </w:rPr>
        <w:t xml:space="preserve"> </w:t>
      </w:r>
      <w:r w:rsidRPr="003A0558">
        <w:rPr>
          <w:rFonts w:ascii="Georgia" w:hAnsi="Georgia"/>
          <w:szCs w:val="24"/>
        </w:rPr>
        <w:t xml:space="preserve">en </w:t>
      </w:r>
      <w:r w:rsidR="009404D7">
        <w:rPr>
          <w:rFonts w:ascii="Georgia" w:hAnsi="Georgia"/>
          <w:szCs w:val="24"/>
        </w:rPr>
        <w:t xml:space="preserve"> </w:t>
      </w:r>
      <w:r w:rsidRPr="003A0558">
        <w:rPr>
          <w:rFonts w:ascii="Georgia" w:hAnsi="Georgia"/>
          <w:szCs w:val="24"/>
        </w:rPr>
        <w:t xml:space="preserve">los </w:t>
      </w:r>
      <w:r w:rsidR="009404D7">
        <w:rPr>
          <w:rFonts w:ascii="Georgia" w:hAnsi="Georgia"/>
          <w:szCs w:val="24"/>
        </w:rPr>
        <w:t xml:space="preserve"> </w:t>
      </w:r>
      <w:r w:rsidRPr="003A0558">
        <w:rPr>
          <w:rFonts w:ascii="Georgia" w:hAnsi="Georgia"/>
          <w:szCs w:val="24"/>
        </w:rPr>
        <w:t xml:space="preserve">siguientes </w:t>
      </w:r>
      <w:r w:rsidR="009404D7">
        <w:rPr>
          <w:rFonts w:ascii="Georgia" w:hAnsi="Georgia"/>
          <w:szCs w:val="24"/>
        </w:rPr>
        <w:t xml:space="preserve"> </w:t>
      </w:r>
      <w:r w:rsidRPr="003A0558">
        <w:rPr>
          <w:rFonts w:ascii="Georgia" w:hAnsi="Georgia"/>
          <w:szCs w:val="24"/>
        </w:rPr>
        <w:t xml:space="preserve">términos: </w:t>
      </w:r>
      <w:r w:rsidRPr="003A0558">
        <w:rPr>
          <w:rFonts w:ascii="Georgia" w:hAnsi="Georgia" w:cs="Arial"/>
          <w:i/>
          <w:sz w:val="22"/>
          <w:szCs w:val="24"/>
          <w:lang w:eastAsia="es-CO"/>
        </w:rPr>
        <w:t xml:space="preserve">“Así, para la </w:t>
      </w:r>
    </w:p>
    <w:p w:rsidR="003A0558" w:rsidRPr="003A0558" w:rsidRDefault="003A0558" w:rsidP="003A0558">
      <w:pPr>
        <w:pStyle w:val="Textoindependiente"/>
        <w:tabs>
          <w:tab w:val="clear" w:pos="0"/>
          <w:tab w:val="clear" w:pos="708"/>
          <w:tab w:val="left" w:pos="709"/>
        </w:tabs>
        <w:spacing w:line="360" w:lineRule="auto"/>
        <w:rPr>
          <w:rFonts w:ascii="Georgia" w:hAnsi="Georgia" w:cs="Arial"/>
          <w:szCs w:val="24"/>
          <w:lang w:eastAsia="es-CO"/>
        </w:rPr>
      </w:pPr>
      <w:r w:rsidRPr="003A0558">
        <w:rPr>
          <w:rFonts w:ascii="Georgia" w:hAnsi="Georgia" w:cs="Arial"/>
          <w:i/>
          <w:sz w:val="22"/>
          <w:szCs w:val="24"/>
          <w:lang w:eastAsia="es-CO"/>
        </w:rPr>
        <w:t>mayoría de asuntos, el precedente vertical que deben seguir los funcionarios judiciales es determinado por la Corte Suprema de Justicia o por el Consejo de Estado, como órganos de cierre dentro de su respectiva jurisdicción</w:t>
      </w:r>
      <w:r w:rsidRPr="003A0558">
        <w:rPr>
          <w:rFonts w:ascii="Georgia" w:hAnsi="Georgia" w:cs="Arial"/>
          <w:i/>
          <w:sz w:val="22"/>
          <w:szCs w:val="24"/>
          <w:vertAlign w:val="superscript"/>
          <w:lang w:eastAsia="es-CO"/>
        </w:rPr>
        <w:footnoteReference w:id="28"/>
      </w:r>
      <w:r w:rsidRPr="003A0558">
        <w:rPr>
          <w:rFonts w:ascii="Georgia" w:hAnsi="Georgia" w:cs="Arial"/>
          <w:i/>
          <w:sz w:val="22"/>
          <w:szCs w:val="24"/>
          <w:lang w:eastAsia="es-CO"/>
        </w:rPr>
        <w:t>. En los casos en los que no son susceptibles de ser revisados por las autoridades mencionadas, son los tribunales los encargados de establecer criterios hermenéuticos para los operadores judiciales inferiores”</w:t>
      </w:r>
      <w:r w:rsidRPr="003A0558">
        <w:rPr>
          <w:rFonts w:ascii="Georgia" w:hAnsi="Georgia" w:cs="Arial"/>
          <w:i/>
          <w:szCs w:val="24"/>
          <w:vertAlign w:val="superscript"/>
          <w:lang w:eastAsia="es-CO"/>
        </w:rPr>
        <w:footnoteReference w:id="29"/>
      </w:r>
      <w:r w:rsidRPr="003A0558">
        <w:rPr>
          <w:rFonts w:ascii="Georgia" w:hAnsi="Georgia" w:cs="Arial"/>
          <w:i/>
          <w:szCs w:val="24"/>
          <w:lang w:eastAsia="es-CO"/>
        </w:rPr>
        <w:t>.</w:t>
      </w:r>
      <w:r w:rsidRPr="003A0558">
        <w:rPr>
          <w:rFonts w:ascii="Georgia" w:hAnsi="Georgia" w:cs="Arial"/>
          <w:szCs w:val="24"/>
          <w:lang w:eastAsia="es-CO"/>
        </w:rPr>
        <w:t xml:space="preserve"> </w:t>
      </w:r>
    </w:p>
    <w:p w:rsidR="003A0558" w:rsidRPr="009404D7" w:rsidRDefault="003A0558" w:rsidP="003A0558">
      <w:pPr>
        <w:pStyle w:val="Textoindependiente"/>
        <w:tabs>
          <w:tab w:val="clear" w:pos="0"/>
          <w:tab w:val="clear" w:pos="708"/>
          <w:tab w:val="left" w:pos="709"/>
        </w:tabs>
        <w:spacing w:line="360" w:lineRule="auto"/>
        <w:rPr>
          <w:rFonts w:ascii="Georgia" w:hAnsi="Georgia" w:cs="Arial"/>
          <w:sz w:val="20"/>
          <w:szCs w:val="24"/>
          <w:lang w:eastAsia="es-CO"/>
        </w:rPr>
      </w:pPr>
    </w:p>
    <w:p w:rsidR="003A0558" w:rsidRPr="003A0558" w:rsidRDefault="003A0558" w:rsidP="003A0558">
      <w:pPr>
        <w:pStyle w:val="Textoindependiente"/>
        <w:tabs>
          <w:tab w:val="clear" w:pos="0"/>
          <w:tab w:val="clear" w:pos="708"/>
          <w:tab w:val="left" w:pos="709"/>
        </w:tabs>
        <w:spacing w:line="360" w:lineRule="auto"/>
        <w:rPr>
          <w:rFonts w:ascii="Georgia" w:hAnsi="Georgia" w:cs="Arial"/>
          <w:szCs w:val="24"/>
          <w:lang w:val="es-CO"/>
        </w:rPr>
      </w:pPr>
      <w:r w:rsidRPr="003A0558">
        <w:rPr>
          <w:rFonts w:ascii="Georgia" w:hAnsi="Georgia"/>
          <w:szCs w:val="24"/>
        </w:rPr>
        <w:t>También se tiene dicho que e</w:t>
      </w:r>
      <w:r w:rsidRPr="003A0558">
        <w:rPr>
          <w:rFonts w:ascii="Georgia" w:hAnsi="Georgia" w:cs="Arial"/>
          <w:szCs w:val="24"/>
        </w:rPr>
        <w:t xml:space="preserve">l precedente no solo es orientador, sino </w:t>
      </w:r>
      <w:r w:rsidRPr="003A0558">
        <w:rPr>
          <w:rFonts w:ascii="Georgia" w:hAnsi="Georgia" w:cs="Arial"/>
          <w:bCs/>
          <w:szCs w:val="24"/>
          <w:u w:val="single"/>
        </w:rPr>
        <w:t>obligatorio</w:t>
      </w:r>
      <w:r w:rsidRPr="003A0558">
        <w:rPr>
          <w:rFonts w:ascii="Georgia" w:hAnsi="Georgia" w:cs="Arial"/>
          <w:szCs w:val="24"/>
        </w:rPr>
        <w:t xml:space="preserve">, aunque con la posibilidad de discrepar, a condición de tener presente que: </w:t>
      </w:r>
      <w:r w:rsidRPr="003A0558">
        <w:rPr>
          <w:rFonts w:ascii="Georgia" w:hAnsi="Georgia" w:cs="Arial"/>
          <w:i/>
          <w:szCs w:val="24"/>
        </w:rPr>
        <w:t>“</w:t>
      </w:r>
      <w:r w:rsidRPr="003A0558">
        <w:rPr>
          <w:rFonts w:ascii="Georgia" w:hAnsi="Georgia" w:cs="Arial"/>
          <w:i/>
          <w:sz w:val="22"/>
          <w:szCs w:val="24"/>
        </w:rPr>
        <w:t xml:space="preserve">(…) </w:t>
      </w:r>
      <w:r w:rsidRPr="003A0558">
        <w:rPr>
          <w:rFonts w:ascii="Georgia" w:hAnsi="Georgia" w:cs="Arial"/>
          <w:i/>
          <w:iCs/>
          <w:sz w:val="22"/>
          <w:szCs w:val="24"/>
        </w:rPr>
        <w:t xml:space="preserve">están obligados </w:t>
      </w:r>
      <w:r w:rsidRPr="003A0558">
        <w:rPr>
          <w:rFonts w:ascii="Georgia" w:hAnsi="Georgia" w:cs="Arial"/>
          <w:iCs/>
          <w:sz w:val="22"/>
          <w:szCs w:val="24"/>
        </w:rPr>
        <w:t>(Sic)</w:t>
      </w:r>
      <w:r w:rsidRPr="003A0558">
        <w:rPr>
          <w:rFonts w:ascii="Georgia" w:hAnsi="Georgia" w:cs="Arial"/>
          <w:i/>
          <w:iCs/>
          <w:sz w:val="22"/>
          <w:szCs w:val="24"/>
        </w:rPr>
        <w:t xml:space="preserve"> exponer clara y razonadamente los fundamentos jurídicos que justifican su decisión</w:t>
      </w:r>
      <w:r w:rsidRPr="003A0558">
        <w:rPr>
          <w:rFonts w:ascii="Georgia" w:hAnsi="Georgia" w:cs="Arial"/>
          <w:i/>
          <w:sz w:val="22"/>
          <w:szCs w:val="24"/>
        </w:rPr>
        <w:t xml:space="preserve"> (…)</w:t>
      </w:r>
      <w:r w:rsidRPr="003A0558">
        <w:rPr>
          <w:rFonts w:ascii="Georgia" w:hAnsi="Georgia" w:cs="Arial"/>
          <w:i/>
          <w:szCs w:val="24"/>
        </w:rPr>
        <w:t>”</w:t>
      </w:r>
      <w:r w:rsidRPr="003A0558">
        <w:rPr>
          <w:rStyle w:val="Refdenotaalpie"/>
          <w:rFonts w:ascii="Georgia" w:hAnsi="Georgia"/>
          <w:i/>
          <w:szCs w:val="24"/>
        </w:rPr>
        <w:footnoteReference w:id="30"/>
      </w:r>
      <w:r w:rsidRPr="003A0558">
        <w:rPr>
          <w:rFonts w:ascii="Georgia" w:hAnsi="Georgia" w:cs="Arial"/>
          <w:i/>
          <w:szCs w:val="24"/>
        </w:rPr>
        <w:t xml:space="preserve">, </w:t>
      </w:r>
      <w:r w:rsidRPr="003A0558">
        <w:rPr>
          <w:rFonts w:ascii="Georgia" w:hAnsi="Georgia" w:cs="Arial"/>
          <w:szCs w:val="24"/>
        </w:rPr>
        <w:t>por eso precisa la Corporación</w:t>
      </w:r>
      <w:r w:rsidRPr="003A0558">
        <w:rPr>
          <w:rStyle w:val="Refdenotaalpie"/>
          <w:rFonts w:ascii="Georgia" w:hAnsi="Georgia"/>
          <w:szCs w:val="24"/>
        </w:rPr>
        <w:footnoteReference w:id="31"/>
      </w:r>
      <w:r w:rsidRPr="003A0558">
        <w:rPr>
          <w:rFonts w:ascii="Georgia" w:hAnsi="Georgia" w:cs="Arial"/>
          <w:szCs w:val="24"/>
        </w:rPr>
        <w:t xml:space="preserve">, tantas veces citada: </w:t>
      </w:r>
      <w:r w:rsidRPr="003A0558">
        <w:rPr>
          <w:rFonts w:ascii="Georgia" w:hAnsi="Georgia" w:cs="Arial"/>
          <w:i/>
          <w:sz w:val="22"/>
          <w:szCs w:val="24"/>
        </w:rPr>
        <w:t xml:space="preserve">“(…) </w:t>
      </w:r>
      <w:r w:rsidRPr="003A0558">
        <w:rPr>
          <w:rFonts w:ascii="Georgia" w:hAnsi="Georgia" w:cs="Arial"/>
          <w:i/>
          <w:iCs/>
          <w:color w:val="000000"/>
          <w:sz w:val="22"/>
          <w:szCs w:val="22"/>
          <w:shd w:val="clear" w:color="auto" w:fill="FFFFFF"/>
        </w:rPr>
        <w:t>el error no se presenta siempre que el funcionario jurisdiccional reconozca y señale las decisiones anteriores de las que se aparta, y argumente con suficiencia los motivos de su decisión. Ello sucede con un manejo legítimo del precedente, labor que obliga a que el juez i) se refiera al precedente anterior y ii) ofrezca un argumento suficiente para el abandono o cambio de la norma jurisprudencial.”.</w:t>
      </w:r>
    </w:p>
    <w:p w:rsidR="003A0558" w:rsidRPr="009404D7" w:rsidRDefault="003A0558" w:rsidP="003A0558">
      <w:pPr>
        <w:pStyle w:val="Textoindependiente"/>
        <w:tabs>
          <w:tab w:val="clear" w:pos="0"/>
          <w:tab w:val="clear" w:pos="708"/>
          <w:tab w:val="left" w:pos="709"/>
        </w:tabs>
        <w:spacing w:line="360" w:lineRule="auto"/>
        <w:rPr>
          <w:rFonts w:ascii="Georgia" w:hAnsi="Georgia" w:cs="Arial"/>
          <w:sz w:val="20"/>
          <w:szCs w:val="24"/>
        </w:rPr>
      </w:pPr>
    </w:p>
    <w:p w:rsidR="003A0558" w:rsidRPr="003A0558" w:rsidRDefault="003A0558" w:rsidP="003A0558">
      <w:pPr>
        <w:pStyle w:val="Textoindependiente"/>
        <w:tabs>
          <w:tab w:val="clear" w:pos="0"/>
          <w:tab w:val="clear" w:pos="708"/>
          <w:tab w:val="left" w:pos="709"/>
        </w:tabs>
        <w:spacing w:line="360" w:lineRule="auto"/>
        <w:rPr>
          <w:rFonts w:ascii="Georgia" w:hAnsi="Georgia" w:cs="Arial"/>
          <w:szCs w:val="24"/>
        </w:rPr>
      </w:pPr>
      <w:r w:rsidRPr="003A0558">
        <w:rPr>
          <w:rFonts w:ascii="Georgia" w:hAnsi="Georgia" w:cs="Arial"/>
          <w:szCs w:val="24"/>
        </w:rPr>
        <w:t xml:space="preserve">En suma, la doctrina del precedente judicial y su nivel de obligatoriedad para las autoridades, en aras de garantizar </w:t>
      </w:r>
      <w:r w:rsidRPr="003A0558">
        <w:rPr>
          <w:rFonts w:ascii="Georgia" w:hAnsi="Georgia" w:cs="Arial"/>
          <w:szCs w:val="24"/>
          <w:lang w:eastAsia="es-CO"/>
        </w:rPr>
        <w:t>la confianza en las decisiones de los jueces, se armoniza con los principios de seguridad jurídica, igualdad, buena fe y confianza legítima imperantes en nuestro sistema jurídico.  Importa una ilustración dogmática adicional, con las concisas palabras de la Corte citada</w:t>
      </w:r>
      <w:r w:rsidRPr="003A0558">
        <w:rPr>
          <w:rStyle w:val="Refdenotaalpie"/>
          <w:rFonts w:ascii="Georgia" w:hAnsi="Georgia"/>
          <w:szCs w:val="24"/>
          <w:lang w:eastAsia="es-CO"/>
        </w:rPr>
        <w:footnoteReference w:id="32"/>
      </w:r>
      <w:r w:rsidRPr="003A0558">
        <w:rPr>
          <w:rFonts w:ascii="Georgia" w:hAnsi="Georgia" w:cs="Arial"/>
          <w:szCs w:val="24"/>
          <w:lang w:eastAsia="es-CO"/>
        </w:rPr>
        <w:t>:</w:t>
      </w:r>
    </w:p>
    <w:p w:rsidR="003A0558" w:rsidRPr="00FE5CDD" w:rsidRDefault="003A0558" w:rsidP="003A0558">
      <w:pPr>
        <w:pStyle w:val="Textoindependiente"/>
        <w:tabs>
          <w:tab w:val="clear" w:pos="0"/>
          <w:tab w:val="clear" w:pos="708"/>
          <w:tab w:val="left" w:pos="709"/>
        </w:tabs>
        <w:spacing w:line="360" w:lineRule="auto"/>
        <w:rPr>
          <w:rFonts w:ascii="Georgia" w:hAnsi="Georgia" w:cs="Arial"/>
          <w:sz w:val="20"/>
          <w:szCs w:val="24"/>
        </w:rPr>
      </w:pPr>
    </w:p>
    <w:p w:rsidR="003A0558" w:rsidRPr="003A0558" w:rsidRDefault="003A0558" w:rsidP="003A0558">
      <w:pPr>
        <w:pStyle w:val="Textoindependiente"/>
        <w:spacing w:line="240" w:lineRule="auto"/>
        <w:ind w:left="567" w:right="567"/>
        <w:rPr>
          <w:rFonts w:ascii="Georgia" w:hAnsi="Georgia" w:cs="Arial"/>
        </w:rPr>
      </w:pPr>
      <w:r w:rsidRPr="003A0558">
        <w:rPr>
          <w:rFonts w:ascii="Georgia" w:hAnsi="Georgia" w:cs="Arial"/>
          <w:szCs w:val="24"/>
          <w:lang w:eastAsia="es-CO"/>
        </w:rPr>
        <w:t xml:space="preserve">En resumen, los jueces tienen un deber de obligatorio cumplimiento y es el de </w:t>
      </w:r>
      <w:r w:rsidRPr="003A0558">
        <w:rPr>
          <w:rFonts w:ascii="Georgia" w:hAnsi="Georgia" w:cs="Arial"/>
          <w:bCs/>
          <w:szCs w:val="24"/>
          <w:lang w:eastAsia="es-CO"/>
        </w:rPr>
        <w:t xml:space="preserve">(i) </w:t>
      </w:r>
      <w:r w:rsidRPr="003A0558">
        <w:rPr>
          <w:rFonts w:ascii="Georgia" w:hAnsi="Georgia" w:cs="Arial"/>
          <w:szCs w:val="24"/>
          <w:lang w:eastAsia="es-CO"/>
        </w:rPr>
        <w:t xml:space="preserve">acoger las decisiones proferidas por los órganos de cierre en cada una de las jurisdicciones (ordinaria, contencioso administrativa o constitucional) cuando éstas constituyen precedentes, y/o </w:t>
      </w:r>
      <w:r w:rsidRPr="003A0558">
        <w:rPr>
          <w:rFonts w:ascii="Georgia" w:hAnsi="Georgia" w:cs="Arial"/>
          <w:bCs/>
          <w:szCs w:val="24"/>
          <w:lang w:eastAsia="es-CO"/>
        </w:rPr>
        <w:t xml:space="preserve">(ii) </w:t>
      </w:r>
      <w:r w:rsidRPr="003A0558">
        <w:rPr>
          <w:rFonts w:ascii="Georgia" w:hAnsi="Georgia" w:cs="Arial"/>
          <w:szCs w:val="24"/>
          <w:lang w:eastAsia="es-CO"/>
        </w:rPr>
        <w:t xml:space="preserve">sus propias decisiones en casos idénticos, por el respeto del trato igual al acceder a la justicia. Sin embargo, esta regla no es absoluta, ya que los jueces pueden apartarse de dicho precedente, pero cumpliendo la carga argumentativa antes descrita y construyendo una mejor respuesta al problema jurídico. En este orden de ideas, por ejemplo, cuando un juez de inferior jerarquía se aparta de un precedente establecido en su jurisdicción por el órgano de cierre o de su propio precedente, sin exponer un razonamiento proporcional y razonable para el efecto, incurre en la causal de procedibilidad de la tutela por defecto sustantivo o material, que tiene como </w:t>
      </w:r>
      <w:r w:rsidRPr="003A0558">
        <w:rPr>
          <w:rFonts w:ascii="Georgia" w:hAnsi="Georgia" w:cs="Arial"/>
          <w:szCs w:val="24"/>
          <w:lang w:eastAsia="es-CO"/>
        </w:rPr>
        <w:lastRenderedPageBreak/>
        <w:t>consecuencia, una vulneración de los derechos fundamentales a la igualdad y al debido proceso de las personas partícipes del proceso respectivo, entre otros.</w:t>
      </w:r>
    </w:p>
    <w:p w:rsidR="0066066E" w:rsidRPr="009404D7" w:rsidRDefault="0066066E" w:rsidP="0066066E">
      <w:pPr>
        <w:pStyle w:val="Textoindependiente"/>
        <w:spacing w:line="360" w:lineRule="auto"/>
        <w:ind w:left="400"/>
        <w:rPr>
          <w:rFonts w:ascii="Georgia" w:hAnsi="Georgia"/>
          <w:smallCaps/>
          <w:szCs w:val="24"/>
        </w:rPr>
      </w:pPr>
    </w:p>
    <w:p w:rsidR="008E1295" w:rsidRPr="001E5B6B" w:rsidRDefault="00FE5FF3" w:rsidP="0095259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3D24E8" w:rsidRPr="009404D7" w:rsidRDefault="003D24E8" w:rsidP="003D24E8">
      <w:pPr>
        <w:pStyle w:val="Textoindependiente"/>
        <w:spacing w:line="360" w:lineRule="auto"/>
        <w:rPr>
          <w:rFonts w:ascii="Georgia" w:hAnsi="Georgia"/>
          <w:smallCaps/>
          <w:sz w:val="20"/>
          <w:szCs w:val="24"/>
        </w:rPr>
      </w:pPr>
    </w:p>
    <w:p w:rsidR="003D24E8" w:rsidRDefault="003D24E8" w:rsidP="003D24E8">
      <w:pPr>
        <w:pStyle w:val="Textoindependiente"/>
        <w:spacing w:line="360" w:lineRule="auto"/>
        <w:rPr>
          <w:rFonts w:ascii="Georgia" w:hAnsi="Georgia"/>
          <w:szCs w:val="24"/>
        </w:rPr>
      </w:pPr>
      <w:r>
        <w:rPr>
          <w:rFonts w:ascii="Georgia" w:hAnsi="Georgia"/>
          <w:szCs w:val="24"/>
        </w:rPr>
        <w:t>En la metodología enseñada por la doctrina constituciona</w:t>
      </w:r>
      <w:r w:rsidR="006B3213">
        <w:rPr>
          <w:rFonts w:ascii="Georgia" w:hAnsi="Georgia"/>
          <w:szCs w:val="24"/>
        </w:rPr>
        <w:t xml:space="preserve">l, el primer examen consiste en </w:t>
      </w:r>
      <w:r>
        <w:rPr>
          <w:rFonts w:ascii="Georgia" w:hAnsi="Georgia"/>
          <w:szCs w:val="24"/>
        </w:rPr>
        <w:t>verificar los presupuestos generales de procedibilidad, y para el caso se hallan cumplidos.</w:t>
      </w:r>
    </w:p>
    <w:p w:rsidR="003D24E8" w:rsidRPr="00FE5CDD" w:rsidRDefault="003D24E8" w:rsidP="003D24E8">
      <w:pPr>
        <w:pStyle w:val="Textoindependiente"/>
        <w:spacing w:line="360" w:lineRule="auto"/>
        <w:rPr>
          <w:rFonts w:ascii="Georgia" w:hAnsi="Georgia"/>
          <w:sz w:val="20"/>
          <w:szCs w:val="24"/>
        </w:rPr>
      </w:pPr>
    </w:p>
    <w:p w:rsidR="009404D7" w:rsidRDefault="003D24E8" w:rsidP="003D24E8">
      <w:pPr>
        <w:pStyle w:val="Textoindependiente"/>
        <w:spacing w:line="360" w:lineRule="auto"/>
        <w:rPr>
          <w:rFonts w:ascii="Georgia" w:hAnsi="Georgia"/>
          <w:szCs w:val="24"/>
          <w:lang w:val="es-CO"/>
        </w:rPr>
      </w:pPr>
      <w:r>
        <w:rPr>
          <w:rFonts w:ascii="Georgia" w:hAnsi="Georgia"/>
          <w:szCs w:val="24"/>
        </w:rPr>
        <w:t>El</w:t>
      </w:r>
      <w:r w:rsidR="009404D7">
        <w:rPr>
          <w:rFonts w:ascii="Georgia" w:hAnsi="Georgia"/>
          <w:szCs w:val="24"/>
        </w:rPr>
        <w:t xml:space="preserve"> </w:t>
      </w:r>
      <w:r>
        <w:rPr>
          <w:rFonts w:ascii="Georgia" w:hAnsi="Georgia"/>
          <w:szCs w:val="24"/>
        </w:rPr>
        <w:t xml:space="preserve"> asunto </w:t>
      </w:r>
      <w:r w:rsidR="009404D7">
        <w:rPr>
          <w:rFonts w:ascii="Georgia" w:hAnsi="Georgia"/>
          <w:szCs w:val="24"/>
        </w:rPr>
        <w:t xml:space="preserve"> </w:t>
      </w:r>
      <w:r>
        <w:rPr>
          <w:rFonts w:ascii="Georgia" w:hAnsi="Georgia"/>
          <w:szCs w:val="24"/>
        </w:rPr>
        <w:t xml:space="preserve">es de </w:t>
      </w:r>
      <w:r w:rsidR="009404D7">
        <w:rPr>
          <w:rFonts w:ascii="Georgia" w:hAnsi="Georgia"/>
          <w:szCs w:val="24"/>
        </w:rPr>
        <w:t xml:space="preserve"> </w:t>
      </w:r>
      <w:r>
        <w:rPr>
          <w:rFonts w:ascii="Georgia" w:hAnsi="Georgia"/>
          <w:szCs w:val="24"/>
        </w:rPr>
        <w:t xml:space="preserve">relevancia </w:t>
      </w:r>
      <w:r w:rsidR="009404D7">
        <w:rPr>
          <w:rFonts w:ascii="Georgia" w:hAnsi="Georgia"/>
          <w:szCs w:val="24"/>
        </w:rPr>
        <w:t xml:space="preserve"> </w:t>
      </w:r>
      <w:r>
        <w:rPr>
          <w:rFonts w:ascii="Georgia" w:hAnsi="Georgia"/>
          <w:szCs w:val="24"/>
        </w:rPr>
        <w:t>constitucional;</w:t>
      </w:r>
      <w:r w:rsidR="009404D7">
        <w:rPr>
          <w:rFonts w:ascii="Georgia" w:hAnsi="Georgia"/>
          <w:szCs w:val="24"/>
        </w:rPr>
        <w:t xml:space="preserve"> </w:t>
      </w:r>
      <w:r>
        <w:rPr>
          <w:rFonts w:ascii="Georgia" w:hAnsi="Georgia"/>
          <w:szCs w:val="24"/>
        </w:rPr>
        <w:t xml:space="preserve"> se </w:t>
      </w:r>
      <w:r w:rsidR="009404D7">
        <w:rPr>
          <w:rFonts w:ascii="Georgia" w:hAnsi="Georgia"/>
          <w:szCs w:val="24"/>
        </w:rPr>
        <w:t xml:space="preserve"> </w:t>
      </w:r>
      <w:r>
        <w:rPr>
          <w:rFonts w:ascii="Georgia" w:hAnsi="Georgia"/>
          <w:szCs w:val="24"/>
        </w:rPr>
        <w:t>agotaron</w:t>
      </w:r>
      <w:r>
        <w:rPr>
          <w:rFonts w:ascii="Georgia" w:hAnsi="Georgia"/>
          <w:szCs w:val="24"/>
          <w:lang w:val="es-CO"/>
        </w:rPr>
        <w:t xml:space="preserve"> </w:t>
      </w:r>
      <w:r w:rsidR="009404D7">
        <w:rPr>
          <w:rFonts w:ascii="Georgia" w:hAnsi="Georgia"/>
          <w:szCs w:val="24"/>
          <w:lang w:val="es-CO"/>
        </w:rPr>
        <w:t xml:space="preserve"> </w:t>
      </w:r>
      <w:r>
        <w:rPr>
          <w:rFonts w:ascii="Georgia" w:hAnsi="Georgia"/>
          <w:szCs w:val="24"/>
          <w:lang w:val="es-CO"/>
        </w:rPr>
        <w:t xml:space="preserve">los </w:t>
      </w:r>
      <w:r w:rsidR="009404D7">
        <w:rPr>
          <w:rFonts w:ascii="Georgia" w:hAnsi="Georgia"/>
          <w:szCs w:val="24"/>
          <w:lang w:val="es-CO"/>
        </w:rPr>
        <w:t xml:space="preserve"> </w:t>
      </w:r>
      <w:r>
        <w:rPr>
          <w:rFonts w:ascii="Georgia" w:hAnsi="Georgia"/>
          <w:szCs w:val="24"/>
          <w:lang w:val="es-CO"/>
        </w:rPr>
        <w:t xml:space="preserve">medios </w:t>
      </w:r>
      <w:r w:rsidR="009404D7">
        <w:rPr>
          <w:rFonts w:ascii="Georgia" w:hAnsi="Georgia"/>
          <w:szCs w:val="24"/>
          <w:lang w:val="es-CO"/>
        </w:rPr>
        <w:t xml:space="preserve"> </w:t>
      </w:r>
      <w:r>
        <w:rPr>
          <w:rFonts w:ascii="Georgia" w:hAnsi="Georgia"/>
          <w:szCs w:val="24"/>
          <w:lang w:val="es-CO"/>
        </w:rPr>
        <w:t>ordinarios</w:t>
      </w:r>
      <w:r w:rsidR="009404D7">
        <w:rPr>
          <w:rFonts w:ascii="Georgia" w:hAnsi="Georgia"/>
          <w:szCs w:val="24"/>
          <w:lang w:val="es-CO"/>
        </w:rPr>
        <w:t xml:space="preserve"> </w:t>
      </w:r>
      <w:r>
        <w:rPr>
          <w:rFonts w:ascii="Georgia" w:hAnsi="Georgia"/>
          <w:szCs w:val="24"/>
          <w:lang w:val="es-CO"/>
        </w:rPr>
        <w:t xml:space="preserve"> </w:t>
      </w:r>
      <w:r w:rsidR="003A0558">
        <w:rPr>
          <w:rFonts w:ascii="Georgia" w:hAnsi="Georgia"/>
          <w:szCs w:val="24"/>
          <w:lang w:val="es-CO"/>
        </w:rPr>
        <w:t xml:space="preserve">frente </w:t>
      </w:r>
      <w:r w:rsidR="009404D7">
        <w:rPr>
          <w:rFonts w:ascii="Georgia" w:hAnsi="Georgia"/>
          <w:szCs w:val="24"/>
          <w:lang w:val="es-CO"/>
        </w:rPr>
        <w:t xml:space="preserve"> </w:t>
      </w:r>
      <w:r w:rsidR="003A0558">
        <w:rPr>
          <w:rFonts w:ascii="Georgia" w:hAnsi="Georgia"/>
          <w:szCs w:val="24"/>
          <w:lang w:val="es-CO"/>
        </w:rPr>
        <w:t xml:space="preserve">a </w:t>
      </w:r>
      <w:r w:rsidR="009404D7">
        <w:rPr>
          <w:rFonts w:ascii="Georgia" w:hAnsi="Georgia"/>
          <w:szCs w:val="24"/>
          <w:lang w:val="es-CO"/>
        </w:rPr>
        <w:t xml:space="preserve"> </w:t>
      </w:r>
      <w:r w:rsidR="003A0558">
        <w:rPr>
          <w:rFonts w:ascii="Georgia" w:hAnsi="Georgia"/>
          <w:szCs w:val="24"/>
          <w:lang w:val="es-CO"/>
        </w:rPr>
        <w:t xml:space="preserve">la </w:t>
      </w:r>
    </w:p>
    <w:p w:rsidR="003D24E8" w:rsidRDefault="003A0558" w:rsidP="003D24E8">
      <w:pPr>
        <w:pStyle w:val="Textoindependiente"/>
        <w:spacing w:line="360" w:lineRule="auto"/>
        <w:rPr>
          <w:rFonts w:ascii="Georgia" w:hAnsi="Georgia"/>
          <w:szCs w:val="24"/>
        </w:rPr>
      </w:pPr>
      <w:r>
        <w:rPr>
          <w:rFonts w:ascii="Georgia" w:hAnsi="Georgia"/>
          <w:szCs w:val="24"/>
          <w:lang w:val="es-CO"/>
        </w:rPr>
        <w:t xml:space="preserve">sentencia de primera instancia </w:t>
      </w:r>
      <w:r w:rsidR="003D24E8">
        <w:rPr>
          <w:rFonts w:ascii="Georgia" w:hAnsi="Georgia"/>
          <w:szCs w:val="24"/>
        </w:rPr>
        <w:t>(Subsidiariedad) (</w:t>
      </w:r>
      <w:r>
        <w:rPr>
          <w:rFonts w:ascii="Georgia" w:hAnsi="Georgia"/>
          <w:szCs w:val="24"/>
        </w:rPr>
        <w:t>Disco compacto visible a folio 44, ib.)</w:t>
      </w:r>
      <w:r w:rsidR="003D24E8">
        <w:rPr>
          <w:rFonts w:ascii="Georgia" w:hAnsi="Georgia"/>
          <w:szCs w:val="24"/>
        </w:rPr>
        <w:t xml:space="preserve">; la actuación reprochada no es de tutela; hay inmediatez porque la decisión que resolvió la </w:t>
      </w:r>
      <w:r>
        <w:rPr>
          <w:rFonts w:ascii="Georgia" w:hAnsi="Georgia"/>
          <w:szCs w:val="24"/>
        </w:rPr>
        <w:t xml:space="preserve">apelación fue notificada por estado del 12-06-2017 </w:t>
      </w:r>
      <w:r w:rsidR="003D24E8">
        <w:rPr>
          <w:rFonts w:ascii="Georgia" w:hAnsi="Georgia"/>
          <w:szCs w:val="24"/>
        </w:rPr>
        <w:t>(</w:t>
      </w:r>
      <w:r>
        <w:rPr>
          <w:rFonts w:ascii="Georgia" w:hAnsi="Georgia"/>
          <w:szCs w:val="24"/>
        </w:rPr>
        <w:t xml:space="preserve">Disco compacto visible a folio 44, ib.) </w:t>
      </w:r>
      <w:r w:rsidR="003D24E8">
        <w:rPr>
          <w:rFonts w:ascii="Georgia" w:hAnsi="Georgia"/>
          <w:szCs w:val="24"/>
        </w:rPr>
        <w:t xml:space="preserve">y la acción fue presentada el </w:t>
      </w:r>
      <w:r>
        <w:rPr>
          <w:rFonts w:ascii="Georgia" w:hAnsi="Georgia"/>
          <w:szCs w:val="24"/>
        </w:rPr>
        <w:t>12</w:t>
      </w:r>
      <w:r w:rsidR="003D24E8">
        <w:rPr>
          <w:rFonts w:ascii="Georgia" w:hAnsi="Georgia"/>
          <w:szCs w:val="24"/>
        </w:rPr>
        <w:t xml:space="preserve">-12-2017 (Folio </w:t>
      </w:r>
      <w:r>
        <w:rPr>
          <w:rFonts w:ascii="Georgia" w:hAnsi="Georgia"/>
          <w:szCs w:val="24"/>
        </w:rPr>
        <w:t>7</w:t>
      </w:r>
      <w:r w:rsidR="003D24E8">
        <w:rPr>
          <w:rFonts w:ascii="Georgia" w:hAnsi="Georgia"/>
          <w:szCs w:val="24"/>
        </w:rPr>
        <w:t xml:space="preserve">, ib.); </w:t>
      </w:r>
      <w:r w:rsidR="005B2E87">
        <w:rPr>
          <w:rFonts w:ascii="Georgia" w:hAnsi="Georgia"/>
          <w:szCs w:val="24"/>
        </w:rPr>
        <w:t xml:space="preserve">y, </w:t>
      </w:r>
      <w:r w:rsidR="003D24E8">
        <w:rPr>
          <w:rFonts w:ascii="Georgia" w:hAnsi="Georgia"/>
          <w:szCs w:val="24"/>
        </w:rPr>
        <w:t>la</w:t>
      </w:r>
      <w:r>
        <w:rPr>
          <w:rFonts w:ascii="Georgia" w:hAnsi="Georgia"/>
          <w:szCs w:val="24"/>
        </w:rPr>
        <w:t>s</w:t>
      </w:r>
      <w:r w:rsidR="003D24E8">
        <w:rPr>
          <w:rFonts w:ascii="Georgia" w:hAnsi="Georgia"/>
          <w:szCs w:val="24"/>
        </w:rPr>
        <w:t xml:space="preserve"> irregularidad</w:t>
      </w:r>
      <w:r>
        <w:rPr>
          <w:rFonts w:ascii="Georgia" w:hAnsi="Georgia"/>
          <w:szCs w:val="24"/>
        </w:rPr>
        <w:t>es</w:t>
      </w:r>
      <w:r w:rsidR="003D24E8">
        <w:rPr>
          <w:rFonts w:ascii="Georgia" w:hAnsi="Georgia"/>
          <w:szCs w:val="24"/>
        </w:rPr>
        <w:t xml:space="preserve"> realzad</w:t>
      </w:r>
      <w:r>
        <w:rPr>
          <w:rFonts w:ascii="Georgia" w:hAnsi="Georgia"/>
          <w:szCs w:val="24"/>
        </w:rPr>
        <w:t>as</w:t>
      </w:r>
      <w:r w:rsidR="003D24E8">
        <w:rPr>
          <w:rFonts w:ascii="Georgia" w:hAnsi="Georgia"/>
          <w:szCs w:val="24"/>
        </w:rPr>
        <w:t xml:space="preserve"> por la parte actora, </w:t>
      </w:r>
      <w:r w:rsidR="006B3213">
        <w:rPr>
          <w:rFonts w:ascii="Georgia" w:hAnsi="Georgia"/>
          <w:szCs w:val="24"/>
        </w:rPr>
        <w:t xml:space="preserve">fueron identificadas y </w:t>
      </w:r>
      <w:r w:rsidR="003D24E8">
        <w:rPr>
          <w:rFonts w:ascii="Georgia" w:hAnsi="Georgia"/>
          <w:szCs w:val="24"/>
        </w:rPr>
        <w:t>resulta</w:t>
      </w:r>
      <w:r>
        <w:rPr>
          <w:rFonts w:ascii="Georgia" w:hAnsi="Georgia"/>
          <w:szCs w:val="24"/>
        </w:rPr>
        <w:t>n</w:t>
      </w:r>
      <w:r w:rsidR="003D24E8">
        <w:rPr>
          <w:rFonts w:ascii="Georgia" w:hAnsi="Georgia"/>
          <w:szCs w:val="24"/>
        </w:rPr>
        <w:t xml:space="preserve"> ser trascendente</w:t>
      </w:r>
      <w:r>
        <w:rPr>
          <w:rFonts w:ascii="Georgia" w:hAnsi="Georgia"/>
          <w:szCs w:val="24"/>
        </w:rPr>
        <w:t>s</w:t>
      </w:r>
      <w:r w:rsidR="003D24E8">
        <w:rPr>
          <w:rFonts w:ascii="Georgia" w:hAnsi="Georgia"/>
          <w:szCs w:val="24"/>
        </w:rPr>
        <w:t xml:space="preserve"> para el desarrollo de la litis.</w:t>
      </w:r>
    </w:p>
    <w:p w:rsidR="003D24E8" w:rsidRPr="00FE5CDD" w:rsidRDefault="003D24E8" w:rsidP="003D24E8">
      <w:pPr>
        <w:pStyle w:val="Textoindependiente"/>
        <w:spacing w:line="360" w:lineRule="auto"/>
        <w:rPr>
          <w:rFonts w:ascii="Georgia" w:hAnsi="Georgia"/>
          <w:sz w:val="20"/>
          <w:szCs w:val="24"/>
        </w:rPr>
      </w:pPr>
    </w:p>
    <w:p w:rsidR="003D24E8" w:rsidRDefault="003D24E8" w:rsidP="003D24E8">
      <w:pPr>
        <w:widowControl/>
        <w:spacing w:line="360" w:lineRule="auto"/>
        <w:jc w:val="both"/>
        <w:rPr>
          <w:rFonts w:ascii="Georgia" w:hAnsi="Georgia" w:cs="Arial"/>
          <w:color w:val="000000"/>
        </w:rPr>
      </w:pPr>
      <w:r>
        <w:rPr>
          <w:rFonts w:ascii="Georgia" w:hAnsi="Georgia" w:cs="Arial"/>
        </w:rPr>
        <w:t xml:space="preserve">Concluido el estudio de los requisitos generales, incumbe proseguir con la revisión de las causales especiales y en el caso concreto se entiende que lo expuesto en el petitorio, alude </w:t>
      </w:r>
      <w:r w:rsidR="003A0558">
        <w:rPr>
          <w:rFonts w:ascii="Georgia" w:hAnsi="Georgia" w:cs="Arial"/>
        </w:rPr>
        <w:t>a los defectos fáctico, sustantivo y desconocimiento del precedente</w:t>
      </w:r>
      <w:r>
        <w:rPr>
          <w:rFonts w:ascii="Georgia" w:hAnsi="Georgia" w:cs="Arial"/>
        </w:rPr>
        <w:t xml:space="preserve">, pues se argumenta </w:t>
      </w:r>
      <w:r w:rsidR="003A0558">
        <w:rPr>
          <w:rFonts w:ascii="Georgia" w:hAnsi="Georgia" w:cs="Arial"/>
        </w:rPr>
        <w:t xml:space="preserve">la ausencia de valoración </w:t>
      </w:r>
      <w:r w:rsidR="003A0558">
        <w:rPr>
          <w:rFonts w:ascii="Georgia" w:hAnsi="Georgia" w:cs="Arial"/>
          <w:lang w:val="es-CO"/>
        </w:rPr>
        <w:t>de la pruebas arrimadas con la demanda</w:t>
      </w:r>
      <w:r w:rsidR="003A0558">
        <w:rPr>
          <w:rFonts w:ascii="Georgia" w:hAnsi="Georgia" w:cs="Arial"/>
        </w:rPr>
        <w:t xml:space="preserve">, la inaplicación del artículo 1609 del CC, y </w:t>
      </w:r>
      <w:r w:rsidR="005B2E87">
        <w:rPr>
          <w:rFonts w:ascii="Georgia" w:hAnsi="Georgia" w:cs="Arial"/>
        </w:rPr>
        <w:t>la desatención de la jurisprudencia de la CSJ citada por el Juez de primera instancia</w:t>
      </w:r>
      <w:r>
        <w:rPr>
          <w:rFonts w:ascii="Georgia" w:hAnsi="Georgia" w:cs="Arial"/>
          <w:color w:val="000000"/>
        </w:rPr>
        <w:t>.</w:t>
      </w:r>
    </w:p>
    <w:p w:rsidR="003D24E8" w:rsidRPr="009404D7" w:rsidRDefault="003D24E8" w:rsidP="003D24E8">
      <w:pPr>
        <w:pStyle w:val="Textoindependiente"/>
        <w:spacing w:line="360" w:lineRule="auto"/>
        <w:ind w:left="1680"/>
        <w:rPr>
          <w:rFonts w:ascii="Georgia" w:hAnsi="Georgia"/>
          <w:smallCaps/>
          <w:sz w:val="20"/>
          <w:szCs w:val="22"/>
        </w:rPr>
      </w:pPr>
    </w:p>
    <w:p w:rsidR="00BC4139" w:rsidRDefault="003D24E8" w:rsidP="003D24E8">
      <w:pPr>
        <w:widowControl/>
        <w:spacing w:line="360" w:lineRule="auto"/>
        <w:jc w:val="both"/>
        <w:rPr>
          <w:rFonts w:ascii="Georgia" w:hAnsi="Georgia"/>
          <w:lang w:val="es-CO"/>
        </w:rPr>
      </w:pPr>
      <w:r>
        <w:rPr>
          <w:rFonts w:ascii="Georgia" w:hAnsi="Georgia"/>
          <w:lang w:val="es-CO"/>
        </w:rPr>
        <w:t>Revisada</w:t>
      </w:r>
      <w:r w:rsidR="006B3213">
        <w:rPr>
          <w:rFonts w:ascii="Georgia" w:hAnsi="Georgia"/>
          <w:lang w:val="es-CO"/>
        </w:rPr>
        <w:t>s</w:t>
      </w:r>
      <w:r>
        <w:rPr>
          <w:rFonts w:ascii="Georgia" w:hAnsi="Georgia"/>
          <w:lang w:val="es-CO"/>
        </w:rPr>
        <w:t xml:space="preserve"> las pruebas existentes, se tiene que </w:t>
      </w:r>
      <w:r w:rsidR="005B2E87">
        <w:rPr>
          <w:rFonts w:ascii="Georgia" w:hAnsi="Georgia"/>
          <w:lang w:val="es-CO"/>
        </w:rPr>
        <w:t xml:space="preserve">el </w:t>
      </w:r>
      <w:r w:rsidR="005B2E87" w:rsidRPr="005B2E87">
        <w:rPr>
          <w:rFonts w:ascii="Georgia" w:hAnsi="Georgia"/>
          <w:lang w:val="es-CO"/>
        </w:rPr>
        <w:t>Juzgado Segundo Civil del Circuito de Pereira</w:t>
      </w:r>
      <w:r w:rsidR="005B2E87">
        <w:rPr>
          <w:rFonts w:ascii="Georgia" w:hAnsi="Georgia"/>
          <w:i/>
          <w:lang w:val="es-CO"/>
        </w:rPr>
        <w:t xml:space="preserve"> </w:t>
      </w:r>
      <w:r>
        <w:rPr>
          <w:rFonts w:ascii="Georgia" w:hAnsi="Georgia"/>
          <w:lang w:val="es-CO"/>
        </w:rPr>
        <w:t xml:space="preserve">con </w:t>
      </w:r>
      <w:r w:rsidR="005B2E87">
        <w:rPr>
          <w:rFonts w:ascii="Georgia" w:hAnsi="Georgia"/>
          <w:lang w:val="es-CO"/>
        </w:rPr>
        <w:t>providencia del 09-</w:t>
      </w:r>
      <w:r w:rsidR="006B3213">
        <w:rPr>
          <w:rFonts w:ascii="Georgia" w:hAnsi="Georgia"/>
          <w:lang w:val="es-CO"/>
        </w:rPr>
        <w:t>06</w:t>
      </w:r>
      <w:r w:rsidR="005B2E87">
        <w:rPr>
          <w:rFonts w:ascii="Georgia" w:hAnsi="Georgia"/>
          <w:lang w:val="es-CO"/>
        </w:rPr>
        <w:t xml:space="preserve">-2017 revocó la sentencia de primera instancia y negó las pretensiones de la demanda, entre otras disposiciones </w:t>
      </w:r>
      <w:r>
        <w:rPr>
          <w:rFonts w:ascii="Georgia" w:hAnsi="Georgia"/>
          <w:lang w:val="es-CO"/>
        </w:rPr>
        <w:t>(</w:t>
      </w:r>
      <w:r w:rsidR="005B2E87">
        <w:rPr>
          <w:rFonts w:ascii="Georgia" w:hAnsi="Georgia"/>
          <w:lang w:val="es-CO"/>
        </w:rPr>
        <w:t>Disco compacto visible f</w:t>
      </w:r>
      <w:r>
        <w:rPr>
          <w:rFonts w:ascii="Georgia" w:hAnsi="Georgia"/>
          <w:lang w:val="es-CO"/>
        </w:rPr>
        <w:t xml:space="preserve">olios </w:t>
      </w:r>
      <w:r w:rsidR="005B2E87">
        <w:rPr>
          <w:rFonts w:ascii="Georgia" w:hAnsi="Georgia"/>
          <w:lang w:val="es-CO"/>
        </w:rPr>
        <w:t>44, ib.)</w:t>
      </w:r>
      <w:r w:rsidR="00CB3D5B">
        <w:rPr>
          <w:rFonts w:ascii="Georgia" w:hAnsi="Georgia"/>
          <w:lang w:val="es-CO"/>
        </w:rPr>
        <w:t xml:space="preserve">; </w:t>
      </w:r>
      <w:r w:rsidR="00BC4139">
        <w:rPr>
          <w:rFonts w:ascii="Georgia" w:hAnsi="Georgia"/>
          <w:lang w:val="es-CO"/>
        </w:rPr>
        <w:t xml:space="preserve">allí, con fundamento en jurisprudencia de la CSJ, </w:t>
      </w:r>
      <w:r w:rsidR="002B0092">
        <w:rPr>
          <w:rFonts w:ascii="Georgia" w:hAnsi="Georgia"/>
          <w:lang w:val="es-CO"/>
        </w:rPr>
        <w:t xml:space="preserve">recalcó </w:t>
      </w:r>
      <w:r w:rsidR="00BC4139">
        <w:rPr>
          <w:rFonts w:ascii="Georgia" w:hAnsi="Georgia"/>
          <w:lang w:val="es-CO"/>
        </w:rPr>
        <w:t xml:space="preserve">el incumplimiento </w:t>
      </w:r>
      <w:r w:rsidR="00800DB9">
        <w:rPr>
          <w:rFonts w:ascii="Georgia" w:hAnsi="Georgia"/>
          <w:lang w:val="es-CO"/>
        </w:rPr>
        <w:t xml:space="preserve">contractual del </w:t>
      </w:r>
      <w:r w:rsidR="00BC4139">
        <w:rPr>
          <w:rFonts w:ascii="Georgia" w:hAnsi="Georgia"/>
          <w:lang w:val="es-CO"/>
        </w:rPr>
        <w:t>demandante</w:t>
      </w:r>
      <w:r w:rsidR="00800DB9">
        <w:rPr>
          <w:rFonts w:ascii="Georgia" w:hAnsi="Georgia"/>
          <w:lang w:val="es-CO"/>
        </w:rPr>
        <w:t xml:space="preserve">, pues dejó de </w:t>
      </w:r>
      <w:r w:rsidR="00BC4139">
        <w:rPr>
          <w:rFonts w:ascii="Georgia" w:hAnsi="Georgia"/>
          <w:lang w:val="es-CO"/>
        </w:rPr>
        <w:t xml:space="preserve">asistir </w:t>
      </w:r>
      <w:r w:rsidR="00800DB9">
        <w:rPr>
          <w:rFonts w:ascii="Georgia" w:hAnsi="Georgia"/>
          <w:lang w:val="es-CO"/>
        </w:rPr>
        <w:t xml:space="preserve">a la Notaría en </w:t>
      </w:r>
      <w:r w:rsidR="002B0092">
        <w:rPr>
          <w:rFonts w:ascii="Georgia" w:hAnsi="Georgia"/>
          <w:lang w:val="es-CO"/>
        </w:rPr>
        <w:t xml:space="preserve">la fecha y hora programadas para otorgar la escritura pública, </w:t>
      </w:r>
      <w:r w:rsidR="00800DB9">
        <w:rPr>
          <w:rFonts w:ascii="Georgia" w:hAnsi="Georgia"/>
          <w:lang w:val="es-CO"/>
        </w:rPr>
        <w:t>por lo tanto</w:t>
      </w:r>
      <w:r w:rsidR="002B4A4A">
        <w:rPr>
          <w:rFonts w:ascii="Georgia" w:hAnsi="Georgia"/>
          <w:lang w:val="es-CO"/>
        </w:rPr>
        <w:t>,</w:t>
      </w:r>
      <w:r w:rsidR="00800DB9">
        <w:rPr>
          <w:rFonts w:ascii="Georgia" w:hAnsi="Georgia"/>
          <w:lang w:val="es-CO"/>
        </w:rPr>
        <w:t xml:space="preserve"> </w:t>
      </w:r>
      <w:r w:rsidR="0066066E">
        <w:rPr>
          <w:rFonts w:ascii="Georgia" w:hAnsi="Georgia"/>
          <w:lang w:val="es-CO"/>
        </w:rPr>
        <w:t xml:space="preserve">concluyó que le </w:t>
      </w:r>
      <w:r w:rsidR="00BC4139">
        <w:rPr>
          <w:rFonts w:ascii="Georgia" w:hAnsi="Georgia"/>
          <w:lang w:val="es-CO"/>
        </w:rPr>
        <w:t xml:space="preserve">estaba vedado compeler la resolución </w:t>
      </w:r>
      <w:r w:rsidR="0066066E">
        <w:rPr>
          <w:rFonts w:ascii="Georgia" w:hAnsi="Georgia"/>
          <w:lang w:val="es-CO"/>
        </w:rPr>
        <w:t>contractual.</w:t>
      </w:r>
    </w:p>
    <w:p w:rsidR="00BC4139" w:rsidRPr="009404D7" w:rsidRDefault="00BC4139" w:rsidP="003D24E8">
      <w:pPr>
        <w:widowControl/>
        <w:spacing w:line="360" w:lineRule="auto"/>
        <w:jc w:val="both"/>
        <w:rPr>
          <w:rFonts w:ascii="Georgia" w:hAnsi="Georgia"/>
          <w:sz w:val="20"/>
          <w:lang w:val="es-CO"/>
        </w:rPr>
      </w:pPr>
    </w:p>
    <w:p w:rsidR="0066066E" w:rsidRPr="00FE5CDD" w:rsidRDefault="0066066E" w:rsidP="0066066E">
      <w:pPr>
        <w:pStyle w:val="Prrafodelista"/>
        <w:widowControl/>
        <w:numPr>
          <w:ilvl w:val="1"/>
          <w:numId w:val="18"/>
        </w:numPr>
        <w:spacing w:line="360" w:lineRule="auto"/>
        <w:jc w:val="both"/>
        <w:rPr>
          <w:rFonts w:ascii="Georgia" w:hAnsi="Georgia"/>
          <w:smallCaps/>
          <w:lang w:val="es-CO"/>
        </w:rPr>
      </w:pPr>
      <w:r w:rsidRPr="00FE5CDD">
        <w:rPr>
          <w:rFonts w:ascii="Georgia" w:hAnsi="Georgia"/>
          <w:smallCaps/>
          <w:lang w:val="es-CO"/>
        </w:rPr>
        <w:t>El defecto sustancial</w:t>
      </w:r>
    </w:p>
    <w:p w:rsidR="0066066E" w:rsidRPr="009404D7" w:rsidRDefault="0066066E" w:rsidP="0066066E">
      <w:pPr>
        <w:widowControl/>
        <w:spacing w:line="360" w:lineRule="auto"/>
        <w:jc w:val="both"/>
        <w:rPr>
          <w:rFonts w:ascii="Georgia" w:hAnsi="Georgia"/>
          <w:sz w:val="20"/>
          <w:lang w:val="es-CO"/>
        </w:rPr>
      </w:pPr>
    </w:p>
    <w:p w:rsidR="00BC4139" w:rsidRPr="0066066E" w:rsidRDefault="00BC4139" w:rsidP="00BC4139">
      <w:pPr>
        <w:spacing w:line="360" w:lineRule="auto"/>
        <w:jc w:val="both"/>
        <w:rPr>
          <w:rFonts w:ascii="Georgia" w:hAnsi="Georgia" w:cs="Arial"/>
        </w:rPr>
      </w:pPr>
      <w:r w:rsidRPr="0066066E">
        <w:rPr>
          <w:rFonts w:ascii="Georgia" w:hAnsi="Georgia" w:cs="Arial"/>
        </w:rPr>
        <w:t>De tiempo atrás y en forma reiterada la doctrina</w:t>
      </w:r>
      <w:r w:rsidRPr="0066066E">
        <w:rPr>
          <w:rFonts w:ascii="Georgia" w:hAnsi="Georgia" w:cs="Arial"/>
          <w:vertAlign w:val="superscript"/>
        </w:rPr>
        <w:footnoteReference w:id="33"/>
      </w:r>
      <w:r w:rsidRPr="0066066E">
        <w:rPr>
          <w:rFonts w:ascii="Georgia" w:hAnsi="Georgia" w:cs="Arial"/>
        </w:rPr>
        <w:t xml:space="preserve"> y la jurisprudencia</w:t>
      </w:r>
      <w:r w:rsidRPr="0066066E">
        <w:rPr>
          <w:rFonts w:ascii="Georgia" w:hAnsi="Georgia" w:cs="Arial"/>
          <w:vertAlign w:val="superscript"/>
        </w:rPr>
        <w:footnoteReference w:id="34"/>
      </w:r>
      <w:r w:rsidRPr="0066066E">
        <w:rPr>
          <w:rFonts w:ascii="Georgia" w:hAnsi="Georgia" w:cs="Arial"/>
          <w:vertAlign w:val="superscript"/>
        </w:rPr>
        <w:t>-</w:t>
      </w:r>
      <w:r w:rsidRPr="0066066E">
        <w:rPr>
          <w:rStyle w:val="Refdenotaalpie"/>
          <w:rFonts w:ascii="Georgia" w:hAnsi="Georgia"/>
        </w:rPr>
        <w:footnoteReference w:id="35"/>
      </w:r>
      <w:r w:rsidRPr="0066066E">
        <w:rPr>
          <w:rFonts w:ascii="Georgia" w:hAnsi="Georgia" w:cs="Arial"/>
          <w:vertAlign w:val="superscript"/>
        </w:rPr>
        <w:t>-</w:t>
      </w:r>
      <w:r w:rsidRPr="0066066E">
        <w:rPr>
          <w:rStyle w:val="Refdenotaalpie"/>
          <w:rFonts w:ascii="Georgia" w:hAnsi="Georgia"/>
        </w:rPr>
        <w:footnoteReference w:id="36"/>
      </w:r>
      <w:r w:rsidRPr="0066066E">
        <w:rPr>
          <w:rFonts w:ascii="Georgia" w:hAnsi="Georgia" w:cs="Arial"/>
          <w:vertAlign w:val="superscript"/>
        </w:rPr>
        <w:t>-</w:t>
      </w:r>
      <w:r w:rsidRPr="0066066E">
        <w:rPr>
          <w:rStyle w:val="Refdenotaalpie"/>
          <w:rFonts w:ascii="Georgia" w:hAnsi="Georgia"/>
        </w:rPr>
        <w:footnoteReference w:id="37"/>
      </w:r>
      <w:r w:rsidR="00AC551C" w:rsidRPr="0066066E">
        <w:rPr>
          <w:rFonts w:ascii="Georgia" w:hAnsi="Georgia" w:cs="Arial"/>
        </w:rPr>
        <w:t xml:space="preserve"> hacen consistir los requisitos de la acción resolutoria en</w:t>
      </w:r>
      <w:r w:rsidRPr="0066066E">
        <w:rPr>
          <w:rFonts w:ascii="Georgia" w:hAnsi="Georgia" w:cs="Arial"/>
        </w:rPr>
        <w:t xml:space="preserve">: (i) Demostración del negocio jurídico bilateral, del cual se pretende la resolución, como convenio válido entre las partes; </w:t>
      </w:r>
      <w:r w:rsidRPr="0084464A">
        <w:rPr>
          <w:rFonts w:ascii="Georgia" w:hAnsi="Georgia" w:cs="Arial"/>
          <w:u w:val="single"/>
        </w:rPr>
        <w:t xml:space="preserve">(ii) Acreditación del cumplimiento de las prestaciones que correspondían al demandante, es </w:t>
      </w:r>
      <w:r w:rsidRPr="0084464A">
        <w:rPr>
          <w:rFonts w:ascii="Georgia" w:hAnsi="Georgia" w:cs="Arial"/>
          <w:u w:val="single"/>
        </w:rPr>
        <w:lastRenderedPageBreak/>
        <w:t>decir, que pueda calificarse como cumplidor de los deberes que le impone la convención o cuando menos se haya allanado a cumplirlos en la forma y tiempo debidos;</w:t>
      </w:r>
      <w:r w:rsidRPr="0066066E">
        <w:rPr>
          <w:rFonts w:ascii="Georgia" w:hAnsi="Georgia" w:cs="Arial"/>
        </w:rPr>
        <w:t xml:space="preserve"> y, (iii) Allegar la prueba del incumplimiento del demandado, sea total o parcial, de las obligaciones contraídas en el pacto.</w:t>
      </w:r>
    </w:p>
    <w:p w:rsidR="00AC551C" w:rsidRPr="009404D7" w:rsidRDefault="00AC551C" w:rsidP="00BC4139">
      <w:pPr>
        <w:spacing w:line="360" w:lineRule="auto"/>
        <w:jc w:val="both"/>
        <w:rPr>
          <w:rFonts w:ascii="Georgia" w:hAnsi="Georgia" w:cs="Arial"/>
          <w:sz w:val="20"/>
        </w:rPr>
      </w:pPr>
    </w:p>
    <w:p w:rsidR="0066066E" w:rsidRPr="0066066E" w:rsidRDefault="00DE4D51" w:rsidP="0066066E">
      <w:pPr>
        <w:spacing w:line="360" w:lineRule="auto"/>
        <w:jc w:val="both"/>
        <w:rPr>
          <w:rFonts w:ascii="Georgia" w:hAnsi="Georgia" w:cs="Arial"/>
          <w:lang w:val="es-MX"/>
        </w:rPr>
      </w:pPr>
      <w:r>
        <w:rPr>
          <w:rFonts w:ascii="Georgia" w:hAnsi="Georgia" w:cs="Arial"/>
          <w:lang w:val="es-MX"/>
        </w:rPr>
        <w:t>Ahora, d</w:t>
      </w:r>
      <w:r w:rsidR="0066066E" w:rsidRPr="0066066E">
        <w:rPr>
          <w:rFonts w:ascii="Georgia" w:hAnsi="Georgia" w:cs="Arial"/>
          <w:lang w:val="es-MX"/>
        </w:rPr>
        <w:t xml:space="preserve">ispone el artículo 1546 del CC, que la acción dirigida a obtener la ejecución de un contrato o su resolución, exige que el demandante haya cumplido las obligaciones a su cargo. Por su parte, el artículo 1609 </w:t>
      </w:r>
      <w:r w:rsidR="0066066E" w:rsidRPr="0066066E">
        <w:rPr>
          <w:rFonts w:ascii="Georgia" w:hAnsi="Georgia" w:cs="Arial"/>
          <w:i/>
          <w:lang w:val="es-MX"/>
        </w:rPr>
        <w:t>ídem</w:t>
      </w:r>
      <w:r w:rsidR="0066066E" w:rsidRPr="0066066E">
        <w:rPr>
          <w:rFonts w:ascii="Georgia" w:hAnsi="Georgia" w:cs="Arial"/>
          <w:lang w:val="es-MX"/>
        </w:rPr>
        <w:t>, advierte que en los contratos bilaterales ninguno de los contratantes está en mora por dejar de cumplir sus obligaciones si el otro no ha cumplido o se ha allanado a hacerlo en la forma pactada, ello siempre que se trate de simultaneidad en la exigibilidad mutua o para cuando el demandante tenía a su cargo una obligación que ha debido cumplir previamente.</w:t>
      </w:r>
    </w:p>
    <w:p w:rsidR="0066066E" w:rsidRPr="009404D7" w:rsidRDefault="0066066E" w:rsidP="00BC4139">
      <w:pPr>
        <w:spacing w:line="360" w:lineRule="auto"/>
        <w:jc w:val="both"/>
        <w:rPr>
          <w:rFonts w:ascii="Georgia" w:hAnsi="Georgia" w:cs="Arial"/>
          <w:sz w:val="20"/>
        </w:rPr>
      </w:pPr>
    </w:p>
    <w:p w:rsidR="00800DB9" w:rsidRPr="0084464A" w:rsidRDefault="00800DB9" w:rsidP="00800DB9">
      <w:pPr>
        <w:spacing w:line="360" w:lineRule="auto"/>
        <w:jc w:val="both"/>
        <w:rPr>
          <w:rFonts w:ascii="Georgia" w:hAnsi="Georgia" w:cs="Arial"/>
          <w:szCs w:val="22"/>
        </w:rPr>
      </w:pPr>
      <w:r w:rsidRPr="0084464A">
        <w:rPr>
          <w:rFonts w:ascii="Georgia" w:hAnsi="Georgia" w:cs="Arial"/>
          <w:lang w:val="es-MX"/>
        </w:rPr>
        <w:t>La</w:t>
      </w:r>
      <w:r w:rsidR="00DE4D51">
        <w:rPr>
          <w:rFonts w:ascii="Georgia" w:hAnsi="Georgia" w:cs="Arial"/>
          <w:lang w:val="es-MX"/>
        </w:rPr>
        <w:t xml:space="preserve">s </w:t>
      </w:r>
      <w:r w:rsidRPr="0084464A">
        <w:rPr>
          <w:rFonts w:ascii="Georgia" w:hAnsi="Georgia" w:cs="Arial"/>
          <w:lang w:val="es-MX"/>
        </w:rPr>
        <w:t>norma</w:t>
      </w:r>
      <w:r w:rsidR="00DE4D51">
        <w:rPr>
          <w:rFonts w:ascii="Georgia" w:hAnsi="Georgia" w:cs="Arial"/>
          <w:lang w:val="es-MX"/>
        </w:rPr>
        <w:t>s</w:t>
      </w:r>
      <w:r w:rsidRPr="0084464A">
        <w:rPr>
          <w:rFonts w:ascii="Georgia" w:hAnsi="Georgia" w:cs="Arial"/>
          <w:lang w:val="es-MX"/>
        </w:rPr>
        <w:t xml:space="preserve"> propende</w:t>
      </w:r>
      <w:r w:rsidR="00DE4D51">
        <w:rPr>
          <w:rFonts w:ascii="Georgia" w:hAnsi="Georgia" w:cs="Arial"/>
          <w:lang w:val="es-MX"/>
        </w:rPr>
        <w:t>n</w:t>
      </w:r>
      <w:r w:rsidRPr="0084464A">
        <w:rPr>
          <w:rFonts w:ascii="Georgia" w:hAnsi="Georgia" w:cs="Arial"/>
          <w:lang w:val="es-MX"/>
        </w:rPr>
        <w:t xml:space="preserve"> por exigirle al que reclama una obligación contractual, que previamente haya cumplido las que le son exigibles, antes que las que reclama, y que simultáneamente debe hacerlo con otras, igualmente las cumpla o se allane a hacerlo. Es decir, no le está dado al demandante pedirle al otro contratante el cumplimiento de una obligación contractual si por su parte ha incumplido con las suyas y están vencidas o debe cumplirlas simultáneamente con las que reclama en la demanda.</w:t>
      </w:r>
    </w:p>
    <w:p w:rsidR="0066066E" w:rsidRPr="009404D7" w:rsidRDefault="0066066E" w:rsidP="0066066E">
      <w:pPr>
        <w:pStyle w:val="Prrafodelista"/>
        <w:spacing w:line="360" w:lineRule="auto"/>
        <w:ind w:left="360"/>
        <w:jc w:val="both"/>
        <w:rPr>
          <w:rFonts w:ascii="Georgia" w:hAnsi="Georgia" w:cs="Arial"/>
          <w:sz w:val="20"/>
          <w:szCs w:val="22"/>
        </w:rPr>
      </w:pPr>
    </w:p>
    <w:p w:rsidR="000B1CB8" w:rsidRDefault="00800DB9" w:rsidP="0084464A">
      <w:pPr>
        <w:widowControl/>
        <w:spacing w:line="360" w:lineRule="auto"/>
        <w:jc w:val="both"/>
        <w:rPr>
          <w:rFonts w:ascii="Georgia" w:hAnsi="Georgia" w:cs="Arial"/>
          <w:color w:val="000000"/>
          <w:szCs w:val="23"/>
        </w:rPr>
      </w:pPr>
      <w:r w:rsidRPr="0084464A">
        <w:rPr>
          <w:rFonts w:ascii="Georgia" w:hAnsi="Georgia" w:cs="Arial"/>
          <w:color w:val="000000"/>
          <w:szCs w:val="23"/>
        </w:rPr>
        <w:t xml:space="preserve">Conforme a las premisas </w:t>
      </w:r>
      <w:r w:rsidR="0084464A" w:rsidRPr="0084464A">
        <w:rPr>
          <w:rFonts w:ascii="Georgia" w:hAnsi="Georgia" w:cs="Arial"/>
          <w:color w:val="000000"/>
          <w:szCs w:val="23"/>
        </w:rPr>
        <w:t>jurisprudenciales y normas referidas</w:t>
      </w:r>
      <w:r w:rsidRPr="0084464A">
        <w:rPr>
          <w:rFonts w:ascii="Georgia" w:hAnsi="Georgia" w:cs="Arial"/>
          <w:color w:val="000000"/>
          <w:szCs w:val="23"/>
        </w:rPr>
        <w:t xml:space="preserve">, considera esta Magistratura </w:t>
      </w:r>
      <w:r w:rsidR="0084464A" w:rsidRPr="0084464A">
        <w:rPr>
          <w:rFonts w:ascii="Georgia" w:hAnsi="Georgia" w:cs="Arial"/>
          <w:color w:val="000000"/>
          <w:szCs w:val="23"/>
        </w:rPr>
        <w:t>que el despacho judicial accionado</w:t>
      </w:r>
      <w:r w:rsidR="006B3213">
        <w:rPr>
          <w:rFonts w:ascii="Georgia" w:hAnsi="Georgia" w:cs="Arial"/>
          <w:color w:val="000000"/>
          <w:szCs w:val="23"/>
        </w:rPr>
        <w:t>,</w:t>
      </w:r>
      <w:r w:rsidR="0084464A" w:rsidRPr="0084464A">
        <w:rPr>
          <w:rFonts w:ascii="Georgia" w:hAnsi="Georgia" w:cs="Arial"/>
          <w:color w:val="000000"/>
          <w:szCs w:val="23"/>
        </w:rPr>
        <w:t xml:space="preserve"> en manera alguna incurrió en </w:t>
      </w:r>
      <w:r w:rsidR="0084464A">
        <w:rPr>
          <w:rFonts w:ascii="Georgia" w:hAnsi="Georgia" w:cs="Arial"/>
          <w:color w:val="000000"/>
          <w:szCs w:val="23"/>
        </w:rPr>
        <w:t xml:space="preserve">el </w:t>
      </w:r>
      <w:r w:rsidR="0084464A" w:rsidRPr="0084464A">
        <w:rPr>
          <w:rFonts w:ascii="Georgia" w:hAnsi="Georgia" w:cs="Arial"/>
          <w:color w:val="000000"/>
          <w:szCs w:val="23"/>
        </w:rPr>
        <w:t xml:space="preserve">defecto sustancial </w:t>
      </w:r>
      <w:r w:rsidR="0084464A">
        <w:rPr>
          <w:rFonts w:ascii="Georgia" w:hAnsi="Georgia" w:cs="Arial"/>
          <w:color w:val="000000"/>
          <w:szCs w:val="23"/>
        </w:rPr>
        <w:t>endilgado</w:t>
      </w:r>
      <w:r w:rsidR="000B1CB8">
        <w:rPr>
          <w:rFonts w:ascii="Georgia" w:hAnsi="Georgia" w:cs="Arial"/>
          <w:color w:val="000000"/>
          <w:szCs w:val="23"/>
        </w:rPr>
        <w:t>.</w:t>
      </w:r>
    </w:p>
    <w:p w:rsidR="000B1CB8" w:rsidRPr="009404D7" w:rsidRDefault="000B1CB8" w:rsidP="0084464A">
      <w:pPr>
        <w:widowControl/>
        <w:spacing w:line="360" w:lineRule="auto"/>
        <w:jc w:val="both"/>
        <w:rPr>
          <w:rFonts w:ascii="Georgia" w:hAnsi="Georgia" w:cs="Arial"/>
          <w:color w:val="000000"/>
          <w:sz w:val="20"/>
          <w:szCs w:val="23"/>
        </w:rPr>
      </w:pPr>
    </w:p>
    <w:p w:rsidR="000B1CB8" w:rsidRDefault="000B1CB8" w:rsidP="0084464A">
      <w:pPr>
        <w:widowControl/>
        <w:spacing w:line="360" w:lineRule="auto"/>
        <w:jc w:val="both"/>
        <w:rPr>
          <w:rFonts w:ascii="Georgia" w:hAnsi="Georgia" w:cs="Arial"/>
          <w:color w:val="000000"/>
          <w:szCs w:val="23"/>
        </w:rPr>
      </w:pPr>
      <w:r>
        <w:rPr>
          <w:rFonts w:ascii="Georgia" w:hAnsi="Georgia" w:cs="Arial"/>
          <w:color w:val="000000"/>
          <w:szCs w:val="23"/>
        </w:rPr>
        <w:t>E</w:t>
      </w:r>
      <w:r w:rsidR="0066066E" w:rsidRPr="0084464A">
        <w:rPr>
          <w:rFonts w:ascii="Georgia" w:hAnsi="Georgia" w:cs="Arial"/>
          <w:color w:val="000000"/>
          <w:szCs w:val="23"/>
        </w:rPr>
        <w:t xml:space="preserve">s cierto que el juez dejó de referir expresamente el mentado artículo 1609, </w:t>
      </w:r>
      <w:r w:rsidR="00800DB9" w:rsidRPr="0084464A">
        <w:rPr>
          <w:rFonts w:ascii="Georgia" w:hAnsi="Georgia" w:cs="Arial"/>
          <w:color w:val="000000"/>
          <w:szCs w:val="23"/>
        </w:rPr>
        <w:t xml:space="preserve">tal </w:t>
      </w:r>
      <w:r w:rsidR="0066066E" w:rsidRPr="0084464A">
        <w:rPr>
          <w:rFonts w:ascii="Georgia" w:hAnsi="Georgia" w:cs="Arial"/>
          <w:color w:val="000000"/>
          <w:szCs w:val="23"/>
        </w:rPr>
        <w:t>como lo reprueba el actor</w:t>
      </w:r>
      <w:r w:rsidR="0084464A" w:rsidRPr="0084464A">
        <w:rPr>
          <w:rFonts w:ascii="Georgia" w:hAnsi="Georgia" w:cs="Arial"/>
          <w:color w:val="000000"/>
          <w:szCs w:val="23"/>
        </w:rPr>
        <w:t xml:space="preserve"> en el libelo</w:t>
      </w:r>
      <w:r w:rsidR="0066066E" w:rsidRPr="0084464A">
        <w:rPr>
          <w:rFonts w:ascii="Georgia" w:hAnsi="Georgia" w:cs="Arial"/>
          <w:color w:val="000000"/>
          <w:szCs w:val="23"/>
        </w:rPr>
        <w:t xml:space="preserve">, </w:t>
      </w:r>
      <w:r w:rsidR="00800DB9" w:rsidRPr="0084464A">
        <w:rPr>
          <w:rFonts w:ascii="Georgia" w:hAnsi="Georgia" w:cs="Arial"/>
          <w:color w:val="000000"/>
          <w:szCs w:val="23"/>
        </w:rPr>
        <w:t xml:space="preserve">sin embargo, dicha circunstancia </w:t>
      </w:r>
      <w:r w:rsidR="0084464A" w:rsidRPr="0084464A">
        <w:rPr>
          <w:rFonts w:ascii="Georgia" w:hAnsi="Georgia" w:cs="Arial"/>
          <w:color w:val="000000"/>
          <w:szCs w:val="23"/>
        </w:rPr>
        <w:t xml:space="preserve">carece de entidad </w:t>
      </w:r>
      <w:r w:rsidR="0084464A">
        <w:rPr>
          <w:rFonts w:ascii="Georgia" w:hAnsi="Georgia" w:cs="Arial"/>
          <w:color w:val="000000"/>
          <w:szCs w:val="23"/>
        </w:rPr>
        <w:t>suficiente</w:t>
      </w:r>
      <w:r w:rsidR="00DE4D51">
        <w:rPr>
          <w:rFonts w:ascii="Georgia" w:hAnsi="Georgia" w:cs="Arial"/>
          <w:color w:val="000000"/>
          <w:szCs w:val="23"/>
        </w:rPr>
        <w:t xml:space="preserve"> como para considerar demostrado </w:t>
      </w:r>
      <w:r w:rsidR="0084464A" w:rsidRPr="0084464A">
        <w:rPr>
          <w:rFonts w:ascii="Georgia" w:hAnsi="Georgia" w:cs="Arial"/>
          <w:color w:val="000000"/>
          <w:szCs w:val="23"/>
        </w:rPr>
        <w:t xml:space="preserve">que </w:t>
      </w:r>
      <w:r w:rsidR="00DE4D51">
        <w:rPr>
          <w:rFonts w:ascii="Georgia" w:hAnsi="Georgia" w:cs="Arial"/>
          <w:color w:val="000000"/>
          <w:szCs w:val="23"/>
        </w:rPr>
        <w:t xml:space="preserve">se </w:t>
      </w:r>
      <w:r w:rsidR="0084464A" w:rsidRPr="0084464A">
        <w:rPr>
          <w:rFonts w:ascii="Georgia" w:hAnsi="Georgia" w:cs="Arial"/>
          <w:color w:val="000000"/>
          <w:szCs w:val="23"/>
        </w:rPr>
        <w:t xml:space="preserve">haya </w:t>
      </w:r>
      <w:r>
        <w:rPr>
          <w:rFonts w:ascii="Georgia" w:hAnsi="Georgia" w:cs="Arial"/>
          <w:color w:val="000000"/>
          <w:szCs w:val="23"/>
        </w:rPr>
        <w:t xml:space="preserve">omitido </w:t>
      </w:r>
      <w:r w:rsidR="0084464A" w:rsidRPr="0084464A">
        <w:rPr>
          <w:rFonts w:ascii="Georgia" w:hAnsi="Georgia" w:cs="Arial"/>
          <w:color w:val="000000"/>
          <w:szCs w:val="23"/>
        </w:rPr>
        <w:t>tener en cuenta la</w:t>
      </w:r>
      <w:r w:rsidR="0084464A">
        <w:rPr>
          <w:rFonts w:ascii="Georgia" w:hAnsi="Georgia" w:cs="Arial"/>
          <w:color w:val="000000"/>
          <w:szCs w:val="23"/>
        </w:rPr>
        <w:t>s</w:t>
      </w:r>
      <w:r w:rsidR="0084464A" w:rsidRPr="0084464A">
        <w:rPr>
          <w:rFonts w:ascii="Georgia" w:hAnsi="Georgia" w:cs="Arial"/>
          <w:color w:val="000000"/>
          <w:szCs w:val="23"/>
        </w:rPr>
        <w:t xml:space="preserve"> norma</w:t>
      </w:r>
      <w:r w:rsidR="0084464A">
        <w:rPr>
          <w:rFonts w:ascii="Georgia" w:hAnsi="Georgia" w:cs="Arial"/>
          <w:color w:val="000000"/>
          <w:szCs w:val="23"/>
        </w:rPr>
        <w:t>s</w:t>
      </w:r>
      <w:r w:rsidR="0084464A" w:rsidRPr="0084464A">
        <w:rPr>
          <w:rFonts w:ascii="Georgia" w:hAnsi="Georgia" w:cs="Arial"/>
          <w:color w:val="000000"/>
          <w:szCs w:val="23"/>
        </w:rPr>
        <w:t xml:space="preserve"> aplicable</w:t>
      </w:r>
      <w:r w:rsidR="0084464A">
        <w:rPr>
          <w:rFonts w:ascii="Georgia" w:hAnsi="Georgia" w:cs="Arial"/>
          <w:color w:val="000000"/>
          <w:szCs w:val="23"/>
        </w:rPr>
        <w:t>s al caso concreto</w:t>
      </w:r>
      <w:r w:rsidR="0084464A" w:rsidRPr="0084464A">
        <w:rPr>
          <w:rFonts w:ascii="Georgia" w:hAnsi="Georgia" w:cs="Arial"/>
          <w:color w:val="000000"/>
          <w:szCs w:val="23"/>
        </w:rPr>
        <w:t xml:space="preserve">, </w:t>
      </w:r>
      <w:r w:rsidR="0084464A">
        <w:rPr>
          <w:rFonts w:ascii="Georgia" w:hAnsi="Georgia" w:cs="Arial"/>
          <w:color w:val="000000"/>
          <w:szCs w:val="23"/>
        </w:rPr>
        <w:t>todo lo contrario</w:t>
      </w:r>
      <w:r>
        <w:rPr>
          <w:rFonts w:ascii="Georgia" w:hAnsi="Georgia" w:cs="Arial"/>
          <w:color w:val="000000"/>
          <w:szCs w:val="23"/>
        </w:rPr>
        <w:t xml:space="preserve">, pues, </w:t>
      </w:r>
      <w:r w:rsidR="00800DB9" w:rsidRPr="0084464A">
        <w:rPr>
          <w:rFonts w:ascii="Georgia" w:hAnsi="Georgia" w:cs="Arial"/>
          <w:color w:val="000000"/>
          <w:szCs w:val="23"/>
        </w:rPr>
        <w:t>de la lectura integral de la sentencia</w:t>
      </w:r>
      <w:r>
        <w:rPr>
          <w:rFonts w:ascii="Georgia" w:hAnsi="Georgia" w:cs="Arial"/>
          <w:color w:val="000000"/>
          <w:szCs w:val="23"/>
        </w:rPr>
        <w:t>,</w:t>
      </w:r>
      <w:r w:rsidR="00800DB9" w:rsidRPr="0084464A">
        <w:rPr>
          <w:rFonts w:ascii="Georgia" w:hAnsi="Georgia" w:cs="Arial"/>
          <w:color w:val="000000"/>
          <w:szCs w:val="23"/>
        </w:rPr>
        <w:t xml:space="preserve"> fácil se desprende </w:t>
      </w:r>
      <w:r w:rsidR="00AC2CF9">
        <w:rPr>
          <w:rFonts w:ascii="Georgia" w:hAnsi="Georgia" w:cs="Arial"/>
          <w:color w:val="000000"/>
          <w:szCs w:val="23"/>
        </w:rPr>
        <w:t xml:space="preserve">que </w:t>
      </w:r>
      <w:r w:rsidR="00DE4D51">
        <w:rPr>
          <w:rFonts w:ascii="Georgia" w:hAnsi="Georgia" w:cs="Arial"/>
          <w:color w:val="000000"/>
          <w:szCs w:val="23"/>
        </w:rPr>
        <w:t xml:space="preserve">el accionado </w:t>
      </w:r>
      <w:r>
        <w:rPr>
          <w:rFonts w:ascii="Georgia" w:hAnsi="Georgia" w:cs="Arial"/>
          <w:color w:val="000000"/>
          <w:szCs w:val="23"/>
        </w:rPr>
        <w:t xml:space="preserve">las </w:t>
      </w:r>
      <w:r w:rsidR="009404D7">
        <w:rPr>
          <w:rFonts w:ascii="Georgia" w:hAnsi="Georgia" w:cs="Arial"/>
          <w:color w:val="000000"/>
          <w:szCs w:val="23"/>
        </w:rPr>
        <w:t xml:space="preserve">apreció </w:t>
      </w:r>
      <w:r w:rsidR="0084464A" w:rsidRPr="0084464A">
        <w:rPr>
          <w:rFonts w:ascii="Georgia" w:hAnsi="Georgia" w:cs="Arial"/>
          <w:color w:val="000000"/>
          <w:szCs w:val="23"/>
        </w:rPr>
        <w:t xml:space="preserve">para tomar </w:t>
      </w:r>
      <w:r>
        <w:rPr>
          <w:rFonts w:ascii="Georgia" w:hAnsi="Georgia" w:cs="Arial"/>
          <w:color w:val="000000"/>
          <w:szCs w:val="23"/>
        </w:rPr>
        <w:t xml:space="preserve">la </w:t>
      </w:r>
      <w:r w:rsidR="0084464A" w:rsidRPr="0084464A">
        <w:rPr>
          <w:rFonts w:ascii="Georgia" w:hAnsi="Georgia" w:cs="Arial"/>
          <w:color w:val="000000"/>
          <w:szCs w:val="23"/>
        </w:rPr>
        <w:t>decisión</w:t>
      </w:r>
      <w:r>
        <w:rPr>
          <w:rFonts w:ascii="Georgia" w:hAnsi="Georgia" w:cs="Arial"/>
          <w:color w:val="000000"/>
          <w:szCs w:val="23"/>
        </w:rPr>
        <w:t xml:space="preserve">, es así que, luego de una cita doctrinaria, advirtió que : </w:t>
      </w:r>
      <w:r w:rsidRPr="000B1CB8">
        <w:rPr>
          <w:rFonts w:ascii="Georgia" w:hAnsi="Georgia" w:cs="Arial"/>
          <w:i/>
          <w:sz w:val="22"/>
          <w:szCs w:val="22"/>
          <w:lang w:val="es-CO"/>
        </w:rPr>
        <w:t>“(…) la acción resolutoria únicamente abriga al contratante que cumple, en tiempo y modo, las prestaciones a su cargo, de modo que aquél que las desatiende está privado de dicha acción y no puede emprenderla con éxito (…)”</w:t>
      </w:r>
      <w:r>
        <w:rPr>
          <w:rFonts w:ascii="Georgia" w:hAnsi="Georgia" w:cs="Arial"/>
          <w:i/>
          <w:sz w:val="22"/>
          <w:szCs w:val="22"/>
          <w:lang w:val="es-CO"/>
        </w:rPr>
        <w:t xml:space="preserve"> </w:t>
      </w:r>
      <w:r w:rsidRPr="000B1CB8">
        <w:rPr>
          <w:rFonts w:ascii="Georgia" w:hAnsi="Georgia" w:cs="Arial"/>
          <w:szCs w:val="22"/>
          <w:lang w:val="es-CO"/>
        </w:rPr>
        <w:t>(Disco compacto visible a folio 44, ib.)</w:t>
      </w:r>
      <w:r w:rsidR="002B4A4A">
        <w:rPr>
          <w:rFonts w:ascii="Georgia" w:hAnsi="Georgia" w:cs="Arial"/>
          <w:szCs w:val="22"/>
          <w:lang w:val="es-CO"/>
        </w:rPr>
        <w:t>, de tal suerte que es inexistente la vulneración o amenaza endilgada.</w:t>
      </w:r>
    </w:p>
    <w:p w:rsidR="000B1CB8" w:rsidRPr="009404D7" w:rsidRDefault="000B1CB8" w:rsidP="0084464A">
      <w:pPr>
        <w:widowControl/>
        <w:spacing w:line="360" w:lineRule="auto"/>
        <w:jc w:val="both"/>
        <w:rPr>
          <w:rFonts w:ascii="Georgia" w:hAnsi="Georgia" w:cs="Arial"/>
          <w:color w:val="000000"/>
          <w:sz w:val="20"/>
          <w:szCs w:val="23"/>
        </w:rPr>
      </w:pPr>
    </w:p>
    <w:p w:rsidR="00AC2CF9" w:rsidRDefault="00AC2CF9" w:rsidP="00AC2CF9">
      <w:pPr>
        <w:pStyle w:val="Textopredeterminado"/>
        <w:numPr>
          <w:ilvl w:val="1"/>
          <w:numId w:val="18"/>
        </w:numPr>
        <w:spacing w:line="360" w:lineRule="auto"/>
        <w:jc w:val="both"/>
        <w:rPr>
          <w:rFonts w:ascii="Georgia" w:hAnsi="Georgia" w:cs="Arial"/>
          <w:smallCaps/>
          <w:spacing w:val="3"/>
        </w:rPr>
      </w:pPr>
      <w:r w:rsidRPr="00FE5CDD">
        <w:rPr>
          <w:rFonts w:ascii="Georgia" w:hAnsi="Georgia" w:cs="Arial"/>
          <w:smallCaps/>
          <w:spacing w:val="3"/>
        </w:rPr>
        <w:t>El defecto fáctico</w:t>
      </w:r>
    </w:p>
    <w:p w:rsidR="006B3213" w:rsidRPr="009404D7" w:rsidRDefault="006B3213" w:rsidP="006B3213">
      <w:pPr>
        <w:pStyle w:val="Textopredeterminado"/>
        <w:spacing w:line="360" w:lineRule="auto"/>
        <w:ind w:left="720"/>
        <w:jc w:val="both"/>
        <w:rPr>
          <w:rFonts w:ascii="Georgia" w:hAnsi="Georgia" w:cs="Arial"/>
          <w:smallCaps/>
          <w:spacing w:val="3"/>
          <w:sz w:val="20"/>
        </w:rPr>
      </w:pPr>
    </w:p>
    <w:p w:rsidR="0088356A" w:rsidRPr="00DE4D51" w:rsidRDefault="00AC2CF9" w:rsidP="00AC2CF9">
      <w:pPr>
        <w:pStyle w:val="Textopredeterminado"/>
        <w:spacing w:line="360" w:lineRule="auto"/>
        <w:jc w:val="both"/>
        <w:rPr>
          <w:rFonts w:ascii="Georgia" w:hAnsi="Georgia" w:cs="Arial"/>
          <w:szCs w:val="24"/>
        </w:rPr>
      </w:pPr>
      <w:r>
        <w:rPr>
          <w:rFonts w:ascii="Georgia" w:hAnsi="Georgia" w:cs="Arial"/>
          <w:spacing w:val="3"/>
        </w:rPr>
        <w:t>A este respecto la Sala también advierte la inexistencia de vulneración o amenaza de</w:t>
      </w:r>
      <w:r w:rsidR="006B3213">
        <w:rPr>
          <w:rFonts w:ascii="Georgia" w:hAnsi="Georgia" w:cs="Arial"/>
          <w:spacing w:val="3"/>
        </w:rPr>
        <w:t xml:space="preserve"> los derechos; el accionado guió</w:t>
      </w:r>
      <w:r>
        <w:rPr>
          <w:rFonts w:ascii="Georgia" w:hAnsi="Georgia" w:cs="Arial"/>
          <w:spacing w:val="3"/>
        </w:rPr>
        <w:t xml:space="preserve"> su decisión </w:t>
      </w:r>
      <w:r w:rsidR="006B3213">
        <w:rPr>
          <w:rFonts w:ascii="Georgia" w:hAnsi="Georgia" w:cs="Arial"/>
          <w:spacing w:val="3"/>
        </w:rPr>
        <w:t>según</w:t>
      </w:r>
      <w:r>
        <w:rPr>
          <w:rFonts w:ascii="Georgia" w:hAnsi="Georgia" w:cs="Arial"/>
          <w:spacing w:val="3"/>
        </w:rPr>
        <w:t xml:space="preserve"> la verificación de los presupuestos de la pretensión resolutoria y la centró en el incumplimiento </w:t>
      </w:r>
      <w:r w:rsidR="0088356A">
        <w:rPr>
          <w:rFonts w:ascii="Georgia" w:hAnsi="Georgia" w:cs="Arial"/>
          <w:szCs w:val="24"/>
        </w:rPr>
        <w:t>de una de las prestaciones</w:t>
      </w:r>
      <w:r w:rsidRPr="00AC2CF9">
        <w:rPr>
          <w:rFonts w:ascii="Georgia" w:hAnsi="Georgia" w:cs="Arial"/>
          <w:szCs w:val="24"/>
        </w:rPr>
        <w:t xml:space="preserve"> que </w:t>
      </w:r>
      <w:r>
        <w:rPr>
          <w:rFonts w:ascii="Georgia" w:hAnsi="Georgia" w:cs="Arial"/>
          <w:szCs w:val="24"/>
        </w:rPr>
        <w:lastRenderedPageBreak/>
        <w:t xml:space="preserve">le </w:t>
      </w:r>
      <w:r w:rsidRPr="00AC2CF9">
        <w:rPr>
          <w:rFonts w:ascii="Georgia" w:hAnsi="Georgia" w:cs="Arial"/>
          <w:szCs w:val="24"/>
        </w:rPr>
        <w:t>correspondían al demandante</w:t>
      </w:r>
      <w:r w:rsidR="0088356A">
        <w:rPr>
          <w:rFonts w:ascii="Georgia" w:hAnsi="Georgia" w:cs="Arial"/>
          <w:szCs w:val="24"/>
        </w:rPr>
        <w:t>,</w:t>
      </w:r>
      <w:r>
        <w:rPr>
          <w:rFonts w:ascii="Georgia" w:hAnsi="Georgia" w:cs="Arial"/>
          <w:szCs w:val="24"/>
        </w:rPr>
        <w:t xml:space="preserve"> consistente en </w:t>
      </w:r>
      <w:r w:rsidR="0088356A">
        <w:rPr>
          <w:rFonts w:ascii="Georgia" w:hAnsi="Georgia" w:cs="Arial"/>
          <w:szCs w:val="24"/>
        </w:rPr>
        <w:t xml:space="preserve">el </w:t>
      </w:r>
      <w:r>
        <w:rPr>
          <w:rFonts w:ascii="Georgia" w:hAnsi="Georgia" w:cs="Arial"/>
          <w:szCs w:val="24"/>
        </w:rPr>
        <w:t>arrib</w:t>
      </w:r>
      <w:r w:rsidR="0088356A">
        <w:rPr>
          <w:rFonts w:ascii="Georgia" w:hAnsi="Georgia" w:cs="Arial"/>
          <w:szCs w:val="24"/>
        </w:rPr>
        <w:t>o a la Notaría por fuera de la hora convenida en la promesa de compraventa</w:t>
      </w:r>
      <w:r>
        <w:rPr>
          <w:rFonts w:ascii="Georgia" w:hAnsi="Georgia" w:cs="Arial"/>
          <w:szCs w:val="24"/>
        </w:rPr>
        <w:t>, circunstancia que fue reconocida en la demanda introductoria (Hecho 6º) (Disco compacto visible a folio 44, ib.)</w:t>
      </w:r>
      <w:r w:rsidR="00DE4D51">
        <w:rPr>
          <w:rFonts w:ascii="Georgia" w:hAnsi="Georgia" w:cs="Arial"/>
          <w:szCs w:val="24"/>
        </w:rPr>
        <w:t xml:space="preserve">; </w:t>
      </w:r>
      <w:r w:rsidR="000B1CB8">
        <w:rPr>
          <w:rFonts w:ascii="Georgia" w:hAnsi="Georgia" w:cs="Arial"/>
          <w:szCs w:val="24"/>
        </w:rPr>
        <w:t>también</w:t>
      </w:r>
      <w:r w:rsidR="00DE4D51">
        <w:rPr>
          <w:rFonts w:ascii="Georgia" w:hAnsi="Georgia" w:cs="Arial"/>
          <w:szCs w:val="24"/>
        </w:rPr>
        <w:t xml:space="preserve"> se </w:t>
      </w:r>
      <w:r w:rsidR="00DE4D51" w:rsidRPr="00DE4D51">
        <w:rPr>
          <w:rFonts w:ascii="Georgia" w:hAnsi="Georgia" w:cs="Arial"/>
          <w:szCs w:val="24"/>
        </w:rPr>
        <w:t xml:space="preserve">colige del acta No.2 de la Notaría 4ª del Circulo de Pereira </w:t>
      </w:r>
      <w:r w:rsidR="00FE5CDD">
        <w:rPr>
          <w:rFonts w:ascii="Georgia" w:hAnsi="Georgia"/>
          <w:szCs w:val="24"/>
        </w:rPr>
        <w:t>(Disco compacto visible a folio 44, ib.)</w:t>
      </w:r>
      <w:r w:rsidR="009D0D0D">
        <w:rPr>
          <w:rFonts w:ascii="Georgia" w:hAnsi="Georgia" w:cs="Arial"/>
          <w:szCs w:val="24"/>
        </w:rPr>
        <w:t>;</w:t>
      </w:r>
      <w:r w:rsidR="00DE4D51" w:rsidRPr="00DE4D51">
        <w:rPr>
          <w:rFonts w:ascii="Georgia" w:hAnsi="Georgia" w:cs="Arial"/>
          <w:szCs w:val="24"/>
        </w:rPr>
        <w:t xml:space="preserve"> inclusive, </w:t>
      </w:r>
      <w:r w:rsidR="0088356A" w:rsidRPr="00DE4D51">
        <w:rPr>
          <w:rFonts w:ascii="Georgia" w:hAnsi="Georgia" w:cs="Arial"/>
          <w:szCs w:val="24"/>
        </w:rPr>
        <w:t xml:space="preserve">se reitera en el petitorio de </w:t>
      </w:r>
      <w:r w:rsidR="00DE4D51" w:rsidRPr="00DE4D51">
        <w:rPr>
          <w:rFonts w:ascii="Georgia" w:hAnsi="Georgia" w:cs="Arial"/>
          <w:szCs w:val="24"/>
        </w:rPr>
        <w:t xml:space="preserve">esta </w:t>
      </w:r>
      <w:r w:rsidR="0088356A" w:rsidRPr="00DE4D51">
        <w:rPr>
          <w:rFonts w:ascii="Georgia" w:hAnsi="Georgia" w:cs="Arial"/>
          <w:szCs w:val="24"/>
        </w:rPr>
        <w:t>tutela (Hecho 6)</w:t>
      </w:r>
      <w:r w:rsidR="00DE4D51" w:rsidRPr="00DE4D51">
        <w:rPr>
          <w:rFonts w:ascii="Georgia" w:hAnsi="Georgia" w:cs="Arial"/>
          <w:szCs w:val="24"/>
        </w:rPr>
        <w:t xml:space="preserve"> (Folio 3, ib.)</w:t>
      </w:r>
      <w:r w:rsidR="0088356A" w:rsidRPr="00DE4D51">
        <w:rPr>
          <w:rFonts w:ascii="Georgia" w:hAnsi="Georgia" w:cs="Arial"/>
          <w:szCs w:val="24"/>
        </w:rPr>
        <w:t>.</w:t>
      </w:r>
    </w:p>
    <w:p w:rsidR="0088356A" w:rsidRPr="009404D7" w:rsidRDefault="0088356A" w:rsidP="00AC2CF9">
      <w:pPr>
        <w:pStyle w:val="Textopredeterminado"/>
        <w:spacing w:line="360" w:lineRule="auto"/>
        <w:jc w:val="both"/>
        <w:rPr>
          <w:rFonts w:ascii="Georgia" w:hAnsi="Georgia" w:cs="Arial"/>
          <w:sz w:val="20"/>
          <w:szCs w:val="24"/>
        </w:rPr>
      </w:pPr>
    </w:p>
    <w:p w:rsidR="0088356A" w:rsidRDefault="0088356A" w:rsidP="0088356A">
      <w:pPr>
        <w:spacing w:line="360" w:lineRule="auto"/>
        <w:jc w:val="both"/>
        <w:textAlignment w:val="baseline"/>
        <w:rPr>
          <w:rFonts w:ascii="Georgia" w:hAnsi="Georgia" w:cs="Arial"/>
          <w:szCs w:val="22"/>
          <w:lang w:val="es-CO"/>
        </w:rPr>
      </w:pPr>
      <w:r w:rsidRPr="00DE4D51">
        <w:rPr>
          <w:rFonts w:ascii="Georgia" w:hAnsi="Georgia" w:cs="Arial"/>
          <w:szCs w:val="22"/>
        </w:rPr>
        <w:t xml:space="preserve">Así entonces, resultaba inane </w:t>
      </w:r>
      <w:r w:rsidR="00C560F4" w:rsidRPr="00DE4D51">
        <w:rPr>
          <w:rFonts w:ascii="Georgia" w:hAnsi="Georgia" w:cs="Arial"/>
          <w:szCs w:val="22"/>
        </w:rPr>
        <w:t>analizar</w:t>
      </w:r>
      <w:r w:rsidRPr="00DE4D51">
        <w:rPr>
          <w:rFonts w:ascii="Georgia" w:hAnsi="Georgia" w:cs="Arial"/>
          <w:szCs w:val="22"/>
        </w:rPr>
        <w:t xml:space="preserve"> el restante </w:t>
      </w:r>
      <w:r w:rsidRPr="00DE4D51">
        <w:rPr>
          <w:rFonts w:ascii="Georgia" w:hAnsi="Georgia" w:cs="Arial"/>
          <w:szCs w:val="22"/>
          <w:lang w:val="es-CO"/>
        </w:rPr>
        <w:t xml:space="preserve">material probatorio </w:t>
      </w:r>
      <w:r w:rsidR="00C560F4" w:rsidRPr="00DE4D51">
        <w:rPr>
          <w:rFonts w:ascii="Georgia" w:hAnsi="Georgia" w:cs="Arial"/>
          <w:szCs w:val="22"/>
          <w:lang w:val="es-CO"/>
        </w:rPr>
        <w:t xml:space="preserve">dirigido </w:t>
      </w:r>
      <w:r w:rsidRPr="00DE4D51">
        <w:rPr>
          <w:rFonts w:ascii="Georgia" w:hAnsi="Georgia" w:cs="Arial"/>
          <w:szCs w:val="22"/>
          <w:lang w:val="es-CO"/>
        </w:rPr>
        <w:t xml:space="preserve">a demostrar el incumplimiento contractual de la parte pasiva, pues, como se aludió en precedencia, </w:t>
      </w:r>
      <w:r w:rsidR="00C560F4" w:rsidRPr="00DE4D51">
        <w:rPr>
          <w:rFonts w:ascii="Georgia" w:hAnsi="Georgia" w:cs="Arial"/>
          <w:szCs w:val="22"/>
          <w:lang w:val="es-CO"/>
        </w:rPr>
        <w:t>y bien lo enunció</w:t>
      </w:r>
      <w:r w:rsidR="009D0D0D">
        <w:rPr>
          <w:rFonts w:ascii="Georgia" w:hAnsi="Georgia" w:cs="Arial"/>
          <w:szCs w:val="22"/>
          <w:lang w:val="es-CO"/>
        </w:rPr>
        <w:t xml:space="preserve"> el juez accionado, la pretensión resolutoria </w:t>
      </w:r>
      <w:r w:rsidR="00942A73">
        <w:rPr>
          <w:rFonts w:ascii="Georgia" w:hAnsi="Georgia" w:cs="Arial"/>
          <w:szCs w:val="22"/>
          <w:lang w:val="es-CO"/>
        </w:rPr>
        <w:t>está en manos del contratante cumplido</w:t>
      </w:r>
      <w:r w:rsidRPr="00DE4D51">
        <w:rPr>
          <w:rFonts w:ascii="Georgia" w:hAnsi="Georgia" w:cs="Arial"/>
          <w:szCs w:val="22"/>
          <w:lang w:val="es-CO"/>
        </w:rPr>
        <w:t xml:space="preserve">. </w:t>
      </w:r>
    </w:p>
    <w:p w:rsidR="009404D7" w:rsidRPr="009404D7" w:rsidRDefault="009404D7" w:rsidP="0088356A">
      <w:pPr>
        <w:spacing w:line="360" w:lineRule="auto"/>
        <w:jc w:val="both"/>
        <w:textAlignment w:val="baseline"/>
        <w:rPr>
          <w:rFonts w:ascii="Georgia" w:hAnsi="Georgia" w:cs="Arial"/>
          <w:sz w:val="20"/>
          <w:szCs w:val="22"/>
          <w:lang w:val="es-CO"/>
        </w:rPr>
      </w:pPr>
    </w:p>
    <w:p w:rsidR="00C560F4" w:rsidRPr="00DE4D51" w:rsidRDefault="0088356A" w:rsidP="00C560F4">
      <w:pPr>
        <w:spacing w:line="360" w:lineRule="auto"/>
        <w:jc w:val="both"/>
        <w:textAlignment w:val="baseline"/>
        <w:rPr>
          <w:rFonts w:ascii="Georgia" w:hAnsi="Georgia" w:cs="Arial"/>
          <w:bCs/>
          <w:color w:val="000000"/>
        </w:rPr>
      </w:pPr>
      <w:r w:rsidRPr="00DE4D51">
        <w:rPr>
          <w:rFonts w:ascii="Georgia" w:hAnsi="Georgia" w:cs="Arial"/>
          <w:szCs w:val="22"/>
          <w:lang w:val="es-CO"/>
        </w:rPr>
        <w:t>Al decir de la CSJ</w:t>
      </w:r>
      <w:r w:rsidR="00C560F4" w:rsidRPr="00DE4D51">
        <w:rPr>
          <w:rStyle w:val="Refdenotaalpie"/>
          <w:rFonts w:ascii="Georgia" w:hAnsi="Georgia"/>
          <w:szCs w:val="22"/>
        </w:rPr>
        <w:footnoteReference w:id="38"/>
      </w:r>
      <w:r w:rsidRPr="00DE4D51">
        <w:rPr>
          <w:rFonts w:ascii="Georgia" w:hAnsi="Georgia" w:cs="Arial"/>
          <w:szCs w:val="22"/>
          <w:lang w:val="es-CO"/>
        </w:rPr>
        <w:t xml:space="preserve">: </w:t>
      </w:r>
      <w:r w:rsidRPr="00DE4D51">
        <w:rPr>
          <w:rFonts w:ascii="Georgia" w:hAnsi="Georgia" w:cs="Arial"/>
          <w:i/>
          <w:sz w:val="22"/>
          <w:szCs w:val="22"/>
          <w:lang w:val="es-CO"/>
        </w:rPr>
        <w:t xml:space="preserve">“(…) </w:t>
      </w:r>
      <w:r w:rsidRPr="00DE4D51">
        <w:rPr>
          <w:rFonts w:ascii="Georgia" w:hAnsi="Georgia" w:cs="Arial"/>
          <w:bCs/>
          <w:i/>
          <w:color w:val="000000"/>
          <w:sz w:val="22"/>
        </w:rPr>
        <w:t>este derecho únicamente puede ser ejercido en forma típica y peculiar por quien ha cumplido sus obligaciones o se allanó a cumplirlas y como prerrogativa a su arbitrio, siguiendo el programa contractual estipulado en el tiempo y en la forma convenida (…)”</w:t>
      </w:r>
      <w:r w:rsidRPr="00DE4D51">
        <w:rPr>
          <w:rFonts w:ascii="Georgia" w:hAnsi="Georgia" w:cs="Arial"/>
          <w:bCs/>
          <w:color w:val="000000"/>
        </w:rPr>
        <w:t>.</w:t>
      </w:r>
      <w:r w:rsidR="00C560F4" w:rsidRPr="00DE4D51">
        <w:rPr>
          <w:rFonts w:ascii="Georgia" w:hAnsi="Georgia" w:cs="Arial"/>
          <w:bCs/>
          <w:color w:val="000000"/>
        </w:rPr>
        <w:t xml:space="preserve"> </w:t>
      </w:r>
      <w:r w:rsidR="00C560F4" w:rsidRPr="00DE4D51">
        <w:rPr>
          <w:rFonts w:ascii="Georgia" w:hAnsi="Georgia" w:cs="Arial"/>
          <w:bCs/>
          <w:i/>
          <w:color w:val="000000"/>
          <w:sz w:val="22"/>
        </w:rPr>
        <w:t xml:space="preserve">“(…) Si quien demanda o reconviene la resolución contractual, ha sido incumplido, a tono con la doctrina mayoritaria fulge indiscutido, no satisface el segundo presupuesto anunciado; y por lo tanto, la faena dará al traste, porque la acción se edifica como privilegio intrínseco del contratante cumplido, en contra de quien contravino el acuerdo, (…)”. </w:t>
      </w:r>
      <w:r w:rsidR="00C560F4" w:rsidRPr="00DE4D51">
        <w:rPr>
          <w:rFonts w:ascii="Georgia" w:hAnsi="Georgia" w:cs="Arial"/>
          <w:bCs/>
          <w:color w:val="000000"/>
        </w:rPr>
        <w:t>Criterio</w:t>
      </w:r>
      <w:r w:rsidR="00C560F4" w:rsidRPr="00DE4D51">
        <w:rPr>
          <w:rFonts w:ascii="Georgia" w:hAnsi="Georgia" w:cs="Arial"/>
          <w:bCs/>
          <w:i/>
          <w:color w:val="000000"/>
        </w:rPr>
        <w:t xml:space="preserve"> </w:t>
      </w:r>
      <w:r w:rsidR="00C560F4" w:rsidRPr="00DE4D51">
        <w:rPr>
          <w:rFonts w:ascii="Georgia" w:hAnsi="Georgia" w:cs="Arial"/>
          <w:bCs/>
          <w:color w:val="000000"/>
        </w:rPr>
        <w:t>acogido por esta Sala del Tribunal Superior</w:t>
      </w:r>
      <w:r w:rsidR="00C560F4" w:rsidRPr="00DE4D51">
        <w:rPr>
          <w:rStyle w:val="Refdenotaalpie"/>
          <w:rFonts w:ascii="Georgia" w:hAnsi="Georgia"/>
          <w:bCs/>
          <w:color w:val="000000"/>
        </w:rPr>
        <w:footnoteReference w:id="39"/>
      </w:r>
      <w:r w:rsidR="00C560F4" w:rsidRPr="00DE4D51">
        <w:rPr>
          <w:rFonts w:ascii="Georgia" w:hAnsi="Georgia" w:cs="Arial"/>
          <w:bCs/>
          <w:color w:val="000000"/>
        </w:rPr>
        <w:t>.</w:t>
      </w:r>
    </w:p>
    <w:p w:rsidR="00C560F4" w:rsidRPr="009404D7" w:rsidRDefault="00C560F4" w:rsidP="0088356A">
      <w:pPr>
        <w:spacing w:line="360" w:lineRule="auto"/>
        <w:jc w:val="both"/>
        <w:textAlignment w:val="baseline"/>
        <w:rPr>
          <w:rFonts w:ascii="Georgia" w:hAnsi="Georgia" w:cs="Arial"/>
          <w:bCs/>
          <w:color w:val="000000"/>
          <w:sz w:val="20"/>
        </w:rPr>
      </w:pPr>
    </w:p>
    <w:p w:rsidR="0088356A" w:rsidRDefault="00C560F4" w:rsidP="00DE4D51">
      <w:pPr>
        <w:spacing w:line="360" w:lineRule="auto"/>
        <w:jc w:val="both"/>
        <w:textAlignment w:val="baseline"/>
        <w:rPr>
          <w:rFonts w:ascii="Georgia" w:hAnsi="Georgia" w:cs="Arial"/>
          <w:bCs/>
          <w:color w:val="000000"/>
        </w:rPr>
      </w:pPr>
      <w:r w:rsidRPr="00DE4D51">
        <w:rPr>
          <w:rFonts w:ascii="Georgia" w:hAnsi="Georgia" w:cs="Arial"/>
          <w:bCs/>
          <w:color w:val="000000"/>
        </w:rPr>
        <w:t xml:space="preserve">Tampoco puede afirmarse que el accionado </w:t>
      </w:r>
      <w:r w:rsidR="002B4A4A">
        <w:rPr>
          <w:rFonts w:ascii="Georgia" w:hAnsi="Georgia" w:cs="Arial"/>
          <w:bCs/>
          <w:color w:val="000000"/>
        </w:rPr>
        <w:t xml:space="preserve">deliberadamente </w:t>
      </w:r>
      <w:r w:rsidRPr="00DE4D51">
        <w:rPr>
          <w:rFonts w:ascii="Georgia" w:hAnsi="Georgia" w:cs="Arial"/>
          <w:bCs/>
          <w:color w:val="000000"/>
        </w:rPr>
        <w:t xml:space="preserve">haya omitido considerar </w:t>
      </w:r>
      <w:r w:rsidR="002B4A4A">
        <w:rPr>
          <w:rFonts w:ascii="Georgia" w:hAnsi="Georgia" w:cs="Arial"/>
          <w:bCs/>
          <w:color w:val="000000"/>
        </w:rPr>
        <w:t xml:space="preserve">el restante </w:t>
      </w:r>
      <w:r w:rsidRPr="00DE4D51">
        <w:rPr>
          <w:rFonts w:ascii="Georgia" w:hAnsi="Georgia" w:cs="Arial"/>
          <w:bCs/>
          <w:color w:val="000000"/>
        </w:rPr>
        <w:t>material probatorio</w:t>
      </w:r>
      <w:r w:rsidR="00DE4D51" w:rsidRPr="00DE4D51">
        <w:rPr>
          <w:rFonts w:ascii="Georgia" w:hAnsi="Georgia" w:cs="Arial"/>
          <w:bCs/>
          <w:color w:val="000000"/>
        </w:rPr>
        <w:t xml:space="preserve">, pues era innecesario hacerlo, si en cuenta se tiene que las demás pruebas en el asunto estaban orientadas a demostrar el incumplimiento de </w:t>
      </w:r>
      <w:r w:rsidR="002B4A4A">
        <w:rPr>
          <w:rFonts w:ascii="Georgia" w:hAnsi="Georgia" w:cs="Arial"/>
          <w:bCs/>
          <w:color w:val="000000"/>
        </w:rPr>
        <w:t xml:space="preserve">la </w:t>
      </w:r>
      <w:r w:rsidR="00DE4D51" w:rsidRPr="00DE4D51">
        <w:rPr>
          <w:rFonts w:ascii="Georgia" w:hAnsi="Georgia" w:cs="Arial"/>
          <w:bCs/>
          <w:color w:val="000000"/>
        </w:rPr>
        <w:t>contraparte, actividad inocua a la luz de lo previamente comprobado.</w:t>
      </w:r>
    </w:p>
    <w:p w:rsidR="00942A73" w:rsidRPr="009404D7" w:rsidRDefault="00942A73" w:rsidP="00DE4D51">
      <w:pPr>
        <w:spacing w:line="360" w:lineRule="auto"/>
        <w:jc w:val="both"/>
        <w:textAlignment w:val="baseline"/>
        <w:rPr>
          <w:rFonts w:ascii="Georgia" w:hAnsi="Georgia" w:cs="Arial"/>
          <w:bCs/>
          <w:color w:val="000000"/>
          <w:sz w:val="20"/>
        </w:rPr>
      </w:pPr>
    </w:p>
    <w:p w:rsidR="00942A73" w:rsidRPr="00FE5CDD" w:rsidRDefault="00942A73" w:rsidP="00942A73">
      <w:pPr>
        <w:pStyle w:val="Prrafodelista"/>
        <w:numPr>
          <w:ilvl w:val="1"/>
          <w:numId w:val="18"/>
        </w:numPr>
        <w:spacing w:line="360" w:lineRule="auto"/>
        <w:jc w:val="both"/>
        <w:textAlignment w:val="baseline"/>
        <w:rPr>
          <w:rFonts w:ascii="Georgia" w:hAnsi="Georgia" w:cs="Arial"/>
          <w:smallCaps/>
          <w:color w:val="000000"/>
          <w:szCs w:val="28"/>
        </w:rPr>
      </w:pPr>
      <w:r w:rsidRPr="00FE5CDD">
        <w:rPr>
          <w:rFonts w:ascii="Georgia" w:hAnsi="Georgia" w:cs="Arial"/>
          <w:smallCaps/>
          <w:color w:val="000000"/>
          <w:szCs w:val="28"/>
        </w:rPr>
        <w:t>El desconocimiento del precedente</w:t>
      </w:r>
    </w:p>
    <w:p w:rsidR="00942A73" w:rsidRPr="009404D7" w:rsidRDefault="00942A73" w:rsidP="00942A73">
      <w:pPr>
        <w:spacing w:line="360" w:lineRule="auto"/>
        <w:jc w:val="both"/>
        <w:textAlignment w:val="baseline"/>
        <w:rPr>
          <w:rFonts w:ascii="Georgia" w:hAnsi="Georgia" w:cs="Arial"/>
          <w:color w:val="000000"/>
          <w:sz w:val="20"/>
          <w:szCs w:val="28"/>
        </w:rPr>
      </w:pPr>
    </w:p>
    <w:p w:rsidR="00942A73" w:rsidRPr="003E196D" w:rsidRDefault="00942A73" w:rsidP="00942A73">
      <w:pPr>
        <w:spacing w:line="360" w:lineRule="auto"/>
        <w:ind w:right="51"/>
        <w:jc w:val="both"/>
        <w:rPr>
          <w:rFonts w:ascii="Georgia" w:hAnsi="Georgia" w:cs="Arial"/>
          <w:i/>
          <w:sz w:val="22"/>
        </w:rPr>
      </w:pPr>
      <w:r w:rsidRPr="003E196D">
        <w:rPr>
          <w:rFonts w:ascii="Georgia" w:hAnsi="Georgia" w:cs="Arial"/>
          <w:iCs/>
          <w:lang w:val="es-CO" w:eastAsia="es-CO"/>
        </w:rPr>
        <w:t xml:space="preserve">Recuérdese que </w:t>
      </w:r>
      <w:r w:rsidRPr="003E196D">
        <w:rPr>
          <w:rFonts w:ascii="Georgia" w:hAnsi="Georgia" w:cs="Arial"/>
        </w:rPr>
        <w:t xml:space="preserve">la jurisprudencia de la CSJ </w:t>
      </w:r>
      <w:r w:rsidRPr="00FE5CDD">
        <w:rPr>
          <w:rFonts w:ascii="Georgia" w:hAnsi="Georgia" w:cs="Arial"/>
          <w:i/>
          <w:sz w:val="22"/>
          <w:szCs w:val="22"/>
        </w:rPr>
        <w:t>“(…)</w:t>
      </w:r>
      <w:r w:rsidRPr="00FE5CDD">
        <w:rPr>
          <w:rFonts w:ascii="Georgia" w:hAnsi="Georgia" w:cs="Arial"/>
          <w:sz w:val="22"/>
          <w:szCs w:val="22"/>
        </w:rPr>
        <w:t xml:space="preserve"> </w:t>
      </w:r>
      <w:r w:rsidRPr="00FE5CDD">
        <w:rPr>
          <w:rFonts w:ascii="Georgia" w:hAnsi="Georgia" w:cs="Arial"/>
          <w:i/>
          <w:sz w:val="22"/>
          <w:szCs w:val="22"/>
        </w:rPr>
        <w:t>tiene fuerza de precedente y se encarga no solo de trazar unas directrices dentro de la respectiva jurisdicción (civil, penal, laboral), sino también de ofrecer una garantía de que las decisiones judiciales se basen en una interpretación razonable del marco legal establecido (…)”</w:t>
      </w:r>
      <w:r w:rsidRPr="00FE5CDD">
        <w:rPr>
          <w:rStyle w:val="Refdenotaalpie"/>
          <w:rFonts w:ascii="Georgia" w:hAnsi="Georgia"/>
        </w:rPr>
        <w:footnoteReference w:id="40"/>
      </w:r>
      <w:r w:rsidRPr="003E196D">
        <w:rPr>
          <w:rFonts w:ascii="Georgia" w:hAnsi="Georgia" w:cs="Arial"/>
          <w:i/>
          <w:sz w:val="22"/>
        </w:rPr>
        <w:t>.</w:t>
      </w:r>
    </w:p>
    <w:p w:rsidR="00942A73" w:rsidRPr="009404D7" w:rsidRDefault="00942A73" w:rsidP="00942A73">
      <w:pPr>
        <w:spacing w:line="360" w:lineRule="auto"/>
        <w:ind w:right="51"/>
        <w:jc w:val="both"/>
        <w:rPr>
          <w:rFonts w:ascii="Georgia" w:hAnsi="Georgia" w:cs="Arial"/>
          <w:i/>
          <w:sz w:val="20"/>
        </w:rPr>
      </w:pPr>
      <w:r w:rsidRPr="003E196D">
        <w:rPr>
          <w:rFonts w:ascii="Georgia" w:hAnsi="Georgia" w:cs="Arial"/>
          <w:i/>
          <w:sz w:val="22"/>
        </w:rPr>
        <w:t xml:space="preserve"> </w:t>
      </w:r>
    </w:p>
    <w:p w:rsidR="00942A73" w:rsidRPr="003E196D" w:rsidRDefault="00942A73" w:rsidP="00942A73">
      <w:pPr>
        <w:spacing w:line="360" w:lineRule="auto"/>
        <w:ind w:right="51"/>
        <w:jc w:val="both"/>
        <w:rPr>
          <w:rFonts w:ascii="Georgia" w:hAnsi="Georgia" w:cs="Arial"/>
        </w:rPr>
      </w:pPr>
      <w:r w:rsidRPr="003E196D">
        <w:rPr>
          <w:rFonts w:ascii="Georgia" w:hAnsi="Georgia" w:cs="Arial"/>
        </w:rPr>
        <w:t xml:space="preserve">Así las cosas, como la decisión cuestionada fue tomada por un juez en ejercicio de su jurisdicción civil, debía entonces acatar la doctrina jurisprudencial que su órgano de cierre (Precedente vertical) haya instituido en materia de resolución contractual, salvo que, haya tenido razones suficientes para apartarse y referidas en su decisión. </w:t>
      </w:r>
    </w:p>
    <w:p w:rsidR="00942A73" w:rsidRPr="00FE5CDD" w:rsidRDefault="00942A73" w:rsidP="00942A73">
      <w:pPr>
        <w:spacing w:line="360" w:lineRule="auto"/>
        <w:ind w:right="51"/>
        <w:jc w:val="both"/>
        <w:rPr>
          <w:rFonts w:ascii="Georgia" w:hAnsi="Georgia" w:cs="Arial"/>
          <w:sz w:val="20"/>
        </w:rPr>
      </w:pPr>
    </w:p>
    <w:p w:rsidR="00942A73" w:rsidRPr="003E196D" w:rsidRDefault="00942A73" w:rsidP="00942A73">
      <w:pPr>
        <w:spacing w:line="360" w:lineRule="auto"/>
        <w:ind w:right="51"/>
        <w:jc w:val="both"/>
        <w:rPr>
          <w:rFonts w:ascii="Georgia" w:hAnsi="Georgia" w:cs="Arial"/>
        </w:rPr>
      </w:pPr>
      <w:r w:rsidRPr="003E196D">
        <w:rPr>
          <w:rFonts w:ascii="Georgia" w:hAnsi="Georgia" w:cs="Arial"/>
        </w:rPr>
        <w:t xml:space="preserve">En </w:t>
      </w:r>
      <w:r w:rsidR="007A2F3C" w:rsidRPr="003E196D">
        <w:rPr>
          <w:rFonts w:ascii="Georgia" w:hAnsi="Georgia" w:cs="Arial"/>
        </w:rPr>
        <w:t>el fallo cuestionado</w:t>
      </w:r>
      <w:r w:rsidRPr="003E196D">
        <w:rPr>
          <w:rFonts w:ascii="Georgia" w:hAnsi="Georgia" w:cs="Arial"/>
        </w:rPr>
        <w:t xml:space="preserve"> </w:t>
      </w:r>
      <w:r w:rsidR="007A2F3C" w:rsidRPr="003E196D">
        <w:rPr>
          <w:rFonts w:ascii="Georgia" w:hAnsi="Georgia" w:cs="Arial"/>
        </w:rPr>
        <w:t>el juez</w:t>
      </w:r>
      <w:r w:rsidRPr="003E196D">
        <w:rPr>
          <w:rFonts w:ascii="Georgia" w:hAnsi="Georgia" w:cs="Arial"/>
        </w:rPr>
        <w:t xml:space="preserve"> </w:t>
      </w:r>
      <w:r w:rsidR="007A2F3C" w:rsidRPr="003E196D">
        <w:rPr>
          <w:rFonts w:ascii="Georgia" w:hAnsi="Georgia" w:cs="Arial"/>
        </w:rPr>
        <w:t xml:space="preserve">tuvo </w:t>
      </w:r>
      <w:r w:rsidRPr="003E196D">
        <w:rPr>
          <w:rFonts w:ascii="Georgia" w:hAnsi="Georgia" w:cs="Arial"/>
        </w:rPr>
        <w:t xml:space="preserve">a bien considerar </w:t>
      </w:r>
      <w:r w:rsidR="007A2F3C" w:rsidRPr="003E196D">
        <w:rPr>
          <w:rFonts w:ascii="Georgia" w:hAnsi="Georgia" w:cs="Arial"/>
        </w:rPr>
        <w:t xml:space="preserve">el postulado contenido en la </w:t>
      </w:r>
      <w:r w:rsidR="007A2F3C" w:rsidRPr="003E196D">
        <w:rPr>
          <w:rFonts w:ascii="Georgia" w:hAnsi="Georgia" w:cs="Arial"/>
        </w:rPr>
        <w:lastRenderedPageBreak/>
        <w:t>sentencia del 01-12-1993, exp.4022</w:t>
      </w:r>
      <w:r w:rsidRPr="003E196D">
        <w:rPr>
          <w:rFonts w:ascii="Georgia" w:hAnsi="Georgia" w:cs="Arial"/>
        </w:rPr>
        <w:t xml:space="preserve">, de </w:t>
      </w:r>
      <w:r w:rsidR="007A2F3C" w:rsidRPr="003E196D">
        <w:rPr>
          <w:rFonts w:ascii="Georgia" w:hAnsi="Georgia" w:cs="Arial"/>
        </w:rPr>
        <w:t xml:space="preserve">la que </w:t>
      </w:r>
      <w:r w:rsidRPr="003E196D">
        <w:rPr>
          <w:rFonts w:ascii="Georgia" w:hAnsi="Georgia" w:cs="Arial"/>
        </w:rPr>
        <w:t xml:space="preserve">acogió el alcance </w:t>
      </w:r>
      <w:r w:rsidR="007A2F3C" w:rsidRPr="003E196D">
        <w:rPr>
          <w:rFonts w:ascii="Georgia" w:hAnsi="Georgia" w:cs="Arial"/>
        </w:rPr>
        <w:t xml:space="preserve">interpretativo </w:t>
      </w:r>
      <w:r w:rsidRPr="003E196D">
        <w:rPr>
          <w:rFonts w:ascii="Georgia" w:hAnsi="Georgia" w:cs="Arial"/>
        </w:rPr>
        <w:t xml:space="preserve">que se hizo del artículo </w:t>
      </w:r>
      <w:r w:rsidR="007A2F3C" w:rsidRPr="003E196D">
        <w:rPr>
          <w:rFonts w:ascii="Georgia" w:hAnsi="Georgia" w:cs="Arial"/>
        </w:rPr>
        <w:t xml:space="preserve">1546 del CC, </w:t>
      </w:r>
      <w:r w:rsidRPr="003E196D">
        <w:rPr>
          <w:rFonts w:ascii="Georgia" w:hAnsi="Georgia" w:cs="Arial"/>
        </w:rPr>
        <w:t xml:space="preserve">en el sentido de que </w:t>
      </w:r>
      <w:r w:rsidR="007A2F3C" w:rsidRPr="003E196D">
        <w:rPr>
          <w:rFonts w:ascii="Georgia" w:hAnsi="Georgia" w:cs="Arial"/>
        </w:rPr>
        <w:t>el contratante incumplido carece del derecho de resolución contractual</w:t>
      </w:r>
      <w:r w:rsidRPr="003E196D">
        <w:rPr>
          <w:rFonts w:ascii="Georgia" w:hAnsi="Georgia" w:cs="Arial"/>
        </w:rPr>
        <w:t xml:space="preserve">. </w:t>
      </w:r>
    </w:p>
    <w:p w:rsidR="00942A73" w:rsidRPr="00FE5CDD" w:rsidRDefault="00942A73" w:rsidP="00942A73">
      <w:pPr>
        <w:spacing w:line="360" w:lineRule="auto"/>
        <w:ind w:right="51"/>
        <w:jc w:val="both"/>
        <w:rPr>
          <w:rFonts w:ascii="Georgia" w:hAnsi="Georgia" w:cs="Arial"/>
          <w:sz w:val="20"/>
        </w:rPr>
      </w:pPr>
    </w:p>
    <w:p w:rsidR="00942A73" w:rsidRPr="003E196D" w:rsidRDefault="007A2F3C" w:rsidP="00942A73">
      <w:pPr>
        <w:spacing w:line="360" w:lineRule="auto"/>
        <w:ind w:right="51"/>
        <w:jc w:val="both"/>
        <w:rPr>
          <w:rFonts w:ascii="Georgia" w:hAnsi="Georgia" w:cs="Arial"/>
          <w:lang w:val="es-CO"/>
        </w:rPr>
      </w:pPr>
      <w:r w:rsidRPr="003E196D">
        <w:rPr>
          <w:rFonts w:ascii="Georgia" w:hAnsi="Georgia" w:cs="Arial"/>
        </w:rPr>
        <w:t xml:space="preserve">Esta decisión </w:t>
      </w:r>
      <w:r w:rsidR="00942A73" w:rsidRPr="003E196D">
        <w:rPr>
          <w:rFonts w:ascii="Georgia" w:hAnsi="Georgia" w:cs="Arial"/>
        </w:rPr>
        <w:t xml:space="preserve">sin actualizar, contiene criterios </w:t>
      </w:r>
      <w:r w:rsidR="006B3213">
        <w:rPr>
          <w:rFonts w:ascii="Georgia" w:hAnsi="Georgia" w:cs="Arial"/>
        </w:rPr>
        <w:t xml:space="preserve">vigentes y </w:t>
      </w:r>
      <w:r w:rsidR="00942A73" w:rsidRPr="003E196D">
        <w:rPr>
          <w:rFonts w:ascii="Georgia" w:hAnsi="Georgia" w:cs="Arial"/>
        </w:rPr>
        <w:t xml:space="preserve">reiterados por la CSJ </w:t>
      </w:r>
      <w:r w:rsidR="003E196D" w:rsidRPr="003E196D">
        <w:rPr>
          <w:rFonts w:ascii="Georgia" w:hAnsi="Georgia" w:cs="Arial"/>
        </w:rPr>
        <w:t>en el fallo SC4420-2014</w:t>
      </w:r>
      <w:r w:rsidR="00942A73" w:rsidRPr="003E196D">
        <w:rPr>
          <w:rFonts w:ascii="Georgia" w:hAnsi="Georgia" w:cs="Arial"/>
        </w:rPr>
        <w:t>. Incluso existe precedente horizontal de esta misma Sala</w:t>
      </w:r>
      <w:r w:rsidR="003E196D" w:rsidRPr="003E196D">
        <w:rPr>
          <w:rStyle w:val="Refdenotaalpie"/>
          <w:rFonts w:ascii="Georgia" w:hAnsi="Georgia"/>
          <w:bCs/>
          <w:color w:val="000000"/>
        </w:rPr>
        <w:footnoteReference w:id="41"/>
      </w:r>
      <w:r w:rsidR="003E196D" w:rsidRPr="003E196D">
        <w:rPr>
          <w:rFonts w:ascii="Georgia" w:hAnsi="Georgia" w:cs="Arial"/>
        </w:rPr>
        <w:t xml:space="preserve">, </w:t>
      </w:r>
      <w:r w:rsidR="00942A73" w:rsidRPr="003E196D">
        <w:rPr>
          <w:rFonts w:ascii="Georgia" w:hAnsi="Georgia" w:cs="Arial"/>
        </w:rPr>
        <w:t xml:space="preserve">en la que se prohíjan.  </w:t>
      </w:r>
      <w:r w:rsidR="00FE5CDD">
        <w:rPr>
          <w:rFonts w:ascii="Georgia" w:hAnsi="Georgia" w:cs="Arial"/>
        </w:rPr>
        <w:t>Es inexistente entonces defecto alguno por el desconocimiento del precedente aplicable al caso concreto.</w:t>
      </w:r>
    </w:p>
    <w:p w:rsidR="00942A73" w:rsidRPr="009404D7" w:rsidRDefault="00942A73" w:rsidP="00942A73">
      <w:pPr>
        <w:spacing w:line="360" w:lineRule="auto"/>
        <w:ind w:right="51"/>
        <w:jc w:val="both"/>
        <w:rPr>
          <w:rFonts w:ascii="Georgia" w:hAnsi="Georgia" w:cs="Arial"/>
          <w:color w:val="FF0000"/>
          <w:sz w:val="20"/>
        </w:rPr>
      </w:pPr>
      <w:r w:rsidRPr="003E196D">
        <w:rPr>
          <w:rFonts w:ascii="Georgia" w:hAnsi="Georgia" w:cs="Arial"/>
          <w:sz w:val="22"/>
        </w:rPr>
        <w:t xml:space="preserve"> </w:t>
      </w:r>
    </w:p>
    <w:p w:rsidR="00FF5B57" w:rsidRPr="001E5B6B" w:rsidRDefault="007B7681" w:rsidP="00FF5B5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9404D7" w:rsidRDefault="00DB4A91" w:rsidP="00DB4A91">
      <w:pPr>
        <w:pStyle w:val="Textoindependiente"/>
        <w:spacing w:line="360" w:lineRule="auto"/>
        <w:ind w:left="400"/>
        <w:rPr>
          <w:rFonts w:ascii="Georgia" w:hAnsi="Georgia"/>
          <w:smallCaps/>
          <w:sz w:val="20"/>
          <w:szCs w:val="24"/>
        </w:rPr>
      </w:pPr>
    </w:p>
    <w:p w:rsidR="00450823" w:rsidRDefault="00DB4A91" w:rsidP="0045082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t xml:space="preserve">Con fundamento en las consideraciones expuestas </w:t>
      </w:r>
      <w:r w:rsidR="00FE5CDD">
        <w:rPr>
          <w:rFonts w:ascii="Georgia" w:hAnsi="Georgia" w:cs="Arial"/>
        </w:rPr>
        <w:t xml:space="preserve">se </w:t>
      </w:r>
      <w:r w:rsidR="001236E9">
        <w:rPr>
          <w:rFonts w:ascii="Georgia" w:hAnsi="Georgia" w:cs="Arial"/>
        </w:rPr>
        <w:t xml:space="preserve">negará el amparo constitucional </w:t>
      </w:r>
      <w:r w:rsidR="001236E9" w:rsidRPr="001236E9">
        <w:rPr>
          <w:rFonts w:ascii="Georgia" w:hAnsi="Georgia" w:cs="Arial"/>
        </w:rPr>
        <w:t xml:space="preserve">por </w:t>
      </w:r>
      <w:r w:rsidR="001236E9">
        <w:rPr>
          <w:rFonts w:ascii="Georgia" w:hAnsi="Georgia" w:cs="Arial"/>
        </w:rPr>
        <w:t xml:space="preserve">la </w:t>
      </w:r>
      <w:r w:rsidR="001236E9" w:rsidRPr="001236E9">
        <w:rPr>
          <w:rFonts w:ascii="Georgia" w:hAnsi="Georgia" w:cs="Arial"/>
        </w:rPr>
        <w:t xml:space="preserve">inexistencia </w:t>
      </w:r>
      <w:r w:rsidR="00FE5CDD">
        <w:rPr>
          <w:rFonts w:ascii="Georgia" w:hAnsi="Georgia" w:cs="Arial"/>
        </w:rPr>
        <w:t>de los defectos endilgados</w:t>
      </w:r>
      <w:r w:rsidR="00450823">
        <w:rPr>
          <w:rFonts w:ascii="Georgia" w:hAnsi="Georgia" w:cs="Arial"/>
        </w:rPr>
        <w:t>.</w:t>
      </w:r>
    </w:p>
    <w:p w:rsidR="00DB4A91" w:rsidRPr="009404D7" w:rsidRDefault="00DB4A91" w:rsidP="00DB4A91">
      <w:pPr>
        <w:pStyle w:val="Textoindependiente"/>
        <w:spacing w:line="360" w:lineRule="auto"/>
        <w:rPr>
          <w:rFonts w:ascii="Georgia" w:hAnsi="Georgia" w:cs="Arial"/>
          <w:sz w:val="20"/>
          <w:szCs w:val="24"/>
          <w:lang w:val="es-CO"/>
        </w:rPr>
      </w:pPr>
    </w:p>
    <w:p w:rsidR="00DB4A91" w:rsidRPr="001E5B6B"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F A L L A,</w:t>
      </w:r>
    </w:p>
    <w:p w:rsidR="001236E9" w:rsidRPr="006B3213" w:rsidRDefault="001236E9" w:rsidP="00FF5B57">
      <w:pPr>
        <w:pStyle w:val="Textoindependiente"/>
        <w:spacing w:line="360" w:lineRule="auto"/>
        <w:jc w:val="center"/>
        <w:rPr>
          <w:rFonts w:ascii="Georgia" w:hAnsi="Georgia" w:cs="Arial"/>
          <w:bCs/>
          <w:smallCaps/>
          <w:szCs w:val="24"/>
        </w:rPr>
      </w:pPr>
    </w:p>
    <w:p w:rsidR="002C127D" w:rsidRPr="001236E9" w:rsidRDefault="001236E9"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la acción de tutela presentada por el </w:t>
      </w:r>
      <w:r w:rsidR="00DB4A91" w:rsidRPr="001E5B6B">
        <w:rPr>
          <w:rFonts w:ascii="Georgia" w:hAnsi="Georgia" w:cs="Arial"/>
        </w:rPr>
        <w:t xml:space="preserve">señor </w:t>
      </w:r>
      <w:r w:rsidR="00FE5CDD">
        <w:rPr>
          <w:rFonts w:ascii="Georgia" w:hAnsi="Georgia" w:cs="Arial"/>
        </w:rPr>
        <w:t xml:space="preserve">Abel Mauricio Arias Cortes </w:t>
      </w:r>
      <w:r>
        <w:rPr>
          <w:rFonts w:ascii="Georgia" w:hAnsi="Georgia" w:cs="Arial"/>
        </w:rPr>
        <w:t xml:space="preserve">contra el </w:t>
      </w:r>
      <w:r w:rsidR="002C127D" w:rsidRPr="001E5B6B">
        <w:rPr>
          <w:rFonts w:ascii="Georgia" w:hAnsi="Georgia" w:cs="Arial"/>
          <w:lang w:val="es-CO"/>
        </w:rPr>
        <w:t xml:space="preserve">Juzgado </w:t>
      </w:r>
      <w:r w:rsidR="00FE5CDD">
        <w:rPr>
          <w:rFonts w:ascii="Georgia" w:hAnsi="Georgia" w:cs="Arial"/>
          <w:lang w:val="es-CO"/>
        </w:rPr>
        <w:t>Segundo Civil del Circuito de Pereira</w:t>
      </w:r>
      <w:r w:rsidR="004E5DB7" w:rsidRPr="001E5B6B">
        <w:rPr>
          <w:rFonts w:ascii="Georgia" w:hAnsi="Georgia" w:cs="Arial"/>
          <w:lang w:val="es-CO"/>
        </w:rPr>
        <w:t>.</w:t>
      </w:r>
    </w:p>
    <w:p w:rsidR="00450823" w:rsidRPr="006B3213" w:rsidRDefault="00450823" w:rsidP="00450823">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lang w:val="es-CO"/>
        </w:rPr>
      </w:pPr>
    </w:p>
    <w:p w:rsidR="00FF5B57" w:rsidRPr="001E5B6B" w:rsidRDefault="00FF5B57" w:rsidP="00FF5B5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6B3213" w:rsidRDefault="001236E9" w:rsidP="001236E9">
      <w:pPr>
        <w:pStyle w:val="Prrafodelista"/>
        <w:widowControl/>
        <w:autoSpaceDE/>
        <w:autoSpaceDN/>
        <w:adjustRightInd/>
        <w:spacing w:line="360" w:lineRule="auto"/>
        <w:ind w:left="360" w:right="51"/>
        <w:contextualSpacing/>
        <w:jc w:val="both"/>
        <w:rPr>
          <w:rFonts w:ascii="Georgia" w:hAnsi="Georgia"/>
        </w:rPr>
      </w:pPr>
    </w:p>
    <w:p w:rsidR="00FF5B57" w:rsidRPr="001E5B6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DA569C" w:rsidRDefault="00797D25" w:rsidP="00417DA5">
      <w:pPr>
        <w:pStyle w:val="Textoindependiente"/>
        <w:spacing w:line="360" w:lineRule="auto"/>
        <w:jc w:val="center"/>
        <w:rPr>
          <w:rFonts w:ascii="Georgia" w:hAnsi="Georgia"/>
          <w:sz w:val="22"/>
          <w:szCs w:val="24"/>
          <w:lang w:val="en-US"/>
        </w:rPr>
      </w:pPr>
      <w:r w:rsidRPr="001E5B6B">
        <w:rPr>
          <w:rFonts w:ascii="Georgia" w:hAnsi="Georgia"/>
          <w:smallCaps/>
          <w:szCs w:val="24"/>
          <w:lang w:val="en-US"/>
        </w:rPr>
        <w:t>NOTIFÍQUESE,</w:t>
      </w:r>
    </w:p>
    <w:p w:rsidR="00FE5CDD" w:rsidRDefault="00FE5CDD"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28"/>
          <w:lang w:val="en-US"/>
        </w:rPr>
      </w:pPr>
    </w:p>
    <w:p w:rsidR="00FE5CDD" w:rsidRDefault="00FE5CDD"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lang w:val="en-US"/>
        </w:rPr>
      </w:pPr>
    </w:p>
    <w:p w:rsidR="006B3213" w:rsidRPr="006B3213" w:rsidRDefault="006B3213" w:rsidP="00FE5CD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36"/>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FE5CDD" w:rsidRDefault="00FE5CDD"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E5CDD" w:rsidRPr="00FE5CDD" w:rsidRDefault="00FE5CDD"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1E5B6B" w:rsidRPr="00FE5CDD"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sectPr w:rsidR="001E5B6B" w:rsidSect="009404D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C8" w:rsidRDefault="000D2CC8" w:rsidP="0099045D">
      <w:r>
        <w:separator/>
      </w:r>
    </w:p>
  </w:endnote>
  <w:endnote w:type="continuationSeparator" w:id="0">
    <w:p w:rsidR="000D2CC8" w:rsidRDefault="000D2CC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4" w:rsidRPr="009404D7" w:rsidRDefault="00C560F4"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C560F4" w:rsidRPr="001E5B6B" w:rsidRDefault="00C560F4" w:rsidP="0013771A">
    <w:pPr>
      <w:pStyle w:val="Piedepgina"/>
      <w:spacing w:line="360" w:lineRule="auto"/>
      <w:jc w:val="right"/>
      <w:rPr>
        <w:rFonts w:ascii="Georgia" w:hAnsi="Georgia" w:cs="Arial"/>
        <w:spacing w:val="20"/>
        <w:w w:val="200"/>
        <w:sz w:val="14"/>
        <w:szCs w:val="10"/>
        <w:lang w:val="es-CO"/>
      </w:rPr>
    </w:pPr>
  </w:p>
  <w:p w:rsidR="00C560F4" w:rsidRPr="001E5B6B" w:rsidRDefault="00C560F4"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C560F4" w:rsidRPr="001E5B6B" w:rsidRDefault="00C560F4"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C8" w:rsidRDefault="000D2CC8" w:rsidP="0099045D">
      <w:r>
        <w:separator/>
      </w:r>
    </w:p>
  </w:footnote>
  <w:footnote w:type="continuationSeparator" w:id="0">
    <w:p w:rsidR="000D2CC8" w:rsidRDefault="000D2CC8" w:rsidP="0099045D">
      <w:r>
        <w:continuationSeparator/>
      </w:r>
    </w:p>
  </w:footnote>
  <w:footnote w:id="1">
    <w:p w:rsidR="00C560F4" w:rsidRPr="00FE5CDD" w:rsidRDefault="00C560F4" w:rsidP="00047B6A">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560F4" w:rsidRPr="00FE5CDD" w:rsidRDefault="00C560F4" w:rsidP="00047B6A">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560F4" w:rsidRPr="00FE5CDD" w:rsidRDefault="00C560F4" w:rsidP="00047B6A">
      <w:pPr>
        <w:pStyle w:val="Textonotapie"/>
        <w:jc w:val="both"/>
      </w:pPr>
      <w:r w:rsidRPr="00FE5CDD">
        <w:rPr>
          <w:rStyle w:val="Refdenotaalpie"/>
        </w:rPr>
        <w:footnoteRef/>
      </w:r>
      <w:r w:rsidRPr="00FE5CDD">
        <w:t xml:space="preserve"> </w:t>
      </w:r>
      <w:r w:rsidRPr="00FE5CDD">
        <w:rPr>
          <w:lang w:val="es-MX"/>
        </w:rPr>
        <w:t>CC. T-917 de 2011.</w:t>
      </w:r>
    </w:p>
  </w:footnote>
  <w:footnote w:id="4">
    <w:p w:rsidR="00C560F4" w:rsidRPr="00FE5CDD" w:rsidRDefault="00C560F4" w:rsidP="00047B6A">
      <w:pPr>
        <w:pStyle w:val="Textonotapie"/>
        <w:jc w:val="both"/>
      </w:pPr>
      <w:r w:rsidRPr="00FE5CDD">
        <w:rPr>
          <w:rStyle w:val="Refdenotaalpie"/>
        </w:rPr>
        <w:footnoteRef/>
      </w:r>
      <w:r w:rsidRPr="00FE5CDD">
        <w:rPr>
          <w:lang w:val="es-MX"/>
        </w:rPr>
        <w:t xml:space="preserve"> CC. C-590 de 2005.</w:t>
      </w:r>
    </w:p>
  </w:footnote>
  <w:footnote w:id="5">
    <w:p w:rsidR="00C560F4" w:rsidRPr="00FE5CDD" w:rsidRDefault="00C560F4" w:rsidP="00047B6A">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C560F4" w:rsidRPr="00FE5CDD" w:rsidRDefault="00C560F4" w:rsidP="00047B6A">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560F4" w:rsidRPr="00FE5CDD" w:rsidRDefault="00C560F4" w:rsidP="00047B6A">
      <w:pPr>
        <w:pStyle w:val="Textonotapie"/>
        <w:jc w:val="both"/>
      </w:pPr>
      <w:r w:rsidRPr="00FE5CDD">
        <w:rPr>
          <w:vertAlign w:val="superscript"/>
        </w:rPr>
        <w:footnoteRef/>
      </w:r>
      <w:r w:rsidRPr="00FE5CDD">
        <w:t xml:space="preserve"> ESCUELA JUDICIAL RODRIGO LARA BONILLA. </w:t>
      </w:r>
      <w:r w:rsidRPr="00FE5CDD">
        <w:rPr>
          <w:lang w:val="es-CO"/>
        </w:rPr>
        <w:t>La acción de tutela en el ordenamiento constitucional colombiano, Universidad Nacional de Colombia, Catalina Botero Marino, Ediprime Ltda., 2006, p.61-75.</w:t>
      </w:r>
    </w:p>
  </w:footnote>
  <w:footnote w:id="8">
    <w:p w:rsidR="00C560F4" w:rsidRPr="00FE5CDD" w:rsidRDefault="00C560F4" w:rsidP="00047B6A">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560F4" w:rsidRPr="00FE5CDD" w:rsidRDefault="00C560F4" w:rsidP="00540F2D">
      <w:pPr>
        <w:pStyle w:val="Textonotapie"/>
        <w:jc w:val="both"/>
      </w:pPr>
      <w:r w:rsidRPr="00FE5CDD">
        <w:rPr>
          <w:rStyle w:val="Refdenotaalpie"/>
        </w:rPr>
        <w:footnoteRef/>
      </w:r>
      <w:r w:rsidRPr="00FE5CDD">
        <w:t xml:space="preserve"> </w:t>
      </w:r>
      <w:r w:rsidRPr="00FE5CDD">
        <w:rPr>
          <w:lang w:val="es-MX"/>
        </w:rPr>
        <w:t xml:space="preserve">CC. </w:t>
      </w:r>
      <w:r w:rsidRPr="00FE5CDD">
        <w:t>SU-222 de 2016.</w:t>
      </w:r>
    </w:p>
  </w:footnote>
  <w:footnote w:id="10">
    <w:p w:rsidR="00C560F4" w:rsidRPr="00FE5CDD" w:rsidRDefault="00C560F4" w:rsidP="00540F2D">
      <w:pPr>
        <w:pStyle w:val="Textonotapie"/>
        <w:jc w:val="both"/>
      </w:pPr>
      <w:r w:rsidRPr="00FE5CDD">
        <w:rPr>
          <w:rStyle w:val="Refdenotaalpie"/>
        </w:rPr>
        <w:footnoteRef/>
      </w:r>
      <w:r w:rsidRPr="00FE5CDD">
        <w:t xml:space="preserve"> Así, por ejemplo, en la SU-159 de 2002, se define el defecto fáctico como “la aplicación del derecho sin contar con el apoyo de los hechos determinantes del supuesto legal a partir de pruebas válidas”.</w:t>
      </w:r>
    </w:p>
  </w:footnote>
  <w:footnote w:id="11">
    <w:p w:rsidR="00C560F4" w:rsidRPr="00FE5CDD" w:rsidRDefault="00C560F4" w:rsidP="00540F2D">
      <w:pPr>
        <w:pStyle w:val="Textonotapie"/>
        <w:jc w:val="both"/>
      </w:pPr>
      <w:r w:rsidRPr="00FE5CDD">
        <w:rPr>
          <w:rStyle w:val="Refdenotaalpie"/>
        </w:rPr>
        <w:footnoteRef/>
      </w:r>
      <w:r w:rsidRPr="00FE5CDD">
        <w:t xml:space="preserve"> Cabe resaltar que si esta omisión obedece a una negativa injustificada de practicar una prueba solicitada por una de las partes, se torna en un defecto procedimental, que recae en el ejercicio del derecho de contradicción.</w:t>
      </w:r>
    </w:p>
  </w:footnote>
  <w:footnote w:id="12">
    <w:p w:rsidR="00C560F4" w:rsidRPr="00FE5CDD" w:rsidRDefault="00C560F4" w:rsidP="00540F2D">
      <w:pPr>
        <w:pStyle w:val="Textonotapie"/>
        <w:jc w:val="both"/>
      </w:pPr>
      <w:r w:rsidRPr="00FE5CDD">
        <w:rPr>
          <w:rStyle w:val="Refdenotaalpie"/>
        </w:rPr>
        <w:footnoteRef/>
      </w:r>
      <w:r w:rsidRPr="00FE5CDD">
        <w:t xml:space="preserve"> </w:t>
      </w:r>
      <w:r w:rsidRPr="00FE5CDD">
        <w:rPr>
          <w:lang w:val="es-MX"/>
        </w:rPr>
        <w:t xml:space="preserve">CC. </w:t>
      </w:r>
      <w:r w:rsidRPr="00FE5CDD">
        <w:t>T-902 de 2005.</w:t>
      </w:r>
    </w:p>
  </w:footnote>
  <w:footnote w:id="13">
    <w:p w:rsidR="00C560F4" w:rsidRPr="00FE5CDD" w:rsidRDefault="00C560F4" w:rsidP="00540F2D">
      <w:pPr>
        <w:pStyle w:val="Textonotapie"/>
      </w:pPr>
      <w:r w:rsidRPr="00FE5CDD">
        <w:rPr>
          <w:rStyle w:val="Refdenotaalpie"/>
        </w:rPr>
        <w:footnoteRef/>
      </w:r>
      <w:r w:rsidRPr="00FE5CDD">
        <w:t xml:space="preserve"> </w:t>
      </w:r>
      <w:r w:rsidRPr="00FE5CDD">
        <w:rPr>
          <w:lang w:val="es-MX"/>
        </w:rPr>
        <w:t>CC. Ibídem.</w:t>
      </w:r>
    </w:p>
  </w:footnote>
  <w:footnote w:id="14">
    <w:p w:rsidR="00C560F4" w:rsidRPr="00FE5CDD" w:rsidRDefault="00C560F4" w:rsidP="003D24E8">
      <w:pPr>
        <w:pStyle w:val="Textonotapie"/>
        <w:jc w:val="both"/>
      </w:pPr>
      <w:r w:rsidRPr="00FE5CDD">
        <w:rPr>
          <w:rStyle w:val="Refdenotaalpie"/>
        </w:rPr>
        <w:footnoteRef/>
      </w:r>
      <w:r w:rsidRPr="00FE5CDD">
        <w:rPr>
          <w:lang w:val="es-MX"/>
        </w:rPr>
        <w:t xml:space="preserve"> CC. T-231 de 1994.</w:t>
      </w:r>
    </w:p>
  </w:footnote>
  <w:footnote w:id="15">
    <w:p w:rsidR="00C560F4" w:rsidRPr="00FE5CDD" w:rsidRDefault="00C560F4" w:rsidP="003D24E8">
      <w:pPr>
        <w:pStyle w:val="Textonotapie"/>
        <w:jc w:val="both"/>
      </w:pPr>
      <w:r w:rsidRPr="00FE5CDD">
        <w:rPr>
          <w:rStyle w:val="Refdenotaalpie"/>
        </w:rPr>
        <w:footnoteRef/>
      </w:r>
      <w:r w:rsidRPr="00FE5CDD">
        <w:t xml:space="preserve"> </w:t>
      </w:r>
      <w:r w:rsidRPr="00FE5CDD">
        <w:rPr>
          <w:lang w:val="es-MX"/>
        </w:rPr>
        <w:t>CC. T-831 de 2012.</w:t>
      </w:r>
    </w:p>
  </w:footnote>
  <w:footnote w:id="16">
    <w:p w:rsidR="00C560F4" w:rsidRPr="00FE5CDD" w:rsidRDefault="00C560F4" w:rsidP="003D24E8">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7">
    <w:p w:rsidR="00C560F4" w:rsidRPr="00FE5CDD" w:rsidRDefault="00C560F4" w:rsidP="003D24E8">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8">
    <w:p w:rsidR="00C560F4" w:rsidRPr="00FE5CDD" w:rsidRDefault="00C560F4" w:rsidP="003D24E8">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19">
    <w:p w:rsidR="00C560F4" w:rsidRPr="00FE5CDD" w:rsidRDefault="00C560F4" w:rsidP="003D24E8">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20">
    <w:p w:rsidR="00C560F4" w:rsidRPr="00FE5CDD" w:rsidRDefault="00C560F4" w:rsidP="003D24E8">
      <w:pPr>
        <w:pStyle w:val="Textonotapie"/>
      </w:pPr>
      <w:r w:rsidRPr="00FE5CDD">
        <w:rPr>
          <w:rStyle w:val="Refdenotaalpie"/>
        </w:rPr>
        <w:footnoteRef/>
      </w:r>
      <w:r w:rsidRPr="00FE5CDD">
        <w:t xml:space="preserve"> </w:t>
      </w:r>
      <w:r w:rsidRPr="00FE5CDD">
        <w:rPr>
          <w:lang w:val="es-MX"/>
        </w:rPr>
        <w:t>CC. SU-949 de 2014 y T-192 de 2015.</w:t>
      </w:r>
    </w:p>
  </w:footnote>
  <w:footnote w:id="21">
    <w:p w:rsidR="00C560F4" w:rsidRPr="00FE5CDD" w:rsidRDefault="00C560F4" w:rsidP="003D24E8">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2">
    <w:p w:rsidR="00C560F4" w:rsidRPr="00FE5CDD" w:rsidRDefault="00C560F4" w:rsidP="003D24E8">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23">
    <w:p w:rsidR="00C560F4" w:rsidRPr="00FE5CDD" w:rsidRDefault="00C560F4" w:rsidP="003A0558">
      <w:pPr>
        <w:pStyle w:val="Textonotapie"/>
        <w:jc w:val="both"/>
      </w:pPr>
      <w:r w:rsidRPr="00FE5CDD">
        <w:rPr>
          <w:vertAlign w:val="superscript"/>
        </w:rPr>
        <w:footnoteRef/>
      </w:r>
      <w:r w:rsidRPr="00FE5CDD">
        <w:t xml:space="preserve"> </w:t>
      </w:r>
      <w:r w:rsidRPr="00FE5CDD">
        <w:rPr>
          <w:lang w:val="es-CO"/>
        </w:rPr>
        <w:t xml:space="preserve">Según el doctrinante Pierluigi Chiassoni en su libro “Desencanto para abogados realistas”, el precedente judicial puede ser entendido en cuatro acepciones; (i) precedente-sentencia, (ii) precedente-ratio, (iii) precedente-ratio autoritativo y (iv) precedente- ratio decidendi consolidada o precedente orientación. Este último hace referencia a </w:t>
      </w:r>
      <w:r w:rsidRPr="00FE5CDD">
        <w:rPr>
          <w:i/>
          <w:lang w:val="es-CO"/>
        </w:rPr>
        <w:t>“es la ratio decidenci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FE5CDD">
        <w:rPr>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FE5CDD">
          <w:rPr>
            <w:lang w:val="es-CO"/>
          </w:rPr>
          <w:t>la Corte Constitucional</w:t>
        </w:r>
      </w:smartTag>
      <w:r w:rsidRPr="00FE5CDD">
        <w:rPr>
          <w:lang w:val="es-CO"/>
        </w:rPr>
        <w:t xml:space="preserve"> en el sentido en que debe ser una sentencia anterior que trata de hechos cuestiones y elemento muy similares al caso que se pretende resolver.</w:t>
      </w:r>
    </w:p>
  </w:footnote>
  <w:footnote w:id="24">
    <w:p w:rsidR="00C560F4" w:rsidRPr="00FE5CDD" w:rsidRDefault="00C560F4" w:rsidP="003A0558">
      <w:pPr>
        <w:pStyle w:val="Textonotapie"/>
        <w:rPr>
          <w:lang w:val="es-CO"/>
        </w:rPr>
      </w:pPr>
      <w:r w:rsidRPr="00FE5CDD">
        <w:rPr>
          <w:rStyle w:val="Refdenotaalpie"/>
        </w:rPr>
        <w:footnoteRef/>
      </w:r>
      <w:r w:rsidRPr="00FE5CDD">
        <w:t xml:space="preserve"> </w:t>
      </w:r>
      <w:r w:rsidRPr="00FE5CDD">
        <w:rPr>
          <w:lang w:val="es-CO"/>
        </w:rPr>
        <w:t>CC. T-737 de 2015.</w:t>
      </w:r>
    </w:p>
  </w:footnote>
  <w:footnote w:id="25">
    <w:p w:rsidR="00C560F4" w:rsidRPr="00FE5CDD" w:rsidRDefault="00C560F4" w:rsidP="003A0558">
      <w:pPr>
        <w:pStyle w:val="Textonotapie"/>
        <w:jc w:val="both"/>
      </w:pPr>
      <w:r w:rsidRPr="00FE5CDD">
        <w:rPr>
          <w:rStyle w:val="Refdenotaalpie"/>
        </w:rPr>
        <w:footnoteRef/>
      </w:r>
      <w:r w:rsidRPr="00FE5CDD">
        <w:t xml:space="preserve"> </w:t>
      </w:r>
      <w:r w:rsidRPr="00FE5CDD">
        <w:rPr>
          <w:lang w:val="es-CO"/>
        </w:rPr>
        <w:t>LÓPEZ M., Diego E. El derecho de los jueces, 8ª reimpresión de la 2ª edición, Bogotá DC, editorial Legis y Universidad de Los Andes, 2009, p.83.</w:t>
      </w:r>
    </w:p>
  </w:footnote>
  <w:footnote w:id="26">
    <w:p w:rsidR="00C560F4" w:rsidRPr="00FE5CDD" w:rsidRDefault="00C560F4" w:rsidP="003A0558">
      <w:pPr>
        <w:pStyle w:val="Textonotapie"/>
        <w:jc w:val="both"/>
      </w:pPr>
      <w:r w:rsidRPr="00FE5CDD">
        <w:rPr>
          <w:vertAlign w:val="superscript"/>
        </w:rPr>
        <w:footnoteRef/>
      </w:r>
      <w:r w:rsidRPr="00FE5CDD">
        <w:t xml:space="preserve"> </w:t>
      </w:r>
      <w:r w:rsidRPr="00FE5CDD">
        <w:rPr>
          <w:lang w:val="es-MX"/>
        </w:rPr>
        <w:t xml:space="preserve">CC. T-084 de 2017, T-038 de 2016, T-737 de 2015, </w:t>
      </w:r>
      <w:r w:rsidRPr="00FE5CDD">
        <w:rPr>
          <w:lang w:val="es-CO"/>
        </w:rPr>
        <w:t>T-794 de 2011, T-082 de 2011, T-209 de 2011, entre otras.</w:t>
      </w:r>
    </w:p>
  </w:footnote>
  <w:footnote w:id="27">
    <w:p w:rsidR="00C560F4" w:rsidRPr="00FE5CDD" w:rsidRDefault="00C560F4" w:rsidP="003A0558">
      <w:pPr>
        <w:pStyle w:val="Textonotapie"/>
        <w:jc w:val="both"/>
      </w:pPr>
      <w:r w:rsidRPr="00FE5CDD">
        <w:rPr>
          <w:rStyle w:val="Refdenotaalpie"/>
        </w:rPr>
        <w:footnoteRef/>
      </w:r>
      <w:r w:rsidRPr="00FE5CDD">
        <w:t xml:space="preserve"> </w:t>
      </w:r>
      <w:r w:rsidRPr="00FE5CDD">
        <w:rPr>
          <w:lang w:val="es-MX"/>
        </w:rPr>
        <w:t>CC. T-831 de 2012, ob. cit.</w:t>
      </w:r>
    </w:p>
  </w:footnote>
  <w:footnote w:id="28">
    <w:p w:rsidR="00C560F4" w:rsidRPr="00FE5CDD" w:rsidRDefault="00C560F4" w:rsidP="003A0558">
      <w:pPr>
        <w:pStyle w:val="Textonotapie"/>
        <w:jc w:val="both"/>
      </w:pPr>
      <w:r w:rsidRPr="00FE5CDD">
        <w:rPr>
          <w:vertAlign w:val="superscript"/>
        </w:rPr>
        <w:footnoteRef/>
      </w:r>
      <w:r w:rsidRPr="00FE5CDD">
        <w:t xml:space="preserve"> </w:t>
      </w:r>
      <w:r w:rsidRPr="00FE5CDD">
        <w:rPr>
          <w:lang w:val="es-MX"/>
        </w:rPr>
        <w:t xml:space="preserve">CC. </w:t>
      </w:r>
      <w:r w:rsidRPr="00FE5CDD">
        <w:t>T-123 de 1995, T-766 de 2008 y T-794 de 2011</w:t>
      </w:r>
      <w:r w:rsidRPr="00FE5CDD">
        <w:rPr>
          <w:lang w:val="es-CO"/>
        </w:rPr>
        <w:t xml:space="preserve">. </w:t>
      </w:r>
    </w:p>
  </w:footnote>
  <w:footnote w:id="29">
    <w:p w:rsidR="00C560F4" w:rsidRPr="00FE5CDD" w:rsidRDefault="00C560F4" w:rsidP="003A0558">
      <w:pPr>
        <w:pStyle w:val="Textonotapie"/>
        <w:jc w:val="both"/>
      </w:pPr>
      <w:r w:rsidRPr="00FE5CDD">
        <w:rPr>
          <w:vertAlign w:val="superscript"/>
        </w:rPr>
        <w:footnoteRef/>
      </w:r>
      <w:r w:rsidRPr="00FE5CDD">
        <w:t xml:space="preserve"> </w:t>
      </w:r>
      <w:r w:rsidRPr="00FE5CDD">
        <w:rPr>
          <w:lang w:val="es-MX"/>
        </w:rPr>
        <w:t xml:space="preserve">CC. </w:t>
      </w:r>
      <w:r w:rsidRPr="00FE5CDD">
        <w:rPr>
          <w:lang w:val="es-CO"/>
        </w:rPr>
        <w:t>T-211 de 2008, T-161 de 2010 y T-082 de 2011.</w:t>
      </w:r>
    </w:p>
  </w:footnote>
  <w:footnote w:id="30">
    <w:p w:rsidR="00C560F4" w:rsidRPr="00FE5CDD" w:rsidRDefault="00C560F4" w:rsidP="003A0558">
      <w:pPr>
        <w:pStyle w:val="Textonotapie"/>
        <w:jc w:val="both"/>
      </w:pPr>
      <w:r w:rsidRPr="00FE5CDD">
        <w:rPr>
          <w:rStyle w:val="Refdenotaalpie"/>
        </w:rPr>
        <w:footnoteRef/>
      </w:r>
      <w:r w:rsidRPr="00FE5CDD">
        <w:rPr>
          <w:lang w:val="es-MX"/>
        </w:rPr>
        <w:t>CC. C-836 de 2001.</w:t>
      </w:r>
    </w:p>
  </w:footnote>
  <w:footnote w:id="31">
    <w:p w:rsidR="00C560F4" w:rsidRPr="00FE5CDD" w:rsidRDefault="00C560F4" w:rsidP="003A0558">
      <w:pPr>
        <w:pStyle w:val="Textonotapie"/>
        <w:rPr>
          <w:lang w:val="es-CO"/>
        </w:rPr>
      </w:pPr>
      <w:r w:rsidRPr="00FE5CDD">
        <w:rPr>
          <w:rStyle w:val="Refdenotaalpie"/>
        </w:rPr>
        <w:footnoteRef/>
      </w:r>
      <w:r w:rsidRPr="00FE5CDD">
        <w:t xml:space="preserve"> </w:t>
      </w:r>
      <w:r w:rsidRPr="00FE5CDD">
        <w:rPr>
          <w:lang w:val="es-MX"/>
        </w:rPr>
        <w:t>CC. T-1029 del 2012.</w:t>
      </w:r>
    </w:p>
  </w:footnote>
  <w:footnote w:id="32">
    <w:p w:rsidR="00C560F4" w:rsidRPr="00FE5CDD" w:rsidRDefault="00C560F4" w:rsidP="003A0558">
      <w:pPr>
        <w:pStyle w:val="Textonotapie"/>
        <w:rPr>
          <w:lang w:val="es-CO"/>
        </w:rPr>
      </w:pPr>
      <w:r w:rsidRPr="00FE5CDD">
        <w:rPr>
          <w:rStyle w:val="Refdenotaalpie"/>
        </w:rPr>
        <w:footnoteRef/>
      </w:r>
      <w:r w:rsidRPr="00FE5CDD">
        <w:t xml:space="preserve"> </w:t>
      </w:r>
      <w:r w:rsidRPr="00FE5CDD">
        <w:rPr>
          <w:lang w:val="es-CO"/>
        </w:rPr>
        <w:t>CC. T-102 de 2014 y T-309 de 2015 (Referida en la C-0621 de 2015).</w:t>
      </w:r>
    </w:p>
  </w:footnote>
  <w:footnote w:id="33">
    <w:p w:rsidR="00C560F4" w:rsidRPr="00FE5CDD" w:rsidRDefault="00C560F4" w:rsidP="00BC4139">
      <w:pPr>
        <w:pStyle w:val="Textonotapie"/>
        <w:jc w:val="both"/>
      </w:pPr>
      <w:r w:rsidRPr="00FE5CDD">
        <w:rPr>
          <w:vertAlign w:val="superscript"/>
        </w:rPr>
        <w:footnoteRef/>
      </w:r>
      <w:r w:rsidRPr="00FE5CDD">
        <w:t xml:space="preserve"> ARRUBLA P</w:t>
      </w:r>
      <w:r w:rsidR="009D0D0D" w:rsidRPr="00FE5CDD">
        <w:t>.</w:t>
      </w:r>
      <w:r w:rsidRPr="00FE5CDD">
        <w:t>, Jaime A</w:t>
      </w:r>
      <w:r w:rsidR="009D0D0D" w:rsidRPr="00FE5CDD">
        <w:t>.</w:t>
      </w:r>
      <w:r w:rsidRPr="00FE5CDD">
        <w:t>. Contratos mercantiles, 13ª edición, Legis SA, 2012, Bogotá DC., p.105.</w:t>
      </w:r>
    </w:p>
  </w:footnote>
  <w:footnote w:id="34">
    <w:p w:rsidR="00C560F4" w:rsidRPr="00FE5CDD" w:rsidRDefault="00C560F4" w:rsidP="00BC4139">
      <w:pPr>
        <w:pStyle w:val="Textonotapie"/>
        <w:jc w:val="both"/>
      </w:pPr>
      <w:r w:rsidRPr="00FE5CDD">
        <w:rPr>
          <w:vertAlign w:val="superscript"/>
        </w:rPr>
        <w:footnoteRef/>
      </w:r>
      <w:r w:rsidRPr="00FE5CDD">
        <w:t xml:space="preserve"> </w:t>
      </w:r>
      <w:r w:rsidRPr="00FE5CDD">
        <w:rPr>
          <w:lang w:val="es-CO"/>
        </w:rPr>
        <w:t xml:space="preserve">CSJ, </w:t>
      </w:r>
      <w:r w:rsidRPr="00FE5CDD">
        <w:t>Civil. Sentencia del 27-01-</w:t>
      </w:r>
      <w:smartTag w:uri="urn:schemas-microsoft-com:office:smarttags" w:element="metricconverter">
        <w:smartTagPr>
          <w:attr w:name="ProductID" w:val="1981, M"/>
        </w:smartTagPr>
        <w:r w:rsidRPr="00FE5CDD">
          <w:t>1981, M</w:t>
        </w:r>
      </w:smartTag>
      <w:r w:rsidRPr="00FE5CDD">
        <w:t>P: Humberto Murcia B. También el fallo del 05-11-1979, MP: Alberto Ospina B.</w:t>
      </w:r>
    </w:p>
  </w:footnote>
  <w:footnote w:id="35">
    <w:p w:rsidR="00C560F4" w:rsidRPr="00FE5CDD" w:rsidRDefault="00C560F4" w:rsidP="00BC4139">
      <w:pPr>
        <w:pStyle w:val="Textonotapie"/>
        <w:jc w:val="both"/>
      </w:pPr>
      <w:r w:rsidRPr="00FE5CDD">
        <w:rPr>
          <w:rStyle w:val="Refdenotaalpie"/>
        </w:rPr>
        <w:footnoteRef/>
      </w:r>
      <w:r w:rsidRPr="00FE5CDD">
        <w:t xml:space="preserve"> </w:t>
      </w:r>
      <w:r w:rsidRPr="00FE5CDD">
        <w:rPr>
          <w:lang w:val="es-CO"/>
        </w:rPr>
        <w:t xml:space="preserve">CSJ, </w:t>
      </w:r>
      <w:r w:rsidRPr="00FE5CDD">
        <w:t>Civil. Sentencia del 16-05-2002, No.6877.</w:t>
      </w:r>
    </w:p>
  </w:footnote>
  <w:footnote w:id="36">
    <w:p w:rsidR="00C560F4" w:rsidRPr="00FE5CDD" w:rsidRDefault="00C560F4" w:rsidP="00BC4139">
      <w:pPr>
        <w:pStyle w:val="Textonotapie"/>
        <w:jc w:val="both"/>
      </w:pPr>
      <w:r w:rsidRPr="00FE5CDD">
        <w:rPr>
          <w:rStyle w:val="Refdenotaalpie"/>
        </w:rPr>
        <w:footnoteRef/>
      </w:r>
      <w:r w:rsidRPr="00FE5CDD">
        <w:t xml:space="preserve"> </w:t>
      </w:r>
      <w:r w:rsidRPr="00FE5CDD">
        <w:rPr>
          <w:lang w:val="es-CO"/>
        </w:rPr>
        <w:t xml:space="preserve">CSJ, </w:t>
      </w:r>
      <w:r w:rsidRPr="00FE5CDD">
        <w:t>Civil. Sentencia del 08-12-2009, MP: Arturo Solarte R</w:t>
      </w:r>
      <w:r w:rsidR="009D0D0D" w:rsidRPr="00FE5CDD">
        <w:t>.</w:t>
      </w:r>
      <w:r w:rsidRPr="00FE5CDD">
        <w:t>, No.1996-09616-01.</w:t>
      </w:r>
    </w:p>
  </w:footnote>
  <w:footnote w:id="37">
    <w:p w:rsidR="00C560F4" w:rsidRPr="00FE5CDD" w:rsidRDefault="00C560F4" w:rsidP="00BC4139">
      <w:pPr>
        <w:pStyle w:val="Textonotapie"/>
        <w:jc w:val="both"/>
        <w:rPr>
          <w:lang w:val="es-CO"/>
        </w:rPr>
      </w:pPr>
      <w:r w:rsidRPr="00FE5CDD">
        <w:rPr>
          <w:rStyle w:val="Refdenotaalpie"/>
        </w:rPr>
        <w:footnoteRef/>
      </w:r>
      <w:r w:rsidRPr="00FE5CDD">
        <w:t xml:space="preserve"> </w:t>
      </w:r>
      <w:r w:rsidRPr="00FE5CDD">
        <w:rPr>
          <w:lang w:val="es-CO"/>
        </w:rPr>
        <w:t xml:space="preserve">CSJ, </w:t>
      </w:r>
      <w:r w:rsidRPr="00FE5CDD">
        <w:t>Civil. Sentencia del 14-12-2010, MP: Arturo Solarte R</w:t>
      </w:r>
      <w:r w:rsidR="009D0D0D" w:rsidRPr="00FE5CDD">
        <w:t>.</w:t>
      </w:r>
      <w:r w:rsidRPr="00FE5CDD">
        <w:t>, No.2002-08463-01.</w:t>
      </w:r>
    </w:p>
  </w:footnote>
  <w:footnote w:id="38">
    <w:p w:rsidR="00C560F4" w:rsidRPr="00FE5CDD" w:rsidRDefault="00C560F4" w:rsidP="00C560F4">
      <w:pPr>
        <w:pStyle w:val="Textonotapie"/>
        <w:jc w:val="both"/>
        <w:rPr>
          <w:lang w:val="es-CO"/>
        </w:rPr>
      </w:pPr>
      <w:r w:rsidRPr="00FE5CDD">
        <w:rPr>
          <w:rStyle w:val="Refdenotaalpie"/>
        </w:rPr>
        <w:footnoteRef/>
      </w:r>
      <w:r w:rsidRPr="00FE5CDD">
        <w:t xml:space="preserve"> </w:t>
      </w:r>
      <w:r w:rsidRPr="00FE5CDD">
        <w:rPr>
          <w:lang w:val="es-CO"/>
        </w:rPr>
        <w:t xml:space="preserve">CSJ, </w:t>
      </w:r>
      <w:r w:rsidRPr="00FE5CDD">
        <w:t>Civil. SC4420-2014.</w:t>
      </w:r>
    </w:p>
  </w:footnote>
  <w:footnote w:id="39">
    <w:p w:rsidR="00C560F4" w:rsidRPr="00FE5CDD" w:rsidRDefault="00C560F4">
      <w:pPr>
        <w:pStyle w:val="Textonotapie"/>
        <w:rPr>
          <w:lang w:val="es-CO"/>
        </w:rPr>
      </w:pPr>
      <w:r w:rsidRPr="00FE5CDD">
        <w:rPr>
          <w:rStyle w:val="Refdenotaalpie"/>
        </w:rPr>
        <w:footnoteRef/>
      </w:r>
      <w:r w:rsidRPr="00FE5CDD">
        <w:t xml:space="preserve"> TS, Pereira, Sala Civil-Familia. Sentencia del 02-11-2016; MP: Grisales H., exp.2010-00133-01.</w:t>
      </w:r>
    </w:p>
  </w:footnote>
  <w:footnote w:id="40">
    <w:p w:rsidR="00942A73" w:rsidRPr="00FE5CDD" w:rsidRDefault="00942A73" w:rsidP="00942A73">
      <w:pPr>
        <w:pStyle w:val="Textonotapie"/>
        <w:rPr>
          <w:lang w:val="es-CO"/>
        </w:rPr>
      </w:pPr>
      <w:r w:rsidRPr="00FE5CDD">
        <w:rPr>
          <w:rStyle w:val="Refdenotaalpie"/>
        </w:rPr>
        <w:footnoteRef/>
      </w:r>
      <w:r w:rsidRPr="00FE5CDD">
        <w:t xml:space="preserve"> </w:t>
      </w:r>
      <w:r w:rsidRPr="00FE5CDD">
        <w:rPr>
          <w:lang w:val="es-CO"/>
        </w:rPr>
        <w:t>CC. C-836 de 2001, recordada en la T-038 de 2016.</w:t>
      </w:r>
    </w:p>
  </w:footnote>
  <w:footnote w:id="41">
    <w:p w:rsidR="003E196D" w:rsidRPr="00C560F4" w:rsidRDefault="003E196D" w:rsidP="003E196D">
      <w:pPr>
        <w:pStyle w:val="Textonotapie"/>
        <w:rPr>
          <w:lang w:val="es-CO"/>
        </w:rPr>
      </w:pPr>
      <w:r w:rsidRPr="00FE5CDD">
        <w:rPr>
          <w:rStyle w:val="Refdenotaalpie"/>
        </w:rPr>
        <w:footnoteRef/>
      </w:r>
      <w:r w:rsidRPr="00FE5CDD">
        <w:t xml:space="preserve"> TS, Pereira, Sala Civil-Familia. Sentencia del 02-11-2016; </w:t>
      </w:r>
      <w:r w:rsidR="006B3213">
        <w:t>Ob. cit</w:t>
      </w:r>
      <w:r w:rsidRPr="00FE5C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F4" w:rsidRPr="001E5B6B" w:rsidRDefault="00C560F4">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FF792B">
      <w:rPr>
        <w:rFonts w:ascii="Georgia" w:hAnsi="Georgia" w:cs="Calibri"/>
        <w:i/>
        <w:noProof/>
        <w:sz w:val="20"/>
      </w:rPr>
      <w:t>11</w:t>
    </w:r>
    <w:r w:rsidRPr="001E5B6B">
      <w:rPr>
        <w:rFonts w:ascii="Georgia" w:hAnsi="Georgia" w:cs="Calibri"/>
        <w:i/>
        <w:sz w:val="20"/>
      </w:rPr>
      <w:fldChar w:fldCharType="end"/>
    </w:r>
  </w:p>
  <w:p w:rsidR="00C560F4" w:rsidRPr="001E5B6B" w:rsidRDefault="00C560F4"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 2017-</w:t>
    </w:r>
    <w:r>
      <w:rPr>
        <w:rFonts w:ascii="Georgia" w:hAnsi="Georgia" w:cs="Calibri"/>
        <w:i/>
        <w:sz w:val="20"/>
        <w:szCs w:val="22"/>
      </w:rPr>
      <w:t>01317</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 w:numId="33">
    <w:abstractNumId w:val="6"/>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666"/>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3B39"/>
    <w:rsid w:val="000C401A"/>
    <w:rsid w:val="000C4396"/>
    <w:rsid w:val="000C5052"/>
    <w:rsid w:val="000C585F"/>
    <w:rsid w:val="000C6119"/>
    <w:rsid w:val="000C69DD"/>
    <w:rsid w:val="000C71EA"/>
    <w:rsid w:val="000C727F"/>
    <w:rsid w:val="000C74DD"/>
    <w:rsid w:val="000D152C"/>
    <w:rsid w:val="000D1769"/>
    <w:rsid w:val="000D2B3D"/>
    <w:rsid w:val="000D2CC8"/>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5B4"/>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2E87"/>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1D56"/>
    <w:rsid w:val="006B23BE"/>
    <w:rsid w:val="006B2B98"/>
    <w:rsid w:val="006B3213"/>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3C3"/>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434"/>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56A"/>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716"/>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0F4"/>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3D5B"/>
    <w:rsid w:val="00CB41E8"/>
    <w:rsid w:val="00CB4807"/>
    <w:rsid w:val="00CB549E"/>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6C"/>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094"/>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D126-0F23-443F-8E0A-D87147CC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4414</Words>
  <Characters>24279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16</cp:revision>
  <cp:lastPrinted>2018-01-16T18:57:00Z</cp:lastPrinted>
  <dcterms:created xsi:type="dcterms:W3CDTF">2018-01-15T16:20:00Z</dcterms:created>
  <dcterms:modified xsi:type="dcterms:W3CDTF">2018-02-19T21:23:00Z</dcterms:modified>
</cp:coreProperties>
</file>