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F2" w:rsidRPr="00D373FB" w:rsidRDefault="00AF57F2" w:rsidP="00AF57F2">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eastAsia="Calibri" w:hAnsiTheme="minorHAnsi" w:cs="Calibri"/>
          <w:color w:val="222222"/>
          <w:sz w:val="18"/>
          <w:szCs w:val="18"/>
          <w:lang w:val="es-CO" w:eastAsia="fr-FR"/>
        </w:rPr>
        <w:t> </w:t>
      </w:r>
    </w:p>
    <w:p w:rsidR="00AF57F2" w:rsidRPr="00D373FB" w:rsidRDefault="00AF57F2" w:rsidP="00AF57F2">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-22</w:t>
      </w:r>
      <w:r w:rsidR="00BF61F1">
        <w:rPr>
          <w:rFonts w:asciiTheme="minorHAnsi" w:hAnsiTheme="minorHAnsi" w:cs="Calibri"/>
          <w:color w:val="222222"/>
          <w:sz w:val="18"/>
          <w:szCs w:val="18"/>
          <w:lang w:val="es-CO" w:eastAsia="fr-FR"/>
        </w:rPr>
        <w:t xml:space="preserve"> de enero de 2018</w:t>
      </w:r>
      <w:bookmarkStart w:id="0" w:name="_GoBack"/>
      <w:bookmarkEnd w:id="0"/>
    </w:p>
    <w:p w:rsidR="00AF57F2" w:rsidRPr="00D373FB" w:rsidRDefault="00AF57F2" w:rsidP="00AF57F2">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AF57F2">
        <w:rPr>
          <w:rFonts w:asciiTheme="minorHAnsi" w:eastAsia="Calibri" w:hAnsiTheme="minorHAnsi" w:cs="Calibri"/>
          <w:color w:val="222222"/>
          <w:sz w:val="18"/>
          <w:szCs w:val="18"/>
          <w:lang w:eastAsia="fr-FR"/>
        </w:rPr>
        <w:t>2017-00100-01</w:t>
      </w:r>
    </w:p>
    <w:p w:rsidR="00AF57F2" w:rsidRPr="00D373FB" w:rsidRDefault="00AF57F2" w:rsidP="00AF57F2">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AF57F2">
        <w:rPr>
          <w:rFonts w:asciiTheme="minorHAnsi" w:eastAsia="Calibri" w:hAnsiTheme="minorHAnsi" w:cs="Calibri"/>
          <w:bCs/>
          <w:color w:val="222222"/>
          <w:sz w:val="18"/>
          <w:szCs w:val="18"/>
          <w:lang w:val="es-CO" w:eastAsia="fr-FR"/>
        </w:rPr>
        <w:t>Jesús Didier Garzón Moreno</w:t>
      </w:r>
      <w:r w:rsidRPr="00D373FB">
        <w:rPr>
          <w:rFonts w:asciiTheme="minorHAnsi" w:eastAsia="Calibri" w:hAnsiTheme="minorHAnsi" w:cs="Calibri"/>
          <w:bCs/>
          <w:color w:val="222222"/>
          <w:sz w:val="18"/>
          <w:szCs w:val="18"/>
          <w:lang w:val="es-CO" w:eastAsia="fr-FR"/>
        </w:rPr>
        <w:t>.</w:t>
      </w:r>
    </w:p>
    <w:p w:rsidR="00AF57F2" w:rsidRPr="00AF57F2" w:rsidRDefault="00AF57F2" w:rsidP="00AF57F2">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AF57F2">
        <w:rPr>
          <w:rFonts w:asciiTheme="minorHAnsi" w:eastAsia="Calibri" w:hAnsiTheme="minorHAnsi" w:cs="Calibri"/>
          <w:bCs/>
          <w:color w:val="222222"/>
          <w:sz w:val="18"/>
          <w:szCs w:val="18"/>
          <w:lang w:val="es-CO" w:eastAsia="fr-FR"/>
        </w:rPr>
        <w:t>Juzgado Tercero Civil Municipal de Dosquebradas</w:t>
      </w:r>
    </w:p>
    <w:p w:rsidR="00AF57F2" w:rsidRDefault="00AF57F2" w:rsidP="00AF57F2">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val="es-CO" w:eastAsia="fr-FR"/>
        </w:rPr>
        <w:t>Vinculado</w:t>
      </w:r>
      <w:r w:rsidRPr="00AF57F2">
        <w:rPr>
          <w:rFonts w:asciiTheme="minorHAnsi" w:eastAsia="Calibri" w:hAnsiTheme="minorHAnsi" w:cs="Calibri"/>
          <w:bCs/>
          <w:color w:val="222222"/>
          <w:sz w:val="18"/>
          <w:szCs w:val="18"/>
          <w:lang w:val="es-CO" w:eastAsia="fr-FR"/>
        </w:rPr>
        <w:t>:</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AF57F2">
        <w:rPr>
          <w:rFonts w:asciiTheme="minorHAnsi" w:eastAsia="Calibri" w:hAnsiTheme="minorHAnsi" w:cs="Calibri"/>
          <w:bCs/>
          <w:color w:val="222222"/>
          <w:sz w:val="18"/>
          <w:szCs w:val="18"/>
          <w:lang w:val="es-CO" w:eastAsia="fr-FR"/>
        </w:rPr>
        <w:t>Sociedad Alimentos Andinos de Colombia SAS y otros</w:t>
      </w:r>
    </w:p>
    <w:p w:rsidR="00AF57F2" w:rsidRPr="00D373FB" w:rsidRDefault="00AF57F2" w:rsidP="00AF57F2">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AF57F2" w:rsidRPr="00D373FB" w:rsidRDefault="00AF57F2" w:rsidP="00AF57F2">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AF57F2" w:rsidRPr="00D373FB" w:rsidRDefault="00AF57F2" w:rsidP="00AF57F2">
      <w:pPr>
        <w:shd w:val="clear" w:color="auto" w:fill="FFFFFF"/>
        <w:ind w:left="2124" w:hanging="2124"/>
        <w:jc w:val="both"/>
        <w:rPr>
          <w:rFonts w:asciiTheme="minorHAnsi" w:eastAsia="Calibri" w:hAnsiTheme="minorHAnsi" w:cs="Calibri"/>
          <w:bCs/>
          <w:iCs/>
          <w:color w:val="222222"/>
          <w:sz w:val="18"/>
          <w:szCs w:val="18"/>
          <w:lang w:val="es-CO" w:eastAsia="fr-FR"/>
        </w:rPr>
      </w:pPr>
    </w:p>
    <w:p w:rsidR="00AF57F2" w:rsidRDefault="00AF57F2" w:rsidP="00564C74">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RESTITUCIÓN DE BIEN INMUEBLE / DEFECTO SUSTANTIVO / </w:t>
      </w:r>
      <w:r w:rsidR="00564C74">
        <w:rPr>
          <w:rFonts w:asciiTheme="minorHAnsi" w:hAnsiTheme="minorHAnsi"/>
          <w:b/>
          <w:sz w:val="18"/>
          <w:szCs w:val="18"/>
          <w:lang w:val="es-CO" w:eastAsia="fr-FR"/>
        </w:rPr>
        <w:t xml:space="preserve">INDEBIDA APLICACIÓN DE LA COSTUMBRE MERCANTIL / EL ALLANAMIENTO A LA MORA / </w:t>
      </w:r>
      <w:r>
        <w:rPr>
          <w:rFonts w:asciiTheme="minorHAnsi" w:hAnsiTheme="minorHAnsi"/>
          <w:b/>
          <w:sz w:val="18"/>
          <w:szCs w:val="18"/>
          <w:lang w:val="es-CO" w:eastAsia="fr-FR"/>
        </w:rPr>
        <w:t xml:space="preserve">REVOCA / CONCEDE - </w:t>
      </w:r>
      <w:r w:rsidR="00564C74" w:rsidRPr="00564C74">
        <w:rPr>
          <w:rFonts w:asciiTheme="minorHAnsi" w:hAnsiTheme="minorHAnsi"/>
          <w:sz w:val="18"/>
          <w:szCs w:val="18"/>
          <w:lang w:val="es-CO" w:eastAsia="fr-FR"/>
        </w:rPr>
        <w:t>Expresó que en el proceso de restitución de inmueble adelantado contra Alimentos Andinos de Colombia SA y otros, tramitado por la causal falta de pago de arrendamientos, el juzgado accionado dictó sentencia que declaró probada una supuesta costumbre mercantil, pese a que no se daban los requisitos para ello, desatendiendo, así, lo convenido contractualmente por las partes. Agregó que dejó de aplicar los artículos 1602, 1608 y 2002 del CC y el 871 del CCo. Además, que el pago extemporáneo de los cánones de arrendamiento, no modifica el plazo pactado en el contrato</w:t>
      </w:r>
    </w:p>
    <w:p w:rsidR="00AF57F2" w:rsidRDefault="00564C74" w:rsidP="00AF57F2">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F57F2" w:rsidRDefault="00AF57F2" w:rsidP="00AF57F2">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Concluido el estudio de los requisitos generales, incumbe proseguir con la revisión de las causales especiales y en el caso concreto se entiende que lo expuesto por el actor alude al defecto sustantivo, pues se duele de indebida aplicación de la costumbre mercantil en desmedro de la aplicación de las normas que gobiernan los contratos (Artículos 1602, 1608 y 2002, CC, y 871, CCo). </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Ahora, en el fallo cuestionado la jueza de instancia declaró próspera la excepción de allanamiento a la mora y negó las pretensiones, previo análisis de las consignaciones que acreditaban el pago extemporáneo de los cánones de arrendamiento en periodos comprendidos entre los años 2009 a 2013, de los interrogatorios y testimonios que coincidían en la normalidad de los pagos por fuera del plazo establecido, y, con fundamento, en aparte doctrinario con cita escasa: “(…) del libro contrato de arrendamiento del proceso de restitución de bien inmueble, Luz Amanda Saenz Fonseca, Manuel Enrique Cabrera e Hildebrando Leal Pérez (…)” (Disco compacto visible a folio 2, cuaderno principal), que coincide textualmente con la tesis plasmada por el doctor José A. Bonivento F. : </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el incumplimiento inexacto, que encuentra su primera hipótesis en la mora del deudor, tiene su expresión general en el cumplimiento no conforme a los requisitos de ley o del contrato. Sin embargo, si es el mismo acreedor el que, mediando un acto positivo de aceptación, recibe el valor del crédito, fuera de tiempo, está conviniendo, sin alterar los alcances del negocio, en el pago, y, por consiguiente, impone una conducta tendiente a debilitar o desaparecer ese quebrantamiento inicial del contrato. Hay una voluntad expresa o tácita del arrendador que, como tal, se refleja en la esencia del término, particularmente en la actitud contractual de las partes.</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Entonces se destruye la mora, puesto que se ha purgado (purgatio mora). Lo que era incumplimiento del contrato, generador de efectos propios, como para demandar la terminación judicial del mismo, se convierte en un simple retardo excluyente, de esa manera, de la mora en el arrendatario. Es el consentimiento, como propósito volitivo de aceptación, en el arrendador, que constituye una facultad inherente a éste, el que elimina el retardo como medio de accionar judicialmente, en forma exitosa…</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En la providencia, descartó la aplicación de la costumbre mercantil, enrostrada en el petitorio de tutela: “(…) pero también son válidos los argumentos de la parte demandada en el sentido que se probó el allanamiento a la mora al permitir el demandante la variedad en la mora de los pagos ya que se volvió una costumbre comercial, aunque para ser costumbre requiere de un proceso específico y unas condiciones estipuladas en el Código de Comercio (…)” (Disco compacto visible a folio 2, cuaderno principal).  A diferencia de lo expuesto por el actor, la a quo nunca hizo aplicación de esta figura, a efectos de decidir el litigio. </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Su decisión se fundó en la prueba de los pagos extemporáneos por parte del demandado y del consentimiento que el demandante reveló al recibirlos sin objeción alguna, así, expuso “(…) ha sido reiterada esa circunstancia entre las partes ya que se ha presentado desde años anteriores y han tenido una buena relación, se concluye entonces que la mora se convirtió en un retardo habitual para las partes y que fue consentida por el arrendador al recibir el pago del mismo, (…) si el demandante le tenía aprecio al demandado y lo acogió queriéndolo ayudar en su empresa, tenía conocimiento del negocio que funcionaba y de los meses más rentables, específicamente los últimos tres meses de cada año, solo así se deduce que el demandante le permitiera los pagos en diferentes meses ya fueran atrasados o adelantados y prueba de ello es la manifestación clara que hizo de que no quería que le desocupara el local, solo que pagara cumplido y que se entendiera con su hija (…)”(Disco compacto visible a folio 2, cuaderno principal). </w:t>
      </w: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 </w:t>
      </w: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Claramente la jueza analizó el caso concreto centrada en la doctrina nacional aludida, tesis que no es uniforme, pues cuenta con posturas contrarias, circunstancia referida en providencia de la CSJ ; sin embargo, careció de precisión a la hora de compaginar dicha tesis con las circunstancias de hecho probadas en el proceso de restitución, y, sustentar de qué manera se alteraban las pautas contractuales acordadas por las partes, si es que había lugar a ello.</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El allanamiento a la mora, según el autor, se da cuando el acreedor recibe el pago extemporáneo de los cánones de arrendamiento antes de demandar la terminación contractual, renunciando así al ejercicio ante la justicia ordinaria; al recibir las rentas atrasadas se libera al deudor de la mora; en el caso particular se dio respecto de algunas rentas de los años 2009 a 2013, hecho probado en el proceso. </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Distinto es en lo atinente a la mora en el pago de los cánones correspondientes a los meses de enero, febrero y marzo de 2017, causal de restitución invocada por el actor (Disco compacto visible a folio 2, cuaderno principal), toda vez que en la providencia nada se dice al respecto; no se examinó la incidencia que tiene en la prosperidad de la excepción planteada la fecha de pago de </w:t>
      </w:r>
      <w:r w:rsidRPr="00564C74">
        <w:rPr>
          <w:rFonts w:asciiTheme="minorHAnsi" w:hAnsiTheme="minorHAnsi"/>
          <w:sz w:val="18"/>
          <w:szCs w:val="18"/>
          <w:lang w:val="es-CO" w:eastAsia="fr-FR"/>
        </w:rPr>
        <w:lastRenderedPageBreak/>
        <w:t>las rentas invocadas como causal de terminación contractual; tampoco si el pago se hizo conforme fue estipulado y si el accionante asintió en ello; menos si los dineros recibidos durante el trámite del proceso se traducen en la purga moratoria, entre otros análisis adicionales que deben realizarse para resolver el litigio.</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En dicho asunto debieron aplicarse los artículos 1608, 2000 y 2002 del CC, que reglamentan la mora del deudor, la obligación de pago del canon de arrendamiento y el término para hacerlo, mas nada se dijo al respecto; en consecuencia, considera la Sala que configurada la causal primera del defecto sustantivo en providencias judiciales : “(…) (i) cuando la norma aplicable al caso es claramente inadvertida o no tenida en cuenta por el fallador  (…)”.</w:t>
      </w:r>
    </w:p>
    <w:p w:rsidR="00564C74" w:rsidRPr="00564C74" w:rsidRDefault="00564C74" w:rsidP="00564C74">
      <w:pPr>
        <w:pStyle w:val="Sinespaciado"/>
        <w:jc w:val="both"/>
        <w:rPr>
          <w:rFonts w:asciiTheme="minorHAnsi" w:hAnsiTheme="minorHAnsi"/>
          <w:sz w:val="18"/>
          <w:szCs w:val="18"/>
          <w:lang w:val="es-CO" w:eastAsia="fr-FR"/>
        </w:rPr>
      </w:pPr>
    </w:p>
    <w:p w:rsidR="00564C74" w:rsidRPr="00564C74"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 xml:space="preserve">Asimismo, se advierte insuficiente la motivación en la providencia respecto de la oposición a la excepción de allanamiento a la mora, esto es, que la aceptación del pago tardío no implica la alteración de las condiciones contractuales pactadas por las partes, específicamente, de los periodos estipulados para pagar la renta. No explicó por qué acogió los argumentos del demandado, pese a la inaplicación de la costumbre comercial que refirió; también dejó de soportar sus razones a la luz de la interpretación de las normas del CC. </w:t>
      </w:r>
    </w:p>
    <w:p w:rsidR="00564C74" w:rsidRPr="00564C74" w:rsidRDefault="00564C74" w:rsidP="00564C74">
      <w:pPr>
        <w:pStyle w:val="Sinespaciado"/>
        <w:jc w:val="both"/>
        <w:rPr>
          <w:rFonts w:asciiTheme="minorHAnsi" w:hAnsiTheme="minorHAnsi"/>
          <w:sz w:val="18"/>
          <w:szCs w:val="18"/>
          <w:lang w:val="es-CO" w:eastAsia="fr-FR"/>
        </w:rPr>
      </w:pPr>
    </w:p>
    <w:p w:rsidR="00AF57F2" w:rsidRDefault="00564C74" w:rsidP="00564C74">
      <w:pPr>
        <w:pStyle w:val="Sinespaciado"/>
        <w:jc w:val="both"/>
        <w:rPr>
          <w:rFonts w:asciiTheme="minorHAnsi" w:hAnsiTheme="minorHAnsi"/>
          <w:sz w:val="18"/>
          <w:szCs w:val="18"/>
          <w:lang w:val="es-CO" w:eastAsia="fr-FR"/>
        </w:rPr>
      </w:pPr>
      <w:r w:rsidRPr="00564C74">
        <w:rPr>
          <w:rFonts w:asciiTheme="minorHAnsi" w:hAnsiTheme="minorHAnsi"/>
          <w:sz w:val="18"/>
          <w:szCs w:val="18"/>
          <w:lang w:val="es-CO" w:eastAsia="fr-FR"/>
        </w:rPr>
        <w:t>La jueza de conocimiento cuenta con autonomía e independencia para tomar sus decisiones, mas debe reseñar, de acuerdo con los supuestos de hecho expuestos por las partes y el análisis del material probatorio obrante en el asunto, la regla jurídica aplicable al caso puesto a su consideración y el razonamiento empleado, tal cual ocurrió en la STC15519-2017</w:t>
      </w:r>
    </w:p>
    <w:p w:rsidR="00AF57F2" w:rsidRPr="0058750F" w:rsidRDefault="00AF57F2" w:rsidP="00AF57F2">
      <w:pPr>
        <w:pStyle w:val="Sinespaciado"/>
        <w:jc w:val="both"/>
        <w:rPr>
          <w:rFonts w:asciiTheme="minorHAnsi" w:hAnsiTheme="minorHAnsi"/>
          <w:sz w:val="18"/>
          <w:szCs w:val="18"/>
          <w:lang w:val="es-CO" w:eastAsia="fr-FR"/>
        </w:rPr>
      </w:pPr>
    </w:p>
    <w:p w:rsidR="003913E3" w:rsidRPr="00484A74" w:rsidRDefault="00165382" w:rsidP="00F839CE">
      <w:pPr>
        <w:pStyle w:val="Sinespaciado"/>
        <w:spacing w:line="360" w:lineRule="auto"/>
        <w:rPr>
          <w:rFonts w:ascii="Georgia" w:hAnsi="Georgia" w:cs="Arial"/>
          <w:w w:val="140"/>
        </w:rPr>
      </w:pPr>
      <w:r w:rsidRPr="00484A74">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inespaciado"/>
        <w:spacing w:line="360" w:lineRule="auto"/>
        <w:rPr>
          <w:rFonts w:ascii="Georgia" w:hAnsi="Georgia" w:cs="Arial"/>
          <w:w w:val="140"/>
          <w:sz w:val="14"/>
        </w:rPr>
      </w:pPr>
    </w:p>
    <w:p w:rsidR="003913E3" w:rsidRPr="00484A74" w:rsidRDefault="003913E3" w:rsidP="00417661">
      <w:pPr>
        <w:pStyle w:val="Sinespaciado"/>
        <w:spacing w:line="360" w:lineRule="auto"/>
        <w:ind w:left="708" w:firstLine="708"/>
        <w:jc w:val="center"/>
        <w:rPr>
          <w:rFonts w:ascii="Georgia" w:hAnsi="Georgia" w:cs="Arial"/>
          <w:w w:val="140"/>
          <w:sz w:val="14"/>
        </w:rPr>
      </w:pPr>
    </w:p>
    <w:p w:rsidR="003913E3" w:rsidRPr="00484A74" w:rsidRDefault="003913E3" w:rsidP="00D37757">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484A74" w:rsidRDefault="003913E3" w:rsidP="00F839CE">
      <w:pPr>
        <w:spacing w:line="360" w:lineRule="auto"/>
        <w:jc w:val="center"/>
        <w:rPr>
          <w:rFonts w:ascii="Georgia" w:hAnsi="Georgia" w:cs="Arial"/>
          <w:b/>
          <w:bCs/>
          <w:sz w:val="20"/>
          <w:szCs w:val="26"/>
        </w:rPr>
      </w:pPr>
    </w:p>
    <w:p w:rsidR="003913E3" w:rsidRPr="006012DA" w:rsidRDefault="003913E3" w:rsidP="00C55802">
      <w:pPr>
        <w:pStyle w:val="Textoindependiente"/>
        <w:spacing w:line="360" w:lineRule="auto"/>
        <w:ind w:left="1416"/>
        <w:rPr>
          <w:rFonts w:ascii="Georgia" w:hAnsi="Georgia"/>
          <w:sz w:val="24"/>
          <w:szCs w:val="24"/>
        </w:rPr>
      </w:pPr>
      <w:r w:rsidRPr="006012DA">
        <w:rPr>
          <w:rFonts w:ascii="Georgia" w:hAnsi="Georgia"/>
          <w:sz w:val="24"/>
          <w:szCs w:val="24"/>
        </w:rPr>
        <w:t>Asunto</w:t>
      </w:r>
      <w:r w:rsidRPr="006012DA">
        <w:rPr>
          <w:rFonts w:ascii="Georgia" w:hAnsi="Georgia"/>
          <w:sz w:val="24"/>
          <w:szCs w:val="24"/>
        </w:rPr>
        <w:tab/>
      </w:r>
      <w:r w:rsidRPr="006012DA">
        <w:rPr>
          <w:rFonts w:ascii="Georgia" w:hAnsi="Georgia"/>
          <w:sz w:val="24"/>
          <w:szCs w:val="24"/>
        </w:rPr>
        <w:tab/>
        <w:t>: Sentencia de tutela en segunda instancia</w:t>
      </w:r>
    </w:p>
    <w:p w:rsidR="00586A21" w:rsidRPr="006012DA" w:rsidRDefault="00586A21" w:rsidP="00586A21">
      <w:pPr>
        <w:pStyle w:val="Textoindependiente"/>
        <w:spacing w:line="360" w:lineRule="auto"/>
        <w:ind w:left="1416"/>
        <w:rPr>
          <w:rFonts w:ascii="Georgia" w:hAnsi="Georgia" w:cs="Arial"/>
          <w:sz w:val="24"/>
          <w:szCs w:val="24"/>
        </w:rPr>
      </w:pPr>
      <w:r w:rsidRPr="006012DA">
        <w:rPr>
          <w:rFonts w:ascii="Georgia" w:hAnsi="Georgia" w:cs="Arial"/>
          <w:sz w:val="24"/>
          <w:szCs w:val="24"/>
        </w:rPr>
        <w:t>Accionante</w:t>
      </w:r>
      <w:r w:rsidRPr="006012DA">
        <w:rPr>
          <w:rFonts w:ascii="Georgia" w:hAnsi="Georgia" w:cs="Arial"/>
          <w:sz w:val="24"/>
          <w:szCs w:val="24"/>
        </w:rPr>
        <w:tab/>
      </w:r>
      <w:r w:rsidRPr="006012DA">
        <w:rPr>
          <w:rFonts w:ascii="Georgia" w:hAnsi="Georgia" w:cs="Arial"/>
          <w:sz w:val="24"/>
          <w:szCs w:val="24"/>
        </w:rPr>
        <w:tab/>
        <w:t xml:space="preserve">: </w:t>
      </w:r>
      <w:r w:rsidR="006012DA" w:rsidRPr="006012DA">
        <w:rPr>
          <w:rFonts w:ascii="Georgia" w:hAnsi="Georgia" w:cs="Arial"/>
          <w:sz w:val="24"/>
          <w:szCs w:val="24"/>
        </w:rPr>
        <w:t>Jesús Didier Garzón Moreno</w:t>
      </w:r>
    </w:p>
    <w:p w:rsidR="00586A21" w:rsidRPr="006012DA" w:rsidRDefault="00586A21" w:rsidP="00586A21">
      <w:pPr>
        <w:pStyle w:val="Textoindependiente"/>
        <w:spacing w:line="360" w:lineRule="auto"/>
        <w:ind w:left="1416"/>
        <w:rPr>
          <w:rFonts w:ascii="Georgia" w:hAnsi="Georgia" w:cs="Arial"/>
          <w:sz w:val="24"/>
          <w:szCs w:val="24"/>
        </w:rPr>
      </w:pPr>
      <w:r w:rsidRPr="006012DA">
        <w:rPr>
          <w:rFonts w:ascii="Georgia" w:hAnsi="Georgia" w:cs="Arial"/>
          <w:sz w:val="24"/>
          <w:szCs w:val="24"/>
        </w:rPr>
        <w:t xml:space="preserve">Accionado </w:t>
      </w:r>
      <w:r w:rsidRPr="006012DA">
        <w:rPr>
          <w:rFonts w:ascii="Georgia" w:hAnsi="Georgia" w:cs="Arial"/>
          <w:sz w:val="24"/>
          <w:szCs w:val="24"/>
        </w:rPr>
        <w:tab/>
      </w:r>
      <w:r w:rsidRPr="006012DA">
        <w:rPr>
          <w:rFonts w:ascii="Georgia" w:hAnsi="Georgia" w:cs="Arial"/>
          <w:sz w:val="24"/>
          <w:szCs w:val="24"/>
        </w:rPr>
        <w:tab/>
        <w:t xml:space="preserve">: Juzgado </w:t>
      </w:r>
      <w:r w:rsidR="001B5C92" w:rsidRPr="006012DA">
        <w:rPr>
          <w:rFonts w:ascii="Georgia" w:hAnsi="Georgia" w:cs="Arial"/>
          <w:sz w:val="24"/>
          <w:szCs w:val="24"/>
        </w:rPr>
        <w:t>Tercero Civil Municipal de Dosquebradas</w:t>
      </w:r>
    </w:p>
    <w:p w:rsidR="00586A21" w:rsidRPr="006012DA" w:rsidRDefault="00586A21" w:rsidP="00586A21">
      <w:pPr>
        <w:pStyle w:val="Textoindependiente"/>
        <w:spacing w:line="360" w:lineRule="auto"/>
        <w:ind w:left="1416"/>
        <w:rPr>
          <w:rFonts w:ascii="Georgia" w:hAnsi="Georgia" w:cs="Arial"/>
          <w:sz w:val="24"/>
          <w:szCs w:val="24"/>
        </w:rPr>
      </w:pPr>
      <w:r w:rsidRPr="006012DA">
        <w:rPr>
          <w:rFonts w:ascii="Georgia" w:hAnsi="Georgia" w:cs="Arial"/>
          <w:sz w:val="24"/>
          <w:szCs w:val="24"/>
        </w:rPr>
        <w:t>Vinculado</w:t>
      </w:r>
      <w:r w:rsidR="000A572A" w:rsidRPr="006012DA">
        <w:rPr>
          <w:rFonts w:ascii="Georgia" w:hAnsi="Georgia" w:cs="Arial"/>
          <w:sz w:val="24"/>
          <w:szCs w:val="24"/>
        </w:rPr>
        <w:tab/>
      </w:r>
      <w:r w:rsidRPr="006012DA">
        <w:rPr>
          <w:rFonts w:ascii="Georgia" w:hAnsi="Georgia" w:cs="Arial"/>
          <w:sz w:val="24"/>
          <w:szCs w:val="24"/>
        </w:rPr>
        <w:tab/>
        <w:t xml:space="preserve">: </w:t>
      </w:r>
      <w:r w:rsidR="006012DA" w:rsidRPr="006012DA">
        <w:rPr>
          <w:rFonts w:ascii="Georgia" w:hAnsi="Georgia" w:cs="Arial"/>
          <w:sz w:val="24"/>
          <w:szCs w:val="24"/>
        </w:rPr>
        <w:t>Sociedad Alimentos Andinos de Colombia SAS y otros</w:t>
      </w:r>
    </w:p>
    <w:p w:rsidR="00586A21" w:rsidRPr="006012DA" w:rsidRDefault="00586A21" w:rsidP="00586A21">
      <w:pPr>
        <w:pStyle w:val="Textoindependiente"/>
        <w:spacing w:line="360" w:lineRule="auto"/>
        <w:ind w:left="1416"/>
        <w:rPr>
          <w:rFonts w:ascii="Georgia" w:hAnsi="Georgia" w:cs="Arial"/>
          <w:sz w:val="24"/>
          <w:szCs w:val="24"/>
        </w:rPr>
      </w:pPr>
      <w:r w:rsidRPr="006012DA">
        <w:rPr>
          <w:rFonts w:ascii="Georgia" w:hAnsi="Georgia" w:cs="Arial"/>
          <w:sz w:val="24"/>
          <w:szCs w:val="24"/>
        </w:rPr>
        <w:t>Procedencia</w:t>
      </w:r>
      <w:r w:rsidRPr="006012DA">
        <w:rPr>
          <w:rFonts w:ascii="Georgia" w:hAnsi="Georgia" w:cs="Arial"/>
          <w:sz w:val="24"/>
          <w:szCs w:val="24"/>
        </w:rPr>
        <w:tab/>
      </w:r>
      <w:r w:rsidRPr="006012DA">
        <w:rPr>
          <w:rFonts w:ascii="Georgia" w:hAnsi="Georgia" w:cs="Arial"/>
          <w:sz w:val="24"/>
          <w:szCs w:val="24"/>
        </w:rPr>
        <w:tab/>
        <w:t xml:space="preserve">: Juzgado </w:t>
      </w:r>
      <w:r w:rsidR="002A7D9F" w:rsidRPr="006012DA">
        <w:rPr>
          <w:rFonts w:ascii="Georgia" w:hAnsi="Georgia" w:cs="Arial"/>
          <w:sz w:val="24"/>
          <w:szCs w:val="24"/>
          <w:lang w:val="es-CO"/>
        </w:rPr>
        <w:t xml:space="preserve">Civil del Circuito de </w:t>
      </w:r>
      <w:r w:rsidR="001B5C92" w:rsidRPr="006012DA">
        <w:rPr>
          <w:rFonts w:ascii="Georgia" w:hAnsi="Georgia" w:cs="Arial"/>
          <w:sz w:val="24"/>
          <w:szCs w:val="24"/>
          <w:lang w:val="es-CO"/>
        </w:rPr>
        <w:t>Dosquebradas</w:t>
      </w:r>
    </w:p>
    <w:p w:rsidR="00586A21" w:rsidRPr="006012DA" w:rsidRDefault="00586A21" w:rsidP="00586A21">
      <w:pPr>
        <w:pStyle w:val="Textoindependiente"/>
        <w:spacing w:line="360" w:lineRule="auto"/>
        <w:ind w:left="1416"/>
        <w:rPr>
          <w:rFonts w:ascii="Georgia" w:hAnsi="Georgia" w:cs="Arial"/>
          <w:sz w:val="24"/>
          <w:szCs w:val="24"/>
        </w:rPr>
      </w:pPr>
      <w:r w:rsidRPr="006012DA">
        <w:rPr>
          <w:rFonts w:ascii="Georgia" w:hAnsi="Georgia" w:cs="Arial"/>
          <w:sz w:val="24"/>
          <w:szCs w:val="24"/>
        </w:rPr>
        <w:t>Radicación</w:t>
      </w:r>
      <w:r w:rsidRPr="006012DA">
        <w:rPr>
          <w:rFonts w:ascii="Georgia" w:hAnsi="Georgia" w:cs="Arial"/>
          <w:sz w:val="24"/>
          <w:szCs w:val="24"/>
        </w:rPr>
        <w:tab/>
      </w:r>
      <w:r w:rsidRPr="006012DA">
        <w:rPr>
          <w:rFonts w:ascii="Georgia" w:hAnsi="Georgia" w:cs="Arial"/>
          <w:sz w:val="24"/>
          <w:szCs w:val="24"/>
        </w:rPr>
        <w:tab/>
        <w:t xml:space="preserve">: </w:t>
      </w:r>
      <w:r w:rsidR="002A7D9F" w:rsidRPr="006012DA">
        <w:rPr>
          <w:rFonts w:ascii="Georgia" w:hAnsi="Georgia" w:cs="Arial"/>
          <w:sz w:val="24"/>
          <w:szCs w:val="24"/>
        </w:rPr>
        <w:t>2017-</w:t>
      </w:r>
      <w:r w:rsidR="006012DA" w:rsidRPr="006012DA">
        <w:rPr>
          <w:rFonts w:ascii="Georgia" w:hAnsi="Georgia" w:cs="Arial"/>
          <w:sz w:val="24"/>
          <w:szCs w:val="24"/>
        </w:rPr>
        <w:t>00100-01</w:t>
      </w:r>
    </w:p>
    <w:p w:rsidR="004A12F7" w:rsidRPr="006012DA" w:rsidRDefault="004A12F7" w:rsidP="004A12F7">
      <w:pPr>
        <w:pStyle w:val="Textoindependiente"/>
        <w:spacing w:line="360" w:lineRule="auto"/>
        <w:rPr>
          <w:rFonts w:ascii="Georgia" w:hAnsi="Georgia" w:cs="Arial"/>
          <w:sz w:val="24"/>
          <w:szCs w:val="24"/>
        </w:rPr>
      </w:pPr>
      <w:r w:rsidRPr="006012DA">
        <w:rPr>
          <w:rFonts w:ascii="Georgia" w:hAnsi="Georgia"/>
          <w:sz w:val="24"/>
          <w:szCs w:val="24"/>
        </w:rPr>
        <w:tab/>
      </w:r>
      <w:r w:rsidRPr="006012DA">
        <w:rPr>
          <w:rFonts w:ascii="Georgia" w:hAnsi="Georgia"/>
          <w:sz w:val="24"/>
          <w:szCs w:val="24"/>
        </w:rPr>
        <w:tab/>
        <w:t>Temas</w:t>
      </w:r>
      <w:r w:rsidRPr="006012DA">
        <w:rPr>
          <w:rFonts w:ascii="Georgia" w:hAnsi="Georgia"/>
          <w:sz w:val="24"/>
          <w:szCs w:val="24"/>
        </w:rPr>
        <w:tab/>
      </w:r>
      <w:r w:rsidRPr="006012DA">
        <w:rPr>
          <w:rFonts w:ascii="Georgia" w:hAnsi="Georgia"/>
          <w:sz w:val="24"/>
          <w:szCs w:val="24"/>
        </w:rPr>
        <w:tab/>
      </w:r>
      <w:r w:rsidRPr="006012DA">
        <w:rPr>
          <w:rFonts w:ascii="Georgia" w:hAnsi="Georgia"/>
          <w:sz w:val="24"/>
          <w:szCs w:val="24"/>
        </w:rPr>
        <w:tab/>
        <w:t xml:space="preserve">: </w:t>
      </w:r>
      <w:r w:rsidRPr="006012DA">
        <w:rPr>
          <w:rFonts w:ascii="Georgia" w:hAnsi="Georgia" w:cs="Arial"/>
          <w:sz w:val="24"/>
          <w:szCs w:val="24"/>
        </w:rPr>
        <w:t xml:space="preserve">Defecto </w:t>
      </w:r>
      <w:r w:rsidR="00560AA3" w:rsidRPr="006012DA">
        <w:rPr>
          <w:rFonts w:ascii="Georgia" w:hAnsi="Georgia" w:cs="Arial"/>
          <w:sz w:val="24"/>
          <w:szCs w:val="24"/>
        </w:rPr>
        <w:t>sustantivo</w:t>
      </w:r>
      <w:r w:rsidR="001B5C92" w:rsidRPr="006012DA">
        <w:rPr>
          <w:rFonts w:ascii="Georgia" w:hAnsi="Georgia" w:cs="Arial"/>
          <w:sz w:val="24"/>
          <w:szCs w:val="24"/>
        </w:rPr>
        <w:t xml:space="preserve"> </w:t>
      </w:r>
      <w:r w:rsidR="002A7D9F" w:rsidRPr="006012DA">
        <w:rPr>
          <w:rFonts w:ascii="Georgia" w:hAnsi="Georgia" w:cs="Arial"/>
          <w:sz w:val="24"/>
          <w:szCs w:val="24"/>
        </w:rPr>
        <w:t xml:space="preserve">– </w:t>
      </w:r>
      <w:r w:rsidR="00EA19AE">
        <w:rPr>
          <w:rFonts w:ascii="Georgia" w:hAnsi="Georgia" w:cs="Arial"/>
          <w:sz w:val="24"/>
          <w:szCs w:val="24"/>
        </w:rPr>
        <w:t>Decisión sin motivación</w:t>
      </w:r>
    </w:p>
    <w:p w:rsidR="003913E3" w:rsidRPr="006012DA" w:rsidRDefault="004A12F7" w:rsidP="004A12F7">
      <w:pPr>
        <w:pStyle w:val="Textoindependiente"/>
        <w:spacing w:line="360" w:lineRule="auto"/>
        <w:ind w:left="708" w:hanging="708"/>
        <w:rPr>
          <w:rFonts w:ascii="Georgia" w:hAnsi="Georgia" w:cs="Arial"/>
          <w:smallCaps/>
          <w:sz w:val="24"/>
          <w:szCs w:val="24"/>
          <w:lang w:val="es-CO"/>
        </w:rPr>
      </w:pPr>
      <w:r w:rsidRPr="006012DA">
        <w:rPr>
          <w:rFonts w:ascii="Georgia" w:hAnsi="Georgia"/>
          <w:sz w:val="24"/>
          <w:szCs w:val="24"/>
        </w:rPr>
        <w:tab/>
      </w:r>
      <w:r w:rsidRPr="006012DA">
        <w:rPr>
          <w:rFonts w:ascii="Georgia" w:hAnsi="Georgia"/>
          <w:sz w:val="24"/>
          <w:szCs w:val="24"/>
        </w:rPr>
        <w:tab/>
      </w:r>
      <w:r w:rsidR="003913E3" w:rsidRPr="006012DA">
        <w:rPr>
          <w:rFonts w:ascii="Georgia" w:hAnsi="Georgia"/>
          <w:sz w:val="24"/>
          <w:szCs w:val="24"/>
        </w:rPr>
        <w:t>Magistrado Ponente</w:t>
      </w:r>
      <w:r w:rsidR="003913E3" w:rsidRPr="006012DA">
        <w:rPr>
          <w:rFonts w:ascii="Georgia" w:hAnsi="Georgia"/>
          <w:sz w:val="24"/>
          <w:szCs w:val="24"/>
        </w:rPr>
        <w:tab/>
        <w:t xml:space="preserve">: </w:t>
      </w:r>
      <w:r w:rsidR="003913E3" w:rsidRPr="006012DA">
        <w:rPr>
          <w:rFonts w:ascii="Georgia" w:hAnsi="Georgia" w:cs="Arial"/>
          <w:smallCaps/>
          <w:sz w:val="24"/>
          <w:szCs w:val="24"/>
          <w:lang w:val="es-CO"/>
        </w:rPr>
        <w:t>Duberney Grisales Herrera</w:t>
      </w:r>
    </w:p>
    <w:p w:rsidR="00D029BB" w:rsidRPr="006012DA" w:rsidRDefault="00D029BB" w:rsidP="00D029BB">
      <w:pPr>
        <w:spacing w:line="360" w:lineRule="auto"/>
        <w:ind w:left="708" w:firstLine="708"/>
        <w:rPr>
          <w:rFonts w:ascii="Georgia" w:hAnsi="Georgia" w:cs="Arial"/>
          <w:b/>
          <w:bCs/>
        </w:rPr>
      </w:pPr>
      <w:r w:rsidRPr="006012DA">
        <w:rPr>
          <w:rFonts w:ascii="Georgia" w:hAnsi="Georgia"/>
        </w:rPr>
        <w:t>Acta número</w:t>
      </w:r>
      <w:r w:rsidRPr="006012DA">
        <w:rPr>
          <w:rFonts w:ascii="Georgia" w:hAnsi="Georgia"/>
        </w:rPr>
        <w:tab/>
      </w:r>
      <w:r w:rsidRPr="006012DA">
        <w:rPr>
          <w:rFonts w:ascii="Georgia" w:hAnsi="Georgia"/>
        </w:rPr>
        <w:tab/>
        <w:t xml:space="preserve">: </w:t>
      </w:r>
      <w:r w:rsidR="002F158F">
        <w:rPr>
          <w:rFonts w:ascii="Georgia" w:hAnsi="Georgia"/>
        </w:rPr>
        <w:t>12</w:t>
      </w:r>
      <w:r w:rsidR="006012DA" w:rsidRPr="006012DA">
        <w:rPr>
          <w:rFonts w:ascii="Georgia" w:hAnsi="Georgia"/>
        </w:rPr>
        <w:t xml:space="preserve"> </w:t>
      </w:r>
      <w:r w:rsidRPr="006012DA">
        <w:rPr>
          <w:rFonts w:ascii="Georgia" w:hAnsi="Georgia"/>
        </w:rPr>
        <w:t xml:space="preserve">de </w:t>
      </w:r>
      <w:r w:rsidR="002F158F">
        <w:rPr>
          <w:rFonts w:ascii="Georgia" w:hAnsi="Georgia"/>
        </w:rPr>
        <w:t>22</w:t>
      </w:r>
      <w:r w:rsidRPr="006012DA">
        <w:rPr>
          <w:rFonts w:ascii="Georgia" w:hAnsi="Georgia"/>
        </w:rPr>
        <w:t>-</w:t>
      </w:r>
      <w:r w:rsidR="006012DA" w:rsidRPr="006012DA">
        <w:rPr>
          <w:rFonts w:ascii="Georgia" w:hAnsi="Georgia"/>
        </w:rPr>
        <w:t>01</w:t>
      </w:r>
      <w:r w:rsidRPr="006012DA">
        <w:rPr>
          <w:rFonts w:ascii="Georgia" w:hAnsi="Georgia"/>
        </w:rPr>
        <w:t>-</w:t>
      </w:r>
      <w:r w:rsidR="006012DA" w:rsidRPr="006012DA">
        <w:rPr>
          <w:rFonts w:ascii="Georgia" w:hAnsi="Georgia"/>
        </w:rPr>
        <w:t>2018</w:t>
      </w:r>
    </w:p>
    <w:p w:rsidR="00D029BB" w:rsidRPr="00AD7B0C" w:rsidRDefault="00D029BB" w:rsidP="00D029BB">
      <w:pPr>
        <w:pBdr>
          <w:bottom w:val="double" w:sz="6" w:space="1" w:color="auto"/>
        </w:pBdr>
        <w:spacing w:line="360" w:lineRule="auto"/>
        <w:jc w:val="center"/>
        <w:rPr>
          <w:rFonts w:ascii="Georgia" w:hAnsi="Georgia" w:cs="Arial"/>
          <w:b/>
          <w:bCs/>
          <w:sz w:val="18"/>
          <w:szCs w:val="22"/>
        </w:rPr>
      </w:pPr>
    </w:p>
    <w:p w:rsidR="00D029BB" w:rsidRPr="00AD7B0C" w:rsidRDefault="00D029BB" w:rsidP="00D029BB">
      <w:pPr>
        <w:spacing w:line="360" w:lineRule="auto"/>
        <w:jc w:val="center"/>
        <w:rPr>
          <w:rFonts w:ascii="Georgia" w:hAnsi="Georgia" w:cs="Arial"/>
          <w:b/>
          <w:bCs/>
          <w:szCs w:val="22"/>
        </w:rPr>
      </w:pPr>
    </w:p>
    <w:p w:rsidR="00D029BB" w:rsidRPr="006012DA" w:rsidRDefault="006012DA" w:rsidP="00D029BB">
      <w:pPr>
        <w:spacing w:line="360" w:lineRule="auto"/>
        <w:jc w:val="center"/>
        <w:rPr>
          <w:rFonts w:ascii="Georgia" w:hAnsi="Georgia" w:cs="Arial"/>
          <w:iCs/>
          <w:smallCaps/>
          <w:lang w:val="es-CO"/>
        </w:rPr>
      </w:pPr>
      <w:r w:rsidRPr="006012DA">
        <w:rPr>
          <w:rFonts w:ascii="Georgia" w:hAnsi="Georgia" w:cs="Arial"/>
          <w:iCs/>
          <w:smallCaps/>
          <w:sz w:val="28"/>
          <w:lang w:val="es-CO"/>
        </w:rPr>
        <w:t>Pereira</w:t>
      </w:r>
      <w:r w:rsidR="00D029BB" w:rsidRPr="006012DA">
        <w:rPr>
          <w:rFonts w:ascii="Georgia" w:hAnsi="Georgia" w:cs="Arial"/>
          <w:iCs/>
          <w:smallCaps/>
          <w:sz w:val="28"/>
          <w:lang w:val="es-CO"/>
        </w:rPr>
        <w:t xml:space="preserve">, R. </w:t>
      </w:r>
      <w:r w:rsidR="002F158F">
        <w:rPr>
          <w:rFonts w:ascii="Georgia" w:hAnsi="Georgia" w:cs="Arial"/>
          <w:iCs/>
          <w:smallCaps/>
          <w:sz w:val="28"/>
          <w:lang w:val="es-CO"/>
        </w:rPr>
        <w:t xml:space="preserve">veintidós </w:t>
      </w:r>
      <w:r w:rsidR="00D029BB" w:rsidRPr="006012DA">
        <w:rPr>
          <w:rFonts w:ascii="Georgia" w:hAnsi="Georgia" w:cs="Arial"/>
          <w:iCs/>
          <w:smallCaps/>
          <w:sz w:val="28"/>
          <w:lang w:val="es-CO"/>
        </w:rPr>
        <w:t>(</w:t>
      </w:r>
      <w:r w:rsidR="002F158F">
        <w:rPr>
          <w:rFonts w:ascii="Georgia" w:hAnsi="Georgia" w:cs="Arial"/>
          <w:iCs/>
          <w:smallCaps/>
          <w:sz w:val="28"/>
          <w:lang w:val="es-CO"/>
        </w:rPr>
        <w:t>22</w:t>
      </w:r>
      <w:r w:rsidR="00D029BB" w:rsidRPr="006012DA">
        <w:rPr>
          <w:rFonts w:ascii="Georgia" w:hAnsi="Georgia" w:cs="Arial"/>
          <w:iCs/>
          <w:smallCaps/>
          <w:sz w:val="28"/>
          <w:lang w:val="es-CO"/>
        </w:rPr>
        <w:t xml:space="preserve">) </w:t>
      </w:r>
      <w:r w:rsidRPr="006012DA">
        <w:rPr>
          <w:rFonts w:ascii="Georgia" w:hAnsi="Georgia" w:cs="Arial"/>
          <w:iCs/>
          <w:smallCaps/>
          <w:sz w:val="28"/>
          <w:lang w:val="es-CO"/>
        </w:rPr>
        <w:t xml:space="preserve">de </w:t>
      </w:r>
      <w:r>
        <w:rPr>
          <w:rFonts w:ascii="Georgia" w:hAnsi="Georgia" w:cs="Arial"/>
          <w:iCs/>
          <w:smallCaps/>
          <w:sz w:val="28"/>
          <w:lang w:val="es-CO"/>
        </w:rPr>
        <w:t xml:space="preserve">enero </w:t>
      </w:r>
      <w:r w:rsidRPr="006012DA">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6012DA">
        <w:rPr>
          <w:rFonts w:ascii="Georgia" w:hAnsi="Georgia" w:cs="Arial"/>
          <w:iCs/>
          <w:smallCaps/>
          <w:sz w:val="28"/>
          <w:lang w:val="es-CO"/>
        </w:rPr>
        <w:t>(</w:t>
      </w:r>
      <w:r>
        <w:rPr>
          <w:rFonts w:ascii="Georgia" w:hAnsi="Georgia" w:cs="Arial"/>
          <w:iCs/>
          <w:smallCaps/>
          <w:sz w:val="28"/>
          <w:lang w:val="es-CO"/>
        </w:rPr>
        <w:t>2018</w:t>
      </w:r>
      <w:r w:rsidRPr="006012DA">
        <w:rPr>
          <w:rFonts w:ascii="Georgia" w:hAnsi="Georgia" w:cs="Arial"/>
          <w:iCs/>
          <w:smallCaps/>
          <w:sz w:val="28"/>
          <w:lang w:val="es-CO"/>
        </w:rPr>
        <w:t>).</w:t>
      </w:r>
    </w:p>
    <w:p w:rsidR="003913E3" w:rsidRPr="00484A74" w:rsidRDefault="003913E3" w:rsidP="00F839CE">
      <w:pPr>
        <w:pStyle w:val="Textoindependiente"/>
        <w:spacing w:line="360" w:lineRule="auto"/>
        <w:rPr>
          <w:rFonts w:ascii="Georgia" w:hAnsi="Georgia" w:cs="Arial"/>
          <w:sz w:val="24"/>
          <w:szCs w:val="24"/>
          <w:lang w:val="es-CO"/>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484A74" w:rsidRDefault="003913E3" w:rsidP="00F839CE">
      <w:pPr>
        <w:pStyle w:val="Textoindependiente"/>
        <w:spacing w:line="360" w:lineRule="auto"/>
        <w:rPr>
          <w:rFonts w:ascii="Georgia" w:hAnsi="Georgia" w:cs="Arial"/>
          <w:sz w:val="24"/>
          <w:szCs w:val="24"/>
          <w:lang w:val="es-CO"/>
        </w:rPr>
      </w:pPr>
    </w:p>
    <w:p w:rsidR="001B5C92"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t>Expres</w:t>
      </w:r>
      <w:r w:rsidR="004C5D2C" w:rsidRPr="00484A74">
        <w:rPr>
          <w:rFonts w:ascii="Georgia" w:hAnsi="Georgia" w:cs="Arial"/>
          <w:sz w:val="24"/>
          <w:szCs w:val="24"/>
        </w:rPr>
        <w:t>ó</w:t>
      </w:r>
      <w:r w:rsidRPr="00484A74">
        <w:rPr>
          <w:rFonts w:ascii="Georgia" w:hAnsi="Georgia" w:cs="Arial"/>
          <w:sz w:val="24"/>
          <w:szCs w:val="24"/>
        </w:rPr>
        <w:t xml:space="preserve"> </w:t>
      </w:r>
      <w:r w:rsidR="001B5C92">
        <w:rPr>
          <w:rFonts w:ascii="Georgia" w:hAnsi="Georgia" w:cs="Arial"/>
          <w:sz w:val="24"/>
          <w:szCs w:val="24"/>
        </w:rPr>
        <w:t xml:space="preserve">que en el proceso de </w:t>
      </w:r>
      <w:r w:rsidR="006012DA">
        <w:rPr>
          <w:rFonts w:ascii="Georgia" w:hAnsi="Georgia" w:cs="Arial"/>
          <w:sz w:val="24"/>
          <w:szCs w:val="24"/>
        </w:rPr>
        <w:t xml:space="preserve">restitución de inmueble adelantado contra Alimentos Andinos de Colombia SA y otros, </w:t>
      </w:r>
      <w:r w:rsidR="00061949">
        <w:rPr>
          <w:rFonts w:ascii="Georgia" w:hAnsi="Georgia" w:cs="Arial"/>
          <w:sz w:val="24"/>
          <w:szCs w:val="24"/>
        </w:rPr>
        <w:t xml:space="preserve">tramitado por la </w:t>
      </w:r>
      <w:r w:rsidR="006012DA">
        <w:rPr>
          <w:rFonts w:ascii="Georgia" w:hAnsi="Georgia" w:cs="Arial"/>
          <w:sz w:val="24"/>
          <w:szCs w:val="24"/>
        </w:rPr>
        <w:t xml:space="preserve">causal falta de pago de arrendamientos, </w:t>
      </w:r>
      <w:r w:rsidR="001B5C92">
        <w:rPr>
          <w:rFonts w:ascii="Georgia" w:hAnsi="Georgia" w:cs="Arial"/>
          <w:sz w:val="24"/>
          <w:szCs w:val="24"/>
        </w:rPr>
        <w:t xml:space="preserve">el juzgado </w:t>
      </w:r>
      <w:r w:rsidR="001B5C92">
        <w:rPr>
          <w:rFonts w:ascii="Georgia" w:hAnsi="Georgia" w:cs="Arial"/>
          <w:sz w:val="24"/>
          <w:szCs w:val="24"/>
        </w:rPr>
        <w:lastRenderedPageBreak/>
        <w:t xml:space="preserve">accionado </w:t>
      </w:r>
      <w:r w:rsidR="006012DA">
        <w:rPr>
          <w:rFonts w:ascii="Georgia" w:hAnsi="Georgia" w:cs="Arial"/>
          <w:sz w:val="24"/>
          <w:szCs w:val="24"/>
        </w:rPr>
        <w:t>dictó sentencia que declaró probada una supuesta costumbre mercantil, pese a que no se daban los requisitos para ello, desatendiendo, así, lo convenido contractualmente por las partes</w:t>
      </w:r>
      <w:r w:rsidR="00061949">
        <w:rPr>
          <w:rFonts w:ascii="Georgia" w:hAnsi="Georgia" w:cs="Arial"/>
          <w:sz w:val="24"/>
          <w:szCs w:val="24"/>
        </w:rPr>
        <w:t xml:space="preserve">. </w:t>
      </w:r>
      <w:r w:rsidR="00061949">
        <w:rPr>
          <w:rFonts w:ascii="Georgia" w:hAnsi="Georgia" w:cs="Arial"/>
          <w:color w:val="000000"/>
          <w:sz w:val="24"/>
          <w:szCs w:val="24"/>
          <w:lang w:val="es-CO"/>
        </w:rPr>
        <w:t>Agregó que dejó de aplicar los artículos 1602, 1608 y 2002 del CC y el 871 del CCo. Además, que el pago extemporáneo de los cánones de arrendamiento, no modifica el plazo pactado en el contrato</w:t>
      </w:r>
      <w:r w:rsidR="006012DA">
        <w:rPr>
          <w:rFonts w:ascii="Georgia" w:hAnsi="Georgia" w:cs="Arial"/>
          <w:sz w:val="24"/>
          <w:szCs w:val="24"/>
        </w:rPr>
        <w:t xml:space="preserve"> </w:t>
      </w:r>
      <w:r w:rsidR="00404212">
        <w:rPr>
          <w:rFonts w:ascii="Georgia" w:hAnsi="Georgia" w:cs="Arial"/>
          <w:sz w:val="24"/>
          <w:szCs w:val="24"/>
        </w:rPr>
        <w:t xml:space="preserve">(Folios </w:t>
      </w:r>
      <w:r w:rsidR="006012DA">
        <w:rPr>
          <w:rFonts w:ascii="Georgia" w:hAnsi="Georgia" w:cs="Arial"/>
          <w:sz w:val="24"/>
          <w:szCs w:val="24"/>
        </w:rPr>
        <w:t>3 a 10</w:t>
      </w:r>
      <w:r w:rsidR="00404212">
        <w:rPr>
          <w:rFonts w:ascii="Georgia" w:hAnsi="Georgia" w:cs="Arial"/>
          <w:sz w:val="24"/>
          <w:szCs w:val="24"/>
        </w:rPr>
        <w:t>, cuaderno No.1)</w:t>
      </w:r>
      <w:r w:rsidR="001B5C92">
        <w:rPr>
          <w:rFonts w:ascii="Georgia" w:hAnsi="Georgia" w:cs="Arial"/>
          <w:sz w:val="24"/>
          <w:szCs w:val="24"/>
        </w:rPr>
        <w:t xml:space="preserve">. </w:t>
      </w:r>
    </w:p>
    <w:p w:rsidR="00531C40" w:rsidRDefault="00531C40" w:rsidP="00F839CE">
      <w:pPr>
        <w:pStyle w:val="Textoindependiente"/>
        <w:spacing w:line="360" w:lineRule="auto"/>
        <w:rPr>
          <w:rFonts w:ascii="Georgia" w:hAnsi="Georgia" w:cs="Arial"/>
          <w:color w:val="000000"/>
          <w:sz w:val="24"/>
          <w:szCs w:val="24"/>
          <w:lang w:val="es-CO"/>
        </w:rPr>
      </w:pPr>
    </w:p>
    <w:p w:rsidR="003913E3" w:rsidRPr="00484A74" w:rsidRDefault="00BB305B"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E</w:t>
      </w:r>
      <w:r w:rsidR="00790907" w:rsidRPr="00484A74">
        <w:rPr>
          <w:rFonts w:ascii="Georgia" w:hAnsi="Georgia" w:cs="Arial"/>
          <w:sz w:val="24"/>
          <w:szCs w:val="24"/>
        </w:rPr>
        <w:t>L</w:t>
      </w:r>
      <w:r w:rsidRPr="00484A74">
        <w:rPr>
          <w:rFonts w:ascii="Georgia" w:hAnsi="Georgia" w:cs="Arial"/>
          <w:sz w:val="24"/>
          <w:szCs w:val="24"/>
        </w:rPr>
        <w:t xml:space="preserve"> DERECHO INVOCADO</w:t>
      </w:r>
    </w:p>
    <w:p w:rsidR="00B978A7" w:rsidRPr="00484A74" w:rsidRDefault="00B978A7" w:rsidP="00B978A7">
      <w:pPr>
        <w:pStyle w:val="Textoindependiente"/>
        <w:spacing w:line="360" w:lineRule="auto"/>
        <w:ind w:left="360"/>
        <w:rPr>
          <w:rFonts w:ascii="Georgia" w:hAnsi="Georgia" w:cs="Arial"/>
          <w:sz w:val="24"/>
          <w:szCs w:val="24"/>
        </w:rPr>
      </w:pPr>
    </w:p>
    <w:p w:rsidR="003913E3" w:rsidRDefault="006012DA"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Del petitorio de amparo se infiere la invocación del derecho al debido proceso </w:t>
      </w:r>
      <w:r w:rsidR="003913E3" w:rsidRPr="00484A74">
        <w:rPr>
          <w:rFonts w:ascii="Georgia" w:hAnsi="Georgia" w:cs="Arial"/>
          <w:sz w:val="24"/>
          <w:szCs w:val="24"/>
        </w:rPr>
        <w:t>(Folio</w:t>
      </w:r>
      <w:r>
        <w:rPr>
          <w:rFonts w:ascii="Georgia" w:hAnsi="Georgia" w:cs="Arial"/>
          <w:sz w:val="24"/>
          <w:szCs w:val="24"/>
        </w:rPr>
        <w:t>s 3 a 10</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cuaderno </w:t>
      </w:r>
      <w:r w:rsidR="00404212">
        <w:rPr>
          <w:rFonts w:ascii="Georgia" w:hAnsi="Georgia" w:cs="Arial"/>
          <w:color w:val="000000"/>
          <w:sz w:val="24"/>
          <w:szCs w:val="24"/>
          <w:lang w:val="es-CO"/>
        </w:rPr>
        <w:t>No.1</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484A74" w:rsidRDefault="000F2638" w:rsidP="00F839CE">
      <w:pPr>
        <w:pStyle w:val="Textoindependiente"/>
        <w:widowControl w:val="0"/>
        <w:spacing w:line="360" w:lineRule="auto"/>
        <w:rPr>
          <w:rFonts w:ascii="Georgia" w:hAnsi="Georgia" w:cs="Arial"/>
          <w:sz w:val="24"/>
          <w:szCs w:val="24"/>
        </w:rPr>
      </w:pPr>
    </w:p>
    <w:p w:rsidR="00BB305B" w:rsidRPr="00484A74" w:rsidRDefault="00BB305B" w:rsidP="00BB305B">
      <w:pPr>
        <w:pStyle w:val="Textoindependien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BB305B" w:rsidRPr="00484A74" w:rsidRDefault="00BB305B" w:rsidP="00BB305B">
      <w:pPr>
        <w:pStyle w:val="Sinespaciado"/>
        <w:spacing w:line="360" w:lineRule="auto"/>
        <w:jc w:val="both"/>
        <w:rPr>
          <w:rFonts w:ascii="Georgia" w:hAnsi="Georgia" w:cs="Arial"/>
          <w:sz w:val="24"/>
          <w:szCs w:val="24"/>
        </w:rPr>
      </w:pPr>
    </w:p>
    <w:p w:rsidR="00BB305B" w:rsidRPr="00484A74" w:rsidRDefault="00BB305B" w:rsidP="00BB305B">
      <w:pPr>
        <w:pStyle w:val="Sinespaciado"/>
        <w:spacing w:line="360" w:lineRule="auto"/>
        <w:jc w:val="both"/>
        <w:rPr>
          <w:rFonts w:ascii="Georgia" w:hAnsi="Georgia" w:cs="Arial"/>
          <w:sz w:val="24"/>
          <w:szCs w:val="24"/>
        </w:rPr>
      </w:pPr>
      <w:r w:rsidRPr="00484A74">
        <w:rPr>
          <w:rFonts w:ascii="Georgia" w:hAnsi="Georgia" w:cs="Arial"/>
          <w:sz w:val="24"/>
          <w:szCs w:val="24"/>
        </w:rPr>
        <w:t>Se pretende que</w:t>
      </w:r>
      <w:r w:rsidR="00860B83">
        <w:rPr>
          <w:rFonts w:ascii="Georgia" w:hAnsi="Georgia" w:cs="Arial"/>
          <w:sz w:val="24"/>
          <w:szCs w:val="24"/>
        </w:rPr>
        <w:t xml:space="preserve"> </w:t>
      </w:r>
      <w:r w:rsidR="006012DA">
        <w:rPr>
          <w:rFonts w:ascii="Georgia" w:hAnsi="Georgia" w:cs="Arial"/>
          <w:sz w:val="24"/>
          <w:szCs w:val="24"/>
        </w:rPr>
        <w:t xml:space="preserve">(i) se declare que el fallo dictado en el proceso de restitución se constituye en una vía de hecho, por no estar ajustado a derecho; y, (ii) se ordene al accionado rehacerlo, teniendo en cuenta las disposiciones que deben gobernar la situación planteada </w:t>
      </w:r>
      <w:r w:rsidRPr="00484A74">
        <w:rPr>
          <w:rFonts w:ascii="Georgia" w:hAnsi="Georgia"/>
          <w:sz w:val="24"/>
          <w:szCs w:val="24"/>
        </w:rPr>
        <w:t xml:space="preserve">(Folio </w:t>
      </w:r>
      <w:r w:rsidR="006012DA">
        <w:rPr>
          <w:rFonts w:ascii="Georgia" w:hAnsi="Georgia"/>
          <w:sz w:val="24"/>
          <w:szCs w:val="24"/>
        </w:rPr>
        <w:t>4</w:t>
      </w:r>
      <w:r w:rsidRPr="00484A74">
        <w:rPr>
          <w:rFonts w:ascii="Georgia" w:hAnsi="Georgia"/>
          <w:sz w:val="24"/>
          <w:szCs w:val="24"/>
        </w:rPr>
        <w:t xml:space="preserve">, </w:t>
      </w:r>
      <w:r w:rsidR="00860B83">
        <w:rPr>
          <w:rFonts w:ascii="Georgia" w:hAnsi="Georgia"/>
          <w:sz w:val="24"/>
          <w:szCs w:val="24"/>
        </w:rPr>
        <w:t>cuaderno No.1</w:t>
      </w:r>
      <w:r w:rsidRPr="00484A74">
        <w:rPr>
          <w:rFonts w:ascii="Georgia" w:hAnsi="Georgia"/>
          <w:sz w:val="24"/>
          <w:szCs w:val="24"/>
        </w:rPr>
        <w:t>)</w:t>
      </w:r>
      <w:r w:rsidRPr="00484A74">
        <w:rPr>
          <w:rFonts w:ascii="Georgia" w:hAnsi="Georgia" w:cs="Arial"/>
          <w:sz w:val="24"/>
          <w:szCs w:val="24"/>
        </w:rPr>
        <w:t xml:space="preserve">. </w:t>
      </w:r>
    </w:p>
    <w:p w:rsidR="001024AA" w:rsidRPr="00484A74" w:rsidRDefault="001024AA" w:rsidP="00F839CE">
      <w:pPr>
        <w:pStyle w:val="Textoindependiente"/>
        <w:widowControl w:val="0"/>
        <w:spacing w:line="360" w:lineRule="auto"/>
        <w:rPr>
          <w:rFonts w:ascii="Georgia" w:hAnsi="Georgia" w:cs="Arial"/>
          <w:sz w:val="24"/>
          <w:szCs w:val="24"/>
          <w:lang w:val="es-ES"/>
        </w:rPr>
      </w:pPr>
    </w:p>
    <w:p w:rsidR="003913E3" w:rsidRPr="00484A74" w:rsidRDefault="00790907" w:rsidP="00F839CE">
      <w:pPr>
        <w:pStyle w:val="Textoindependien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484A74" w:rsidRDefault="003913E3" w:rsidP="00B942B6">
      <w:pPr>
        <w:pStyle w:val="Textoindependiente"/>
        <w:spacing w:line="360" w:lineRule="auto"/>
        <w:rPr>
          <w:rFonts w:ascii="Georgia" w:hAnsi="Georgia" w:cs="Arial"/>
          <w:sz w:val="22"/>
          <w:szCs w:val="24"/>
        </w:rPr>
      </w:pPr>
    </w:p>
    <w:p w:rsidR="004B3407" w:rsidRDefault="00790907" w:rsidP="004B3407">
      <w:pPr>
        <w:pStyle w:val="Textoindependiente"/>
        <w:widowControl w:val="0"/>
        <w:spacing w:line="360" w:lineRule="auto"/>
        <w:rPr>
          <w:rFonts w:ascii="Georgia" w:hAnsi="Georgia"/>
          <w:sz w:val="24"/>
        </w:rPr>
      </w:pPr>
      <w:r w:rsidRPr="00484A74">
        <w:rPr>
          <w:rFonts w:ascii="Georgia" w:hAnsi="Georgia"/>
          <w:sz w:val="24"/>
        </w:rPr>
        <w:t xml:space="preserve">El </w:t>
      </w:r>
      <w:r w:rsidR="006012DA">
        <w:rPr>
          <w:rFonts w:ascii="Georgia" w:hAnsi="Georgia"/>
          <w:sz w:val="24"/>
        </w:rPr>
        <w:t xml:space="preserve">03-11-2017 </w:t>
      </w:r>
      <w:r w:rsidRPr="00484A74">
        <w:rPr>
          <w:rFonts w:ascii="Georgia" w:hAnsi="Georgia"/>
          <w:sz w:val="24"/>
          <w:lang w:val="es-CO"/>
        </w:rPr>
        <w:t xml:space="preserve">se </w:t>
      </w:r>
      <w:r w:rsidR="004B3407" w:rsidRPr="00484A74">
        <w:rPr>
          <w:rFonts w:ascii="Georgia" w:hAnsi="Georgia"/>
          <w:sz w:val="24"/>
        </w:rPr>
        <w:t>admitió</w:t>
      </w:r>
      <w:r w:rsidR="004E39D7" w:rsidRPr="00484A74">
        <w:rPr>
          <w:rFonts w:ascii="Georgia" w:hAnsi="Georgia"/>
          <w:sz w:val="24"/>
        </w:rPr>
        <w:t>,</w:t>
      </w:r>
      <w:r w:rsidR="004B3407" w:rsidRPr="00484A74">
        <w:rPr>
          <w:rFonts w:ascii="Georgia" w:hAnsi="Georgia"/>
          <w:sz w:val="24"/>
        </w:rPr>
        <w:t xml:space="preserve"> </w:t>
      </w:r>
      <w:r w:rsidRPr="00484A74">
        <w:rPr>
          <w:rFonts w:ascii="Georgia" w:hAnsi="Georgia"/>
          <w:sz w:val="24"/>
        </w:rPr>
        <w:t xml:space="preserve">se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 xml:space="preserve">a quien </w:t>
      </w:r>
      <w:r w:rsidR="00860B83">
        <w:rPr>
          <w:rFonts w:ascii="Georgia" w:hAnsi="Georgia"/>
          <w:sz w:val="24"/>
          <w:szCs w:val="24"/>
          <w:lang w:val="es-CO"/>
        </w:rPr>
        <w:t xml:space="preserve">se </w:t>
      </w:r>
      <w:r w:rsidR="00BD3C04" w:rsidRPr="00484A74">
        <w:rPr>
          <w:rFonts w:ascii="Georgia" w:hAnsi="Georgia"/>
          <w:sz w:val="24"/>
          <w:szCs w:val="24"/>
          <w:lang w:val="es-CO"/>
        </w:rPr>
        <w:t xml:space="preserve">estimó conveniente </w:t>
      </w:r>
      <w:r w:rsidR="004E39D7" w:rsidRPr="00484A74">
        <w:rPr>
          <w:rFonts w:ascii="Georgia" w:hAnsi="Georgia"/>
          <w:sz w:val="24"/>
          <w:szCs w:val="24"/>
          <w:lang w:val="es-CO"/>
        </w:rPr>
        <w:t xml:space="preserve">y </w:t>
      </w:r>
      <w:r w:rsidRPr="00484A74">
        <w:rPr>
          <w:rFonts w:ascii="Georgia" w:hAnsi="Georgia"/>
          <w:sz w:val="24"/>
          <w:szCs w:val="24"/>
          <w:lang w:val="es-CO"/>
        </w:rPr>
        <w:t xml:space="preserve">se </w:t>
      </w:r>
      <w:r w:rsidR="004E39D7" w:rsidRPr="00484A74">
        <w:rPr>
          <w:rFonts w:ascii="Georgia" w:hAnsi="Georgia"/>
          <w:sz w:val="24"/>
          <w:szCs w:val="24"/>
          <w:lang w:val="es-CO"/>
        </w:rPr>
        <w:t xml:space="preserve">dispuso </w:t>
      </w:r>
      <w:r w:rsidRPr="00484A74">
        <w:rPr>
          <w:rFonts w:ascii="Georgia" w:hAnsi="Georgia"/>
          <w:sz w:val="24"/>
          <w:szCs w:val="24"/>
          <w:lang w:val="es-CO"/>
        </w:rPr>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6012DA">
        <w:rPr>
          <w:rFonts w:ascii="Georgia" w:hAnsi="Georgia"/>
          <w:sz w:val="24"/>
        </w:rPr>
        <w:t>12</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860B83">
        <w:rPr>
          <w:rFonts w:ascii="Georgia" w:hAnsi="Georgia"/>
          <w:sz w:val="24"/>
        </w:rPr>
        <w:t>);</w:t>
      </w:r>
      <w:r w:rsidR="004B3407" w:rsidRPr="00484A74">
        <w:rPr>
          <w:rFonts w:ascii="Georgia" w:hAnsi="Georgia"/>
          <w:sz w:val="24"/>
        </w:rPr>
        <w:t xml:space="preserve"> </w:t>
      </w:r>
      <w:r w:rsidR="006012DA">
        <w:rPr>
          <w:rFonts w:ascii="Georgia" w:hAnsi="Georgia"/>
          <w:sz w:val="24"/>
        </w:rPr>
        <w:t xml:space="preserve">contestaron el Juzgado accionado (Folio 20, ibídem) y los vinculados (Folios 21 a 26, ibídem), </w:t>
      </w:r>
      <w:r w:rsidR="00860B83">
        <w:rPr>
          <w:rFonts w:ascii="Georgia" w:hAnsi="Georgia"/>
          <w:sz w:val="24"/>
        </w:rPr>
        <w:t xml:space="preserve">el </w:t>
      </w:r>
      <w:r w:rsidR="006012DA">
        <w:rPr>
          <w:rFonts w:ascii="Georgia" w:hAnsi="Georgia"/>
          <w:sz w:val="24"/>
        </w:rPr>
        <w:t>14</w:t>
      </w:r>
      <w:r w:rsidR="00860B83">
        <w:rPr>
          <w:rFonts w:ascii="Georgia" w:hAnsi="Georgia"/>
          <w:sz w:val="24"/>
        </w:rPr>
        <w:t>-</w:t>
      </w:r>
      <w:r w:rsidR="006012DA">
        <w:rPr>
          <w:rFonts w:ascii="Georgia" w:hAnsi="Georgia"/>
          <w:sz w:val="24"/>
        </w:rPr>
        <w:t>11</w:t>
      </w:r>
      <w:r w:rsidR="00860B83">
        <w:rPr>
          <w:rFonts w:ascii="Georgia" w:hAnsi="Georgia"/>
          <w:sz w:val="24"/>
        </w:rPr>
        <w:t xml:space="preserve">-2017 se practicó inspección judicial (Folio </w:t>
      </w:r>
      <w:r w:rsidR="006012DA">
        <w:rPr>
          <w:rFonts w:ascii="Georgia" w:hAnsi="Georgia"/>
          <w:sz w:val="24"/>
        </w:rPr>
        <w:t>27</w:t>
      </w:r>
      <w:r w:rsidR="00860B83">
        <w:rPr>
          <w:rFonts w:ascii="Georgia" w:hAnsi="Georgia"/>
          <w:sz w:val="24"/>
        </w:rPr>
        <w:t xml:space="preserve">, </w:t>
      </w:r>
      <w:r w:rsidR="006012DA">
        <w:rPr>
          <w:rFonts w:ascii="Georgia" w:hAnsi="Georgia"/>
          <w:sz w:val="24"/>
        </w:rPr>
        <w:t>ib.</w:t>
      </w:r>
      <w:r w:rsidR="00860B83">
        <w:rPr>
          <w:rFonts w:ascii="Georgia" w:hAnsi="Georgia"/>
          <w:sz w:val="24"/>
        </w:rPr>
        <w:t xml:space="preserve">); </w:t>
      </w:r>
      <w:r w:rsidR="004B3407" w:rsidRPr="00484A74">
        <w:rPr>
          <w:rFonts w:ascii="Georgia" w:hAnsi="Georgia"/>
          <w:sz w:val="24"/>
        </w:rPr>
        <w:t xml:space="preserve">se emitió el fallo </w:t>
      </w:r>
      <w:r w:rsidR="00860B83">
        <w:rPr>
          <w:rFonts w:ascii="Georgia" w:hAnsi="Georgia"/>
          <w:sz w:val="24"/>
        </w:rPr>
        <w:t xml:space="preserve">el </w:t>
      </w:r>
      <w:r w:rsidR="006012DA">
        <w:rPr>
          <w:rFonts w:ascii="Georgia" w:hAnsi="Georgia"/>
          <w:sz w:val="24"/>
        </w:rPr>
        <w:t xml:space="preserve">20-11-2017 </w:t>
      </w:r>
      <w:r w:rsidR="004B3407" w:rsidRPr="00484A74">
        <w:rPr>
          <w:rFonts w:ascii="Georgia" w:hAnsi="Georgia"/>
          <w:sz w:val="24"/>
        </w:rPr>
        <w:t xml:space="preserve">(Folios </w:t>
      </w:r>
      <w:r w:rsidR="006012DA">
        <w:rPr>
          <w:rFonts w:ascii="Georgia" w:hAnsi="Georgia"/>
          <w:sz w:val="24"/>
        </w:rPr>
        <w:t>28 a 32</w:t>
      </w:r>
      <w:r w:rsidR="004B3407" w:rsidRPr="00484A74">
        <w:rPr>
          <w:rFonts w:ascii="Georgia" w:hAnsi="Georgia"/>
          <w:sz w:val="24"/>
        </w:rPr>
        <w:t xml:space="preserve">, </w:t>
      </w:r>
      <w:r w:rsidR="006012DA">
        <w:rPr>
          <w:rFonts w:ascii="Georgia" w:hAnsi="Georgia"/>
          <w:sz w:val="24"/>
        </w:rPr>
        <w:t>ib.</w:t>
      </w:r>
      <w:r w:rsidR="004B3407" w:rsidRPr="00484A74">
        <w:rPr>
          <w:rFonts w:ascii="Georgia" w:hAnsi="Georgia"/>
          <w:sz w:val="24"/>
        </w:rPr>
        <w:t xml:space="preserve">); </w:t>
      </w:r>
      <w:r w:rsidR="00BD3C04" w:rsidRPr="00484A74">
        <w:rPr>
          <w:rFonts w:ascii="Georgia" w:hAnsi="Georgia"/>
          <w:sz w:val="24"/>
        </w:rPr>
        <w:t xml:space="preserve">y </w:t>
      </w:r>
      <w:r w:rsidR="004B3407" w:rsidRPr="00484A74">
        <w:rPr>
          <w:rFonts w:ascii="Georgia" w:hAnsi="Georgia"/>
          <w:sz w:val="24"/>
        </w:rPr>
        <w:t xml:space="preserve">con proveído del </w:t>
      </w:r>
      <w:r w:rsidR="006012DA">
        <w:rPr>
          <w:rFonts w:ascii="Georgia" w:hAnsi="Georgia"/>
          <w:sz w:val="24"/>
        </w:rPr>
        <w:t xml:space="preserve">29-11-2017 </w:t>
      </w:r>
      <w:r w:rsidR="004B3407" w:rsidRPr="00484A74">
        <w:rPr>
          <w:rFonts w:ascii="Georgia" w:hAnsi="Georgia"/>
          <w:sz w:val="24"/>
        </w:rPr>
        <w:t xml:space="preserve">se concedió la impugnación formulada por la parte </w:t>
      </w:r>
      <w:r w:rsidR="00860B83">
        <w:rPr>
          <w:rFonts w:ascii="Georgia" w:hAnsi="Georgia"/>
          <w:sz w:val="24"/>
        </w:rPr>
        <w:t xml:space="preserve">actora </w:t>
      </w:r>
      <w:r w:rsidR="004B3407" w:rsidRPr="00484A74">
        <w:rPr>
          <w:rFonts w:ascii="Georgia" w:hAnsi="Georgia"/>
          <w:sz w:val="24"/>
        </w:rPr>
        <w:t xml:space="preserve">(Folio </w:t>
      </w:r>
      <w:r w:rsidR="006012DA">
        <w:rPr>
          <w:rFonts w:ascii="Georgia" w:hAnsi="Georgia"/>
          <w:sz w:val="24"/>
        </w:rPr>
        <w:t>40</w:t>
      </w:r>
      <w:r w:rsidR="004B3407" w:rsidRPr="00484A74">
        <w:rPr>
          <w:rFonts w:ascii="Georgia" w:hAnsi="Georgia"/>
          <w:sz w:val="24"/>
        </w:rPr>
        <w:t xml:space="preserve">, </w:t>
      </w:r>
      <w:r w:rsidR="009A65A1" w:rsidRPr="00484A74">
        <w:rPr>
          <w:rFonts w:ascii="Georgia" w:hAnsi="Georgia"/>
          <w:sz w:val="24"/>
        </w:rPr>
        <w:t>ib.</w:t>
      </w:r>
      <w:r w:rsidR="004B3407" w:rsidRPr="00484A74">
        <w:rPr>
          <w:rFonts w:ascii="Georgia" w:hAnsi="Georgia"/>
          <w:sz w:val="24"/>
        </w:rPr>
        <w:t xml:space="preserve">). </w:t>
      </w:r>
    </w:p>
    <w:p w:rsidR="00860B83" w:rsidRDefault="00860B83" w:rsidP="004B3407">
      <w:pPr>
        <w:pStyle w:val="Textoindependiente"/>
        <w:widowControl w:val="0"/>
        <w:spacing w:line="360" w:lineRule="auto"/>
        <w:rPr>
          <w:rFonts w:ascii="Georgia" w:hAnsi="Georgia"/>
          <w:sz w:val="24"/>
        </w:rPr>
      </w:pPr>
    </w:p>
    <w:p w:rsidR="009A65A1" w:rsidRPr="00484A74" w:rsidRDefault="009A65A1"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w:t>
      </w:r>
      <w:r w:rsidR="00860B83">
        <w:rPr>
          <w:rFonts w:ascii="Georgia" w:hAnsi="Georgia" w:cs="Arial"/>
          <w:sz w:val="24"/>
          <w:szCs w:val="24"/>
        </w:rPr>
        <w:t xml:space="preserve">se </w:t>
      </w:r>
      <w:r w:rsidR="006012DA">
        <w:rPr>
          <w:rFonts w:ascii="Georgia" w:hAnsi="Georgia" w:cs="Arial"/>
          <w:sz w:val="24"/>
          <w:szCs w:val="24"/>
        </w:rPr>
        <w:t xml:space="preserve">denegó por improcedente </w:t>
      </w:r>
      <w:r w:rsidR="00860B83">
        <w:rPr>
          <w:rFonts w:ascii="Georgia" w:hAnsi="Georgia" w:cs="Arial"/>
          <w:sz w:val="24"/>
          <w:szCs w:val="24"/>
        </w:rPr>
        <w:t>(Sic) la acción de tutela</w:t>
      </w:r>
      <w:r w:rsidR="00F70413">
        <w:rPr>
          <w:rFonts w:ascii="Georgia" w:hAnsi="Georgia" w:cs="Arial"/>
          <w:sz w:val="24"/>
          <w:szCs w:val="24"/>
        </w:rPr>
        <w:t>,</w:t>
      </w:r>
      <w:r w:rsidR="00860B83">
        <w:rPr>
          <w:rFonts w:ascii="Georgia" w:hAnsi="Georgia" w:cs="Arial"/>
          <w:sz w:val="24"/>
          <w:szCs w:val="24"/>
        </w:rPr>
        <w:t xml:space="preserve"> porque </w:t>
      </w:r>
      <w:r w:rsidR="00F70413">
        <w:rPr>
          <w:rFonts w:ascii="Georgia" w:hAnsi="Georgia" w:cs="Arial"/>
          <w:sz w:val="24"/>
          <w:szCs w:val="24"/>
        </w:rPr>
        <w:t xml:space="preserve">la decisión cuestionada no obedeció al mero capricho o veleidad de la juzgadora; </w:t>
      </w:r>
      <w:r w:rsidR="00061949">
        <w:rPr>
          <w:rFonts w:ascii="Georgia" w:hAnsi="Georgia" w:cs="Arial"/>
          <w:sz w:val="24"/>
          <w:szCs w:val="24"/>
        </w:rPr>
        <w:t>en sede de tutela es inviable cuestionar la interpretación dada a los artículos aplicados</w:t>
      </w:r>
      <w:r w:rsidR="00F70413">
        <w:rPr>
          <w:rFonts w:ascii="Georgia" w:hAnsi="Georgia" w:cs="Arial"/>
          <w:sz w:val="24"/>
          <w:szCs w:val="24"/>
        </w:rPr>
        <w:t xml:space="preserve">. Tampoco halló defecto fáctico, pues se observaron los aspectos probatorios y sustanciales pertinentes para definir el asunto </w:t>
      </w:r>
      <w:r w:rsidRPr="00484A74">
        <w:rPr>
          <w:rFonts w:ascii="Georgia" w:hAnsi="Georgia" w:cs="Arial"/>
          <w:sz w:val="24"/>
          <w:szCs w:val="24"/>
        </w:rPr>
        <w:t xml:space="preserve">(Folios </w:t>
      </w:r>
      <w:r w:rsidR="00F70413">
        <w:rPr>
          <w:rFonts w:ascii="Georgia" w:hAnsi="Georgia" w:cs="Arial"/>
          <w:sz w:val="24"/>
          <w:szCs w:val="24"/>
        </w:rPr>
        <w:t>28 a 32</w:t>
      </w:r>
      <w:r w:rsidRPr="00484A74">
        <w:rPr>
          <w:rFonts w:ascii="Georgia" w:hAnsi="Georgia" w:cs="Arial"/>
          <w:sz w:val="24"/>
          <w:szCs w:val="24"/>
        </w:rPr>
        <w:t>, ib.).</w:t>
      </w:r>
    </w:p>
    <w:p w:rsidR="009A65A1" w:rsidRPr="00484A74" w:rsidRDefault="009A65A1" w:rsidP="00F839CE">
      <w:pPr>
        <w:pStyle w:val="Textoindependiente"/>
        <w:widowControl w:val="0"/>
        <w:spacing w:line="360" w:lineRule="auto"/>
        <w:rPr>
          <w:rFonts w:ascii="Georgia" w:hAnsi="Georgia" w:cs="Arial"/>
          <w:sz w:val="24"/>
          <w:szCs w:val="24"/>
        </w:rPr>
      </w:pPr>
    </w:p>
    <w:p w:rsidR="003913E3" w:rsidRPr="000727D7" w:rsidRDefault="002F42EF" w:rsidP="00F839CE">
      <w:pPr>
        <w:pStyle w:val="Textoindependiente"/>
        <w:widowControl w:val="0"/>
        <w:spacing w:line="360" w:lineRule="auto"/>
        <w:rPr>
          <w:rFonts w:ascii="Georgia" w:hAnsi="Georgia" w:cs="Arial"/>
          <w:sz w:val="24"/>
          <w:szCs w:val="24"/>
          <w:lang w:val="es-CO"/>
        </w:rPr>
      </w:pPr>
      <w:r>
        <w:rPr>
          <w:rFonts w:ascii="Georgia" w:hAnsi="Georgia" w:cs="Arial"/>
          <w:sz w:val="24"/>
          <w:szCs w:val="24"/>
        </w:rPr>
        <w:t xml:space="preserve">El impugnante </w:t>
      </w:r>
      <w:r w:rsidR="00F70413">
        <w:rPr>
          <w:rFonts w:ascii="Georgia" w:hAnsi="Georgia" w:cs="Arial"/>
          <w:sz w:val="24"/>
          <w:szCs w:val="24"/>
        </w:rPr>
        <w:t xml:space="preserve">refirió que la accionada en </w:t>
      </w:r>
      <w:r w:rsidR="00061949">
        <w:rPr>
          <w:rFonts w:ascii="Georgia" w:hAnsi="Georgia" w:cs="Arial"/>
          <w:sz w:val="24"/>
          <w:szCs w:val="24"/>
        </w:rPr>
        <w:t>la sentencia dictada</w:t>
      </w:r>
      <w:r w:rsidR="001B0BCF">
        <w:rPr>
          <w:rFonts w:ascii="Georgia" w:hAnsi="Georgia" w:cs="Arial"/>
          <w:sz w:val="24"/>
          <w:szCs w:val="24"/>
        </w:rPr>
        <w:t>,</w:t>
      </w:r>
      <w:r w:rsidR="00F70413">
        <w:rPr>
          <w:rFonts w:ascii="Georgia" w:hAnsi="Georgia" w:cs="Arial"/>
          <w:sz w:val="24"/>
          <w:szCs w:val="24"/>
        </w:rPr>
        <w:t xml:space="preserve"> </w:t>
      </w:r>
      <w:r w:rsidR="001B0BCF">
        <w:rPr>
          <w:rFonts w:ascii="Georgia" w:hAnsi="Georgia" w:cs="Arial"/>
          <w:sz w:val="24"/>
          <w:szCs w:val="24"/>
        </w:rPr>
        <w:t xml:space="preserve">sin fundamentación </w:t>
      </w:r>
      <w:r w:rsidR="00F70413">
        <w:rPr>
          <w:rFonts w:ascii="Georgia" w:hAnsi="Georgia" w:cs="Arial"/>
          <w:sz w:val="24"/>
          <w:szCs w:val="24"/>
        </w:rPr>
        <w:t xml:space="preserve">dejó de aplicar las normas correspondientes, y en su lugar, </w:t>
      </w:r>
      <w:r w:rsidR="001B0BCF">
        <w:rPr>
          <w:rFonts w:ascii="Georgia" w:hAnsi="Georgia" w:cs="Arial"/>
          <w:sz w:val="24"/>
          <w:szCs w:val="24"/>
        </w:rPr>
        <w:t>usó</w:t>
      </w:r>
      <w:r w:rsidR="00F70413">
        <w:rPr>
          <w:rFonts w:ascii="Georgia" w:hAnsi="Georgia" w:cs="Arial"/>
          <w:sz w:val="24"/>
          <w:szCs w:val="24"/>
        </w:rPr>
        <w:t xml:space="preserve"> la herramienta </w:t>
      </w:r>
      <w:r w:rsidR="001B0BCF">
        <w:rPr>
          <w:rFonts w:ascii="Georgia" w:hAnsi="Georgia" w:cs="Arial"/>
          <w:sz w:val="24"/>
          <w:szCs w:val="24"/>
          <w:lang w:val="es-CO"/>
        </w:rPr>
        <w:t>supletoria de la costumbre mercantil. Agregó que tampoco se reúnen los requisitos del allanamiento a la mora</w:t>
      </w:r>
      <w:r>
        <w:rPr>
          <w:rFonts w:ascii="Georgia" w:hAnsi="Georgia" w:cs="Arial"/>
          <w:sz w:val="24"/>
          <w:szCs w:val="24"/>
        </w:rPr>
        <w:t xml:space="preserve"> </w:t>
      </w:r>
      <w:r w:rsidR="00C53548" w:rsidRPr="00484A74">
        <w:rPr>
          <w:rFonts w:ascii="Georgia" w:hAnsi="Georgia" w:cs="Arial"/>
          <w:sz w:val="24"/>
          <w:szCs w:val="24"/>
        </w:rPr>
        <w:t xml:space="preserve">(Folio </w:t>
      </w:r>
      <w:r w:rsidR="001B0BCF">
        <w:rPr>
          <w:rFonts w:ascii="Georgia" w:hAnsi="Georgia" w:cs="Arial"/>
          <w:sz w:val="24"/>
          <w:szCs w:val="24"/>
        </w:rPr>
        <w:t>37 a 39</w:t>
      </w:r>
      <w:r w:rsidR="00C53548" w:rsidRPr="00484A74">
        <w:rPr>
          <w:rFonts w:ascii="Georgia" w:hAnsi="Georgia" w:cs="Arial"/>
          <w:sz w:val="24"/>
          <w:szCs w:val="24"/>
        </w:rPr>
        <w:t xml:space="preserve">, </w:t>
      </w:r>
      <w:r w:rsidR="007B4AD7" w:rsidRPr="00484A74">
        <w:rPr>
          <w:rFonts w:ascii="Georgia" w:hAnsi="Georgia" w:cs="Arial"/>
          <w:sz w:val="24"/>
          <w:szCs w:val="24"/>
        </w:rPr>
        <w:t>ib.</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484A74" w:rsidRDefault="000D01DC" w:rsidP="00F839CE">
      <w:pPr>
        <w:pStyle w:val="Textoindependiente"/>
        <w:widowControl w:val="0"/>
        <w:spacing w:line="360" w:lineRule="auto"/>
        <w:rPr>
          <w:rFonts w:ascii="Georgia" w:hAnsi="Georgia" w:cs="Arial"/>
          <w:sz w:val="22"/>
          <w:szCs w:val="24"/>
        </w:rPr>
      </w:pPr>
    </w:p>
    <w:p w:rsidR="00484A74" w:rsidRPr="00484A74"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Default="00484A74" w:rsidP="00C747F2">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sidR="000727D7">
        <w:rPr>
          <w:rFonts w:ascii="Georgia" w:hAnsi="Georgia" w:cs="Arial"/>
          <w:sz w:val="24"/>
          <w:szCs w:val="24"/>
        </w:rPr>
        <w:t>Dosquebradas</w:t>
      </w:r>
      <w:r w:rsidRPr="00484A74">
        <w:rPr>
          <w:rFonts w:ascii="Georgia" w:hAnsi="Georgia" w:cs="Arial"/>
          <w:sz w:val="24"/>
          <w:szCs w:val="24"/>
        </w:rPr>
        <w:t xml:space="preserve">, según la impugnación presentada por la parte </w:t>
      </w:r>
      <w:r w:rsidR="001B0BCF">
        <w:rPr>
          <w:rFonts w:ascii="Georgia" w:hAnsi="Georgia" w:cs="Arial"/>
          <w:sz w:val="24"/>
          <w:szCs w:val="24"/>
        </w:rPr>
        <w:t>actora</w:t>
      </w:r>
      <w:r w:rsidRPr="00484A74">
        <w:rPr>
          <w:rFonts w:ascii="Georgia" w:hAnsi="Georgia" w:cs="Arial"/>
          <w:sz w:val="24"/>
          <w:szCs w:val="24"/>
        </w:rPr>
        <w:t xml:space="preserve">? </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0F2638"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0F2638" w:rsidRPr="00CC68E1" w:rsidRDefault="000F2638" w:rsidP="000F2638">
      <w:pPr>
        <w:pStyle w:val="Textoindependiente"/>
        <w:tabs>
          <w:tab w:val="clear" w:pos="708"/>
          <w:tab w:val="clear" w:pos="1416"/>
          <w:tab w:val="left" w:pos="709"/>
          <w:tab w:val="left" w:pos="1418"/>
        </w:tabs>
        <w:spacing w:line="360" w:lineRule="auto"/>
        <w:rPr>
          <w:rFonts w:ascii="Georgia" w:hAnsi="Georgia"/>
          <w:smallCaps/>
          <w:szCs w:val="24"/>
        </w:rPr>
      </w:pPr>
    </w:p>
    <w:p w:rsidR="000727D7" w:rsidRPr="00061949" w:rsidRDefault="00484A74" w:rsidP="000727D7">
      <w:pPr>
        <w:pStyle w:val="Textoindependiente"/>
        <w:numPr>
          <w:ilvl w:val="2"/>
          <w:numId w:val="41"/>
        </w:numPr>
        <w:spacing w:line="360" w:lineRule="auto"/>
        <w:rPr>
          <w:rFonts w:ascii="Georgia" w:hAnsi="Georgia" w:cs="Arial"/>
          <w:sz w:val="24"/>
          <w:szCs w:val="24"/>
        </w:rPr>
      </w:pPr>
      <w:r w:rsidRPr="00484A74">
        <w:rPr>
          <w:rFonts w:ascii="Georgia" w:hAnsi="Georgia" w:cs="Arial"/>
          <w:smallCaps/>
          <w:sz w:val="22"/>
          <w:szCs w:val="24"/>
        </w:rPr>
        <w:t>La legitimación en la causa</w:t>
      </w:r>
    </w:p>
    <w:p w:rsidR="00061949" w:rsidRPr="000727D7" w:rsidRDefault="00061949" w:rsidP="00061949">
      <w:pPr>
        <w:pStyle w:val="Textoindependiente"/>
        <w:spacing w:line="360" w:lineRule="auto"/>
        <w:ind w:left="720"/>
        <w:rPr>
          <w:rFonts w:ascii="Georgia" w:hAnsi="Georgia" w:cs="Arial"/>
          <w:sz w:val="24"/>
          <w:szCs w:val="24"/>
        </w:rPr>
      </w:pPr>
    </w:p>
    <w:p w:rsidR="00350325" w:rsidRDefault="00484A74" w:rsidP="001B0BCF">
      <w:pPr>
        <w:pStyle w:val="Textoindependiente"/>
        <w:spacing w:line="360" w:lineRule="auto"/>
        <w:rPr>
          <w:rFonts w:ascii="Georgia" w:hAnsi="Georgia" w:cs="Arial"/>
          <w:sz w:val="24"/>
          <w:szCs w:val="24"/>
        </w:rPr>
      </w:pP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gitimación por activa dado que e</w:t>
      </w:r>
      <w:r w:rsidR="008924A4" w:rsidRPr="00484A74">
        <w:rPr>
          <w:rFonts w:ascii="Georgia" w:hAnsi="Georgia" w:cs="Arial"/>
          <w:sz w:val="24"/>
          <w:szCs w:val="24"/>
        </w:rPr>
        <w:t>l señor</w:t>
      </w:r>
      <w:r w:rsidR="00350325" w:rsidRPr="00484A74">
        <w:rPr>
          <w:rFonts w:ascii="Georgia" w:hAnsi="Georgia" w:cs="Arial"/>
          <w:sz w:val="24"/>
          <w:szCs w:val="24"/>
        </w:rPr>
        <w:t xml:space="preserve"> </w:t>
      </w:r>
      <w:r w:rsidR="001B0BCF">
        <w:rPr>
          <w:rFonts w:ascii="Georgia" w:hAnsi="Georgia" w:cs="Arial"/>
          <w:sz w:val="24"/>
          <w:szCs w:val="24"/>
        </w:rPr>
        <w:t xml:space="preserve">Jesús Didier Garzón Moreno </w:t>
      </w:r>
      <w:r w:rsidR="000727D7">
        <w:rPr>
          <w:rFonts w:ascii="Georgia" w:hAnsi="Georgia" w:cs="Arial"/>
          <w:sz w:val="24"/>
          <w:szCs w:val="24"/>
        </w:rPr>
        <w:t xml:space="preserve">actúa como </w:t>
      </w:r>
      <w:r w:rsidR="001B0BCF">
        <w:rPr>
          <w:rFonts w:ascii="Georgia" w:hAnsi="Georgia" w:cs="Arial"/>
          <w:sz w:val="24"/>
          <w:szCs w:val="24"/>
        </w:rPr>
        <w:t>demandante en el proceso de restitución de inmueble.</w:t>
      </w:r>
      <w:r w:rsidR="000727D7">
        <w:rPr>
          <w:rFonts w:ascii="Georgia" w:hAnsi="Georgia"/>
          <w:sz w:val="24"/>
          <w:szCs w:val="24"/>
        </w:rPr>
        <w:t xml:space="preserve"> </w:t>
      </w:r>
      <w:r w:rsidR="001B0BCF">
        <w:rPr>
          <w:rFonts w:ascii="Georgia" w:hAnsi="Georgia"/>
          <w:sz w:val="24"/>
          <w:szCs w:val="24"/>
        </w:rPr>
        <w:t>Y</w:t>
      </w:r>
      <w:r w:rsidR="00350325" w:rsidRPr="00484A74">
        <w:rPr>
          <w:rFonts w:ascii="Georgia" w:hAnsi="Georgia" w:cs="Arial"/>
          <w:sz w:val="24"/>
          <w:szCs w:val="24"/>
        </w:rPr>
        <w:t xml:space="preserve"> por pasiva, lo es el Juzgado </w:t>
      </w:r>
      <w:r w:rsidR="000727D7">
        <w:rPr>
          <w:rFonts w:ascii="Georgia" w:hAnsi="Georgia" w:cs="Arial"/>
          <w:sz w:val="24"/>
          <w:szCs w:val="24"/>
        </w:rPr>
        <w:t xml:space="preserve">Tercero </w:t>
      </w:r>
      <w:r>
        <w:rPr>
          <w:rFonts w:ascii="Georgia" w:hAnsi="Georgia" w:cs="Arial"/>
          <w:sz w:val="24"/>
          <w:szCs w:val="24"/>
        </w:rPr>
        <w:t xml:space="preserve">Civil </w:t>
      </w:r>
      <w:r w:rsidR="00350325" w:rsidRPr="00484A74">
        <w:rPr>
          <w:rFonts w:ascii="Georgia" w:hAnsi="Georgia" w:cs="Arial"/>
          <w:sz w:val="24"/>
          <w:szCs w:val="24"/>
        </w:rPr>
        <w:t>Municipal</w:t>
      </w:r>
      <w:r w:rsidR="006F52BC" w:rsidRPr="00484A74">
        <w:rPr>
          <w:rFonts w:ascii="Georgia" w:hAnsi="Georgia" w:cs="Arial"/>
          <w:sz w:val="24"/>
          <w:szCs w:val="24"/>
        </w:rPr>
        <w:t xml:space="preserve"> de </w:t>
      </w:r>
      <w:r w:rsidR="000727D7">
        <w:rPr>
          <w:rFonts w:ascii="Georgia" w:hAnsi="Georgia" w:cs="Arial"/>
          <w:sz w:val="24"/>
          <w:szCs w:val="24"/>
        </w:rPr>
        <w:t>Dosquebradas</w:t>
      </w:r>
      <w:r w:rsidR="00350325"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00350325" w:rsidRPr="00484A74">
        <w:rPr>
          <w:rFonts w:ascii="Georgia" w:hAnsi="Georgia" w:cs="Arial"/>
          <w:sz w:val="24"/>
          <w:szCs w:val="24"/>
        </w:rPr>
        <w:t>conoce del proceso</w:t>
      </w:r>
      <w:r w:rsidR="006C593B" w:rsidRPr="00484A74">
        <w:rPr>
          <w:rFonts w:ascii="Georgia" w:hAnsi="Georgia" w:cs="Arial"/>
          <w:sz w:val="24"/>
          <w:szCs w:val="24"/>
        </w:rPr>
        <w:t>.</w:t>
      </w:r>
    </w:p>
    <w:p w:rsidR="001B0BCF" w:rsidRDefault="001B0BCF" w:rsidP="001B0BCF">
      <w:pPr>
        <w:pStyle w:val="Textoindependiente"/>
        <w:spacing w:line="360" w:lineRule="auto"/>
        <w:rPr>
          <w:rFonts w:ascii="Georgia" w:hAnsi="Georgia" w:cs="Arial"/>
          <w:sz w:val="24"/>
          <w:szCs w:val="24"/>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484A74"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Las sub-reglas de análisis en la procedibilidad frente a decisiones judiciales</w:t>
      </w:r>
    </w:p>
    <w:p w:rsidR="004453AC" w:rsidRPr="00484A74" w:rsidRDefault="004453AC" w:rsidP="004453AC">
      <w:pPr>
        <w:pStyle w:val="Textoindependiente"/>
        <w:spacing w:line="360" w:lineRule="auto"/>
        <w:rPr>
          <w:rFonts w:ascii="Georgia" w:hAnsi="Georgia" w:cs="Arial"/>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Desde la sentencia C-543</w:t>
      </w:r>
      <w:r w:rsidRPr="00DB39AD">
        <w:rPr>
          <w:rFonts w:ascii="Georgia" w:hAnsi="Georgia"/>
          <w:sz w:val="24"/>
          <w:szCs w:val="24"/>
        </w:rPr>
        <w:t xml:space="preserve"> </w:t>
      </w:r>
      <w:r w:rsidRPr="00DB39AD">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B39AD">
        <w:rPr>
          <w:rStyle w:val="Refdenotaalpie"/>
          <w:rFonts w:ascii="Georgia" w:hAnsi="Georgia" w:cs="Arial"/>
          <w:sz w:val="24"/>
          <w:szCs w:val="24"/>
        </w:rPr>
        <w:footnoteReference w:id="1"/>
      </w:r>
      <w:r w:rsidRPr="00DB39AD">
        <w:rPr>
          <w:rFonts w:ascii="Georgia" w:hAnsi="Georgia" w:cs="Arial"/>
          <w:sz w:val="24"/>
          <w:szCs w:val="24"/>
        </w:rPr>
        <w:t>, básicamente sustituyó la expresión “vías de hecho” por la de “causales genéricas de procedibilidad” y ensanchó las causales especiales, pasando de cuatro (4) a ocho (8).  En el mismo sentido Quiroga N.</w:t>
      </w:r>
      <w:r w:rsidRPr="00DB39AD">
        <w:rPr>
          <w:rStyle w:val="Refdenotaalpie"/>
          <w:rFonts w:ascii="Georgia" w:hAnsi="Georgia"/>
          <w:sz w:val="24"/>
          <w:szCs w:val="24"/>
        </w:rPr>
        <w:footnoteReference w:id="2"/>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 xml:space="preserve">Ahora, en frente  del  examen que se reclama en sede constitucional, resulta de mayúscula trascendencia, precisar que </w:t>
      </w:r>
      <w:r w:rsidRPr="00DB39AD">
        <w:rPr>
          <w:rFonts w:ascii="Georgia" w:hAnsi="Georgia" w:cs="Arial"/>
          <w:sz w:val="24"/>
          <w:szCs w:val="24"/>
          <w:u w:val="single"/>
        </w:rPr>
        <w:t>se trata de un juicio de validez y no de corrección</w:t>
      </w:r>
      <w:r w:rsidRPr="00DB39AD">
        <w:rPr>
          <w:rFonts w:ascii="Georgia" w:hAnsi="Georgia" w:cs="Arial"/>
          <w:sz w:val="24"/>
          <w:szCs w:val="24"/>
        </w:rPr>
        <w:t xml:space="preserve">, lo que evidencia que son dos planos de estudio diversos, entonces, mal puede mutarse en constitucional lo que compete al ámbito legal, ello se traduce en evitar el riesgo de convertirse </w:t>
      </w:r>
      <w:r w:rsidRPr="00DB39AD">
        <w:rPr>
          <w:rFonts w:ascii="Georgia" w:hAnsi="Georgia" w:cs="Arial"/>
          <w:sz w:val="24"/>
          <w:szCs w:val="24"/>
        </w:rPr>
        <w:lastRenderedPageBreak/>
        <w:t>en una instancia más, que iría en desmedro de la naturaleza excepcional del instrumento protector.  Así lo explicó la Colegiatura constitucional</w:t>
      </w:r>
      <w:r w:rsidRPr="00DB39AD">
        <w:rPr>
          <w:rStyle w:val="Refdenotaalpie"/>
          <w:rFonts w:ascii="Georgia" w:hAnsi="Georgia" w:cs="Arial"/>
          <w:sz w:val="24"/>
          <w:szCs w:val="24"/>
        </w:rPr>
        <w:footnoteReference w:id="3"/>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Los requisitos generales de procedibilidad, explicados en amplitud en la C-590 de 2005</w:t>
      </w:r>
      <w:r w:rsidRPr="00DB39AD">
        <w:rPr>
          <w:rStyle w:val="Refdenotaalpie"/>
          <w:rFonts w:ascii="Georgia" w:hAnsi="Georgia" w:cs="Arial"/>
          <w:sz w:val="24"/>
          <w:szCs w:val="24"/>
        </w:rPr>
        <w:footnoteReference w:id="4"/>
      </w:r>
      <w:r w:rsidRPr="00DB39AD">
        <w:rPr>
          <w:rFonts w:ascii="Georgia" w:hAnsi="Georgia" w:cs="Arial"/>
          <w:sz w:val="24"/>
          <w:szCs w:val="24"/>
        </w:rPr>
        <w:t xml:space="preserve"> y reiterados en la consolidada línea jurisprudencial de la CC</w:t>
      </w:r>
      <w:r w:rsidRPr="00DB39AD">
        <w:rPr>
          <w:rStyle w:val="Refdenotaalpie"/>
          <w:rFonts w:ascii="Georgia" w:hAnsi="Georgia" w:cs="Arial"/>
          <w:sz w:val="24"/>
          <w:szCs w:val="24"/>
        </w:rPr>
        <w:footnoteReference w:id="5"/>
      </w:r>
      <w:r w:rsidRPr="00DB39AD">
        <w:rPr>
          <w:rFonts w:ascii="Georgia" w:hAnsi="Georgia" w:cs="Arial"/>
          <w:sz w:val="24"/>
          <w:szCs w:val="24"/>
        </w:rPr>
        <w:t xml:space="preserve"> (2017)</w:t>
      </w:r>
      <w:r w:rsidRPr="00DB39AD">
        <w:rPr>
          <w:rStyle w:val="Refdenotaalpie"/>
          <w:rFonts w:ascii="Georgia" w:hAnsi="Georgia" w:cs="Arial"/>
          <w:sz w:val="24"/>
          <w:szCs w:val="24"/>
        </w:rPr>
        <w:t xml:space="preserve"> </w:t>
      </w:r>
      <w:r w:rsidRPr="00DB39AD">
        <w:rPr>
          <w:rStyle w:val="Refdenotaalpie"/>
          <w:rFonts w:ascii="Georgia" w:hAnsi="Georgia" w:cs="Arial"/>
          <w:sz w:val="24"/>
          <w:szCs w:val="24"/>
        </w:rPr>
        <w:footnoteReference w:id="6"/>
      </w:r>
      <w:r w:rsidRPr="00DB39AD">
        <w:rPr>
          <w:rFonts w:ascii="Georgia" w:hAnsi="Georgia" w:cs="Arial"/>
          <w:sz w:val="24"/>
          <w:szCs w:val="24"/>
        </w:rPr>
        <w:t xml:space="preserve">  son: (i)</w:t>
      </w:r>
      <w:r w:rsidRPr="00DB39AD">
        <w:rPr>
          <w:rStyle w:val="Refdenotaalpie"/>
          <w:rFonts w:ascii="Georgia" w:hAnsi="Georgia" w:cs="Arial"/>
          <w:sz w:val="24"/>
          <w:szCs w:val="24"/>
        </w:rPr>
        <w:t xml:space="preserve"> </w:t>
      </w:r>
      <w:r w:rsidRPr="00DB39AD">
        <w:rPr>
          <w:rFonts w:ascii="Georgia" w:hAnsi="Georgia" w:cs="Arial"/>
          <w:sz w:val="24"/>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Refdenotaalpie"/>
          <w:rFonts w:ascii="Georgia" w:hAnsi="Georgia"/>
          <w:sz w:val="24"/>
          <w:szCs w:val="24"/>
        </w:rPr>
        <w:footnoteReference w:id="7"/>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Pr="00DB39AD" w:rsidRDefault="00DB34BE" w:rsidP="002C3144">
      <w:pPr>
        <w:pStyle w:val="Textoindependiente"/>
        <w:spacing w:line="360" w:lineRule="auto"/>
        <w:rPr>
          <w:rFonts w:ascii="Georgia" w:hAnsi="Georgia" w:cs="Arial"/>
          <w:sz w:val="24"/>
          <w:szCs w:val="24"/>
        </w:rPr>
      </w:pPr>
      <w:r w:rsidRPr="00DB34BE">
        <w:rPr>
          <w:rFonts w:ascii="Georgia" w:hAnsi="Georgia" w:cs="Arial"/>
          <w:sz w:val="24"/>
          <w:szCs w:val="24"/>
        </w:rPr>
        <w:t>De otra parte, como requisitos o causales especiales de proce</w:t>
      </w:r>
      <w:r>
        <w:rPr>
          <w:rFonts w:ascii="Georgia" w:hAnsi="Georgia" w:cs="Arial"/>
          <w:sz w:val="24"/>
          <w:szCs w:val="24"/>
        </w:rPr>
        <w:t xml:space="preserve">dibilidad, se han definido los </w:t>
      </w:r>
      <w:r w:rsidRPr="00DB39AD">
        <w:rPr>
          <w:rFonts w:ascii="Georgia" w:hAnsi="Georgia" w:cs="Arial"/>
          <w:sz w:val="24"/>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 w:val="24"/>
          <w:szCs w:val="24"/>
        </w:rPr>
        <w:t xml:space="preserve"> </w:t>
      </w:r>
      <w:r w:rsidRPr="00DB39AD">
        <w:rPr>
          <w:rFonts w:ascii="Georgia" w:hAnsi="Georgia" w:cs="Arial"/>
          <w:sz w:val="24"/>
          <w:szCs w:val="24"/>
        </w:rPr>
        <w:t xml:space="preserve">recuento </w:t>
      </w:r>
      <w:r>
        <w:rPr>
          <w:rFonts w:ascii="Georgia" w:hAnsi="Georgia" w:cs="Arial"/>
          <w:sz w:val="24"/>
          <w:szCs w:val="24"/>
        </w:rPr>
        <w:t xml:space="preserve"> </w:t>
      </w:r>
      <w:r w:rsidRPr="00DB39AD">
        <w:rPr>
          <w:rFonts w:ascii="Georgia" w:hAnsi="Georgia" w:cs="Arial"/>
          <w:sz w:val="24"/>
          <w:szCs w:val="24"/>
        </w:rPr>
        <w:t xml:space="preserve"> puede</w:t>
      </w:r>
      <w:r>
        <w:rPr>
          <w:rFonts w:ascii="Georgia" w:hAnsi="Georgia" w:cs="Arial"/>
          <w:sz w:val="24"/>
          <w:szCs w:val="24"/>
        </w:rPr>
        <w:t xml:space="preserve"> </w:t>
      </w:r>
      <w:r w:rsidRPr="00DB39AD">
        <w:rPr>
          <w:rFonts w:ascii="Georgia" w:hAnsi="Georgia" w:cs="Arial"/>
          <w:sz w:val="24"/>
          <w:szCs w:val="24"/>
        </w:rPr>
        <w:t xml:space="preserve">  leerse </w:t>
      </w:r>
      <w:r>
        <w:rPr>
          <w:rFonts w:ascii="Georgia" w:hAnsi="Georgia" w:cs="Arial"/>
          <w:sz w:val="24"/>
          <w:szCs w:val="24"/>
        </w:rPr>
        <w:t xml:space="preserve"> </w:t>
      </w:r>
      <w:r w:rsidRPr="00DB39AD">
        <w:rPr>
          <w:rFonts w:ascii="Georgia" w:hAnsi="Georgia" w:cs="Arial"/>
          <w:sz w:val="24"/>
          <w:szCs w:val="24"/>
        </w:rPr>
        <w:t xml:space="preserve"> en </w:t>
      </w:r>
      <w:r>
        <w:rPr>
          <w:rFonts w:ascii="Georgia" w:hAnsi="Georgia" w:cs="Arial"/>
          <w:sz w:val="24"/>
          <w:szCs w:val="24"/>
        </w:rPr>
        <w:t xml:space="preserve"> </w:t>
      </w:r>
      <w:r w:rsidRPr="00DB39AD">
        <w:rPr>
          <w:rFonts w:ascii="Georgia" w:hAnsi="Georgia" w:cs="Arial"/>
          <w:sz w:val="24"/>
          <w:szCs w:val="24"/>
        </w:rPr>
        <w:t xml:space="preserve"> la </w:t>
      </w:r>
      <w:r>
        <w:rPr>
          <w:rFonts w:ascii="Georgia" w:hAnsi="Georgia" w:cs="Arial"/>
          <w:sz w:val="24"/>
          <w:szCs w:val="24"/>
        </w:rPr>
        <w:t xml:space="preserve"> </w:t>
      </w:r>
      <w:r w:rsidRPr="00DB39AD">
        <w:rPr>
          <w:rFonts w:ascii="Georgia" w:hAnsi="Georgia" w:cs="Arial"/>
          <w:sz w:val="24"/>
          <w:szCs w:val="24"/>
        </w:rPr>
        <w:t xml:space="preserve"> obra </w:t>
      </w:r>
      <w:r>
        <w:rPr>
          <w:rFonts w:ascii="Georgia" w:hAnsi="Georgia" w:cs="Arial"/>
          <w:sz w:val="24"/>
          <w:szCs w:val="24"/>
        </w:rPr>
        <w:t xml:space="preserve"> </w:t>
      </w:r>
      <w:r w:rsidRPr="00DB39AD">
        <w:rPr>
          <w:rFonts w:ascii="Georgia" w:hAnsi="Georgia" w:cs="Arial"/>
          <w:sz w:val="24"/>
          <w:szCs w:val="24"/>
        </w:rPr>
        <w:t>de</w:t>
      </w:r>
      <w:r>
        <w:rPr>
          <w:rFonts w:ascii="Georgia" w:hAnsi="Georgia" w:cs="Arial"/>
          <w:sz w:val="24"/>
          <w:szCs w:val="24"/>
        </w:rPr>
        <w:t xml:space="preserve"> </w:t>
      </w:r>
      <w:r w:rsidRPr="00DB39AD">
        <w:rPr>
          <w:rFonts w:ascii="Georgia" w:hAnsi="Georgia" w:cs="Arial"/>
          <w:sz w:val="24"/>
          <w:szCs w:val="24"/>
        </w:rPr>
        <w:t xml:space="preserve"> los</w:t>
      </w:r>
      <w:r>
        <w:rPr>
          <w:rFonts w:ascii="Georgia" w:hAnsi="Georgia" w:cs="Arial"/>
          <w:sz w:val="24"/>
          <w:szCs w:val="24"/>
        </w:rPr>
        <w:t xml:space="preserve"> </w:t>
      </w:r>
      <w:r w:rsidRPr="00DB39AD">
        <w:rPr>
          <w:rFonts w:ascii="Georgia" w:hAnsi="Georgia" w:cs="Arial"/>
          <w:sz w:val="24"/>
          <w:szCs w:val="24"/>
        </w:rPr>
        <w:t xml:space="preserve"> doctores</w:t>
      </w:r>
      <w:r>
        <w:rPr>
          <w:rFonts w:ascii="Georgia" w:hAnsi="Georgia" w:cs="Arial"/>
          <w:sz w:val="24"/>
          <w:szCs w:val="24"/>
        </w:rPr>
        <w:t xml:space="preserve"> </w:t>
      </w:r>
      <w:r w:rsidRPr="00DB39AD">
        <w:rPr>
          <w:rFonts w:ascii="Georgia" w:hAnsi="Georgia" w:cs="Arial"/>
          <w:sz w:val="24"/>
          <w:szCs w:val="24"/>
        </w:rPr>
        <w:t xml:space="preserve"> Catalina </w:t>
      </w:r>
      <w:r>
        <w:rPr>
          <w:rFonts w:ascii="Georgia" w:hAnsi="Georgia" w:cs="Arial"/>
          <w:sz w:val="24"/>
          <w:szCs w:val="24"/>
        </w:rPr>
        <w:t xml:space="preserve"> </w:t>
      </w:r>
      <w:r w:rsidRPr="00DB39AD">
        <w:rPr>
          <w:rFonts w:ascii="Georgia" w:hAnsi="Georgia" w:cs="Arial"/>
          <w:sz w:val="24"/>
          <w:szCs w:val="24"/>
        </w:rPr>
        <w:t xml:space="preserve">Botero </w:t>
      </w:r>
      <w:r>
        <w:rPr>
          <w:rFonts w:ascii="Georgia" w:hAnsi="Georgia" w:cs="Arial"/>
          <w:sz w:val="24"/>
          <w:szCs w:val="24"/>
        </w:rPr>
        <w:t xml:space="preserve"> </w:t>
      </w:r>
      <w:r w:rsidRPr="00DB39AD">
        <w:rPr>
          <w:rFonts w:ascii="Georgia" w:hAnsi="Georgia" w:cs="Arial"/>
          <w:sz w:val="24"/>
          <w:szCs w:val="24"/>
        </w:rPr>
        <w:t>M.</w:t>
      </w:r>
      <w:r w:rsidRPr="00DB39AD">
        <w:rPr>
          <w:rFonts w:ascii="Georgia" w:hAnsi="Georgia" w:cs="Arial"/>
          <w:sz w:val="24"/>
          <w:szCs w:val="24"/>
          <w:vertAlign w:val="superscript"/>
        </w:rPr>
        <w:footnoteReference w:id="8"/>
      </w:r>
      <w:r w:rsidRPr="00DB39AD">
        <w:rPr>
          <w:rFonts w:ascii="Georgia" w:hAnsi="Georgia" w:cs="Arial"/>
          <w:sz w:val="24"/>
          <w:szCs w:val="24"/>
        </w:rPr>
        <w:t xml:space="preserve"> y Quinche R.</w:t>
      </w:r>
      <w:r w:rsidRPr="00DB39AD">
        <w:rPr>
          <w:rStyle w:val="Refdenotaalpie"/>
          <w:rFonts w:ascii="Georgia" w:hAnsi="Georgia" w:cs="Arial"/>
          <w:sz w:val="24"/>
          <w:szCs w:val="24"/>
        </w:rPr>
        <w:footnoteReference w:id="9"/>
      </w:r>
      <w:r w:rsidRPr="00DB39AD">
        <w:rPr>
          <w:rFonts w:ascii="Georgia" w:hAnsi="Georgia" w:cs="Arial"/>
          <w:sz w:val="24"/>
          <w:szCs w:val="24"/>
        </w:rPr>
        <w:t>.</w:t>
      </w:r>
    </w:p>
    <w:p w:rsidR="00FA15F8" w:rsidRDefault="00FA15F8" w:rsidP="00FA15F8">
      <w:pPr>
        <w:pStyle w:val="Textoindependiente"/>
        <w:spacing w:line="360" w:lineRule="auto"/>
        <w:ind w:left="720"/>
        <w:rPr>
          <w:rFonts w:ascii="Georgia" w:hAnsi="Georgia" w:cs="Arial"/>
          <w:smallCaps/>
          <w:sz w:val="24"/>
          <w:szCs w:val="24"/>
        </w:rPr>
      </w:pPr>
    </w:p>
    <w:p w:rsidR="00FA15F8" w:rsidRPr="00FA15F8" w:rsidRDefault="00FA15F8" w:rsidP="00FA15F8">
      <w:pPr>
        <w:pStyle w:val="Textoindependiente"/>
        <w:numPr>
          <w:ilvl w:val="1"/>
          <w:numId w:val="41"/>
        </w:numPr>
        <w:shd w:val="clear" w:color="auto" w:fill="FFFFFF" w:themeFill="background1"/>
        <w:spacing w:line="360" w:lineRule="auto"/>
        <w:rPr>
          <w:rFonts w:ascii="Georgia" w:hAnsi="Georgia" w:cs="Arial"/>
          <w:sz w:val="24"/>
          <w:szCs w:val="24"/>
        </w:rPr>
      </w:pPr>
      <w:r w:rsidRPr="00FA15F8">
        <w:rPr>
          <w:rFonts w:ascii="Georgia" w:hAnsi="Georgia"/>
          <w:smallCaps/>
          <w:sz w:val="24"/>
        </w:rPr>
        <w:t>El defecto sustantivo o material</w:t>
      </w:r>
    </w:p>
    <w:p w:rsidR="00FA15F8" w:rsidRPr="001E5B6B" w:rsidRDefault="00FA15F8" w:rsidP="00FA15F8">
      <w:pPr>
        <w:spacing w:line="360" w:lineRule="auto"/>
        <w:ind w:right="22"/>
        <w:jc w:val="both"/>
        <w:rPr>
          <w:rFonts w:ascii="Georgia" w:hAnsi="Georgia" w:cs="Arial"/>
          <w:sz w:val="20"/>
          <w:szCs w:val="22"/>
          <w:lang w:val="es-ES_tradnl"/>
        </w:rPr>
      </w:pPr>
    </w:p>
    <w:p w:rsidR="00FA15F8" w:rsidRPr="001E5B6B" w:rsidRDefault="00FA15F8" w:rsidP="00FA15F8">
      <w:pPr>
        <w:spacing w:line="360" w:lineRule="auto"/>
        <w:ind w:right="22"/>
        <w:jc w:val="both"/>
        <w:rPr>
          <w:rFonts w:ascii="Georgia" w:hAnsi="Georgia" w:cs="Arial"/>
          <w:szCs w:val="22"/>
          <w:lang w:val="es-ES_tradnl"/>
        </w:rPr>
      </w:pPr>
      <w:r w:rsidRPr="001E5B6B">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1E5B6B">
        <w:rPr>
          <w:rStyle w:val="Refdenotaalpie"/>
          <w:rFonts w:ascii="Georgia" w:hAnsi="Georgia"/>
          <w:szCs w:val="22"/>
          <w:lang w:val="es-ES_tradnl"/>
        </w:rPr>
        <w:footnoteReference w:id="10"/>
      </w:r>
      <w:r w:rsidRPr="001E5B6B">
        <w:rPr>
          <w:rFonts w:ascii="Georgia" w:hAnsi="Georgia" w:cs="Arial"/>
          <w:szCs w:val="22"/>
          <w:lang w:val="es-ES_tradnl"/>
        </w:rPr>
        <w:t>, luego en otra decisión</w:t>
      </w:r>
      <w:r w:rsidRPr="001E5B6B">
        <w:rPr>
          <w:rStyle w:val="Refdenotaalpie"/>
          <w:rFonts w:ascii="Georgia" w:hAnsi="Georgia"/>
          <w:szCs w:val="22"/>
          <w:lang w:val="es-ES_tradnl"/>
        </w:rPr>
        <w:footnoteReference w:id="11"/>
      </w:r>
      <w:r w:rsidRPr="001E5B6B">
        <w:rPr>
          <w:rFonts w:ascii="Georgia" w:hAnsi="Georgia" w:cs="Arial"/>
          <w:szCs w:val="22"/>
          <w:lang w:val="es-ES_tradnl"/>
        </w:rPr>
        <w:t xml:space="preserve"> añadió que surge cuando quiera que </w:t>
      </w:r>
      <w:r w:rsidRPr="001E5B6B">
        <w:rPr>
          <w:rFonts w:ascii="Georgia" w:hAnsi="Georgia" w:cs="Arial"/>
        </w:rPr>
        <w:t>la autoridad judicial desatiende reglas legales o infralegales, que son aplicables para un determinado caso</w:t>
      </w:r>
      <w:r w:rsidRPr="001E5B6B">
        <w:rPr>
          <w:rFonts w:ascii="Georgia" w:hAnsi="Georgia" w:cs="Arial"/>
          <w:szCs w:val="22"/>
          <w:lang w:val="es-ES_tradnl"/>
        </w:rPr>
        <w:t>.  En desarrollo de esta teoría, se ha ido ampliando esa noción, para prodigar protección en varios eventos</w:t>
      </w:r>
      <w:r w:rsidRPr="001E5B6B">
        <w:rPr>
          <w:rStyle w:val="Refdenotaalpie"/>
          <w:rFonts w:ascii="Georgia" w:hAnsi="Georgia"/>
          <w:szCs w:val="22"/>
          <w:lang w:val="es-ES_tradnl"/>
        </w:rPr>
        <w:footnoteReference w:id="12"/>
      </w:r>
      <w:r w:rsidRPr="001E5B6B">
        <w:rPr>
          <w:rFonts w:ascii="Georgia" w:hAnsi="Georgia" w:cs="Arial"/>
          <w:szCs w:val="22"/>
          <w:lang w:val="es-ES_tradnl"/>
        </w:rPr>
        <w:t>, al efecto tiene precisadas distintas variables:</w:t>
      </w:r>
    </w:p>
    <w:p w:rsidR="00FA15F8" w:rsidRPr="001E5B6B" w:rsidRDefault="00FA15F8" w:rsidP="00FA15F8">
      <w:pPr>
        <w:ind w:left="567" w:right="567"/>
        <w:jc w:val="both"/>
        <w:rPr>
          <w:rFonts w:ascii="Georgia" w:hAnsi="Georgia" w:cs="Arial"/>
        </w:rPr>
      </w:pPr>
    </w:p>
    <w:p w:rsidR="00FA15F8" w:rsidRPr="001E5B6B" w:rsidRDefault="00FA15F8" w:rsidP="00FA15F8">
      <w:pPr>
        <w:ind w:left="567" w:right="567"/>
        <w:jc w:val="both"/>
        <w:rPr>
          <w:rFonts w:ascii="Georgia" w:hAnsi="Georgia" w:cs="Arial"/>
          <w:iCs/>
          <w:vanish/>
          <w:specVanish/>
        </w:rPr>
      </w:pPr>
      <w:r w:rsidRPr="001E5B6B">
        <w:rPr>
          <w:rFonts w:ascii="Georgia" w:hAnsi="Georgia" w:cs="Arial"/>
        </w:rPr>
        <w:t>… una providencia judicial adolece de un defecto sustantivo (i) cuando la norma aplicable al caso es claramente inadvertida o no tenida en cuenta por el fallador</w:t>
      </w:r>
      <w:r w:rsidRPr="001E5B6B">
        <w:rPr>
          <w:rFonts w:ascii="Georgia" w:hAnsi="Georgia" w:cs="Arial"/>
          <w:vertAlign w:val="superscript"/>
        </w:rPr>
        <w:footnoteReference w:id="13"/>
      </w:r>
      <w:r w:rsidRPr="001E5B6B">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1E5B6B">
        <w:rPr>
          <w:rFonts w:ascii="Georgia" w:hAnsi="Georgia" w:cs="Arial"/>
          <w:vertAlign w:val="superscript"/>
        </w:rPr>
        <w:footnoteReference w:id="14"/>
      </w:r>
      <w:r w:rsidRPr="001E5B6B">
        <w:rPr>
          <w:rFonts w:ascii="Georgia" w:hAnsi="Georgia" w:cs="Arial"/>
        </w:rPr>
        <w:t xml:space="preserve"> </w:t>
      </w:r>
      <w:r w:rsidRPr="001E5B6B">
        <w:rPr>
          <w:rFonts w:ascii="Georgia" w:hAnsi="Georgia" w:cs="Arial"/>
        </w:rPr>
        <w:lastRenderedPageBreak/>
        <w:t xml:space="preserve">(interpretación </w:t>
      </w:r>
      <w:r w:rsidRPr="001E5B6B">
        <w:rPr>
          <w:rFonts w:ascii="Georgia" w:hAnsi="Georgia" w:cs="Arial"/>
          <w:iCs/>
        </w:rPr>
        <w:t xml:space="preserve">contra </w:t>
      </w:r>
      <w:r w:rsidRPr="001E5B6B">
        <w:rPr>
          <w:rFonts w:ascii="Georgia" w:hAnsi="Georgia" w:cs="Arial"/>
          <w:i/>
          <w:iCs/>
        </w:rPr>
        <w:t>legem</w:t>
      </w:r>
      <w:r w:rsidRPr="001E5B6B">
        <w:rPr>
          <w:rFonts w:ascii="Georgia" w:hAnsi="Georgia" w:cs="Arial"/>
        </w:rPr>
        <w:t>) o claramente perjudicial para los intereses legítimos de una de las partes</w:t>
      </w:r>
      <w:r w:rsidRPr="001E5B6B">
        <w:rPr>
          <w:rFonts w:ascii="Georgia" w:hAnsi="Georgia" w:cs="Arial"/>
          <w:vertAlign w:val="superscript"/>
        </w:rPr>
        <w:footnoteReference w:id="15"/>
      </w:r>
      <w:r w:rsidRPr="001E5B6B">
        <w:rPr>
          <w:rFonts w:ascii="Georgia" w:hAnsi="Georgia" w:cs="Arial"/>
        </w:rPr>
        <w:t xml:space="preserve"> (irrazonable o desproporcionada), y finalmente (iii) cuando el fallador desconoce las sentencias con efectos </w:t>
      </w:r>
      <w:r w:rsidRPr="001E5B6B">
        <w:rPr>
          <w:rFonts w:ascii="Georgia" w:hAnsi="Georgia" w:cs="Arial"/>
          <w:iCs/>
        </w:rPr>
        <w:t xml:space="preserve">erga omnes </w:t>
      </w:r>
      <w:r w:rsidRPr="001E5B6B">
        <w:rPr>
          <w:rFonts w:ascii="Georgia" w:hAnsi="Georgia" w:cs="Arial"/>
        </w:rPr>
        <w:t>tanto de la jurisdicción constitucional como de la jurisdicción de lo contencioso administrativo, cuyos precedentes se ubican en el mismo rango de la norma sobre la que pesa la cosa juzgada respectiva</w:t>
      </w:r>
    </w:p>
    <w:p w:rsidR="00FA15F8" w:rsidRPr="001E5B6B" w:rsidRDefault="00FA15F8" w:rsidP="00FA15F8">
      <w:pPr>
        <w:ind w:left="567" w:right="567"/>
        <w:jc w:val="both"/>
        <w:rPr>
          <w:rFonts w:ascii="Georgia" w:hAnsi="Georgia" w:cs="Arial"/>
        </w:rPr>
      </w:pPr>
      <w:r w:rsidRPr="001E5B6B">
        <w:rPr>
          <w:rStyle w:val="Refdenotaalpie"/>
          <w:rFonts w:ascii="Georgia" w:hAnsi="Georgia"/>
          <w:iCs/>
        </w:rPr>
        <w:footnoteReference w:id="16"/>
      </w:r>
      <w:r w:rsidRPr="001E5B6B">
        <w:rPr>
          <w:rFonts w:ascii="Georgia" w:hAnsi="Georgia" w:cs="Arial"/>
          <w:iCs/>
        </w:rPr>
        <w:t>.</w:t>
      </w:r>
    </w:p>
    <w:p w:rsidR="00FA15F8" w:rsidRPr="00FA15F8" w:rsidRDefault="00FA15F8" w:rsidP="00FA15F8">
      <w:pPr>
        <w:pStyle w:val="Textoindependiente"/>
        <w:spacing w:line="360" w:lineRule="auto"/>
        <w:rPr>
          <w:rFonts w:ascii="Georgia" w:hAnsi="Georgia" w:cs="Arial"/>
          <w:sz w:val="24"/>
        </w:rPr>
      </w:pPr>
    </w:p>
    <w:p w:rsidR="00FA15F8" w:rsidRPr="00FA15F8" w:rsidRDefault="00FA15F8" w:rsidP="00FA15F8">
      <w:pPr>
        <w:pStyle w:val="Textoindependiente"/>
        <w:spacing w:line="360" w:lineRule="auto"/>
        <w:rPr>
          <w:rFonts w:ascii="Georgia" w:hAnsi="Georgia" w:cs="Arial"/>
          <w:sz w:val="24"/>
        </w:rPr>
      </w:pPr>
      <w:r w:rsidRPr="00FA15F8">
        <w:rPr>
          <w:rFonts w:ascii="Georgia" w:hAnsi="Georgia" w:cs="Arial"/>
          <w:sz w:val="24"/>
        </w:rPr>
        <w:t>Así mismo el alto Tribunal Constitucional</w:t>
      </w:r>
      <w:r w:rsidRPr="00FA15F8">
        <w:rPr>
          <w:rStyle w:val="Refdenotaalpie"/>
          <w:rFonts w:ascii="Georgia" w:hAnsi="Georgia"/>
          <w:sz w:val="24"/>
        </w:rPr>
        <w:footnoteReference w:id="17"/>
      </w:r>
      <w:r w:rsidRPr="00FA15F8">
        <w:rPr>
          <w:rFonts w:ascii="Georgia" w:hAnsi="Georgia" w:cs="Arial"/>
          <w:sz w:val="24"/>
        </w:rPr>
        <w:t xml:space="preserve">, señaló: </w:t>
      </w:r>
    </w:p>
    <w:p w:rsidR="00FA15F8" w:rsidRPr="00FA15F8" w:rsidRDefault="00FA15F8" w:rsidP="00FA15F8">
      <w:pPr>
        <w:ind w:left="567" w:right="567"/>
        <w:jc w:val="both"/>
        <w:rPr>
          <w:rFonts w:ascii="Georgia" w:hAnsi="Georgia" w:cs="Arial"/>
          <w:sz w:val="22"/>
        </w:rPr>
      </w:pPr>
    </w:p>
    <w:p w:rsidR="00FA15F8" w:rsidRPr="001E5B6B" w:rsidRDefault="00FA15F8" w:rsidP="00FA15F8">
      <w:pPr>
        <w:ind w:left="567" w:right="567"/>
        <w:jc w:val="both"/>
        <w:rPr>
          <w:rFonts w:ascii="Georgia" w:hAnsi="Georgia" w:cs="Arial"/>
        </w:rPr>
      </w:pPr>
      <w:r w:rsidRPr="001E5B6B">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5B6B">
        <w:rPr>
          <w:rFonts w:ascii="Georgia" w:hAnsi="Georgia" w:cs="Arial"/>
          <w:u w:val="single"/>
        </w:rPr>
        <w:t xml:space="preserve">o </w:t>
      </w:r>
      <w:r w:rsidRPr="001E5B6B">
        <w:rPr>
          <w:rFonts w:ascii="Georgia" w:hAnsi="Georgia" w:cs="Arial"/>
          <w:i/>
          <w:u w:val="single"/>
        </w:rPr>
        <w:t>interprete en forma contraevidente, irrazonable o desproporcionada la norma aplicable</w:t>
      </w:r>
      <w:r w:rsidRPr="001E5B6B">
        <w:rPr>
          <w:rFonts w:ascii="Georgia" w:hAnsi="Georgia" w:cs="Arial"/>
          <w:i/>
        </w:rPr>
        <w:t>.</w:t>
      </w:r>
      <w:r w:rsidRPr="001E5B6B">
        <w:rPr>
          <w:rFonts w:ascii="Georgia" w:hAnsi="Georgia" w:cs="Arial"/>
        </w:rPr>
        <w:t xml:space="preserve">  </w:t>
      </w:r>
    </w:p>
    <w:p w:rsidR="00FA15F8" w:rsidRPr="00FA15F8" w:rsidRDefault="00FA15F8" w:rsidP="00FA15F8">
      <w:pPr>
        <w:pStyle w:val="Textoindependiente"/>
        <w:spacing w:line="240" w:lineRule="auto"/>
        <w:rPr>
          <w:rFonts w:ascii="Georgia" w:hAnsi="Georgia" w:cs="Arial"/>
          <w:sz w:val="24"/>
        </w:rPr>
      </w:pPr>
    </w:p>
    <w:p w:rsidR="00FA15F8" w:rsidRPr="00FA15F8" w:rsidRDefault="00FA15F8" w:rsidP="00FA15F8">
      <w:pPr>
        <w:pStyle w:val="Textoindependiente"/>
        <w:spacing w:line="240" w:lineRule="auto"/>
        <w:ind w:left="567" w:right="567"/>
        <w:rPr>
          <w:rFonts w:ascii="Georgia" w:hAnsi="Georgia" w:cs="Arial"/>
          <w:spacing w:val="0"/>
          <w:sz w:val="24"/>
          <w:szCs w:val="24"/>
          <w:lang w:val="es-ES"/>
        </w:rPr>
      </w:pPr>
      <w:r w:rsidRPr="00FA15F8">
        <w:rPr>
          <w:rFonts w:ascii="Georgia" w:hAnsi="Georgia" w:cs="Arial"/>
          <w:spacing w:val="0"/>
          <w:sz w:val="24"/>
          <w:szCs w:val="24"/>
          <w:lang w:val="es-ES"/>
        </w:rPr>
        <w:t>Así las cosas, constituye un defecto material o sustantivo la decisión judicial que se funda en una interpretación indebida de una disposición legal.  (Sublínea fuera de texto).</w:t>
      </w:r>
    </w:p>
    <w:p w:rsidR="00FA15F8" w:rsidRPr="001E5B6B" w:rsidRDefault="00FA15F8" w:rsidP="00FA15F8">
      <w:pPr>
        <w:spacing w:line="360" w:lineRule="auto"/>
        <w:jc w:val="both"/>
        <w:rPr>
          <w:rFonts w:ascii="Georgia" w:hAnsi="Georgia" w:cs="Arial"/>
          <w:sz w:val="28"/>
          <w:lang w:val="es-ES_tradnl"/>
        </w:rPr>
      </w:pPr>
    </w:p>
    <w:p w:rsidR="00061949" w:rsidRDefault="00FA15F8" w:rsidP="00FA15F8">
      <w:pPr>
        <w:spacing w:line="360" w:lineRule="auto"/>
        <w:jc w:val="both"/>
        <w:rPr>
          <w:rFonts w:ascii="Georgia" w:hAnsi="Georgia" w:cs="Arial"/>
          <w:lang w:val="es-ES_tradnl"/>
        </w:rPr>
      </w:pPr>
      <w:r w:rsidRPr="001E5B6B">
        <w:rPr>
          <w:rFonts w:ascii="Georgia" w:hAnsi="Georgia" w:cs="Arial"/>
          <w:lang w:val="es-ES_tradnl"/>
        </w:rPr>
        <w:t>Criterio reiterado en varias y recientes decisiones</w:t>
      </w:r>
      <w:r w:rsidRPr="001E5B6B">
        <w:rPr>
          <w:rStyle w:val="Refdenotaalpie"/>
          <w:rFonts w:ascii="Georgia" w:hAnsi="Georgia"/>
          <w:lang w:val="es-ES_tradnl"/>
        </w:rPr>
        <w:footnoteReference w:id="18"/>
      </w:r>
      <w:r w:rsidRPr="001E5B6B">
        <w:rPr>
          <w:rFonts w:ascii="Georgia" w:hAnsi="Georgia" w:cs="Arial"/>
          <w:lang w:val="es-ES_tradnl"/>
        </w:rPr>
        <w:t>, según el análisis de la línea decisional sobre el tema.</w:t>
      </w:r>
    </w:p>
    <w:p w:rsidR="00061949" w:rsidRDefault="00061949" w:rsidP="00FA15F8">
      <w:pPr>
        <w:spacing w:line="360" w:lineRule="auto"/>
        <w:jc w:val="both"/>
        <w:rPr>
          <w:rFonts w:ascii="Georgia" w:hAnsi="Georgia" w:cs="Arial"/>
          <w:lang w:val="es-ES_tradnl"/>
        </w:rPr>
      </w:pPr>
    </w:p>
    <w:p w:rsidR="00D80CC1" w:rsidRPr="00D80CC1" w:rsidRDefault="00D80CC1" w:rsidP="00061949">
      <w:pPr>
        <w:pStyle w:val="Prrafodelista"/>
        <w:numPr>
          <w:ilvl w:val="1"/>
          <w:numId w:val="41"/>
        </w:numPr>
        <w:spacing w:after="0" w:line="360" w:lineRule="auto"/>
        <w:ind w:right="51"/>
        <w:jc w:val="both"/>
        <w:rPr>
          <w:rFonts w:ascii="Georgia" w:hAnsi="Georgia"/>
          <w:smallCaps/>
          <w:lang w:val="es-ES_tradnl"/>
        </w:rPr>
      </w:pPr>
      <w:r w:rsidRPr="00D80CC1">
        <w:rPr>
          <w:rFonts w:ascii="Georgia" w:hAnsi="Georgia" w:cs="Arial"/>
          <w:smallCaps/>
        </w:rPr>
        <w:t>La decisión sin motivación</w:t>
      </w:r>
    </w:p>
    <w:p w:rsidR="00D80CC1" w:rsidRPr="00061949" w:rsidRDefault="00D80CC1" w:rsidP="00061949">
      <w:pPr>
        <w:pStyle w:val="Textoindependiente"/>
        <w:spacing w:line="360" w:lineRule="auto"/>
        <w:rPr>
          <w:rFonts w:ascii="Georgia" w:hAnsi="Georgia" w:cs="Arial"/>
          <w:sz w:val="24"/>
          <w:szCs w:val="24"/>
        </w:rPr>
      </w:pPr>
    </w:p>
    <w:p w:rsidR="00D80CC1" w:rsidRPr="006870B9" w:rsidRDefault="00D80CC1" w:rsidP="00061949">
      <w:pPr>
        <w:pStyle w:val="Textoindependiente"/>
        <w:spacing w:line="360" w:lineRule="auto"/>
        <w:rPr>
          <w:rFonts w:ascii="Georgia" w:hAnsi="Georgia" w:cs="Arial"/>
          <w:sz w:val="24"/>
          <w:szCs w:val="24"/>
        </w:rPr>
      </w:pPr>
      <w:r w:rsidRPr="006870B9">
        <w:rPr>
          <w:rFonts w:ascii="Georgia" w:hAnsi="Georgia" w:cs="Arial"/>
          <w:sz w:val="24"/>
          <w:szCs w:val="24"/>
        </w:rPr>
        <w:t>Se presenta este defecto cuando el juez falta al deber de dar consistencia argumental, con ideas que presenten una secuencia lógica y articulen deducciones legítimas del caso puesto a su consideración, en un texto que de forma alguna permita evidenciar que se trata de la reproducción de un modelo preestablecido. La CC</w:t>
      </w:r>
      <w:r w:rsidRPr="006870B9">
        <w:rPr>
          <w:rStyle w:val="Refdenotaalpie"/>
          <w:rFonts w:ascii="Georgia" w:hAnsi="Georgia"/>
          <w:sz w:val="24"/>
          <w:szCs w:val="24"/>
        </w:rPr>
        <w:footnoteReference w:id="19"/>
      </w:r>
      <w:r w:rsidRPr="006870B9">
        <w:rPr>
          <w:rFonts w:ascii="Georgia" w:hAnsi="Georgia" w:cs="Arial"/>
          <w:sz w:val="24"/>
          <w:szCs w:val="24"/>
        </w:rPr>
        <w:t xml:space="preserve"> sobre esta causal ha señalado: </w:t>
      </w:r>
    </w:p>
    <w:p w:rsidR="00D80CC1" w:rsidRPr="006870B9" w:rsidRDefault="00D80CC1" w:rsidP="00D80CC1">
      <w:pPr>
        <w:pStyle w:val="Textoindependiente"/>
        <w:spacing w:line="240" w:lineRule="auto"/>
        <w:ind w:left="567" w:right="567"/>
        <w:rPr>
          <w:rFonts w:ascii="Georgia" w:hAnsi="Georgia" w:cs="Arial"/>
          <w:i/>
          <w:iCs/>
          <w:color w:val="000000"/>
          <w:spacing w:val="0"/>
          <w:sz w:val="24"/>
          <w:szCs w:val="24"/>
          <w:bdr w:val="none" w:sz="0" w:space="0" w:color="auto" w:frame="1"/>
          <w:lang w:val="es-ES"/>
        </w:rPr>
      </w:pPr>
    </w:p>
    <w:p w:rsidR="00D80CC1" w:rsidRPr="006870B9" w:rsidRDefault="00D80CC1" w:rsidP="00D80CC1">
      <w:pPr>
        <w:ind w:left="567" w:right="567"/>
        <w:jc w:val="both"/>
        <w:rPr>
          <w:rFonts w:ascii="Georgia" w:hAnsi="Georgia" w:cs="Arial"/>
          <w:lang w:val="es-ES_tradnl"/>
        </w:rPr>
      </w:pPr>
      <w:r w:rsidRPr="006870B9">
        <w:rPr>
          <w:rFonts w:ascii="Georgia" w:hAnsi="Georgia" w:cs="Arial"/>
          <w:lang w:val="es-ES_tradnl"/>
        </w:rPr>
        <w:t xml:space="preserve">La motivación de los fallos judiciales es un deber de los jueces y un derecho fundamental de los ciudadanos, como posición jurídica concreta derivada del debido proceso. Desde el punto de vista del operador judicial, la motivación consiste en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w:t>
      </w:r>
      <w:r w:rsidRPr="006870B9">
        <w:rPr>
          <w:rFonts w:ascii="Georgia" w:hAnsi="Georgia" w:cs="Arial"/>
          <w:i/>
          <w:iCs/>
          <w:lang w:val="es-ES_tradnl"/>
        </w:rPr>
        <w:t xml:space="preserve">subsumir </w:t>
      </w:r>
      <w:r w:rsidRPr="006870B9">
        <w:rPr>
          <w:rFonts w:ascii="Georgia" w:hAnsi="Georgia" w:cs="Arial"/>
          <w:lang w:val="es-ES_tradnl"/>
        </w:rPr>
        <w:t xml:space="preserve">el caso concreto en el supuesto de hecho de una regla jurídica aplicable al caso. (T-247/06, T-302/08, T-868/09). </w:t>
      </w:r>
    </w:p>
    <w:p w:rsidR="00D80CC1" w:rsidRPr="006870B9" w:rsidRDefault="00D80CC1" w:rsidP="00D80CC1">
      <w:pPr>
        <w:pStyle w:val="Textoindependiente"/>
        <w:spacing w:line="360" w:lineRule="auto"/>
        <w:rPr>
          <w:rFonts w:ascii="Georgia" w:hAnsi="Georgia" w:cs="Arial"/>
          <w:sz w:val="24"/>
          <w:szCs w:val="24"/>
        </w:rPr>
      </w:pPr>
    </w:p>
    <w:p w:rsidR="00D80CC1" w:rsidRPr="006870B9" w:rsidRDefault="00D80CC1" w:rsidP="00D80CC1">
      <w:pPr>
        <w:pStyle w:val="Textoindependiente"/>
        <w:spacing w:line="360" w:lineRule="auto"/>
        <w:rPr>
          <w:rFonts w:ascii="Georgia" w:hAnsi="Georgia" w:cs="Arial"/>
          <w:sz w:val="24"/>
          <w:szCs w:val="24"/>
        </w:rPr>
      </w:pPr>
      <w:r w:rsidRPr="006870B9">
        <w:rPr>
          <w:rFonts w:ascii="Georgia" w:hAnsi="Georgia" w:cs="Arial"/>
          <w:sz w:val="24"/>
          <w:szCs w:val="24"/>
        </w:rPr>
        <w:t>También dijo ese Alto Tribunal</w:t>
      </w:r>
      <w:r w:rsidRPr="006870B9">
        <w:rPr>
          <w:rStyle w:val="Refdenotaalpie"/>
          <w:rFonts w:ascii="Georgia" w:hAnsi="Georgia"/>
          <w:sz w:val="24"/>
          <w:szCs w:val="24"/>
        </w:rPr>
        <w:footnoteReference w:id="20"/>
      </w:r>
      <w:r w:rsidRPr="006870B9">
        <w:rPr>
          <w:rFonts w:ascii="Georgia" w:hAnsi="Georgia" w:cs="Arial"/>
          <w:sz w:val="24"/>
          <w:szCs w:val="24"/>
        </w:rPr>
        <w:t>, en otra de sus decisiones por vía de tutela:</w:t>
      </w:r>
    </w:p>
    <w:p w:rsidR="00D80CC1" w:rsidRPr="006870B9" w:rsidRDefault="00D80CC1" w:rsidP="00D80CC1">
      <w:pPr>
        <w:pStyle w:val="Textoindependiente"/>
        <w:spacing w:line="360" w:lineRule="auto"/>
        <w:rPr>
          <w:rFonts w:ascii="Georgia" w:hAnsi="Georgia" w:cs="Arial"/>
          <w:sz w:val="14"/>
          <w:szCs w:val="24"/>
        </w:rPr>
      </w:pPr>
    </w:p>
    <w:p w:rsidR="00D80CC1" w:rsidRPr="006870B9" w:rsidRDefault="00D80CC1" w:rsidP="00D80CC1">
      <w:pPr>
        <w:pStyle w:val="Textoindependiente"/>
        <w:spacing w:line="240" w:lineRule="auto"/>
        <w:ind w:left="567" w:right="567"/>
        <w:rPr>
          <w:rFonts w:ascii="Georgia" w:hAnsi="Georgia" w:cs="Arial"/>
          <w:sz w:val="24"/>
          <w:szCs w:val="24"/>
        </w:rPr>
      </w:pPr>
      <w:r w:rsidRPr="006870B9">
        <w:rPr>
          <w:rFonts w:ascii="Georgia" w:hAnsi="Georgia" w:cs="Arial"/>
          <w:iCs/>
          <w:color w:val="000000"/>
          <w:spacing w:val="0"/>
          <w:sz w:val="24"/>
          <w:szCs w:val="24"/>
          <w:bdr w:val="none" w:sz="0" w:space="0" w:color="auto" w:frame="1"/>
          <w:lang w:val="es-ES"/>
        </w:rPr>
        <w:t xml:space="preserve">… implica el incumplimiento de los servidores judiciales del deber de dar cuenta de los fundamentos fácticos y jurídicos de sus decisiones, pues precisamente en esa motivación reposa la legitimidad de su órbita </w:t>
      </w:r>
      <w:r w:rsidRPr="006870B9">
        <w:rPr>
          <w:rFonts w:ascii="Georgia" w:hAnsi="Georgia" w:cs="Arial"/>
          <w:iCs/>
          <w:color w:val="000000"/>
          <w:spacing w:val="0"/>
          <w:sz w:val="24"/>
          <w:szCs w:val="24"/>
          <w:bdr w:val="none" w:sz="0" w:space="0" w:color="auto" w:frame="1"/>
          <w:lang w:val="es-ES"/>
        </w:rPr>
        <w:lastRenderedPageBreak/>
        <w:t>funcional.  Este tipo de falencia se distingue del defecto fáctico, en cuanto no se estructura a partir de la disconformidad entre la motivación de la sentencia y su parte resolutiva, sino en la ausencia de razonamientos que sustenten lo decidido. Es evidente que una exigencia de racionalidad mínima de toda actuación judicial es que exprese los argumentos que hacen inferir la decisión correspondiente. Cuando este ineludible presupuesto no puede verificarse, la sentencia contradice aspectos que hacen parte del núcleo esencial del derecho fundamental al debido proceso</w:t>
      </w:r>
      <w:bookmarkStart w:id="1" w:name="_ftnref10"/>
      <w:r w:rsidRPr="006870B9">
        <w:rPr>
          <w:rStyle w:val="Refdenotaalpie"/>
          <w:rFonts w:ascii="Georgia" w:hAnsi="Georgia"/>
          <w:iCs/>
          <w:color w:val="000000"/>
          <w:spacing w:val="0"/>
          <w:sz w:val="24"/>
          <w:szCs w:val="24"/>
          <w:bdr w:val="none" w:sz="0" w:space="0" w:color="auto" w:frame="1"/>
          <w:lang w:val="es-ES"/>
        </w:rPr>
        <w:footnoteReference w:id="21"/>
      </w:r>
      <w:bookmarkEnd w:id="1"/>
      <w:r w:rsidRPr="006870B9">
        <w:rPr>
          <w:rFonts w:ascii="Georgia" w:hAnsi="Georgia" w:cs="Arial"/>
          <w:iCs/>
          <w:color w:val="000000"/>
          <w:spacing w:val="0"/>
          <w:sz w:val="24"/>
          <w:szCs w:val="24"/>
          <w:bdr w:val="none" w:sz="0" w:space="0" w:color="auto" w:frame="1"/>
          <w:lang w:val="es-ES"/>
        </w:rPr>
        <w:t>.</w:t>
      </w:r>
    </w:p>
    <w:p w:rsidR="00D80CC1" w:rsidRDefault="00D80CC1" w:rsidP="00D80CC1">
      <w:pPr>
        <w:spacing w:line="360" w:lineRule="auto"/>
        <w:jc w:val="both"/>
        <w:rPr>
          <w:rFonts w:ascii="Georgia" w:hAnsi="Georgia"/>
          <w:sz w:val="28"/>
          <w:lang w:val="es-ES_tradnl"/>
        </w:rPr>
      </w:pPr>
    </w:p>
    <w:p w:rsidR="00D80CC1" w:rsidRPr="008379BB" w:rsidRDefault="00D80CC1" w:rsidP="00D80CC1">
      <w:pPr>
        <w:spacing w:line="360" w:lineRule="auto"/>
        <w:jc w:val="both"/>
        <w:rPr>
          <w:rFonts w:ascii="Georgia" w:hAnsi="Georgia"/>
        </w:rPr>
      </w:pPr>
      <w:r w:rsidRPr="008379BB">
        <w:rPr>
          <w:rFonts w:ascii="Georgia" w:hAnsi="Georgia"/>
        </w:rPr>
        <w:t>La CC</w:t>
      </w:r>
      <w:r w:rsidRPr="008379BB">
        <w:rPr>
          <w:rStyle w:val="Refdenotaalpie"/>
          <w:rFonts w:ascii="Georgia" w:hAnsi="Georgia"/>
        </w:rPr>
        <w:footnoteReference w:id="22"/>
      </w:r>
      <w:r w:rsidRPr="008379BB">
        <w:rPr>
          <w:rFonts w:ascii="Georgia" w:hAnsi="Georgia"/>
        </w:rPr>
        <w:t xml:space="preserve"> ha señalado que este defecto se puede presentar cuando la providencia judicial: </w:t>
      </w:r>
      <w:r w:rsidRPr="008379BB">
        <w:rPr>
          <w:rFonts w:ascii="Georgia" w:hAnsi="Georgia"/>
          <w:i/>
          <w:sz w:val="22"/>
        </w:rPr>
        <w:t>“(…) (</w:t>
      </w:r>
      <w:r w:rsidRPr="008379BB">
        <w:rPr>
          <w:rFonts w:ascii="Georgia" w:hAnsi="Georgia"/>
          <w:i/>
          <w:iCs/>
          <w:sz w:val="22"/>
        </w:rPr>
        <w:t>i</w:t>
      </w:r>
      <w:r w:rsidRPr="008379BB">
        <w:rPr>
          <w:rFonts w:ascii="Georgia" w:hAnsi="Georgia"/>
          <w:i/>
          <w:sz w:val="22"/>
        </w:rPr>
        <w:t xml:space="preserve">) no da cuenta de los hechos y los argumentos traídos por los sujetos vinculados al proceso -particularmente cuando resultan esenciales para el sentido de la decisión-; </w:t>
      </w:r>
      <w:r w:rsidRPr="00D80CC1">
        <w:rPr>
          <w:rFonts w:ascii="Georgia" w:hAnsi="Georgia"/>
          <w:i/>
          <w:sz w:val="22"/>
        </w:rPr>
        <w:t>(</w:t>
      </w:r>
      <w:r w:rsidRPr="00D80CC1">
        <w:rPr>
          <w:rFonts w:ascii="Georgia" w:hAnsi="Georgia"/>
          <w:i/>
          <w:iCs/>
          <w:sz w:val="22"/>
        </w:rPr>
        <w:t>ii</w:t>
      </w:r>
      <w:r w:rsidRPr="00D80CC1">
        <w:rPr>
          <w:rFonts w:ascii="Georgia" w:hAnsi="Georgia"/>
          <w:i/>
          <w:sz w:val="22"/>
        </w:rPr>
        <w:t xml:space="preserve">) no justifica el motivo por el cual se abstiene de pronunciarse sobre ciertos temas; o </w:t>
      </w:r>
      <w:r w:rsidRPr="008379BB">
        <w:rPr>
          <w:rFonts w:ascii="Georgia" w:hAnsi="Georgia"/>
          <w:i/>
          <w:sz w:val="22"/>
        </w:rPr>
        <w:t>(</w:t>
      </w:r>
      <w:r w:rsidRPr="008379BB">
        <w:rPr>
          <w:rFonts w:ascii="Georgia" w:hAnsi="Georgia"/>
          <w:i/>
          <w:iCs/>
          <w:sz w:val="22"/>
        </w:rPr>
        <w:t>iii</w:t>
      </w:r>
      <w:r w:rsidRPr="008379BB">
        <w:rPr>
          <w:rFonts w:ascii="Georgia" w:hAnsi="Georgia"/>
          <w:i/>
          <w:sz w:val="22"/>
        </w:rPr>
        <w:t>) los despacha de manera insuficiente, bajo consideraciones retóricas o en conjeturas carentes de sustento probatorio o jurídico alguno (…)”.</w:t>
      </w:r>
    </w:p>
    <w:p w:rsidR="00D80CC1" w:rsidRPr="001E5B6B" w:rsidRDefault="00D80CC1" w:rsidP="00FA15F8">
      <w:pPr>
        <w:spacing w:line="360" w:lineRule="auto"/>
        <w:jc w:val="both"/>
        <w:rPr>
          <w:rFonts w:ascii="Georgia" w:hAnsi="Georgia" w:cs="Arial"/>
          <w:lang w:val="es-ES_tradnl"/>
        </w:rPr>
      </w:pPr>
    </w:p>
    <w:p w:rsid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EL CASO CONCRETO QUE SE ANALIZA</w:t>
      </w:r>
    </w:p>
    <w:p w:rsidR="000F2638" w:rsidRPr="00484A74" w:rsidRDefault="000F2638" w:rsidP="000F26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DC1E56" w:rsidRDefault="004453AC" w:rsidP="003E26F1">
      <w:pPr>
        <w:spacing w:line="360" w:lineRule="auto"/>
        <w:ind w:right="51"/>
        <w:jc w:val="both"/>
        <w:rPr>
          <w:rFonts w:ascii="Georgia" w:hAnsi="Georgia"/>
        </w:rPr>
      </w:pPr>
      <w:r w:rsidRPr="00484A74">
        <w:rPr>
          <w:rFonts w:ascii="Georgia" w:hAnsi="Georgia"/>
        </w:rPr>
        <w:t>Se advierte que están cumplidos los presupuestos generales de procedibilidad.  En efecto, se tiene que en tratándose del derecho al debido proceso, es evidente que tiene relevancia constitucional; la subsidiariedad</w:t>
      </w:r>
      <w:r w:rsidR="001B0BCF">
        <w:rPr>
          <w:rFonts w:ascii="Georgia" w:hAnsi="Georgia"/>
        </w:rPr>
        <w:t xml:space="preserve"> porque la decisión cuestiona es irrecurrible</w:t>
      </w:r>
      <w:r w:rsidR="009F5D23">
        <w:rPr>
          <w:rFonts w:ascii="Georgia" w:hAnsi="Georgia"/>
        </w:rPr>
        <w:t xml:space="preserve"> (Artículo 384-9º, CGP)</w:t>
      </w:r>
      <w:r w:rsidRPr="00484A74">
        <w:rPr>
          <w:rFonts w:ascii="Georgia" w:hAnsi="Georgia"/>
        </w:rPr>
        <w:t xml:space="preserve">; no se trata de una sentencia de tutela; hay inmediatez porque </w:t>
      </w:r>
      <w:r w:rsidR="009F5D23">
        <w:rPr>
          <w:rFonts w:ascii="Georgia" w:hAnsi="Georgia"/>
        </w:rPr>
        <w:t xml:space="preserve">la sentencia </w:t>
      </w:r>
      <w:r w:rsidR="003E26F1" w:rsidRPr="00484A74">
        <w:rPr>
          <w:rFonts w:ascii="Georgia" w:hAnsi="Georgia"/>
        </w:rPr>
        <w:t xml:space="preserve">data del </w:t>
      </w:r>
      <w:r w:rsidR="009F5D23">
        <w:rPr>
          <w:rFonts w:ascii="Georgia" w:hAnsi="Georgia"/>
        </w:rPr>
        <w:t xml:space="preserve">26-10-2017 </w:t>
      </w:r>
      <w:r w:rsidR="003E26F1" w:rsidRPr="00484A74">
        <w:rPr>
          <w:rFonts w:ascii="Georgia" w:hAnsi="Georgia"/>
        </w:rPr>
        <w:t xml:space="preserve">y la acción se presentó el </w:t>
      </w:r>
      <w:r w:rsidR="009F5D23">
        <w:rPr>
          <w:rFonts w:ascii="Georgia" w:hAnsi="Georgia"/>
        </w:rPr>
        <w:t xml:space="preserve">02-11-2017 </w:t>
      </w:r>
      <w:r w:rsidRPr="00484A74">
        <w:rPr>
          <w:rFonts w:ascii="Georgia" w:hAnsi="Georgia"/>
        </w:rPr>
        <w:t xml:space="preserve">(Folios </w:t>
      </w:r>
      <w:r w:rsidR="009F5D23">
        <w:rPr>
          <w:rFonts w:ascii="Georgia" w:hAnsi="Georgia"/>
        </w:rPr>
        <w:t xml:space="preserve">27 </w:t>
      </w:r>
      <w:r w:rsidR="00E825D3">
        <w:rPr>
          <w:rFonts w:ascii="Georgia" w:hAnsi="Georgia"/>
        </w:rPr>
        <w:t>y 10, cuaderno principal</w:t>
      </w:r>
      <w:r w:rsidRPr="00484A74">
        <w:rPr>
          <w:rFonts w:ascii="Georgia" w:hAnsi="Georgia"/>
        </w:rPr>
        <w:t>);</w:t>
      </w:r>
      <w:r w:rsidR="003E26F1" w:rsidRPr="00484A74">
        <w:rPr>
          <w:rFonts w:ascii="Georgia" w:hAnsi="Georgia"/>
          <w:szCs w:val="22"/>
          <w:lang w:val="es-ES_tradnl"/>
        </w:rPr>
        <w:t xml:space="preserve"> la irregularidad realzada por la parte, es trascendente</w:t>
      </w:r>
      <w:r w:rsidR="00DC1E56">
        <w:rPr>
          <w:rFonts w:ascii="Georgia" w:hAnsi="Georgia"/>
        </w:rPr>
        <w:t>.</w:t>
      </w:r>
    </w:p>
    <w:p w:rsidR="00DC1E56" w:rsidRDefault="00DC1E56" w:rsidP="00DC1E56">
      <w:pPr>
        <w:widowControl/>
        <w:spacing w:line="360" w:lineRule="auto"/>
        <w:jc w:val="both"/>
        <w:rPr>
          <w:rFonts w:ascii="Georgia" w:hAnsi="Georgia" w:cs="Arial"/>
        </w:rPr>
      </w:pPr>
    </w:p>
    <w:p w:rsidR="00DC1E56" w:rsidRPr="00484A74" w:rsidRDefault="00DC1E56" w:rsidP="00DC1E56">
      <w:pPr>
        <w:spacing w:line="360" w:lineRule="auto"/>
        <w:ind w:right="51"/>
        <w:jc w:val="both"/>
        <w:rPr>
          <w:rFonts w:ascii="Georgia" w:hAnsi="Georgia"/>
        </w:rPr>
      </w:pPr>
      <w:r w:rsidRPr="006E0871">
        <w:rPr>
          <w:rFonts w:ascii="Georgia" w:hAnsi="Georgia" w:cs="Arial"/>
        </w:rPr>
        <w:t xml:space="preserve">Concluido el estudio de los requisitos generales, incumbe proseguir con la revisión de las causales especiales y en el caso concreto se entiende que lo expuesto por el actor alude al defecto sustantivo, pues </w:t>
      </w:r>
      <w:r w:rsidRPr="00484A74">
        <w:rPr>
          <w:rFonts w:ascii="Georgia" w:hAnsi="Georgia"/>
        </w:rPr>
        <w:t xml:space="preserve">se duele </w:t>
      </w:r>
      <w:r w:rsidR="009F5D23">
        <w:rPr>
          <w:rFonts w:ascii="Georgia" w:hAnsi="Georgia"/>
        </w:rPr>
        <w:t xml:space="preserve">de indebida aplicación de la costumbre mercantil en desmedro de la aplicación de las normas </w:t>
      </w:r>
      <w:r w:rsidR="00D462FD">
        <w:rPr>
          <w:rFonts w:ascii="Georgia" w:hAnsi="Georgia"/>
        </w:rPr>
        <w:t>que gobiernan los contratos (Artículos 1602, 1608 y 2002, CC, y 871, CC</w:t>
      </w:r>
      <w:r w:rsidR="00061949">
        <w:rPr>
          <w:rFonts w:ascii="Georgia" w:hAnsi="Georgia"/>
        </w:rPr>
        <w:t>o</w:t>
      </w:r>
      <w:r w:rsidR="00D462FD">
        <w:rPr>
          <w:rFonts w:ascii="Georgia" w:hAnsi="Georgia"/>
        </w:rPr>
        <w:t>)</w:t>
      </w:r>
      <w:r>
        <w:rPr>
          <w:rFonts w:ascii="Georgia" w:hAnsi="Georgia"/>
        </w:rPr>
        <w:t xml:space="preserve">. </w:t>
      </w:r>
    </w:p>
    <w:p w:rsidR="0082026B" w:rsidRDefault="0082026B" w:rsidP="0082026B">
      <w:pPr>
        <w:spacing w:line="360" w:lineRule="auto"/>
        <w:ind w:right="51"/>
        <w:jc w:val="both"/>
        <w:rPr>
          <w:rFonts w:ascii="Georgia" w:hAnsi="Georgia"/>
        </w:rPr>
      </w:pPr>
    </w:p>
    <w:p w:rsidR="001C3E21" w:rsidRDefault="005300E2" w:rsidP="001C3E21">
      <w:pPr>
        <w:spacing w:line="360" w:lineRule="auto"/>
        <w:ind w:right="51"/>
        <w:jc w:val="both"/>
        <w:rPr>
          <w:rFonts w:ascii="Georgia" w:hAnsi="Georgia" w:cs="Arial"/>
        </w:rPr>
      </w:pPr>
      <w:r w:rsidRPr="000527FF">
        <w:rPr>
          <w:rFonts w:ascii="Georgia" w:hAnsi="Georgia" w:cs="Arial"/>
        </w:rPr>
        <w:t>Ahora, en el fallo cuestionado la ju</w:t>
      </w:r>
      <w:r w:rsidR="00061949">
        <w:rPr>
          <w:rFonts w:ascii="Georgia" w:hAnsi="Georgia" w:cs="Arial"/>
        </w:rPr>
        <w:t>eza de instancia declaró pró</w:t>
      </w:r>
      <w:r w:rsidRPr="000527FF">
        <w:rPr>
          <w:rFonts w:ascii="Georgia" w:hAnsi="Georgia" w:cs="Arial"/>
        </w:rPr>
        <w:t xml:space="preserve">spera la excepción de allanamiento a la mora y negó las pretensiones, previo análisis de </w:t>
      </w:r>
      <w:r w:rsidR="001A4C48">
        <w:rPr>
          <w:rFonts w:ascii="Georgia" w:hAnsi="Georgia" w:cs="Arial"/>
        </w:rPr>
        <w:t xml:space="preserve">las </w:t>
      </w:r>
      <w:r w:rsidRPr="000527FF">
        <w:rPr>
          <w:rFonts w:ascii="Georgia" w:hAnsi="Georgia" w:cs="Arial"/>
        </w:rPr>
        <w:t xml:space="preserve">consignaciones </w:t>
      </w:r>
      <w:r w:rsidR="001C3E21" w:rsidRPr="000527FF">
        <w:rPr>
          <w:rFonts w:ascii="Georgia" w:hAnsi="Georgia" w:cs="Arial"/>
        </w:rPr>
        <w:t>que acreditaban el pago extemporáneo de los cánones de arrendamiento en periodos comprendidos entre los años 2009 a 2013</w:t>
      </w:r>
      <w:r w:rsidR="001A4C48">
        <w:rPr>
          <w:rFonts w:ascii="Georgia" w:hAnsi="Georgia" w:cs="Arial"/>
        </w:rPr>
        <w:t xml:space="preserve">, </w:t>
      </w:r>
      <w:r w:rsidRPr="000527FF">
        <w:rPr>
          <w:rFonts w:ascii="Georgia" w:hAnsi="Georgia" w:cs="Arial"/>
        </w:rPr>
        <w:t xml:space="preserve">de los interrogatorios y testimonios que </w:t>
      </w:r>
      <w:r w:rsidR="001C3E21" w:rsidRPr="000527FF">
        <w:rPr>
          <w:rFonts w:ascii="Georgia" w:hAnsi="Georgia" w:cs="Arial"/>
        </w:rPr>
        <w:t>coincidían</w:t>
      </w:r>
      <w:r w:rsidRPr="000527FF">
        <w:rPr>
          <w:rFonts w:ascii="Georgia" w:hAnsi="Georgia" w:cs="Arial"/>
        </w:rPr>
        <w:t xml:space="preserve"> en la normalidad de los pagos por fuera del plazo establecido</w:t>
      </w:r>
      <w:r w:rsidR="001C3E21" w:rsidRPr="000527FF">
        <w:rPr>
          <w:rFonts w:ascii="Georgia" w:hAnsi="Georgia" w:cs="Arial"/>
        </w:rPr>
        <w:t>, y</w:t>
      </w:r>
      <w:r w:rsidR="00503A2D">
        <w:rPr>
          <w:rFonts w:ascii="Georgia" w:hAnsi="Georgia" w:cs="Arial"/>
        </w:rPr>
        <w:t>,</w:t>
      </w:r>
      <w:r w:rsidR="001C3E21" w:rsidRPr="000527FF">
        <w:rPr>
          <w:rFonts w:ascii="Georgia" w:hAnsi="Georgia" w:cs="Arial"/>
        </w:rPr>
        <w:t xml:space="preserve"> </w:t>
      </w:r>
      <w:r w:rsidR="00521FC4">
        <w:rPr>
          <w:rFonts w:ascii="Georgia" w:hAnsi="Georgia" w:cs="Arial"/>
        </w:rPr>
        <w:t>con fundamento</w:t>
      </w:r>
      <w:r w:rsidR="00503A2D">
        <w:rPr>
          <w:rFonts w:ascii="Georgia" w:hAnsi="Georgia" w:cs="Arial"/>
        </w:rPr>
        <w:t>,</w:t>
      </w:r>
      <w:r w:rsidR="00521FC4">
        <w:rPr>
          <w:rFonts w:ascii="Georgia" w:hAnsi="Georgia" w:cs="Arial"/>
        </w:rPr>
        <w:t xml:space="preserve"> </w:t>
      </w:r>
      <w:r w:rsidR="001C3E21" w:rsidRPr="000527FF">
        <w:rPr>
          <w:rFonts w:ascii="Georgia" w:hAnsi="Georgia" w:cs="Arial"/>
        </w:rPr>
        <w:t xml:space="preserve">en aparte doctrinario con cita </w:t>
      </w:r>
      <w:r w:rsidR="00A34343" w:rsidRPr="000527FF">
        <w:rPr>
          <w:rFonts w:ascii="Georgia" w:hAnsi="Georgia" w:cs="Arial"/>
        </w:rPr>
        <w:t>escasa</w:t>
      </w:r>
      <w:r w:rsidR="00061949">
        <w:rPr>
          <w:rFonts w:ascii="Georgia" w:hAnsi="Georgia" w:cs="Arial"/>
        </w:rPr>
        <w:t>:</w:t>
      </w:r>
      <w:r w:rsidR="00A34343" w:rsidRPr="000527FF">
        <w:rPr>
          <w:rFonts w:ascii="Georgia" w:hAnsi="Georgia" w:cs="Arial"/>
        </w:rPr>
        <w:t xml:space="preserve"> “(…) </w:t>
      </w:r>
      <w:r w:rsidR="00A34343" w:rsidRPr="000527FF">
        <w:rPr>
          <w:rFonts w:ascii="Georgia" w:hAnsi="Georgia"/>
          <w:i/>
          <w:sz w:val="22"/>
        </w:rPr>
        <w:t>del libro contrato de arrendamiento del proceso de restitución de bien inmueble, Luz Amanda Saenz Fonseca, Manuel Enrique Cabrera e Hildebrando Leal Pérez (…)”</w:t>
      </w:r>
      <w:r w:rsidR="00061949">
        <w:rPr>
          <w:rFonts w:ascii="Georgia" w:hAnsi="Georgia"/>
          <w:i/>
          <w:sz w:val="22"/>
        </w:rPr>
        <w:t xml:space="preserve"> </w:t>
      </w:r>
      <w:r w:rsidR="00061949" w:rsidRPr="00AF337E">
        <w:rPr>
          <w:rFonts w:ascii="Georgia" w:hAnsi="Georgia"/>
        </w:rPr>
        <w:t>(Disco compacto visible a folio 2, cuaderno principal)</w:t>
      </w:r>
      <w:r w:rsidR="001C3E21" w:rsidRPr="000527FF">
        <w:rPr>
          <w:rFonts w:ascii="Georgia" w:hAnsi="Georgia" w:cs="Arial"/>
        </w:rPr>
        <w:t>,</w:t>
      </w:r>
      <w:r w:rsidR="00213399" w:rsidRPr="000527FF">
        <w:rPr>
          <w:rFonts w:ascii="Georgia" w:hAnsi="Georgia" w:cs="Arial"/>
        </w:rPr>
        <w:t xml:space="preserve"> </w:t>
      </w:r>
      <w:r w:rsidR="001C3E21" w:rsidRPr="000527FF">
        <w:rPr>
          <w:rFonts w:ascii="Georgia" w:hAnsi="Georgia" w:cs="Arial"/>
        </w:rPr>
        <w:t xml:space="preserve">que coincide textualmente con la </w:t>
      </w:r>
      <w:r w:rsidR="00A34343" w:rsidRPr="000527FF">
        <w:rPr>
          <w:rFonts w:ascii="Georgia" w:hAnsi="Georgia" w:cs="Arial"/>
        </w:rPr>
        <w:t>tesis</w:t>
      </w:r>
      <w:r w:rsidR="001C3E21" w:rsidRPr="000527FF">
        <w:rPr>
          <w:rFonts w:ascii="Georgia" w:hAnsi="Georgia" w:cs="Arial"/>
        </w:rPr>
        <w:t xml:space="preserve"> plasmada por el doctor José </w:t>
      </w:r>
      <w:r w:rsidR="00A34343" w:rsidRPr="000527FF">
        <w:rPr>
          <w:rFonts w:ascii="Georgia" w:hAnsi="Georgia" w:cs="Arial"/>
        </w:rPr>
        <w:t xml:space="preserve">A. </w:t>
      </w:r>
      <w:r w:rsidR="001C3E21" w:rsidRPr="000527FF">
        <w:rPr>
          <w:rFonts w:ascii="Georgia" w:hAnsi="Georgia" w:cs="Arial"/>
        </w:rPr>
        <w:lastRenderedPageBreak/>
        <w:t xml:space="preserve">Bonivento </w:t>
      </w:r>
      <w:r w:rsidR="00A34343" w:rsidRPr="000527FF">
        <w:rPr>
          <w:rFonts w:ascii="Georgia" w:hAnsi="Georgia" w:cs="Arial"/>
        </w:rPr>
        <w:t>F.</w:t>
      </w:r>
      <w:r w:rsidR="000527FF" w:rsidRPr="000527FF">
        <w:rPr>
          <w:rStyle w:val="Refdenotaalpie"/>
          <w:rFonts w:ascii="Georgia" w:hAnsi="Georgia"/>
        </w:rPr>
        <w:footnoteReference w:id="23"/>
      </w:r>
      <w:r w:rsidR="00A34343" w:rsidRPr="000527FF">
        <w:rPr>
          <w:rFonts w:ascii="Georgia" w:hAnsi="Georgia" w:cs="Arial"/>
        </w:rPr>
        <w:t>:</w:t>
      </w:r>
      <w:r w:rsidR="00A34343">
        <w:rPr>
          <w:rFonts w:ascii="Georgia" w:hAnsi="Georgia" w:cs="Arial"/>
        </w:rPr>
        <w:t xml:space="preserve"> </w:t>
      </w:r>
    </w:p>
    <w:p w:rsidR="00A34343" w:rsidRDefault="00A34343" w:rsidP="001C3E21">
      <w:pPr>
        <w:spacing w:line="360" w:lineRule="auto"/>
        <w:ind w:right="51"/>
        <w:jc w:val="both"/>
        <w:rPr>
          <w:rFonts w:ascii="Georgia" w:hAnsi="Georgia" w:cs="Arial"/>
        </w:rPr>
      </w:pPr>
    </w:p>
    <w:p w:rsidR="00521FC4" w:rsidRPr="00521FC4" w:rsidRDefault="00061949" w:rsidP="00521FC4">
      <w:pPr>
        <w:ind w:left="567" w:right="618"/>
        <w:jc w:val="both"/>
        <w:rPr>
          <w:rFonts w:ascii="Georgia" w:hAnsi="Georgia"/>
        </w:rPr>
      </w:pPr>
      <w:r>
        <w:rPr>
          <w:rFonts w:ascii="Georgia" w:hAnsi="Georgia"/>
        </w:rPr>
        <w:t xml:space="preserve">… </w:t>
      </w:r>
      <w:r w:rsidR="00521FC4" w:rsidRPr="00521FC4">
        <w:rPr>
          <w:rFonts w:ascii="Georgia" w:hAnsi="Georgia"/>
        </w:rPr>
        <w:t xml:space="preserve">el incumplimiento inexacto, que encuentra su primera hipótesis en la mora del deudor, tiene su expresión general en el cumplimiento no conforme a los requisitos de ley o del contrato. Sin embargo, si es el mismo acreedor el que, mediando un acto positivo de aceptación, recibe el valor del crédito, fuera </w:t>
      </w:r>
      <w:r>
        <w:rPr>
          <w:rFonts w:ascii="Georgia" w:hAnsi="Georgia"/>
        </w:rPr>
        <w:t xml:space="preserve">de </w:t>
      </w:r>
      <w:r w:rsidR="00521FC4" w:rsidRPr="00521FC4">
        <w:rPr>
          <w:rFonts w:ascii="Georgia" w:hAnsi="Georgia"/>
        </w:rPr>
        <w:t>tiempo, está conviniendo, sin alterar los alcances del negocio, en el pago, y, por consiguiente, impone una conducta tendiente a debilitar o desaparecer ese quebrantamiento inicial del contrato. Hay una voluntad expresa o tácita del arrendador que, como tal, se refleja en la esencia del término, particularmente en la actitud contractual de las partes.</w:t>
      </w:r>
    </w:p>
    <w:p w:rsidR="00521FC4" w:rsidRPr="00521FC4" w:rsidRDefault="00521FC4" w:rsidP="00521FC4">
      <w:pPr>
        <w:ind w:left="567" w:right="618"/>
        <w:jc w:val="both"/>
        <w:rPr>
          <w:rFonts w:ascii="Georgia" w:hAnsi="Georgia"/>
        </w:rPr>
      </w:pPr>
    </w:p>
    <w:p w:rsidR="00521FC4" w:rsidRDefault="00521FC4" w:rsidP="00521FC4">
      <w:pPr>
        <w:ind w:left="567" w:right="618"/>
        <w:jc w:val="both"/>
        <w:rPr>
          <w:rFonts w:ascii="Georgia" w:hAnsi="Georgia"/>
        </w:rPr>
      </w:pPr>
      <w:r w:rsidRPr="00521FC4">
        <w:rPr>
          <w:rFonts w:ascii="Georgia" w:hAnsi="Georgia"/>
        </w:rPr>
        <w:t>Entonces se destruye la mora, puesto que se ha purgado (purgatio mora). Lo que era incumplimiento del contrato, generador de efectos propios, como para demandar la terminación judicial del mismo, se convierte en un simple retardo excluyente, de esa manera, de la mora en el arrendatario. Es el consentimiento, como propósito volitivo de aceptación, en el arrendador, que constituye una facultad inherente a éste, el que elimina el retardo como medio de accionar judicialmente, en forma exitosa</w:t>
      </w:r>
      <w:r w:rsidR="00061949">
        <w:rPr>
          <w:rFonts w:ascii="Georgia" w:hAnsi="Georgia"/>
        </w:rPr>
        <w:t>…</w:t>
      </w:r>
    </w:p>
    <w:p w:rsidR="00751473" w:rsidRPr="00751473" w:rsidRDefault="00751473" w:rsidP="00521FC4">
      <w:pPr>
        <w:ind w:left="567" w:right="618"/>
        <w:jc w:val="both"/>
        <w:rPr>
          <w:rFonts w:ascii="Georgia" w:hAnsi="Georgia" w:cs="Arial"/>
          <w:sz w:val="36"/>
        </w:rPr>
      </w:pPr>
    </w:p>
    <w:p w:rsidR="000527FF" w:rsidRPr="001A4C48" w:rsidRDefault="001C3E21" w:rsidP="005300E2">
      <w:pPr>
        <w:spacing w:line="360" w:lineRule="auto"/>
        <w:ind w:right="51"/>
        <w:jc w:val="both"/>
        <w:rPr>
          <w:rFonts w:ascii="Georgia" w:hAnsi="Georgia"/>
        </w:rPr>
      </w:pPr>
      <w:r>
        <w:rPr>
          <w:rFonts w:ascii="Georgia" w:hAnsi="Georgia" w:cs="Arial"/>
        </w:rPr>
        <w:t>En la providencia</w:t>
      </w:r>
      <w:r w:rsidR="000527FF">
        <w:rPr>
          <w:rFonts w:ascii="Georgia" w:hAnsi="Georgia" w:cs="Arial"/>
        </w:rPr>
        <w:t xml:space="preserve">, </w:t>
      </w:r>
      <w:r w:rsidR="00061949">
        <w:rPr>
          <w:rFonts w:ascii="Georgia" w:hAnsi="Georgia" w:cs="Arial"/>
        </w:rPr>
        <w:t>descartó</w:t>
      </w:r>
      <w:r w:rsidR="00521FC4">
        <w:rPr>
          <w:rFonts w:ascii="Georgia" w:hAnsi="Georgia" w:cs="Arial"/>
        </w:rPr>
        <w:t xml:space="preserve"> la aplicación de la costumbre mercantil, enrostrada en el petitorio de tutela</w:t>
      </w:r>
      <w:r w:rsidR="001A4C48">
        <w:rPr>
          <w:rFonts w:ascii="Georgia" w:hAnsi="Georgia" w:cs="Arial"/>
        </w:rPr>
        <w:t xml:space="preserve">: </w:t>
      </w:r>
      <w:r w:rsidR="000527FF">
        <w:rPr>
          <w:rFonts w:ascii="Georgia" w:hAnsi="Georgia" w:cs="Arial"/>
        </w:rPr>
        <w:t xml:space="preserve">“(…) </w:t>
      </w:r>
      <w:r w:rsidR="000527FF">
        <w:rPr>
          <w:rFonts w:ascii="Georgia" w:hAnsi="Georgia"/>
          <w:i/>
          <w:sz w:val="22"/>
        </w:rPr>
        <w:t>pero también son válidos los argumentos de la parte demandada en el sentido que se probó el allanamiento a la mora al permitir el demandante la variedad en la mora de los pagos ya que se volvió una costumbre comercial, aunque para ser costumbre requiere de un proceso específico y unas condiciones estipuladas en el Código de Comercio (…)”</w:t>
      </w:r>
      <w:r w:rsidR="00AF337E">
        <w:rPr>
          <w:rFonts w:ascii="Georgia" w:hAnsi="Georgia"/>
          <w:i/>
          <w:sz w:val="22"/>
        </w:rPr>
        <w:t xml:space="preserve"> </w:t>
      </w:r>
      <w:r w:rsidR="00AF337E" w:rsidRPr="00AF337E">
        <w:rPr>
          <w:rFonts w:ascii="Georgia" w:hAnsi="Georgia"/>
        </w:rPr>
        <w:t>(Disco compacto visible a folio 2, cuaderno principal)</w:t>
      </w:r>
      <w:r w:rsidR="000527FF">
        <w:rPr>
          <w:rFonts w:ascii="Georgia" w:hAnsi="Georgia"/>
          <w:i/>
          <w:sz w:val="22"/>
        </w:rPr>
        <w:t xml:space="preserve">.  </w:t>
      </w:r>
      <w:r w:rsidR="00521FC4" w:rsidRPr="00521FC4">
        <w:rPr>
          <w:rFonts w:ascii="Georgia" w:hAnsi="Georgia"/>
          <w:sz w:val="22"/>
        </w:rPr>
        <w:t>A</w:t>
      </w:r>
      <w:r w:rsidR="001C4CCA" w:rsidRPr="001A4C48">
        <w:rPr>
          <w:rFonts w:ascii="Georgia" w:hAnsi="Georgia"/>
        </w:rPr>
        <w:t xml:space="preserve"> diferencia de lo </w:t>
      </w:r>
      <w:r w:rsidR="001A4C48" w:rsidRPr="001A4C48">
        <w:rPr>
          <w:rFonts w:ascii="Georgia" w:hAnsi="Georgia"/>
        </w:rPr>
        <w:t>expuesto</w:t>
      </w:r>
      <w:r w:rsidR="001C4CCA" w:rsidRPr="001A4C48">
        <w:rPr>
          <w:rFonts w:ascii="Georgia" w:hAnsi="Georgia"/>
        </w:rPr>
        <w:t xml:space="preserve"> </w:t>
      </w:r>
      <w:r w:rsidR="001A4C48">
        <w:rPr>
          <w:rFonts w:ascii="Georgia" w:hAnsi="Georgia"/>
        </w:rPr>
        <w:t>por el actor</w:t>
      </w:r>
      <w:r w:rsidR="001C4CCA" w:rsidRPr="001A4C48">
        <w:rPr>
          <w:rFonts w:ascii="Georgia" w:hAnsi="Georgia"/>
        </w:rPr>
        <w:t xml:space="preserve">, </w:t>
      </w:r>
      <w:r w:rsidR="001C4CCA" w:rsidRPr="001A4C48">
        <w:rPr>
          <w:rFonts w:ascii="Georgia" w:hAnsi="Georgia"/>
          <w:lang w:val="es-CO"/>
        </w:rPr>
        <w:t xml:space="preserve">la </w:t>
      </w:r>
      <w:r w:rsidR="001C4CCA" w:rsidRPr="001A4C48">
        <w:rPr>
          <w:rFonts w:ascii="Georgia" w:hAnsi="Georgia"/>
        </w:rPr>
        <w:t xml:space="preserve">a quo nunca hizo aplicación de esta figura, a efectos de decidir el litigio. </w:t>
      </w:r>
    </w:p>
    <w:p w:rsidR="001C4CCA" w:rsidRDefault="001C4CCA" w:rsidP="005300E2">
      <w:pPr>
        <w:spacing w:line="360" w:lineRule="auto"/>
        <w:ind w:right="51"/>
        <w:jc w:val="both"/>
        <w:rPr>
          <w:rFonts w:ascii="Georgia" w:hAnsi="Georgia"/>
          <w:i/>
          <w:sz w:val="22"/>
        </w:rPr>
      </w:pPr>
    </w:p>
    <w:p w:rsidR="005300E2" w:rsidRPr="001A4C48" w:rsidRDefault="001C4CCA" w:rsidP="005300E2">
      <w:pPr>
        <w:spacing w:line="360" w:lineRule="auto"/>
        <w:ind w:right="51"/>
        <w:jc w:val="both"/>
        <w:rPr>
          <w:rFonts w:ascii="Georgia" w:hAnsi="Georgia"/>
          <w:lang w:val="es-CO"/>
        </w:rPr>
      </w:pPr>
      <w:r w:rsidRPr="001A4C48">
        <w:rPr>
          <w:rFonts w:ascii="Georgia" w:hAnsi="Georgia" w:cs="Arial"/>
        </w:rPr>
        <w:t>Su decisión se fundó en la prueba de los pagos extemporáneos por parte del demandado y del consent</w:t>
      </w:r>
      <w:r w:rsidR="001A4C48" w:rsidRPr="001A4C48">
        <w:rPr>
          <w:rFonts w:ascii="Georgia" w:hAnsi="Georgia" w:cs="Arial"/>
        </w:rPr>
        <w:t>imiento que el demandante reveló</w:t>
      </w:r>
      <w:r w:rsidRPr="001A4C48">
        <w:rPr>
          <w:rFonts w:ascii="Georgia" w:hAnsi="Georgia" w:cs="Arial"/>
        </w:rPr>
        <w:t xml:space="preserve"> al recibirlos</w:t>
      </w:r>
      <w:r w:rsidR="001A4C48" w:rsidRPr="001A4C48">
        <w:rPr>
          <w:rFonts w:ascii="Georgia" w:hAnsi="Georgia" w:cs="Arial"/>
        </w:rPr>
        <w:t xml:space="preserve"> sin objeción alguna</w:t>
      </w:r>
      <w:r w:rsidRPr="001A4C48">
        <w:rPr>
          <w:rFonts w:ascii="Georgia" w:hAnsi="Georgia" w:cs="Arial"/>
        </w:rPr>
        <w:t xml:space="preserve">, así, </w:t>
      </w:r>
      <w:r w:rsidRPr="00061949">
        <w:rPr>
          <w:rFonts w:ascii="Georgia" w:hAnsi="Georgia" w:cs="Arial"/>
        </w:rPr>
        <w:t xml:space="preserve">expuso </w:t>
      </w:r>
      <w:r w:rsidR="005300E2" w:rsidRPr="00061949">
        <w:rPr>
          <w:rFonts w:ascii="Georgia" w:hAnsi="Georgia" w:cs="Arial"/>
        </w:rPr>
        <w:t xml:space="preserve">“(…) </w:t>
      </w:r>
      <w:r w:rsidR="005300E2" w:rsidRPr="00061949">
        <w:rPr>
          <w:rFonts w:ascii="Georgia" w:hAnsi="Georgia"/>
          <w:i/>
          <w:sz w:val="22"/>
        </w:rPr>
        <w:t>ha</w:t>
      </w:r>
      <w:r w:rsidR="005300E2" w:rsidRPr="001A4C48">
        <w:rPr>
          <w:rFonts w:ascii="Georgia" w:hAnsi="Georgia"/>
          <w:i/>
          <w:sz w:val="22"/>
        </w:rPr>
        <w:t xml:space="preserve"> sido reiterada esa circunstancia</w:t>
      </w:r>
      <w:r w:rsidR="005300E2" w:rsidRPr="001A4C48">
        <w:rPr>
          <w:rFonts w:ascii="Georgia" w:hAnsi="Georgia"/>
          <w:i/>
          <w:sz w:val="22"/>
          <w:lang w:val="es-CO"/>
        </w:rPr>
        <w:t xml:space="preserve"> </w:t>
      </w:r>
      <w:r w:rsidR="005300E2" w:rsidRPr="001A4C48">
        <w:rPr>
          <w:rFonts w:ascii="Georgia" w:hAnsi="Georgia"/>
          <w:i/>
          <w:sz w:val="22"/>
        </w:rPr>
        <w:t xml:space="preserve">entre las partes ya que se ha presentado desde años anteriores y han tenido una buena relación, se concluye entonces que la mora se convirtió en un retardo habitual para las partes y que fue consentida por el arrendador al recibir el pago del mismo, (…) si el demandante le tenía aprecio al demandado y lo acogió queriéndolo ayudar en su empresa, tenía conocimiento del negocio que funcionaba y de los meses más rentables, específicamente los </w:t>
      </w:r>
      <w:r w:rsidR="005300E2" w:rsidRPr="001A4C48">
        <w:rPr>
          <w:rFonts w:ascii="Georgia" w:hAnsi="Georgia"/>
          <w:i/>
          <w:sz w:val="22"/>
          <w:lang w:val="es-CO"/>
        </w:rPr>
        <w:t>últimos tres meses de cada año, solo así se deduce que el demandante le permitiera los pagos en diferentes meses ya fueran atrasados o adelantados y prueba de ello es la manifestación clara que hizo de que no quería que le desocupara el local, solo que pagara cumplido y que se entendiera con su hija (…)”</w:t>
      </w:r>
      <w:r w:rsidR="00AF337E" w:rsidRPr="00AF337E">
        <w:rPr>
          <w:rFonts w:ascii="Georgia" w:hAnsi="Georgia"/>
        </w:rPr>
        <w:t>(Disco compacto visible a folio 2, cuaderno principal)</w:t>
      </w:r>
      <w:r w:rsidRPr="001A4C48">
        <w:rPr>
          <w:rFonts w:ascii="Georgia" w:hAnsi="Georgia"/>
          <w:i/>
          <w:sz w:val="22"/>
          <w:lang w:val="es-CO"/>
        </w:rPr>
        <w:t>.</w:t>
      </w:r>
      <w:r w:rsidR="005300E2" w:rsidRPr="001A4C48">
        <w:rPr>
          <w:rFonts w:ascii="Georgia" w:hAnsi="Georgia"/>
          <w:i/>
          <w:sz w:val="22"/>
          <w:lang w:val="es-CO"/>
        </w:rPr>
        <w:t xml:space="preserve"> </w:t>
      </w:r>
    </w:p>
    <w:p w:rsidR="005300E2" w:rsidRDefault="005300E2" w:rsidP="005300E2">
      <w:pPr>
        <w:spacing w:line="360" w:lineRule="auto"/>
        <w:ind w:right="51"/>
        <w:jc w:val="both"/>
        <w:rPr>
          <w:rFonts w:ascii="Georgia" w:hAnsi="Georgia" w:cs="Arial"/>
        </w:rPr>
      </w:pPr>
      <w:r w:rsidRPr="001A4C48">
        <w:rPr>
          <w:rFonts w:ascii="Georgia" w:hAnsi="Georgia" w:cs="Arial"/>
        </w:rPr>
        <w:t xml:space="preserve"> </w:t>
      </w:r>
    </w:p>
    <w:p w:rsidR="006335C9" w:rsidRDefault="00521FC4" w:rsidP="005300E2">
      <w:pPr>
        <w:spacing w:line="360" w:lineRule="auto"/>
        <w:ind w:right="51"/>
        <w:jc w:val="both"/>
        <w:rPr>
          <w:rFonts w:ascii="Georgia" w:hAnsi="Georgia" w:cs="Arial"/>
        </w:rPr>
      </w:pPr>
      <w:r>
        <w:rPr>
          <w:rFonts w:ascii="Georgia" w:hAnsi="Georgia" w:cs="Arial"/>
        </w:rPr>
        <w:t xml:space="preserve">Claramente la jueza analizó el caso concreto </w:t>
      </w:r>
      <w:r w:rsidR="00751473">
        <w:rPr>
          <w:rFonts w:ascii="Georgia" w:hAnsi="Georgia" w:cs="Arial"/>
        </w:rPr>
        <w:t xml:space="preserve">centrada </w:t>
      </w:r>
      <w:r>
        <w:rPr>
          <w:rFonts w:ascii="Georgia" w:hAnsi="Georgia" w:cs="Arial"/>
        </w:rPr>
        <w:t>en la doctrina nacional aludida</w:t>
      </w:r>
      <w:r w:rsidR="004A1D94">
        <w:rPr>
          <w:rFonts w:ascii="Georgia" w:hAnsi="Georgia" w:cs="Arial"/>
        </w:rPr>
        <w:t xml:space="preserve">, tesis que no es uniforme, pues cuenta con posturas contrarias, </w:t>
      </w:r>
      <w:r w:rsidR="00793924">
        <w:rPr>
          <w:rFonts w:ascii="Georgia" w:hAnsi="Georgia" w:cs="Arial"/>
        </w:rPr>
        <w:t xml:space="preserve">circunstancia </w:t>
      </w:r>
      <w:r w:rsidR="00206BE1">
        <w:rPr>
          <w:rFonts w:ascii="Georgia" w:hAnsi="Georgia" w:cs="Arial"/>
        </w:rPr>
        <w:t>referida</w:t>
      </w:r>
      <w:r w:rsidR="00793924">
        <w:rPr>
          <w:rFonts w:ascii="Georgia" w:hAnsi="Georgia" w:cs="Arial"/>
        </w:rPr>
        <w:t xml:space="preserve"> en </w:t>
      </w:r>
      <w:r w:rsidR="00793924">
        <w:rPr>
          <w:rFonts w:ascii="Georgia" w:hAnsi="Georgia" w:cs="Arial"/>
        </w:rPr>
        <w:lastRenderedPageBreak/>
        <w:t xml:space="preserve">providencia de </w:t>
      </w:r>
      <w:r w:rsidR="004A1D94">
        <w:rPr>
          <w:rFonts w:ascii="Georgia" w:hAnsi="Georgia" w:cs="Arial"/>
        </w:rPr>
        <w:t>la CSJ</w:t>
      </w:r>
      <w:r w:rsidR="004A1D94">
        <w:rPr>
          <w:rStyle w:val="Refdenotaalpie"/>
          <w:rFonts w:ascii="Georgia" w:hAnsi="Georgia"/>
        </w:rPr>
        <w:footnoteReference w:id="24"/>
      </w:r>
      <w:r w:rsidR="004A1D94">
        <w:rPr>
          <w:rFonts w:ascii="Georgia" w:hAnsi="Georgia" w:cs="Arial"/>
        </w:rPr>
        <w:t>;</w:t>
      </w:r>
      <w:r>
        <w:rPr>
          <w:rFonts w:ascii="Georgia" w:hAnsi="Georgia" w:cs="Arial"/>
        </w:rPr>
        <w:t xml:space="preserve"> </w:t>
      </w:r>
      <w:r w:rsidR="006335C9">
        <w:rPr>
          <w:rFonts w:ascii="Georgia" w:hAnsi="Georgia" w:cs="Arial"/>
        </w:rPr>
        <w:t>sin embargo, careció de precisión a la hora de compaginar dicha tesis con las circunstancias de hecho probadas en el proceso de restitución, y, sustentar de qué manera se alteraban las pautas contractuales acordadas por las partes</w:t>
      </w:r>
      <w:r w:rsidR="00751473">
        <w:rPr>
          <w:rFonts w:ascii="Georgia" w:hAnsi="Georgia" w:cs="Arial"/>
        </w:rPr>
        <w:t>, si es que había lugar a ello</w:t>
      </w:r>
      <w:r w:rsidR="006335C9">
        <w:rPr>
          <w:rFonts w:ascii="Georgia" w:hAnsi="Georgia" w:cs="Arial"/>
        </w:rPr>
        <w:t>.</w:t>
      </w:r>
    </w:p>
    <w:p w:rsidR="006335C9" w:rsidRDefault="006335C9" w:rsidP="005300E2">
      <w:pPr>
        <w:spacing w:line="360" w:lineRule="auto"/>
        <w:ind w:right="51"/>
        <w:jc w:val="both"/>
        <w:rPr>
          <w:rFonts w:ascii="Georgia" w:hAnsi="Georgia" w:cs="Arial"/>
        </w:rPr>
      </w:pPr>
    </w:p>
    <w:p w:rsidR="004876AF" w:rsidRDefault="006335C9" w:rsidP="005300E2">
      <w:pPr>
        <w:spacing w:line="360" w:lineRule="auto"/>
        <w:ind w:right="51"/>
        <w:jc w:val="both"/>
        <w:rPr>
          <w:rFonts w:ascii="Georgia" w:hAnsi="Georgia" w:cs="Arial"/>
        </w:rPr>
      </w:pPr>
      <w:r>
        <w:rPr>
          <w:rFonts w:ascii="Georgia" w:hAnsi="Georgia" w:cs="Arial"/>
        </w:rPr>
        <w:t>El allanamiento a la mora, según el autor, se da cuando el acreedor recibe el pago extemporáneo de los cánones de arrendamiento</w:t>
      </w:r>
      <w:r w:rsidR="00503A2D">
        <w:rPr>
          <w:rFonts w:ascii="Georgia" w:hAnsi="Georgia" w:cs="Arial"/>
        </w:rPr>
        <w:t xml:space="preserve"> antes de demandar la terminación contractual</w:t>
      </w:r>
      <w:r w:rsidR="00751473">
        <w:rPr>
          <w:rFonts w:ascii="Georgia" w:hAnsi="Georgia" w:cs="Arial"/>
        </w:rPr>
        <w:t>,</w:t>
      </w:r>
      <w:r>
        <w:rPr>
          <w:rFonts w:ascii="Georgia" w:hAnsi="Georgia" w:cs="Arial"/>
        </w:rPr>
        <w:t xml:space="preserve"> </w:t>
      </w:r>
      <w:r w:rsidR="00751473">
        <w:rPr>
          <w:rFonts w:ascii="Georgia" w:hAnsi="Georgia" w:cs="Arial"/>
        </w:rPr>
        <w:t xml:space="preserve">renunciando </w:t>
      </w:r>
      <w:r>
        <w:rPr>
          <w:rFonts w:ascii="Georgia" w:hAnsi="Georgia" w:cs="Arial"/>
        </w:rPr>
        <w:t xml:space="preserve">así al ejercicio ante la </w:t>
      </w:r>
      <w:r w:rsidR="00061949">
        <w:rPr>
          <w:rFonts w:ascii="Georgia" w:hAnsi="Georgia" w:cs="Arial"/>
        </w:rPr>
        <w:t>justicia</w:t>
      </w:r>
      <w:r>
        <w:rPr>
          <w:rFonts w:ascii="Georgia" w:hAnsi="Georgia" w:cs="Arial"/>
        </w:rPr>
        <w:t xml:space="preserve"> </w:t>
      </w:r>
      <w:r w:rsidR="00503A2D">
        <w:rPr>
          <w:rFonts w:ascii="Georgia" w:hAnsi="Georgia" w:cs="Arial"/>
        </w:rPr>
        <w:t>ordinaria</w:t>
      </w:r>
      <w:r>
        <w:rPr>
          <w:rFonts w:ascii="Georgia" w:hAnsi="Georgia" w:cs="Arial"/>
        </w:rPr>
        <w:t>; al recibir las rentas atrasadas</w:t>
      </w:r>
      <w:r w:rsidR="00061949">
        <w:rPr>
          <w:rFonts w:ascii="Georgia" w:hAnsi="Georgia" w:cs="Arial"/>
        </w:rPr>
        <w:t xml:space="preserve"> se</w:t>
      </w:r>
      <w:r>
        <w:rPr>
          <w:rFonts w:ascii="Georgia" w:hAnsi="Georgia" w:cs="Arial"/>
        </w:rPr>
        <w:t xml:space="preserve"> libera al deudor de la mora; en el caso particular se dio respecto de algunas rentas de los años 2009 a 2013, hecho probado en el proceso. </w:t>
      </w:r>
    </w:p>
    <w:p w:rsidR="004876AF" w:rsidRDefault="004876AF" w:rsidP="005300E2">
      <w:pPr>
        <w:spacing w:line="360" w:lineRule="auto"/>
        <w:ind w:right="51"/>
        <w:jc w:val="both"/>
        <w:rPr>
          <w:rFonts w:ascii="Georgia" w:hAnsi="Georgia" w:cs="Arial"/>
        </w:rPr>
      </w:pPr>
    </w:p>
    <w:p w:rsidR="00521FC4" w:rsidRDefault="00061949" w:rsidP="005300E2">
      <w:pPr>
        <w:spacing w:line="360" w:lineRule="auto"/>
        <w:ind w:right="51"/>
        <w:jc w:val="both"/>
        <w:rPr>
          <w:rFonts w:ascii="Georgia" w:hAnsi="Georgia" w:cs="Arial"/>
        </w:rPr>
      </w:pPr>
      <w:r>
        <w:rPr>
          <w:rFonts w:ascii="Georgia" w:hAnsi="Georgia" w:cs="Arial"/>
        </w:rPr>
        <w:t>Distinto</w:t>
      </w:r>
      <w:r w:rsidR="006335C9">
        <w:rPr>
          <w:rFonts w:ascii="Georgia" w:hAnsi="Georgia" w:cs="Arial"/>
        </w:rPr>
        <w:t xml:space="preserve"> es en lo atinente </w:t>
      </w:r>
      <w:r w:rsidR="004876AF">
        <w:rPr>
          <w:rFonts w:ascii="Georgia" w:hAnsi="Georgia" w:cs="Arial"/>
        </w:rPr>
        <w:t xml:space="preserve">a la mora en el pago </w:t>
      </w:r>
      <w:r w:rsidR="006335C9">
        <w:rPr>
          <w:rFonts w:ascii="Georgia" w:hAnsi="Georgia" w:cs="Arial"/>
        </w:rPr>
        <w:t xml:space="preserve">de los cánones correspondientes a los meses de </w:t>
      </w:r>
      <w:r w:rsidR="00F65D4C">
        <w:rPr>
          <w:rFonts w:ascii="Georgia" w:hAnsi="Georgia" w:cs="Arial"/>
        </w:rPr>
        <w:t>enero, febrero y marzo de 2017</w:t>
      </w:r>
      <w:r w:rsidR="00503A2D">
        <w:rPr>
          <w:rFonts w:ascii="Georgia" w:hAnsi="Georgia" w:cs="Arial"/>
        </w:rPr>
        <w:t xml:space="preserve">, </w:t>
      </w:r>
      <w:r w:rsidR="004876AF">
        <w:rPr>
          <w:rFonts w:ascii="Georgia" w:hAnsi="Georgia" w:cs="Arial"/>
        </w:rPr>
        <w:t>causal de restitución invocada por el actor</w:t>
      </w:r>
      <w:r>
        <w:rPr>
          <w:rFonts w:ascii="Georgia" w:hAnsi="Georgia" w:cs="Arial"/>
        </w:rPr>
        <w:t xml:space="preserve"> </w:t>
      </w:r>
      <w:r w:rsidRPr="00AF337E">
        <w:rPr>
          <w:rFonts w:ascii="Georgia" w:hAnsi="Georgia"/>
        </w:rPr>
        <w:t>(Disco compacto visible a folio 2, cuaderno principal)</w:t>
      </w:r>
      <w:r w:rsidR="004876AF">
        <w:rPr>
          <w:rFonts w:ascii="Georgia" w:hAnsi="Georgia" w:cs="Arial"/>
        </w:rPr>
        <w:t xml:space="preserve">, toda vez que </w:t>
      </w:r>
      <w:r w:rsidR="00503A2D">
        <w:rPr>
          <w:rFonts w:ascii="Georgia" w:hAnsi="Georgia" w:cs="Arial"/>
        </w:rPr>
        <w:t>en la providencia nada se</w:t>
      </w:r>
      <w:r w:rsidR="004A1D94">
        <w:rPr>
          <w:rFonts w:ascii="Georgia" w:hAnsi="Georgia" w:cs="Arial"/>
        </w:rPr>
        <w:t xml:space="preserve"> dice al respecto; no se examinó</w:t>
      </w:r>
      <w:r w:rsidR="00503A2D">
        <w:rPr>
          <w:rFonts w:ascii="Georgia" w:hAnsi="Georgia" w:cs="Arial"/>
        </w:rPr>
        <w:t xml:space="preserve"> </w:t>
      </w:r>
      <w:r w:rsidR="004A1D94">
        <w:rPr>
          <w:rFonts w:ascii="Georgia" w:hAnsi="Georgia" w:cs="Arial"/>
        </w:rPr>
        <w:t xml:space="preserve">la incidencia que tiene en la prosperidad de la excepción planteada </w:t>
      </w:r>
      <w:r>
        <w:rPr>
          <w:rFonts w:ascii="Georgia" w:hAnsi="Georgia" w:cs="Arial"/>
        </w:rPr>
        <w:t xml:space="preserve">la fecha de pago </w:t>
      </w:r>
      <w:r w:rsidR="004A1D94">
        <w:rPr>
          <w:rFonts w:ascii="Georgia" w:hAnsi="Georgia" w:cs="Arial"/>
        </w:rPr>
        <w:t xml:space="preserve">de las rentas invocadas como causal de terminación contractual; </w:t>
      </w:r>
      <w:r w:rsidR="00503A2D">
        <w:rPr>
          <w:rFonts w:ascii="Georgia" w:hAnsi="Georgia" w:cs="Arial"/>
        </w:rPr>
        <w:t xml:space="preserve">tampoco </w:t>
      </w:r>
      <w:r w:rsidR="004876AF">
        <w:rPr>
          <w:rFonts w:ascii="Georgia" w:hAnsi="Georgia" w:cs="Arial"/>
        </w:rPr>
        <w:t xml:space="preserve">si </w:t>
      </w:r>
      <w:r w:rsidR="00503A2D">
        <w:rPr>
          <w:rFonts w:ascii="Georgia" w:hAnsi="Georgia" w:cs="Arial"/>
        </w:rPr>
        <w:t xml:space="preserve">el </w:t>
      </w:r>
      <w:r w:rsidR="004A1D94">
        <w:rPr>
          <w:rFonts w:ascii="Georgia" w:hAnsi="Georgia" w:cs="Arial"/>
        </w:rPr>
        <w:t>pago se hizo conforme fue estipulado y si el accionante asintió en ello;</w:t>
      </w:r>
      <w:r w:rsidR="00503A2D">
        <w:rPr>
          <w:rFonts w:ascii="Georgia" w:hAnsi="Georgia" w:cs="Arial"/>
        </w:rPr>
        <w:t xml:space="preserve"> menos si los dineros recibidos durante el trámite del proceso </w:t>
      </w:r>
      <w:r w:rsidR="004A1D94">
        <w:rPr>
          <w:rFonts w:ascii="Georgia" w:hAnsi="Georgia" w:cs="Arial"/>
        </w:rPr>
        <w:t xml:space="preserve">se traducen en la </w:t>
      </w:r>
      <w:r w:rsidR="00D80CC1">
        <w:rPr>
          <w:rFonts w:ascii="Georgia" w:hAnsi="Georgia" w:cs="Arial"/>
        </w:rPr>
        <w:t>purga moratoria</w:t>
      </w:r>
      <w:r w:rsidR="004A1D94">
        <w:rPr>
          <w:rFonts w:ascii="Georgia" w:hAnsi="Georgia" w:cs="Arial"/>
        </w:rPr>
        <w:t xml:space="preserve">, entre otros análisis adicionales que </w:t>
      </w:r>
      <w:r w:rsidR="00467A66">
        <w:rPr>
          <w:rFonts w:ascii="Georgia" w:hAnsi="Georgia" w:cs="Arial"/>
        </w:rPr>
        <w:t>deben</w:t>
      </w:r>
      <w:r w:rsidR="004A1D94">
        <w:rPr>
          <w:rFonts w:ascii="Georgia" w:hAnsi="Georgia" w:cs="Arial"/>
        </w:rPr>
        <w:t xml:space="preserve"> realizarse para resolver el litigio</w:t>
      </w:r>
      <w:r w:rsidR="00503A2D">
        <w:rPr>
          <w:rFonts w:ascii="Georgia" w:hAnsi="Georgia" w:cs="Arial"/>
        </w:rPr>
        <w:t>.</w:t>
      </w:r>
    </w:p>
    <w:p w:rsidR="00793924" w:rsidRDefault="00793924" w:rsidP="005300E2">
      <w:pPr>
        <w:spacing w:line="360" w:lineRule="auto"/>
        <w:ind w:right="51"/>
        <w:jc w:val="both"/>
        <w:rPr>
          <w:rFonts w:ascii="Georgia" w:hAnsi="Georgia" w:cs="Arial"/>
        </w:rPr>
      </w:pPr>
    </w:p>
    <w:p w:rsidR="00D80CC1" w:rsidRDefault="00793924" w:rsidP="005300E2">
      <w:pPr>
        <w:spacing w:line="360" w:lineRule="auto"/>
        <w:ind w:right="51"/>
        <w:jc w:val="both"/>
        <w:rPr>
          <w:rFonts w:ascii="Georgia" w:hAnsi="Georgia" w:cs="Arial"/>
          <w:i/>
          <w:sz w:val="22"/>
        </w:rPr>
      </w:pPr>
      <w:r>
        <w:rPr>
          <w:rFonts w:ascii="Georgia" w:hAnsi="Georgia" w:cs="Arial"/>
        </w:rPr>
        <w:t>En dicho asunto debieron</w:t>
      </w:r>
      <w:r w:rsidR="00D80CC1">
        <w:rPr>
          <w:rFonts w:ascii="Georgia" w:hAnsi="Georgia" w:cs="Arial"/>
        </w:rPr>
        <w:t xml:space="preserve"> </w:t>
      </w:r>
      <w:r>
        <w:rPr>
          <w:rFonts w:ascii="Georgia" w:hAnsi="Georgia" w:cs="Arial"/>
        </w:rPr>
        <w:t xml:space="preserve">aplicarse </w:t>
      </w:r>
      <w:r w:rsidR="00D80CC1">
        <w:rPr>
          <w:rFonts w:ascii="Georgia" w:hAnsi="Georgia" w:cs="Arial"/>
        </w:rPr>
        <w:t>los artículos 1608, 2000 y 2002</w:t>
      </w:r>
      <w:r w:rsidR="004A1D94">
        <w:rPr>
          <w:rFonts w:ascii="Georgia" w:hAnsi="Georgia" w:cs="Arial"/>
        </w:rPr>
        <w:t xml:space="preserve"> del CC</w:t>
      </w:r>
      <w:r w:rsidR="00D80CC1">
        <w:rPr>
          <w:rFonts w:ascii="Georgia" w:hAnsi="Georgia" w:cs="Arial"/>
        </w:rPr>
        <w:t xml:space="preserve">, que reglamentan la mora del deudor, la obligación de pago del canon de arrendamiento y el término para hacerlo, mas nada se dijo al respecto; </w:t>
      </w:r>
      <w:r w:rsidR="00751473">
        <w:rPr>
          <w:rFonts w:ascii="Georgia" w:hAnsi="Georgia" w:cs="Arial"/>
        </w:rPr>
        <w:t xml:space="preserve">en consecuencia, considera la Sala que configurada </w:t>
      </w:r>
      <w:r w:rsidR="00D80CC1">
        <w:rPr>
          <w:rFonts w:ascii="Georgia" w:hAnsi="Georgia" w:cs="Arial"/>
        </w:rPr>
        <w:t>la causal primera del defecto sustantivo en providencias judiciales</w:t>
      </w:r>
      <w:r w:rsidR="00D80CC1" w:rsidRPr="001E5B6B">
        <w:rPr>
          <w:rStyle w:val="Refdenotaalpie"/>
          <w:rFonts w:ascii="Georgia" w:hAnsi="Georgia"/>
          <w:szCs w:val="22"/>
          <w:lang w:val="es-ES_tradnl"/>
        </w:rPr>
        <w:footnoteReference w:id="25"/>
      </w:r>
      <w:r w:rsidR="00D80CC1">
        <w:rPr>
          <w:rFonts w:ascii="Georgia" w:hAnsi="Georgia" w:cs="Arial"/>
        </w:rPr>
        <w:t xml:space="preserve">: </w:t>
      </w:r>
      <w:r w:rsidR="00D80CC1" w:rsidRPr="00D80CC1">
        <w:rPr>
          <w:rFonts w:ascii="Georgia" w:hAnsi="Georgia" w:cs="Arial"/>
          <w:i/>
        </w:rPr>
        <w:t>“(…)</w:t>
      </w:r>
      <w:r w:rsidR="00D80CC1">
        <w:rPr>
          <w:rFonts w:ascii="Georgia" w:hAnsi="Georgia" w:cs="Arial"/>
        </w:rPr>
        <w:t xml:space="preserve"> </w:t>
      </w:r>
      <w:r w:rsidR="00D80CC1" w:rsidRPr="00D80CC1">
        <w:rPr>
          <w:rFonts w:ascii="Georgia" w:hAnsi="Georgia" w:cs="Arial"/>
          <w:i/>
          <w:sz w:val="22"/>
        </w:rPr>
        <w:t>(i) cuando la norma aplicable al caso es claramente inadvertida o no tenida en cuenta por el fallador</w:t>
      </w:r>
      <w:r w:rsidR="00D80CC1" w:rsidRPr="00D80CC1">
        <w:rPr>
          <w:rFonts w:ascii="Georgia" w:hAnsi="Georgia" w:cs="Arial"/>
          <w:i/>
          <w:sz w:val="22"/>
          <w:vertAlign w:val="superscript"/>
        </w:rPr>
        <w:footnoteReference w:id="26"/>
      </w:r>
      <w:r w:rsidR="00D80CC1">
        <w:rPr>
          <w:rFonts w:ascii="Georgia" w:hAnsi="Georgia" w:cs="Arial"/>
          <w:i/>
          <w:sz w:val="22"/>
        </w:rPr>
        <w:t xml:space="preserve"> (…)”</w:t>
      </w:r>
      <w:r w:rsidR="004A1D94">
        <w:rPr>
          <w:rFonts w:ascii="Georgia" w:hAnsi="Georgia" w:cs="Arial"/>
          <w:i/>
          <w:sz w:val="22"/>
        </w:rPr>
        <w:t>.</w:t>
      </w:r>
    </w:p>
    <w:p w:rsidR="00521FC4" w:rsidRDefault="00521FC4" w:rsidP="005300E2">
      <w:pPr>
        <w:spacing w:line="360" w:lineRule="auto"/>
        <w:ind w:right="51"/>
        <w:jc w:val="both"/>
        <w:rPr>
          <w:rFonts w:ascii="Georgia" w:hAnsi="Georgia" w:cs="Arial"/>
        </w:rPr>
      </w:pPr>
    </w:p>
    <w:p w:rsidR="00467A66" w:rsidRDefault="00D80CC1" w:rsidP="005300E2">
      <w:pPr>
        <w:spacing w:line="360" w:lineRule="auto"/>
        <w:ind w:right="51"/>
        <w:jc w:val="both"/>
        <w:rPr>
          <w:rFonts w:ascii="Georgia" w:hAnsi="Georgia" w:cs="Arial"/>
        </w:rPr>
      </w:pPr>
      <w:r>
        <w:rPr>
          <w:rFonts w:ascii="Georgia" w:hAnsi="Georgia" w:cs="Arial"/>
        </w:rPr>
        <w:t xml:space="preserve">Asimismo, se advierte </w:t>
      </w:r>
      <w:r w:rsidR="00751473">
        <w:rPr>
          <w:rFonts w:ascii="Georgia" w:hAnsi="Georgia" w:cs="Arial"/>
        </w:rPr>
        <w:t>insuficiente la motivación en la providencia respecto de la oposición a la excepción de allanamiento a la mora, esto es, que la aceptación del pago tardío no implica la alteración de las condiciones contractuales pactadas por las partes, específicamente, de los periodos estipulados para pagar la renta.</w:t>
      </w:r>
      <w:r w:rsidR="00BF385B">
        <w:rPr>
          <w:rFonts w:ascii="Georgia" w:hAnsi="Georgia" w:cs="Arial"/>
        </w:rPr>
        <w:t xml:space="preserve"> No explicó </w:t>
      </w:r>
      <w:r w:rsidR="00206BE1">
        <w:rPr>
          <w:rFonts w:ascii="Georgia" w:hAnsi="Georgia" w:cs="Arial"/>
        </w:rPr>
        <w:t>por qué</w:t>
      </w:r>
      <w:r w:rsidR="00BF385B">
        <w:rPr>
          <w:rFonts w:ascii="Georgia" w:hAnsi="Georgia" w:cs="Arial"/>
        </w:rPr>
        <w:t xml:space="preserve"> acogió los argumentos del demandado, pese a la inaplicación de la costumbre comercial que refirió; también dejó de soportar sus razones a la luz de la interpretación de las normas del CC. </w:t>
      </w:r>
    </w:p>
    <w:p w:rsidR="00467A66" w:rsidRDefault="00467A66" w:rsidP="005300E2">
      <w:pPr>
        <w:spacing w:line="360" w:lineRule="auto"/>
        <w:ind w:right="51"/>
        <w:jc w:val="both"/>
        <w:rPr>
          <w:rFonts w:ascii="Georgia" w:hAnsi="Georgia" w:cs="Arial"/>
        </w:rPr>
      </w:pPr>
    </w:p>
    <w:p w:rsidR="00751473" w:rsidRDefault="00BF385B" w:rsidP="005300E2">
      <w:pPr>
        <w:spacing w:line="360" w:lineRule="auto"/>
        <w:ind w:right="51"/>
        <w:jc w:val="both"/>
        <w:rPr>
          <w:rFonts w:ascii="Georgia" w:hAnsi="Georgia" w:cs="Arial"/>
        </w:rPr>
      </w:pPr>
      <w:r>
        <w:rPr>
          <w:rFonts w:ascii="Georgia" w:hAnsi="Georgia" w:cs="Arial"/>
        </w:rPr>
        <w:lastRenderedPageBreak/>
        <w:t xml:space="preserve">La jueza de conocimiento cuenta con autonomía e independencia para tomar sus decisiones, </w:t>
      </w:r>
      <w:r w:rsidR="00467A66">
        <w:rPr>
          <w:rFonts w:ascii="Georgia" w:hAnsi="Georgia" w:cs="Arial"/>
        </w:rPr>
        <w:t>mas debe reseñar, de acuerdo con los supuestos de hecho expuestos por las partes y el análisis del material probatorio obrante en el asunto, la regla jurídica aplicable al caso puesto a su consideración</w:t>
      </w:r>
      <w:r w:rsidR="00206BE1">
        <w:rPr>
          <w:rFonts w:ascii="Georgia" w:hAnsi="Georgia" w:cs="Arial"/>
        </w:rPr>
        <w:t xml:space="preserve"> y el razonamiento empleado, tal cual ocurrió en la STC15519-2017</w:t>
      </w:r>
    </w:p>
    <w:p w:rsidR="00751473" w:rsidRDefault="00751473" w:rsidP="005300E2">
      <w:pPr>
        <w:spacing w:line="360" w:lineRule="auto"/>
        <w:ind w:right="51"/>
        <w:jc w:val="both"/>
        <w:rPr>
          <w:rFonts w:ascii="Georgia" w:hAnsi="Georgia" w:cs="Arial"/>
        </w:rPr>
      </w:pPr>
    </w:p>
    <w:p w:rsidR="009E44DE" w:rsidRDefault="009E44DE" w:rsidP="009E44DE">
      <w:pPr>
        <w:spacing w:line="360" w:lineRule="auto"/>
        <w:ind w:right="51"/>
        <w:jc w:val="both"/>
        <w:rPr>
          <w:rFonts w:ascii="Georgia" w:hAnsi="Georgia" w:cs="Arial"/>
          <w:lang w:val="es-CO"/>
        </w:rPr>
      </w:pPr>
      <w:r w:rsidRPr="001C6D17">
        <w:rPr>
          <w:rFonts w:ascii="Georgia" w:hAnsi="Georgia" w:cs="Arial"/>
          <w:spacing w:val="-3"/>
          <w:lang w:val="es-ES_tradnl"/>
        </w:rPr>
        <w:t>Finalmente,</w:t>
      </w:r>
      <w:r>
        <w:rPr>
          <w:rFonts w:ascii="Georgia" w:hAnsi="Georgia" w:cs="Arial"/>
          <w:spacing w:val="-3"/>
          <w:lang w:val="es-ES_tradnl"/>
        </w:rPr>
        <w:t xml:space="preserv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w:t>
      </w:r>
      <w:r>
        <w:rPr>
          <w:rFonts w:ascii="Georgia" w:hAnsi="Georgia" w:cs="Arial"/>
          <w:lang w:val="es-CO"/>
        </w:rPr>
        <w:t xml:space="preserve">de la sentencia de segunda instancia, </w:t>
      </w:r>
      <w:r w:rsidRPr="001C6D17">
        <w:rPr>
          <w:rFonts w:ascii="Georgia" w:hAnsi="Georgia" w:cs="Arial"/>
          <w:lang w:val="es-CO"/>
        </w:rPr>
        <w:t>en cuanto que</w:t>
      </w:r>
      <w:r>
        <w:rPr>
          <w:rFonts w:ascii="Georgia" w:hAnsi="Georgia" w:cs="Arial"/>
          <w:lang w:val="es-CO"/>
        </w:rPr>
        <w:t>,</w:t>
      </w:r>
      <w:r w:rsidRPr="001C6D17">
        <w:rPr>
          <w:rFonts w:ascii="Georgia" w:hAnsi="Georgia" w:cs="Arial"/>
          <w:lang w:val="es-CO"/>
        </w:rPr>
        <w:t xml:space="preserve"> si era inexistente defecto alguno en las actuaciones del estrado judicial accionado, debió simplemente negarse la tutela y no </w:t>
      </w:r>
      <w:r>
        <w:rPr>
          <w:rFonts w:ascii="Georgia" w:hAnsi="Georgia" w:cs="Arial"/>
          <w:lang w:val="es-CO"/>
        </w:rPr>
        <w:t xml:space="preserve">“negarse por </w:t>
      </w:r>
      <w:r w:rsidRPr="001C6D17">
        <w:rPr>
          <w:rFonts w:ascii="Georgia" w:hAnsi="Georgia" w:cs="Arial"/>
          <w:lang w:val="es-CO"/>
        </w:rPr>
        <w:t>improcedente</w:t>
      </w:r>
      <w:r>
        <w:rPr>
          <w:rFonts w:ascii="Georgia" w:hAnsi="Georgia" w:cs="Arial"/>
          <w:lang w:val="es-CO"/>
        </w:rPr>
        <w:t>”</w:t>
      </w:r>
      <w:r w:rsidRPr="001C6D17">
        <w:rPr>
          <w:rFonts w:ascii="Georgia" w:hAnsi="Georgia" w:cs="Arial"/>
          <w:lang w:val="es-CO"/>
        </w:rPr>
        <w:t>. Así lo ha dicho la doctrina nacional</w:t>
      </w:r>
      <w:r w:rsidRPr="001C6D17">
        <w:rPr>
          <w:rStyle w:val="Refdenotaalpie"/>
          <w:rFonts w:ascii="Georgia" w:hAnsi="Georgia"/>
          <w:lang w:val="es-CO"/>
        </w:rPr>
        <w:footnoteReference w:id="27"/>
      </w:r>
      <w:r w:rsidRPr="001C6D17">
        <w:rPr>
          <w:rFonts w:ascii="Georgia" w:hAnsi="Georgia" w:cs="Arial"/>
          <w:lang w:val="es-CO"/>
        </w:rPr>
        <w:t xml:space="preserve"> y jurisprudencia del Alto Tribunal Constitucional</w:t>
      </w:r>
      <w:r w:rsidRPr="001C6D17">
        <w:rPr>
          <w:rStyle w:val="Refdenotaalpie"/>
          <w:rFonts w:ascii="Georgia" w:hAnsi="Georgia"/>
          <w:lang w:val="es-CO"/>
        </w:rPr>
        <w:footnoteReference w:id="28"/>
      </w:r>
      <w:r w:rsidRPr="001C6D17">
        <w:rPr>
          <w:rFonts w:ascii="Georgia" w:hAnsi="Georgia" w:cs="Arial"/>
          <w:lang w:val="es-CO"/>
        </w:rPr>
        <w:t>:</w:t>
      </w:r>
    </w:p>
    <w:p w:rsidR="009E44DE" w:rsidRDefault="009E44DE" w:rsidP="009E44DE">
      <w:pPr>
        <w:spacing w:line="360" w:lineRule="auto"/>
        <w:ind w:right="51"/>
        <w:jc w:val="both"/>
        <w:rPr>
          <w:rFonts w:ascii="Georgia" w:hAnsi="Georgia" w:cs="Arial"/>
          <w:lang w:val="es-CO"/>
        </w:rPr>
      </w:pPr>
    </w:p>
    <w:p w:rsidR="009E44DE" w:rsidRDefault="009E44DE" w:rsidP="009E44DE">
      <w:pPr>
        <w:pStyle w:val="Textoindependiente"/>
        <w:tabs>
          <w:tab w:val="clear" w:pos="708"/>
          <w:tab w:val="clear" w:pos="1416"/>
          <w:tab w:val="left" w:pos="709"/>
          <w:tab w:val="left" w:pos="1418"/>
        </w:tabs>
        <w:spacing w:line="240" w:lineRule="auto"/>
        <w:ind w:left="567" w:right="567"/>
        <w:rPr>
          <w:rFonts w:ascii="Georgia" w:hAnsi="Georgia" w:cs="Arial"/>
          <w:color w:val="000000"/>
          <w:sz w:val="24"/>
          <w:szCs w:val="24"/>
          <w:shd w:val="clear" w:color="auto" w:fill="FFFFFF"/>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564C74" w:rsidRPr="001C6D17" w:rsidRDefault="00564C74" w:rsidP="009E44DE">
      <w:pPr>
        <w:pStyle w:val="Textoindependiente"/>
        <w:tabs>
          <w:tab w:val="clear" w:pos="708"/>
          <w:tab w:val="clear" w:pos="1416"/>
          <w:tab w:val="left" w:pos="709"/>
          <w:tab w:val="left" w:pos="1418"/>
        </w:tabs>
        <w:spacing w:line="240" w:lineRule="auto"/>
        <w:ind w:left="567" w:right="567"/>
        <w:rPr>
          <w:rFonts w:ascii="Georgia" w:hAnsi="Georgia" w:cs="Arial"/>
          <w:sz w:val="24"/>
          <w:szCs w:val="24"/>
          <w:lang w:val="es-CO"/>
        </w:rPr>
      </w:pPr>
    </w:p>
    <w:p w:rsidR="009E44DE" w:rsidRPr="009E44DE" w:rsidRDefault="009E44DE" w:rsidP="009E44DE">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sidRPr="009E44DE">
        <w:rPr>
          <w:rFonts w:ascii="Georgia" w:hAnsi="Georgia" w:cs="Arial"/>
          <w:sz w:val="24"/>
          <w:szCs w:val="24"/>
          <w:lang w:val="es-CO"/>
        </w:rPr>
        <w:t>Conforme a lo expuesto, diferencia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sidRPr="009E44DE">
        <w:rPr>
          <w:rStyle w:val="Refdenotaalpie"/>
          <w:rFonts w:ascii="Georgia" w:hAnsi="Georgia"/>
          <w:sz w:val="24"/>
          <w:szCs w:val="24"/>
          <w:lang w:val="es-CO"/>
        </w:rPr>
        <w:footnoteReference w:id="29"/>
      </w:r>
      <w:r w:rsidRPr="009E44DE">
        <w:rPr>
          <w:rFonts w:ascii="Georgia" w:hAnsi="Georgia" w:cs="Arial"/>
          <w:sz w:val="24"/>
          <w:szCs w:val="24"/>
          <w:lang w:val="es-CO"/>
        </w:rPr>
        <w:t>.</w:t>
      </w:r>
    </w:p>
    <w:p w:rsidR="009E44DE" w:rsidRPr="00467A66" w:rsidRDefault="009E44DE" w:rsidP="009E44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lang w:val="en-GB"/>
        </w:rPr>
      </w:pPr>
    </w:p>
    <w:p w:rsidR="00173FB1" w:rsidRDefault="00173FB1" w:rsidP="00560AA3">
      <w:pPr>
        <w:pStyle w:val="Textoindependiente"/>
        <w:numPr>
          <w:ilvl w:val="0"/>
          <w:numId w:val="1"/>
        </w:numPr>
        <w:spacing w:line="360" w:lineRule="auto"/>
        <w:ind w:right="567"/>
        <w:rPr>
          <w:rFonts w:ascii="Georgia" w:hAnsi="Georgia" w:cs="Arial"/>
          <w:sz w:val="24"/>
          <w:szCs w:val="24"/>
          <w:lang w:val="es-CO"/>
        </w:rPr>
      </w:pPr>
      <w:r w:rsidRPr="009E44DE">
        <w:rPr>
          <w:rFonts w:ascii="Georgia" w:hAnsi="Georgia" w:cs="Arial"/>
          <w:sz w:val="24"/>
          <w:szCs w:val="24"/>
          <w:lang w:val="es-CO"/>
        </w:rPr>
        <w:t xml:space="preserve">LAS CONCLUSIONES </w:t>
      </w:r>
    </w:p>
    <w:p w:rsidR="00467A66" w:rsidRPr="009E44DE" w:rsidRDefault="00467A66" w:rsidP="00467A66">
      <w:pPr>
        <w:pStyle w:val="Textoindependiente"/>
        <w:spacing w:line="360" w:lineRule="auto"/>
        <w:ind w:left="360" w:right="567"/>
        <w:rPr>
          <w:rFonts w:ascii="Georgia" w:hAnsi="Georgia" w:cs="Arial"/>
          <w:sz w:val="24"/>
          <w:szCs w:val="24"/>
          <w:lang w:val="es-CO"/>
        </w:rPr>
      </w:pPr>
    </w:p>
    <w:p w:rsidR="009E44DE" w:rsidRPr="009E44DE" w:rsidRDefault="009E44DE" w:rsidP="009E44DE">
      <w:pPr>
        <w:pStyle w:val="Textoindependiente"/>
        <w:tabs>
          <w:tab w:val="clear" w:pos="708"/>
        </w:tabs>
        <w:spacing w:line="360" w:lineRule="auto"/>
        <w:rPr>
          <w:rFonts w:ascii="Georgia" w:hAnsi="Georgia" w:cs="Arial"/>
          <w:sz w:val="24"/>
          <w:szCs w:val="24"/>
          <w:lang w:val="es-ES"/>
        </w:rPr>
      </w:pPr>
      <w:r w:rsidRPr="009E44DE">
        <w:rPr>
          <w:rFonts w:ascii="Georgia" w:hAnsi="Georgia" w:cs="Arial"/>
          <w:sz w:val="24"/>
          <w:szCs w:val="24"/>
          <w:lang w:val="es-ES"/>
        </w:rPr>
        <w:t xml:space="preserve">Con fundamento en las consideraciones expuestas: (i) Se </w:t>
      </w:r>
      <w:r>
        <w:rPr>
          <w:rFonts w:ascii="Georgia" w:hAnsi="Georgia" w:cs="Arial"/>
          <w:sz w:val="24"/>
          <w:szCs w:val="24"/>
          <w:lang w:val="es-ES"/>
        </w:rPr>
        <w:t xml:space="preserve">revocará la sentencia opugnada, y en su lugar, se </w:t>
      </w:r>
      <w:r w:rsidRPr="009E44DE">
        <w:rPr>
          <w:rFonts w:ascii="Georgia" w:hAnsi="Georgia" w:cs="Arial"/>
          <w:sz w:val="24"/>
          <w:szCs w:val="24"/>
          <w:lang w:val="es-ES"/>
        </w:rPr>
        <w:t xml:space="preserve">concederá el amparo constitucional frente al Juzgado Tercero Civil </w:t>
      </w:r>
      <w:r>
        <w:rPr>
          <w:rFonts w:ascii="Georgia" w:hAnsi="Georgia" w:cs="Arial"/>
          <w:sz w:val="24"/>
          <w:szCs w:val="24"/>
          <w:lang w:val="es-ES"/>
        </w:rPr>
        <w:t xml:space="preserve">Municipal de Dosquebradas, </w:t>
      </w:r>
      <w:r w:rsidRPr="009E44DE">
        <w:rPr>
          <w:rFonts w:ascii="Georgia" w:hAnsi="Georgia" w:cs="Arial"/>
          <w:sz w:val="24"/>
          <w:szCs w:val="24"/>
          <w:lang w:val="es-ES"/>
        </w:rPr>
        <w:t xml:space="preserve">por </w:t>
      </w:r>
      <w:r>
        <w:rPr>
          <w:rFonts w:ascii="Georgia" w:hAnsi="Georgia" w:cs="Arial"/>
          <w:sz w:val="24"/>
          <w:szCs w:val="24"/>
          <w:lang w:val="es-ES"/>
        </w:rPr>
        <w:t xml:space="preserve">haber incurrido en el defecto sustantivo en la providencia cuestionada, además, de carecer de </w:t>
      </w:r>
      <w:r w:rsidRPr="009E44DE">
        <w:rPr>
          <w:rFonts w:ascii="Georgia" w:hAnsi="Georgia" w:cs="Arial"/>
          <w:sz w:val="24"/>
          <w:szCs w:val="24"/>
          <w:lang w:val="es-ES"/>
        </w:rPr>
        <w:t>motivación</w:t>
      </w:r>
      <w:r>
        <w:rPr>
          <w:rFonts w:ascii="Georgia" w:hAnsi="Georgia" w:cs="Arial"/>
          <w:sz w:val="24"/>
          <w:szCs w:val="24"/>
          <w:lang w:val="es-ES"/>
        </w:rPr>
        <w:t xml:space="preserve"> suficiente</w:t>
      </w:r>
      <w:r w:rsidRPr="009E44DE">
        <w:rPr>
          <w:rFonts w:ascii="Georgia" w:hAnsi="Georgia" w:cs="Arial"/>
          <w:sz w:val="24"/>
          <w:szCs w:val="24"/>
          <w:lang w:val="es-ES"/>
        </w:rPr>
        <w:t xml:space="preserve">; (ii) Se dejará si efectos la decisión del </w:t>
      </w:r>
      <w:r>
        <w:rPr>
          <w:rFonts w:ascii="Georgia" w:hAnsi="Georgia" w:cs="Arial"/>
          <w:sz w:val="24"/>
          <w:szCs w:val="24"/>
          <w:lang w:val="es-ES"/>
        </w:rPr>
        <w:t>26-10-2017</w:t>
      </w:r>
      <w:r w:rsidRPr="009E44DE">
        <w:rPr>
          <w:rFonts w:ascii="Georgia" w:hAnsi="Georgia" w:cs="Arial"/>
          <w:sz w:val="24"/>
          <w:szCs w:val="24"/>
          <w:lang w:val="es-ES"/>
        </w:rPr>
        <w:t>;</w:t>
      </w:r>
      <w:r>
        <w:rPr>
          <w:rFonts w:ascii="Georgia" w:hAnsi="Georgia" w:cs="Arial"/>
          <w:sz w:val="24"/>
          <w:szCs w:val="24"/>
          <w:lang w:val="es-ES"/>
        </w:rPr>
        <w:t xml:space="preserve"> y,</w:t>
      </w:r>
      <w:r w:rsidRPr="009E44DE">
        <w:rPr>
          <w:rFonts w:ascii="Georgia" w:hAnsi="Georgia" w:cs="Arial"/>
          <w:sz w:val="24"/>
          <w:szCs w:val="24"/>
          <w:lang w:val="es-ES"/>
        </w:rPr>
        <w:t xml:space="preserve"> (iii) Se impondrán las ordenes respectivas</w:t>
      </w:r>
      <w:r w:rsidRPr="009E44DE">
        <w:rPr>
          <w:rFonts w:ascii="Georgia" w:hAnsi="Georgia"/>
          <w:sz w:val="24"/>
          <w:szCs w:val="24"/>
        </w:rPr>
        <w:t>.</w:t>
      </w:r>
    </w:p>
    <w:p w:rsidR="009E44DE" w:rsidRPr="00467A66" w:rsidRDefault="009E44DE" w:rsidP="009E44DE">
      <w:pPr>
        <w:pStyle w:val="Textoindependiente"/>
        <w:spacing w:line="360" w:lineRule="auto"/>
        <w:rPr>
          <w:rFonts w:ascii="Georgia" w:hAnsi="Georgia" w:cs="Arial"/>
          <w:sz w:val="24"/>
          <w:szCs w:val="24"/>
          <w:lang w:val="es-ES"/>
        </w:rPr>
      </w:pPr>
    </w:p>
    <w:p w:rsidR="009E44DE" w:rsidRDefault="009E44DE" w:rsidP="009E44DE">
      <w:pPr>
        <w:tabs>
          <w:tab w:val="left" w:pos="-720"/>
        </w:tabs>
        <w:suppressAutoHyphens/>
        <w:spacing w:line="360" w:lineRule="auto"/>
        <w:jc w:val="both"/>
        <w:rPr>
          <w:rFonts w:ascii="Georgia" w:hAnsi="Georgia" w:cs="Arial"/>
        </w:rPr>
      </w:pPr>
      <w:r w:rsidRPr="009E44DE">
        <w:rPr>
          <w:rFonts w:ascii="Georgia" w:hAnsi="Georgia" w:cs="Arial"/>
        </w:rPr>
        <w:t xml:space="preserve">En mérito de lo expuesto, el </w:t>
      </w:r>
      <w:r w:rsidRPr="009E44DE">
        <w:rPr>
          <w:rFonts w:ascii="Georgia" w:hAnsi="Georgia" w:cs="Arial"/>
          <w:bCs/>
          <w:smallCaps/>
        </w:rPr>
        <w:t>Tribunal Superior del Distrito Judicial de Pereira, Sala de Decisión Civil -Familia</w:t>
      </w:r>
      <w:r w:rsidRPr="009E44DE">
        <w:rPr>
          <w:rFonts w:ascii="Georgia" w:hAnsi="Georgia" w:cs="Arial"/>
        </w:rPr>
        <w:t>, administrando Justicia, en nombre de la República y por autoridad de la Ley,</w:t>
      </w:r>
    </w:p>
    <w:p w:rsidR="00467A66" w:rsidRPr="00467A66" w:rsidRDefault="00467A66" w:rsidP="009E44DE">
      <w:pPr>
        <w:tabs>
          <w:tab w:val="left" w:pos="-720"/>
        </w:tabs>
        <w:suppressAutoHyphens/>
        <w:spacing w:line="360" w:lineRule="auto"/>
        <w:jc w:val="both"/>
        <w:rPr>
          <w:rFonts w:ascii="Georgia" w:hAnsi="Georgia" w:cs="Arial"/>
        </w:rPr>
      </w:pPr>
    </w:p>
    <w:p w:rsidR="009E44DE" w:rsidRPr="009E44DE" w:rsidRDefault="009E44DE" w:rsidP="009E44DE">
      <w:pPr>
        <w:pStyle w:val="Textoindependiente"/>
        <w:spacing w:line="360" w:lineRule="auto"/>
        <w:jc w:val="center"/>
        <w:rPr>
          <w:rFonts w:ascii="Georgia" w:hAnsi="Georgia" w:cs="Arial"/>
          <w:bCs/>
          <w:smallCaps/>
          <w:sz w:val="24"/>
          <w:szCs w:val="24"/>
        </w:rPr>
      </w:pPr>
      <w:r w:rsidRPr="009E44DE">
        <w:rPr>
          <w:rFonts w:ascii="Georgia" w:hAnsi="Georgia" w:cs="Arial"/>
          <w:bCs/>
          <w:smallCaps/>
          <w:sz w:val="24"/>
          <w:szCs w:val="24"/>
        </w:rPr>
        <w:t>F A L L A,</w:t>
      </w:r>
    </w:p>
    <w:p w:rsidR="009E44DE" w:rsidRPr="00467A66" w:rsidRDefault="009E44DE" w:rsidP="009E44DE">
      <w:pPr>
        <w:pStyle w:val="Textoindependiente"/>
        <w:spacing w:line="360" w:lineRule="auto"/>
        <w:jc w:val="center"/>
        <w:rPr>
          <w:rFonts w:ascii="Georgia" w:hAnsi="Georgia" w:cs="Arial"/>
          <w:bCs/>
          <w:smallCaps/>
          <w:sz w:val="24"/>
          <w:szCs w:val="24"/>
        </w:rPr>
      </w:pPr>
    </w:p>
    <w:p w:rsidR="009E44DE" w:rsidRPr="009E44DE" w:rsidRDefault="009E44DE" w:rsidP="009E44DE">
      <w:pPr>
        <w:pStyle w:val="Textoindependiente"/>
        <w:numPr>
          <w:ilvl w:val="0"/>
          <w:numId w:val="34"/>
        </w:numPr>
        <w:tabs>
          <w:tab w:val="clear" w:pos="708"/>
        </w:tabs>
        <w:spacing w:line="360" w:lineRule="auto"/>
        <w:rPr>
          <w:rFonts w:ascii="Georgia" w:hAnsi="Georgia" w:cs="Arial"/>
          <w:sz w:val="24"/>
          <w:szCs w:val="24"/>
        </w:rPr>
      </w:pPr>
      <w:r>
        <w:rPr>
          <w:rFonts w:ascii="Georgia" w:hAnsi="Georgia"/>
          <w:sz w:val="24"/>
          <w:szCs w:val="24"/>
        </w:rPr>
        <w:lastRenderedPageBreak/>
        <w:t>REVOCAR la sentencia dictada el 20-11-2017 por el Juzgado Civil del Circuito de Dosquebradas.</w:t>
      </w:r>
    </w:p>
    <w:p w:rsidR="009E44DE" w:rsidRPr="00467A66" w:rsidRDefault="009E44DE" w:rsidP="009E44DE">
      <w:pPr>
        <w:pStyle w:val="Textoindependiente"/>
        <w:tabs>
          <w:tab w:val="clear" w:pos="708"/>
        </w:tabs>
        <w:spacing w:line="360" w:lineRule="auto"/>
        <w:ind w:left="360"/>
        <w:rPr>
          <w:rFonts w:ascii="Georgia" w:hAnsi="Georgia" w:cs="Arial"/>
          <w:sz w:val="24"/>
          <w:szCs w:val="24"/>
        </w:rPr>
      </w:pPr>
      <w:r>
        <w:rPr>
          <w:rFonts w:ascii="Georgia" w:hAnsi="Georgia"/>
          <w:sz w:val="24"/>
          <w:szCs w:val="24"/>
        </w:rPr>
        <w:t xml:space="preserve"> </w:t>
      </w:r>
    </w:p>
    <w:p w:rsidR="009E44DE" w:rsidRPr="009E44DE" w:rsidRDefault="009E44DE" w:rsidP="009E44DE">
      <w:pPr>
        <w:pStyle w:val="Textoindependiente"/>
        <w:numPr>
          <w:ilvl w:val="0"/>
          <w:numId w:val="34"/>
        </w:numPr>
        <w:tabs>
          <w:tab w:val="clear" w:pos="708"/>
        </w:tabs>
        <w:spacing w:line="360" w:lineRule="auto"/>
        <w:rPr>
          <w:rFonts w:ascii="Georgia" w:hAnsi="Georgia" w:cs="Arial"/>
          <w:sz w:val="24"/>
          <w:szCs w:val="24"/>
        </w:rPr>
      </w:pPr>
      <w:r w:rsidRPr="009E44DE">
        <w:rPr>
          <w:rFonts w:ascii="Georgia" w:hAnsi="Georgia"/>
          <w:sz w:val="24"/>
          <w:szCs w:val="24"/>
        </w:rPr>
        <w:t xml:space="preserve">CONCEDER la acción de tutela </w:t>
      </w:r>
      <w:r w:rsidRPr="009E44DE">
        <w:rPr>
          <w:rFonts w:ascii="Georgia" w:hAnsi="Georgia" w:cs="Arial"/>
          <w:sz w:val="24"/>
          <w:szCs w:val="24"/>
          <w:lang w:val="es-ES"/>
        </w:rPr>
        <w:t xml:space="preserve">presentada por el señor </w:t>
      </w:r>
      <w:r>
        <w:rPr>
          <w:rFonts w:ascii="Georgia" w:hAnsi="Georgia" w:cs="Arial"/>
          <w:sz w:val="24"/>
          <w:szCs w:val="24"/>
          <w:lang w:val="es-ES"/>
        </w:rPr>
        <w:t xml:space="preserve">Jesús Didier Garzón Moreno </w:t>
      </w:r>
      <w:r w:rsidRPr="009E44DE">
        <w:rPr>
          <w:rFonts w:ascii="Georgia" w:hAnsi="Georgia" w:cs="Arial"/>
          <w:sz w:val="24"/>
          <w:szCs w:val="24"/>
          <w:lang w:val="es-ES"/>
        </w:rPr>
        <w:t xml:space="preserve">frente al Juzgado </w:t>
      </w:r>
      <w:r w:rsidRPr="009E44DE">
        <w:rPr>
          <w:rFonts w:ascii="Georgia" w:hAnsi="Georgia"/>
          <w:sz w:val="24"/>
          <w:szCs w:val="24"/>
        </w:rPr>
        <w:t xml:space="preserve">Tercero Civil </w:t>
      </w:r>
      <w:r>
        <w:rPr>
          <w:rFonts w:ascii="Georgia" w:hAnsi="Georgia"/>
          <w:sz w:val="24"/>
          <w:szCs w:val="24"/>
        </w:rPr>
        <w:t>Municipal de Dosquebradas.</w:t>
      </w:r>
    </w:p>
    <w:p w:rsidR="009E44DE" w:rsidRPr="00467A66" w:rsidRDefault="009E44DE" w:rsidP="009E44DE">
      <w:pPr>
        <w:pStyle w:val="Textoindependiente"/>
        <w:tabs>
          <w:tab w:val="clear" w:pos="708"/>
          <w:tab w:val="num" w:pos="720"/>
        </w:tabs>
        <w:spacing w:line="360" w:lineRule="auto"/>
        <w:ind w:left="426"/>
        <w:rPr>
          <w:rFonts w:ascii="Georgia" w:hAnsi="Georgia" w:cs="Arial"/>
          <w:sz w:val="24"/>
          <w:szCs w:val="24"/>
        </w:rPr>
      </w:pPr>
    </w:p>
    <w:p w:rsidR="009E44DE" w:rsidRPr="009E44DE" w:rsidRDefault="009E44DE" w:rsidP="00793924">
      <w:pPr>
        <w:pStyle w:val="Textoindependiente"/>
        <w:numPr>
          <w:ilvl w:val="0"/>
          <w:numId w:val="34"/>
        </w:numPr>
        <w:tabs>
          <w:tab w:val="clear" w:pos="708"/>
        </w:tabs>
        <w:spacing w:line="360" w:lineRule="auto"/>
        <w:rPr>
          <w:rFonts w:ascii="Georgia" w:hAnsi="Georgia" w:cs="Arial"/>
          <w:sz w:val="24"/>
          <w:szCs w:val="24"/>
        </w:rPr>
      </w:pPr>
      <w:r w:rsidRPr="009E44DE">
        <w:rPr>
          <w:rFonts w:ascii="Georgia" w:hAnsi="Georgia" w:cs="Arial"/>
          <w:sz w:val="24"/>
          <w:szCs w:val="24"/>
        </w:rPr>
        <w:t xml:space="preserve">DECLARAR, en consecuencia, sin efectos </w:t>
      </w:r>
      <w:r>
        <w:rPr>
          <w:rFonts w:ascii="Georgia" w:hAnsi="Georgia" w:cs="Arial"/>
          <w:sz w:val="24"/>
          <w:szCs w:val="24"/>
        </w:rPr>
        <w:t xml:space="preserve">el fallo de única instancia dictado el 26-10-2017, </w:t>
      </w:r>
      <w:r w:rsidRPr="009E44DE">
        <w:rPr>
          <w:rFonts w:ascii="Georgia" w:hAnsi="Georgia" w:cs="Arial"/>
          <w:sz w:val="24"/>
          <w:szCs w:val="24"/>
        </w:rPr>
        <w:t xml:space="preserve">en el </w:t>
      </w:r>
      <w:r>
        <w:rPr>
          <w:rFonts w:ascii="Georgia" w:hAnsi="Georgia" w:cs="Arial"/>
          <w:sz w:val="24"/>
          <w:szCs w:val="24"/>
        </w:rPr>
        <w:t>proceso de restitución de inmueble radicado al No.2017-00215-00</w:t>
      </w:r>
      <w:r w:rsidRPr="009E44DE">
        <w:rPr>
          <w:rFonts w:ascii="Georgia" w:hAnsi="Georgia" w:cs="Arial"/>
          <w:sz w:val="24"/>
          <w:szCs w:val="24"/>
        </w:rPr>
        <w:t>.</w:t>
      </w:r>
    </w:p>
    <w:p w:rsidR="009E44DE" w:rsidRPr="00467A66" w:rsidRDefault="009E44DE" w:rsidP="00793924">
      <w:pPr>
        <w:pStyle w:val="Prrafodelista"/>
        <w:spacing w:after="0" w:line="360" w:lineRule="auto"/>
        <w:ind w:left="426"/>
        <w:jc w:val="both"/>
        <w:rPr>
          <w:rFonts w:ascii="Georgia" w:hAnsi="Georgia" w:cs="Arial"/>
          <w:lang w:val="es-ES_tradnl"/>
        </w:rPr>
      </w:pPr>
    </w:p>
    <w:p w:rsidR="009E44DE" w:rsidRPr="00F26867" w:rsidRDefault="009E44DE" w:rsidP="00793924">
      <w:pPr>
        <w:numPr>
          <w:ilvl w:val="0"/>
          <w:numId w:val="34"/>
        </w:numPr>
        <w:tabs>
          <w:tab w:val="num" w:pos="502"/>
        </w:tabs>
        <w:spacing w:line="360" w:lineRule="auto"/>
        <w:jc w:val="both"/>
        <w:rPr>
          <w:rFonts w:ascii="Georgia" w:hAnsi="Georgia" w:cs="Arial"/>
          <w:lang w:val="es-ES_tradnl"/>
        </w:rPr>
      </w:pPr>
      <w:r w:rsidRPr="009E44DE">
        <w:rPr>
          <w:rFonts w:ascii="Georgia" w:hAnsi="Georgia" w:cs="Times New Roman"/>
          <w:spacing w:val="-3"/>
          <w:lang w:val="es-ES_tradnl"/>
        </w:rPr>
        <w:t>ORDENAR Al Juzgado accionado</w:t>
      </w:r>
      <w:r w:rsidRPr="009E44DE">
        <w:rPr>
          <w:rFonts w:ascii="Georgia" w:hAnsi="Georgia" w:cs="Arial"/>
        </w:rPr>
        <w:t xml:space="preserve">, que en el perentorio término de </w:t>
      </w:r>
      <w:r>
        <w:rPr>
          <w:rFonts w:ascii="Georgia" w:hAnsi="Georgia" w:cs="Arial"/>
        </w:rPr>
        <w:t xml:space="preserve">diez </w:t>
      </w:r>
      <w:r w:rsidRPr="009E44DE">
        <w:rPr>
          <w:rFonts w:ascii="Georgia" w:hAnsi="Georgia" w:cs="Arial"/>
        </w:rPr>
        <w:t>(</w:t>
      </w:r>
      <w:r>
        <w:rPr>
          <w:rFonts w:ascii="Georgia" w:hAnsi="Georgia" w:cs="Arial"/>
        </w:rPr>
        <w:t>10</w:t>
      </w:r>
      <w:r w:rsidRPr="009E44DE">
        <w:rPr>
          <w:rFonts w:ascii="Georgia" w:hAnsi="Georgia" w:cs="Arial"/>
        </w:rPr>
        <w:t xml:space="preserve">) </w:t>
      </w:r>
      <w:r>
        <w:rPr>
          <w:rFonts w:ascii="Georgia" w:hAnsi="Georgia" w:cs="Arial"/>
        </w:rPr>
        <w:t>días</w:t>
      </w:r>
      <w:r w:rsidRPr="009E44DE">
        <w:rPr>
          <w:rFonts w:ascii="Georgia" w:hAnsi="Georgia" w:cs="Arial"/>
        </w:rPr>
        <w:t>, siguientes a la notificación de esta providencia, profiera un</w:t>
      </w:r>
      <w:r>
        <w:rPr>
          <w:rFonts w:ascii="Georgia" w:hAnsi="Georgia" w:cs="Arial"/>
        </w:rPr>
        <w:t>a</w:t>
      </w:r>
      <w:r w:rsidRPr="009E44DE">
        <w:rPr>
          <w:rFonts w:ascii="Georgia" w:hAnsi="Georgia" w:cs="Arial"/>
        </w:rPr>
        <w:t xml:space="preserve"> </w:t>
      </w:r>
      <w:r>
        <w:rPr>
          <w:rFonts w:ascii="Georgia" w:hAnsi="Georgia" w:cs="Arial"/>
        </w:rPr>
        <w:t xml:space="preserve">nueva sentencia </w:t>
      </w:r>
      <w:r w:rsidR="00F26867" w:rsidRPr="00F26867">
        <w:rPr>
          <w:rFonts w:ascii="Georgia" w:hAnsi="Georgia" w:cs="Arial"/>
          <w:lang w:val="es-ES_tradnl"/>
        </w:rPr>
        <w:t>en el proceso referido, con estricta observancia de las consideraciones jurídicas aquí planteadas.</w:t>
      </w:r>
    </w:p>
    <w:p w:rsidR="009E44DE" w:rsidRPr="00467A66" w:rsidRDefault="009E44DE" w:rsidP="009E44DE">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173FB1" w:rsidRPr="009E44DE" w:rsidRDefault="00173FB1" w:rsidP="00173FB1">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360" w:lineRule="auto"/>
        <w:contextualSpacing w:val="0"/>
        <w:jc w:val="both"/>
        <w:rPr>
          <w:rFonts w:ascii="Georgia" w:hAnsi="Georgia" w:cs="Arial"/>
          <w:sz w:val="24"/>
          <w:szCs w:val="24"/>
        </w:rPr>
      </w:pPr>
      <w:r w:rsidRPr="009E44DE">
        <w:rPr>
          <w:rFonts w:ascii="Georgia" w:hAnsi="Georgia" w:cs="Arial"/>
          <w:sz w:val="24"/>
          <w:szCs w:val="24"/>
        </w:rPr>
        <w:t>NOTIFICAR esta decisión a todas las partes, por el medio más expedito y eficaz.</w:t>
      </w:r>
    </w:p>
    <w:p w:rsidR="00D029BB" w:rsidRPr="00467A66" w:rsidRDefault="00D029BB" w:rsidP="00D029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173FB1" w:rsidRPr="009E44DE" w:rsidRDefault="00173FB1" w:rsidP="00173FB1">
      <w:pPr>
        <w:pStyle w:val="Textoindependiente"/>
        <w:numPr>
          <w:ilvl w:val="0"/>
          <w:numId w:val="34"/>
        </w:numPr>
        <w:tabs>
          <w:tab w:val="clear" w:pos="708"/>
        </w:tabs>
        <w:spacing w:line="360" w:lineRule="auto"/>
        <w:rPr>
          <w:rFonts w:ascii="Georgia" w:hAnsi="Georgia" w:cs="Arial"/>
          <w:sz w:val="24"/>
          <w:szCs w:val="24"/>
        </w:rPr>
      </w:pPr>
      <w:r w:rsidRPr="009E44DE">
        <w:rPr>
          <w:rFonts w:ascii="Georgia" w:hAnsi="Georgia" w:cs="Arial"/>
          <w:sz w:val="24"/>
          <w:szCs w:val="24"/>
        </w:rPr>
        <w:t>REMITIR este expediente, a la CC para su eventual revisión, de no ser impugnada.</w:t>
      </w:r>
    </w:p>
    <w:p w:rsidR="00173FB1" w:rsidRPr="00467A66" w:rsidRDefault="00173FB1" w:rsidP="00173FB1">
      <w:pPr>
        <w:pStyle w:val="Textoindependiente"/>
        <w:tabs>
          <w:tab w:val="clear" w:pos="708"/>
        </w:tabs>
        <w:spacing w:line="360" w:lineRule="auto"/>
        <w:rPr>
          <w:rFonts w:ascii="Georgia" w:hAnsi="Georgia" w:cs="Arial"/>
          <w:sz w:val="24"/>
          <w:szCs w:val="24"/>
          <w:lang w:val="es-CO"/>
        </w:rPr>
      </w:pPr>
    </w:p>
    <w:p w:rsidR="00173FB1" w:rsidRPr="00BB6492" w:rsidRDefault="00173FB1" w:rsidP="00173FB1">
      <w:pPr>
        <w:pStyle w:val="Prrafodelista"/>
        <w:numPr>
          <w:ilvl w:val="0"/>
          <w:numId w:val="34"/>
        </w:numPr>
        <w:spacing w:after="0" w:line="360" w:lineRule="auto"/>
        <w:ind w:right="51"/>
        <w:jc w:val="both"/>
        <w:rPr>
          <w:rFonts w:ascii="Georgia" w:hAnsi="Georgia"/>
          <w:sz w:val="24"/>
          <w:szCs w:val="24"/>
        </w:rPr>
      </w:pPr>
      <w:r w:rsidRPr="0012245E">
        <w:rPr>
          <w:rFonts w:ascii="Georgia" w:hAnsi="Georgia" w:cs="Arial"/>
          <w:sz w:val="24"/>
          <w:szCs w:val="24"/>
        </w:rPr>
        <w:t>ORDENAR el archivo del expediente, surtidos los trámites anteriores</w:t>
      </w:r>
      <w:r w:rsidRPr="00BB6492">
        <w:rPr>
          <w:rFonts w:ascii="Georgia" w:hAnsi="Georgia" w:cs="Arial"/>
          <w:sz w:val="24"/>
          <w:szCs w:val="24"/>
        </w:rPr>
        <w:t>.</w:t>
      </w:r>
    </w:p>
    <w:p w:rsidR="003913E3" w:rsidRPr="00715A6F"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3913E3" w:rsidRPr="00484A74" w:rsidRDefault="000F2638" w:rsidP="00F839CE">
      <w:pPr>
        <w:pStyle w:val="Textoindependiente"/>
        <w:spacing w:line="360" w:lineRule="auto"/>
        <w:jc w:val="center"/>
        <w:rPr>
          <w:rFonts w:ascii="Georgia" w:hAnsi="Georgia"/>
          <w:smallCaps/>
          <w:sz w:val="22"/>
          <w:szCs w:val="24"/>
          <w:lang w:val="en-US"/>
        </w:rPr>
      </w:pPr>
      <w:r w:rsidRPr="00484A74">
        <w:rPr>
          <w:rFonts w:ascii="Georgia" w:hAnsi="Georgia"/>
          <w:smallCaps/>
          <w:sz w:val="24"/>
          <w:szCs w:val="24"/>
          <w:lang w:val="en-US"/>
        </w:rPr>
        <w:t>NOTIFÍQUESE,</w:t>
      </w:r>
    </w:p>
    <w:p w:rsidR="000F2638" w:rsidRDefault="000F2638"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715A6F" w:rsidRPr="000F2638" w:rsidRDefault="00715A6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751473"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p w:rsidR="00751473" w:rsidRDefault="00751473">
      <w:pPr>
        <w:widowControl/>
        <w:autoSpaceDE/>
        <w:autoSpaceDN/>
        <w:adjustRightInd/>
        <w:rPr>
          <w:rFonts w:ascii="Georgia" w:hAnsi="Georgia" w:cs="Arial"/>
          <w:i/>
          <w:w w:val="150"/>
          <w:sz w:val="18"/>
          <w:lang w:val="en-GB"/>
        </w:rPr>
      </w:pPr>
    </w:p>
    <w:sectPr w:rsidR="00751473" w:rsidSect="00715A6F">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36" w:rsidRDefault="009B6436" w:rsidP="002F20AB">
      <w:r>
        <w:separator/>
      </w:r>
    </w:p>
  </w:endnote>
  <w:endnote w:type="continuationSeparator" w:id="0">
    <w:p w:rsidR="009B6436" w:rsidRDefault="009B643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C747F2" w:rsidRPr="00DB34BE" w:rsidRDefault="00C747F2">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0F2638" w:rsidRDefault="00C747F2" w:rsidP="00A67268">
    <w:pPr>
      <w:pStyle w:val="Piedepgina"/>
      <w:pBdr>
        <w:bottom w:val="double" w:sz="6" w:space="1" w:color="auto"/>
      </w:pBdr>
      <w:spacing w:line="360" w:lineRule="auto"/>
      <w:rPr>
        <w:rFonts w:ascii="Georgia" w:hAnsi="Georgia" w:cs="Arial"/>
        <w:spacing w:val="20"/>
        <w:w w:val="200"/>
        <w:sz w:val="2"/>
        <w:szCs w:val="10"/>
        <w:lang w:val="es-ES"/>
      </w:rPr>
    </w:pPr>
  </w:p>
  <w:p w:rsidR="00C747F2" w:rsidRPr="00DB34BE" w:rsidRDefault="00C747F2" w:rsidP="00751EE2">
    <w:pPr>
      <w:pStyle w:val="Piedepgina"/>
      <w:spacing w:line="360" w:lineRule="auto"/>
      <w:jc w:val="right"/>
      <w:rPr>
        <w:rFonts w:ascii="Georgia" w:hAnsi="Georgia" w:cs="Arial"/>
        <w:spacing w:val="20"/>
        <w:w w:val="200"/>
        <w:sz w:val="14"/>
        <w:szCs w:val="10"/>
      </w:rPr>
    </w:pPr>
  </w:p>
  <w:p w:rsidR="00C747F2" w:rsidRPr="00DB34BE" w:rsidRDefault="00C747F2"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C747F2" w:rsidRPr="00DB34BE" w:rsidRDefault="00C747F2"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C53999" w:rsidRDefault="00C747F2"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747F2" w:rsidRPr="00213147" w:rsidRDefault="00C747F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36" w:rsidRDefault="009B6436" w:rsidP="002F20AB">
      <w:r>
        <w:separator/>
      </w:r>
    </w:p>
  </w:footnote>
  <w:footnote w:type="continuationSeparator" w:id="0">
    <w:p w:rsidR="009B6436" w:rsidRDefault="009B6436" w:rsidP="002F20AB">
      <w:r>
        <w:continuationSeparator/>
      </w:r>
    </w:p>
  </w:footnote>
  <w:footnote w:id="1">
    <w:p w:rsidR="00C747F2" w:rsidRPr="00FA15F8" w:rsidRDefault="00C747F2" w:rsidP="00DB34BE">
      <w:pPr>
        <w:pStyle w:val="Textonotapie"/>
        <w:ind w:left="142" w:hanging="142"/>
        <w:jc w:val="both"/>
      </w:pPr>
      <w:r w:rsidRPr="00FA15F8">
        <w:rPr>
          <w:rStyle w:val="Refdenotaalpie"/>
        </w:rPr>
        <w:footnoteRef/>
      </w:r>
      <w:r w:rsidRPr="00FA15F8">
        <w:t xml:space="preserve"> QUINCHE R., Manuel F. Vías de hecho, acción de tutela contra providencias, Temis SA, Bogotá, 2013,    p.103.</w:t>
      </w:r>
    </w:p>
  </w:footnote>
  <w:footnote w:id="2">
    <w:p w:rsidR="00C747F2" w:rsidRPr="00FA15F8" w:rsidRDefault="00C747F2" w:rsidP="00DB34BE">
      <w:pPr>
        <w:pStyle w:val="Textonotapie"/>
        <w:ind w:left="142" w:hanging="142"/>
        <w:jc w:val="both"/>
      </w:pPr>
      <w:r w:rsidRPr="00FA15F8">
        <w:rPr>
          <w:rStyle w:val="Refdenotaalpie"/>
        </w:rPr>
        <w:footnoteRef/>
      </w:r>
      <w:r w:rsidRPr="00FA15F8">
        <w:t xml:space="preserve"> QUIROGA N., Édgar A. Tutela contra decisiones judiciales, Universidad Santo Tomás y editorial Ibáñez, Bogotá  DC, 2014, p.83.</w:t>
      </w:r>
    </w:p>
  </w:footnote>
  <w:footnote w:id="3">
    <w:p w:rsidR="00C747F2" w:rsidRPr="00FA15F8" w:rsidRDefault="00C747F2" w:rsidP="00DB34BE">
      <w:pPr>
        <w:pStyle w:val="Textonotapie"/>
        <w:jc w:val="both"/>
      </w:pPr>
      <w:r w:rsidRPr="00FA15F8">
        <w:rPr>
          <w:rStyle w:val="Refdenotaalpie"/>
        </w:rPr>
        <w:footnoteRef/>
      </w:r>
      <w:r w:rsidRPr="00FA15F8">
        <w:t xml:space="preserve"> </w:t>
      </w:r>
      <w:r w:rsidRPr="00FA15F8">
        <w:rPr>
          <w:lang w:val="es-MX"/>
        </w:rPr>
        <w:t>CC. T-917 de 2011.</w:t>
      </w:r>
    </w:p>
  </w:footnote>
  <w:footnote w:id="4">
    <w:p w:rsidR="00C747F2" w:rsidRPr="00FA15F8" w:rsidRDefault="00C747F2" w:rsidP="00DB34BE">
      <w:pPr>
        <w:pStyle w:val="Textonotapie"/>
        <w:jc w:val="both"/>
      </w:pPr>
      <w:r w:rsidRPr="00FA15F8">
        <w:rPr>
          <w:rStyle w:val="Refdenotaalpie"/>
        </w:rPr>
        <w:footnoteRef/>
      </w:r>
      <w:r w:rsidRPr="00FA15F8">
        <w:rPr>
          <w:lang w:val="es-MX"/>
        </w:rPr>
        <w:t xml:space="preserve"> CC. C-590 de 2005.</w:t>
      </w:r>
    </w:p>
  </w:footnote>
  <w:footnote w:id="5">
    <w:p w:rsidR="00C747F2" w:rsidRPr="00FA15F8" w:rsidRDefault="00C747F2" w:rsidP="00DB34BE">
      <w:pPr>
        <w:pStyle w:val="Textonotapie"/>
        <w:jc w:val="both"/>
      </w:pPr>
      <w:r w:rsidRPr="00FA15F8">
        <w:rPr>
          <w:rStyle w:val="Refdenotaalpie"/>
        </w:rPr>
        <w:footnoteRef/>
      </w:r>
      <w:r w:rsidRPr="00FA15F8">
        <w:rPr>
          <w:lang w:val="es-MX"/>
        </w:rPr>
        <w:t xml:space="preserve"> CC. </w:t>
      </w:r>
      <w:r w:rsidRPr="00FA15F8">
        <w:rPr>
          <w:bCs/>
        </w:rPr>
        <w:t>SU-222 de 2016</w:t>
      </w:r>
      <w:r w:rsidRPr="00FA15F8">
        <w:rPr>
          <w:lang w:val="es-MX"/>
        </w:rPr>
        <w:t>.</w:t>
      </w:r>
    </w:p>
  </w:footnote>
  <w:footnote w:id="6">
    <w:p w:rsidR="00C747F2" w:rsidRPr="00FA15F8" w:rsidRDefault="00C747F2" w:rsidP="00DB34BE">
      <w:pPr>
        <w:pStyle w:val="Textonotapie"/>
        <w:jc w:val="both"/>
      </w:pPr>
      <w:r w:rsidRPr="00FA15F8">
        <w:rPr>
          <w:rStyle w:val="Refdenotaalpie"/>
        </w:rPr>
        <w:footnoteRef/>
      </w:r>
      <w:r w:rsidRPr="00FA15F8">
        <w:rPr>
          <w:lang w:val="es-MX"/>
        </w:rPr>
        <w:t xml:space="preserve"> CC. T</w:t>
      </w:r>
      <w:r w:rsidRPr="00FA15F8">
        <w:rPr>
          <w:bCs/>
        </w:rPr>
        <w:t>-137 de 2017</w:t>
      </w:r>
      <w:r w:rsidRPr="00FA15F8">
        <w:rPr>
          <w:lang w:val="es-MX"/>
        </w:rPr>
        <w:t>.</w:t>
      </w:r>
    </w:p>
  </w:footnote>
  <w:footnote w:id="7">
    <w:p w:rsidR="00C747F2" w:rsidRPr="00FA15F8" w:rsidRDefault="00C747F2" w:rsidP="00DB34BE">
      <w:pPr>
        <w:pStyle w:val="Textonotapie"/>
      </w:pPr>
      <w:r w:rsidRPr="00FA15F8">
        <w:rPr>
          <w:rStyle w:val="Refdenotaalpie"/>
        </w:rPr>
        <w:footnoteRef/>
      </w:r>
      <w:r w:rsidRPr="00FA15F8">
        <w:t xml:space="preserve"> </w:t>
      </w:r>
      <w:r w:rsidRPr="00FA15F8">
        <w:rPr>
          <w:lang w:val="es-MX"/>
        </w:rPr>
        <w:t>CC. T-307 de 2015.</w:t>
      </w:r>
    </w:p>
  </w:footnote>
  <w:footnote w:id="8">
    <w:p w:rsidR="00C747F2" w:rsidRPr="00FA15F8" w:rsidRDefault="00C747F2" w:rsidP="00DB34BE">
      <w:pPr>
        <w:pStyle w:val="Textonotapie"/>
        <w:ind w:left="142" w:hanging="142"/>
        <w:jc w:val="both"/>
      </w:pPr>
      <w:r w:rsidRPr="00FA15F8">
        <w:rPr>
          <w:vertAlign w:val="superscript"/>
        </w:rPr>
        <w:footnoteRef/>
      </w:r>
      <w:r w:rsidRPr="00FA15F8">
        <w:t xml:space="preserve"> ESCUELA JUDICIAL RODRIGO LARA BONILLA. La acción de tutela en el ordenamiento constitucional colombiano, Universidad Nacional de Colombia, Catalina Botero Marino, Ediprime Ltda., 2006, p.61-75.</w:t>
      </w:r>
    </w:p>
  </w:footnote>
  <w:footnote w:id="9">
    <w:p w:rsidR="00C747F2" w:rsidRPr="00FA15F8" w:rsidRDefault="00C747F2" w:rsidP="00DB34BE">
      <w:pPr>
        <w:pStyle w:val="Textonotapie"/>
        <w:jc w:val="both"/>
        <w:rPr>
          <w:lang w:val="es-CO"/>
        </w:rPr>
      </w:pPr>
      <w:r w:rsidRPr="00FA15F8">
        <w:rPr>
          <w:rStyle w:val="Refdenotaalpie"/>
          <w:lang w:val="es-CO"/>
        </w:rPr>
        <w:footnoteRef/>
      </w:r>
      <w:r w:rsidRPr="00FA15F8">
        <w:rPr>
          <w:lang w:val="es-CO"/>
        </w:rPr>
        <w:t xml:space="preserve"> QUINCHE R., Manuel F. La acción de tutela, el amparo en Colombia, Bogotá DC, 2011, p.233-285.</w:t>
      </w:r>
    </w:p>
  </w:footnote>
  <w:footnote w:id="10">
    <w:p w:rsidR="00C747F2" w:rsidRPr="00FA15F8" w:rsidRDefault="00C747F2" w:rsidP="00FA15F8">
      <w:pPr>
        <w:pStyle w:val="Textonotapie"/>
        <w:jc w:val="both"/>
      </w:pPr>
      <w:r w:rsidRPr="00FA15F8">
        <w:rPr>
          <w:rStyle w:val="Refdenotaalpie"/>
        </w:rPr>
        <w:footnoteRef/>
      </w:r>
      <w:r w:rsidRPr="00FA15F8">
        <w:rPr>
          <w:lang w:val="es-MX"/>
        </w:rPr>
        <w:t xml:space="preserve"> CC. T-231 de 1994.</w:t>
      </w:r>
    </w:p>
  </w:footnote>
  <w:footnote w:id="11">
    <w:p w:rsidR="00C747F2" w:rsidRPr="00FA15F8" w:rsidRDefault="00C747F2" w:rsidP="00FA15F8">
      <w:pPr>
        <w:pStyle w:val="Textonotapie"/>
        <w:jc w:val="both"/>
      </w:pPr>
      <w:r w:rsidRPr="00FA15F8">
        <w:rPr>
          <w:rStyle w:val="Refdenotaalpie"/>
        </w:rPr>
        <w:footnoteRef/>
      </w:r>
      <w:r w:rsidRPr="00FA15F8">
        <w:t xml:space="preserve"> </w:t>
      </w:r>
      <w:r w:rsidRPr="00FA15F8">
        <w:rPr>
          <w:lang w:val="es-MX"/>
        </w:rPr>
        <w:t>CC. T-831 de 2012.</w:t>
      </w:r>
    </w:p>
  </w:footnote>
  <w:footnote w:id="12">
    <w:p w:rsidR="00C747F2" w:rsidRPr="00FA15F8" w:rsidRDefault="00C747F2" w:rsidP="00FA15F8">
      <w:pPr>
        <w:pStyle w:val="Textonotapie"/>
        <w:jc w:val="both"/>
      </w:pPr>
      <w:r w:rsidRPr="00FA15F8">
        <w:rPr>
          <w:rStyle w:val="Refdenotaalpie"/>
        </w:rPr>
        <w:footnoteRef/>
      </w:r>
      <w:r w:rsidRPr="00FA15F8">
        <w:t xml:space="preserve"> QUINCHE RAMÍREZ, Manuel Fernando. La acción de tutela, el amparo en Colombia, Bogotá DC, 2011, p.268.</w:t>
      </w:r>
    </w:p>
  </w:footnote>
  <w:footnote w:id="13">
    <w:p w:rsidR="00C747F2" w:rsidRPr="00FA15F8" w:rsidRDefault="00C747F2" w:rsidP="00FA15F8">
      <w:pPr>
        <w:pStyle w:val="Textonotapie"/>
        <w:jc w:val="both"/>
      </w:pPr>
      <w:r w:rsidRPr="00FA15F8">
        <w:rPr>
          <w:vertAlign w:val="superscript"/>
        </w:rPr>
        <w:footnoteRef/>
      </w:r>
      <w:r w:rsidRPr="00FA15F8">
        <w:rPr>
          <w:lang w:val="es-CO"/>
        </w:rPr>
        <w:t xml:space="preserve"> </w:t>
      </w:r>
      <w:r w:rsidRPr="00FA15F8">
        <w:rPr>
          <w:lang w:val="es-MX"/>
        </w:rPr>
        <w:t>CC</w:t>
      </w:r>
      <w:r w:rsidRPr="00FA15F8">
        <w:rPr>
          <w:lang w:val="es-CO"/>
        </w:rPr>
        <w:t>. T-573 de 1997.</w:t>
      </w:r>
    </w:p>
  </w:footnote>
  <w:footnote w:id="14">
    <w:p w:rsidR="00C747F2" w:rsidRPr="00FA15F8" w:rsidRDefault="00C747F2" w:rsidP="00FA15F8">
      <w:pPr>
        <w:pStyle w:val="Textonotapie"/>
        <w:jc w:val="both"/>
      </w:pPr>
      <w:r w:rsidRPr="00FA15F8">
        <w:rPr>
          <w:vertAlign w:val="superscript"/>
        </w:rPr>
        <w:footnoteRef/>
      </w:r>
      <w:r w:rsidRPr="00FA15F8">
        <w:rPr>
          <w:lang w:val="es-CO"/>
        </w:rPr>
        <w:t xml:space="preserve"> </w:t>
      </w:r>
      <w:r w:rsidRPr="00FA15F8">
        <w:rPr>
          <w:lang w:val="es-MX"/>
        </w:rPr>
        <w:t>CC</w:t>
      </w:r>
      <w:r w:rsidRPr="00FA15F8">
        <w:rPr>
          <w:lang w:val="es-CO"/>
        </w:rPr>
        <w:t>. T-567 de 1998.</w:t>
      </w:r>
    </w:p>
  </w:footnote>
  <w:footnote w:id="15">
    <w:p w:rsidR="00C747F2" w:rsidRPr="00FA15F8" w:rsidRDefault="00C747F2" w:rsidP="00FA15F8">
      <w:pPr>
        <w:pStyle w:val="Textonotapie"/>
        <w:jc w:val="both"/>
      </w:pPr>
      <w:r w:rsidRPr="00FA15F8">
        <w:rPr>
          <w:vertAlign w:val="superscript"/>
        </w:rPr>
        <w:footnoteRef/>
      </w:r>
      <w:r w:rsidRPr="00FA15F8">
        <w:rPr>
          <w:lang w:val="es-CO"/>
        </w:rPr>
        <w:t xml:space="preserve"> </w:t>
      </w:r>
      <w:r w:rsidRPr="00FA15F8">
        <w:rPr>
          <w:lang w:val="es-MX"/>
        </w:rPr>
        <w:t>CC</w:t>
      </w:r>
      <w:r w:rsidRPr="00FA15F8">
        <w:rPr>
          <w:lang w:val="es-CO"/>
        </w:rPr>
        <w:t>. T-001 de 1999.</w:t>
      </w:r>
    </w:p>
  </w:footnote>
  <w:footnote w:id="16">
    <w:p w:rsidR="00C747F2" w:rsidRPr="00FA15F8" w:rsidRDefault="00C747F2" w:rsidP="00FA15F8">
      <w:pPr>
        <w:pStyle w:val="Textonotapie"/>
        <w:rPr>
          <w:lang w:val="es-CO"/>
        </w:rPr>
      </w:pPr>
      <w:r w:rsidRPr="00FA15F8">
        <w:rPr>
          <w:rStyle w:val="Refdenotaalpie"/>
        </w:rPr>
        <w:footnoteRef/>
      </w:r>
      <w:r w:rsidRPr="00FA15F8">
        <w:t xml:space="preserve"> </w:t>
      </w:r>
      <w:r w:rsidRPr="00FA15F8">
        <w:rPr>
          <w:lang w:val="es-MX"/>
        </w:rPr>
        <w:t>CC. SU-949 de 2014 y T-192 de 2015.</w:t>
      </w:r>
    </w:p>
  </w:footnote>
  <w:footnote w:id="17">
    <w:p w:rsidR="00C747F2" w:rsidRPr="00FA15F8" w:rsidRDefault="00C747F2" w:rsidP="00FA15F8">
      <w:pPr>
        <w:pStyle w:val="Textonotapie"/>
        <w:rPr>
          <w:lang w:val="es-CO"/>
        </w:rPr>
      </w:pPr>
      <w:r w:rsidRPr="00FA15F8">
        <w:rPr>
          <w:rStyle w:val="Refdenotaalpie"/>
        </w:rPr>
        <w:footnoteRef/>
      </w:r>
      <w:r w:rsidRPr="00FA15F8">
        <w:t xml:space="preserve"> </w:t>
      </w:r>
      <w:r w:rsidRPr="00FA15F8">
        <w:rPr>
          <w:lang w:val="es-MX"/>
        </w:rPr>
        <w:t>CC. SU-949 de 2014.</w:t>
      </w:r>
      <w:r w:rsidRPr="00FA15F8">
        <w:rPr>
          <w:lang w:val="es-CO"/>
        </w:rPr>
        <w:t xml:space="preserve"> </w:t>
      </w:r>
    </w:p>
  </w:footnote>
  <w:footnote w:id="18">
    <w:p w:rsidR="00C747F2" w:rsidRPr="001B386E" w:rsidRDefault="00C747F2" w:rsidP="00FA15F8">
      <w:pPr>
        <w:pStyle w:val="Textonotapie"/>
        <w:rPr>
          <w:rFonts w:asciiTheme="minorHAnsi" w:hAnsiTheme="minorHAnsi"/>
          <w:lang w:val="es-CO"/>
        </w:rPr>
      </w:pPr>
      <w:r w:rsidRPr="00FA15F8">
        <w:rPr>
          <w:rStyle w:val="Refdenotaalpie"/>
        </w:rPr>
        <w:footnoteRef/>
      </w:r>
      <w:r w:rsidRPr="00FA15F8">
        <w:t xml:space="preserve"> CC. </w:t>
      </w:r>
      <w:r w:rsidRPr="00FA15F8">
        <w:rPr>
          <w:bCs/>
          <w:lang w:val="es-MX"/>
        </w:rPr>
        <w:t>SU-050 de 2017, T-233 de 2017 y T-235 de 2017.</w:t>
      </w:r>
    </w:p>
  </w:footnote>
  <w:footnote w:id="19">
    <w:p w:rsidR="00D80CC1" w:rsidRPr="00F27881" w:rsidRDefault="00D80CC1" w:rsidP="00D80CC1">
      <w:pPr>
        <w:pStyle w:val="Textonotapie"/>
        <w:rPr>
          <w:lang w:val="es-CO"/>
        </w:rPr>
      </w:pPr>
      <w:r w:rsidRPr="00F27881">
        <w:rPr>
          <w:rStyle w:val="Refdenotaalpie"/>
        </w:rPr>
        <w:footnoteRef/>
      </w:r>
      <w:r w:rsidRPr="00F27881">
        <w:t xml:space="preserve"> </w:t>
      </w:r>
      <w:r w:rsidRPr="00F27881">
        <w:rPr>
          <w:lang w:val="es-MX"/>
        </w:rPr>
        <w:t>CC. T-214 de 2012, reiterada en la SU-565 de 2015.</w:t>
      </w:r>
    </w:p>
  </w:footnote>
  <w:footnote w:id="20">
    <w:p w:rsidR="00D80CC1" w:rsidRPr="008D1A39" w:rsidRDefault="00D80CC1" w:rsidP="00D80CC1">
      <w:pPr>
        <w:pStyle w:val="Textonotapie"/>
        <w:rPr>
          <w:lang w:val="es-CO"/>
        </w:rPr>
      </w:pPr>
      <w:r w:rsidRPr="00F27881">
        <w:rPr>
          <w:rStyle w:val="Refdenotaalpie"/>
        </w:rPr>
        <w:footnoteRef/>
      </w:r>
      <w:r w:rsidRPr="00F27881">
        <w:t xml:space="preserve"> </w:t>
      </w:r>
      <w:r w:rsidRPr="00F27881">
        <w:rPr>
          <w:lang w:val="es-MX"/>
        </w:rPr>
        <w:t>CC. T-062 de 2013.</w:t>
      </w:r>
    </w:p>
  </w:footnote>
  <w:footnote w:id="21">
    <w:p w:rsidR="00D80CC1" w:rsidRPr="00F27881" w:rsidRDefault="00D80CC1" w:rsidP="00D80CC1">
      <w:pPr>
        <w:pStyle w:val="Textonotapie"/>
        <w:rPr>
          <w:lang w:val="es-CO"/>
        </w:rPr>
      </w:pPr>
      <w:r w:rsidRPr="00F27881">
        <w:rPr>
          <w:rStyle w:val="Refdenotaalpie"/>
        </w:rPr>
        <w:footnoteRef/>
      </w:r>
      <w:r w:rsidRPr="00F27881">
        <w:t xml:space="preserve"> </w:t>
      </w:r>
      <w:r w:rsidRPr="00F27881">
        <w:rPr>
          <w:lang w:val="es-MX"/>
        </w:rPr>
        <w:t>CC. T-310 de 2009.</w:t>
      </w:r>
    </w:p>
  </w:footnote>
  <w:footnote w:id="22">
    <w:p w:rsidR="00D80CC1" w:rsidRPr="008379BB" w:rsidRDefault="00D80CC1" w:rsidP="00D80CC1">
      <w:pPr>
        <w:pStyle w:val="Textonotapie"/>
        <w:rPr>
          <w:lang w:val="es-CO"/>
        </w:rPr>
      </w:pPr>
      <w:r>
        <w:rPr>
          <w:rStyle w:val="Refdenotaalpie"/>
        </w:rPr>
        <w:footnoteRef/>
      </w:r>
      <w:r>
        <w:t xml:space="preserve"> </w:t>
      </w:r>
      <w:r>
        <w:rPr>
          <w:lang w:val="es-CO"/>
        </w:rPr>
        <w:t>CC. T-453 de 2017.</w:t>
      </w:r>
    </w:p>
  </w:footnote>
  <w:footnote w:id="23">
    <w:p w:rsidR="000527FF" w:rsidRPr="000527FF" w:rsidRDefault="000527FF" w:rsidP="00061949">
      <w:pPr>
        <w:pStyle w:val="Textonotapie"/>
        <w:jc w:val="both"/>
        <w:rPr>
          <w:lang w:val="es-CO"/>
        </w:rPr>
      </w:pPr>
      <w:r>
        <w:rPr>
          <w:rStyle w:val="Refdenotaalpie"/>
        </w:rPr>
        <w:footnoteRef/>
      </w:r>
      <w:r>
        <w:t xml:space="preserve"> </w:t>
      </w:r>
      <w:r>
        <w:rPr>
          <w:lang w:val="es-CO"/>
        </w:rPr>
        <w:t>BONIVENTO F., José A. Los principales contratos civiles y su paralelo con los comerciales</w:t>
      </w:r>
      <w:r w:rsidR="00061949">
        <w:rPr>
          <w:lang w:val="es-CO"/>
        </w:rPr>
        <w:t>, Librería E</w:t>
      </w:r>
      <w:r>
        <w:rPr>
          <w:lang w:val="es-CO"/>
        </w:rPr>
        <w:t xml:space="preserve">diciones del profesional Ltda, </w:t>
      </w:r>
      <w:r w:rsidR="00061949">
        <w:rPr>
          <w:lang w:val="es-CO"/>
        </w:rPr>
        <w:t>19ª</w:t>
      </w:r>
      <w:r>
        <w:rPr>
          <w:lang w:val="es-CO"/>
        </w:rPr>
        <w:t xml:space="preserve"> ed</w:t>
      </w:r>
      <w:r w:rsidR="00061949">
        <w:rPr>
          <w:lang w:val="es-CO"/>
        </w:rPr>
        <w:t xml:space="preserve">ición, Bogotá DC, 2015, p.449 - </w:t>
      </w:r>
      <w:r>
        <w:rPr>
          <w:lang w:val="es-CO"/>
        </w:rPr>
        <w:t>450.</w:t>
      </w:r>
    </w:p>
  </w:footnote>
  <w:footnote w:id="24">
    <w:p w:rsidR="004A1D94" w:rsidRPr="004A1D94" w:rsidRDefault="004A1D94">
      <w:pPr>
        <w:pStyle w:val="Textonotapie"/>
        <w:rPr>
          <w:lang w:val="es-CO"/>
        </w:rPr>
      </w:pPr>
      <w:r>
        <w:rPr>
          <w:rStyle w:val="Refdenotaalpie"/>
        </w:rPr>
        <w:footnoteRef/>
      </w:r>
      <w:r>
        <w:t xml:space="preserve"> </w:t>
      </w:r>
      <w:r>
        <w:rPr>
          <w:lang w:val="es-CO"/>
        </w:rPr>
        <w:t>CSJ. STC15</w:t>
      </w:r>
      <w:r w:rsidR="00206BE1">
        <w:rPr>
          <w:lang w:val="es-CO"/>
        </w:rPr>
        <w:t>5</w:t>
      </w:r>
      <w:r>
        <w:rPr>
          <w:lang w:val="es-CO"/>
        </w:rPr>
        <w:t>19-2017.</w:t>
      </w:r>
    </w:p>
  </w:footnote>
  <w:footnote w:id="25">
    <w:p w:rsidR="00D80CC1" w:rsidRPr="00FA15F8" w:rsidRDefault="00D80CC1" w:rsidP="00D80CC1">
      <w:pPr>
        <w:pStyle w:val="Textonotapie"/>
        <w:jc w:val="both"/>
      </w:pPr>
      <w:r w:rsidRPr="00FA15F8">
        <w:rPr>
          <w:rStyle w:val="Refdenotaalpie"/>
        </w:rPr>
        <w:footnoteRef/>
      </w:r>
      <w:r w:rsidRPr="00FA15F8">
        <w:t xml:space="preserve"> QUINCHE RAMÍREZ, Manuel Fernando. La acción de tutela, el amparo en Colombia, Bogotá DC, 2011, p.268.</w:t>
      </w:r>
    </w:p>
  </w:footnote>
  <w:footnote w:id="26">
    <w:p w:rsidR="00D80CC1" w:rsidRPr="00FA15F8" w:rsidRDefault="00D80CC1" w:rsidP="00D80CC1">
      <w:pPr>
        <w:pStyle w:val="Textonotapie"/>
        <w:jc w:val="both"/>
      </w:pPr>
      <w:r w:rsidRPr="00FA15F8">
        <w:rPr>
          <w:vertAlign w:val="superscript"/>
        </w:rPr>
        <w:footnoteRef/>
      </w:r>
      <w:r w:rsidRPr="00FA15F8">
        <w:rPr>
          <w:lang w:val="es-CO"/>
        </w:rPr>
        <w:t xml:space="preserve"> </w:t>
      </w:r>
      <w:r w:rsidRPr="00FA15F8">
        <w:rPr>
          <w:lang w:val="es-MX"/>
        </w:rPr>
        <w:t>CC</w:t>
      </w:r>
      <w:r w:rsidRPr="00FA15F8">
        <w:rPr>
          <w:lang w:val="es-CO"/>
        </w:rPr>
        <w:t>. T-573 de 1997.</w:t>
      </w:r>
    </w:p>
  </w:footnote>
  <w:footnote w:id="27">
    <w:p w:rsidR="009E44DE" w:rsidRDefault="009E44DE" w:rsidP="009E44DE">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28">
    <w:p w:rsidR="009E44DE" w:rsidRDefault="009E44DE" w:rsidP="009E44DE">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sidRPr="001C6D17">
        <w:rPr>
          <w:bCs/>
          <w:lang w:val="es-CO"/>
        </w:rPr>
        <w:t>.</w:t>
      </w:r>
    </w:p>
  </w:footnote>
  <w:footnote w:id="29">
    <w:p w:rsidR="009E44DE" w:rsidRDefault="009E44DE" w:rsidP="009E44DE">
      <w:pPr>
        <w:pStyle w:val="Textoindependiente"/>
        <w:spacing w:line="360" w:lineRule="auto"/>
      </w:pPr>
      <w:r w:rsidRPr="001C6D17">
        <w:rPr>
          <w:rStyle w:val="Refdenotaalpie"/>
          <w:rFonts w:ascii="Times New Roman" w:hAnsi="Times New Roman"/>
        </w:rPr>
        <w:footnoteRef/>
      </w:r>
      <w:r w:rsidRPr="001C6D17">
        <w:rPr>
          <w:rFonts w:ascii="Times New Roman" w:hAnsi="Times New Roman"/>
        </w:rPr>
        <w:t xml:space="preserve"> </w:t>
      </w:r>
      <w:r w:rsidRPr="001C6D17">
        <w:rPr>
          <w:rFonts w:ascii="Times New Roman" w:hAnsi="Times New Roman"/>
          <w:lang w:val="es-CO"/>
        </w:rPr>
        <w:t xml:space="preserve">TS, Pereira, Civil-Familia. Sentencia del 27-07-2017; MP: Grisales H., </w:t>
      </w:r>
      <w:r w:rsidRPr="001C6D17">
        <w:rPr>
          <w:rFonts w:ascii="Times New Roman" w:hAnsi="Times New Roman"/>
        </w:rPr>
        <w:t>2017-00018-02</w:t>
      </w:r>
      <w:r>
        <w:rPr>
          <w:rFonts w:ascii="Times New Roman" w:hAnsi="Times New Roman"/>
        </w:rPr>
        <w:t>,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Default="00C747F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C747F2" w:rsidRDefault="00C747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BF61F1">
      <w:rPr>
        <w:rFonts w:ascii="Georgia" w:hAnsi="Georgia"/>
        <w:noProof/>
        <w:sz w:val="22"/>
        <w:lang w:val="es-CO"/>
      </w:rPr>
      <w:t>11</w:t>
    </w:r>
    <w:r w:rsidRPr="00DB34BE">
      <w:rPr>
        <w:rFonts w:ascii="Georgia" w:hAnsi="Georgia"/>
        <w:sz w:val="22"/>
        <w:lang w:val="es-CO"/>
      </w:rPr>
      <w:fldChar w:fldCharType="end"/>
    </w:r>
  </w:p>
  <w:p w:rsidR="00C747F2" w:rsidRPr="006012DA" w:rsidRDefault="00C747F2" w:rsidP="006F562A">
    <w:pPr>
      <w:pStyle w:val="Encabezado"/>
      <w:ind w:right="360"/>
      <w:jc w:val="both"/>
      <w:rPr>
        <w:rFonts w:ascii="Georgia" w:hAnsi="Georgia" w:cs="Calibri"/>
        <w:i/>
        <w:sz w:val="20"/>
        <w:szCs w:val="20"/>
      </w:rPr>
    </w:pPr>
    <w:r w:rsidRPr="00DB34BE">
      <w:rPr>
        <w:rFonts w:ascii="Georgia" w:hAnsi="Georgia" w:cs="Calibri"/>
        <w:i/>
        <w:sz w:val="20"/>
        <w:szCs w:val="20"/>
      </w:rPr>
      <w:t>EXPEDIENTE No.2017-</w:t>
    </w:r>
    <w:r>
      <w:rPr>
        <w:rFonts w:ascii="Georgia" w:hAnsi="Georgia" w:cs="Calibri"/>
        <w:i/>
        <w:sz w:val="20"/>
        <w:szCs w:val="20"/>
      </w:rPr>
      <w:t>00100-01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92089F" w:rsidRDefault="00C747F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747F2" w:rsidRDefault="00C747F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8"/>
  </w:num>
  <w:num w:numId="15">
    <w:abstractNumId w:val="25"/>
  </w:num>
  <w:num w:numId="16">
    <w:abstractNumId w:val="1"/>
  </w:num>
  <w:num w:numId="17">
    <w:abstractNumId w:val="40"/>
  </w:num>
  <w:num w:numId="18">
    <w:abstractNumId w:val="26"/>
  </w:num>
  <w:num w:numId="19">
    <w:abstractNumId w:val="37"/>
  </w:num>
  <w:num w:numId="20">
    <w:abstractNumId w:val="35"/>
  </w:num>
  <w:num w:numId="21">
    <w:abstractNumId w:val="6"/>
  </w:num>
  <w:num w:numId="22">
    <w:abstractNumId w:val="0"/>
  </w:num>
  <w:num w:numId="23">
    <w:abstractNumId w:val="42"/>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1"/>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7FF"/>
    <w:rsid w:val="00052FE3"/>
    <w:rsid w:val="00055B9D"/>
    <w:rsid w:val="00056027"/>
    <w:rsid w:val="000601B1"/>
    <w:rsid w:val="00060954"/>
    <w:rsid w:val="00060F7F"/>
    <w:rsid w:val="0006117C"/>
    <w:rsid w:val="0006167A"/>
    <w:rsid w:val="00061949"/>
    <w:rsid w:val="000634BA"/>
    <w:rsid w:val="00064271"/>
    <w:rsid w:val="00065500"/>
    <w:rsid w:val="00065A2F"/>
    <w:rsid w:val="000664A8"/>
    <w:rsid w:val="00066726"/>
    <w:rsid w:val="000679CA"/>
    <w:rsid w:val="00067E4F"/>
    <w:rsid w:val="0007063B"/>
    <w:rsid w:val="00072310"/>
    <w:rsid w:val="00072763"/>
    <w:rsid w:val="000727D7"/>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3FB1"/>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D56"/>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3147"/>
    <w:rsid w:val="00213399"/>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3144"/>
    <w:rsid w:val="002C3307"/>
    <w:rsid w:val="002C4CF9"/>
    <w:rsid w:val="002C763E"/>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158F"/>
    <w:rsid w:val="002F1F4A"/>
    <w:rsid w:val="002F20AB"/>
    <w:rsid w:val="002F2BAB"/>
    <w:rsid w:val="002F330A"/>
    <w:rsid w:val="002F3E8A"/>
    <w:rsid w:val="002F42EF"/>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4212"/>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6AF"/>
    <w:rsid w:val="0049109E"/>
    <w:rsid w:val="0049174B"/>
    <w:rsid w:val="004930CF"/>
    <w:rsid w:val="004946EE"/>
    <w:rsid w:val="00494780"/>
    <w:rsid w:val="00496952"/>
    <w:rsid w:val="004975AA"/>
    <w:rsid w:val="004A05CD"/>
    <w:rsid w:val="004A0F23"/>
    <w:rsid w:val="004A0FE6"/>
    <w:rsid w:val="004A12F7"/>
    <w:rsid w:val="004A1D94"/>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AB"/>
    <w:rsid w:val="00557BCF"/>
    <w:rsid w:val="00560AA3"/>
    <w:rsid w:val="00562995"/>
    <w:rsid w:val="00563DAB"/>
    <w:rsid w:val="00564C74"/>
    <w:rsid w:val="00565175"/>
    <w:rsid w:val="005651BB"/>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8FE"/>
    <w:rsid w:val="005B2BDE"/>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2DA"/>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7AA"/>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C7C5F"/>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B4A"/>
    <w:rsid w:val="007117A0"/>
    <w:rsid w:val="007118A0"/>
    <w:rsid w:val="00715A6F"/>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924"/>
    <w:rsid w:val="00751EE2"/>
    <w:rsid w:val="007535D5"/>
    <w:rsid w:val="00753CC4"/>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6E5"/>
    <w:rsid w:val="00896FA9"/>
    <w:rsid w:val="008A2B57"/>
    <w:rsid w:val="008A49D7"/>
    <w:rsid w:val="008A4A7A"/>
    <w:rsid w:val="008B0BC9"/>
    <w:rsid w:val="008B0D88"/>
    <w:rsid w:val="008B2D04"/>
    <w:rsid w:val="008B2EEA"/>
    <w:rsid w:val="008B3C3E"/>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B6436"/>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D64D9"/>
    <w:rsid w:val="009E17E9"/>
    <w:rsid w:val="009E3387"/>
    <w:rsid w:val="009E44DE"/>
    <w:rsid w:val="009E4769"/>
    <w:rsid w:val="009E524E"/>
    <w:rsid w:val="009E579C"/>
    <w:rsid w:val="009E65C8"/>
    <w:rsid w:val="009E7210"/>
    <w:rsid w:val="009E7674"/>
    <w:rsid w:val="009F0BC3"/>
    <w:rsid w:val="009F17BA"/>
    <w:rsid w:val="009F3788"/>
    <w:rsid w:val="009F4E89"/>
    <w:rsid w:val="009F5C6C"/>
    <w:rsid w:val="009F5D23"/>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85B"/>
    <w:rsid w:val="00BF3CE6"/>
    <w:rsid w:val="00BF40AF"/>
    <w:rsid w:val="00BF4B32"/>
    <w:rsid w:val="00BF5774"/>
    <w:rsid w:val="00BF61F1"/>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47F2"/>
    <w:rsid w:val="00C7546E"/>
    <w:rsid w:val="00C76997"/>
    <w:rsid w:val="00C80540"/>
    <w:rsid w:val="00C80C38"/>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DFC"/>
    <w:rsid w:val="00CD09F7"/>
    <w:rsid w:val="00CD0DCC"/>
    <w:rsid w:val="00CD1570"/>
    <w:rsid w:val="00CD2CB0"/>
    <w:rsid w:val="00CD354D"/>
    <w:rsid w:val="00CD3E8C"/>
    <w:rsid w:val="00CD3FAA"/>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29BB"/>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490C"/>
    <w:rsid w:val="00E651D2"/>
    <w:rsid w:val="00E654A0"/>
    <w:rsid w:val="00E66AB4"/>
    <w:rsid w:val="00E66BFB"/>
    <w:rsid w:val="00E67FC4"/>
    <w:rsid w:val="00E70A23"/>
    <w:rsid w:val="00E70F2E"/>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0054"/>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5D4C"/>
    <w:rsid w:val="00F66918"/>
    <w:rsid w:val="00F70413"/>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15F8"/>
    <w:rsid w:val="00FA29FF"/>
    <w:rsid w:val="00FA36E1"/>
    <w:rsid w:val="00FA399C"/>
    <w:rsid w:val="00FA73CF"/>
    <w:rsid w:val="00FB27AA"/>
    <w:rsid w:val="00FB335C"/>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85893489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7850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D1BA-C920-43F7-A36A-886B64F5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4501</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14</cp:revision>
  <cp:lastPrinted>2018-01-22T20:03:00Z</cp:lastPrinted>
  <dcterms:created xsi:type="dcterms:W3CDTF">2018-01-19T15:27:00Z</dcterms:created>
  <dcterms:modified xsi:type="dcterms:W3CDTF">2018-02-19T21:24:00Z</dcterms:modified>
</cp:coreProperties>
</file>