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1F" w:rsidRPr="002E011F" w:rsidRDefault="002E011F" w:rsidP="002E011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E011F" w:rsidRPr="002E011F" w:rsidRDefault="002E011F" w:rsidP="002E011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2E011F" w:rsidRPr="002E011F" w:rsidRDefault="002E011F" w:rsidP="002E011F">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2E011F">
        <w:rPr>
          <w:rFonts w:ascii="Calibri" w:hAnsi="Calibri" w:cs="Calibri"/>
          <w:color w:val="222222"/>
          <w:sz w:val="18"/>
          <w:szCs w:val="18"/>
          <w:lang w:val="es-CO" w:eastAsia="fr-FR"/>
        </w:rPr>
        <w:t>Providencia:</w:t>
      </w:r>
      <w:r w:rsidRPr="002E011F">
        <w:rPr>
          <w:rFonts w:ascii="Calibri" w:hAnsi="Calibri" w:cs="Calibri"/>
          <w:color w:val="222222"/>
          <w:sz w:val="18"/>
          <w:szCs w:val="18"/>
          <w:lang w:val="es-CO" w:eastAsia="fr-FR"/>
        </w:rPr>
        <w:tab/>
        <w:t>Sentencia  – 2ª instancia – 23 de febrero de 2018</w:t>
      </w:r>
    </w:p>
    <w:p w:rsidR="002E011F" w:rsidRPr="002E011F" w:rsidRDefault="002E011F" w:rsidP="002E011F">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2E011F">
        <w:rPr>
          <w:rFonts w:ascii="Calibri" w:eastAsia="Calibri" w:hAnsi="Calibri" w:cs="Calibri"/>
          <w:color w:val="222222"/>
          <w:sz w:val="18"/>
          <w:szCs w:val="18"/>
          <w:lang w:val="es-CO" w:eastAsia="fr-FR"/>
        </w:rPr>
        <w:t>Proceso:    </w:t>
      </w:r>
      <w:r w:rsidRPr="002E011F">
        <w:rPr>
          <w:rFonts w:ascii="Calibri" w:eastAsia="Calibri" w:hAnsi="Calibri" w:cs="Calibri"/>
          <w:color w:val="222222"/>
          <w:sz w:val="18"/>
          <w:szCs w:val="18"/>
          <w:lang w:val="es-CO" w:eastAsia="fr-FR"/>
        </w:rPr>
        <w:tab/>
        <w:t>Acción de Tutela – Revoca amparo. Declara improcedencia y hecho superado</w:t>
      </w:r>
    </w:p>
    <w:p w:rsidR="002E011F" w:rsidRPr="002E011F" w:rsidRDefault="002E011F" w:rsidP="002E011F">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E011F">
        <w:rPr>
          <w:rFonts w:ascii="Calibri" w:eastAsia="Calibri" w:hAnsi="Calibri" w:cs="Calibri"/>
          <w:color w:val="222222"/>
          <w:sz w:val="18"/>
          <w:szCs w:val="18"/>
          <w:lang w:val="es-CO" w:eastAsia="fr-FR"/>
        </w:rPr>
        <w:t>Radicación Nro. :</w:t>
      </w:r>
      <w:r w:rsidRPr="002E011F">
        <w:rPr>
          <w:rFonts w:ascii="Calibri" w:eastAsia="Calibri" w:hAnsi="Calibri" w:cs="Calibri"/>
          <w:color w:val="222222"/>
          <w:sz w:val="18"/>
          <w:szCs w:val="18"/>
          <w:lang w:val="es-CO" w:eastAsia="fr-FR"/>
        </w:rPr>
        <w:tab/>
      </w:r>
      <w:r w:rsidRPr="002E011F">
        <w:rPr>
          <w:rFonts w:ascii="Calibri" w:eastAsia="Calibri" w:hAnsi="Calibri" w:cs="Calibri"/>
          <w:color w:val="222222"/>
          <w:sz w:val="18"/>
          <w:szCs w:val="18"/>
          <w:lang w:val="es-CO" w:eastAsia="fr-FR"/>
        </w:rPr>
        <w:tab/>
        <w:t xml:space="preserve"> </w:t>
      </w:r>
      <w:r w:rsidRPr="002E011F">
        <w:rPr>
          <w:rFonts w:ascii="Calibri" w:eastAsia="Calibri" w:hAnsi="Calibri" w:cs="Calibri"/>
          <w:bCs/>
          <w:iCs/>
          <w:color w:val="222222"/>
          <w:sz w:val="18"/>
          <w:szCs w:val="18"/>
          <w:lang w:eastAsia="fr-FR"/>
        </w:rPr>
        <w:t>2017-00421-01</w:t>
      </w:r>
    </w:p>
    <w:p w:rsidR="002E011F" w:rsidRPr="002E011F" w:rsidRDefault="002E011F" w:rsidP="002E011F">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u w:val="double"/>
          <w:lang w:eastAsia="fr-FR"/>
        </w:rPr>
      </w:pPr>
      <w:r w:rsidRPr="002E011F">
        <w:rPr>
          <w:rFonts w:ascii="Calibri" w:eastAsia="Calibri" w:hAnsi="Calibri" w:cs="Calibri"/>
          <w:bCs/>
          <w:iCs/>
          <w:color w:val="222222"/>
          <w:sz w:val="18"/>
          <w:szCs w:val="18"/>
          <w:lang w:eastAsia="fr-FR"/>
        </w:rPr>
        <w:t xml:space="preserve">Accionante: </w:t>
      </w:r>
      <w:r w:rsidRPr="002E011F">
        <w:rPr>
          <w:rFonts w:ascii="Calibri" w:eastAsia="Calibri" w:hAnsi="Calibri" w:cs="Calibri"/>
          <w:bCs/>
          <w:iCs/>
          <w:color w:val="222222"/>
          <w:sz w:val="18"/>
          <w:szCs w:val="18"/>
          <w:lang w:eastAsia="fr-FR"/>
        </w:rPr>
        <w:tab/>
      </w:r>
      <w:r w:rsidRPr="002E011F">
        <w:rPr>
          <w:rFonts w:ascii="Calibri" w:eastAsia="Calibri" w:hAnsi="Calibri" w:cs="Calibri"/>
          <w:bCs/>
          <w:iCs/>
          <w:color w:val="222222"/>
          <w:sz w:val="18"/>
          <w:szCs w:val="18"/>
          <w:lang w:eastAsia="fr-FR"/>
        </w:rPr>
        <w:tab/>
      </w:r>
      <w:r w:rsidRPr="002E011F">
        <w:rPr>
          <w:rFonts w:ascii="Calibri" w:eastAsia="Calibri" w:hAnsi="Calibri" w:cs="Calibri"/>
          <w:bCs/>
          <w:iCs/>
          <w:color w:val="222222"/>
          <w:sz w:val="18"/>
          <w:szCs w:val="18"/>
          <w:lang w:eastAsia="fr-FR"/>
        </w:rPr>
        <w:tab/>
        <w:t>HERNÁN ALONSO CORTÉS GUERRERO</w:t>
      </w:r>
    </w:p>
    <w:p w:rsidR="002E011F" w:rsidRPr="002E011F" w:rsidRDefault="002E011F" w:rsidP="002E011F">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pacing w:val="-6"/>
          <w:sz w:val="18"/>
          <w:szCs w:val="18"/>
          <w:lang w:val="es-ES_tradnl" w:eastAsia="fr-FR"/>
        </w:rPr>
      </w:pPr>
      <w:r w:rsidRPr="002E011F">
        <w:rPr>
          <w:rFonts w:ascii="Calibri" w:eastAsia="Calibri" w:hAnsi="Calibri" w:cs="Calibri"/>
          <w:color w:val="222222"/>
          <w:sz w:val="18"/>
          <w:szCs w:val="18"/>
          <w:lang w:val="es-CO" w:eastAsia="fr-FR"/>
        </w:rPr>
        <w:t>Accionado:</w:t>
      </w:r>
      <w:r w:rsidRPr="002E011F">
        <w:rPr>
          <w:rFonts w:ascii="Calibri" w:eastAsia="Calibri" w:hAnsi="Calibri" w:cs="Calibri"/>
          <w:color w:val="222222"/>
          <w:sz w:val="18"/>
          <w:szCs w:val="18"/>
          <w:lang w:val="es-CO" w:eastAsia="fr-FR"/>
        </w:rPr>
        <w:tab/>
        <w:t xml:space="preserve"> </w:t>
      </w:r>
      <w:r w:rsidRPr="002E011F">
        <w:rPr>
          <w:rFonts w:ascii="Calibri" w:eastAsia="Calibri" w:hAnsi="Calibri" w:cs="Calibri"/>
          <w:bCs/>
          <w:color w:val="222222"/>
          <w:spacing w:val="-6"/>
          <w:sz w:val="18"/>
          <w:szCs w:val="18"/>
          <w:lang w:val="es-CO" w:eastAsia="fr-FR"/>
        </w:rPr>
        <w:t xml:space="preserve">JUZGADO PRIMERO CIVIL MUNICIPAL DE PEREIRA </w:t>
      </w:r>
    </w:p>
    <w:p w:rsidR="002E011F" w:rsidRPr="002E011F" w:rsidRDefault="002E011F" w:rsidP="002E011F">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
          <w:bCs/>
          <w:iCs/>
          <w:color w:val="222222"/>
          <w:sz w:val="18"/>
          <w:szCs w:val="18"/>
          <w:lang w:val="es-CO" w:eastAsia="fr-FR"/>
        </w:rPr>
      </w:pPr>
      <w:r w:rsidRPr="002E011F">
        <w:rPr>
          <w:rFonts w:ascii="Calibri" w:eastAsia="Calibri" w:hAnsi="Calibri" w:cs="Calibri"/>
          <w:color w:val="222222"/>
          <w:sz w:val="18"/>
          <w:szCs w:val="18"/>
          <w:lang w:val="es-CO" w:eastAsia="fr-FR"/>
        </w:rPr>
        <w:t xml:space="preserve">Magistrado Ponente: </w:t>
      </w:r>
      <w:r w:rsidRPr="002E011F">
        <w:rPr>
          <w:rFonts w:ascii="Calibri" w:eastAsia="Calibri" w:hAnsi="Calibri" w:cs="Calibri"/>
          <w:color w:val="222222"/>
          <w:sz w:val="18"/>
          <w:szCs w:val="18"/>
          <w:lang w:val="es-CO" w:eastAsia="fr-FR"/>
        </w:rPr>
        <w:tab/>
        <w:t xml:space="preserve"> </w:t>
      </w:r>
      <w:proofErr w:type="spellStart"/>
      <w:r w:rsidRPr="002E011F">
        <w:rPr>
          <w:rFonts w:ascii="Calibri" w:eastAsia="Calibri" w:hAnsi="Calibri" w:cs="Calibri"/>
          <w:bCs/>
          <w:iCs/>
          <w:color w:val="222222"/>
          <w:sz w:val="18"/>
          <w:szCs w:val="18"/>
          <w:lang w:val="es-CO" w:eastAsia="fr-FR"/>
        </w:rPr>
        <w:t>DUBERNEY</w:t>
      </w:r>
      <w:proofErr w:type="spellEnd"/>
      <w:r w:rsidRPr="002E011F">
        <w:rPr>
          <w:rFonts w:ascii="Calibri" w:eastAsia="Calibri" w:hAnsi="Calibri" w:cs="Calibri"/>
          <w:bCs/>
          <w:iCs/>
          <w:color w:val="222222"/>
          <w:sz w:val="18"/>
          <w:szCs w:val="18"/>
          <w:lang w:val="es-CO" w:eastAsia="fr-FR"/>
        </w:rPr>
        <w:t xml:space="preserve"> GRISALES HERRERA</w:t>
      </w:r>
    </w:p>
    <w:p w:rsidR="002E011F" w:rsidRPr="002E011F" w:rsidRDefault="002E011F" w:rsidP="002E011F">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2E011F" w:rsidRPr="002E011F" w:rsidRDefault="002E011F" w:rsidP="002E011F">
      <w:pPr>
        <w:widowControl/>
        <w:tabs>
          <w:tab w:val="left" w:pos="1843"/>
        </w:tabs>
        <w:autoSpaceDE/>
        <w:autoSpaceDN/>
        <w:adjustRightInd/>
        <w:spacing w:after="200"/>
        <w:jc w:val="both"/>
        <w:rPr>
          <w:rFonts w:ascii="Calibri" w:eastAsia="Calibri" w:hAnsi="Calibri" w:cs="Calibri"/>
          <w:bCs/>
          <w:iCs/>
          <w:color w:val="222222"/>
          <w:sz w:val="18"/>
          <w:szCs w:val="18"/>
          <w:lang w:val="es-ES_tradnl" w:eastAsia="fr-FR"/>
        </w:rPr>
      </w:pPr>
      <w:r w:rsidRPr="002E011F">
        <w:rPr>
          <w:rFonts w:ascii="Calibri" w:eastAsia="Calibri" w:hAnsi="Calibri" w:cs="Calibri"/>
          <w:b/>
          <w:bCs/>
          <w:iCs/>
          <w:color w:val="222222"/>
          <w:sz w:val="18"/>
          <w:szCs w:val="18"/>
          <w:lang w:val="es-CO" w:eastAsia="fr-FR"/>
        </w:rPr>
        <w:t xml:space="preserve">Temas: </w:t>
      </w:r>
      <w:r w:rsidRPr="002E011F">
        <w:rPr>
          <w:rFonts w:ascii="Calibri" w:eastAsia="Calibri" w:hAnsi="Calibri" w:cs="Calibri"/>
          <w:b/>
          <w:bCs/>
          <w:iCs/>
          <w:color w:val="222222"/>
          <w:sz w:val="18"/>
          <w:szCs w:val="18"/>
          <w:lang w:val="es-CO" w:eastAsia="fr-FR"/>
        </w:rPr>
        <w:tab/>
      </w:r>
      <w:r w:rsidRPr="002E011F">
        <w:rPr>
          <w:rFonts w:ascii="Calibri" w:eastAsia="Calibri" w:hAnsi="Calibri" w:cs="Calibri"/>
          <w:b/>
          <w:bCs/>
          <w:iCs/>
          <w:color w:val="222222"/>
          <w:sz w:val="18"/>
          <w:szCs w:val="18"/>
          <w:lang w:eastAsia="fr-FR"/>
        </w:rPr>
        <w:t>DEBIDO PROCESO / TUTELA CONTRA PROVIDENCIA JUDICIAL / CARÁCTER RESIDUAL DE LA ACCIÓN DE TUTELA / NO SE AGOTARON LOS RECURSOS / IMPROCEDENCIA</w:t>
      </w:r>
      <w:r w:rsidRPr="002E011F">
        <w:rPr>
          <w:rFonts w:ascii="Calibri" w:eastAsia="Calibri" w:hAnsi="Calibri" w:cs="Calibri"/>
          <w:b/>
          <w:bCs/>
          <w:iCs/>
          <w:color w:val="222222"/>
          <w:sz w:val="18"/>
          <w:szCs w:val="18"/>
          <w:lang w:val="es-CO" w:eastAsia="fr-FR"/>
        </w:rPr>
        <w:t>.</w:t>
      </w:r>
      <w:r w:rsidRPr="002E011F">
        <w:rPr>
          <w:rFonts w:ascii="Calibri" w:eastAsia="Calibri" w:hAnsi="Calibri" w:cs="Calibri"/>
          <w:b/>
          <w:bCs/>
          <w:iCs/>
          <w:color w:val="222222"/>
          <w:sz w:val="18"/>
          <w:szCs w:val="18"/>
          <w:lang w:eastAsia="fr-FR"/>
        </w:rPr>
        <w:t xml:space="preserve"> </w:t>
      </w:r>
      <w:r w:rsidRPr="002E011F">
        <w:rPr>
          <w:rFonts w:ascii="Calibri" w:eastAsia="Calibri" w:hAnsi="Calibri" w:cs="Calibri"/>
          <w:bCs/>
          <w:iCs/>
          <w:color w:val="222222"/>
          <w:sz w:val="18"/>
          <w:szCs w:val="18"/>
          <w:lang w:eastAsia="fr-FR"/>
        </w:rPr>
        <w:t xml:space="preserve">[E]l accionante ha sido pasivo en su actuar, pues dejó de agotar el recurso ordinario de reposición frente al proveído que decretó la cautela, aun cuando le era dable formularlo dentro de los tres (3) días siguientes, al del día en que se apersonó del proceso (Artículos 298 y 318-3º, </w:t>
      </w:r>
      <w:proofErr w:type="spellStart"/>
      <w:r w:rsidRPr="002E011F">
        <w:rPr>
          <w:rFonts w:ascii="Calibri" w:eastAsia="Calibri" w:hAnsi="Calibri" w:cs="Calibri"/>
          <w:bCs/>
          <w:iCs/>
          <w:color w:val="222222"/>
          <w:sz w:val="18"/>
          <w:szCs w:val="18"/>
          <w:lang w:eastAsia="fr-FR"/>
        </w:rPr>
        <w:t>CGP</w:t>
      </w:r>
      <w:proofErr w:type="spellEnd"/>
      <w:r w:rsidRPr="002E011F">
        <w:rPr>
          <w:rFonts w:ascii="Calibri" w:eastAsia="Calibri" w:hAnsi="Calibri" w:cs="Calibri"/>
          <w:bCs/>
          <w:iCs/>
          <w:color w:val="222222"/>
          <w:sz w:val="18"/>
          <w:szCs w:val="18"/>
          <w:lang w:eastAsia="fr-FR"/>
        </w:rPr>
        <w:t xml:space="preserve">), pero guardó silencio; asimismo, se advierte que todavía </w:t>
      </w:r>
      <w:r w:rsidRPr="002E011F">
        <w:rPr>
          <w:rFonts w:ascii="Calibri" w:eastAsia="Calibri" w:hAnsi="Calibri" w:cs="Calibri"/>
          <w:bCs/>
          <w:iCs/>
          <w:color w:val="222222"/>
          <w:sz w:val="18"/>
          <w:szCs w:val="18"/>
          <w:lang w:val="es-CO" w:eastAsia="fr-FR"/>
        </w:rPr>
        <w:t xml:space="preserve">cuenta con el </w:t>
      </w:r>
      <w:r w:rsidRPr="002E011F">
        <w:rPr>
          <w:rFonts w:ascii="Calibri" w:eastAsia="Calibri" w:hAnsi="Calibri" w:cs="Calibri"/>
          <w:bCs/>
          <w:iCs/>
          <w:color w:val="222222"/>
          <w:sz w:val="18"/>
          <w:szCs w:val="18"/>
          <w:lang w:eastAsia="fr-FR"/>
        </w:rPr>
        <w:t xml:space="preserve">mecanismo judicial dispuesto en el artículo 600, </w:t>
      </w:r>
      <w:proofErr w:type="spellStart"/>
      <w:r w:rsidRPr="002E011F">
        <w:rPr>
          <w:rFonts w:ascii="Calibri" w:eastAsia="Calibri" w:hAnsi="Calibri" w:cs="Calibri"/>
          <w:bCs/>
          <w:iCs/>
          <w:color w:val="222222"/>
          <w:sz w:val="18"/>
          <w:szCs w:val="18"/>
          <w:lang w:eastAsia="fr-FR"/>
        </w:rPr>
        <w:t>CGP</w:t>
      </w:r>
      <w:proofErr w:type="spellEnd"/>
      <w:r w:rsidRPr="002E011F">
        <w:rPr>
          <w:rFonts w:ascii="Calibri" w:eastAsia="Calibri" w:hAnsi="Calibri" w:cs="Calibri"/>
          <w:bCs/>
          <w:iCs/>
          <w:color w:val="222222"/>
          <w:sz w:val="18"/>
          <w:szCs w:val="18"/>
          <w:lang w:eastAsia="fr-FR"/>
        </w:rPr>
        <w:t xml:space="preserve">, relativo a la posibilidad de solicitar la reducción </w:t>
      </w:r>
      <w:r w:rsidRPr="002E011F">
        <w:rPr>
          <w:rFonts w:ascii="Calibri" w:eastAsia="Calibri" w:hAnsi="Calibri" w:cs="Calibri"/>
          <w:bCs/>
          <w:iCs/>
          <w:color w:val="222222"/>
          <w:sz w:val="18"/>
          <w:szCs w:val="18"/>
          <w:lang w:val="es-CO" w:eastAsia="fr-FR"/>
        </w:rPr>
        <w:t xml:space="preserve">del embargo en cualquier momento del proceso después de la consumación de la medida, y que bien puede efectuar sin necesidad de la asistencia de un mandatario judicial por tratarse de una ejecución de mínima cuantía (Artículos 73, </w:t>
      </w:r>
      <w:proofErr w:type="spellStart"/>
      <w:r w:rsidRPr="002E011F">
        <w:rPr>
          <w:rFonts w:ascii="Calibri" w:eastAsia="Calibri" w:hAnsi="Calibri" w:cs="Calibri"/>
          <w:bCs/>
          <w:iCs/>
          <w:color w:val="222222"/>
          <w:sz w:val="18"/>
          <w:szCs w:val="18"/>
          <w:lang w:val="es-CO" w:eastAsia="fr-FR"/>
        </w:rPr>
        <w:t>CGP</w:t>
      </w:r>
      <w:proofErr w:type="spellEnd"/>
      <w:r w:rsidRPr="002E011F">
        <w:rPr>
          <w:rFonts w:ascii="Calibri" w:eastAsia="Calibri" w:hAnsi="Calibri" w:cs="Calibri"/>
          <w:bCs/>
          <w:iCs/>
          <w:color w:val="222222"/>
          <w:sz w:val="18"/>
          <w:szCs w:val="18"/>
          <w:lang w:val="es-CO" w:eastAsia="fr-FR"/>
        </w:rPr>
        <w:t xml:space="preserve">; y, 28-2º, </w:t>
      </w:r>
      <w:r w:rsidRPr="002E011F">
        <w:rPr>
          <w:rFonts w:ascii="Calibri" w:eastAsia="Calibri" w:hAnsi="Calibri" w:cs="Calibri"/>
          <w:bCs/>
          <w:iCs/>
          <w:color w:val="222222"/>
          <w:sz w:val="18"/>
          <w:szCs w:val="18"/>
          <w:lang w:eastAsia="fr-FR"/>
        </w:rPr>
        <w:t>Decreto 196 de 1971)</w:t>
      </w:r>
      <w:r w:rsidRPr="002E011F">
        <w:rPr>
          <w:rFonts w:ascii="Calibri" w:eastAsia="Calibri" w:hAnsi="Calibri" w:cs="Calibri"/>
          <w:bCs/>
          <w:iCs/>
          <w:color w:val="222222"/>
          <w:sz w:val="18"/>
          <w:szCs w:val="18"/>
          <w:lang w:val="es-CO" w:eastAsia="fr-FR"/>
        </w:rPr>
        <w:t xml:space="preserve">. Así las cosas, es evidente que el presente amparo carece de subsidiariedad, en la medida que no se formuló la reposición frente a la decisión cuestionada; y, es prematuro, en consideración a que aún puede pedir la reducción de la cautela. </w:t>
      </w:r>
      <w:r w:rsidRPr="002E011F">
        <w:rPr>
          <w:rFonts w:ascii="Calibri" w:eastAsia="Calibri" w:hAnsi="Calibri" w:cs="Calibri"/>
          <w:b/>
          <w:bCs/>
          <w:iCs/>
          <w:color w:val="222222"/>
          <w:sz w:val="18"/>
          <w:szCs w:val="18"/>
          <w:lang w:val="es-CO" w:eastAsia="fr-FR"/>
        </w:rPr>
        <w:t xml:space="preserve">CARENCIA ACTUAL DE OBJETO POR HECHO SUPERADO. </w:t>
      </w:r>
      <w:r w:rsidRPr="002E011F">
        <w:rPr>
          <w:rFonts w:ascii="Calibri" w:eastAsia="Calibri" w:hAnsi="Calibri" w:cs="Calibri"/>
          <w:bCs/>
          <w:iCs/>
          <w:color w:val="222222"/>
          <w:sz w:val="18"/>
          <w:szCs w:val="18"/>
          <w:lang w:eastAsia="fr-FR"/>
        </w:rPr>
        <w:t>No obstante lo reseñado sobre la subsidiariedad, halla esta Sala que el</w:t>
      </w:r>
      <w:r w:rsidRPr="002E011F">
        <w:rPr>
          <w:rFonts w:ascii="Calibri" w:eastAsia="Calibri" w:hAnsi="Calibri" w:cs="Calibri"/>
          <w:bCs/>
          <w:iCs/>
          <w:color w:val="222222"/>
          <w:sz w:val="18"/>
          <w:szCs w:val="18"/>
          <w:lang w:val="es-ES_tradnl" w:eastAsia="fr-FR"/>
        </w:rPr>
        <w:t xml:space="preserve"> presente amparo constitucional actualmente carece de objeto </w:t>
      </w:r>
      <w:proofErr w:type="spellStart"/>
      <w:r w:rsidRPr="002E011F">
        <w:rPr>
          <w:rFonts w:ascii="Calibri" w:eastAsia="Calibri" w:hAnsi="Calibri" w:cs="Calibri"/>
          <w:bCs/>
          <w:iCs/>
          <w:color w:val="222222"/>
          <w:sz w:val="18"/>
          <w:szCs w:val="18"/>
          <w:lang w:val="es-ES_tradnl" w:eastAsia="fr-FR"/>
        </w:rPr>
        <w:t>tutelable</w:t>
      </w:r>
      <w:proofErr w:type="spellEnd"/>
      <w:r w:rsidRPr="002E011F">
        <w:rPr>
          <w:rFonts w:ascii="Calibri" w:eastAsia="Calibri" w:hAnsi="Calibri" w:cs="Calibri"/>
          <w:bCs/>
          <w:iCs/>
          <w:color w:val="222222"/>
          <w:sz w:val="18"/>
          <w:szCs w:val="18"/>
          <w:lang w:val="es-ES_tradnl" w:eastAsia="fr-FR"/>
        </w:rPr>
        <w:t xml:space="preserve">, en consideración a que la </w:t>
      </w:r>
      <w:r w:rsidRPr="002E011F">
        <w:rPr>
          <w:rFonts w:ascii="Calibri" w:eastAsia="Calibri" w:hAnsi="Calibri" w:cs="Calibri"/>
          <w:bCs/>
          <w:i/>
          <w:iCs/>
          <w:color w:val="222222"/>
          <w:sz w:val="18"/>
          <w:szCs w:val="18"/>
          <w:lang w:val="es-ES_tradnl" w:eastAsia="fr-FR"/>
        </w:rPr>
        <w:t>a quo</w:t>
      </w:r>
      <w:r w:rsidRPr="002E011F">
        <w:rPr>
          <w:rFonts w:ascii="Calibri" w:eastAsia="Calibri" w:hAnsi="Calibri" w:cs="Calibri"/>
          <w:bCs/>
          <w:iCs/>
          <w:color w:val="222222"/>
          <w:sz w:val="18"/>
          <w:szCs w:val="18"/>
          <w:lang w:val="es-ES_tradnl" w:eastAsia="fr-FR"/>
        </w:rPr>
        <w:t xml:space="preserve"> de oficio “dejó sin efectos” la providencia cuestionada mediante proveído datado el 25-01-2018, incluso, disminuyó el embargo a la suma que legalmente se puede retener (Artículo 155, </w:t>
      </w:r>
      <w:proofErr w:type="spellStart"/>
      <w:r w:rsidRPr="002E011F">
        <w:rPr>
          <w:rFonts w:ascii="Calibri" w:eastAsia="Calibri" w:hAnsi="Calibri" w:cs="Calibri"/>
          <w:bCs/>
          <w:iCs/>
          <w:color w:val="222222"/>
          <w:sz w:val="18"/>
          <w:szCs w:val="18"/>
          <w:lang w:val="es-ES_tradnl" w:eastAsia="fr-FR"/>
        </w:rPr>
        <w:t>CPTSS</w:t>
      </w:r>
      <w:proofErr w:type="spellEnd"/>
      <w:r w:rsidRPr="002E011F">
        <w:rPr>
          <w:rFonts w:ascii="Calibri" w:eastAsia="Calibri" w:hAnsi="Calibri" w:cs="Calibri"/>
          <w:bCs/>
          <w:iCs/>
          <w:color w:val="222222"/>
          <w:sz w:val="18"/>
          <w:szCs w:val="18"/>
          <w:lang w:val="es-ES_tradnl" w:eastAsia="fr-FR"/>
        </w:rPr>
        <w:t xml:space="preserve">), y dispuso la devolución de los dineros al actor (Folios 114 a 116, expediente en PDF del disco compacto visible a folio 6, este cuaderno). </w:t>
      </w:r>
      <w:r w:rsidRPr="002E011F">
        <w:rPr>
          <w:rFonts w:ascii="Calibri" w:eastAsia="Calibri" w:hAnsi="Calibri" w:cs="Calibri"/>
          <w:bCs/>
          <w:iCs/>
          <w:color w:val="222222"/>
          <w:sz w:val="18"/>
          <w:szCs w:val="18"/>
          <w:lang w:val="es-CO" w:eastAsia="fr-FR"/>
        </w:rPr>
        <w:t xml:space="preserve">Por lo tanto, si hubo vulneración o amenaza de los derechos fundamentales, cesó; en consecuencia </w:t>
      </w:r>
      <w:r w:rsidRPr="002E011F">
        <w:rPr>
          <w:rFonts w:ascii="Calibri" w:eastAsia="Calibri" w:hAnsi="Calibri" w:cs="Calibri"/>
          <w:bCs/>
          <w:iCs/>
          <w:color w:val="222222"/>
          <w:sz w:val="18"/>
          <w:szCs w:val="18"/>
          <w:lang w:val="es-ES_tradnl" w:eastAsia="fr-FR"/>
        </w:rPr>
        <w:t xml:space="preserve">no hay objeto jurídico sobre el cual fallar y la decisión que se adopte resultará inocua. De esta manera, se configura el hecho superado, pues la pretensión tutelar se encuentra satisfecha y los derechos a salvo. </w:t>
      </w:r>
    </w:p>
    <w:p w:rsidR="002E011F" w:rsidRDefault="002E011F" w:rsidP="00F839CE">
      <w:pPr>
        <w:pStyle w:val="Sansinterligne"/>
        <w:spacing w:line="360" w:lineRule="auto"/>
        <w:rPr>
          <w:rFonts w:ascii="Georgia" w:hAnsi="Georgia" w:cs="Arial"/>
          <w:w w:val="140"/>
        </w:rPr>
      </w:pPr>
    </w:p>
    <w:p w:rsidR="003913E3" w:rsidRPr="004F3CCA" w:rsidRDefault="00165382" w:rsidP="00F839CE">
      <w:pPr>
        <w:pStyle w:val="Sansinterligne"/>
        <w:spacing w:line="360" w:lineRule="auto"/>
        <w:rPr>
          <w:rFonts w:ascii="Georgia" w:hAnsi="Georgia" w:cs="Arial"/>
          <w:w w:val="140"/>
        </w:rPr>
      </w:pPr>
      <w:r w:rsidRPr="004F3CCA">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4F3CCA" w:rsidRDefault="003913E3" w:rsidP="00F839CE">
      <w:pPr>
        <w:pStyle w:val="Sansinterligne"/>
        <w:spacing w:line="360" w:lineRule="auto"/>
        <w:rPr>
          <w:rFonts w:ascii="Georgia" w:hAnsi="Georgia" w:cs="Arial"/>
          <w:w w:val="140"/>
          <w:sz w:val="14"/>
        </w:rPr>
      </w:pPr>
    </w:p>
    <w:p w:rsidR="003913E3" w:rsidRPr="004F3CCA" w:rsidRDefault="003913E3" w:rsidP="00417661">
      <w:pPr>
        <w:pStyle w:val="Sansinterligne"/>
        <w:spacing w:line="360" w:lineRule="auto"/>
        <w:ind w:left="708" w:firstLine="708"/>
        <w:jc w:val="center"/>
        <w:rPr>
          <w:rFonts w:ascii="Georgia" w:hAnsi="Georgia" w:cs="Arial"/>
          <w:w w:val="140"/>
          <w:sz w:val="14"/>
        </w:rPr>
      </w:pPr>
    </w:p>
    <w:p w:rsidR="00E23846" w:rsidRPr="004F3CCA" w:rsidRDefault="00E23846" w:rsidP="00E23846">
      <w:pPr>
        <w:pStyle w:val="Sansinterligne"/>
        <w:spacing w:line="360" w:lineRule="auto"/>
        <w:jc w:val="center"/>
        <w:rPr>
          <w:rFonts w:ascii="Georgia" w:hAnsi="Georgia" w:cs="Arial"/>
          <w:w w:val="140"/>
          <w:sz w:val="14"/>
        </w:rPr>
      </w:pPr>
      <w:r w:rsidRPr="004F3CCA">
        <w:rPr>
          <w:rFonts w:ascii="Georgia" w:hAnsi="Georgia" w:cs="Arial"/>
          <w:w w:val="140"/>
          <w:sz w:val="14"/>
        </w:rPr>
        <w:t>REPUBLICA DE COLOMBIA</w:t>
      </w:r>
    </w:p>
    <w:p w:rsidR="00E23846" w:rsidRPr="004F3CCA" w:rsidRDefault="00E23846" w:rsidP="00E23846">
      <w:pPr>
        <w:pStyle w:val="Sansinterligne"/>
        <w:tabs>
          <w:tab w:val="center" w:pos="4987"/>
          <w:tab w:val="left" w:pos="8449"/>
        </w:tabs>
        <w:spacing w:line="360" w:lineRule="auto"/>
        <w:jc w:val="center"/>
        <w:rPr>
          <w:rFonts w:ascii="Georgia" w:hAnsi="Georgia" w:cs="Arial"/>
          <w:w w:val="140"/>
        </w:rPr>
      </w:pPr>
      <w:r w:rsidRPr="004F3CCA">
        <w:rPr>
          <w:rFonts w:ascii="Georgia" w:hAnsi="Georgia" w:cs="Arial"/>
          <w:w w:val="140"/>
          <w:sz w:val="14"/>
        </w:rPr>
        <w:t>RAMA JUDICIAL DEL PODER PÚBLICO</w:t>
      </w:r>
    </w:p>
    <w:p w:rsidR="00E23846" w:rsidRPr="004F3CCA" w:rsidRDefault="00E23846" w:rsidP="00E23846">
      <w:pPr>
        <w:pStyle w:val="Sansinterligne"/>
        <w:spacing w:line="360" w:lineRule="auto"/>
        <w:jc w:val="center"/>
        <w:rPr>
          <w:rFonts w:ascii="Georgia" w:hAnsi="Georgia" w:cs="Arial"/>
          <w:w w:val="140"/>
          <w:sz w:val="16"/>
        </w:rPr>
      </w:pPr>
      <w:r w:rsidRPr="004F3CCA">
        <w:rPr>
          <w:rFonts w:ascii="Georgia" w:hAnsi="Georgia" w:cs="Arial"/>
          <w:w w:val="140"/>
          <w:sz w:val="18"/>
        </w:rPr>
        <w:t>T</w:t>
      </w:r>
      <w:r w:rsidRPr="004F3CCA">
        <w:rPr>
          <w:rFonts w:ascii="Georgia" w:hAnsi="Georgia" w:cs="Arial"/>
          <w:w w:val="140"/>
          <w:sz w:val="16"/>
        </w:rPr>
        <w:t>RIBUNAL</w:t>
      </w:r>
      <w:r w:rsidRPr="004F3CCA">
        <w:rPr>
          <w:rFonts w:ascii="Georgia" w:hAnsi="Georgia" w:cs="Arial"/>
          <w:w w:val="140"/>
          <w:sz w:val="18"/>
        </w:rPr>
        <w:t xml:space="preserve"> S</w:t>
      </w:r>
      <w:r w:rsidRPr="004F3CCA">
        <w:rPr>
          <w:rFonts w:ascii="Georgia" w:hAnsi="Georgia" w:cs="Arial"/>
          <w:w w:val="140"/>
          <w:sz w:val="16"/>
        </w:rPr>
        <w:t xml:space="preserve">UPERIOR DEL </w:t>
      </w:r>
      <w:r w:rsidRPr="004F3CCA">
        <w:rPr>
          <w:rFonts w:ascii="Georgia" w:hAnsi="Georgia" w:cs="Arial"/>
          <w:w w:val="140"/>
          <w:sz w:val="18"/>
        </w:rPr>
        <w:t>D</w:t>
      </w:r>
      <w:r w:rsidRPr="004F3CCA">
        <w:rPr>
          <w:rFonts w:ascii="Georgia" w:hAnsi="Georgia" w:cs="Arial"/>
          <w:w w:val="140"/>
          <w:sz w:val="16"/>
        </w:rPr>
        <w:t>ISTRITO</w:t>
      </w:r>
      <w:r w:rsidRPr="004F3CCA">
        <w:rPr>
          <w:rFonts w:ascii="Georgia" w:hAnsi="Georgia" w:cs="Arial"/>
          <w:w w:val="140"/>
          <w:sz w:val="18"/>
        </w:rPr>
        <w:t xml:space="preserve"> J</w:t>
      </w:r>
      <w:r w:rsidRPr="004F3CCA">
        <w:rPr>
          <w:rFonts w:ascii="Georgia" w:hAnsi="Georgia" w:cs="Arial"/>
          <w:w w:val="140"/>
          <w:sz w:val="16"/>
        </w:rPr>
        <w:t>UDICIAL</w:t>
      </w:r>
    </w:p>
    <w:p w:rsidR="00E23846" w:rsidRPr="004F3CCA" w:rsidRDefault="00E23846" w:rsidP="00E23846">
      <w:pPr>
        <w:pStyle w:val="Sansinterligne"/>
        <w:spacing w:line="360" w:lineRule="auto"/>
        <w:jc w:val="center"/>
        <w:rPr>
          <w:rFonts w:ascii="Georgia" w:hAnsi="Georgia" w:cs="Arial"/>
          <w:w w:val="140"/>
          <w:sz w:val="16"/>
          <w:szCs w:val="18"/>
          <w:lang w:val="es-CO"/>
        </w:rPr>
      </w:pPr>
      <w:r w:rsidRPr="004F3CCA">
        <w:rPr>
          <w:rFonts w:ascii="Georgia" w:hAnsi="Georgia" w:cs="Arial"/>
          <w:w w:val="140"/>
          <w:sz w:val="18"/>
          <w:szCs w:val="18"/>
          <w:lang w:val="es-CO"/>
        </w:rPr>
        <w:t>S</w:t>
      </w:r>
      <w:r w:rsidRPr="004F3CCA">
        <w:rPr>
          <w:rFonts w:ascii="Georgia" w:hAnsi="Georgia" w:cs="Arial"/>
          <w:w w:val="140"/>
          <w:sz w:val="16"/>
          <w:szCs w:val="18"/>
          <w:lang w:val="es-CO"/>
        </w:rPr>
        <w:t xml:space="preserve">ALA DE </w:t>
      </w:r>
      <w:r w:rsidRPr="004F3CCA">
        <w:rPr>
          <w:rFonts w:ascii="Georgia" w:hAnsi="Georgia" w:cs="Arial"/>
          <w:w w:val="140"/>
          <w:sz w:val="18"/>
          <w:szCs w:val="18"/>
          <w:lang w:val="es-CO"/>
        </w:rPr>
        <w:t>D</w:t>
      </w:r>
      <w:r w:rsidRPr="004F3CCA">
        <w:rPr>
          <w:rFonts w:ascii="Georgia" w:hAnsi="Georgia" w:cs="Arial"/>
          <w:w w:val="140"/>
          <w:sz w:val="16"/>
          <w:szCs w:val="18"/>
          <w:lang w:val="es-CO"/>
        </w:rPr>
        <w:t xml:space="preserve">ECISIÓN </w:t>
      </w:r>
      <w:r w:rsidRPr="004F3CCA">
        <w:rPr>
          <w:rFonts w:ascii="Georgia" w:hAnsi="Georgia" w:cs="Arial"/>
          <w:w w:val="140"/>
          <w:sz w:val="18"/>
          <w:szCs w:val="18"/>
          <w:lang w:val="es-CO"/>
        </w:rPr>
        <w:t>C</w:t>
      </w:r>
      <w:r w:rsidRPr="004F3CCA">
        <w:rPr>
          <w:rFonts w:ascii="Georgia" w:hAnsi="Georgia" w:cs="Arial"/>
          <w:w w:val="140"/>
          <w:sz w:val="16"/>
          <w:szCs w:val="18"/>
          <w:lang w:val="es-CO"/>
        </w:rPr>
        <w:t xml:space="preserve">IVIL – </w:t>
      </w:r>
      <w:r w:rsidRPr="004F3CCA">
        <w:rPr>
          <w:rFonts w:ascii="Georgia" w:hAnsi="Georgia" w:cs="Arial"/>
          <w:w w:val="140"/>
          <w:sz w:val="18"/>
          <w:szCs w:val="18"/>
          <w:lang w:val="es-CO"/>
        </w:rPr>
        <w:t>F</w:t>
      </w:r>
      <w:r w:rsidRPr="004F3CCA">
        <w:rPr>
          <w:rFonts w:ascii="Georgia" w:hAnsi="Georgia" w:cs="Arial"/>
          <w:w w:val="140"/>
          <w:sz w:val="16"/>
          <w:szCs w:val="18"/>
          <w:lang w:val="es-CO"/>
        </w:rPr>
        <w:t xml:space="preserve">AMILIA – </w:t>
      </w:r>
      <w:r w:rsidRPr="004F3CCA">
        <w:rPr>
          <w:rFonts w:ascii="Georgia" w:hAnsi="Georgia" w:cs="Arial"/>
          <w:w w:val="140"/>
          <w:sz w:val="18"/>
          <w:szCs w:val="18"/>
          <w:lang w:val="es-CO"/>
        </w:rPr>
        <w:t>D</w:t>
      </w:r>
      <w:r w:rsidRPr="004F3CCA">
        <w:rPr>
          <w:rFonts w:ascii="Georgia" w:hAnsi="Georgia" w:cs="Arial"/>
          <w:w w:val="140"/>
          <w:sz w:val="16"/>
          <w:szCs w:val="18"/>
          <w:lang w:val="es-CO"/>
        </w:rPr>
        <w:t xml:space="preserve">ISTRITO DE </w:t>
      </w:r>
      <w:r w:rsidRPr="004F3CCA">
        <w:rPr>
          <w:rFonts w:ascii="Georgia" w:hAnsi="Georgia" w:cs="Arial"/>
          <w:w w:val="140"/>
          <w:sz w:val="18"/>
          <w:szCs w:val="18"/>
          <w:lang w:val="es-CO"/>
        </w:rPr>
        <w:t>P</w:t>
      </w:r>
      <w:r w:rsidRPr="004F3CCA">
        <w:rPr>
          <w:rFonts w:ascii="Georgia" w:hAnsi="Georgia" w:cs="Arial"/>
          <w:w w:val="140"/>
          <w:sz w:val="16"/>
          <w:szCs w:val="18"/>
          <w:lang w:val="es-CO"/>
        </w:rPr>
        <w:t>EREIRA</w:t>
      </w:r>
    </w:p>
    <w:p w:rsidR="00E23846" w:rsidRPr="004F3CCA" w:rsidRDefault="00E23846" w:rsidP="00E23846">
      <w:pPr>
        <w:pStyle w:val="Sansinterligne"/>
        <w:spacing w:line="360" w:lineRule="auto"/>
        <w:jc w:val="center"/>
        <w:rPr>
          <w:rFonts w:ascii="Georgia" w:hAnsi="Georgia" w:cs="Arial"/>
          <w:w w:val="140"/>
          <w:sz w:val="16"/>
          <w:szCs w:val="18"/>
        </w:rPr>
      </w:pPr>
      <w:r w:rsidRPr="004F3CCA">
        <w:rPr>
          <w:rFonts w:ascii="Georgia" w:hAnsi="Georgia" w:cs="Arial"/>
          <w:w w:val="140"/>
          <w:sz w:val="18"/>
          <w:szCs w:val="18"/>
        </w:rPr>
        <w:t>D</w:t>
      </w:r>
      <w:r w:rsidRPr="004F3CCA">
        <w:rPr>
          <w:rFonts w:ascii="Georgia" w:hAnsi="Georgia" w:cs="Arial"/>
          <w:w w:val="140"/>
          <w:sz w:val="16"/>
          <w:szCs w:val="18"/>
        </w:rPr>
        <w:t xml:space="preserve">EPARTAMENTO DEL </w:t>
      </w:r>
      <w:r w:rsidRPr="004F3CCA">
        <w:rPr>
          <w:rFonts w:ascii="Georgia" w:hAnsi="Georgia" w:cs="Arial"/>
          <w:w w:val="140"/>
          <w:sz w:val="18"/>
          <w:szCs w:val="18"/>
        </w:rPr>
        <w:t>R</w:t>
      </w:r>
      <w:r w:rsidRPr="004F3CCA">
        <w:rPr>
          <w:rFonts w:ascii="Georgia" w:hAnsi="Georgia" w:cs="Arial"/>
          <w:w w:val="140"/>
          <w:sz w:val="16"/>
          <w:szCs w:val="18"/>
        </w:rPr>
        <w:t>ISARALDA</w:t>
      </w:r>
    </w:p>
    <w:p w:rsidR="003913E3" w:rsidRPr="004F3CCA" w:rsidRDefault="003913E3" w:rsidP="005050E8">
      <w:pPr>
        <w:spacing w:line="360" w:lineRule="auto"/>
        <w:ind w:left="708" w:hanging="708"/>
        <w:jc w:val="center"/>
        <w:rPr>
          <w:rFonts w:ascii="Georgia" w:hAnsi="Georgia" w:cs="Arial"/>
          <w:b/>
          <w:bCs/>
          <w:szCs w:val="26"/>
        </w:rPr>
      </w:pPr>
    </w:p>
    <w:p w:rsidR="003913E3" w:rsidRPr="004F3CCA" w:rsidRDefault="003913E3" w:rsidP="003F0102">
      <w:pPr>
        <w:pStyle w:val="Corpsdetexte"/>
        <w:tabs>
          <w:tab w:val="clear" w:pos="1416"/>
        </w:tabs>
        <w:spacing w:line="360" w:lineRule="auto"/>
        <w:ind w:left="709"/>
        <w:rPr>
          <w:rFonts w:ascii="Georgia" w:hAnsi="Georgia"/>
          <w:sz w:val="22"/>
          <w:szCs w:val="22"/>
        </w:rPr>
      </w:pPr>
      <w:r w:rsidRPr="004F3CCA">
        <w:rPr>
          <w:rFonts w:ascii="Georgia" w:hAnsi="Georgia"/>
          <w:sz w:val="22"/>
          <w:szCs w:val="22"/>
        </w:rPr>
        <w:t>Asunto</w:t>
      </w:r>
      <w:r w:rsidRPr="004F3CCA">
        <w:rPr>
          <w:rFonts w:ascii="Georgia" w:hAnsi="Georgia"/>
          <w:sz w:val="22"/>
          <w:szCs w:val="22"/>
        </w:rPr>
        <w:tab/>
      </w:r>
      <w:r w:rsidRPr="004F3CCA">
        <w:rPr>
          <w:rFonts w:ascii="Georgia" w:hAnsi="Georgia"/>
          <w:sz w:val="22"/>
          <w:szCs w:val="22"/>
        </w:rPr>
        <w:tab/>
        <w:t>: Sentencia de tutela en segunda instancia</w:t>
      </w:r>
    </w:p>
    <w:p w:rsidR="00586A21" w:rsidRPr="004F3CCA" w:rsidRDefault="00586A21" w:rsidP="003F0102">
      <w:pPr>
        <w:pStyle w:val="Corpsdetexte"/>
        <w:tabs>
          <w:tab w:val="clear" w:pos="1416"/>
        </w:tabs>
        <w:spacing w:line="360" w:lineRule="auto"/>
        <w:ind w:left="709"/>
        <w:rPr>
          <w:rFonts w:ascii="Georgia" w:hAnsi="Georgia" w:cs="Arial"/>
          <w:sz w:val="22"/>
          <w:szCs w:val="22"/>
        </w:rPr>
      </w:pPr>
      <w:r w:rsidRPr="004F3CCA">
        <w:rPr>
          <w:rFonts w:ascii="Georgia" w:hAnsi="Georgia" w:cs="Arial"/>
          <w:sz w:val="22"/>
          <w:szCs w:val="22"/>
        </w:rPr>
        <w:t>Accionante</w:t>
      </w:r>
      <w:r w:rsidR="009F023C" w:rsidRPr="004F3CCA">
        <w:rPr>
          <w:rFonts w:ascii="Georgia" w:hAnsi="Georgia" w:cs="Arial"/>
          <w:sz w:val="22"/>
          <w:szCs w:val="22"/>
        </w:rPr>
        <w:t xml:space="preserve"> (s)</w:t>
      </w:r>
      <w:r w:rsidRPr="004F3CCA">
        <w:rPr>
          <w:rFonts w:ascii="Georgia" w:hAnsi="Georgia" w:cs="Arial"/>
          <w:sz w:val="22"/>
          <w:szCs w:val="22"/>
        </w:rPr>
        <w:tab/>
      </w:r>
      <w:r w:rsidRPr="004F3CCA">
        <w:rPr>
          <w:rFonts w:ascii="Georgia" w:hAnsi="Georgia" w:cs="Arial"/>
          <w:sz w:val="22"/>
          <w:szCs w:val="22"/>
        </w:rPr>
        <w:tab/>
        <w:t xml:space="preserve">: </w:t>
      </w:r>
      <w:r w:rsidR="004F3CCA">
        <w:rPr>
          <w:rFonts w:ascii="Georgia" w:hAnsi="Georgia" w:cs="Arial"/>
          <w:sz w:val="22"/>
          <w:szCs w:val="22"/>
        </w:rPr>
        <w:t>Hernán Alonso Cortés Guerrero</w:t>
      </w:r>
    </w:p>
    <w:p w:rsidR="008915EA" w:rsidRPr="004F3CCA" w:rsidRDefault="00586A21" w:rsidP="003F0102">
      <w:pPr>
        <w:pStyle w:val="Corpsdetexte"/>
        <w:tabs>
          <w:tab w:val="clear" w:pos="1416"/>
        </w:tabs>
        <w:spacing w:line="360" w:lineRule="auto"/>
        <w:ind w:left="709"/>
        <w:rPr>
          <w:rFonts w:ascii="Georgia" w:hAnsi="Georgia" w:cs="Arial"/>
          <w:sz w:val="22"/>
          <w:szCs w:val="22"/>
        </w:rPr>
      </w:pPr>
      <w:r w:rsidRPr="004F3CCA">
        <w:rPr>
          <w:rFonts w:ascii="Georgia" w:hAnsi="Georgia" w:cs="Arial"/>
          <w:sz w:val="22"/>
          <w:szCs w:val="22"/>
        </w:rPr>
        <w:t>Accionado</w:t>
      </w:r>
      <w:r w:rsidR="009F023C" w:rsidRPr="004F3CCA">
        <w:rPr>
          <w:rFonts w:ascii="Georgia" w:hAnsi="Georgia" w:cs="Arial"/>
          <w:sz w:val="22"/>
          <w:szCs w:val="22"/>
        </w:rPr>
        <w:t xml:space="preserve"> (s)</w:t>
      </w:r>
      <w:r w:rsidRPr="004F3CCA">
        <w:rPr>
          <w:rFonts w:ascii="Georgia" w:hAnsi="Georgia" w:cs="Arial"/>
          <w:sz w:val="22"/>
          <w:szCs w:val="22"/>
        </w:rPr>
        <w:t xml:space="preserve"> </w:t>
      </w:r>
      <w:r w:rsidRPr="004F3CCA">
        <w:rPr>
          <w:rFonts w:ascii="Georgia" w:hAnsi="Georgia" w:cs="Arial"/>
          <w:sz w:val="22"/>
          <w:szCs w:val="22"/>
        </w:rPr>
        <w:tab/>
      </w:r>
      <w:r w:rsidRPr="004F3CCA">
        <w:rPr>
          <w:rFonts w:ascii="Georgia" w:hAnsi="Georgia" w:cs="Arial"/>
          <w:sz w:val="22"/>
          <w:szCs w:val="22"/>
        </w:rPr>
        <w:tab/>
        <w:t xml:space="preserve">: </w:t>
      </w:r>
      <w:r w:rsidR="004F3CCA">
        <w:rPr>
          <w:rFonts w:ascii="Georgia" w:hAnsi="Georgia" w:cs="Arial"/>
          <w:sz w:val="22"/>
          <w:szCs w:val="22"/>
        </w:rPr>
        <w:t>Juzgado Primero Civil Municipal de Pereira</w:t>
      </w:r>
    </w:p>
    <w:p w:rsidR="00586A21" w:rsidRPr="004F3CCA" w:rsidRDefault="008915EA" w:rsidP="003F0102">
      <w:pPr>
        <w:pStyle w:val="Corpsdetexte"/>
        <w:tabs>
          <w:tab w:val="clear" w:pos="1416"/>
        </w:tabs>
        <w:spacing w:line="360" w:lineRule="auto"/>
        <w:ind w:left="709"/>
        <w:rPr>
          <w:rFonts w:ascii="Georgia" w:hAnsi="Georgia" w:cs="Arial"/>
          <w:sz w:val="22"/>
          <w:szCs w:val="22"/>
        </w:rPr>
      </w:pPr>
      <w:r w:rsidRPr="004F3CCA">
        <w:rPr>
          <w:rFonts w:ascii="Georgia" w:hAnsi="Georgia" w:cs="Arial"/>
          <w:sz w:val="22"/>
          <w:szCs w:val="22"/>
        </w:rPr>
        <w:t>Litisconsorte (s)</w:t>
      </w:r>
      <w:r w:rsidRPr="004F3CCA">
        <w:rPr>
          <w:rFonts w:ascii="Georgia" w:hAnsi="Georgia" w:cs="Arial"/>
          <w:sz w:val="22"/>
          <w:szCs w:val="22"/>
        </w:rPr>
        <w:tab/>
        <w:t xml:space="preserve">: </w:t>
      </w:r>
      <w:r w:rsidR="004F3CCA">
        <w:rPr>
          <w:rFonts w:ascii="Georgia" w:hAnsi="Georgia" w:cs="Arial"/>
          <w:sz w:val="22"/>
          <w:szCs w:val="22"/>
        </w:rPr>
        <w:t xml:space="preserve">Cooperativa </w:t>
      </w:r>
      <w:proofErr w:type="spellStart"/>
      <w:r w:rsidR="004F3CCA">
        <w:rPr>
          <w:rFonts w:ascii="Georgia" w:hAnsi="Georgia" w:cs="Arial"/>
          <w:sz w:val="22"/>
          <w:szCs w:val="22"/>
        </w:rPr>
        <w:t>Cofijurídico</w:t>
      </w:r>
      <w:proofErr w:type="spellEnd"/>
    </w:p>
    <w:p w:rsidR="00586A21" w:rsidRPr="004F3CCA" w:rsidRDefault="00586A21" w:rsidP="003F0102">
      <w:pPr>
        <w:pStyle w:val="Corpsdetexte"/>
        <w:tabs>
          <w:tab w:val="clear" w:pos="1416"/>
        </w:tabs>
        <w:spacing w:line="360" w:lineRule="auto"/>
        <w:ind w:left="709"/>
        <w:rPr>
          <w:rFonts w:ascii="Georgia" w:hAnsi="Georgia" w:cs="Arial"/>
          <w:sz w:val="22"/>
          <w:szCs w:val="22"/>
        </w:rPr>
      </w:pPr>
      <w:r w:rsidRPr="004F3CCA">
        <w:rPr>
          <w:rFonts w:ascii="Georgia" w:hAnsi="Georgia" w:cs="Arial"/>
          <w:sz w:val="22"/>
          <w:szCs w:val="22"/>
        </w:rPr>
        <w:t>Procedencia</w:t>
      </w:r>
      <w:r w:rsidRPr="004F3CCA">
        <w:rPr>
          <w:rFonts w:ascii="Georgia" w:hAnsi="Georgia" w:cs="Arial"/>
          <w:sz w:val="22"/>
          <w:szCs w:val="22"/>
        </w:rPr>
        <w:tab/>
      </w:r>
      <w:r w:rsidRPr="004F3CCA">
        <w:rPr>
          <w:rFonts w:ascii="Georgia" w:hAnsi="Georgia" w:cs="Arial"/>
          <w:sz w:val="22"/>
          <w:szCs w:val="22"/>
        </w:rPr>
        <w:tab/>
        <w:t xml:space="preserve">: Juzgado </w:t>
      </w:r>
      <w:r w:rsidR="004F3CCA">
        <w:rPr>
          <w:rFonts w:ascii="Georgia" w:hAnsi="Georgia" w:cs="Arial"/>
          <w:sz w:val="22"/>
          <w:szCs w:val="22"/>
        </w:rPr>
        <w:t xml:space="preserve">Tercero </w:t>
      </w:r>
      <w:r w:rsidR="008915EA" w:rsidRPr="004F3CCA">
        <w:rPr>
          <w:rFonts w:ascii="Georgia" w:hAnsi="Georgia" w:cs="Arial"/>
          <w:sz w:val="22"/>
          <w:szCs w:val="22"/>
        </w:rPr>
        <w:t xml:space="preserve">Civil del Circuito de Pereira </w:t>
      </w:r>
    </w:p>
    <w:p w:rsidR="00586A21" w:rsidRPr="004F3CCA" w:rsidRDefault="00586A21" w:rsidP="003F0102">
      <w:pPr>
        <w:pStyle w:val="Corpsdetexte"/>
        <w:tabs>
          <w:tab w:val="clear" w:pos="1416"/>
        </w:tabs>
        <w:spacing w:line="360" w:lineRule="auto"/>
        <w:ind w:left="709"/>
        <w:rPr>
          <w:rFonts w:ascii="Georgia" w:hAnsi="Georgia" w:cs="Arial"/>
          <w:sz w:val="22"/>
          <w:szCs w:val="22"/>
        </w:rPr>
      </w:pPr>
      <w:r w:rsidRPr="004F3CCA">
        <w:rPr>
          <w:rFonts w:ascii="Georgia" w:hAnsi="Georgia" w:cs="Arial"/>
          <w:sz w:val="22"/>
          <w:szCs w:val="22"/>
        </w:rPr>
        <w:t>Radicación</w:t>
      </w:r>
      <w:r w:rsidRPr="004F3CCA">
        <w:rPr>
          <w:rFonts w:ascii="Georgia" w:hAnsi="Georgia" w:cs="Arial"/>
          <w:sz w:val="22"/>
          <w:szCs w:val="22"/>
        </w:rPr>
        <w:tab/>
      </w:r>
      <w:r w:rsidRPr="004F3CCA">
        <w:rPr>
          <w:rFonts w:ascii="Georgia" w:hAnsi="Georgia" w:cs="Arial"/>
          <w:sz w:val="22"/>
          <w:szCs w:val="22"/>
        </w:rPr>
        <w:tab/>
        <w:t xml:space="preserve">: </w:t>
      </w:r>
      <w:r w:rsidR="004F3CCA">
        <w:rPr>
          <w:rFonts w:ascii="Georgia" w:hAnsi="Georgia" w:cs="Arial"/>
          <w:sz w:val="22"/>
          <w:szCs w:val="22"/>
        </w:rPr>
        <w:t>2017-00421-01</w:t>
      </w:r>
    </w:p>
    <w:p w:rsidR="004A12F7" w:rsidRPr="004F3CCA" w:rsidRDefault="004A12F7" w:rsidP="003F0102">
      <w:pPr>
        <w:pStyle w:val="Corpsdetexte"/>
        <w:tabs>
          <w:tab w:val="clear" w:pos="1416"/>
        </w:tabs>
        <w:spacing w:line="360" w:lineRule="auto"/>
        <w:ind w:left="709"/>
        <w:rPr>
          <w:rFonts w:ascii="Georgia" w:hAnsi="Georgia" w:cs="Arial"/>
          <w:sz w:val="22"/>
          <w:szCs w:val="22"/>
        </w:rPr>
      </w:pPr>
      <w:r w:rsidRPr="004F3CCA">
        <w:rPr>
          <w:rFonts w:ascii="Georgia" w:hAnsi="Georgia"/>
          <w:sz w:val="22"/>
          <w:szCs w:val="22"/>
        </w:rPr>
        <w:t>Temas</w:t>
      </w:r>
      <w:r w:rsidRPr="004F3CCA">
        <w:rPr>
          <w:rFonts w:ascii="Georgia" w:hAnsi="Georgia"/>
          <w:sz w:val="22"/>
          <w:szCs w:val="22"/>
        </w:rPr>
        <w:tab/>
      </w:r>
      <w:r w:rsidRPr="004F3CCA">
        <w:rPr>
          <w:rFonts w:ascii="Georgia" w:hAnsi="Georgia"/>
          <w:sz w:val="22"/>
          <w:szCs w:val="22"/>
        </w:rPr>
        <w:tab/>
        <w:t>:</w:t>
      </w:r>
      <w:r w:rsidR="00907CB8" w:rsidRPr="004F3CCA">
        <w:rPr>
          <w:rFonts w:ascii="Georgia" w:hAnsi="Georgia"/>
          <w:sz w:val="22"/>
          <w:szCs w:val="22"/>
        </w:rPr>
        <w:t xml:space="preserve"> </w:t>
      </w:r>
      <w:r w:rsidR="004F3CCA">
        <w:rPr>
          <w:rFonts w:ascii="Georgia" w:hAnsi="Georgia"/>
          <w:sz w:val="22"/>
          <w:szCs w:val="22"/>
        </w:rPr>
        <w:t xml:space="preserve">Subsidiariedad </w:t>
      </w:r>
      <w:r w:rsidR="00907CB8" w:rsidRPr="004F3CCA">
        <w:rPr>
          <w:rFonts w:ascii="Georgia" w:hAnsi="Georgia"/>
          <w:sz w:val="22"/>
          <w:szCs w:val="22"/>
        </w:rPr>
        <w:t>-</w:t>
      </w:r>
      <w:r w:rsidRPr="004F3CCA">
        <w:rPr>
          <w:rFonts w:ascii="Georgia" w:hAnsi="Georgia"/>
          <w:sz w:val="22"/>
          <w:szCs w:val="22"/>
        </w:rPr>
        <w:t xml:space="preserve"> </w:t>
      </w:r>
      <w:r w:rsidR="004F3CCA">
        <w:rPr>
          <w:rFonts w:ascii="Georgia" w:hAnsi="Georgia"/>
          <w:sz w:val="22"/>
          <w:szCs w:val="22"/>
        </w:rPr>
        <w:t xml:space="preserve">Carencia actual de objeto </w:t>
      </w:r>
      <w:r w:rsidR="003F0102">
        <w:rPr>
          <w:rFonts w:ascii="Georgia" w:hAnsi="Georgia"/>
          <w:sz w:val="22"/>
          <w:szCs w:val="22"/>
        </w:rPr>
        <w:t>–</w:t>
      </w:r>
      <w:r w:rsidR="001C7AA1" w:rsidRPr="004F3CCA">
        <w:rPr>
          <w:rFonts w:ascii="Georgia" w:hAnsi="Georgia"/>
          <w:sz w:val="22"/>
          <w:szCs w:val="22"/>
        </w:rPr>
        <w:t xml:space="preserve"> </w:t>
      </w:r>
      <w:r w:rsidR="00515033">
        <w:rPr>
          <w:rFonts w:ascii="Georgia" w:hAnsi="Georgia"/>
          <w:sz w:val="22"/>
          <w:szCs w:val="22"/>
        </w:rPr>
        <w:t>Hecho superado</w:t>
      </w:r>
    </w:p>
    <w:p w:rsidR="003913E3" w:rsidRPr="004F3CCA" w:rsidRDefault="004A12F7" w:rsidP="003F0102">
      <w:pPr>
        <w:pStyle w:val="Corpsdetexte"/>
        <w:tabs>
          <w:tab w:val="clear" w:pos="1416"/>
        </w:tabs>
        <w:spacing w:line="360" w:lineRule="auto"/>
        <w:ind w:left="709" w:hanging="708"/>
        <w:rPr>
          <w:rFonts w:ascii="Georgia" w:hAnsi="Georgia" w:cs="Arial"/>
          <w:smallCaps/>
          <w:sz w:val="22"/>
          <w:szCs w:val="22"/>
          <w:lang w:val="es-CO"/>
        </w:rPr>
      </w:pPr>
      <w:r w:rsidRPr="004F3CCA">
        <w:rPr>
          <w:rFonts w:ascii="Georgia" w:hAnsi="Georgia"/>
          <w:sz w:val="22"/>
          <w:szCs w:val="22"/>
        </w:rPr>
        <w:tab/>
      </w:r>
      <w:r w:rsidRPr="004F3CCA">
        <w:rPr>
          <w:rFonts w:ascii="Georgia" w:hAnsi="Georgia"/>
          <w:sz w:val="22"/>
          <w:szCs w:val="22"/>
        </w:rPr>
        <w:tab/>
      </w:r>
      <w:r w:rsidR="003913E3" w:rsidRPr="004F3CCA">
        <w:rPr>
          <w:rFonts w:ascii="Georgia" w:hAnsi="Georgia"/>
          <w:sz w:val="22"/>
          <w:szCs w:val="22"/>
        </w:rPr>
        <w:t>Magistrado Ponente</w:t>
      </w:r>
      <w:r w:rsidR="003913E3" w:rsidRPr="004F3CCA">
        <w:rPr>
          <w:rFonts w:ascii="Georgia" w:hAnsi="Georgia"/>
          <w:sz w:val="22"/>
          <w:szCs w:val="22"/>
        </w:rPr>
        <w:tab/>
        <w:t xml:space="preserve">: </w:t>
      </w:r>
      <w:proofErr w:type="spellStart"/>
      <w:r w:rsidR="003913E3" w:rsidRPr="004F3CCA">
        <w:rPr>
          <w:rFonts w:ascii="Georgia" w:hAnsi="Georgia" w:cs="Arial"/>
          <w:smallCaps/>
          <w:sz w:val="22"/>
          <w:szCs w:val="22"/>
          <w:lang w:val="es-CO"/>
        </w:rPr>
        <w:t>Duberney</w:t>
      </w:r>
      <w:proofErr w:type="spellEnd"/>
      <w:r w:rsidR="003913E3" w:rsidRPr="004F3CCA">
        <w:rPr>
          <w:rFonts w:ascii="Georgia" w:hAnsi="Georgia" w:cs="Arial"/>
          <w:smallCaps/>
          <w:sz w:val="22"/>
          <w:szCs w:val="22"/>
          <w:lang w:val="es-CO"/>
        </w:rPr>
        <w:t xml:space="preserve"> Grisales Herrera</w:t>
      </w:r>
    </w:p>
    <w:p w:rsidR="003913E3" w:rsidRPr="004F3CCA" w:rsidRDefault="003913E3" w:rsidP="003F0102">
      <w:pPr>
        <w:spacing w:line="360" w:lineRule="auto"/>
        <w:ind w:left="709"/>
        <w:rPr>
          <w:rFonts w:ascii="Georgia" w:hAnsi="Georgia" w:cs="Arial"/>
          <w:b/>
          <w:bCs/>
          <w:sz w:val="22"/>
          <w:szCs w:val="22"/>
        </w:rPr>
      </w:pPr>
      <w:r w:rsidRPr="004F3CCA">
        <w:rPr>
          <w:rFonts w:ascii="Georgia" w:hAnsi="Georgia"/>
          <w:sz w:val="22"/>
          <w:szCs w:val="22"/>
        </w:rPr>
        <w:t>Acta número</w:t>
      </w:r>
      <w:r w:rsidRPr="004F3CCA">
        <w:rPr>
          <w:rFonts w:ascii="Georgia" w:hAnsi="Georgia"/>
          <w:sz w:val="22"/>
          <w:szCs w:val="22"/>
        </w:rPr>
        <w:tab/>
      </w:r>
      <w:r w:rsidRPr="004F3CCA">
        <w:rPr>
          <w:rFonts w:ascii="Georgia" w:hAnsi="Georgia"/>
          <w:sz w:val="22"/>
          <w:szCs w:val="22"/>
        </w:rPr>
        <w:tab/>
        <w:t xml:space="preserve">: </w:t>
      </w:r>
      <w:r w:rsidR="00E85CD4">
        <w:rPr>
          <w:rFonts w:ascii="Georgia" w:hAnsi="Georgia"/>
          <w:sz w:val="22"/>
          <w:szCs w:val="22"/>
        </w:rPr>
        <w:t>50</w:t>
      </w:r>
      <w:r w:rsidR="00FC6421" w:rsidRPr="004F3CCA">
        <w:rPr>
          <w:rFonts w:ascii="Georgia" w:hAnsi="Georgia"/>
          <w:sz w:val="22"/>
          <w:szCs w:val="22"/>
        </w:rPr>
        <w:t xml:space="preserve"> de </w:t>
      </w:r>
      <w:r w:rsidR="00E85CD4">
        <w:rPr>
          <w:rFonts w:ascii="Georgia" w:hAnsi="Georgia"/>
          <w:sz w:val="22"/>
          <w:szCs w:val="22"/>
        </w:rPr>
        <w:t>23</w:t>
      </w:r>
      <w:r w:rsidR="00FC6421" w:rsidRPr="004F3CCA">
        <w:rPr>
          <w:rFonts w:ascii="Georgia" w:hAnsi="Georgia"/>
          <w:sz w:val="22"/>
          <w:szCs w:val="22"/>
        </w:rPr>
        <w:t>-02-</w:t>
      </w:r>
      <w:r w:rsidR="003F0102">
        <w:rPr>
          <w:rFonts w:ascii="Georgia" w:hAnsi="Georgia"/>
          <w:sz w:val="22"/>
          <w:szCs w:val="22"/>
        </w:rPr>
        <w:t>2018</w:t>
      </w:r>
    </w:p>
    <w:p w:rsidR="003913E3" w:rsidRPr="004F3CCA" w:rsidRDefault="003913E3" w:rsidP="00F839CE">
      <w:pPr>
        <w:pBdr>
          <w:bottom w:val="double" w:sz="6" w:space="1" w:color="auto"/>
        </w:pBdr>
        <w:spacing w:line="360" w:lineRule="auto"/>
        <w:jc w:val="center"/>
        <w:rPr>
          <w:rFonts w:ascii="Georgia" w:hAnsi="Georgia" w:cs="Arial"/>
          <w:b/>
          <w:bCs/>
          <w:sz w:val="10"/>
          <w:szCs w:val="22"/>
        </w:rPr>
      </w:pPr>
    </w:p>
    <w:p w:rsidR="003913E3" w:rsidRPr="004F3CCA" w:rsidRDefault="003913E3" w:rsidP="00F839CE">
      <w:pPr>
        <w:spacing w:line="360" w:lineRule="auto"/>
        <w:jc w:val="center"/>
        <w:rPr>
          <w:rFonts w:ascii="Georgia" w:hAnsi="Georgia" w:cs="Arial"/>
          <w:b/>
          <w:bCs/>
          <w:sz w:val="20"/>
          <w:szCs w:val="22"/>
        </w:rPr>
      </w:pPr>
    </w:p>
    <w:p w:rsidR="003913E3" w:rsidRPr="004F3CCA" w:rsidRDefault="003913E3" w:rsidP="00F839CE">
      <w:pPr>
        <w:spacing w:line="360" w:lineRule="auto"/>
        <w:jc w:val="center"/>
        <w:rPr>
          <w:rFonts w:ascii="Georgia" w:hAnsi="Georgia" w:cs="Arial"/>
          <w:iCs/>
          <w:sz w:val="28"/>
          <w:lang w:val="es-CO"/>
        </w:rPr>
      </w:pPr>
      <w:r w:rsidRPr="004F3CCA">
        <w:rPr>
          <w:rFonts w:ascii="Georgia" w:hAnsi="Georgia" w:cs="Arial"/>
          <w:iCs/>
          <w:smallCaps/>
          <w:sz w:val="28"/>
          <w:lang w:val="es-CO"/>
        </w:rPr>
        <w:t>Pereira, R</w:t>
      </w:r>
      <w:r w:rsidR="00CA23A1" w:rsidRPr="004F3CCA">
        <w:rPr>
          <w:rFonts w:ascii="Georgia" w:hAnsi="Georgia" w:cs="Arial"/>
          <w:iCs/>
          <w:smallCaps/>
          <w:sz w:val="28"/>
          <w:lang w:val="es-CO"/>
        </w:rPr>
        <w:t>.</w:t>
      </w:r>
      <w:r w:rsidR="00C55802" w:rsidRPr="004F3CCA">
        <w:rPr>
          <w:rFonts w:ascii="Georgia" w:hAnsi="Georgia" w:cs="Arial"/>
          <w:iCs/>
          <w:smallCaps/>
          <w:sz w:val="28"/>
          <w:lang w:val="es-CO"/>
        </w:rPr>
        <w:t>,</w:t>
      </w:r>
      <w:r w:rsidRPr="004F3CCA">
        <w:rPr>
          <w:rFonts w:ascii="Georgia" w:hAnsi="Georgia" w:cs="Arial"/>
          <w:iCs/>
          <w:smallCaps/>
          <w:sz w:val="28"/>
          <w:lang w:val="es-CO"/>
        </w:rPr>
        <w:t xml:space="preserve"> </w:t>
      </w:r>
      <w:r w:rsidR="00E85CD4">
        <w:rPr>
          <w:rFonts w:ascii="Georgia" w:hAnsi="Georgia" w:cs="Arial"/>
          <w:iCs/>
          <w:smallCaps/>
          <w:sz w:val="28"/>
          <w:lang w:val="es-CO"/>
        </w:rPr>
        <w:t xml:space="preserve">veintitrés </w:t>
      </w:r>
      <w:r w:rsidRPr="004F3CCA">
        <w:rPr>
          <w:rFonts w:ascii="Georgia" w:hAnsi="Georgia" w:cs="Arial"/>
          <w:iCs/>
          <w:smallCaps/>
          <w:sz w:val="28"/>
          <w:lang w:val="es-CO"/>
        </w:rPr>
        <w:t>(</w:t>
      </w:r>
      <w:r w:rsidR="00E85CD4">
        <w:rPr>
          <w:rFonts w:ascii="Georgia" w:hAnsi="Georgia" w:cs="Arial"/>
          <w:iCs/>
          <w:smallCaps/>
          <w:sz w:val="28"/>
          <w:lang w:val="es-CO"/>
        </w:rPr>
        <w:t>23</w:t>
      </w:r>
      <w:r w:rsidRPr="004F3CCA">
        <w:rPr>
          <w:rFonts w:ascii="Georgia" w:hAnsi="Georgia" w:cs="Arial"/>
          <w:iCs/>
          <w:smallCaps/>
          <w:sz w:val="28"/>
          <w:lang w:val="es-CO"/>
        </w:rPr>
        <w:t xml:space="preserve">) de </w:t>
      </w:r>
      <w:r w:rsidR="008915EA" w:rsidRPr="004F3CCA">
        <w:rPr>
          <w:rFonts w:ascii="Georgia" w:hAnsi="Georgia" w:cs="Arial"/>
          <w:iCs/>
          <w:smallCaps/>
          <w:sz w:val="28"/>
          <w:lang w:val="es-CO"/>
        </w:rPr>
        <w:t xml:space="preserve">febrero </w:t>
      </w:r>
      <w:r w:rsidRPr="004F3CCA">
        <w:rPr>
          <w:rFonts w:ascii="Georgia" w:hAnsi="Georgia" w:cs="Arial"/>
          <w:iCs/>
          <w:smallCaps/>
          <w:sz w:val="28"/>
          <w:lang w:val="es-CO"/>
        </w:rPr>
        <w:t xml:space="preserve">de dos mil </w:t>
      </w:r>
      <w:r w:rsidR="003F0102">
        <w:rPr>
          <w:rFonts w:ascii="Georgia" w:hAnsi="Georgia" w:cs="Arial"/>
          <w:iCs/>
          <w:smallCaps/>
          <w:sz w:val="28"/>
          <w:lang w:val="es-CO"/>
        </w:rPr>
        <w:t xml:space="preserve">dieciocho </w:t>
      </w:r>
      <w:r w:rsidRPr="004F3CCA">
        <w:rPr>
          <w:rFonts w:ascii="Georgia" w:hAnsi="Georgia" w:cs="Arial"/>
          <w:iCs/>
          <w:smallCaps/>
          <w:sz w:val="28"/>
          <w:lang w:val="es-CO"/>
        </w:rPr>
        <w:t>(</w:t>
      </w:r>
      <w:r w:rsidR="003F0102">
        <w:rPr>
          <w:rFonts w:ascii="Georgia" w:hAnsi="Georgia" w:cs="Arial"/>
          <w:iCs/>
          <w:smallCaps/>
          <w:sz w:val="28"/>
          <w:lang w:val="es-CO"/>
        </w:rPr>
        <w:t>2018</w:t>
      </w:r>
      <w:r w:rsidRPr="004F3CCA">
        <w:rPr>
          <w:rFonts w:ascii="Georgia" w:hAnsi="Georgia" w:cs="Arial"/>
          <w:iCs/>
          <w:smallCaps/>
          <w:sz w:val="28"/>
          <w:lang w:val="es-CO"/>
        </w:rPr>
        <w:t>)</w:t>
      </w:r>
      <w:r w:rsidRPr="004F3CCA">
        <w:rPr>
          <w:rFonts w:ascii="Georgia" w:hAnsi="Georgia" w:cs="Arial"/>
          <w:iCs/>
          <w:sz w:val="28"/>
          <w:lang w:val="es-CO"/>
        </w:rPr>
        <w:t>.</w:t>
      </w:r>
    </w:p>
    <w:p w:rsidR="00586A21" w:rsidRPr="004F3CCA" w:rsidRDefault="00586A21" w:rsidP="00F839CE">
      <w:pPr>
        <w:pStyle w:val="Corpsdetexte"/>
        <w:spacing w:line="360" w:lineRule="auto"/>
        <w:rPr>
          <w:rFonts w:ascii="Georgia" w:hAnsi="Georgia" w:cs="Arial"/>
          <w:szCs w:val="24"/>
          <w:lang w:val="es-CO"/>
        </w:rPr>
      </w:pPr>
    </w:p>
    <w:p w:rsidR="003913E3" w:rsidRPr="004F3CCA" w:rsidRDefault="003913E3" w:rsidP="00F839CE">
      <w:pPr>
        <w:pStyle w:val="Corpsdetexte"/>
        <w:numPr>
          <w:ilvl w:val="0"/>
          <w:numId w:val="1"/>
        </w:numPr>
        <w:spacing w:line="360" w:lineRule="auto"/>
        <w:rPr>
          <w:rFonts w:ascii="Georgia" w:hAnsi="Georgia" w:cs="Arial"/>
          <w:sz w:val="24"/>
          <w:szCs w:val="24"/>
        </w:rPr>
      </w:pPr>
      <w:r w:rsidRPr="004F3CCA">
        <w:rPr>
          <w:rFonts w:ascii="Georgia" w:hAnsi="Georgia" w:cs="Arial"/>
          <w:sz w:val="24"/>
          <w:szCs w:val="24"/>
        </w:rPr>
        <w:t xml:space="preserve">EL ASUNTO </w:t>
      </w:r>
      <w:r w:rsidR="00FA29FF" w:rsidRPr="004F3CCA">
        <w:rPr>
          <w:rFonts w:ascii="Georgia" w:hAnsi="Georgia" w:cs="Arial"/>
          <w:sz w:val="24"/>
          <w:szCs w:val="24"/>
        </w:rPr>
        <w:t xml:space="preserve">POR </w:t>
      </w:r>
      <w:r w:rsidRPr="004F3CCA">
        <w:rPr>
          <w:rFonts w:ascii="Georgia" w:hAnsi="Georgia" w:cs="Arial"/>
          <w:sz w:val="24"/>
          <w:szCs w:val="24"/>
        </w:rPr>
        <w:t>DECIDIR</w:t>
      </w:r>
    </w:p>
    <w:p w:rsidR="003913E3" w:rsidRPr="004F3CCA" w:rsidRDefault="003913E3" w:rsidP="00F839CE">
      <w:pPr>
        <w:pStyle w:val="Corpsdetexte"/>
        <w:spacing w:line="360" w:lineRule="auto"/>
        <w:rPr>
          <w:rFonts w:ascii="Georgia" w:hAnsi="Georgia" w:cs="Arial"/>
          <w:szCs w:val="24"/>
        </w:rPr>
      </w:pPr>
    </w:p>
    <w:p w:rsidR="003913E3" w:rsidRPr="004F3CCA" w:rsidRDefault="003913E3" w:rsidP="00F839CE">
      <w:pPr>
        <w:pStyle w:val="Corpsdetexte"/>
        <w:spacing w:line="360" w:lineRule="auto"/>
        <w:rPr>
          <w:rFonts w:ascii="Georgia" w:hAnsi="Georgia" w:cs="Arial"/>
          <w:sz w:val="24"/>
          <w:szCs w:val="24"/>
        </w:rPr>
      </w:pPr>
      <w:r w:rsidRPr="004F3CCA">
        <w:rPr>
          <w:rFonts w:ascii="Georgia" w:hAnsi="Georgia" w:cs="Arial"/>
          <w:sz w:val="24"/>
          <w:szCs w:val="24"/>
        </w:rPr>
        <w:t>La impugnación formulada dentro de la acción constitucional referida, luego de surtida la actuación de primera instancia, sin avistar nulidades que la invaliden.</w:t>
      </w:r>
    </w:p>
    <w:p w:rsidR="003913E3" w:rsidRPr="004F3CCA" w:rsidRDefault="003913E3" w:rsidP="00F839CE">
      <w:pPr>
        <w:pStyle w:val="Corpsdetexte"/>
        <w:spacing w:line="360" w:lineRule="auto"/>
        <w:rPr>
          <w:rFonts w:ascii="Georgia" w:hAnsi="Georgia" w:cs="Arial"/>
          <w:szCs w:val="24"/>
        </w:rPr>
      </w:pPr>
    </w:p>
    <w:p w:rsidR="003913E3" w:rsidRPr="001656E3" w:rsidRDefault="003913E3" w:rsidP="009C349A">
      <w:pPr>
        <w:pStyle w:val="Corpsdetexte"/>
        <w:numPr>
          <w:ilvl w:val="0"/>
          <w:numId w:val="1"/>
        </w:numPr>
        <w:spacing w:line="360" w:lineRule="auto"/>
        <w:rPr>
          <w:rFonts w:ascii="Georgia" w:hAnsi="Georgia" w:cs="Arial"/>
          <w:szCs w:val="24"/>
        </w:rPr>
      </w:pPr>
      <w:r w:rsidRPr="001656E3">
        <w:rPr>
          <w:rFonts w:ascii="Georgia" w:hAnsi="Georgia" w:cs="Arial"/>
          <w:sz w:val="24"/>
          <w:szCs w:val="24"/>
        </w:rPr>
        <w:lastRenderedPageBreak/>
        <w:t xml:space="preserve">LA SÍNTESIS </w:t>
      </w:r>
      <w:r w:rsidR="001656E3" w:rsidRPr="00484A74">
        <w:rPr>
          <w:rFonts w:ascii="Georgia" w:hAnsi="Georgia" w:cs="Arial"/>
          <w:sz w:val="24"/>
          <w:szCs w:val="24"/>
        </w:rPr>
        <w:t>FÁCTICA</w:t>
      </w:r>
    </w:p>
    <w:p w:rsidR="001656E3" w:rsidRPr="001656E3" w:rsidRDefault="001656E3" w:rsidP="001656E3">
      <w:pPr>
        <w:pStyle w:val="Corpsdetexte"/>
        <w:spacing w:line="360" w:lineRule="auto"/>
        <w:ind w:left="360"/>
        <w:rPr>
          <w:rFonts w:ascii="Georgia" w:hAnsi="Georgia" w:cs="Arial"/>
          <w:szCs w:val="24"/>
        </w:rPr>
      </w:pPr>
    </w:p>
    <w:p w:rsidR="0017357D" w:rsidRPr="004F3CCA" w:rsidRDefault="009B6DC4" w:rsidP="00F839CE">
      <w:pPr>
        <w:pStyle w:val="Corpsdetexte"/>
        <w:spacing w:line="360" w:lineRule="auto"/>
        <w:rPr>
          <w:rFonts w:ascii="Georgia" w:hAnsi="Georgia" w:cs="Arial"/>
          <w:sz w:val="24"/>
          <w:szCs w:val="24"/>
        </w:rPr>
      </w:pPr>
      <w:r w:rsidRPr="004F3CCA">
        <w:rPr>
          <w:rFonts w:ascii="Georgia" w:hAnsi="Georgia" w:cs="Arial"/>
          <w:sz w:val="24"/>
          <w:szCs w:val="24"/>
        </w:rPr>
        <w:t xml:space="preserve">Se informó </w:t>
      </w:r>
      <w:r w:rsidR="003F0102">
        <w:rPr>
          <w:rFonts w:ascii="Georgia" w:hAnsi="Georgia" w:cs="Arial"/>
          <w:sz w:val="24"/>
          <w:szCs w:val="24"/>
        </w:rPr>
        <w:t xml:space="preserve">que en la ejecución radicada al No.2017-00572-00 que se adelanta contra el actor </w:t>
      </w:r>
      <w:r w:rsidR="00CF3E07">
        <w:rPr>
          <w:rFonts w:ascii="Georgia" w:hAnsi="Georgia" w:cs="Arial"/>
          <w:sz w:val="24"/>
          <w:szCs w:val="24"/>
        </w:rPr>
        <w:t xml:space="preserve">se decretó el </w:t>
      </w:r>
      <w:r w:rsidR="003F0102">
        <w:rPr>
          <w:rFonts w:ascii="Georgia" w:hAnsi="Georgia" w:cs="Arial"/>
          <w:sz w:val="24"/>
          <w:szCs w:val="24"/>
        </w:rPr>
        <w:t xml:space="preserve">embargo y retención del 30% de su salario, sin tener en cuenta que </w:t>
      </w:r>
      <w:r w:rsidR="00B528C5">
        <w:rPr>
          <w:rFonts w:ascii="Georgia" w:hAnsi="Georgia" w:cs="Arial"/>
          <w:sz w:val="24"/>
          <w:szCs w:val="24"/>
        </w:rPr>
        <w:t>es su único ingreso</w:t>
      </w:r>
      <w:r w:rsidR="00D171AD">
        <w:rPr>
          <w:rFonts w:ascii="Georgia" w:hAnsi="Georgia" w:cs="Arial"/>
          <w:sz w:val="24"/>
          <w:szCs w:val="24"/>
        </w:rPr>
        <w:t>,</w:t>
      </w:r>
      <w:r w:rsidR="00B528C5">
        <w:rPr>
          <w:rFonts w:ascii="Georgia" w:hAnsi="Georgia" w:cs="Arial"/>
          <w:sz w:val="24"/>
          <w:szCs w:val="24"/>
        </w:rPr>
        <w:t xml:space="preserve"> y que ese </w:t>
      </w:r>
      <w:r w:rsidR="003F0102">
        <w:rPr>
          <w:rFonts w:ascii="Georgia" w:hAnsi="Georgia" w:cs="Arial"/>
          <w:sz w:val="24"/>
          <w:szCs w:val="24"/>
        </w:rPr>
        <w:t xml:space="preserve">descuento le impide responder por las obligaciones </w:t>
      </w:r>
      <w:r w:rsidR="00CF3E07">
        <w:rPr>
          <w:rFonts w:ascii="Georgia" w:hAnsi="Georgia" w:cs="Arial"/>
          <w:sz w:val="24"/>
          <w:szCs w:val="24"/>
        </w:rPr>
        <w:t xml:space="preserve">de su </w:t>
      </w:r>
      <w:r w:rsidR="003F0102">
        <w:rPr>
          <w:rFonts w:ascii="Georgia" w:hAnsi="Georgia" w:cs="Arial"/>
          <w:sz w:val="24"/>
          <w:szCs w:val="24"/>
        </w:rPr>
        <w:t>hogar</w:t>
      </w:r>
      <w:r w:rsidR="00B528C5">
        <w:rPr>
          <w:rFonts w:ascii="Georgia" w:hAnsi="Georgia" w:cs="Arial"/>
          <w:sz w:val="24"/>
          <w:szCs w:val="24"/>
        </w:rPr>
        <w:t xml:space="preserve"> conformado por su esposa y sus dos (2) hijos menores </w:t>
      </w:r>
      <w:r w:rsidR="009F023C" w:rsidRPr="004F3CCA">
        <w:rPr>
          <w:rFonts w:ascii="Georgia" w:hAnsi="Georgia" w:cs="Arial"/>
          <w:sz w:val="24"/>
          <w:szCs w:val="24"/>
        </w:rPr>
        <w:t>(Folio</w:t>
      </w:r>
      <w:r w:rsidR="0045279A" w:rsidRPr="004F3CCA">
        <w:rPr>
          <w:rFonts w:ascii="Georgia" w:hAnsi="Georgia" w:cs="Arial"/>
          <w:sz w:val="24"/>
          <w:szCs w:val="24"/>
        </w:rPr>
        <w:t>s</w:t>
      </w:r>
      <w:r w:rsidR="00220CE5" w:rsidRPr="004F3CCA">
        <w:rPr>
          <w:rFonts w:ascii="Georgia" w:hAnsi="Georgia" w:cs="Arial"/>
          <w:sz w:val="24"/>
          <w:szCs w:val="24"/>
        </w:rPr>
        <w:t xml:space="preserve"> </w:t>
      </w:r>
      <w:r w:rsidR="00B528C5">
        <w:rPr>
          <w:rFonts w:ascii="Georgia" w:hAnsi="Georgia" w:cs="Arial"/>
          <w:sz w:val="24"/>
          <w:szCs w:val="24"/>
        </w:rPr>
        <w:t>18 a 28</w:t>
      </w:r>
      <w:r w:rsidR="00220CE5" w:rsidRPr="004F3CCA">
        <w:rPr>
          <w:rFonts w:ascii="Georgia" w:hAnsi="Georgia" w:cs="Arial"/>
          <w:sz w:val="24"/>
          <w:szCs w:val="24"/>
        </w:rPr>
        <w:t xml:space="preserve">, </w:t>
      </w:r>
      <w:r w:rsidR="00220CE5" w:rsidRPr="004F3CCA">
        <w:rPr>
          <w:rFonts w:ascii="Georgia" w:hAnsi="Georgia" w:cs="Arial"/>
          <w:sz w:val="24"/>
          <w:szCs w:val="24"/>
          <w:lang w:val="es-CO"/>
        </w:rPr>
        <w:t xml:space="preserve">cuaderno </w:t>
      </w:r>
      <w:r w:rsidR="00D171AD">
        <w:rPr>
          <w:rFonts w:ascii="Georgia" w:hAnsi="Georgia" w:cs="Arial"/>
          <w:sz w:val="24"/>
          <w:szCs w:val="24"/>
          <w:lang w:val="es-CO"/>
        </w:rPr>
        <w:t>No.1</w:t>
      </w:r>
      <w:r w:rsidR="00220CE5" w:rsidRPr="004F3CCA">
        <w:rPr>
          <w:rFonts w:ascii="Georgia" w:hAnsi="Georgia" w:cs="Arial"/>
          <w:sz w:val="24"/>
          <w:szCs w:val="24"/>
        </w:rPr>
        <w:t>).</w:t>
      </w:r>
    </w:p>
    <w:p w:rsidR="004B5109" w:rsidRPr="004F3CCA" w:rsidRDefault="004B5109" w:rsidP="00F839CE">
      <w:pPr>
        <w:pStyle w:val="Corpsdetexte"/>
        <w:spacing w:line="360" w:lineRule="auto"/>
        <w:rPr>
          <w:rFonts w:ascii="Georgia" w:hAnsi="Georgia" w:cs="Arial"/>
          <w:color w:val="000000"/>
          <w:szCs w:val="24"/>
          <w:lang w:val="es-CO"/>
        </w:rPr>
      </w:pPr>
    </w:p>
    <w:p w:rsidR="003913E3" w:rsidRPr="004F3CCA" w:rsidRDefault="003913E3" w:rsidP="00F839CE">
      <w:pPr>
        <w:pStyle w:val="Corpsdetexte"/>
        <w:numPr>
          <w:ilvl w:val="0"/>
          <w:numId w:val="1"/>
        </w:numPr>
        <w:spacing w:line="360" w:lineRule="auto"/>
        <w:rPr>
          <w:rFonts w:ascii="Georgia" w:hAnsi="Georgia" w:cs="Arial"/>
          <w:sz w:val="24"/>
          <w:szCs w:val="24"/>
        </w:rPr>
      </w:pPr>
      <w:r w:rsidRPr="004F3CCA">
        <w:rPr>
          <w:rFonts w:ascii="Georgia" w:hAnsi="Georgia" w:cs="Arial"/>
          <w:sz w:val="24"/>
          <w:szCs w:val="24"/>
        </w:rPr>
        <w:t>LOS DERECHOS INVOCADOS</w:t>
      </w:r>
    </w:p>
    <w:p w:rsidR="00860B21" w:rsidRPr="004F3CCA" w:rsidRDefault="00860B21" w:rsidP="00860B21">
      <w:pPr>
        <w:pStyle w:val="Corpsdetexte"/>
        <w:spacing w:line="360" w:lineRule="auto"/>
        <w:ind w:left="360"/>
        <w:rPr>
          <w:rFonts w:ascii="Georgia" w:hAnsi="Georgia" w:cs="Arial"/>
          <w:sz w:val="18"/>
          <w:szCs w:val="24"/>
        </w:rPr>
      </w:pPr>
    </w:p>
    <w:p w:rsidR="003913E3" w:rsidRDefault="00D171AD" w:rsidP="00F839CE">
      <w:pPr>
        <w:pStyle w:val="Corpsdetexte"/>
        <w:widowControl w:val="0"/>
        <w:spacing w:line="360" w:lineRule="auto"/>
        <w:rPr>
          <w:rFonts w:ascii="Georgia" w:hAnsi="Georgia" w:cs="Arial"/>
          <w:sz w:val="24"/>
          <w:szCs w:val="24"/>
        </w:rPr>
      </w:pPr>
      <w:r>
        <w:rPr>
          <w:rFonts w:ascii="Georgia" w:hAnsi="Georgia" w:cs="Arial"/>
          <w:sz w:val="24"/>
          <w:szCs w:val="24"/>
        </w:rPr>
        <w:t>Se invocaron el mínimo vital, la vida en condiciones dignas, trabajo en condiciones dignas, la igualdad y el artículo 44, CP</w:t>
      </w:r>
      <w:r w:rsidR="009F023C" w:rsidRPr="004F3CCA">
        <w:rPr>
          <w:rFonts w:ascii="Georgia" w:hAnsi="Georgia" w:cs="Arial"/>
          <w:sz w:val="24"/>
          <w:szCs w:val="24"/>
        </w:rPr>
        <w:t xml:space="preserve"> </w:t>
      </w:r>
      <w:r w:rsidR="003913E3" w:rsidRPr="004F3CCA">
        <w:rPr>
          <w:rFonts w:ascii="Georgia" w:hAnsi="Georgia" w:cs="Arial"/>
          <w:sz w:val="24"/>
          <w:szCs w:val="24"/>
        </w:rPr>
        <w:t>(Folio</w:t>
      </w:r>
      <w:r w:rsidR="00B978A7" w:rsidRPr="004F3CCA">
        <w:rPr>
          <w:rFonts w:ascii="Georgia" w:hAnsi="Georgia" w:cs="Arial"/>
          <w:sz w:val="24"/>
          <w:szCs w:val="24"/>
        </w:rPr>
        <w:t xml:space="preserve"> </w:t>
      </w:r>
      <w:r>
        <w:rPr>
          <w:rFonts w:ascii="Georgia" w:hAnsi="Georgia" w:cs="Arial"/>
          <w:sz w:val="24"/>
          <w:szCs w:val="24"/>
        </w:rPr>
        <w:t>27</w:t>
      </w:r>
      <w:r w:rsidR="005C26B3" w:rsidRPr="004F3CCA">
        <w:rPr>
          <w:rFonts w:ascii="Georgia" w:hAnsi="Georgia" w:cs="Arial"/>
          <w:sz w:val="24"/>
          <w:szCs w:val="24"/>
        </w:rPr>
        <w:t>,</w:t>
      </w:r>
      <w:r w:rsidR="003913E3" w:rsidRPr="004F3CCA">
        <w:rPr>
          <w:rFonts w:ascii="Georgia" w:hAnsi="Georgia" w:cs="Arial"/>
          <w:sz w:val="24"/>
          <w:szCs w:val="24"/>
        </w:rPr>
        <w:t xml:space="preserve"> </w:t>
      </w:r>
      <w:r w:rsidR="003913E3" w:rsidRPr="004F3CCA">
        <w:rPr>
          <w:rFonts w:ascii="Georgia" w:hAnsi="Georgia" w:cs="Arial"/>
          <w:color w:val="000000"/>
          <w:sz w:val="24"/>
          <w:szCs w:val="24"/>
          <w:lang w:val="es-CO"/>
        </w:rPr>
        <w:t xml:space="preserve">cuaderno </w:t>
      </w:r>
      <w:r>
        <w:rPr>
          <w:rFonts w:ascii="Georgia" w:hAnsi="Georgia" w:cs="Arial"/>
          <w:color w:val="000000"/>
          <w:sz w:val="24"/>
          <w:szCs w:val="24"/>
          <w:lang w:val="es-CO"/>
        </w:rPr>
        <w:t>No.1</w:t>
      </w:r>
      <w:r w:rsidR="003913E3" w:rsidRPr="004F3CCA">
        <w:rPr>
          <w:rFonts w:ascii="Georgia" w:hAnsi="Georgia" w:cs="Arial"/>
          <w:sz w:val="24"/>
          <w:szCs w:val="24"/>
        </w:rPr>
        <w:t>).</w:t>
      </w:r>
      <w:r w:rsidR="002C2796" w:rsidRPr="004F3CCA">
        <w:rPr>
          <w:rFonts w:ascii="Georgia" w:hAnsi="Georgia" w:cs="Arial"/>
          <w:sz w:val="24"/>
          <w:szCs w:val="24"/>
        </w:rPr>
        <w:t xml:space="preserve"> </w:t>
      </w:r>
    </w:p>
    <w:p w:rsidR="001656E3" w:rsidRDefault="001656E3" w:rsidP="00F839CE">
      <w:pPr>
        <w:pStyle w:val="Corpsdetexte"/>
        <w:widowControl w:val="0"/>
        <w:spacing w:line="360" w:lineRule="auto"/>
        <w:rPr>
          <w:rFonts w:ascii="Georgia" w:hAnsi="Georgia" w:cs="Arial"/>
          <w:sz w:val="24"/>
          <w:szCs w:val="24"/>
        </w:rPr>
      </w:pPr>
    </w:p>
    <w:p w:rsidR="001656E3" w:rsidRDefault="001656E3" w:rsidP="001656E3">
      <w:pPr>
        <w:pStyle w:val="Corpsdetexte"/>
        <w:numPr>
          <w:ilvl w:val="0"/>
          <w:numId w:val="1"/>
        </w:numPr>
        <w:spacing w:line="360" w:lineRule="auto"/>
        <w:rPr>
          <w:rFonts w:ascii="Georgia" w:hAnsi="Georgia"/>
          <w:sz w:val="24"/>
          <w:szCs w:val="24"/>
        </w:rPr>
      </w:pPr>
      <w:r w:rsidRPr="00484A74">
        <w:rPr>
          <w:rFonts w:ascii="Georgia" w:hAnsi="Georgia"/>
          <w:sz w:val="24"/>
          <w:szCs w:val="24"/>
        </w:rPr>
        <w:t>LA PETICIÓN DE PROTECCIÓN</w:t>
      </w:r>
    </w:p>
    <w:p w:rsidR="001656E3" w:rsidRDefault="001656E3" w:rsidP="001656E3">
      <w:pPr>
        <w:pStyle w:val="Corpsdetexte"/>
        <w:spacing w:line="360" w:lineRule="auto"/>
        <w:ind w:left="360"/>
        <w:rPr>
          <w:rFonts w:ascii="Georgia" w:hAnsi="Georgia"/>
          <w:sz w:val="24"/>
          <w:szCs w:val="24"/>
        </w:rPr>
      </w:pPr>
    </w:p>
    <w:p w:rsidR="001656E3" w:rsidRPr="00484A74" w:rsidRDefault="001656E3" w:rsidP="001656E3">
      <w:pPr>
        <w:pStyle w:val="Sansinterligne"/>
        <w:spacing w:line="360" w:lineRule="auto"/>
        <w:jc w:val="both"/>
        <w:rPr>
          <w:rFonts w:ascii="Georgia" w:hAnsi="Georgia" w:cs="Arial"/>
          <w:sz w:val="24"/>
          <w:szCs w:val="24"/>
        </w:rPr>
      </w:pPr>
      <w:r w:rsidRPr="00484A74">
        <w:rPr>
          <w:rFonts w:ascii="Georgia" w:hAnsi="Georgia" w:cs="Arial"/>
          <w:sz w:val="24"/>
          <w:szCs w:val="24"/>
        </w:rPr>
        <w:t>Se pretende que</w:t>
      </w:r>
      <w:r>
        <w:rPr>
          <w:rFonts w:ascii="Georgia" w:hAnsi="Georgia" w:cs="Arial"/>
          <w:sz w:val="24"/>
          <w:szCs w:val="24"/>
        </w:rPr>
        <w:t xml:space="preserve"> se (i) tutelen los derechos fundamentales invocados; y, en consecuencia, (ii) se ordene al accionado regular los descuentos realizados sobre el salario del actor </w:t>
      </w:r>
      <w:r w:rsidRPr="00484A74">
        <w:rPr>
          <w:rFonts w:ascii="Georgia" w:hAnsi="Georgia"/>
          <w:sz w:val="24"/>
          <w:szCs w:val="24"/>
        </w:rPr>
        <w:t xml:space="preserve">(Folio </w:t>
      </w:r>
      <w:r>
        <w:rPr>
          <w:rFonts w:ascii="Georgia" w:hAnsi="Georgia"/>
          <w:sz w:val="24"/>
          <w:szCs w:val="24"/>
        </w:rPr>
        <w:t>27</w:t>
      </w:r>
      <w:r w:rsidRPr="00484A74">
        <w:rPr>
          <w:rFonts w:ascii="Georgia" w:hAnsi="Georgia"/>
          <w:sz w:val="24"/>
          <w:szCs w:val="24"/>
        </w:rPr>
        <w:t xml:space="preserve">, </w:t>
      </w:r>
      <w:r>
        <w:rPr>
          <w:rFonts w:ascii="Georgia" w:hAnsi="Georgia"/>
          <w:sz w:val="24"/>
          <w:szCs w:val="24"/>
        </w:rPr>
        <w:t>cuaderno No.1</w:t>
      </w:r>
      <w:r w:rsidRPr="00484A74">
        <w:rPr>
          <w:rFonts w:ascii="Georgia" w:hAnsi="Georgia"/>
          <w:sz w:val="24"/>
          <w:szCs w:val="24"/>
        </w:rPr>
        <w:t>)</w:t>
      </w:r>
      <w:r w:rsidRPr="00484A74">
        <w:rPr>
          <w:rFonts w:ascii="Georgia" w:hAnsi="Georgia" w:cs="Arial"/>
          <w:sz w:val="24"/>
          <w:szCs w:val="24"/>
        </w:rPr>
        <w:t xml:space="preserve">. </w:t>
      </w:r>
    </w:p>
    <w:p w:rsidR="00A84032" w:rsidRPr="004F3CCA" w:rsidRDefault="00A84032" w:rsidP="00F839CE">
      <w:pPr>
        <w:pStyle w:val="Corpsdetexte"/>
        <w:widowControl w:val="0"/>
        <w:spacing w:line="360" w:lineRule="auto"/>
        <w:rPr>
          <w:rFonts w:ascii="Georgia" w:hAnsi="Georgia" w:cs="Arial"/>
          <w:szCs w:val="24"/>
        </w:rPr>
      </w:pPr>
    </w:p>
    <w:p w:rsidR="003913E3" w:rsidRPr="004F3CCA" w:rsidRDefault="003913E3" w:rsidP="00F839CE">
      <w:pPr>
        <w:pStyle w:val="Corpsdetexte"/>
        <w:widowControl w:val="0"/>
        <w:numPr>
          <w:ilvl w:val="0"/>
          <w:numId w:val="1"/>
        </w:numPr>
        <w:spacing w:line="360" w:lineRule="auto"/>
        <w:rPr>
          <w:rFonts w:ascii="Georgia" w:hAnsi="Georgia" w:cs="Arial"/>
          <w:sz w:val="24"/>
          <w:szCs w:val="24"/>
        </w:rPr>
      </w:pPr>
      <w:r w:rsidRPr="004F3CCA">
        <w:rPr>
          <w:rFonts w:ascii="Georgia" w:hAnsi="Georgia" w:cs="Arial"/>
          <w:sz w:val="24"/>
          <w:szCs w:val="24"/>
        </w:rPr>
        <w:t>LA SÍNTESIS DE LA CRÓNICA PROCESAL</w:t>
      </w:r>
    </w:p>
    <w:p w:rsidR="003913E3" w:rsidRPr="004F3CCA" w:rsidRDefault="003913E3" w:rsidP="00B942B6">
      <w:pPr>
        <w:pStyle w:val="Corpsdetexte"/>
        <w:spacing w:line="360" w:lineRule="auto"/>
        <w:rPr>
          <w:rFonts w:ascii="Georgia" w:hAnsi="Georgia" w:cs="Arial"/>
          <w:szCs w:val="24"/>
        </w:rPr>
      </w:pPr>
    </w:p>
    <w:p w:rsidR="004B3407" w:rsidRPr="004F3CCA" w:rsidRDefault="004B3407" w:rsidP="004B3407">
      <w:pPr>
        <w:pStyle w:val="Corpsdetexte"/>
        <w:widowControl w:val="0"/>
        <w:spacing w:line="360" w:lineRule="auto"/>
        <w:rPr>
          <w:rFonts w:ascii="Georgia" w:hAnsi="Georgia"/>
          <w:sz w:val="24"/>
        </w:rPr>
      </w:pPr>
      <w:r w:rsidRPr="004F3CCA">
        <w:rPr>
          <w:rFonts w:ascii="Georgia" w:hAnsi="Georgia"/>
          <w:sz w:val="24"/>
        </w:rPr>
        <w:t xml:space="preserve">La acción correspondió por reparto al Juzgado </w:t>
      </w:r>
      <w:r w:rsidR="00D171AD">
        <w:rPr>
          <w:rFonts w:ascii="Georgia" w:hAnsi="Georgia"/>
          <w:sz w:val="24"/>
        </w:rPr>
        <w:t xml:space="preserve">Tercero </w:t>
      </w:r>
      <w:r w:rsidR="00B51A9E" w:rsidRPr="004F3CCA">
        <w:rPr>
          <w:rFonts w:ascii="Georgia" w:hAnsi="Georgia"/>
          <w:sz w:val="24"/>
        </w:rPr>
        <w:t>Civil del Circuito de Pereira</w:t>
      </w:r>
      <w:r w:rsidRPr="004F3CCA">
        <w:rPr>
          <w:rFonts w:ascii="Georgia" w:hAnsi="Georgia"/>
          <w:sz w:val="24"/>
        </w:rPr>
        <w:t xml:space="preserve">, </w:t>
      </w:r>
      <w:r w:rsidR="00B51A9E" w:rsidRPr="004F3CCA">
        <w:rPr>
          <w:rFonts w:ascii="Georgia" w:hAnsi="Georgia"/>
          <w:sz w:val="24"/>
        </w:rPr>
        <w:t xml:space="preserve">quien </w:t>
      </w:r>
      <w:r w:rsidRPr="004F3CCA">
        <w:rPr>
          <w:rFonts w:ascii="Georgia" w:hAnsi="Georgia"/>
          <w:sz w:val="24"/>
        </w:rPr>
        <w:t xml:space="preserve">con providencia del </w:t>
      </w:r>
      <w:r w:rsidR="00D171AD">
        <w:rPr>
          <w:rFonts w:ascii="Georgia" w:hAnsi="Georgia"/>
          <w:sz w:val="24"/>
        </w:rPr>
        <w:t xml:space="preserve">04-12-2017 </w:t>
      </w:r>
      <w:r w:rsidRPr="004F3CCA">
        <w:rPr>
          <w:rFonts w:ascii="Georgia" w:hAnsi="Georgia"/>
          <w:sz w:val="24"/>
        </w:rPr>
        <w:t>la admitió</w:t>
      </w:r>
      <w:r w:rsidR="00B51A9E" w:rsidRPr="004F3CCA">
        <w:rPr>
          <w:rFonts w:ascii="Georgia" w:hAnsi="Georgia"/>
          <w:sz w:val="24"/>
        </w:rPr>
        <w:t xml:space="preserve">, vinculó a quienes estimó conveniente </w:t>
      </w:r>
      <w:r w:rsidRPr="004F3CCA">
        <w:rPr>
          <w:rFonts w:ascii="Georgia" w:hAnsi="Georgia"/>
          <w:sz w:val="24"/>
        </w:rPr>
        <w:t>y ordenó notificar a las partes</w:t>
      </w:r>
      <w:r w:rsidR="00A84032" w:rsidRPr="004F3CCA">
        <w:rPr>
          <w:rFonts w:ascii="Georgia" w:hAnsi="Georgia"/>
          <w:sz w:val="24"/>
        </w:rPr>
        <w:t>, entre otros ordenamientos</w:t>
      </w:r>
      <w:r w:rsidRPr="004F3CCA">
        <w:rPr>
          <w:rFonts w:ascii="Georgia" w:hAnsi="Georgia"/>
          <w:sz w:val="24"/>
        </w:rPr>
        <w:t xml:space="preserve"> (Folio </w:t>
      </w:r>
      <w:r w:rsidR="00D171AD">
        <w:rPr>
          <w:rFonts w:ascii="Georgia" w:hAnsi="Georgia"/>
          <w:sz w:val="24"/>
        </w:rPr>
        <w:t>30</w:t>
      </w:r>
      <w:r w:rsidRPr="004F3CCA">
        <w:rPr>
          <w:rFonts w:ascii="Georgia" w:hAnsi="Georgia"/>
          <w:sz w:val="24"/>
        </w:rPr>
        <w:t xml:space="preserve">, </w:t>
      </w:r>
      <w:r w:rsidR="001656E3">
        <w:rPr>
          <w:rFonts w:ascii="Georgia" w:hAnsi="Georgia" w:cs="Arial"/>
          <w:color w:val="000000"/>
          <w:sz w:val="24"/>
          <w:szCs w:val="24"/>
          <w:lang w:val="es-CO"/>
        </w:rPr>
        <w:t>ibídem</w:t>
      </w:r>
      <w:r w:rsidRPr="004F3CCA">
        <w:rPr>
          <w:rFonts w:ascii="Georgia" w:hAnsi="Georgia"/>
          <w:sz w:val="24"/>
        </w:rPr>
        <w:t>)</w:t>
      </w:r>
      <w:r w:rsidR="00D171AD">
        <w:rPr>
          <w:rFonts w:ascii="Georgia" w:hAnsi="Georgia"/>
          <w:sz w:val="24"/>
        </w:rPr>
        <w:t>; e</w:t>
      </w:r>
      <w:r w:rsidRPr="004F3CCA">
        <w:rPr>
          <w:rFonts w:ascii="Georgia" w:hAnsi="Georgia"/>
          <w:sz w:val="24"/>
        </w:rPr>
        <w:t xml:space="preserve">l </w:t>
      </w:r>
      <w:r w:rsidR="00D171AD">
        <w:rPr>
          <w:rFonts w:ascii="Georgia" w:hAnsi="Georgia"/>
          <w:sz w:val="24"/>
        </w:rPr>
        <w:t>07-12-2017 practicó la inspección judicial (Folio 36, ibídem); el 15</w:t>
      </w:r>
      <w:r w:rsidR="006A309C" w:rsidRPr="004F3CCA">
        <w:rPr>
          <w:rFonts w:ascii="Georgia" w:hAnsi="Georgia"/>
          <w:sz w:val="24"/>
        </w:rPr>
        <w:t>-</w:t>
      </w:r>
      <w:r w:rsidR="00B51A9E" w:rsidRPr="004F3CCA">
        <w:rPr>
          <w:rFonts w:ascii="Georgia" w:hAnsi="Georgia"/>
          <w:sz w:val="24"/>
        </w:rPr>
        <w:t>12</w:t>
      </w:r>
      <w:r w:rsidR="00515033">
        <w:rPr>
          <w:rFonts w:ascii="Georgia" w:hAnsi="Georgia"/>
          <w:sz w:val="24"/>
        </w:rPr>
        <w:t>-2017</w:t>
      </w:r>
      <w:r w:rsidR="006A309C" w:rsidRPr="004F3CCA">
        <w:rPr>
          <w:rFonts w:ascii="Georgia" w:hAnsi="Georgia"/>
          <w:sz w:val="24"/>
        </w:rPr>
        <w:t xml:space="preserve"> </w:t>
      </w:r>
      <w:r w:rsidRPr="004F3CCA">
        <w:rPr>
          <w:rFonts w:ascii="Georgia" w:hAnsi="Georgia"/>
          <w:sz w:val="24"/>
        </w:rPr>
        <w:t xml:space="preserve">emitió </w:t>
      </w:r>
      <w:r w:rsidR="00B51A9E" w:rsidRPr="004F3CCA">
        <w:rPr>
          <w:rFonts w:ascii="Georgia" w:hAnsi="Georgia"/>
          <w:sz w:val="24"/>
        </w:rPr>
        <w:t xml:space="preserve">sentencia </w:t>
      </w:r>
      <w:r w:rsidRPr="004F3CCA">
        <w:rPr>
          <w:rFonts w:ascii="Georgia" w:hAnsi="Georgia"/>
          <w:sz w:val="24"/>
        </w:rPr>
        <w:t xml:space="preserve">(Folios </w:t>
      </w:r>
      <w:r w:rsidR="00D171AD">
        <w:rPr>
          <w:rFonts w:ascii="Georgia" w:hAnsi="Georgia"/>
          <w:sz w:val="24"/>
        </w:rPr>
        <w:t xml:space="preserve">37 a 39, ibídem); y, el 22-01-2018 </w:t>
      </w:r>
      <w:r w:rsidRPr="004F3CCA">
        <w:rPr>
          <w:rFonts w:ascii="Georgia" w:hAnsi="Georgia"/>
          <w:sz w:val="24"/>
        </w:rPr>
        <w:t xml:space="preserve">concedió la impugnación formulada por la parte </w:t>
      </w:r>
      <w:r w:rsidR="00D171AD">
        <w:rPr>
          <w:rFonts w:ascii="Georgia" w:hAnsi="Georgia"/>
          <w:sz w:val="24"/>
        </w:rPr>
        <w:t>actora</w:t>
      </w:r>
      <w:r w:rsidRPr="004F3CCA">
        <w:rPr>
          <w:rFonts w:ascii="Georgia" w:hAnsi="Georgia"/>
          <w:sz w:val="24"/>
        </w:rPr>
        <w:t xml:space="preserve">, ante este Tribunal (Folio </w:t>
      </w:r>
      <w:r w:rsidR="00D171AD">
        <w:rPr>
          <w:rFonts w:ascii="Georgia" w:hAnsi="Georgia"/>
          <w:sz w:val="24"/>
        </w:rPr>
        <w:t>51</w:t>
      </w:r>
      <w:r w:rsidRPr="004F3CCA">
        <w:rPr>
          <w:rFonts w:ascii="Georgia" w:hAnsi="Georgia"/>
          <w:sz w:val="24"/>
        </w:rPr>
        <w:t xml:space="preserve">, </w:t>
      </w:r>
      <w:r w:rsidR="001656E3">
        <w:rPr>
          <w:rFonts w:ascii="Georgia" w:hAnsi="Georgia"/>
          <w:sz w:val="24"/>
        </w:rPr>
        <w:t>ib.</w:t>
      </w:r>
      <w:r w:rsidRPr="004F3CCA">
        <w:rPr>
          <w:rFonts w:ascii="Georgia" w:hAnsi="Georgia"/>
          <w:sz w:val="24"/>
        </w:rPr>
        <w:t xml:space="preserve">). </w:t>
      </w:r>
    </w:p>
    <w:p w:rsidR="006F03E2" w:rsidRPr="004F3CCA" w:rsidRDefault="006F03E2" w:rsidP="006F03E2">
      <w:pPr>
        <w:spacing w:line="360" w:lineRule="auto"/>
        <w:jc w:val="both"/>
        <w:rPr>
          <w:rFonts w:ascii="Georgia" w:hAnsi="Georgia" w:cs="Arial"/>
          <w:sz w:val="20"/>
        </w:rPr>
      </w:pPr>
    </w:p>
    <w:p w:rsidR="00AA4CC9" w:rsidRPr="00484A74" w:rsidRDefault="00AA4CC9" w:rsidP="00AA4CC9">
      <w:pPr>
        <w:pStyle w:val="Corpsdetexte"/>
        <w:widowControl w:val="0"/>
        <w:spacing w:line="360" w:lineRule="auto"/>
        <w:rPr>
          <w:rFonts w:ascii="Georgia" w:hAnsi="Georgia" w:cs="Arial"/>
          <w:sz w:val="24"/>
          <w:szCs w:val="24"/>
        </w:rPr>
      </w:pPr>
      <w:r w:rsidRPr="00484A74">
        <w:rPr>
          <w:rFonts w:ascii="Georgia" w:hAnsi="Georgia" w:cs="Arial"/>
          <w:sz w:val="24"/>
          <w:szCs w:val="24"/>
        </w:rPr>
        <w:t xml:space="preserve">Mediante la sentencia opugnada </w:t>
      </w:r>
      <w:r>
        <w:rPr>
          <w:rFonts w:ascii="Georgia" w:hAnsi="Georgia" w:cs="Arial"/>
          <w:sz w:val="24"/>
          <w:szCs w:val="24"/>
        </w:rPr>
        <w:t xml:space="preserve">no se tutelaron (Sic) los derechos fundamentales porque el actor dejó de cuestionar el trámite dado a la ejecución; la medida decretada no fue desproporcionada; cuenta con el proceso de </w:t>
      </w:r>
      <w:r w:rsidR="001656E3">
        <w:rPr>
          <w:rFonts w:ascii="Georgia" w:hAnsi="Georgia" w:cs="Arial"/>
          <w:sz w:val="24"/>
          <w:szCs w:val="24"/>
        </w:rPr>
        <w:t>insolvencia de persona</w:t>
      </w:r>
      <w:r>
        <w:rPr>
          <w:rFonts w:ascii="Georgia" w:hAnsi="Georgia" w:cs="Arial"/>
          <w:sz w:val="24"/>
          <w:szCs w:val="24"/>
        </w:rPr>
        <w:t xml:space="preserve"> natural; y, </w:t>
      </w:r>
      <w:r w:rsidR="001656E3">
        <w:rPr>
          <w:rFonts w:ascii="Georgia" w:hAnsi="Georgia" w:cs="Arial"/>
          <w:sz w:val="24"/>
          <w:szCs w:val="24"/>
        </w:rPr>
        <w:t>omitió</w:t>
      </w:r>
      <w:r>
        <w:rPr>
          <w:rFonts w:ascii="Georgia" w:hAnsi="Georgia" w:cs="Arial"/>
          <w:sz w:val="24"/>
          <w:szCs w:val="24"/>
        </w:rPr>
        <w:t xml:space="preserve"> solicitar la disminución de la cautela </w:t>
      </w:r>
      <w:r w:rsidRPr="00484A74">
        <w:rPr>
          <w:rFonts w:ascii="Georgia" w:hAnsi="Georgia" w:cs="Arial"/>
          <w:sz w:val="24"/>
          <w:szCs w:val="24"/>
        </w:rPr>
        <w:t xml:space="preserve">(Folios </w:t>
      </w:r>
      <w:r>
        <w:rPr>
          <w:rFonts w:ascii="Georgia" w:hAnsi="Georgia" w:cs="Arial"/>
          <w:sz w:val="24"/>
          <w:szCs w:val="24"/>
        </w:rPr>
        <w:t>37 a 39</w:t>
      </w:r>
      <w:r w:rsidRPr="00484A74">
        <w:rPr>
          <w:rFonts w:ascii="Georgia" w:hAnsi="Georgia" w:cs="Arial"/>
          <w:sz w:val="24"/>
          <w:szCs w:val="24"/>
        </w:rPr>
        <w:t xml:space="preserve">, </w:t>
      </w:r>
      <w:r>
        <w:rPr>
          <w:rFonts w:ascii="Georgia" w:hAnsi="Georgia" w:cs="Arial"/>
          <w:sz w:val="24"/>
          <w:szCs w:val="24"/>
        </w:rPr>
        <w:t>ib.</w:t>
      </w:r>
      <w:r w:rsidRPr="00484A74">
        <w:rPr>
          <w:rFonts w:ascii="Georgia" w:hAnsi="Georgia" w:cs="Arial"/>
          <w:sz w:val="24"/>
          <w:szCs w:val="24"/>
        </w:rPr>
        <w:t>).</w:t>
      </w:r>
    </w:p>
    <w:p w:rsidR="00AA4CC9" w:rsidRPr="001425BD" w:rsidRDefault="00AA4CC9" w:rsidP="00AA4CC9">
      <w:pPr>
        <w:pStyle w:val="Corpsdetexte"/>
        <w:widowControl w:val="0"/>
        <w:spacing w:line="360" w:lineRule="auto"/>
        <w:rPr>
          <w:rFonts w:ascii="Georgia" w:hAnsi="Georgia" w:cs="Arial"/>
          <w:szCs w:val="24"/>
        </w:rPr>
      </w:pPr>
    </w:p>
    <w:p w:rsidR="00AA4CC9" w:rsidRPr="000727D7" w:rsidRDefault="00AA4CC9" w:rsidP="00AA4CC9">
      <w:pPr>
        <w:pStyle w:val="Corpsdetexte"/>
        <w:widowControl w:val="0"/>
        <w:spacing w:line="360" w:lineRule="auto"/>
        <w:rPr>
          <w:rFonts w:ascii="Georgia" w:hAnsi="Georgia" w:cs="Arial"/>
          <w:sz w:val="24"/>
          <w:szCs w:val="24"/>
          <w:lang w:val="es-CO"/>
        </w:rPr>
      </w:pPr>
      <w:r>
        <w:rPr>
          <w:rFonts w:ascii="Georgia" w:hAnsi="Georgia" w:cs="Arial"/>
          <w:sz w:val="24"/>
          <w:szCs w:val="24"/>
        </w:rPr>
        <w:t xml:space="preserve">El impugnante refirió que </w:t>
      </w:r>
      <w:r w:rsidR="001656E3">
        <w:rPr>
          <w:rFonts w:ascii="Georgia" w:hAnsi="Georgia" w:cs="Arial"/>
          <w:sz w:val="24"/>
          <w:szCs w:val="24"/>
        </w:rPr>
        <w:t>su actitud pasiva en la ejecución en nada modifica el hecho de que el embargo del salario afecta el mínimo vital suyo y de su familia; y la tutela sí es el medio eficaz para defender sus derechos</w:t>
      </w:r>
      <w:r>
        <w:rPr>
          <w:rFonts w:ascii="Georgia" w:hAnsi="Georgia" w:cs="Arial"/>
          <w:sz w:val="24"/>
          <w:szCs w:val="24"/>
        </w:rPr>
        <w:t xml:space="preserve"> </w:t>
      </w:r>
      <w:r w:rsidRPr="00484A74">
        <w:rPr>
          <w:rFonts w:ascii="Georgia" w:hAnsi="Georgia" w:cs="Arial"/>
          <w:sz w:val="24"/>
          <w:szCs w:val="24"/>
        </w:rPr>
        <w:t xml:space="preserve">(Folio </w:t>
      </w:r>
      <w:r w:rsidR="001656E3">
        <w:rPr>
          <w:rFonts w:ascii="Georgia" w:hAnsi="Georgia" w:cs="Arial"/>
          <w:sz w:val="24"/>
          <w:szCs w:val="24"/>
        </w:rPr>
        <w:t>48 a 50</w:t>
      </w:r>
      <w:r w:rsidRPr="00484A74">
        <w:rPr>
          <w:rFonts w:ascii="Georgia" w:hAnsi="Georgia" w:cs="Arial"/>
          <w:sz w:val="24"/>
          <w:szCs w:val="24"/>
        </w:rPr>
        <w:t xml:space="preserve">, </w:t>
      </w:r>
      <w:r w:rsidR="001656E3">
        <w:rPr>
          <w:rFonts w:ascii="Georgia" w:hAnsi="Georgia" w:cs="Arial"/>
          <w:sz w:val="24"/>
          <w:szCs w:val="24"/>
        </w:rPr>
        <w:t>ib.</w:t>
      </w:r>
      <w:r w:rsidRPr="00484A74">
        <w:rPr>
          <w:rFonts w:ascii="Georgia" w:hAnsi="Georgia" w:cs="Arial"/>
          <w:sz w:val="24"/>
          <w:szCs w:val="24"/>
        </w:rPr>
        <w:t>).</w:t>
      </w:r>
    </w:p>
    <w:p w:rsidR="000D01DC" w:rsidRPr="004F3CCA" w:rsidRDefault="000D01DC" w:rsidP="00F839CE">
      <w:pPr>
        <w:pStyle w:val="Corpsdetexte"/>
        <w:widowControl w:val="0"/>
        <w:spacing w:line="360" w:lineRule="auto"/>
        <w:rPr>
          <w:rFonts w:ascii="Georgia" w:hAnsi="Georgia" w:cs="Arial"/>
          <w:szCs w:val="24"/>
        </w:rPr>
      </w:pPr>
    </w:p>
    <w:p w:rsidR="001656E3" w:rsidRPr="00484A74" w:rsidRDefault="001656E3" w:rsidP="001656E3">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LA FUNDAMENTACIÓN JURÍDICA PARA RESOLVER</w:t>
      </w:r>
    </w:p>
    <w:p w:rsidR="001656E3" w:rsidRPr="001425BD" w:rsidRDefault="001656E3" w:rsidP="001656E3">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1656E3" w:rsidRDefault="001656E3" w:rsidP="001656E3">
      <w:pPr>
        <w:pStyle w:val="Corpsdetex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484A74">
        <w:rPr>
          <w:rFonts w:ascii="Georgia" w:hAnsi="Georgia" w:cs="Arial"/>
          <w:smallCaps/>
          <w:sz w:val="24"/>
          <w:szCs w:val="24"/>
        </w:rPr>
        <w:t>La competencia funcional.</w:t>
      </w:r>
      <w:r w:rsidRPr="00484A74">
        <w:rPr>
          <w:rFonts w:ascii="Georgia" w:hAnsi="Georgia" w:cs="Arial"/>
          <w:sz w:val="24"/>
          <w:szCs w:val="24"/>
        </w:rPr>
        <w:t xml:space="preserve"> </w:t>
      </w:r>
      <w:r w:rsidRPr="00484A74">
        <w:rPr>
          <w:rFonts w:ascii="Georgia" w:hAnsi="Georgia" w:cs="Arial"/>
          <w:sz w:val="24"/>
          <w:szCs w:val="24"/>
          <w:lang w:val="es-CO"/>
        </w:rPr>
        <w:t xml:space="preserve">Esta Sala especializada está facultada en forma legal para desatar la controversia puesta a su consideración, por ser la superiora </w:t>
      </w:r>
      <w:r w:rsidRPr="00484A74">
        <w:rPr>
          <w:rFonts w:ascii="Georgia" w:hAnsi="Georgia" w:cs="Arial"/>
          <w:sz w:val="24"/>
          <w:szCs w:val="24"/>
          <w:lang w:val="es-CO"/>
        </w:rPr>
        <w:lastRenderedPageBreak/>
        <w:t>jerárquica del Despacho que conoció en primera instancia (Artículo 32 del Decreto 2591 de 1991).</w:t>
      </w:r>
    </w:p>
    <w:p w:rsidR="001656E3" w:rsidRPr="001425BD" w:rsidRDefault="001656E3" w:rsidP="001656E3">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Cs w:val="24"/>
          <w:lang w:val="es-MX"/>
        </w:rPr>
      </w:pPr>
    </w:p>
    <w:p w:rsidR="001656E3" w:rsidRDefault="001656E3" w:rsidP="001656E3">
      <w:pPr>
        <w:pStyle w:val="Corpsdetex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4"/>
          <w:szCs w:val="24"/>
        </w:rPr>
        <w:t>El problema jurídico a resolver.</w:t>
      </w:r>
      <w:r>
        <w:rPr>
          <w:rFonts w:ascii="Georgia" w:hAnsi="Georgia" w:cs="Arial"/>
          <w:smallCaps/>
          <w:sz w:val="24"/>
          <w:szCs w:val="24"/>
        </w:rPr>
        <w:t xml:space="preserve"> </w:t>
      </w:r>
      <w:r w:rsidRPr="00484A74">
        <w:rPr>
          <w:rFonts w:ascii="Georgia" w:hAnsi="Georgia" w:cs="Arial"/>
          <w:sz w:val="24"/>
          <w:szCs w:val="24"/>
        </w:rPr>
        <w:t xml:space="preserve">¿Es procedente confirmar, modificar o revocar la sentencia del </w:t>
      </w:r>
      <w:r w:rsidRPr="00484A74">
        <w:rPr>
          <w:rFonts w:ascii="Georgia" w:hAnsi="Georgia"/>
          <w:sz w:val="24"/>
        </w:rPr>
        <w:t xml:space="preserve">Juzgado </w:t>
      </w:r>
      <w:r>
        <w:rPr>
          <w:rFonts w:ascii="Georgia" w:hAnsi="Georgia"/>
          <w:sz w:val="24"/>
        </w:rPr>
        <w:t xml:space="preserve">Tercero Civil </w:t>
      </w:r>
      <w:r w:rsidRPr="00484A74">
        <w:rPr>
          <w:rFonts w:ascii="Georgia" w:hAnsi="Georgia"/>
          <w:sz w:val="24"/>
        </w:rPr>
        <w:t xml:space="preserve">del </w:t>
      </w:r>
      <w:r w:rsidRPr="00484A74">
        <w:rPr>
          <w:rFonts w:ascii="Georgia" w:hAnsi="Georgia" w:cs="Arial"/>
          <w:sz w:val="24"/>
          <w:szCs w:val="24"/>
        </w:rPr>
        <w:t xml:space="preserve">Circuito de </w:t>
      </w:r>
      <w:r>
        <w:rPr>
          <w:rFonts w:ascii="Georgia" w:hAnsi="Georgia" w:cs="Arial"/>
          <w:sz w:val="24"/>
          <w:szCs w:val="24"/>
        </w:rPr>
        <w:t>Pereira</w:t>
      </w:r>
      <w:r w:rsidRPr="00484A74">
        <w:rPr>
          <w:rFonts w:ascii="Georgia" w:hAnsi="Georgia" w:cs="Arial"/>
          <w:sz w:val="24"/>
          <w:szCs w:val="24"/>
        </w:rPr>
        <w:t xml:space="preserve">, según la impugnación presentada por la parte </w:t>
      </w:r>
      <w:r>
        <w:rPr>
          <w:rFonts w:ascii="Georgia" w:hAnsi="Georgia" w:cs="Arial"/>
          <w:sz w:val="24"/>
          <w:szCs w:val="24"/>
        </w:rPr>
        <w:t>actora</w:t>
      </w:r>
      <w:r w:rsidRPr="00484A74">
        <w:rPr>
          <w:rFonts w:ascii="Georgia" w:hAnsi="Georgia" w:cs="Arial"/>
          <w:sz w:val="24"/>
          <w:szCs w:val="24"/>
        </w:rPr>
        <w:t xml:space="preserve">? </w:t>
      </w:r>
    </w:p>
    <w:p w:rsidR="001656E3" w:rsidRPr="001425BD" w:rsidRDefault="001656E3" w:rsidP="001656E3">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rPr>
      </w:pPr>
    </w:p>
    <w:p w:rsidR="001656E3" w:rsidRPr="001425BD" w:rsidRDefault="001656E3" w:rsidP="001656E3">
      <w:pPr>
        <w:pStyle w:val="Corpsdetexte"/>
        <w:numPr>
          <w:ilvl w:val="1"/>
          <w:numId w:val="46"/>
        </w:numPr>
        <w:tabs>
          <w:tab w:val="clear" w:pos="708"/>
          <w:tab w:val="clear" w:pos="1416"/>
          <w:tab w:val="left" w:pos="709"/>
          <w:tab w:val="left" w:pos="1418"/>
        </w:tabs>
        <w:spacing w:line="360" w:lineRule="auto"/>
        <w:rPr>
          <w:rFonts w:ascii="Georgia" w:hAnsi="Georgia"/>
          <w:smallCaps/>
          <w:szCs w:val="24"/>
        </w:rPr>
      </w:pPr>
      <w:r w:rsidRPr="00CC68E1">
        <w:rPr>
          <w:rFonts w:ascii="Georgia" w:hAnsi="Georgia"/>
          <w:smallCaps/>
          <w:sz w:val="24"/>
          <w:szCs w:val="24"/>
        </w:rPr>
        <w:t>Los presupuestos generales de procedencia</w:t>
      </w:r>
    </w:p>
    <w:p w:rsidR="001656E3" w:rsidRPr="001425BD" w:rsidRDefault="001656E3" w:rsidP="001656E3">
      <w:pPr>
        <w:pStyle w:val="Corpsdetexte"/>
        <w:tabs>
          <w:tab w:val="clear" w:pos="708"/>
          <w:tab w:val="clear" w:pos="1416"/>
          <w:tab w:val="left" w:pos="709"/>
          <w:tab w:val="left" w:pos="1418"/>
        </w:tabs>
        <w:spacing w:line="360" w:lineRule="auto"/>
        <w:rPr>
          <w:rFonts w:ascii="Georgia" w:hAnsi="Georgia"/>
          <w:smallCaps/>
          <w:szCs w:val="24"/>
        </w:rPr>
      </w:pPr>
    </w:p>
    <w:p w:rsidR="001656E3" w:rsidRPr="00061949" w:rsidRDefault="001656E3" w:rsidP="001656E3">
      <w:pPr>
        <w:pStyle w:val="Corpsdetexte"/>
        <w:numPr>
          <w:ilvl w:val="2"/>
          <w:numId w:val="46"/>
        </w:numPr>
        <w:spacing w:line="360" w:lineRule="auto"/>
        <w:rPr>
          <w:rFonts w:ascii="Georgia" w:hAnsi="Georgia" w:cs="Arial"/>
          <w:sz w:val="24"/>
          <w:szCs w:val="24"/>
        </w:rPr>
      </w:pPr>
      <w:r w:rsidRPr="00484A74">
        <w:rPr>
          <w:rFonts w:ascii="Georgia" w:hAnsi="Georgia" w:cs="Arial"/>
          <w:smallCaps/>
          <w:sz w:val="22"/>
          <w:szCs w:val="24"/>
        </w:rPr>
        <w:t>La legitimación en la causa</w:t>
      </w:r>
    </w:p>
    <w:p w:rsidR="00780F06" w:rsidRPr="004F3CCA" w:rsidRDefault="00780F06" w:rsidP="00780F06">
      <w:pPr>
        <w:pStyle w:val="Corpsdetexte"/>
        <w:tabs>
          <w:tab w:val="clear" w:pos="708"/>
          <w:tab w:val="left" w:pos="709"/>
        </w:tabs>
        <w:spacing w:line="360" w:lineRule="auto"/>
        <w:rPr>
          <w:rFonts w:ascii="Georgia" w:hAnsi="Georgia" w:cs="Arial"/>
          <w:szCs w:val="24"/>
        </w:rPr>
      </w:pPr>
    </w:p>
    <w:p w:rsidR="001656E3" w:rsidRDefault="001656E3" w:rsidP="001656E3">
      <w:pPr>
        <w:pStyle w:val="Corpsdetexte"/>
        <w:spacing w:line="360" w:lineRule="auto"/>
        <w:rPr>
          <w:rFonts w:ascii="Georgia" w:hAnsi="Georgia" w:cs="Arial"/>
          <w:sz w:val="24"/>
          <w:szCs w:val="24"/>
        </w:rPr>
      </w:pPr>
      <w:r w:rsidRPr="00484A74">
        <w:rPr>
          <w:rFonts w:ascii="Georgia" w:hAnsi="Georgia" w:cs="Arial"/>
          <w:sz w:val="24"/>
          <w:szCs w:val="24"/>
        </w:rPr>
        <w:t xml:space="preserve">Se cumple por activa dado que el señor </w:t>
      </w:r>
      <w:r w:rsidR="00A0480D">
        <w:rPr>
          <w:rFonts w:ascii="Georgia" w:hAnsi="Georgia" w:cs="Arial"/>
          <w:sz w:val="24"/>
          <w:szCs w:val="24"/>
        </w:rPr>
        <w:t xml:space="preserve">Hernán Alonso Cortés Guerrero </w:t>
      </w:r>
      <w:r>
        <w:rPr>
          <w:rFonts w:ascii="Georgia" w:hAnsi="Georgia" w:cs="Arial"/>
          <w:sz w:val="24"/>
          <w:szCs w:val="24"/>
        </w:rPr>
        <w:t xml:space="preserve">actúa como ejecutado en el proceso en el que se reprocha </w:t>
      </w:r>
      <w:r w:rsidRPr="00576EF8">
        <w:rPr>
          <w:rFonts w:ascii="Georgia" w:hAnsi="Georgia" w:cs="Arial"/>
          <w:sz w:val="24"/>
          <w:szCs w:val="24"/>
          <w:lang w:val="es-ES"/>
        </w:rPr>
        <w:t xml:space="preserve">la </w:t>
      </w:r>
      <w:r w:rsidR="00A0480D">
        <w:rPr>
          <w:rFonts w:ascii="Georgia" w:hAnsi="Georgia" w:cs="Arial"/>
          <w:sz w:val="24"/>
          <w:szCs w:val="24"/>
          <w:lang w:val="es-ES"/>
        </w:rPr>
        <w:t>vulneración o amenaza de sus derechos</w:t>
      </w:r>
      <w:r>
        <w:rPr>
          <w:rFonts w:ascii="Georgia" w:hAnsi="Georgia" w:cs="Arial"/>
          <w:sz w:val="24"/>
          <w:szCs w:val="24"/>
        </w:rPr>
        <w:t>.</w:t>
      </w:r>
      <w:r>
        <w:rPr>
          <w:rFonts w:ascii="Georgia" w:hAnsi="Georgia"/>
          <w:sz w:val="24"/>
          <w:szCs w:val="24"/>
        </w:rPr>
        <w:t xml:space="preserve"> Y</w:t>
      </w:r>
      <w:r w:rsidRPr="00484A74">
        <w:rPr>
          <w:rFonts w:ascii="Georgia" w:hAnsi="Georgia" w:cs="Arial"/>
          <w:sz w:val="24"/>
          <w:szCs w:val="24"/>
        </w:rPr>
        <w:t xml:space="preserve"> por pasiva, lo es el Juzgado </w:t>
      </w:r>
      <w:r w:rsidR="00A0480D">
        <w:rPr>
          <w:rFonts w:ascii="Georgia" w:hAnsi="Georgia" w:cs="Arial"/>
          <w:sz w:val="24"/>
          <w:szCs w:val="24"/>
        </w:rPr>
        <w:t xml:space="preserve">Primero </w:t>
      </w:r>
      <w:r>
        <w:rPr>
          <w:rFonts w:ascii="Georgia" w:hAnsi="Georgia" w:cs="Arial"/>
          <w:sz w:val="24"/>
          <w:szCs w:val="24"/>
        </w:rPr>
        <w:t xml:space="preserve">Civil </w:t>
      </w:r>
      <w:r w:rsidRPr="00484A74">
        <w:rPr>
          <w:rFonts w:ascii="Georgia" w:hAnsi="Georgia" w:cs="Arial"/>
          <w:sz w:val="24"/>
          <w:szCs w:val="24"/>
        </w:rPr>
        <w:t xml:space="preserve">Municipal de </w:t>
      </w:r>
      <w:r>
        <w:rPr>
          <w:rFonts w:ascii="Georgia" w:hAnsi="Georgia" w:cs="Arial"/>
          <w:sz w:val="24"/>
          <w:szCs w:val="24"/>
        </w:rPr>
        <w:t>Pereira</w:t>
      </w:r>
      <w:r w:rsidRPr="00484A74">
        <w:rPr>
          <w:rFonts w:ascii="Georgia" w:hAnsi="Georgia" w:cs="Arial"/>
          <w:sz w:val="24"/>
          <w:szCs w:val="24"/>
        </w:rPr>
        <w:t xml:space="preserve">, por ser la autoridad judicial que conoce del </w:t>
      </w:r>
      <w:r>
        <w:rPr>
          <w:rFonts w:ascii="Georgia" w:hAnsi="Georgia" w:cs="Arial"/>
          <w:sz w:val="24"/>
          <w:szCs w:val="24"/>
        </w:rPr>
        <w:t>juicio</w:t>
      </w:r>
      <w:r w:rsidRPr="00484A74">
        <w:rPr>
          <w:rFonts w:ascii="Georgia" w:hAnsi="Georgia" w:cs="Arial"/>
          <w:sz w:val="24"/>
          <w:szCs w:val="24"/>
        </w:rPr>
        <w:t>.</w:t>
      </w:r>
    </w:p>
    <w:p w:rsidR="00A0480D" w:rsidRDefault="00A0480D" w:rsidP="001656E3">
      <w:pPr>
        <w:pStyle w:val="Corpsdetexte"/>
        <w:spacing w:line="360" w:lineRule="auto"/>
        <w:rPr>
          <w:rFonts w:ascii="Georgia" w:hAnsi="Georgia" w:cs="Arial"/>
          <w:sz w:val="24"/>
          <w:szCs w:val="24"/>
        </w:rPr>
      </w:pPr>
    </w:p>
    <w:p w:rsidR="00A0480D" w:rsidRPr="00484A74" w:rsidRDefault="00A0480D" w:rsidP="00A0480D">
      <w:pPr>
        <w:pStyle w:val="Corpsdetexte"/>
        <w:numPr>
          <w:ilvl w:val="2"/>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484A74">
        <w:rPr>
          <w:rFonts w:ascii="Georgia" w:hAnsi="Georgia" w:cs="Arial"/>
          <w:smallCaps/>
          <w:sz w:val="24"/>
          <w:szCs w:val="24"/>
        </w:rPr>
        <w:t>Las sub-reglas de análisis en la procedibilidad frente a decisiones judiciales</w:t>
      </w:r>
    </w:p>
    <w:p w:rsidR="00A0480D" w:rsidRDefault="00A0480D" w:rsidP="00A0480D">
      <w:pPr>
        <w:pStyle w:val="Corpsdetexte"/>
        <w:spacing w:line="360" w:lineRule="auto"/>
        <w:rPr>
          <w:rFonts w:ascii="Georgia" w:hAnsi="Georgia" w:cs="Arial"/>
          <w:sz w:val="24"/>
          <w:szCs w:val="24"/>
        </w:rPr>
      </w:pPr>
      <w:r w:rsidRPr="00DB39AD">
        <w:rPr>
          <w:rFonts w:ascii="Georgia" w:hAnsi="Georgia" w:cs="Arial"/>
          <w:sz w:val="24"/>
          <w:szCs w:val="24"/>
        </w:rPr>
        <w:t>Desde la sentencia C-543</w:t>
      </w:r>
      <w:r w:rsidRPr="00DB39AD">
        <w:rPr>
          <w:rFonts w:ascii="Georgia" w:hAnsi="Georgia"/>
          <w:sz w:val="24"/>
          <w:szCs w:val="24"/>
        </w:rPr>
        <w:t xml:space="preserve"> </w:t>
      </w:r>
      <w:r w:rsidRPr="00DB39AD">
        <w:rPr>
          <w:rFonts w:ascii="Georgia" w:hAnsi="Georgia" w:cs="Arial"/>
          <w:sz w:val="24"/>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B39AD">
        <w:rPr>
          <w:rStyle w:val="Appelnotedebasdep"/>
          <w:rFonts w:ascii="Georgia" w:hAnsi="Georgia" w:cs="Arial"/>
          <w:sz w:val="24"/>
          <w:szCs w:val="24"/>
        </w:rPr>
        <w:footnoteReference w:id="1"/>
      </w:r>
      <w:r w:rsidRPr="00DB39AD">
        <w:rPr>
          <w:rFonts w:ascii="Georgia" w:hAnsi="Georgia" w:cs="Arial"/>
          <w:sz w:val="24"/>
          <w:szCs w:val="24"/>
        </w:rPr>
        <w:t>, básicamente sustituyó la expresión “vías de hecho” por la de “causales genéricas de procedibilidad” y ensanchó las causales especiales, pasando de cuatro (4) a ocho (8).  En el mismo sentido Quiroga N.</w:t>
      </w:r>
      <w:r w:rsidRPr="00DB39AD">
        <w:rPr>
          <w:rStyle w:val="Appelnotedebasdep"/>
          <w:rFonts w:ascii="Georgia" w:hAnsi="Georgia"/>
          <w:sz w:val="24"/>
          <w:szCs w:val="24"/>
        </w:rPr>
        <w:footnoteReference w:id="2"/>
      </w:r>
      <w:r>
        <w:rPr>
          <w:rFonts w:ascii="Georgia" w:hAnsi="Georgia" w:cs="Arial"/>
          <w:sz w:val="24"/>
          <w:szCs w:val="24"/>
        </w:rPr>
        <w:t>.</w:t>
      </w:r>
    </w:p>
    <w:p w:rsidR="00A0480D" w:rsidRPr="001425BD" w:rsidRDefault="00A0480D" w:rsidP="00A0480D">
      <w:pPr>
        <w:pStyle w:val="Corpsdetexte"/>
        <w:spacing w:line="360" w:lineRule="auto"/>
        <w:rPr>
          <w:rFonts w:ascii="Georgia" w:hAnsi="Georgia" w:cs="Arial"/>
          <w:szCs w:val="24"/>
        </w:rPr>
      </w:pPr>
    </w:p>
    <w:p w:rsidR="00A0480D" w:rsidRDefault="00A0480D" w:rsidP="00A0480D">
      <w:pPr>
        <w:pStyle w:val="Corpsdetexte"/>
        <w:spacing w:line="360" w:lineRule="auto"/>
        <w:rPr>
          <w:rFonts w:ascii="Georgia" w:hAnsi="Georgia" w:cs="Arial"/>
          <w:sz w:val="24"/>
          <w:szCs w:val="24"/>
        </w:rPr>
      </w:pPr>
      <w:r w:rsidRPr="00DB39AD">
        <w:rPr>
          <w:rFonts w:ascii="Georgia" w:hAnsi="Georgia" w:cs="Arial"/>
          <w:sz w:val="24"/>
          <w:szCs w:val="24"/>
        </w:rPr>
        <w:t xml:space="preserve">Ahora, en frente  del  examen que se reclama en sede constitucional, resulta de mayúscula trascendencia, precisar que </w:t>
      </w:r>
      <w:r w:rsidRPr="00DB39AD">
        <w:rPr>
          <w:rFonts w:ascii="Georgia" w:hAnsi="Georgia" w:cs="Arial"/>
          <w:sz w:val="24"/>
          <w:szCs w:val="24"/>
          <w:u w:val="single"/>
        </w:rPr>
        <w:t>se trata de un juicio de validez y no de corrección</w:t>
      </w:r>
      <w:r w:rsidRPr="00DB39AD">
        <w:rPr>
          <w:rFonts w:ascii="Georgia" w:hAnsi="Georgia"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DB39AD">
        <w:rPr>
          <w:rStyle w:val="Appelnotedebasdep"/>
          <w:rFonts w:ascii="Georgia" w:hAnsi="Georgia" w:cs="Arial"/>
          <w:sz w:val="24"/>
          <w:szCs w:val="24"/>
        </w:rPr>
        <w:footnoteReference w:id="3"/>
      </w:r>
      <w:r>
        <w:rPr>
          <w:rFonts w:ascii="Georgia" w:hAnsi="Georgia" w:cs="Arial"/>
          <w:sz w:val="24"/>
          <w:szCs w:val="24"/>
        </w:rPr>
        <w:t>.</w:t>
      </w:r>
    </w:p>
    <w:p w:rsidR="00A0480D" w:rsidRPr="001425BD" w:rsidRDefault="00A0480D" w:rsidP="00A0480D">
      <w:pPr>
        <w:pStyle w:val="Corpsdetexte"/>
        <w:spacing w:line="360" w:lineRule="auto"/>
        <w:rPr>
          <w:rFonts w:ascii="Georgia" w:hAnsi="Georgia" w:cs="Arial"/>
          <w:szCs w:val="24"/>
        </w:rPr>
      </w:pPr>
    </w:p>
    <w:p w:rsidR="00A0480D" w:rsidRDefault="00A0480D" w:rsidP="00A0480D">
      <w:pPr>
        <w:pStyle w:val="Corpsdetexte"/>
        <w:spacing w:line="360" w:lineRule="auto"/>
        <w:rPr>
          <w:rFonts w:ascii="Georgia" w:hAnsi="Georgia" w:cs="Arial"/>
          <w:sz w:val="24"/>
          <w:szCs w:val="24"/>
        </w:rPr>
      </w:pPr>
      <w:r w:rsidRPr="00DB39AD">
        <w:rPr>
          <w:rFonts w:ascii="Georgia" w:hAnsi="Georgia" w:cs="Arial"/>
          <w:sz w:val="24"/>
          <w:szCs w:val="24"/>
        </w:rPr>
        <w:t>Los requisitos generales de procedibilidad, explicados en amplitud en la C-590 de 2005</w:t>
      </w:r>
      <w:r w:rsidRPr="00DB39AD">
        <w:rPr>
          <w:rStyle w:val="Appelnotedebasdep"/>
          <w:rFonts w:ascii="Georgia" w:hAnsi="Georgia" w:cs="Arial"/>
          <w:sz w:val="24"/>
          <w:szCs w:val="24"/>
        </w:rPr>
        <w:footnoteReference w:id="4"/>
      </w:r>
      <w:r w:rsidRPr="00DB39AD">
        <w:rPr>
          <w:rFonts w:ascii="Georgia" w:hAnsi="Georgia" w:cs="Arial"/>
          <w:sz w:val="24"/>
          <w:szCs w:val="24"/>
        </w:rPr>
        <w:t xml:space="preserve"> y reiterados en la consolidada línea jurisprudencial de la CC</w:t>
      </w:r>
      <w:r w:rsidRPr="00DB39AD">
        <w:rPr>
          <w:rStyle w:val="Appelnotedebasdep"/>
          <w:rFonts w:ascii="Georgia" w:hAnsi="Georgia" w:cs="Arial"/>
          <w:sz w:val="24"/>
          <w:szCs w:val="24"/>
        </w:rPr>
        <w:footnoteReference w:id="5"/>
      </w:r>
      <w:r w:rsidRPr="00DB39AD">
        <w:rPr>
          <w:rFonts w:ascii="Georgia" w:hAnsi="Georgia" w:cs="Arial"/>
          <w:sz w:val="24"/>
          <w:szCs w:val="24"/>
        </w:rPr>
        <w:t xml:space="preserve"> (2017)</w:t>
      </w:r>
      <w:r w:rsidRPr="00DB39AD">
        <w:rPr>
          <w:rStyle w:val="Appelnotedebasdep"/>
          <w:rFonts w:ascii="Georgia" w:hAnsi="Georgia" w:cs="Arial"/>
          <w:sz w:val="24"/>
          <w:szCs w:val="24"/>
        </w:rPr>
        <w:t xml:space="preserve"> </w:t>
      </w:r>
      <w:r w:rsidRPr="00DB39AD">
        <w:rPr>
          <w:rStyle w:val="Appelnotedebasdep"/>
          <w:rFonts w:ascii="Georgia" w:hAnsi="Georgia" w:cs="Arial"/>
          <w:sz w:val="24"/>
          <w:szCs w:val="24"/>
        </w:rPr>
        <w:footnoteReference w:id="6"/>
      </w:r>
      <w:r w:rsidRPr="00DB39AD">
        <w:rPr>
          <w:rFonts w:ascii="Georgia" w:hAnsi="Georgia" w:cs="Arial"/>
          <w:sz w:val="24"/>
          <w:szCs w:val="24"/>
        </w:rPr>
        <w:t xml:space="preserve">  son: (i)</w:t>
      </w:r>
      <w:r w:rsidRPr="00DB39AD">
        <w:rPr>
          <w:rStyle w:val="Appelnotedebasdep"/>
          <w:rFonts w:ascii="Georgia" w:hAnsi="Georgia" w:cs="Arial"/>
          <w:sz w:val="24"/>
          <w:szCs w:val="24"/>
        </w:rPr>
        <w:t xml:space="preserve"> </w:t>
      </w:r>
      <w:r w:rsidRPr="00DB39AD">
        <w:rPr>
          <w:rFonts w:ascii="Georgia" w:hAnsi="Georgia" w:cs="Arial"/>
          <w:sz w:val="24"/>
          <w:szCs w:val="24"/>
        </w:rPr>
        <w:t xml:space="preserve">Que el asunto sea de relevancia constitucional; (ii) Que se hayan agotado los medios ordinarios y extraordinarios de defensa judicial al alcance del afectado; (iii) Que se cumpla con el </w:t>
      </w:r>
      <w:r w:rsidRPr="00DB39AD">
        <w:rPr>
          <w:rFonts w:ascii="Georgia" w:hAnsi="Georgia" w:cs="Arial"/>
          <w:sz w:val="24"/>
          <w:szCs w:val="24"/>
        </w:rPr>
        <w:lastRenderedPageBreak/>
        <w:t>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DB39AD">
        <w:rPr>
          <w:rStyle w:val="Appelnotedebasdep"/>
          <w:rFonts w:ascii="Georgia" w:hAnsi="Georgia"/>
          <w:sz w:val="24"/>
          <w:szCs w:val="24"/>
        </w:rPr>
        <w:footnoteReference w:id="7"/>
      </w:r>
      <w:r>
        <w:rPr>
          <w:rFonts w:ascii="Georgia" w:hAnsi="Georgia" w:cs="Arial"/>
          <w:sz w:val="24"/>
          <w:szCs w:val="24"/>
        </w:rPr>
        <w:t>.</w:t>
      </w:r>
    </w:p>
    <w:p w:rsidR="00A0480D" w:rsidRPr="001425BD" w:rsidRDefault="00A0480D" w:rsidP="00A0480D">
      <w:pPr>
        <w:pStyle w:val="Corpsdetexte"/>
        <w:spacing w:line="360" w:lineRule="auto"/>
        <w:rPr>
          <w:rFonts w:ascii="Georgia" w:hAnsi="Georgia" w:cs="Arial"/>
          <w:szCs w:val="24"/>
        </w:rPr>
      </w:pPr>
    </w:p>
    <w:p w:rsidR="00A0480D" w:rsidRPr="00DB39AD" w:rsidRDefault="00A0480D" w:rsidP="00A0480D">
      <w:pPr>
        <w:pStyle w:val="Corpsdetexte"/>
        <w:spacing w:line="360" w:lineRule="auto"/>
        <w:rPr>
          <w:rFonts w:ascii="Georgia" w:hAnsi="Georgia" w:cs="Arial"/>
          <w:sz w:val="24"/>
          <w:szCs w:val="24"/>
        </w:rPr>
      </w:pPr>
      <w:r w:rsidRPr="00DB34BE">
        <w:rPr>
          <w:rFonts w:ascii="Georgia" w:hAnsi="Georgia" w:cs="Arial"/>
          <w:sz w:val="24"/>
          <w:szCs w:val="24"/>
        </w:rPr>
        <w:t>De otra parte, como requisitos o causales especiales de proce</w:t>
      </w:r>
      <w:r>
        <w:rPr>
          <w:rFonts w:ascii="Georgia" w:hAnsi="Georgia" w:cs="Arial"/>
          <w:sz w:val="24"/>
          <w:szCs w:val="24"/>
        </w:rPr>
        <w:t xml:space="preserve">dibilidad, se han definido los </w:t>
      </w:r>
      <w:r w:rsidRPr="00DB39AD">
        <w:rPr>
          <w:rFonts w:ascii="Georgia" w:hAnsi="Georgia" w:cs="Arial"/>
          <w:sz w:val="24"/>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sistemático  </w:t>
      </w:r>
      <w:r>
        <w:rPr>
          <w:rFonts w:ascii="Georgia" w:hAnsi="Georgia" w:cs="Arial"/>
          <w:sz w:val="24"/>
          <w:szCs w:val="24"/>
        </w:rPr>
        <w:t xml:space="preserve"> </w:t>
      </w:r>
      <w:r w:rsidRPr="00DB39AD">
        <w:rPr>
          <w:rFonts w:ascii="Georgia" w:hAnsi="Georgia" w:cs="Arial"/>
          <w:sz w:val="24"/>
          <w:szCs w:val="24"/>
        </w:rPr>
        <w:t xml:space="preserve">recuento </w:t>
      </w:r>
      <w:r>
        <w:rPr>
          <w:rFonts w:ascii="Georgia" w:hAnsi="Georgia" w:cs="Arial"/>
          <w:sz w:val="24"/>
          <w:szCs w:val="24"/>
        </w:rPr>
        <w:t xml:space="preserve"> </w:t>
      </w:r>
      <w:r w:rsidRPr="00DB39AD">
        <w:rPr>
          <w:rFonts w:ascii="Georgia" w:hAnsi="Georgia" w:cs="Arial"/>
          <w:sz w:val="24"/>
          <w:szCs w:val="24"/>
        </w:rPr>
        <w:t xml:space="preserve"> puede</w:t>
      </w:r>
      <w:r>
        <w:rPr>
          <w:rFonts w:ascii="Georgia" w:hAnsi="Georgia" w:cs="Arial"/>
          <w:sz w:val="24"/>
          <w:szCs w:val="24"/>
        </w:rPr>
        <w:t xml:space="preserve"> </w:t>
      </w:r>
      <w:r w:rsidRPr="00DB39AD">
        <w:rPr>
          <w:rFonts w:ascii="Georgia" w:hAnsi="Georgia" w:cs="Arial"/>
          <w:sz w:val="24"/>
          <w:szCs w:val="24"/>
        </w:rPr>
        <w:t xml:space="preserve">  leerse </w:t>
      </w:r>
      <w:r>
        <w:rPr>
          <w:rFonts w:ascii="Georgia" w:hAnsi="Georgia" w:cs="Arial"/>
          <w:sz w:val="24"/>
          <w:szCs w:val="24"/>
        </w:rPr>
        <w:t xml:space="preserve"> </w:t>
      </w:r>
      <w:r w:rsidRPr="00DB39AD">
        <w:rPr>
          <w:rFonts w:ascii="Georgia" w:hAnsi="Georgia" w:cs="Arial"/>
          <w:sz w:val="24"/>
          <w:szCs w:val="24"/>
        </w:rPr>
        <w:t xml:space="preserve"> en </w:t>
      </w:r>
      <w:r>
        <w:rPr>
          <w:rFonts w:ascii="Georgia" w:hAnsi="Georgia" w:cs="Arial"/>
          <w:sz w:val="24"/>
          <w:szCs w:val="24"/>
        </w:rPr>
        <w:t xml:space="preserve"> </w:t>
      </w:r>
      <w:r w:rsidRPr="00DB39AD">
        <w:rPr>
          <w:rFonts w:ascii="Georgia" w:hAnsi="Georgia" w:cs="Arial"/>
          <w:sz w:val="24"/>
          <w:szCs w:val="24"/>
        </w:rPr>
        <w:t xml:space="preserve"> la </w:t>
      </w:r>
      <w:r>
        <w:rPr>
          <w:rFonts w:ascii="Georgia" w:hAnsi="Georgia" w:cs="Arial"/>
          <w:sz w:val="24"/>
          <w:szCs w:val="24"/>
        </w:rPr>
        <w:t xml:space="preserve"> </w:t>
      </w:r>
      <w:r w:rsidRPr="00DB39AD">
        <w:rPr>
          <w:rFonts w:ascii="Georgia" w:hAnsi="Georgia" w:cs="Arial"/>
          <w:sz w:val="24"/>
          <w:szCs w:val="24"/>
        </w:rPr>
        <w:t xml:space="preserve"> obra </w:t>
      </w:r>
      <w:r>
        <w:rPr>
          <w:rFonts w:ascii="Georgia" w:hAnsi="Georgia" w:cs="Arial"/>
          <w:sz w:val="24"/>
          <w:szCs w:val="24"/>
        </w:rPr>
        <w:t xml:space="preserve"> </w:t>
      </w:r>
      <w:r w:rsidRPr="00DB39AD">
        <w:rPr>
          <w:rFonts w:ascii="Georgia" w:hAnsi="Georgia" w:cs="Arial"/>
          <w:sz w:val="24"/>
          <w:szCs w:val="24"/>
        </w:rPr>
        <w:t>de</w:t>
      </w:r>
      <w:r>
        <w:rPr>
          <w:rFonts w:ascii="Georgia" w:hAnsi="Georgia" w:cs="Arial"/>
          <w:sz w:val="24"/>
          <w:szCs w:val="24"/>
        </w:rPr>
        <w:t xml:space="preserve"> </w:t>
      </w:r>
      <w:r w:rsidRPr="00DB39AD">
        <w:rPr>
          <w:rFonts w:ascii="Georgia" w:hAnsi="Georgia" w:cs="Arial"/>
          <w:sz w:val="24"/>
          <w:szCs w:val="24"/>
        </w:rPr>
        <w:t xml:space="preserve"> los</w:t>
      </w:r>
      <w:r>
        <w:rPr>
          <w:rFonts w:ascii="Georgia" w:hAnsi="Georgia" w:cs="Arial"/>
          <w:sz w:val="24"/>
          <w:szCs w:val="24"/>
        </w:rPr>
        <w:t xml:space="preserve"> </w:t>
      </w:r>
      <w:r w:rsidRPr="00DB39AD">
        <w:rPr>
          <w:rFonts w:ascii="Georgia" w:hAnsi="Georgia" w:cs="Arial"/>
          <w:sz w:val="24"/>
          <w:szCs w:val="24"/>
        </w:rPr>
        <w:t xml:space="preserve"> doctores</w:t>
      </w:r>
      <w:r>
        <w:rPr>
          <w:rFonts w:ascii="Georgia" w:hAnsi="Georgia" w:cs="Arial"/>
          <w:sz w:val="24"/>
          <w:szCs w:val="24"/>
        </w:rPr>
        <w:t xml:space="preserve"> </w:t>
      </w:r>
      <w:r w:rsidRPr="00DB39AD">
        <w:rPr>
          <w:rFonts w:ascii="Georgia" w:hAnsi="Georgia" w:cs="Arial"/>
          <w:sz w:val="24"/>
          <w:szCs w:val="24"/>
        </w:rPr>
        <w:t xml:space="preserve"> Catalina </w:t>
      </w:r>
      <w:r>
        <w:rPr>
          <w:rFonts w:ascii="Georgia" w:hAnsi="Georgia" w:cs="Arial"/>
          <w:sz w:val="24"/>
          <w:szCs w:val="24"/>
        </w:rPr>
        <w:t xml:space="preserve"> </w:t>
      </w:r>
      <w:r w:rsidRPr="00DB39AD">
        <w:rPr>
          <w:rFonts w:ascii="Georgia" w:hAnsi="Georgia" w:cs="Arial"/>
          <w:sz w:val="24"/>
          <w:szCs w:val="24"/>
        </w:rPr>
        <w:t xml:space="preserve">Botero </w:t>
      </w:r>
      <w:r>
        <w:rPr>
          <w:rFonts w:ascii="Georgia" w:hAnsi="Georgia" w:cs="Arial"/>
          <w:sz w:val="24"/>
          <w:szCs w:val="24"/>
        </w:rPr>
        <w:t xml:space="preserve"> </w:t>
      </w:r>
      <w:r w:rsidRPr="00DB39AD">
        <w:rPr>
          <w:rFonts w:ascii="Georgia" w:hAnsi="Georgia" w:cs="Arial"/>
          <w:sz w:val="24"/>
          <w:szCs w:val="24"/>
        </w:rPr>
        <w:t>M.</w:t>
      </w:r>
      <w:r w:rsidRPr="00DB39AD">
        <w:rPr>
          <w:rFonts w:ascii="Georgia" w:hAnsi="Georgia" w:cs="Arial"/>
          <w:sz w:val="24"/>
          <w:szCs w:val="24"/>
          <w:vertAlign w:val="superscript"/>
        </w:rPr>
        <w:footnoteReference w:id="8"/>
      </w:r>
      <w:r w:rsidRPr="00DB39AD">
        <w:rPr>
          <w:rFonts w:ascii="Georgia" w:hAnsi="Georgia" w:cs="Arial"/>
          <w:sz w:val="24"/>
          <w:szCs w:val="24"/>
        </w:rPr>
        <w:t xml:space="preserve"> y Quinche R.</w:t>
      </w:r>
      <w:r w:rsidRPr="00DB39AD">
        <w:rPr>
          <w:rStyle w:val="Appelnotedebasdep"/>
          <w:rFonts w:ascii="Georgia" w:hAnsi="Georgia" w:cs="Arial"/>
          <w:sz w:val="24"/>
          <w:szCs w:val="24"/>
        </w:rPr>
        <w:footnoteReference w:id="9"/>
      </w:r>
      <w:r w:rsidRPr="00DB39AD">
        <w:rPr>
          <w:rFonts w:ascii="Georgia" w:hAnsi="Georgia" w:cs="Arial"/>
          <w:sz w:val="24"/>
          <w:szCs w:val="24"/>
        </w:rPr>
        <w:t>.</w:t>
      </w:r>
    </w:p>
    <w:p w:rsidR="00A0480D" w:rsidRPr="001425BD" w:rsidRDefault="00A0480D" w:rsidP="00A0480D">
      <w:pPr>
        <w:pStyle w:val="Corpsdetexte"/>
        <w:spacing w:line="360" w:lineRule="auto"/>
        <w:ind w:left="720"/>
        <w:rPr>
          <w:rFonts w:ascii="Georgia" w:hAnsi="Georgia" w:cs="Arial"/>
          <w:smallCaps/>
          <w:szCs w:val="24"/>
        </w:rPr>
      </w:pPr>
    </w:p>
    <w:p w:rsidR="00A0480D" w:rsidRPr="007C23E2" w:rsidRDefault="00A0480D" w:rsidP="00A0480D">
      <w:pPr>
        <w:pStyle w:val="Corpsdetexte"/>
        <w:numPr>
          <w:ilvl w:val="2"/>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A0480D" w:rsidRPr="00DB218D" w:rsidRDefault="00A0480D" w:rsidP="00A0480D">
      <w:pPr>
        <w:pStyle w:val="Corpsdetexte"/>
        <w:tabs>
          <w:tab w:val="clear" w:pos="0"/>
        </w:tabs>
        <w:spacing w:line="360" w:lineRule="auto"/>
        <w:rPr>
          <w:rFonts w:ascii="Georgia" w:hAnsi="Georgia" w:cs="Arial"/>
          <w:sz w:val="24"/>
          <w:szCs w:val="24"/>
          <w:u w:val="single"/>
        </w:rPr>
      </w:pPr>
      <w:r w:rsidRPr="00DB218D">
        <w:rPr>
          <w:rFonts w:ascii="Georgia" w:hAnsi="Georgia" w:cs="Arial"/>
          <w:sz w:val="24"/>
          <w:szCs w:val="24"/>
        </w:rPr>
        <w:t xml:space="preserve">La acción de tutela, se halla prescrita en el artículo 86 de la CP, definiendo la regla general sobre la procedencia de la acción, al consagrar en el inciso 3° que  </w:t>
      </w:r>
      <w:r w:rsidRPr="00DB218D">
        <w:rPr>
          <w:rFonts w:ascii="Georgia" w:hAnsi="Georgia" w:cs="Arial"/>
          <w:sz w:val="22"/>
          <w:szCs w:val="24"/>
        </w:rPr>
        <w:t>“</w:t>
      </w:r>
      <w:r w:rsidRPr="00DB218D">
        <w:rPr>
          <w:rFonts w:ascii="Georgia" w:hAnsi="Georgia" w:cs="Arial"/>
          <w:i/>
          <w:sz w:val="22"/>
          <w:szCs w:val="24"/>
        </w:rPr>
        <w:t xml:space="preserve">Esta acción solo procederá </w:t>
      </w:r>
      <w:r w:rsidRPr="00DB218D">
        <w:rPr>
          <w:rFonts w:ascii="Georgia" w:hAnsi="Georgia" w:cs="Arial"/>
          <w:i/>
          <w:sz w:val="22"/>
          <w:szCs w:val="24"/>
          <w:u w:val="single"/>
        </w:rPr>
        <w:t>cuando el afectado no disponga de otro medio de defensa judicial, salvo que aquella se utilice como mecanismo transitorio para evitar un perjuicio irremediable</w:t>
      </w:r>
      <w:r w:rsidRPr="00DB218D">
        <w:rPr>
          <w:rFonts w:ascii="Georgia" w:hAnsi="Georgia" w:cs="Arial"/>
          <w:sz w:val="22"/>
          <w:szCs w:val="24"/>
          <w:u w:val="single"/>
        </w:rPr>
        <w:t xml:space="preserve">”. </w:t>
      </w:r>
    </w:p>
    <w:p w:rsidR="00A0480D" w:rsidRPr="001425BD" w:rsidRDefault="00A0480D" w:rsidP="00A0480D">
      <w:pPr>
        <w:pStyle w:val="Corpsdetexte"/>
        <w:tabs>
          <w:tab w:val="clear" w:pos="0"/>
        </w:tabs>
        <w:spacing w:line="360" w:lineRule="auto"/>
        <w:rPr>
          <w:rFonts w:ascii="Georgia" w:hAnsi="Georgia" w:cs="Arial"/>
          <w:szCs w:val="24"/>
          <w:u w:val="single"/>
        </w:rPr>
      </w:pPr>
    </w:p>
    <w:p w:rsidR="00A0480D" w:rsidRPr="00DB218D" w:rsidRDefault="00A0480D" w:rsidP="00A0480D">
      <w:pPr>
        <w:pStyle w:val="Corpsdetexte"/>
        <w:tabs>
          <w:tab w:val="clear" w:pos="0"/>
        </w:tabs>
        <w:spacing w:line="360" w:lineRule="auto"/>
        <w:rPr>
          <w:rFonts w:ascii="Georgia" w:hAnsi="Georgia" w:cs="Arial"/>
          <w:i/>
          <w:sz w:val="22"/>
          <w:szCs w:val="24"/>
        </w:rPr>
      </w:pPr>
      <w:r w:rsidRPr="00DB218D">
        <w:rPr>
          <w:rFonts w:ascii="Georgia" w:hAnsi="Georgia"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DB218D">
        <w:rPr>
          <w:rFonts w:ascii="Georgia" w:hAnsi="Georgia" w:cs="Arial"/>
          <w:i/>
          <w:sz w:val="24"/>
          <w:szCs w:val="24"/>
        </w:rPr>
        <w:t xml:space="preserve">: </w:t>
      </w:r>
      <w:r w:rsidRPr="00DB218D">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DB218D">
        <w:rPr>
          <w:rStyle w:val="Appelnotedebasdep"/>
          <w:rFonts w:ascii="Georgia" w:hAnsi="Georgia" w:cs="Arial"/>
          <w:i/>
          <w:sz w:val="22"/>
          <w:szCs w:val="24"/>
        </w:rPr>
        <w:footnoteReference w:id="10"/>
      </w:r>
      <w:r w:rsidRPr="00DB218D">
        <w:rPr>
          <w:rFonts w:ascii="Georgia" w:hAnsi="Georgia" w:cs="Arial"/>
          <w:i/>
          <w:sz w:val="22"/>
          <w:szCs w:val="24"/>
        </w:rPr>
        <w:t>.</w:t>
      </w:r>
    </w:p>
    <w:p w:rsidR="00A0480D" w:rsidRPr="001425BD" w:rsidRDefault="00A0480D" w:rsidP="00A0480D">
      <w:pPr>
        <w:pStyle w:val="Corpsdetexte"/>
        <w:tabs>
          <w:tab w:val="clear" w:pos="0"/>
        </w:tabs>
        <w:spacing w:line="360" w:lineRule="auto"/>
        <w:rPr>
          <w:rFonts w:ascii="Georgia" w:hAnsi="Georgia" w:cs="Arial"/>
          <w:i/>
          <w:szCs w:val="24"/>
        </w:rPr>
      </w:pPr>
    </w:p>
    <w:p w:rsidR="00A0480D" w:rsidRPr="00DB218D" w:rsidRDefault="00A0480D" w:rsidP="00A0480D">
      <w:pPr>
        <w:pStyle w:val="Corpsdetexte"/>
        <w:tabs>
          <w:tab w:val="clear" w:pos="0"/>
        </w:tabs>
        <w:spacing w:line="360" w:lineRule="auto"/>
        <w:rPr>
          <w:rFonts w:ascii="Georgia" w:hAnsi="Georgia" w:cs="Arial"/>
          <w:sz w:val="24"/>
          <w:szCs w:val="24"/>
        </w:rPr>
      </w:pPr>
      <w:r w:rsidRPr="00DB218D">
        <w:rPr>
          <w:rFonts w:ascii="Georgia" w:hAnsi="Georgia" w:cs="Arial"/>
          <w:sz w:val="24"/>
          <w:szCs w:val="24"/>
        </w:rPr>
        <w:t>Conforme  a  lo  sostenido  por  la  CC</w:t>
      </w:r>
      <w:r w:rsidRPr="00DB218D">
        <w:rPr>
          <w:rStyle w:val="Appelnotedebasdep"/>
          <w:rFonts w:ascii="Georgia" w:hAnsi="Georgia"/>
          <w:color w:val="000000"/>
          <w:sz w:val="24"/>
          <w:szCs w:val="24"/>
          <w:shd w:val="clear" w:color="auto" w:fill="FFFFFF"/>
        </w:rPr>
        <w:footnoteReference w:id="11"/>
      </w:r>
      <w:r w:rsidRPr="00DB218D">
        <w:rPr>
          <w:rFonts w:ascii="Georgia" w:hAnsi="Georgia" w:cs="Arial"/>
          <w:sz w:val="24"/>
          <w:szCs w:val="24"/>
        </w:rPr>
        <w:t xml:space="preserve">,  deben  agotarse los recursos ordinarios de defensa, </w:t>
      </w:r>
    </w:p>
    <w:p w:rsidR="00A0480D" w:rsidRPr="00DB218D" w:rsidRDefault="00A0480D" w:rsidP="00A0480D">
      <w:pPr>
        <w:pStyle w:val="Corpsdetexte"/>
        <w:tabs>
          <w:tab w:val="clear" w:pos="0"/>
        </w:tabs>
        <w:spacing w:line="360" w:lineRule="auto"/>
        <w:rPr>
          <w:rFonts w:ascii="Georgia" w:hAnsi="Georgia" w:cs="Arial"/>
          <w:sz w:val="24"/>
          <w:szCs w:val="24"/>
        </w:rPr>
      </w:pPr>
      <w:r w:rsidRPr="00DB218D">
        <w:rPr>
          <w:rFonts w:ascii="Georgia" w:hAnsi="Georgia" w:cs="Arial"/>
          <w:sz w:val="24"/>
          <w:szCs w:val="24"/>
        </w:rPr>
        <w:t>toda vez que la tutela no fue creada ni destinada a suplir los procedimientos ordinarios ni para enmendar los errores o descuidos de las partes en el proceso; dentro del mismo ámbito la doctrina constitucional enseña</w:t>
      </w:r>
      <w:r w:rsidRPr="00DB218D">
        <w:rPr>
          <w:rFonts w:ascii="Georgia" w:hAnsi="Georgia" w:cs="Arial"/>
          <w:sz w:val="22"/>
          <w:szCs w:val="24"/>
        </w:rPr>
        <w:t xml:space="preserve">: </w:t>
      </w:r>
      <w:r w:rsidRPr="00DB218D">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DB218D">
        <w:rPr>
          <w:rStyle w:val="Appelnotedebasdep"/>
          <w:rFonts w:ascii="Georgia" w:hAnsi="Georgia" w:cs="Arial"/>
          <w:sz w:val="22"/>
          <w:szCs w:val="24"/>
        </w:rPr>
        <w:footnoteReference w:id="12"/>
      </w:r>
      <w:r w:rsidRPr="00DB218D">
        <w:rPr>
          <w:rFonts w:ascii="Georgia" w:hAnsi="Georgia" w:cs="Arial"/>
          <w:sz w:val="22"/>
          <w:szCs w:val="24"/>
        </w:rPr>
        <w:t xml:space="preserve">. </w:t>
      </w:r>
      <w:r w:rsidRPr="00DB218D">
        <w:rPr>
          <w:rFonts w:ascii="Georgia" w:hAnsi="Georgia" w:cs="Arial"/>
          <w:sz w:val="24"/>
          <w:szCs w:val="24"/>
        </w:rPr>
        <w:t>Además, ha sido reiterativa en su criterio</w:t>
      </w:r>
      <w:r w:rsidRPr="00DB218D">
        <w:rPr>
          <w:rStyle w:val="Appelnotedebasdep"/>
          <w:rFonts w:ascii="Georgia" w:hAnsi="Georgia"/>
          <w:sz w:val="24"/>
          <w:szCs w:val="24"/>
        </w:rPr>
        <w:footnoteReference w:id="13"/>
      </w:r>
      <w:r w:rsidRPr="00DB218D">
        <w:rPr>
          <w:rFonts w:ascii="Georgia" w:hAnsi="Georgia" w:cs="Arial"/>
          <w:sz w:val="24"/>
          <w:szCs w:val="24"/>
        </w:rPr>
        <w:t xml:space="preserve">.También la </w:t>
      </w:r>
      <w:r w:rsidRPr="00DB218D">
        <w:rPr>
          <w:rFonts w:ascii="Georgia" w:hAnsi="Georgia" w:cs="Arial"/>
          <w:sz w:val="24"/>
          <w:szCs w:val="24"/>
        </w:rPr>
        <w:lastRenderedPageBreak/>
        <w:t>CSJ se ha referido al tema</w:t>
      </w:r>
      <w:r w:rsidRPr="00DB218D">
        <w:rPr>
          <w:rStyle w:val="Appelnotedebasdep"/>
          <w:rFonts w:ascii="Georgia" w:hAnsi="Georgia" w:cs="Arial"/>
          <w:sz w:val="24"/>
          <w:szCs w:val="24"/>
        </w:rPr>
        <w:footnoteReference w:id="14"/>
      </w:r>
      <w:r w:rsidRPr="00DB218D">
        <w:rPr>
          <w:rFonts w:ascii="Georgia" w:hAnsi="Georgia" w:cs="Arial"/>
          <w:sz w:val="24"/>
          <w:szCs w:val="24"/>
        </w:rPr>
        <w:t xml:space="preserve">, </w:t>
      </w:r>
      <w:proofErr w:type="spellStart"/>
      <w:r w:rsidRPr="00DB218D">
        <w:rPr>
          <w:rFonts w:ascii="Georgia" w:hAnsi="Georgia" w:cs="Arial"/>
          <w:sz w:val="24"/>
          <w:szCs w:val="24"/>
        </w:rPr>
        <w:t>prohija</w:t>
      </w:r>
      <w:proofErr w:type="spellEnd"/>
      <w:r w:rsidRPr="00DB218D">
        <w:rPr>
          <w:rFonts w:ascii="Georgia" w:hAnsi="Georgia" w:cs="Arial"/>
          <w:sz w:val="24"/>
          <w:szCs w:val="24"/>
        </w:rPr>
        <w:t xml:space="preserve"> la improcedencia de la tutela por aplicación del principio de subsidiariedad.</w:t>
      </w:r>
    </w:p>
    <w:p w:rsidR="00860B21" w:rsidRDefault="00860B21" w:rsidP="00860B21">
      <w:pPr>
        <w:pStyle w:val="Corpsdetexte"/>
        <w:tabs>
          <w:tab w:val="clear" w:pos="708"/>
          <w:tab w:val="clear" w:pos="1416"/>
          <w:tab w:val="left" w:pos="709"/>
          <w:tab w:val="left" w:pos="1418"/>
        </w:tabs>
        <w:spacing w:line="360" w:lineRule="auto"/>
        <w:ind w:left="720"/>
        <w:rPr>
          <w:rFonts w:ascii="Georgia" w:hAnsi="Georgia"/>
          <w:smallCaps/>
          <w:szCs w:val="24"/>
        </w:rPr>
      </w:pPr>
    </w:p>
    <w:p w:rsidR="00A0480D" w:rsidRDefault="00A0480D" w:rsidP="00A0480D">
      <w:pPr>
        <w:spacing w:line="360" w:lineRule="auto"/>
        <w:jc w:val="both"/>
        <w:rPr>
          <w:rFonts w:ascii="Georgia" w:hAnsi="Georgia" w:cs="Arial"/>
          <w:lang w:val="es-ES_tradnl"/>
        </w:rPr>
      </w:pPr>
      <w:r>
        <w:rPr>
          <w:rFonts w:ascii="Georgia" w:hAnsi="Georgia" w:cs="Arial"/>
          <w:lang w:val="es-ES_tradnl"/>
        </w:rPr>
        <w:t>De conformidad con la jurisprudencia anotada advierte la Sala el fracaso de la impugnación formulada contra la sentencia de primera instancia, en razón a la manifiesta improcedencia del amparo constitucional.</w:t>
      </w:r>
    </w:p>
    <w:p w:rsidR="00A0480D" w:rsidRPr="001425BD" w:rsidRDefault="00A0480D" w:rsidP="00A0480D">
      <w:pPr>
        <w:spacing w:line="360" w:lineRule="auto"/>
        <w:jc w:val="both"/>
        <w:rPr>
          <w:rFonts w:ascii="Georgia" w:hAnsi="Georgia" w:cs="Arial"/>
          <w:sz w:val="20"/>
          <w:lang w:val="es-ES_tradnl"/>
        </w:rPr>
      </w:pPr>
    </w:p>
    <w:p w:rsidR="00A0480D" w:rsidRDefault="00825D8B" w:rsidP="00A0480D">
      <w:pPr>
        <w:spacing w:line="360" w:lineRule="auto"/>
        <w:jc w:val="both"/>
        <w:rPr>
          <w:rFonts w:ascii="Georgia" w:hAnsi="Georgia" w:cs="Arial"/>
          <w:lang w:val="es-ES_tradnl"/>
        </w:rPr>
      </w:pPr>
      <w:r>
        <w:rPr>
          <w:rFonts w:ascii="Georgia" w:hAnsi="Georgia" w:cs="Arial"/>
          <w:lang w:val="es-ES_tradnl"/>
        </w:rPr>
        <w:t>En efecto, c</w:t>
      </w:r>
      <w:r w:rsidR="00A0480D">
        <w:rPr>
          <w:rFonts w:ascii="Georgia" w:hAnsi="Georgia" w:cs="Arial"/>
          <w:lang w:val="es-ES_tradnl"/>
        </w:rPr>
        <w:t xml:space="preserve">omo </w:t>
      </w:r>
      <w:r w:rsidR="00A0480D" w:rsidRPr="004E68FB">
        <w:rPr>
          <w:rFonts w:ascii="Georgia" w:hAnsi="Georgia" w:cs="Arial"/>
          <w:lang w:val="es-ES_tradnl"/>
        </w:rPr>
        <w:t>los requisitos generales de procedibilidad son concurrentes, esto es, incumplido uno,</w:t>
      </w:r>
      <w:r w:rsidR="00A0480D">
        <w:rPr>
          <w:rFonts w:ascii="Georgia" w:hAnsi="Georgia" w:cs="Arial"/>
          <w:lang w:val="es-ES_tradnl"/>
        </w:rPr>
        <w:t xml:space="preserve"> </w:t>
      </w:r>
      <w:r w:rsidR="00A0480D" w:rsidRPr="004E68FB">
        <w:rPr>
          <w:rFonts w:ascii="Georgia" w:hAnsi="Georgia" w:cs="Arial"/>
          <w:lang w:val="es-ES_tradnl"/>
        </w:rPr>
        <w:t>se torna inane el examen de los demás, menos podrían revisarse los supuestos especiales,</w:t>
      </w:r>
      <w:r w:rsidR="00A0480D">
        <w:rPr>
          <w:rFonts w:ascii="Georgia" w:hAnsi="Georgia" w:cs="Arial"/>
          <w:lang w:val="es-ES_tradnl"/>
        </w:rPr>
        <w:t xml:space="preserve"> en consecuencia,</w:t>
      </w:r>
      <w:r w:rsidR="00A0480D" w:rsidRPr="004E68FB">
        <w:rPr>
          <w:rFonts w:ascii="Georgia" w:hAnsi="Georgia" w:cs="Arial"/>
          <w:lang w:val="es-ES_tradnl"/>
        </w:rPr>
        <w:t xml:space="preserve"> el análisis que sigue se concentrará en la subsidiariedad, porque es el elemento que se echa de menos y resulta suficiente para el fracaso del amparo.</w:t>
      </w:r>
    </w:p>
    <w:p w:rsidR="00CF3E07" w:rsidRDefault="00CF3E07" w:rsidP="00A0480D">
      <w:pPr>
        <w:spacing w:line="360" w:lineRule="auto"/>
        <w:jc w:val="both"/>
        <w:rPr>
          <w:rFonts w:ascii="Georgia" w:hAnsi="Georgia" w:cs="Arial"/>
          <w:lang w:val="es-ES_tradnl"/>
        </w:rPr>
      </w:pPr>
    </w:p>
    <w:p w:rsidR="00E512B3" w:rsidRDefault="00A0480D" w:rsidP="00E512B3">
      <w:pPr>
        <w:pStyle w:val="Corpsdetexte"/>
        <w:spacing w:line="360" w:lineRule="auto"/>
        <w:rPr>
          <w:rFonts w:ascii="Georgia" w:hAnsi="Georgia" w:cs="Arial"/>
          <w:spacing w:val="0"/>
          <w:sz w:val="24"/>
          <w:szCs w:val="24"/>
          <w:lang w:val="es-ES"/>
        </w:rPr>
      </w:pPr>
      <w:r>
        <w:rPr>
          <w:rFonts w:ascii="Georgia" w:hAnsi="Georgia" w:cs="Arial"/>
          <w:spacing w:val="0"/>
          <w:sz w:val="24"/>
          <w:szCs w:val="24"/>
          <w:lang w:val="es-ES"/>
        </w:rPr>
        <w:t xml:space="preserve">Revisado </w:t>
      </w:r>
      <w:r w:rsidR="00825D8B">
        <w:rPr>
          <w:rFonts w:ascii="Georgia" w:hAnsi="Georgia" w:cs="Arial"/>
          <w:spacing w:val="0"/>
          <w:sz w:val="24"/>
          <w:szCs w:val="24"/>
          <w:lang w:val="es-ES"/>
        </w:rPr>
        <w:t xml:space="preserve">entonces </w:t>
      </w:r>
      <w:r>
        <w:rPr>
          <w:rFonts w:ascii="Georgia" w:hAnsi="Georgia" w:cs="Arial"/>
          <w:spacing w:val="0"/>
          <w:sz w:val="24"/>
          <w:szCs w:val="24"/>
          <w:lang w:val="es-ES"/>
        </w:rPr>
        <w:t xml:space="preserve">el acervo probatorio </w:t>
      </w:r>
      <w:r w:rsidR="00E512B3">
        <w:rPr>
          <w:rFonts w:ascii="Georgia" w:hAnsi="Georgia" w:cs="Arial"/>
          <w:spacing w:val="0"/>
          <w:sz w:val="24"/>
          <w:szCs w:val="24"/>
          <w:lang w:val="es-ES"/>
        </w:rPr>
        <w:t xml:space="preserve">se tiene que la </w:t>
      </w:r>
      <w:r w:rsidRPr="00A0480D">
        <w:rPr>
          <w:rFonts w:ascii="Georgia" w:hAnsi="Georgia" w:cs="Arial"/>
          <w:i/>
          <w:spacing w:val="0"/>
          <w:sz w:val="24"/>
          <w:szCs w:val="24"/>
          <w:lang w:val="es-ES"/>
        </w:rPr>
        <w:t>a quo</w:t>
      </w:r>
      <w:r>
        <w:rPr>
          <w:rFonts w:ascii="Georgia" w:hAnsi="Georgia" w:cs="Arial"/>
          <w:spacing w:val="0"/>
          <w:sz w:val="24"/>
          <w:szCs w:val="24"/>
          <w:lang w:val="es-ES"/>
        </w:rPr>
        <w:t xml:space="preserve"> </w:t>
      </w:r>
      <w:r w:rsidR="00E512B3">
        <w:rPr>
          <w:rFonts w:ascii="Georgia" w:hAnsi="Georgia" w:cs="Arial"/>
          <w:spacing w:val="0"/>
          <w:sz w:val="24"/>
          <w:szCs w:val="24"/>
          <w:lang w:val="es-ES"/>
        </w:rPr>
        <w:t xml:space="preserve">(i) </w:t>
      </w:r>
      <w:r>
        <w:rPr>
          <w:rFonts w:ascii="Georgia" w:hAnsi="Georgia" w:cs="Arial"/>
          <w:spacing w:val="0"/>
          <w:sz w:val="24"/>
          <w:szCs w:val="24"/>
          <w:lang w:val="es-ES"/>
        </w:rPr>
        <w:t xml:space="preserve">con auto del 13-06-2017 decretó el embargo y retención del 30% del salario y demás prestaciones sociales </w:t>
      </w:r>
      <w:r w:rsidR="00E512B3">
        <w:rPr>
          <w:rFonts w:ascii="Georgia" w:hAnsi="Georgia" w:cs="Arial"/>
          <w:spacing w:val="0"/>
          <w:sz w:val="24"/>
          <w:szCs w:val="24"/>
          <w:lang w:val="es-ES"/>
        </w:rPr>
        <w:t xml:space="preserve">que devenga el </w:t>
      </w:r>
      <w:r>
        <w:rPr>
          <w:rFonts w:ascii="Georgia" w:hAnsi="Georgia" w:cs="Arial"/>
          <w:spacing w:val="0"/>
          <w:sz w:val="24"/>
          <w:szCs w:val="24"/>
          <w:lang w:val="es-ES"/>
        </w:rPr>
        <w:t xml:space="preserve">accionante en el Edificio Santa Ana PH. (Folio 103, </w:t>
      </w:r>
      <w:r w:rsidR="00E512B3">
        <w:rPr>
          <w:rFonts w:ascii="Georgia" w:hAnsi="Georgia" w:cs="Arial"/>
          <w:spacing w:val="0"/>
          <w:sz w:val="24"/>
          <w:szCs w:val="24"/>
          <w:lang w:val="es-ES"/>
        </w:rPr>
        <w:t xml:space="preserve">expediente en PDF obrante en el disco compacto visible a folio 6, este cuaderno); y, (ii) el mandamiento de pago le fue notificado personalmente el 01-08-2017, </w:t>
      </w:r>
      <w:r w:rsidR="00D64321">
        <w:rPr>
          <w:rFonts w:ascii="Georgia" w:hAnsi="Georgia" w:cs="Arial"/>
          <w:spacing w:val="0"/>
          <w:sz w:val="24"/>
          <w:szCs w:val="24"/>
          <w:lang w:val="es-ES"/>
        </w:rPr>
        <w:t>mas no tuvo a bien ejercer su derecho de defensa</w:t>
      </w:r>
      <w:r w:rsidR="00E512B3">
        <w:rPr>
          <w:rFonts w:ascii="Georgia" w:hAnsi="Georgia" w:cs="Arial"/>
          <w:spacing w:val="0"/>
          <w:sz w:val="24"/>
          <w:szCs w:val="24"/>
          <w:lang w:val="es-ES"/>
        </w:rPr>
        <w:t xml:space="preserve"> (Folios 35 y 36, expediente en PDF obrante en el disco compacto visible a folio 6, este cuaderno).</w:t>
      </w:r>
    </w:p>
    <w:p w:rsidR="00E512B3" w:rsidRDefault="00E512B3" w:rsidP="00E512B3">
      <w:pPr>
        <w:pStyle w:val="Corpsdetexte"/>
        <w:spacing w:line="360" w:lineRule="auto"/>
        <w:rPr>
          <w:rFonts w:ascii="Georgia" w:hAnsi="Georgia" w:cs="Arial"/>
          <w:spacing w:val="0"/>
          <w:sz w:val="24"/>
          <w:szCs w:val="24"/>
          <w:lang w:val="es-ES"/>
        </w:rPr>
      </w:pPr>
    </w:p>
    <w:p w:rsidR="00363563" w:rsidRDefault="00E512B3" w:rsidP="00E512B3">
      <w:pPr>
        <w:pStyle w:val="Corpsdetexte"/>
        <w:spacing w:line="360" w:lineRule="auto"/>
        <w:rPr>
          <w:rFonts w:ascii="Georgia" w:hAnsi="Georgia"/>
          <w:sz w:val="24"/>
          <w:szCs w:val="24"/>
          <w:bdr w:val="none" w:sz="0" w:space="0" w:color="auto" w:frame="1"/>
          <w:shd w:val="clear" w:color="auto" w:fill="FFFFFF"/>
          <w:lang w:val="es-CO"/>
        </w:rPr>
      </w:pPr>
      <w:r w:rsidRPr="004B2DCC">
        <w:rPr>
          <w:rFonts w:ascii="Georgia" w:hAnsi="Georgia" w:cs="Arial"/>
          <w:spacing w:val="0"/>
          <w:sz w:val="24"/>
          <w:szCs w:val="24"/>
          <w:lang w:val="es-ES"/>
        </w:rPr>
        <w:t xml:space="preserve">Claramente el accionante </w:t>
      </w:r>
      <w:r w:rsidR="00D64321">
        <w:rPr>
          <w:rFonts w:ascii="Georgia" w:hAnsi="Georgia" w:cs="Arial"/>
          <w:spacing w:val="0"/>
          <w:sz w:val="24"/>
          <w:szCs w:val="24"/>
          <w:lang w:val="es-ES"/>
        </w:rPr>
        <w:t>ha sido pasivo</w:t>
      </w:r>
      <w:r w:rsidR="00825D8B">
        <w:rPr>
          <w:rFonts w:ascii="Georgia" w:hAnsi="Georgia" w:cs="Arial"/>
          <w:spacing w:val="0"/>
          <w:sz w:val="24"/>
          <w:szCs w:val="24"/>
          <w:lang w:val="es-ES"/>
        </w:rPr>
        <w:t xml:space="preserve"> en su actuar</w:t>
      </w:r>
      <w:r w:rsidR="00D64321">
        <w:rPr>
          <w:rFonts w:ascii="Georgia" w:hAnsi="Georgia" w:cs="Arial"/>
          <w:spacing w:val="0"/>
          <w:sz w:val="24"/>
          <w:szCs w:val="24"/>
          <w:lang w:val="es-ES"/>
        </w:rPr>
        <w:t xml:space="preserve">, pues </w:t>
      </w:r>
      <w:r w:rsidRPr="004B2DCC">
        <w:rPr>
          <w:rFonts w:ascii="Georgia" w:hAnsi="Georgia" w:cs="Arial"/>
          <w:spacing w:val="0"/>
          <w:sz w:val="24"/>
          <w:szCs w:val="24"/>
          <w:lang w:val="es-ES"/>
        </w:rPr>
        <w:t xml:space="preserve">dejó de agotar </w:t>
      </w:r>
      <w:r w:rsidR="00363563" w:rsidRPr="004B2DCC">
        <w:rPr>
          <w:rFonts w:ascii="Georgia" w:hAnsi="Georgia" w:cs="Arial"/>
          <w:spacing w:val="0"/>
          <w:sz w:val="24"/>
          <w:szCs w:val="24"/>
          <w:lang w:val="es-ES"/>
        </w:rPr>
        <w:t>el recurso ordinario de reposición frente al proveído que decretó la cautela</w:t>
      </w:r>
      <w:r w:rsidR="00D64321">
        <w:rPr>
          <w:rFonts w:ascii="Georgia" w:hAnsi="Georgia" w:cs="Arial"/>
          <w:spacing w:val="0"/>
          <w:sz w:val="24"/>
          <w:szCs w:val="24"/>
          <w:lang w:val="es-ES"/>
        </w:rPr>
        <w:t xml:space="preserve">, aun cuando </w:t>
      </w:r>
      <w:r w:rsidR="00825D8B">
        <w:rPr>
          <w:rFonts w:ascii="Georgia" w:hAnsi="Georgia" w:cs="Arial"/>
          <w:spacing w:val="0"/>
          <w:sz w:val="24"/>
          <w:szCs w:val="24"/>
          <w:lang w:val="es-ES"/>
        </w:rPr>
        <w:t xml:space="preserve">le era dable formularlo </w:t>
      </w:r>
      <w:r w:rsidR="00363563" w:rsidRPr="004B2DCC">
        <w:rPr>
          <w:rFonts w:ascii="Georgia" w:hAnsi="Georgia" w:cs="Arial"/>
          <w:spacing w:val="0"/>
          <w:sz w:val="24"/>
          <w:szCs w:val="24"/>
          <w:lang w:val="es-ES"/>
        </w:rPr>
        <w:t>dentro de los tres (3) días siguientes, al del día en que se apersonó del proceso (Artículos 298 y 318-3º, CGP)</w:t>
      </w:r>
      <w:r w:rsidR="004B2DCC" w:rsidRPr="004B2DCC">
        <w:rPr>
          <w:rFonts w:ascii="Georgia" w:hAnsi="Georgia" w:cs="Arial"/>
          <w:spacing w:val="0"/>
          <w:sz w:val="24"/>
          <w:szCs w:val="24"/>
          <w:lang w:val="es-ES"/>
        </w:rPr>
        <w:t>,</w:t>
      </w:r>
      <w:r w:rsidR="00825D8B">
        <w:rPr>
          <w:rFonts w:ascii="Georgia" w:hAnsi="Georgia" w:cs="Arial"/>
          <w:spacing w:val="0"/>
          <w:sz w:val="24"/>
          <w:szCs w:val="24"/>
          <w:lang w:val="es-ES"/>
        </w:rPr>
        <w:t xml:space="preserve"> pero </w:t>
      </w:r>
      <w:r w:rsidR="004B2DCC" w:rsidRPr="004B2DCC">
        <w:rPr>
          <w:rFonts w:ascii="Georgia" w:hAnsi="Georgia" w:cs="Arial"/>
          <w:spacing w:val="0"/>
          <w:sz w:val="24"/>
          <w:szCs w:val="24"/>
          <w:lang w:val="es-ES"/>
        </w:rPr>
        <w:t>guardó silencio</w:t>
      </w:r>
      <w:r w:rsidR="00363563" w:rsidRPr="004B2DCC">
        <w:rPr>
          <w:rFonts w:ascii="Georgia" w:hAnsi="Georgia" w:cs="Arial"/>
          <w:spacing w:val="0"/>
          <w:sz w:val="24"/>
          <w:szCs w:val="24"/>
          <w:lang w:val="es-ES"/>
        </w:rPr>
        <w:t xml:space="preserve">; asimismo, se advierte </w:t>
      </w:r>
      <w:r w:rsidR="004B2DCC">
        <w:rPr>
          <w:rFonts w:ascii="Georgia" w:hAnsi="Georgia" w:cs="Arial"/>
          <w:spacing w:val="0"/>
          <w:sz w:val="24"/>
          <w:szCs w:val="24"/>
          <w:lang w:val="es-ES"/>
        </w:rPr>
        <w:t xml:space="preserve">que </w:t>
      </w:r>
      <w:r w:rsidR="004B2DCC" w:rsidRPr="004B2DCC">
        <w:rPr>
          <w:rFonts w:ascii="Georgia" w:hAnsi="Georgia" w:cs="Arial"/>
          <w:spacing w:val="0"/>
          <w:sz w:val="24"/>
          <w:szCs w:val="24"/>
          <w:lang w:val="es-ES"/>
        </w:rPr>
        <w:t xml:space="preserve">todavía </w:t>
      </w:r>
      <w:r w:rsidR="004B2DCC" w:rsidRPr="004B2DCC">
        <w:rPr>
          <w:rFonts w:ascii="Georgia" w:hAnsi="Georgia" w:cs="Arial"/>
          <w:spacing w:val="0"/>
          <w:sz w:val="24"/>
          <w:szCs w:val="24"/>
          <w:lang w:val="es-CO"/>
        </w:rPr>
        <w:t xml:space="preserve">cuenta con el </w:t>
      </w:r>
      <w:r w:rsidR="00363563" w:rsidRPr="004B2DCC">
        <w:rPr>
          <w:rFonts w:ascii="Georgia" w:hAnsi="Georgia" w:cs="Arial"/>
          <w:spacing w:val="0"/>
          <w:sz w:val="24"/>
          <w:szCs w:val="24"/>
          <w:lang w:val="es-ES"/>
        </w:rPr>
        <w:t xml:space="preserve">mecanismo </w:t>
      </w:r>
      <w:r w:rsidR="00D64321">
        <w:rPr>
          <w:rFonts w:ascii="Georgia" w:hAnsi="Georgia" w:cs="Arial"/>
          <w:spacing w:val="0"/>
          <w:sz w:val="24"/>
          <w:szCs w:val="24"/>
          <w:lang w:val="es-ES"/>
        </w:rPr>
        <w:t xml:space="preserve">judicial </w:t>
      </w:r>
      <w:r w:rsidR="00363563" w:rsidRPr="004B2DCC">
        <w:rPr>
          <w:rFonts w:ascii="Georgia" w:hAnsi="Georgia" w:cs="Arial"/>
          <w:spacing w:val="0"/>
          <w:sz w:val="24"/>
          <w:szCs w:val="24"/>
          <w:lang w:val="es-ES"/>
        </w:rPr>
        <w:t xml:space="preserve">dispuesto en el artículo 600, CGP, relativo a la posibilidad de solicitar la reducción </w:t>
      </w:r>
      <w:r w:rsidR="00363563" w:rsidRPr="004B2DCC">
        <w:rPr>
          <w:rFonts w:ascii="Georgia" w:hAnsi="Georgia"/>
          <w:sz w:val="24"/>
          <w:szCs w:val="24"/>
          <w:bdr w:val="none" w:sz="0" w:space="0" w:color="auto" w:frame="1"/>
          <w:shd w:val="clear" w:color="auto" w:fill="FFFFFF"/>
          <w:lang w:val="es-CO"/>
        </w:rPr>
        <w:t>del embargo en cualquier momento del proceso después de la consumación de la medida</w:t>
      </w:r>
      <w:r w:rsidR="004B2DCC">
        <w:rPr>
          <w:rFonts w:ascii="Georgia" w:hAnsi="Georgia"/>
          <w:sz w:val="24"/>
          <w:szCs w:val="24"/>
          <w:bdr w:val="none" w:sz="0" w:space="0" w:color="auto" w:frame="1"/>
          <w:shd w:val="clear" w:color="auto" w:fill="FFFFFF"/>
          <w:lang w:val="es-CO"/>
        </w:rPr>
        <w:t xml:space="preserve">, y que </w:t>
      </w:r>
      <w:r w:rsidR="00D64321">
        <w:rPr>
          <w:rFonts w:ascii="Georgia" w:hAnsi="Georgia"/>
          <w:sz w:val="24"/>
          <w:szCs w:val="24"/>
          <w:bdr w:val="none" w:sz="0" w:space="0" w:color="auto" w:frame="1"/>
          <w:shd w:val="clear" w:color="auto" w:fill="FFFFFF"/>
          <w:lang w:val="es-CO"/>
        </w:rPr>
        <w:t xml:space="preserve">bien puede efectuar </w:t>
      </w:r>
      <w:r w:rsidR="004B2DCC">
        <w:rPr>
          <w:rFonts w:ascii="Georgia" w:hAnsi="Georgia"/>
          <w:sz w:val="24"/>
          <w:szCs w:val="24"/>
          <w:bdr w:val="none" w:sz="0" w:space="0" w:color="auto" w:frame="1"/>
          <w:shd w:val="clear" w:color="auto" w:fill="FFFFFF"/>
          <w:lang w:val="es-CO"/>
        </w:rPr>
        <w:t xml:space="preserve">sin necesidad de la asistencia de un mandatario judicial por tratarse de una ejecución de mínima cuantía (Artículos 73, CGP; y, 28-2º, </w:t>
      </w:r>
      <w:r w:rsidR="004B2DCC" w:rsidRPr="004B2DCC">
        <w:rPr>
          <w:rFonts w:ascii="Georgia" w:hAnsi="Georgia"/>
          <w:sz w:val="24"/>
          <w:szCs w:val="24"/>
          <w:bdr w:val="none" w:sz="0" w:space="0" w:color="auto" w:frame="1"/>
          <w:shd w:val="clear" w:color="auto" w:fill="FFFFFF"/>
          <w:lang w:val="es-ES"/>
        </w:rPr>
        <w:t>Decreto 196 de 1971</w:t>
      </w:r>
      <w:r w:rsidR="004B2DCC">
        <w:rPr>
          <w:rFonts w:ascii="Georgia" w:hAnsi="Georgia"/>
          <w:sz w:val="24"/>
          <w:szCs w:val="24"/>
          <w:bdr w:val="none" w:sz="0" w:space="0" w:color="auto" w:frame="1"/>
          <w:shd w:val="clear" w:color="auto" w:fill="FFFFFF"/>
          <w:lang w:val="es-ES"/>
        </w:rPr>
        <w:t>)</w:t>
      </w:r>
      <w:r w:rsidR="004B2DCC">
        <w:rPr>
          <w:rFonts w:ascii="Georgia" w:hAnsi="Georgia"/>
          <w:sz w:val="24"/>
          <w:szCs w:val="24"/>
          <w:bdr w:val="none" w:sz="0" w:space="0" w:color="auto" w:frame="1"/>
          <w:shd w:val="clear" w:color="auto" w:fill="FFFFFF"/>
          <w:lang w:val="es-CO"/>
        </w:rPr>
        <w:t>.</w:t>
      </w:r>
    </w:p>
    <w:p w:rsidR="004B2DCC" w:rsidRDefault="004B2DCC" w:rsidP="00E512B3">
      <w:pPr>
        <w:pStyle w:val="Corpsdetexte"/>
        <w:spacing w:line="360" w:lineRule="auto"/>
        <w:rPr>
          <w:rFonts w:ascii="Georgia" w:hAnsi="Georgia"/>
          <w:sz w:val="24"/>
          <w:szCs w:val="24"/>
          <w:bdr w:val="none" w:sz="0" w:space="0" w:color="auto" w:frame="1"/>
          <w:shd w:val="clear" w:color="auto" w:fill="FFFFFF"/>
          <w:lang w:val="es-CO"/>
        </w:rPr>
      </w:pPr>
    </w:p>
    <w:p w:rsidR="00D64321" w:rsidRPr="00825D8B" w:rsidRDefault="00D64321" w:rsidP="00D64321">
      <w:pPr>
        <w:spacing w:line="360" w:lineRule="auto"/>
        <w:jc w:val="both"/>
        <w:rPr>
          <w:rFonts w:ascii="Georgia" w:hAnsi="Georgia" w:cs="Arial"/>
        </w:rPr>
      </w:pPr>
      <w:r w:rsidRPr="00825D8B">
        <w:rPr>
          <w:rFonts w:ascii="Georgia" w:hAnsi="Georgia"/>
          <w:bdr w:val="none" w:sz="0" w:space="0" w:color="auto" w:frame="1"/>
          <w:shd w:val="clear" w:color="auto" w:fill="FFFFFF"/>
          <w:lang w:val="es-CO"/>
        </w:rPr>
        <w:t xml:space="preserve">Así las cosas, es evidente que el presente amparo carece de subsidiariedad, en la medida que no se formuló la reposición frente a la decisión cuestionada; y, </w:t>
      </w:r>
      <w:r w:rsidR="00825D8B" w:rsidRPr="00825D8B">
        <w:rPr>
          <w:rFonts w:ascii="Georgia" w:hAnsi="Georgia"/>
          <w:bdr w:val="none" w:sz="0" w:space="0" w:color="auto" w:frame="1"/>
          <w:shd w:val="clear" w:color="auto" w:fill="FFFFFF"/>
          <w:lang w:val="es-CO"/>
        </w:rPr>
        <w:t>es prematuro</w:t>
      </w:r>
      <w:r w:rsidRPr="00825D8B">
        <w:rPr>
          <w:rFonts w:ascii="Georgia" w:hAnsi="Georgia"/>
          <w:bdr w:val="none" w:sz="0" w:space="0" w:color="auto" w:frame="1"/>
          <w:shd w:val="clear" w:color="auto" w:fill="FFFFFF"/>
          <w:lang w:val="es-CO"/>
        </w:rPr>
        <w:t xml:space="preserve">, en consideración a que aún </w:t>
      </w:r>
      <w:r w:rsidRPr="00825D8B">
        <w:rPr>
          <w:rFonts w:ascii="Georgia" w:hAnsi="Georgia"/>
          <w:lang w:val="es-CO"/>
        </w:rPr>
        <w:t>puede pedir la reducción de la cautela</w:t>
      </w:r>
      <w:r w:rsidRPr="00825D8B">
        <w:rPr>
          <w:rFonts w:ascii="Georgia" w:hAnsi="Georgia" w:cs="Arial"/>
          <w:lang w:val="es-CO"/>
        </w:rPr>
        <w:t>.</w:t>
      </w:r>
      <w:r w:rsidRPr="00825D8B">
        <w:rPr>
          <w:rFonts w:ascii="Georgia" w:hAnsi="Georgia" w:cs="Arial"/>
        </w:rPr>
        <w:t xml:space="preserve"> Así lo ha dispuesto la jurisprudencia de la CC</w:t>
      </w:r>
      <w:r w:rsidRPr="00825D8B">
        <w:rPr>
          <w:rFonts w:ascii="Georgia" w:hAnsi="Georgia" w:cs="Arial"/>
          <w:vertAlign w:val="superscript"/>
        </w:rPr>
        <w:footnoteReference w:id="15"/>
      </w:r>
      <w:r w:rsidRPr="00825D8B">
        <w:rPr>
          <w:rFonts w:ascii="Georgia" w:hAnsi="Georgia" w:cs="Arial"/>
        </w:rPr>
        <w:t>, criterio también expuesto por la CSJ</w:t>
      </w:r>
      <w:r w:rsidRPr="00825D8B">
        <w:rPr>
          <w:rFonts w:ascii="Georgia" w:hAnsi="Georgia" w:cs="Arial"/>
          <w:vertAlign w:val="superscript"/>
        </w:rPr>
        <w:footnoteReference w:id="16"/>
      </w:r>
      <w:r w:rsidRPr="00825D8B">
        <w:rPr>
          <w:rFonts w:ascii="Georgia" w:hAnsi="Georgia" w:cs="Arial"/>
        </w:rPr>
        <w:t>.</w:t>
      </w:r>
    </w:p>
    <w:p w:rsidR="00D64321" w:rsidRPr="00B33A0F" w:rsidRDefault="00825D8B" w:rsidP="00D64321">
      <w:pPr>
        <w:spacing w:line="360" w:lineRule="auto"/>
        <w:ind w:right="51"/>
        <w:jc w:val="both"/>
        <w:rPr>
          <w:rFonts w:ascii="Georgia" w:hAnsi="Georgia"/>
        </w:rPr>
      </w:pPr>
      <w:r w:rsidRPr="00825D8B">
        <w:rPr>
          <w:rFonts w:ascii="Georgia" w:hAnsi="Georgia"/>
        </w:rPr>
        <w:lastRenderedPageBreak/>
        <w:t>Para la Magistratura, n</w:t>
      </w:r>
      <w:r w:rsidR="00D64321" w:rsidRPr="00825D8B">
        <w:rPr>
          <w:rFonts w:ascii="Georgia" w:hAnsi="Georgia"/>
        </w:rPr>
        <w:t xml:space="preserve">o es dable flexibilizar el análisis del requisito echado de menos toda vez que nada se arguyó y menos se acreditó por parte del accionante, de forma que pudiera estimarse </w:t>
      </w:r>
      <w:r w:rsidR="00D64321" w:rsidRPr="00825D8B">
        <w:rPr>
          <w:rFonts w:ascii="Georgia" w:hAnsi="Georgia" w:cs="Arial"/>
          <w:bCs/>
          <w:szCs w:val="22"/>
          <w:lang w:val="es-CO"/>
        </w:rPr>
        <w:t>que es una persona que requiere de protección reforzada</w:t>
      </w:r>
      <w:r w:rsidR="00D64321" w:rsidRPr="00825D8B">
        <w:rPr>
          <w:rStyle w:val="Appelnotedebasdep"/>
          <w:rFonts w:ascii="Georgia" w:hAnsi="Georgia"/>
          <w:bCs/>
          <w:szCs w:val="22"/>
          <w:lang w:val="es-CO"/>
        </w:rPr>
        <w:footnoteReference w:id="17"/>
      </w:r>
      <w:r w:rsidRPr="00825D8B">
        <w:rPr>
          <w:rFonts w:ascii="Georgia" w:hAnsi="Georgia" w:cs="Arial"/>
          <w:bCs/>
          <w:szCs w:val="22"/>
          <w:lang w:val="es-CO"/>
        </w:rPr>
        <w:t>, a más de que, se itera, puede aún pedir la disminución</w:t>
      </w:r>
      <w:r>
        <w:rPr>
          <w:rFonts w:ascii="Georgia" w:hAnsi="Georgia" w:cs="Arial"/>
          <w:bCs/>
          <w:szCs w:val="22"/>
          <w:lang w:val="es-CO"/>
        </w:rPr>
        <w:t xml:space="preserve"> del embargo, y por ende propugnar en el proceso ejecutivo por la protección de su mínimo vital</w:t>
      </w:r>
      <w:r w:rsidR="00D64321" w:rsidRPr="00B33A0F">
        <w:rPr>
          <w:rFonts w:ascii="Georgia" w:hAnsi="Georgia"/>
        </w:rPr>
        <w:t>.</w:t>
      </w:r>
    </w:p>
    <w:p w:rsidR="005174D0" w:rsidRPr="004F3CCA" w:rsidRDefault="005174D0" w:rsidP="001C7AA1">
      <w:pPr>
        <w:spacing w:line="360" w:lineRule="auto"/>
        <w:jc w:val="both"/>
        <w:rPr>
          <w:rFonts w:ascii="Georgia" w:hAnsi="Georgia" w:cs="Arial"/>
          <w:noProof/>
          <w:sz w:val="20"/>
        </w:rPr>
      </w:pPr>
    </w:p>
    <w:p w:rsidR="001C7AA1" w:rsidRDefault="001C7AA1" w:rsidP="001C7AA1">
      <w:pPr>
        <w:spacing w:line="360" w:lineRule="auto"/>
        <w:jc w:val="both"/>
        <w:rPr>
          <w:rFonts w:ascii="Georgia" w:hAnsi="Georgia" w:cs="Arial"/>
        </w:rPr>
      </w:pPr>
      <w:r w:rsidRPr="004F3CCA">
        <w:rPr>
          <w:rFonts w:ascii="Georgia" w:hAnsi="Georgia" w:cs="Arial"/>
        </w:rPr>
        <w:t xml:space="preserve">Por consiguiente, como este asunto no </w:t>
      </w:r>
      <w:r w:rsidR="005174D0" w:rsidRPr="004F3CCA">
        <w:rPr>
          <w:rFonts w:ascii="Georgia" w:hAnsi="Georgia" w:cs="Arial"/>
        </w:rPr>
        <w:t>supera</w:t>
      </w:r>
      <w:r w:rsidRPr="004F3CCA">
        <w:rPr>
          <w:rFonts w:ascii="Georgia" w:hAnsi="Georgia" w:cs="Arial"/>
        </w:rPr>
        <w:t xml:space="preserve"> el test de procedencia, la </w:t>
      </w:r>
      <w:r w:rsidRPr="004F3CCA">
        <w:rPr>
          <w:rFonts w:ascii="Georgia" w:hAnsi="Georgia" w:cs="Arial"/>
          <w:i/>
        </w:rPr>
        <w:t>a-quo</w:t>
      </w:r>
      <w:r w:rsidRPr="004F3CCA">
        <w:rPr>
          <w:rFonts w:ascii="Georgia" w:hAnsi="Georgia" w:cs="Arial"/>
        </w:rPr>
        <w:t xml:space="preserve"> </w:t>
      </w:r>
      <w:r w:rsidR="005174D0" w:rsidRPr="004F3CCA">
        <w:rPr>
          <w:rFonts w:ascii="Georgia" w:hAnsi="Georgia" w:cs="Arial"/>
        </w:rPr>
        <w:t xml:space="preserve">debió abstenerse de realizar el análisis </w:t>
      </w:r>
      <w:r w:rsidRPr="004F3CCA">
        <w:rPr>
          <w:rFonts w:ascii="Georgia" w:hAnsi="Georgia" w:cs="Arial"/>
        </w:rPr>
        <w:t>de fondo. En todo caso, hay que decir</w:t>
      </w:r>
      <w:r w:rsidR="005174D0" w:rsidRPr="004F3CCA">
        <w:rPr>
          <w:rFonts w:ascii="Georgia" w:hAnsi="Georgia" w:cs="Arial"/>
        </w:rPr>
        <w:t>, conforme a la doctrina constitucional</w:t>
      </w:r>
      <w:r w:rsidR="005174D0" w:rsidRPr="004F3CCA">
        <w:rPr>
          <w:rStyle w:val="Appelnotedebasdep"/>
          <w:rFonts w:ascii="Georgia" w:hAnsi="Georgia"/>
        </w:rPr>
        <w:footnoteReference w:id="18"/>
      </w:r>
      <w:r w:rsidR="005174D0" w:rsidRPr="004F3CCA">
        <w:rPr>
          <w:rFonts w:ascii="Georgia" w:hAnsi="Georgia" w:cs="Arial"/>
        </w:rPr>
        <w:t xml:space="preserve">, </w:t>
      </w:r>
      <w:r w:rsidRPr="004F3CCA">
        <w:rPr>
          <w:rFonts w:ascii="Georgia" w:hAnsi="Georgia" w:cs="Arial"/>
        </w:rPr>
        <w:t xml:space="preserve">que cuando </w:t>
      </w:r>
      <w:r w:rsidR="005174D0" w:rsidRPr="004F3CCA">
        <w:rPr>
          <w:rFonts w:ascii="Georgia" w:hAnsi="Georgia" w:cs="Arial"/>
          <w:lang w:val="es-CO"/>
        </w:rPr>
        <w:t xml:space="preserve">las pretensiones de la acción se han satisfecho por el decurso de los hechos, debe declararse </w:t>
      </w:r>
      <w:r w:rsidRPr="004F3CCA">
        <w:rPr>
          <w:rFonts w:ascii="Georgia" w:hAnsi="Georgia" w:cs="Arial"/>
        </w:rPr>
        <w:t xml:space="preserve">la carencia actual de objeto </w:t>
      </w:r>
      <w:r w:rsidR="005174D0" w:rsidRPr="004F3CCA">
        <w:rPr>
          <w:rFonts w:ascii="Georgia" w:hAnsi="Georgia" w:cs="Arial"/>
        </w:rPr>
        <w:t>por el hecho superado, pese a su notoria improcedencia.</w:t>
      </w:r>
      <w:r w:rsidRPr="004F3CCA">
        <w:rPr>
          <w:rFonts w:ascii="Georgia" w:hAnsi="Georgia" w:cs="Arial"/>
        </w:rPr>
        <w:t xml:space="preserve"> </w:t>
      </w:r>
    </w:p>
    <w:p w:rsidR="001C7AA1" w:rsidRPr="004F3CCA" w:rsidRDefault="001C7AA1" w:rsidP="00825D8B">
      <w:pPr>
        <w:pStyle w:val="Corpsdetexte"/>
        <w:numPr>
          <w:ilvl w:val="0"/>
          <w:numId w:val="46"/>
        </w:numPr>
        <w:spacing w:line="360" w:lineRule="auto"/>
        <w:textAlignment w:val="auto"/>
        <w:rPr>
          <w:rFonts w:ascii="Georgia" w:hAnsi="Georgia" w:cs="Arial"/>
          <w:smallCaps/>
          <w:sz w:val="24"/>
          <w:szCs w:val="24"/>
        </w:rPr>
      </w:pPr>
      <w:r w:rsidRPr="004F3CCA">
        <w:rPr>
          <w:rFonts w:ascii="Georgia" w:hAnsi="Georgia" w:cs="Arial"/>
          <w:smallCaps/>
          <w:sz w:val="24"/>
          <w:szCs w:val="24"/>
        </w:rPr>
        <w:t>La carencia actual de objeto en la acción de tutela</w:t>
      </w:r>
    </w:p>
    <w:p w:rsidR="002E011F" w:rsidRDefault="002E011F" w:rsidP="00114609">
      <w:pPr>
        <w:pStyle w:val="Corpsdetexte"/>
        <w:spacing w:line="360" w:lineRule="auto"/>
        <w:rPr>
          <w:rFonts w:ascii="Georgia" w:hAnsi="Georgia" w:cs="Arial"/>
          <w:spacing w:val="0"/>
          <w:sz w:val="24"/>
          <w:szCs w:val="24"/>
          <w:lang w:val="es-ES"/>
        </w:rPr>
      </w:pPr>
    </w:p>
    <w:p w:rsidR="00114609" w:rsidRPr="00114609" w:rsidRDefault="00114609" w:rsidP="00114609">
      <w:pPr>
        <w:pStyle w:val="Corpsdetexte"/>
        <w:spacing w:line="360" w:lineRule="auto"/>
        <w:rPr>
          <w:rFonts w:ascii="Georgia" w:hAnsi="Georgia" w:cs="Arial"/>
          <w:spacing w:val="0"/>
          <w:sz w:val="24"/>
          <w:szCs w:val="24"/>
          <w:lang w:val="es-ES"/>
        </w:rPr>
      </w:pPr>
      <w:r w:rsidRPr="00114609">
        <w:rPr>
          <w:rFonts w:ascii="Georgia" w:hAnsi="Georgia" w:cs="Arial"/>
          <w:spacing w:val="0"/>
          <w:sz w:val="24"/>
          <w:szCs w:val="24"/>
          <w:lang w:val="es-ES"/>
        </w:rPr>
        <w:t>En reiterada jurisprudencia</w:t>
      </w:r>
      <w:r w:rsidRPr="00114609">
        <w:rPr>
          <w:rStyle w:val="Appelnotedebasdep"/>
          <w:rFonts w:ascii="Georgia" w:hAnsi="Georgia" w:cs="Arial"/>
          <w:sz w:val="24"/>
          <w:szCs w:val="24"/>
        </w:rPr>
        <w:footnoteReference w:id="19"/>
      </w:r>
      <w:r w:rsidRPr="00114609">
        <w:rPr>
          <w:rFonts w:ascii="Georgia" w:hAnsi="Georgia" w:cs="Arial"/>
          <w:spacing w:val="0"/>
          <w:sz w:val="24"/>
          <w:szCs w:val="24"/>
          <w:lang w:val="es-ES"/>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114609">
        <w:rPr>
          <w:rStyle w:val="Appelnotedebasdep"/>
          <w:rFonts w:ascii="Georgia" w:hAnsi="Georgia" w:cs="Arial"/>
          <w:sz w:val="24"/>
          <w:szCs w:val="24"/>
        </w:rPr>
        <w:footnoteReference w:id="20"/>
      </w:r>
      <w:r w:rsidRPr="00114609">
        <w:rPr>
          <w:rFonts w:ascii="Georgia" w:hAnsi="Georgia" w:cs="Arial"/>
          <w:spacing w:val="0"/>
          <w:sz w:val="24"/>
          <w:szCs w:val="24"/>
          <w:lang w:val="es-ES"/>
        </w:rPr>
        <w:t xml:space="preserve">: </w:t>
      </w:r>
      <w:r w:rsidRPr="00114609">
        <w:rPr>
          <w:rFonts w:ascii="Georgia" w:hAnsi="Georgia" w:cs="Arial"/>
          <w:i/>
          <w:spacing w:val="0"/>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114609">
        <w:rPr>
          <w:rFonts w:ascii="Georgia" w:hAnsi="Georgia" w:cs="Arial"/>
          <w:spacing w:val="0"/>
          <w:sz w:val="22"/>
          <w:szCs w:val="24"/>
          <w:lang w:val="es-ES"/>
        </w:rPr>
        <w:t>.</w:t>
      </w:r>
    </w:p>
    <w:p w:rsidR="00114609" w:rsidRPr="00B07B81" w:rsidRDefault="00114609" w:rsidP="00114609">
      <w:pPr>
        <w:pStyle w:val="Corpsdetexte"/>
        <w:spacing w:line="360" w:lineRule="auto"/>
        <w:ind w:left="400"/>
        <w:rPr>
          <w:rFonts w:ascii="Georgia" w:hAnsi="Georgia" w:cs="Arial"/>
          <w:spacing w:val="0"/>
          <w:sz w:val="24"/>
          <w:szCs w:val="24"/>
          <w:lang w:val="es-ES"/>
        </w:rPr>
      </w:pPr>
    </w:p>
    <w:p w:rsidR="00114609" w:rsidRPr="00114609" w:rsidRDefault="00114609" w:rsidP="00114609">
      <w:pPr>
        <w:pStyle w:val="Corpsdetexte"/>
        <w:spacing w:line="360" w:lineRule="auto"/>
        <w:rPr>
          <w:rFonts w:ascii="Georgia" w:hAnsi="Georgia" w:cs="Arial"/>
          <w:spacing w:val="0"/>
          <w:sz w:val="24"/>
          <w:szCs w:val="24"/>
          <w:lang w:val="es-ES"/>
        </w:rPr>
      </w:pPr>
      <w:r w:rsidRPr="00114609">
        <w:rPr>
          <w:rFonts w:ascii="Georgia" w:hAnsi="Georgia" w:cs="Arial"/>
          <w:spacing w:val="0"/>
          <w:sz w:val="24"/>
          <w:szCs w:val="24"/>
          <w:lang w:val="es-ES"/>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114609" w:rsidRPr="00B07B81" w:rsidRDefault="00114609" w:rsidP="00114609">
      <w:pPr>
        <w:pStyle w:val="Corpsdetexte"/>
        <w:spacing w:line="360" w:lineRule="auto"/>
        <w:ind w:left="400"/>
        <w:rPr>
          <w:rFonts w:ascii="Georgia" w:hAnsi="Georgia" w:cs="Arial"/>
          <w:spacing w:val="0"/>
          <w:sz w:val="24"/>
          <w:szCs w:val="24"/>
          <w:lang w:val="es-ES"/>
        </w:rPr>
      </w:pPr>
    </w:p>
    <w:p w:rsidR="00114609" w:rsidRPr="00114609" w:rsidRDefault="00114609" w:rsidP="00114609">
      <w:pPr>
        <w:pStyle w:val="Corpsdetexte"/>
        <w:spacing w:line="360" w:lineRule="auto"/>
        <w:rPr>
          <w:rFonts w:ascii="Georgia" w:hAnsi="Georgia" w:cs="Arial"/>
          <w:spacing w:val="0"/>
          <w:sz w:val="24"/>
          <w:szCs w:val="24"/>
          <w:lang w:val="es-ES"/>
        </w:rPr>
      </w:pPr>
      <w:r w:rsidRPr="00114609">
        <w:rPr>
          <w:rFonts w:ascii="Georgia" w:hAnsi="Georgia" w:cs="Arial"/>
          <w:spacing w:val="0"/>
          <w:sz w:val="24"/>
          <w:szCs w:val="24"/>
          <w:lang w:val="es-ES"/>
        </w:rPr>
        <w:t>En tratándose de la primera hipótesis dispuso la CC</w:t>
      </w:r>
      <w:r w:rsidRPr="00114609">
        <w:rPr>
          <w:rStyle w:val="Appelnotedebasdep"/>
          <w:rFonts w:ascii="Georgia" w:hAnsi="Georgia" w:cs="Arial"/>
          <w:sz w:val="24"/>
          <w:szCs w:val="24"/>
        </w:rPr>
        <w:footnoteReference w:id="21"/>
      </w:r>
      <w:r w:rsidRPr="00114609">
        <w:rPr>
          <w:rFonts w:ascii="Georgia" w:hAnsi="Georgia" w:cs="Arial"/>
          <w:spacing w:val="0"/>
          <w:sz w:val="24"/>
          <w:szCs w:val="24"/>
          <w:lang w:val="es-ES"/>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 </w:t>
      </w:r>
    </w:p>
    <w:p w:rsidR="00114609" w:rsidRPr="00B07B81" w:rsidRDefault="00114609" w:rsidP="00114609">
      <w:pPr>
        <w:pStyle w:val="Corpsdetexte"/>
        <w:spacing w:line="360" w:lineRule="auto"/>
        <w:rPr>
          <w:rFonts w:ascii="Georgia" w:hAnsi="Georgia" w:cs="Arial"/>
          <w:spacing w:val="0"/>
          <w:sz w:val="24"/>
          <w:szCs w:val="24"/>
          <w:lang w:val="es-ES"/>
        </w:rPr>
      </w:pPr>
    </w:p>
    <w:p w:rsidR="00114609" w:rsidRPr="00114609" w:rsidRDefault="00114609" w:rsidP="00114609">
      <w:pPr>
        <w:pStyle w:val="Corpsdetexte"/>
        <w:spacing w:line="360" w:lineRule="auto"/>
        <w:rPr>
          <w:rFonts w:ascii="Georgia" w:hAnsi="Georgia" w:cs="Arial"/>
          <w:spacing w:val="0"/>
          <w:sz w:val="24"/>
          <w:szCs w:val="24"/>
          <w:lang w:val="es-ES"/>
        </w:rPr>
      </w:pPr>
      <w:r w:rsidRPr="00114609">
        <w:rPr>
          <w:rFonts w:ascii="Georgia" w:hAnsi="Georgia" w:cs="Arial"/>
          <w:spacing w:val="0"/>
          <w:sz w:val="24"/>
          <w:szCs w:val="24"/>
          <w:lang w:val="es-ES"/>
        </w:rPr>
        <w:lastRenderedPageBreak/>
        <w:t>Así, para determinar si se está en presencia o no de un hecho superado, conforme lo dicho por el máximo ente constitucional</w:t>
      </w:r>
      <w:r w:rsidRPr="00114609">
        <w:rPr>
          <w:rStyle w:val="Appelnotedebasdep"/>
          <w:rFonts w:ascii="Georgia" w:hAnsi="Georgia" w:cs="Arial"/>
          <w:sz w:val="24"/>
          <w:szCs w:val="24"/>
        </w:rPr>
        <w:footnoteReference w:id="22"/>
      </w:r>
      <w:r w:rsidRPr="00114609">
        <w:rPr>
          <w:rFonts w:ascii="Georgia" w:hAnsi="Georgia" w:cs="Arial"/>
          <w:spacing w:val="0"/>
          <w:sz w:val="24"/>
          <w:szCs w:val="24"/>
          <w:lang w:val="es-ES"/>
        </w:rPr>
        <w:t xml:space="preserve"> (i) Debe comprobarse que con anterioridad a la interposición de la acción exista un acto u omisión que viole o amenace violar un derecho fundamental; y (ii) Que durante el trámite del amparo se supere el agravio o amenaza.</w:t>
      </w:r>
    </w:p>
    <w:p w:rsidR="006663F5" w:rsidRPr="00B07B81" w:rsidRDefault="006663F5" w:rsidP="001C7AA1">
      <w:pPr>
        <w:spacing w:line="360" w:lineRule="auto"/>
        <w:jc w:val="both"/>
        <w:rPr>
          <w:rFonts w:ascii="Georgia" w:hAnsi="Georgia" w:cs="Arial"/>
          <w:szCs w:val="28"/>
          <w:shd w:val="clear" w:color="auto" w:fill="FFFFFF"/>
        </w:rPr>
      </w:pPr>
    </w:p>
    <w:p w:rsidR="00CF3E07" w:rsidRDefault="00A7752C" w:rsidP="00114609">
      <w:pPr>
        <w:pStyle w:val="Corpsdetexte"/>
        <w:spacing w:line="360" w:lineRule="auto"/>
        <w:rPr>
          <w:rFonts w:ascii="Georgia" w:hAnsi="Georgia"/>
          <w:sz w:val="24"/>
          <w:szCs w:val="24"/>
        </w:rPr>
      </w:pPr>
      <w:r>
        <w:rPr>
          <w:rFonts w:ascii="Georgia" w:hAnsi="Georgia"/>
          <w:sz w:val="24"/>
          <w:szCs w:val="24"/>
        </w:rPr>
        <w:t xml:space="preserve">No </w:t>
      </w:r>
      <w:r w:rsidR="00BB6532">
        <w:rPr>
          <w:rFonts w:ascii="Georgia" w:hAnsi="Georgia"/>
          <w:sz w:val="24"/>
          <w:szCs w:val="24"/>
        </w:rPr>
        <w:t>obstante lo reseñado</w:t>
      </w:r>
      <w:r w:rsidR="00114609">
        <w:rPr>
          <w:rFonts w:ascii="Georgia" w:hAnsi="Georgia"/>
          <w:sz w:val="24"/>
          <w:szCs w:val="24"/>
        </w:rPr>
        <w:t xml:space="preserve"> </w:t>
      </w:r>
      <w:r w:rsidR="00CF3E07">
        <w:rPr>
          <w:rFonts w:ascii="Georgia" w:hAnsi="Georgia"/>
          <w:sz w:val="24"/>
          <w:szCs w:val="24"/>
        </w:rPr>
        <w:t>sobre</w:t>
      </w:r>
      <w:r w:rsidR="00114609">
        <w:rPr>
          <w:rFonts w:ascii="Georgia" w:hAnsi="Georgia"/>
          <w:sz w:val="24"/>
          <w:szCs w:val="24"/>
        </w:rPr>
        <w:t xml:space="preserve"> la subsidiariedad</w:t>
      </w:r>
      <w:r w:rsidR="00BB6532">
        <w:rPr>
          <w:rFonts w:ascii="Georgia" w:hAnsi="Georgia"/>
          <w:sz w:val="24"/>
          <w:szCs w:val="24"/>
        </w:rPr>
        <w:t xml:space="preserve">, halla esta Sala que el presente amparo constitucional actualmente carece de objeto </w:t>
      </w:r>
      <w:proofErr w:type="spellStart"/>
      <w:r w:rsidR="00BB6532">
        <w:rPr>
          <w:rFonts w:ascii="Georgia" w:hAnsi="Georgia"/>
          <w:sz w:val="24"/>
          <w:szCs w:val="24"/>
        </w:rPr>
        <w:t>tutelable</w:t>
      </w:r>
      <w:proofErr w:type="spellEnd"/>
      <w:r w:rsidR="00BB6532">
        <w:rPr>
          <w:rFonts w:ascii="Georgia" w:hAnsi="Georgia"/>
          <w:sz w:val="24"/>
          <w:szCs w:val="24"/>
        </w:rPr>
        <w:t xml:space="preserve">, en consideración a que </w:t>
      </w:r>
      <w:r w:rsidR="00CF3E07">
        <w:rPr>
          <w:rFonts w:ascii="Georgia" w:hAnsi="Georgia"/>
          <w:sz w:val="24"/>
          <w:szCs w:val="24"/>
        </w:rPr>
        <w:t xml:space="preserve">la </w:t>
      </w:r>
      <w:r w:rsidR="00CF3E07" w:rsidRPr="00CF3E07">
        <w:rPr>
          <w:rFonts w:ascii="Georgia" w:hAnsi="Georgia"/>
          <w:i/>
          <w:sz w:val="24"/>
          <w:szCs w:val="24"/>
        </w:rPr>
        <w:t>a quo</w:t>
      </w:r>
      <w:r w:rsidR="00CF3E07">
        <w:rPr>
          <w:rFonts w:ascii="Georgia" w:hAnsi="Georgia"/>
          <w:sz w:val="24"/>
          <w:szCs w:val="24"/>
        </w:rPr>
        <w:t xml:space="preserve"> de oficio </w:t>
      </w:r>
      <w:r w:rsidR="00BB6532">
        <w:rPr>
          <w:rFonts w:ascii="Georgia" w:hAnsi="Georgia"/>
          <w:sz w:val="24"/>
          <w:szCs w:val="24"/>
        </w:rPr>
        <w:t xml:space="preserve">“dejó sin efectos” </w:t>
      </w:r>
      <w:r w:rsidR="00CF3E07">
        <w:rPr>
          <w:rFonts w:ascii="Georgia" w:hAnsi="Georgia"/>
          <w:sz w:val="24"/>
          <w:szCs w:val="24"/>
        </w:rPr>
        <w:t xml:space="preserve">la providencia cuestionada </w:t>
      </w:r>
      <w:r w:rsidR="00BB6532">
        <w:rPr>
          <w:rFonts w:ascii="Georgia" w:hAnsi="Georgia"/>
          <w:sz w:val="24"/>
          <w:szCs w:val="24"/>
        </w:rPr>
        <w:t xml:space="preserve">mediante proveído </w:t>
      </w:r>
      <w:r w:rsidR="00CF3E07">
        <w:rPr>
          <w:rFonts w:ascii="Georgia" w:hAnsi="Georgia"/>
          <w:sz w:val="24"/>
          <w:szCs w:val="24"/>
        </w:rPr>
        <w:t xml:space="preserve">datado el </w:t>
      </w:r>
      <w:r w:rsidR="00BB6532">
        <w:rPr>
          <w:rFonts w:ascii="Georgia" w:hAnsi="Georgia"/>
          <w:sz w:val="24"/>
          <w:szCs w:val="24"/>
        </w:rPr>
        <w:t>25-01-2018, incluso</w:t>
      </w:r>
      <w:r w:rsidR="00CF3E07">
        <w:rPr>
          <w:rFonts w:ascii="Georgia" w:hAnsi="Georgia"/>
          <w:sz w:val="24"/>
          <w:szCs w:val="24"/>
        </w:rPr>
        <w:t>,</w:t>
      </w:r>
      <w:r w:rsidR="00BB6532">
        <w:rPr>
          <w:rFonts w:ascii="Georgia" w:hAnsi="Georgia"/>
          <w:sz w:val="24"/>
          <w:szCs w:val="24"/>
        </w:rPr>
        <w:t xml:space="preserve"> disminuyó el embargo </w:t>
      </w:r>
      <w:r w:rsidR="00B07B81">
        <w:rPr>
          <w:rFonts w:ascii="Georgia" w:hAnsi="Georgia"/>
          <w:sz w:val="24"/>
          <w:szCs w:val="24"/>
        </w:rPr>
        <w:t>a la suma que legalmente se puede retener (Artículo 155, C</w:t>
      </w:r>
      <w:r w:rsidR="00DD31EC">
        <w:rPr>
          <w:rFonts w:ascii="Georgia" w:hAnsi="Georgia"/>
          <w:sz w:val="24"/>
          <w:szCs w:val="24"/>
        </w:rPr>
        <w:t>PTS</w:t>
      </w:r>
      <w:r w:rsidR="00B07B81">
        <w:rPr>
          <w:rFonts w:ascii="Georgia" w:hAnsi="Georgia"/>
          <w:sz w:val="24"/>
          <w:szCs w:val="24"/>
        </w:rPr>
        <w:t xml:space="preserve">S), </w:t>
      </w:r>
      <w:r w:rsidR="00BB6532">
        <w:rPr>
          <w:rFonts w:ascii="Georgia" w:hAnsi="Georgia"/>
          <w:sz w:val="24"/>
          <w:szCs w:val="24"/>
        </w:rPr>
        <w:t xml:space="preserve">y dispuso la devolución </w:t>
      </w:r>
      <w:r w:rsidR="00DD31EC">
        <w:rPr>
          <w:rFonts w:ascii="Georgia" w:hAnsi="Georgia"/>
          <w:sz w:val="24"/>
          <w:szCs w:val="24"/>
        </w:rPr>
        <w:t xml:space="preserve">de </w:t>
      </w:r>
      <w:r w:rsidR="00BB6532">
        <w:rPr>
          <w:rFonts w:ascii="Georgia" w:hAnsi="Georgia"/>
          <w:sz w:val="24"/>
          <w:szCs w:val="24"/>
        </w:rPr>
        <w:t>los dineros al actor</w:t>
      </w:r>
      <w:r w:rsidR="00114609">
        <w:rPr>
          <w:rFonts w:ascii="Georgia" w:hAnsi="Georgia"/>
          <w:sz w:val="24"/>
          <w:szCs w:val="24"/>
        </w:rPr>
        <w:t xml:space="preserve"> (Folios 114 a 116, expediente en PDF del disco compacto visible a folio 6, este cuaderno)</w:t>
      </w:r>
      <w:r w:rsidR="00CF3E07">
        <w:rPr>
          <w:rFonts w:ascii="Georgia" w:hAnsi="Georgia"/>
          <w:sz w:val="24"/>
          <w:szCs w:val="24"/>
        </w:rPr>
        <w:t>.</w:t>
      </w:r>
    </w:p>
    <w:p w:rsidR="00CF3E07" w:rsidRPr="00B07B81" w:rsidRDefault="00CF3E07" w:rsidP="00114609">
      <w:pPr>
        <w:pStyle w:val="Corpsdetexte"/>
        <w:spacing w:line="360" w:lineRule="auto"/>
        <w:rPr>
          <w:rFonts w:ascii="Georgia" w:hAnsi="Georgia" w:cs="Arial"/>
          <w:sz w:val="24"/>
          <w:szCs w:val="24"/>
          <w:lang w:val="es-CO" w:eastAsia="es-CO"/>
        </w:rPr>
      </w:pPr>
    </w:p>
    <w:p w:rsidR="00114609" w:rsidRDefault="00CF3E07" w:rsidP="00114609">
      <w:pPr>
        <w:pStyle w:val="Corpsdetexte"/>
        <w:spacing w:line="360" w:lineRule="auto"/>
        <w:rPr>
          <w:rFonts w:ascii="Georgia" w:hAnsi="Georgia" w:cs="Arial"/>
          <w:sz w:val="24"/>
          <w:szCs w:val="24"/>
          <w:lang w:eastAsia="es-CO"/>
        </w:rPr>
      </w:pPr>
      <w:r>
        <w:rPr>
          <w:rFonts w:ascii="Georgia" w:hAnsi="Georgia" w:cs="Arial"/>
          <w:sz w:val="24"/>
          <w:szCs w:val="24"/>
          <w:lang w:val="es-CO" w:eastAsia="es-CO"/>
        </w:rPr>
        <w:t>P</w:t>
      </w:r>
      <w:r w:rsidR="00BB6532">
        <w:rPr>
          <w:rFonts w:ascii="Georgia" w:hAnsi="Georgia" w:cs="Arial"/>
          <w:sz w:val="24"/>
          <w:szCs w:val="24"/>
          <w:lang w:val="es-CO" w:eastAsia="es-CO"/>
        </w:rPr>
        <w:t>or lo t</w:t>
      </w:r>
      <w:r w:rsidR="00114609">
        <w:rPr>
          <w:rFonts w:ascii="Georgia" w:hAnsi="Georgia" w:cs="Arial"/>
          <w:sz w:val="24"/>
          <w:szCs w:val="24"/>
          <w:lang w:val="es-CO" w:eastAsia="es-CO"/>
        </w:rPr>
        <w:t>anto</w:t>
      </w:r>
      <w:r w:rsidR="00BB6532" w:rsidRPr="00BB6532">
        <w:rPr>
          <w:rFonts w:ascii="Georgia" w:hAnsi="Georgia" w:cs="Arial"/>
          <w:sz w:val="24"/>
          <w:szCs w:val="24"/>
          <w:lang w:val="es-CO" w:eastAsia="es-CO"/>
        </w:rPr>
        <w:t>,</w:t>
      </w:r>
      <w:r w:rsidR="00114609">
        <w:rPr>
          <w:rFonts w:ascii="Georgia" w:hAnsi="Georgia" w:cs="Arial"/>
          <w:sz w:val="24"/>
          <w:szCs w:val="24"/>
          <w:lang w:val="es-CO" w:eastAsia="es-CO"/>
        </w:rPr>
        <w:t xml:space="preserve"> </w:t>
      </w:r>
      <w:r w:rsidR="00114609" w:rsidRPr="00114609">
        <w:rPr>
          <w:rFonts w:ascii="Georgia" w:hAnsi="Georgia" w:cs="Arial"/>
          <w:sz w:val="24"/>
          <w:szCs w:val="24"/>
          <w:lang w:val="es-CO" w:eastAsia="es-CO"/>
        </w:rPr>
        <w:t xml:space="preserve">si hubo vulneración o amenaza de los derechos fundamentales, cesó; en consecuencia </w:t>
      </w:r>
      <w:r w:rsidR="00114609" w:rsidRPr="00114609">
        <w:rPr>
          <w:rFonts w:ascii="Georgia" w:hAnsi="Georgia" w:cs="Arial"/>
          <w:sz w:val="24"/>
          <w:szCs w:val="24"/>
          <w:lang w:eastAsia="es-CO"/>
        </w:rPr>
        <w:t xml:space="preserve">no hay objeto jurídico sobre el cual fallar y la decisión que se adopte resultará inocua. De esta manera, se configura el hecho superado, pues la pretensión </w:t>
      </w:r>
      <w:r w:rsidR="00114609">
        <w:rPr>
          <w:rFonts w:ascii="Georgia" w:hAnsi="Georgia" w:cs="Arial"/>
          <w:sz w:val="24"/>
          <w:szCs w:val="24"/>
          <w:lang w:eastAsia="es-CO"/>
        </w:rPr>
        <w:t xml:space="preserve">tutelar </w:t>
      </w:r>
      <w:r w:rsidR="00114609" w:rsidRPr="00114609">
        <w:rPr>
          <w:rFonts w:ascii="Georgia" w:hAnsi="Georgia" w:cs="Arial"/>
          <w:sz w:val="24"/>
          <w:szCs w:val="24"/>
          <w:lang w:eastAsia="es-CO"/>
        </w:rPr>
        <w:t xml:space="preserve">se encuentra satisfecha y los derechos a salvo. </w:t>
      </w:r>
    </w:p>
    <w:p w:rsidR="002E011F" w:rsidRDefault="002E011F" w:rsidP="00114609">
      <w:pPr>
        <w:pStyle w:val="Corpsdetexte"/>
        <w:spacing w:line="360" w:lineRule="auto"/>
        <w:rPr>
          <w:rFonts w:ascii="Georgia" w:hAnsi="Georgia" w:cs="Arial"/>
          <w:sz w:val="24"/>
          <w:szCs w:val="24"/>
          <w:lang w:eastAsia="es-CO"/>
        </w:rPr>
      </w:pPr>
    </w:p>
    <w:p w:rsidR="00BB6532" w:rsidRPr="00114609" w:rsidRDefault="00BB6532" w:rsidP="00114609">
      <w:pPr>
        <w:pStyle w:val="Corpsdetexte"/>
        <w:numPr>
          <w:ilvl w:val="0"/>
          <w:numId w:val="46"/>
        </w:numPr>
        <w:spacing w:line="360" w:lineRule="auto"/>
        <w:rPr>
          <w:rFonts w:ascii="Georgia" w:hAnsi="Georgia" w:cs="Arial"/>
          <w:sz w:val="24"/>
          <w:lang w:eastAsia="es-CO"/>
        </w:rPr>
      </w:pPr>
      <w:r w:rsidRPr="00114609">
        <w:rPr>
          <w:rFonts w:ascii="Georgia" w:hAnsi="Georgia" w:cs="Arial"/>
          <w:sz w:val="24"/>
          <w:lang w:eastAsia="es-CO"/>
        </w:rPr>
        <w:t xml:space="preserve">LAS CONCLUSIONES </w:t>
      </w:r>
    </w:p>
    <w:p w:rsidR="00BB6532" w:rsidRPr="00114609" w:rsidRDefault="00BB6532" w:rsidP="00114609">
      <w:pPr>
        <w:pStyle w:val="Corpsdetexte"/>
        <w:spacing w:line="360" w:lineRule="auto"/>
        <w:rPr>
          <w:rFonts w:ascii="Georgia" w:hAnsi="Georgia" w:cs="Arial"/>
          <w:sz w:val="24"/>
          <w:lang w:val="es-CO" w:eastAsia="es-CO"/>
        </w:rPr>
      </w:pPr>
    </w:p>
    <w:p w:rsidR="00C90241" w:rsidRPr="004F3CCA" w:rsidRDefault="006E100D" w:rsidP="00C90241">
      <w:pPr>
        <w:widowControl/>
        <w:autoSpaceDE/>
        <w:autoSpaceDN/>
        <w:adjustRightInd/>
        <w:spacing w:line="360" w:lineRule="auto"/>
        <w:jc w:val="both"/>
        <w:rPr>
          <w:rFonts w:ascii="Georgia" w:hAnsi="Georgia" w:cs="Arial"/>
          <w:lang w:val="es-CO"/>
        </w:rPr>
      </w:pPr>
      <w:r w:rsidRPr="004F3CCA">
        <w:rPr>
          <w:rFonts w:ascii="Georgia" w:hAnsi="Georgia"/>
          <w:lang w:val="es-CO"/>
        </w:rPr>
        <w:t xml:space="preserve">En armonía con lo discurrido </w:t>
      </w:r>
      <w:r w:rsidR="00C90241" w:rsidRPr="004F3CCA">
        <w:rPr>
          <w:rFonts w:ascii="Georgia" w:hAnsi="Georgia" w:cs="Arial"/>
          <w:lang w:val="es-CO"/>
        </w:rPr>
        <w:t xml:space="preserve">(i) Se revocará el fallo opugnado; (ii) Se </w:t>
      </w:r>
      <w:r w:rsidR="0067134B" w:rsidRPr="004F3CCA">
        <w:rPr>
          <w:rFonts w:ascii="Georgia" w:hAnsi="Georgia" w:cs="Arial"/>
          <w:lang w:val="es-CO"/>
        </w:rPr>
        <w:t xml:space="preserve">declarará improcedente </w:t>
      </w:r>
      <w:r w:rsidR="00114609">
        <w:rPr>
          <w:rFonts w:ascii="Georgia" w:hAnsi="Georgia" w:cs="Arial"/>
          <w:lang w:val="es-CO"/>
        </w:rPr>
        <w:t>por carecer de subsidiariedad</w:t>
      </w:r>
      <w:r w:rsidR="0067134B" w:rsidRPr="004F3CCA">
        <w:rPr>
          <w:rFonts w:ascii="Georgia" w:hAnsi="Georgia" w:cs="Arial"/>
          <w:noProof/>
          <w:lang w:val="es-CO"/>
        </w:rPr>
        <w:t>; y, (iii) Se declarará la carencia actual de objeto por el hecho superado</w:t>
      </w:r>
      <w:r w:rsidR="00C90241" w:rsidRPr="004F3CCA">
        <w:rPr>
          <w:rFonts w:ascii="Georgia" w:hAnsi="Georgia" w:cs="Arial"/>
          <w:lang w:val="es-CO"/>
        </w:rPr>
        <w:t>.</w:t>
      </w:r>
    </w:p>
    <w:p w:rsidR="003158A3" w:rsidRPr="00114609" w:rsidRDefault="003158A3" w:rsidP="003158A3">
      <w:pPr>
        <w:spacing w:line="360" w:lineRule="auto"/>
        <w:jc w:val="both"/>
        <w:rPr>
          <w:rFonts w:ascii="Georgia" w:hAnsi="Georgia" w:cs="Arial"/>
          <w:lang w:val="es-CO"/>
        </w:rPr>
      </w:pPr>
    </w:p>
    <w:p w:rsidR="00E23846" w:rsidRPr="004F3CCA" w:rsidRDefault="00E23846" w:rsidP="00E23846">
      <w:pPr>
        <w:tabs>
          <w:tab w:val="left" w:pos="-720"/>
        </w:tabs>
        <w:suppressAutoHyphens/>
        <w:spacing w:line="360" w:lineRule="auto"/>
        <w:jc w:val="both"/>
        <w:rPr>
          <w:rFonts w:ascii="Georgia" w:hAnsi="Georgia" w:cs="Arial"/>
          <w:bCs/>
          <w:smallCaps/>
        </w:rPr>
      </w:pPr>
      <w:r w:rsidRPr="004F3CCA">
        <w:rPr>
          <w:rFonts w:ascii="Georgia" w:hAnsi="Georgia" w:cs="Arial"/>
        </w:rPr>
        <w:t xml:space="preserve">En mérito de lo razonado, el </w:t>
      </w:r>
      <w:r w:rsidRPr="004F3CCA">
        <w:rPr>
          <w:rFonts w:ascii="Georgia" w:hAnsi="Georgia" w:cs="Arial"/>
          <w:bCs/>
          <w:smallCaps/>
        </w:rPr>
        <w:t>Tribunal Superior del Distrito Judicial de Pereira, Sala de Decisión Civil - Familia</w:t>
      </w:r>
      <w:r w:rsidRPr="004F3CCA">
        <w:rPr>
          <w:rFonts w:ascii="Georgia" w:hAnsi="Georgia" w:cs="Arial"/>
        </w:rPr>
        <w:t>, administrando Justicia, en nombre de la República y por autoridad de la Ley,</w:t>
      </w:r>
      <w:r w:rsidRPr="004F3CCA">
        <w:rPr>
          <w:rFonts w:ascii="Georgia" w:hAnsi="Georgia" w:cs="Arial"/>
          <w:bCs/>
          <w:smallCaps/>
        </w:rPr>
        <w:tab/>
      </w:r>
      <w:r w:rsidRPr="004F3CCA">
        <w:rPr>
          <w:rFonts w:ascii="Georgia" w:hAnsi="Georgia" w:cs="Arial"/>
          <w:bCs/>
          <w:smallCaps/>
        </w:rPr>
        <w:tab/>
      </w:r>
      <w:r w:rsidRPr="004F3CCA">
        <w:rPr>
          <w:rFonts w:ascii="Georgia" w:hAnsi="Georgia" w:cs="Arial"/>
          <w:bCs/>
          <w:smallCaps/>
        </w:rPr>
        <w:tab/>
      </w:r>
      <w:r w:rsidRPr="004F3CCA">
        <w:rPr>
          <w:rFonts w:ascii="Georgia" w:hAnsi="Georgia" w:cs="Arial"/>
          <w:bCs/>
          <w:smallCaps/>
        </w:rPr>
        <w:tab/>
      </w:r>
      <w:r w:rsidRPr="004F3CCA">
        <w:rPr>
          <w:rFonts w:ascii="Georgia" w:hAnsi="Georgia" w:cs="Arial"/>
          <w:bCs/>
          <w:smallCaps/>
        </w:rPr>
        <w:tab/>
      </w:r>
      <w:r w:rsidRPr="004F3CCA">
        <w:rPr>
          <w:rFonts w:ascii="Georgia" w:hAnsi="Georgia" w:cs="Arial"/>
          <w:bCs/>
          <w:smallCaps/>
        </w:rPr>
        <w:tab/>
      </w:r>
    </w:p>
    <w:p w:rsidR="002E011F" w:rsidRDefault="002E011F"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p>
    <w:p w:rsidR="003158A3" w:rsidRPr="004F3CCA"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r w:rsidRPr="004F3CCA">
        <w:rPr>
          <w:rFonts w:ascii="Georgia" w:hAnsi="Georgia" w:cs="Arial"/>
          <w:bCs/>
          <w:smallCaps/>
          <w:spacing w:val="-3"/>
          <w:lang w:val="es-ES_tradnl"/>
        </w:rPr>
        <w:t xml:space="preserve">F A L </w:t>
      </w:r>
      <w:proofErr w:type="spellStart"/>
      <w:r w:rsidRPr="004F3CCA">
        <w:rPr>
          <w:rFonts w:ascii="Georgia" w:hAnsi="Georgia" w:cs="Arial"/>
          <w:bCs/>
          <w:smallCaps/>
          <w:spacing w:val="-3"/>
          <w:lang w:val="es-ES_tradnl"/>
        </w:rPr>
        <w:t>L</w:t>
      </w:r>
      <w:proofErr w:type="spellEnd"/>
      <w:r w:rsidRPr="004F3CCA">
        <w:rPr>
          <w:rFonts w:ascii="Georgia" w:hAnsi="Georgia" w:cs="Arial"/>
          <w:bCs/>
          <w:smallCaps/>
          <w:spacing w:val="-3"/>
          <w:lang w:val="es-ES_tradnl"/>
        </w:rPr>
        <w:t xml:space="preserve"> A,</w:t>
      </w:r>
    </w:p>
    <w:p w:rsidR="003158A3" w:rsidRPr="004F3CCA"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18"/>
          <w:lang w:val="es-ES_tradnl"/>
        </w:rPr>
      </w:pPr>
    </w:p>
    <w:p w:rsidR="003158A3" w:rsidRPr="004F3CCA" w:rsidRDefault="005B2F92" w:rsidP="003158A3">
      <w:pPr>
        <w:widowControl/>
        <w:numPr>
          <w:ilvl w:val="0"/>
          <w:numId w:val="40"/>
        </w:numPr>
        <w:tabs>
          <w:tab w:val="clear" w:pos="360"/>
          <w:tab w:val="num" w:pos="720"/>
        </w:tabs>
        <w:autoSpaceDE/>
        <w:adjustRightInd/>
        <w:spacing w:line="360" w:lineRule="auto"/>
        <w:jc w:val="both"/>
        <w:rPr>
          <w:rFonts w:ascii="Georgia" w:hAnsi="Georgia" w:cs="Arial"/>
          <w:lang w:val="es-CO"/>
        </w:rPr>
      </w:pPr>
      <w:r w:rsidRPr="004F3CCA">
        <w:rPr>
          <w:rFonts w:ascii="Georgia" w:hAnsi="Georgia" w:cs="Arial"/>
          <w:lang w:val="es-CO"/>
        </w:rPr>
        <w:t>REVOCAR</w:t>
      </w:r>
      <w:r w:rsidR="003158A3" w:rsidRPr="004F3CCA">
        <w:rPr>
          <w:rFonts w:ascii="Georgia" w:hAnsi="Georgia" w:cs="Arial"/>
          <w:lang w:val="es-CO"/>
        </w:rPr>
        <w:t xml:space="preserve"> </w:t>
      </w:r>
      <w:r w:rsidR="003158A3" w:rsidRPr="004F3CCA">
        <w:rPr>
          <w:rFonts w:ascii="Georgia" w:hAnsi="Georgia"/>
          <w:spacing w:val="-3"/>
          <w:lang w:val="es-ES_tradnl"/>
        </w:rPr>
        <w:t xml:space="preserve">la sentencia </w:t>
      </w:r>
      <w:r w:rsidR="00E23846" w:rsidRPr="004F3CCA">
        <w:rPr>
          <w:rFonts w:ascii="Georgia" w:hAnsi="Georgia"/>
          <w:spacing w:val="-3"/>
          <w:lang w:val="es-ES_tradnl"/>
        </w:rPr>
        <w:t xml:space="preserve">proferida el </w:t>
      </w:r>
      <w:r w:rsidR="003158A3" w:rsidRPr="004F3CCA">
        <w:rPr>
          <w:rFonts w:ascii="Georgia" w:hAnsi="Georgia"/>
          <w:spacing w:val="-3"/>
          <w:lang w:val="es-ES_tradnl"/>
        </w:rPr>
        <w:t>día</w:t>
      </w:r>
      <w:r w:rsidR="003158A3" w:rsidRPr="004F3CCA">
        <w:rPr>
          <w:rFonts w:ascii="Georgia" w:hAnsi="Georgia" w:cs="Arial"/>
          <w:lang w:val="es-CO"/>
        </w:rPr>
        <w:t xml:space="preserve"> </w:t>
      </w:r>
      <w:r w:rsidR="00114609">
        <w:rPr>
          <w:rFonts w:ascii="Georgia" w:hAnsi="Georgia" w:cs="Arial"/>
        </w:rPr>
        <w:t>15</w:t>
      </w:r>
      <w:r w:rsidR="00E23846" w:rsidRPr="004F3CCA">
        <w:rPr>
          <w:rFonts w:ascii="Georgia" w:hAnsi="Georgia" w:cs="Arial"/>
        </w:rPr>
        <w:t>-</w:t>
      </w:r>
      <w:r w:rsidR="00842EC9" w:rsidRPr="004F3CCA">
        <w:rPr>
          <w:rFonts w:ascii="Georgia" w:hAnsi="Georgia" w:cs="Arial"/>
        </w:rPr>
        <w:t>12</w:t>
      </w:r>
      <w:r w:rsidR="00E23846" w:rsidRPr="004F3CCA">
        <w:rPr>
          <w:rFonts w:ascii="Georgia" w:hAnsi="Georgia" w:cs="Arial"/>
        </w:rPr>
        <w:t>-</w:t>
      </w:r>
      <w:r w:rsidR="00114609">
        <w:rPr>
          <w:rFonts w:ascii="Georgia" w:hAnsi="Georgia" w:cs="Arial"/>
        </w:rPr>
        <w:t>2017</w:t>
      </w:r>
      <w:r w:rsidR="00E23846" w:rsidRPr="004F3CCA">
        <w:rPr>
          <w:rFonts w:ascii="Georgia" w:hAnsi="Georgia" w:cs="Arial"/>
        </w:rPr>
        <w:t>,</w:t>
      </w:r>
      <w:r w:rsidR="003158A3" w:rsidRPr="004F3CCA">
        <w:rPr>
          <w:rFonts w:ascii="Georgia" w:hAnsi="Georgia" w:cs="Arial"/>
        </w:rPr>
        <w:t xml:space="preserve"> </w:t>
      </w:r>
      <w:r w:rsidR="00E23846" w:rsidRPr="004F3CCA">
        <w:rPr>
          <w:rFonts w:ascii="Georgia" w:hAnsi="Georgia" w:cs="Arial"/>
        </w:rPr>
        <w:t xml:space="preserve">por </w:t>
      </w:r>
      <w:r w:rsidR="003158A3" w:rsidRPr="004F3CCA">
        <w:rPr>
          <w:rFonts w:ascii="Georgia" w:hAnsi="Georgia" w:cs="Arial"/>
          <w:lang w:val="es-CO"/>
        </w:rPr>
        <w:t xml:space="preserve">del Juzgado </w:t>
      </w:r>
      <w:r w:rsidR="00114609">
        <w:rPr>
          <w:rFonts w:ascii="Georgia" w:hAnsi="Georgia" w:cs="Arial"/>
          <w:lang w:val="es-CO"/>
        </w:rPr>
        <w:t xml:space="preserve">Tercero </w:t>
      </w:r>
      <w:r w:rsidR="00842EC9" w:rsidRPr="004F3CCA">
        <w:rPr>
          <w:rFonts w:ascii="Georgia" w:hAnsi="Georgia" w:cs="Arial"/>
          <w:lang w:val="es-CO"/>
        </w:rPr>
        <w:t>Civil del Circuito de Pereira</w:t>
      </w:r>
      <w:r w:rsidR="003158A3" w:rsidRPr="004F3CCA">
        <w:rPr>
          <w:rFonts w:ascii="Georgia" w:hAnsi="Georgia" w:cs="Arial"/>
          <w:lang w:val="es-CO"/>
        </w:rPr>
        <w:t xml:space="preserve">. </w:t>
      </w:r>
    </w:p>
    <w:p w:rsidR="003158A3" w:rsidRPr="00114609" w:rsidRDefault="003158A3" w:rsidP="003158A3">
      <w:pPr>
        <w:widowControl/>
        <w:autoSpaceDE/>
        <w:adjustRightInd/>
        <w:spacing w:line="360" w:lineRule="auto"/>
        <w:ind w:left="360"/>
        <w:jc w:val="both"/>
        <w:rPr>
          <w:rFonts w:ascii="Georgia" w:hAnsi="Georgia" w:cs="Arial"/>
          <w:lang w:val="es-CO"/>
        </w:rPr>
      </w:pPr>
    </w:p>
    <w:p w:rsidR="00C90241" w:rsidRPr="004F3CCA" w:rsidRDefault="00E23846" w:rsidP="00C90241">
      <w:pPr>
        <w:widowControl/>
        <w:numPr>
          <w:ilvl w:val="0"/>
          <w:numId w:val="40"/>
        </w:numPr>
        <w:tabs>
          <w:tab w:val="clear" w:pos="360"/>
          <w:tab w:val="num" w:pos="720"/>
        </w:tabs>
        <w:autoSpaceDE/>
        <w:adjustRightInd/>
        <w:spacing w:line="360" w:lineRule="auto"/>
        <w:jc w:val="both"/>
        <w:rPr>
          <w:rFonts w:ascii="Georgia" w:hAnsi="Georgia" w:cs="Arial"/>
          <w:lang w:val="es-CO"/>
        </w:rPr>
      </w:pPr>
      <w:r w:rsidRPr="004F3CCA">
        <w:rPr>
          <w:rFonts w:ascii="Georgia" w:hAnsi="Georgia" w:cs="Arial"/>
          <w:lang w:val="es-CO"/>
        </w:rPr>
        <w:t xml:space="preserve">DECLARAR improcedente </w:t>
      </w:r>
      <w:r w:rsidR="00364A1E" w:rsidRPr="004F3CCA">
        <w:rPr>
          <w:rFonts w:ascii="Georgia" w:hAnsi="Georgia" w:cs="Arial"/>
          <w:lang w:val="es-CO"/>
        </w:rPr>
        <w:t xml:space="preserve">la acción de tutela </w:t>
      </w:r>
      <w:r w:rsidRPr="004F3CCA">
        <w:rPr>
          <w:rFonts w:ascii="Georgia" w:hAnsi="Georgia" w:cs="Arial"/>
          <w:lang w:val="es-CO"/>
        </w:rPr>
        <w:t xml:space="preserve">propuesta por </w:t>
      </w:r>
      <w:r w:rsidR="00114609">
        <w:rPr>
          <w:rFonts w:ascii="Georgia" w:hAnsi="Georgia" w:cs="Arial"/>
          <w:lang w:val="es-CO"/>
        </w:rPr>
        <w:t>el señor</w:t>
      </w:r>
      <w:r w:rsidRPr="004F3CCA">
        <w:rPr>
          <w:rFonts w:ascii="Georgia" w:hAnsi="Georgia" w:cs="Arial"/>
          <w:lang w:val="es-CO"/>
        </w:rPr>
        <w:t xml:space="preserve"> </w:t>
      </w:r>
      <w:r w:rsidR="00114609">
        <w:rPr>
          <w:rFonts w:ascii="Georgia" w:hAnsi="Georgia" w:cs="Arial"/>
          <w:lang w:val="es-CO"/>
        </w:rPr>
        <w:t xml:space="preserve">Hernán Alonso Cortés Guerrero </w:t>
      </w:r>
      <w:r w:rsidRPr="004F3CCA">
        <w:rPr>
          <w:rFonts w:ascii="Georgia" w:hAnsi="Georgia" w:cs="Arial"/>
          <w:lang w:val="es-CO"/>
        </w:rPr>
        <w:t xml:space="preserve">contra </w:t>
      </w:r>
      <w:r w:rsidR="00114609">
        <w:rPr>
          <w:rFonts w:ascii="Georgia" w:hAnsi="Georgia" w:cs="Arial"/>
          <w:lang w:val="es-CO"/>
        </w:rPr>
        <w:t>el Juzgado Primero Civil Municipal de Pereira</w:t>
      </w:r>
      <w:r w:rsidR="00364A1E" w:rsidRPr="004F3CCA">
        <w:rPr>
          <w:rFonts w:ascii="Georgia" w:hAnsi="Georgia" w:cs="Arial"/>
          <w:lang w:val="es-CO"/>
        </w:rPr>
        <w:t>.</w:t>
      </w:r>
    </w:p>
    <w:p w:rsidR="0067134B" w:rsidRPr="00114609" w:rsidRDefault="0067134B" w:rsidP="0067134B">
      <w:pPr>
        <w:pStyle w:val="Paragraphedeliste"/>
        <w:rPr>
          <w:rFonts w:ascii="Georgia" w:hAnsi="Georgia" w:cs="Arial"/>
          <w:sz w:val="24"/>
        </w:rPr>
      </w:pPr>
    </w:p>
    <w:p w:rsidR="0067134B" w:rsidRPr="004F3CCA" w:rsidRDefault="0067134B" w:rsidP="0067134B">
      <w:pPr>
        <w:pStyle w:val="Corpsdetexte"/>
        <w:numPr>
          <w:ilvl w:val="0"/>
          <w:numId w:val="40"/>
        </w:numPr>
        <w:tabs>
          <w:tab w:val="clear" w:pos="708"/>
          <w:tab w:val="clear" w:pos="1416"/>
        </w:tabs>
        <w:spacing w:line="360" w:lineRule="auto"/>
        <w:rPr>
          <w:rFonts w:ascii="Georgia" w:hAnsi="Georgia"/>
          <w:sz w:val="24"/>
          <w:szCs w:val="24"/>
        </w:rPr>
      </w:pPr>
      <w:r w:rsidRPr="004F3CCA">
        <w:rPr>
          <w:rFonts w:ascii="Georgia" w:hAnsi="Georgia"/>
          <w:sz w:val="24"/>
          <w:szCs w:val="24"/>
        </w:rPr>
        <w:t>DECLARAR la carencia actual de objeto por el hecho superado.</w:t>
      </w:r>
    </w:p>
    <w:p w:rsidR="0067134B" w:rsidRPr="00114609" w:rsidRDefault="0067134B" w:rsidP="0067134B">
      <w:pPr>
        <w:pStyle w:val="Corpsdetexte"/>
        <w:tabs>
          <w:tab w:val="clear" w:pos="708"/>
          <w:tab w:val="clear" w:pos="1416"/>
          <w:tab w:val="left" w:pos="426"/>
        </w:tabs>
        <w:spacing w:line="360" w:lineRule="auto"/>
        <w:ind w:left="360"/>
        <w:textAlignment w:val="auto"/>
        <w:rPr>
          <w:rFonts w:ascii="Georgia" w:hAnsi="Georgia" w:cs="Arial"/>
          <w:sz w:val="24"/>
          <w:szCs w:val="24"/>
        </w:rPr>
      </w:pPr>
    </w:p>
    <w:p w:rsidR="003158A3" w:rsidRPr="004F3CCA"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Georgia" w:hAnsi="Georgia" w:cs="Arial"/>
          <w:sz w:val="24"/>
          <w:szCs w:val="24"/>
        </w:rPr>
      </w:pPr>
      <w:r w:rsidRPr="004F3CCA">
        <w:rPr>
          <w:rFonts w:ascii="Georgia" w:hAnsi="Georgia" w:cs="Arial"/>
          <w:sz w:val="24"/>
          <w:szCs w:val="24"/>
        </w:rPr>
        <w:t xml:space="preserve">REMITIR el expediente a la </w:t>
      </w:r>
      <w:r w:rsidR="00114609">
        <w:rPr>
          <w:rFonts w:ascii="Georgia" w:hAnsi="Georgia" w:cs="Arial"/>
          <w:sz w:val="24"/>
          <w:szCs w:val="24"/>
        </w:rPr>
        <w:t xml:space="preserve">CC </w:t>
      </w:r>
      <w:r w:rsidRPr="004F3CCA">
        <w:rPr>
          <w:rFonts w:ascii="Georgia" w:hAnsi="Georgia" w:cs="Arial"/>
          <w:sz w:val="24"/>
          <w:szCs w:val="24"/>
        </w:rPr>
        <w:t xml:space="preserve">para su eventual revisión. </w:t>
      </w:r>
    </w:p>
    <w:p w:rsidR="003913E3" w:rsidRPr="004F3CCA"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6"/>
          <w:lang w:val="es-ES_tradnl"/>
        </w:rPr>
      </w:pPr>
    </w:p>
    <w:p w:rsidR="003913E3" w:rsidRPr="004F3CCA" w:rsidRDefault="003913E3" w:rsidP="00F839CE">
      <w:pPr>
        <w:pStyle w:val="Corpsdetexte"/>
        <w:spacing w:line="360" w:lineRule="auto"/>
        <w:jc w:val="center"/>
        <w:rPr>
          <w:rFonts w:ascii="Georgia" w:hAnsi="Georgia"/>
          <w:smallCaps/>
          <w:sz w:val="22"/>
          <w:szCs w:val="24"/>
          <w:lang w:val="en-US"/>
        </w:rPr>
      </w:pPr>
      <w:proofErr w:type="spellStart"/>
      <w:r w:rsidRPr="004F3CCA">
        <w:rPr>
          <w:rFonts w:ascii="Georgia" w:hAnsi="Georgia"/>
          <w:smallCaps/>
          <w:sz w:val="24"/>
          <w:szCs w:val="24"/>
          <w:lang w:val="en-US"/>
        </w:rPr>
        <w:t>Notifíquese</w:t>
      </w:r>
      <w:proofErr w:type="spellEnd"/>
      <w:r w:rsidRPr="004F3CCA">
        <w:rPr>
          <w:rFonts w:ascii="Georgia" w:hAnsi="Georgia"/>
          <w:smallCaps/>
          <w:sz w:val="24"/>
          <w:szCs w:val="24"/>
          <w:lang w:val="en-US"/>
        </w:rPr>
        <w:t>,</w:t>
      </w:r>
    </w:p>
    <w:p w:rsidR="006663F5" w:rsidRPr="004F3CC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6"/>
          <w:lang w:val="en-GB"/>
        </w:rPr>
      </w:pPr>
    </w:p>
    <w:p w:rsidR="006663F5" w:rsidRPr="004F3CC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32"/>
          <w:lang w:val="en-GB"/>
        </w:rPr>
      </w:pPr>
    </w:p>
    <w:p w:rsidR="006663F5" w:rsidRPr="002E011F"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GB"/>
        </w:rPr>
      </w:pPr>
      <w:proofErr w:type="spellStart"/>
      <w:r w:rsidRPr="002E011F">
        <w:rPr>
          <w:rFonts w:ascii="Georgia" w:hAnsi="Georgia" w:cs="Arial"/>
          <w:i/>
          <w:spacing w:val="-3"/>
          <w:w w:val="150"/>
          <w:sz w:val="32"/>
          <w:szCs w:val="18"/>
          <w:lang w:val="en-GB"/>
        </w:rPr>
        <w:t>D</w:t>
      </w:r>
      <w:r w:rsidRPr="002E011F">
        <w:rPr>
          <w:rFonts w:ascii="Georgia" w:hAnsi="Georgia" w:cs="Arial"/>
          <w:i/>
          <w:spacing w:val="-3"/>
          <w:w w:val="150"/>
          <w:sz w:val="18"/>
          <w:szCs w:val="18"/>
          <w:lang w:val="en-GB"/>
        </w:rPr>
        <w:t>UBERNEY</w:t>
      </w:r>
      <w:proofErr w:type="spellEnd"/>
      <w:r w:rsidRPr="002E011F">
        <w:rPr>
          <w:rFonts w:ascii="Georgia" w:hAnsi="Georgia" w:cs="Arial"/>
          <w:i/>
          <w:spacing w:val="-3"/>
          <w:w w:val="150"/>
          <w:sz w:val="18"/>
          <w:szCs w:val="18"/>
          <w:lang w:val="en-GB"/>
        </w:rPr>
        <w:t xml:space="preserve"> </w:t>
      </w:r>
      <w:proofErr w:type="spellStart"/>
      <w:r w:rsidRPr="002E011F">
        <w:rPr>
          <w:rFonts w:ascii="Georgia" w:hAnsi="Georgia" w:cs="Arial"/>
          <w:i/>
          <w:spacing w:val="-3"/>
          <w:w w:val="150"/>
          <w:sz w:val="28"/>
          <w:szCs w:val="18"/>
          <w:lang w:val="en-GB"/>
        </w:rPr>
        <w:t>G</w:t>
      </w:r>
      <w:r w:rsidRPr="002E011F">
        <w:rPr>
          <w:rFonts w:ascii="Georgia" w:hAnsi="Georgia" w:cs="Arial"/>
          <w:i/>
          <w:spacing w:val="-3"/>
          <w:w w:val="150"/>
          <w:sz w:val="18"/>
          <w:szCs w:val="18"/>
          <w:lang w:val="en-GB"/>
        </w:rPr>
        <w:t>RISALES</w:t>
      </w:r>
      <w:proofErr w:type="spellEnd"/>
      <w:r w:rsidRPr="002E011F">
        <w:rPr>
          <w:rFonts w:ascii="Georgia" w:hAnsi="Georgia" w:cs="Arial"/>
          <w:i/>
          <w:spacing w:val="-3"/>
          <w:w w:val="150"/>
          <w:sz w:val="18"/>
          <w:szCs w:val="18"/>
          <w:lang w:val="en-GB"/>
        </w:rPr>
        <w:t xml:space="preserve"> </w:t>
      </w:r>
      <w:r w:rsidRPr="002E011F">
        <w:rPr>
          <w:rFonts w:ascii="Georgia" w:hAnsi="Georgia" w:cs="Arial"/>
          <w:i/>
          <w:spacing w:val="-3"/>
          <w:w w:val="150"/>
          <w:sz w:val="28"/>
          <w:szCs w:val="18"/>
          <w:lang w:val="en-GB"/>
        </w:rPr>
        <w:t>H</w:t>
      </w:r>
      <w:r w:rsidRPr="002E011F">
        <w:rPr>
          <w:rFonts w:ascii="Georgia" w:hAnsi="Georgia" w:cs="Arial"/>
          <w:i/>
          <w:spacing w:val="-3"/>
          <w:w w:val="150"/>
          <w:sz w:val="18"/>
          <w:szCs w:val="18"/>
          <w:lang w:val="en-GB"/>
        </w:rPr>
        <w:t>ERRERA</w:t>
      </w:r>
    </w:p>
    <w:p w:rsidR="006663F5" w:rsidRPr="002E011F"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GB"/>
        </w:rPr>
      </w:pPr>
      <w:r w:rsidRPr="002E011F">
        <w:rPr>
          <w:rFonts w:ascii="Georgia" w:hAnsi="Georgia" w:cs="Arial"/>
          <w:i/>
          <w:spacing w:val="-3"/>
          <w:w w:val="150"/>
          <w:sz w:val="32"/>
          <w:lang w:val="en-GB"/>
        </w:rPr>
        <w:t>M</w:t>
      </w:r>
      <w:r w:rsidRPr="002E011F">
        <w:rPr>
          <w:rFonts w:ascii="Georgia" w:hAnsi="Georgia" w:cs="Arial"/>
          <w:i/>
          <w:spacing w:val="-3"/>
          <w:w w:val="150"/>
          <w:sz w:val="16"/>
          <w:lang w:val="en-GB"/>
        </w:rPr>
        <w:t xml:space="preserve"> </w:t>
      </w:r>
      <w:r w:rsidRPr="002E011F">
        <w:rPr>
          <w:rFonts w:ascii="Georgia" w:hAnsi="Georgia" w:cs="Arial"/>
          <w:i/>
          <w:spacing w:val="-3"/>
          <w:w w:val="150"/>
          <w:sz w:val="18"/>
          <w:szCs w:val="20"/>
          <w:lang w:val="en-GB"/>
        </w:rPr>
        <w:t>A G I S T R A D O</w:t>
      </w:r>
    </w:p>
    <w:p w:rsidR="006663F5" w:rsidRPr="002E011F"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
          <w:lang w:val="en-GB"/>
        </w:rPr>
      </w:pPr>
    </w:p>
    <w:p w:rsidR="006663F5" w:rsidRPr="002E011F"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lang w:val="en-GB"/>
        </w:rPr>
      </w:pPr>
    </w:p>
    <w:p w:rsidR="00C90241" w:rsidRPr="002E011F" w:rsidRDefault="00C90241"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6"/>
          <w:lang w:val="en-GB"/>
        </w:rPr>
      </w:pPr>
    </w:p>
    <w:p w:rsidR="006663F5" w:rsidRPr="002E011F"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lang w:val="en-GB"/>
        </w:rPr>
      </w:pPr>
    </w:p>
    <w:p w:rsidR="00E23846" w:rsidRPr="004F3CCA"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proofErr w:type="spellStart"/>
      <w:proofErr w:type="gramStart"/>
      <w:r w:rsidRPr="004F3CCA">
        <w:rPr>
          <w:rFonts w:ascii="Georgia" w:hAnsi="Georgia"/>
          <w:i/>
          <w:w w:val="150"/>
          <w:sz w:val="28"/>
          <w:szCs w:val="18"/>
          <w:lang w:val="en-US"/>
        </w:rPr>
        <w:t>E</w:t>
      </w:r>
      <w:r w:rsidRPr="004F3CCA">
        <w:rPr>
          <w:rFonts w:ascii="Georgia" w:hAnsi="Georgia"/>
          <w:i/>
          <w:w w:val="150"/>
          <w:sz w:val="18"/>
          <w:szCs w:val="18"/>
          <w:lang w:val="en-US"/>
        </w:rPr>
        <w:t>DDER</w:t>
      </w:r>
      <w:proofErr w:type="spellEnd"/>
      <w:r w:rsidRPr="004F3CCA">
        <w:rPr>
          <w:rFonts w:ascii="Georgia" w:hAnsi="Georgia"/>
          <w:i/>
          <w:w w:val="150"/>
          <w:sz w:val="18"/>
          <w:lang w:val="en-US"/>
        </w:rPr>
        <w:t xml:space="preserve"> </w:t>
      </w:r>
      <w:r w:rsidRPr="004F3CCA">
        <w:rPr>
          <w:rFonts w:ascii="Georgia" w:hAnsi="Georgia"/>
          <w:i/>
          <w:w w:val="150"/>
          <w:sz w:val="28"/>
          <w:lang w:val="en-US"/>
        </w:rPr>
        <w:t>J</w:t>
      </w:r>
      <w:r w:rsidRPr="004F3CCA">
        <w:rPr>
          <w:rFonts w:ascii="Georgia" w:hAnsi="Georgia"/>
          <w:i/>
          <w:w w:val="150"/>
          <w:sz w:val="18"/>
          <w:szCs w:val="18"/>
          <w:lang w:val="en-US"/>
        </w:rPr>
        <w:t xml:space="preserve">IMMY </w:t>
      </w:r>
      <w:r w:rsidRPr="004F3CCA">
        <w:rPr>
          <w:rFonts w:ascii="Georgia" w:hAnsi="Georgia"/>
          <w:i/>
          <w:w w:val="150"/>
          <w:sz w:val="28"/>
          <w:lang w:val="en-US"/>
        </w:rPr>
        <w:t>S</w:t>
      </w:r>
      <w:r w:rsidRPr="004F3CCA">
        <w:rPr>
          <w:rFonts w:ascii="Georgia" w:hAnsi="Georgia"/>
          <w:i/>
          <w:w w:val="150"/>
          <w:sz w:val="18"/>
          <w:szCs w:val="18"/>
          <w:lang w:val="en-US"/>
        </w:rPr>
        <w:t xml:space="preserve">ÁNCHEZ </w:t>
      </w:r>
      <w:r w:rsidRPr="004F3CCA">
        <w:rPr>
          <w:rFonts w:ascii="Georgia" w:hAnsi="Georgia"/>
          <w:i/>
          <w:w w:val="150"/>
          <w:sz w:val="28"/>
          <w:szCs w:val="18"/>
          <w:lang w:val="en-US"/>
        </w:rPr>
        <w:t>C.</w:t>
      </w:r>
      <w:proofErr w:type="gramEnd"/>
      <w:r w:rsidRPr="004F3CCA">
        <w:rPr>
          <w:rFonts w:ascii="Georgia" w:hAnsi="Georgia"/>
          <w:i/>
          <w:w w:val="150"/>
          <w:sz w:val="28"/>
          <w:szCs w:val="18"/>
          <w:lang w:val="en-US"/>
        </w:rPr>
        <w:tab/>
      </w:r>
      <w:r w:rsidRPr="004F3CCA">
        <w:rPr>
          <w:rFonts w:ascii="Georgia" w:hAnsi="Georgia"/>
          <w:i/>
          <w:w w:val="150"/>
          <w:sz w:val="28"/>
          <w:szCs w:val="18"/>
          <w:lang w:val="en-US"/>
        </w:rPr>
        <w:tab/>
      </w:r>
      <w:r w:rsidRPr="004F3CCA">
        <w:rPr>
          <w:rFonts w:ascii="Georgia" w:hAnsi="Georgia" w:cs="Arial"/>
          <w:i/>
          <w:spacing w:val="-3"/>
          <w:w w:val="150"/>
          <w:sz w:val="28"/>
          <w:szCs w:val="18"/>
          <w:lang w:val="en-US"/>
        </w:rPr>
        <w:t>J</w:t>
      </w:r>
      <w:r w:rsidRPr="004F3CCA">
        <w:rPr>
          <w:rFonts w:ascii="Georgia" w:hAnsi="Georgia" w:cs="Arial"/>
          <w:i/>
          <w:spacing w:val="-3"/>
          <w:w w:val="150"/>
          <w:sz w:val="18"/>
          <w:szCs w:val="18"/>
          <w:lang w:val="en-US"/>
        </w:rPr>
        <w:t xml:space="preserve">AIME </w:t>
      </w:r>
      <w:r w:rsidRPr="004F3CCA">
        <w:rPr>
          <w:rFonts w:ascii="Georgia" w:hAnsi="Georgia" w:cs="Arial"/>
          <w:i/>
          <w:spacing w:val="-3"/>
          <w:w w:val="150"/>
          <w:sz w:val="28"/>
          <w:szCs w:val="18"/>
          <w:lang w:val="en-US"/>
        </w:rPr>
        <w:t>A</w:t>
      </w:r>
      <w:r w:rsidRPr="004F3CCA">
        <w:rPr>
          <w:rFonts w:ascii="Georgia" w:hAnsi="Georgia"/>
          <w:i/>
          <w:w w:val="150"/>
          <w:sz w:val="18"/>
          <w:szCs w:val="18"/>
          <w:lang w:val="en-US"/>
        </w:rPr>
        <w:t xml:space="preserve">LBERTO </w:t>
      </w:r>
      <w:r w:rsidRPr="004F3CCA">
        <w:rPr>
          <w:rFonts w:ascii="Georgia" w:hAnsi="Georgia" w:cs="Arial"/>
          <w:i/>
          <w:spacing w:val="-3"/>
          <w:w w:val="150"/>
          <w:sz w:val="28"/>
          <w:szCs w:val="18"/>
          <w:lang w:val="en-US"/>
        </w:rPr>
        <w:t>S</w:t>
      </w:r>
      <w:r w:rsidRPr="004F3CCA">
        <w:rPr>
          <w:rFonts w:ascii="Georgia" w:hAnsi="Georgia" w:cs="Arial"/>
          <w:i/>
          <w:spacing w:val="-3"/>
          <w:w w:val="150"/>
          <w:sz w:val="18"/>
          <w:szCs w:val="16"/>
          <w:lang w:val="en-US"/>
        </w:rPr>
        <w:t xml:space="preserve">ARAZA </w:t>
      </w:r>
      <w:r w:rsidRPr="004F3CCA">
        <w:rPr>
          <w:rFonts w:ascii="Georgia" w:hAnsi="Georgia" w:cs="Arial"/>
          <w:i/>
          <w:spacing w:val="-3"/>
          <w:w w:val="150"/>
          <w:sz w:val="28"/>
          <w:szCs w:val="18"/>
          <w:lang w:val="en-US"/>
        </w:rPr>
        <w:t>N.</w:t>
      </w:r>
    </w:p>
    <w:p w:rsidR="00114609" w:rsidRDefault="00E23846" w:rsidP="00860B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4F3CCA">
        <w:rPr>
          <w:rFonts w:ascii="Georgia" w:hAnsi="Georgia" w:cs="Arial"/>
          <w:i/>
          <w:w w:val="150"/>
          <w:sz w:val="28"/>
          <w:lang w:val="en-US"/>
        </w:rPr>
        <w:tab/>
      </w:r>
      <w:r w:rsidRPr="004F3CCA">
        <w:rPr>
          <w:rFonts w:ascii="Georgia" w:hAnsi="Georgia" w:cs="Arial"/>
          <w:i/>
          <w:w w:val="150"/>
          <w:sz w:val="28"/>
          <w:lang w:val="en-GB"/>
        </w:rPr>
        <w:t>M</w:t>
      </w:r>
      <w:r w:rsidRPr="004F3CCA">
        <w:rPr>
          <w:rFonts w:ascii="Georgia" w:hAnsi="Georgia" w:cs="Arial"/>
          <w:i/>
          <w:w w:val="150"/>
          <w:sz w:val="18"/>
          <w:lang w:val="en-GB"/>
        </w:rPr>
        <w:t xml:space="preserve"> A G I S T R A D O </w:t>
      </w:r>
      <w:r w:rsidRPr="004F3CCA">
        <w:rPr>
          <w:rFonts w:ascii="Georgia" w:hAnsi="Georgia" w:cs="Arial"/>
          <w:i/>
          <w:w w:val="150"/>
          <w:sz w:val="18"/>
          <w:lang w:val="en-GB"/>
        </w:rPr>
        <w:tab/>
      </w:r>
      <w:r w:rsidRPr="004F3CCA">
        <w:rPr>
          <w:rFonts w:ascii="Georgia" w:hAnsi="Georgia" w:cs="Arial"/>
          <w:i/>
          <w:w w:val="150"/>
          <w:sz w:val="18"/>
          <w:lang w:val="en-GB"/>
        </w:rPr>
        <w:tab/>
      </w:r>
      <w:r w:rsidRPr="004F3CCA">
        <w:rPr>
          <w:rFonts w:ascii="Georgia" w:hAnsi="Georgia" w:cs="Arial"/>
          <w:i/>
          <w:w w:val="150"/>
          <w:sz w:val="18"/>
          <w:lang w:val="en-GB"/>
        </w:rPr>
        <w:tab/>
      </w:r>
      <w:r w:rsidRPr="004F3CCA">
        <w:rPr>
          <w:rFonts w:ascii="Georgia" w:hAnsi="Georgia" w:cs="Arial"/>
          <w:i/>
          <w:w w:val="150"/>
          <w:sz w:val="18"/>
          <w:lang w:val="en-GB"/>
        </w:rPr>
        <w:tab/>
      </w:r>
      <w:r w:rsidRPr="004F3CCA">
        <w:rPr>
          <w:rFonts w:ascii="Georgia" w:hAnsi="Georgia" w:cs="Arial"/>
          <w:i/>
          <w:w w:val="150"/>
          <w:sz w:val="28"/>
          <w:lang w:val="en-GB"/>
        </w:rPr>
        <w:t>M</w:t>
      </w:r>
      <w:r w:rsidRPr="004F3CCA">
        <w:rPr>
          <w:rFonts w:ascii="Georgia" w:hAnsi="Georgia" w:cs="Arial"/>
          <w:i/>
          <w:w w:val="150"/>
          <w:sz w:val="18"/>
          <w:lang w:val="en-GB"/>
        </w:rPr>
        <w:t xml:space="preserve"> A G I S T R A D O</w:t>
      </w:r>
    </w:p>
    <w:p w:rsidR="00CF3E07" w:rsidRPr="00CF3E07" w:rsidRDefault="00CF3E07" w:rsidP="00CF3E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r w:rsidRPr="00CF3E07">
        <w:rPr>
          <w:rFonts w:ascii="Georgia" w:hAnsi="Georgia" w:cs="Arial"/>
          <w:i/>
          <w:w w:val="150"/>
          <w:sz w:val="12"/>
          <w:lang w:val="en-GB"/>
        </w:rPr>
        <w:t>DGH/ODCD/2018</w:t>
      </w:r>
    </w:p>
    <w:p w:rsidR="00170C5C" w:rsidRPr="004F3CCA" w:rsidRDefault="00170C5C" w:rsidP="00E85CD4">
      <w:pPr>
        <w:widowControl/>
        <w:autoSpaceDE/>
        <w:autoSpaceDN/>
        <w:adjustRightInd/>
        <w:rPr>
          <w:rFonts w:ascii="Georgia" w:hAnsi="Georgia" w:cs="Arial"/>
          <w:i/>
          <w:w w:val="150"/>
          <w:sz w:val="18"/>
          <w:lang w:val="en-GB"/>
        </w:rPr>
      </w:pPr>
    </w:p>
    <w:sectPr w:rsidR="00170C5C" w:rsidRPr="004F3CCA" w:rsidSect="00192453">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CF" w:rsidRDefault="00F34CCF" w:rsidP="002F20AB">
      <w:r>
        <w:separator/>
      </w:r>
    </w:p>
  </w:endnote>
  <w:endnote w:type="continuationSeparator" w:id="0">
    <w:p w:rsidR="00F34CCF" w:rsidRDefault="00F34CC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4F3CCA" w:rsidRDefault="003913E3">
    <w:pPr>
      <w:pStyle w:val="Pieddepage"/>
      <w:framePr w:wrap="around" w:vAnchor="text" w:hAnchor="margin" w:xAlign="right" w:y="1"/>
      <w:rPr>
        <w:rStyle w:val="Numrodepage"/>
        <w:rFonts w:ascii="Georgia" w:hAnsi="Georgia" w:cs="Verdana"/>
      </w:rPr>
    </w:pPr>
    <w:r w:rsidRPr="004F3CCA">
      <w:rPr>
        <w:rStyle w:val="Numrodepage"/>
        <w:rFonts w:ascii="Georgia" w:hAnsi="Georgia" w:cs="Verdana"/>
      </w:rPr>
      <w:fldChar w:fldCharType="begin"/>
    </w:r>
    <w:r w:rsidRPr="004F3CCA">
      <w:rPr>
        <w:rStyle w:val="Numrodepage"/>
        <w:rFonts w:ascii="Georgia" w:hAnsi="Georgia" w:cs="Verdana"/>
      </w:rPr>
      <w:instrText xml:space="preserve">PAGE  </w:instrText>
    </w:r>
    <w:r w:rsidRPr="004F3CCA">
      <w:rPr>
        <w:rStyle w:val="Numrodepage"/>
        <w:rFonts w:ascii="Georgia" w:hAnsi="Georgia" w:cs="Verdana"/>
      </w:rPr>
      <w:fldChar w:fldCharType="separate"/>
    </w:r>
    <w:r w:rsidRPr="004F3CCA">
      <w:rPr>
        <w:rStyle w:val="Numrodepage"/>
        <w:rFonts w:ascii="Georgia" w:hAnsi="Georgia" w:cs="Verdana"/>
        <w:noProof/>
      </w:rPr>
      <w:t>10</w:t>
    </w:r>
    <w:r w:rsidRPr="004F3CCA">
      <w:rPr>
        <w:rStyle w:val="Numrodepage"/>
        <w:rFonts w:ascii="Georgia" w:hAnsi="Georgia" w:cs="Verdana"/>
      </w:rPr>
      <w:fldChar w:fldCharType="end"/>
    </w:r>
  </w:p>
  <w:p w:rsidR="003913E3" w:rsidRPr="004F3CCA" w:rsidRDefault="003913E3">
    <w:pPr>
      <w:pStyle w:val="Pieddepage"/>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CF3E07" w:rsidRDefault="003913E3" w:rsidP="00A67268">
    <w:pPr>
      <w:pStyle w:val="Pieddepage"/>
      <w:pBdr>
        <w:bottom w:val="double" w:sz="6" w:space="1" w:color="auto"/>
      </w:pBdr>
      <w:spacing w:line="360" w:lineRule="auto"/>
      <w:rPr>
        <w:rFonts w:ascii="Georgia" w:hAnsi="Georgia" w:cs="Arial"/>
        <w:spacing w:val="20"/>
        <w:w w:val="200"/>
        <w:sz w:val="8"/>
        <w:szCs w:val="10"/>
        <w:lang w:val="es-ES"/>
      </w:rPr>
    </w:pPr>
  </w:p>
  <w:p w:rsidR="003913E3" w:rsidRPr="004F3CCA" w:rsidRDefault="003913E3" w:rsidP="00751EE2">
    <w:pPr>
      <w:pStyle w:val="Pieddepage"/>
      <w:spacing w:line="360" w:lineRule="auto"/>
      <w:jc w:val="right"/>
      <w:rPr>
        <w:rFonts w:ascii="Georgia" w:hAnsi="Georgia" w:cs="Arial"/>
        <w:spacing w:val="20"/>
        <w:w w:val="200"/>
        <w:sz w:val="14"/>
        <w:szCs w:val="10"/>
      </w:rPr>
    </w:pPr>
  </w:p>
  <w:p w:rsidR="003913E3" w:rsidRPr="004F3CCA" w:rsidRDefault="003913E3" w:rsidP="00751EE2">
    <w:pPr>
      <w:pStyle w:val="Pieddepage"/>
      <w:spacing w:line="360" w:lineRule="auto"/>
      <w:jc w:val="right"/>
      <w:rPr>
        <w:rFonts w:ascii="Georgia" w:hAnsi="Georgia" w:cs="Arial"/>
        <w:spacing w:val="20"/>
        <w:w w:val="200"/>
        <w:sz w:val="10"/>
        <w:szCs w:val="10"/>
        <w:lang w:val="es-ES"/>
      </w:rPr>
    </w:pPr>
    <w:r w:rsidRPr="004F3CCA">
      <w:rPr>
        <w:rFonts w:ascii="Georgia" w:hAnsi="Georgia" w:cs="Arial"/>
        <w:spacing w:val="20"/>
        <w:w w:val="200"/>
        <w:sz w:val="14"/>
        <w:szCs w:val="10"/>
        <w:lang w:val="es-ES"/>
      </w:rPr>
      <w:t>T</w:t>
    </w:r>
    <w:r w:rsidRPr="004F3CCA">
      <w:rPr>
        <w:rFonts w:ascii="Georgia" w:hAnsi="Georgia" w:cs="Arial"/>
        <w:spacing w:val="20"/>
        <w:w w:val="200"/>
        <w:sz w:val="10"/>
        <w:szCs w:val="10"/>
        <w:lang w:val="es-ES"/>
      </w:rPr>
      <w:t xml:space="preserve">RIBUNAL </w:t>
    </w:r>
    <w:r w:rsidRPr="004F3CCA">
      <w:rPr>
        <w:rFonts w:ascii="Georgia" w:hAnsi="Georgia" w:cs="Arial"/>
        <w:spacing w:val="20"/>
        <w:w w:val="200"/>
        <w:sz w:val="14"/>
        <w:szCs w:val="10"/>
        <w:lang w:val="es-ES"/>
      </w:rPr>
      <w:t>S</w:t>
    </w:r>
    <w:r w:rsidRPr="004F3CCA">
      <w:rPr>
        <w:rFonts w:ascii="Georgia" w:hAnsi="Georgia" w:cs="Arial"/>
        <w:spacing w:val="20"/>
        <w:w w:val="200"/>
        <w:sz w:val="10"/>
        <w:szCs w:val="10"/>
        <w:lang w:val="es-ES"/>
      </w:rPr>
      <w:t xml:space="preserve">UPERIOR DE </w:t>
    </w:r>
    <w:r w:rsidRPr="004F3CCA">
      <w:rPr>
        <w:rFonts w:ascii="Georgia" w:hAnsi="Georgia" w:cs="Arial"/>
        <w:spacing w:val="20"/>
        <w:w w:val="200"/>
        <w:sz w:val="14"/>
        <w:szCs w:val="10"/>
        <w:lang w:val="es-ES"/>
      </w:rPr>
      <w:t>P</w:t>
    </w:r>
    <w:r w:rsidRPr="004F3CCA">
      <w:rPr>
        <w:rFonts w:ascii="Georgia" w:hAnsi="Georgia" w:cs="Arial"/>
        <w:spacing w:val="20"/>
        <w:w w:val="200"/>
        <w:sz w:val="10"/>
        <w:szCs w:val="10"/>
        <w:lang w:val="es-ES"/>
      </w:rPr>
      <w:t>EREIRA</w:t>
    </w:r>
  </w:p>
  <w:p w:rsidR="003913E3" w:rsidRPr="004F3CCA" w:rsidRDefault="003913E3" w:rsidP="00751EE2">
    <w:pPr>
      <w:pStyle w:val="Pieddepage"/>
      <w:jc w:val="right"/>
      <w:rPr>
        <w:rFonts w:ascii="Georgia" w:hAnsi="Georgia"/>
        <w:lang w:val="es-ES"/>
      </w:rPr>
    </w:pPr>
    <w:r w:rsidRPr="004F3CCA">
      <w:rPr>
        <w:rFonts w:ascii="Georgia" w:hAnsi="Georgia" w:cs="Arial"/>
        <w:spacing w:val="20"/>
        <w:w w:val="200"/>
        <w:sz w:val="10"/>
        <w:szCs w:val="10"/>
        <w:lang w:val="es-ES"/>
      </w:rPr>
      <w:t xml:space="preserve">MP </w:t>
    </w:r>
    <w:r w:rsidRPr="004F3CCA">
      <w:rPr>
        <w:rFonts w:ascii="Georgia" w:hAnsi="Georgia" w:cs="Arial"/>
        <w:spacing w:val="20"/>
        <w:w w:val="200"/>
        <w:sz w:val="12"/>
        <w:szCs w:val="10"/>
        <w:lang w:val="es-ES"/>
      </w:rPr>
      <w:t>D</w:t>
    </w:r>
    <w:r w:rsidRPr="004F3CCA">
      <w:rPr>
        <w:rFonts w:ascii="Georgia" w:hAnsi="Georgia" w:cs="Arial"/>
        <w:spacing w:val="20"/>
        <w:w w:val="200"/>
        <w:sz w:val="8"/>
        <w:szCs w:val="10"/>
        <w:lang w:val="es-ES"/>
      </w:rPr>
      <w:t>UBERNEY</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G</w:t>
    </w:r>
    <w:r w:rsidRPr="004F3CCA">
      <w:rPr>
        <w:rFonts w:ascii="Georgia" w:hAnsi="Georgia" w:cs="Arial"/>
        <w:spacing w:val="20"/>
        <w:w w:val="200"/>
        <w:sz w:val="8"/>
        <w:szCs w:val="10"/>
        <w:lang w:val="es-ES"/>
      </w:rPr>
      <w:t>RISALES</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H</w:t>
    </w:r>
    <w:r w:rsidRPr="004F3CCA">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C53999" w:rsidRDefault="003913E3"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CF" w:rsidRDefault="00F34CCF" w:rsidP="002F20AB">
      <w:r>
        <w:separator/>
      </w:r>
    </w:p>
  </w:footnote>
  <w:footnote w:type="continuationSeparator" w:id="0">
    <w:p w:rsidR="00F34CCF" w:rsidRDefault="00F34CCF" w:rsidP="002F20AB">
      <w:r>
        <w:continuationSeparator/>
      </w:r>
    </w:p>
  </w:footnote>
  <w:footnote w:id="1">
    <w:p w:rsidR="00A0480D" w:rsidRPr="002E011F" w:rsidRDefault="00A0480D" w:rsidP="00A0480D">
      <w:pPr>
        <w:pStyle w:val="Notedebasdepage"/>
        <w:ind w:left="142" w:hanging="142"/>
        <w:jc w:val="both"/>
        <w:rPr>
          <w:lang w:val="es-ES"/>
        </w:rPr>
      </w:pPr>
      <w:r w:rsidRPr="00FA15F8">
        <w:rPr>
          <w:rStyle w:val="Appelnotedebasdep"/>
        </w:rPr>
        <w:footnoteRef/>
      </w:r>
      <w:r w:rsidRPr="002E011F">
        <w:rPr>
          <w:lang w:val="es-ES"/>
        </w:rPr>
        <w:t xml:space="preserve"> QUINCHE R., Manuel F. Vías de hecho, acción de tutela contra providencias, Temis </w:t>
      </w:r>
      <w:proofErr w:type="spellStart"/>
      <w:r w:rsidRPr="002E011F">
        <w:rPr>
          <w:lang w:val="es-ES"/>
        </w:rPr>
        <w:t>SA</w:t>
      </w:r>
      <w:proofErr w:type="spellEnd"/>
      <w:r w:rsidRPr="002E011F">
        <w:rPr>
          <w:lang w:val="es-ES"/>
        </w:rPr>
        <w:t xml:space="preserve">, Bogotá, 2013,    </w:t>
      </w:r>
      <w:proofErr w:type="spellStart"/>
      <w:r w:rsidRPr="002E011F">
        <w:rPr>
          <w:lang w:val="es-ES"/>
        </w:rPr>
        <w:t>p.103</w:t>
      </w:r>
      <w:proofErr w:type="spellEnd"/>
      <w:r w:rsidRPr="002E011F">
        <w:rPr>
          <w:lang w:val="es-ES"/>
        </w:rPr>
        <w:t>.</w:t>
      </w:r>
    </w:p>
  </w:footnote>
  <w:footnote w:id="2">
    <w:p w:rsidR="00A0480D" w:rsidRPr="002E011F" w:rsidRDefault="00A0480D" w:rsidP="00A0480D">
      <w:pPr>
        <w:pStyle w:val="Notedebasdepage"/>
        <w:ind w:left="142" w:hanging="142"/>
        <w:jc w:val="both"/>
        <w:rPr>
          <w:lang w:val="es-ES"/>
        </w:rPr>
      </w:pPr>
      <w:r w:rsidRPr="00FA15F8">
        <w:rPr>
          <w:rStyle w:val="Appelnotedebasdep"/>
        </w:rPr>
        <w:footnoteRef/>
      </w:r>
      <w:r w:rsidRPr="002E011F">
        <w:rPr>
          <w:lang w:val="es-ES"/>
        </w:rPr>
        <w:t xml:space="preserve"> QUIROGA N., Édgar A. Tutela contra decisiones judiciales, Universidad Santo Tomás y editorial Ibáñez, Bogotá  DC, 2014, </w:t>
      </w:r>
      <w:proofErr w:type="spellStart"/>
      <w:r w:rsidRPr="002E011F">
        <w:rPr>
          <w:lang w:val="es-ES"/>
        </w:rPr>
        <w:t>p.83</w:t>
      </w:r>
      <w:proofErr w:type="spellEnd"/>
      <w:r w:rsidRPr="002E011F">
        <w:rPr>
          <w:lang w:val="es-ES"/>
        </w:rPr>
        <w:t>.</w:t>
      </w:r>
    </w:p>
  </w:footnote>
  <w:footnote w:id="3">
    <w:p w:rsidR="00A0480D" w:rsidRPr="002E011F" w:rsidRDefault="00A0480D" w:rsidP="00A0480D">
      <w:pPr>
        <w:pStyle w:val="Notedebasdepage"/>
        <w:jc w:val="both"/>
        <w:rPr>
          <w:lang w:val="fr-FR"/>
        </w:rPr>
      </w:pPr>
      <w:r w:rsidRPr="00FA15F8">
        <w:rPr>
          <w:rStyle w:val="Appelnotedebasdep"/>
        </w:rPr>
        <w:footnoteRef/>
      </w:r>
      <w:r w:rsidRPr="002E011F">
        <w:rPr>
          <w:lang w:val="fr-FR"/>
        </w:rPr>
        <w:t xml:space="preserve"> CC. T-917 de 2011.</w:t>
      </w:r>
    </w:p>
  </w:footnote>
  <w:footnote w:id="4">
    <w:p w:rsidR="00A0480D" w:rsidRPr="002E011F" w:rsidRDefault="00A0480D" w:rsidP="00A0480D">
      <w:pPr>
        <w:pStyle w:val="Notedebasdepage"/>
        <w:jc w:val="both"/>
        <w:rPr>
          <w:lang w:val="fr-FR"/>
        </w:rPr>
      </w:pPr>
      <w:r w:rsidRPr="00FA15F8">
        <w:rPr>
          <w:rStyle w:val="Appelnotedebasdep"/>
        </w:rPr>
        <w:footnoteRef/>
      </w:r>
      <w:r w:rsidRPr="002E011F">
        <w:rPr>
          <w:lang w:val="fr-FR"/>
        </w:rPr>
        <w:t xml:space="preserve"> CC. C-590 de 2005.</w:t>
      </w:r>
    </w:p>
  </w:footnote>
  <w:footnote w:id="5">
    <w:p w:rsidR="00A0480D" w:rsidRPr="002E011F" w:rsidRDefault="00A0480D" w:rsidP="00A0480D">
      <w:pPr>
        <w:pStyle w:val="Notedebasdepage"/>
        <w:jc w:val="both"/>
        <w:rPr>
          <w:lang w:val="fr-FR"/>
        </w:rPr>
      </w:pPr>
      <w:r w:rsidRPr="00FA15F8">
        <w:rPr>
          <w:rStyle w:val="Appelnotedebasdep"/>
        </w:rPr>
        <w:footnoteRef/>
      </w:r>
      <w:r w:rsidRPr="002E011F">
        <w:rPr>
          <w:lang w:val="fr-FR"/>
        </w:rPr>
        <w:t xml:space="preserve"> CC. </w:t>
      </w:r>
      <w:proofErr w:type="spellStart"/>
      <w:r w:rsidRPr="002E011F">
        <w:rPr>
          <w:bCs/>
          <w:lang w:val="fr-FR"/>
        </w:rPr>
        <w:t>SU-222</w:t>
      </w:r>
      <w:proofErr w:type="spellEnd"/>
      <w:r w:rsidRPr="002E011F">
        <w:rPr>
          <w:bCs/>
          <w:lang w:val="fr-FR"/>
        </w:rPr>
        <w:t xml:space="preserve"> de 2016</w:t>
      </w:r>
      <w:r w:rsidRPr="002E011F">
        <w:rPr>
          <w:lang w:val="fr-FR"/>
        </w:rPr>
        <w:t>.</w:t>
      </w:r>
    </w:p>
  </w:footnote>
  <w:footnote w:id="6">
    <w:p w:rsidR="00A0480D" w:rsidRPr="002E011F" w:rsidRDefault="00A0480D" w:rsidP="00A0480D">
      <w:pPr>
        <w:pStyle w:val="Notedebasdepage"/>
        <w:jc w:val="both"/>
        <w:rPr>
          <w:lang w:val="fr-FR"/>
        </w:rPr>
      </w:pPr>
      <w:r w:rsidRPr="00FA15F8">
        <w:rPr>
          <w:rStyle w:val="Appelnotedebasdep"/>
        </w:rPr>
        <w:footnoteRef/>
      </w:r>
      <w:r w:rsidRPr="002E011F">
        <w:rPr>
          <w:lang w:val="fr-FR"/>
        </w:rPr>
        <w:t xml:space="preserve"> CC. T</w:t>
      </w:r>
      <w:r w:rsidRPr="002E011F">
        <w:rPr>
          <w:bCs/>
          <w:lang w:val="fr-FR"/>
        </w:rPr>
        <w:t>-137 de 2017</w:t>
      </w:r>
      <w:r w:rsidRPr="002E011F">
        <w:rPr>
          <w:lang w:val="fr-FR"/>
        </w:rPr>
        <w:t>.</w:t>
      </w:r>
    </w:p>
  </w:footnote>
  <w:footnote w:id="7">
    <w:p w:rsidR="00A0480D" w:rsidRPr="002E011F" w:rsidRDefault="00A0480D" w:rsidP="00A0480D">
      <w:pPr>
        <w:pStyle w:val="Notedebasdepage"/>
        <w:rPr>
          <w:lang w:val="es-ES"/>
        </w:rPr>
      </w:pPr>
      <w:r w:rsidRPr="00FA15F8">
        <w:rPr>
          <w:rStyle w:val="Appelnotedebasdep"/>
        </w:rPr>
        <w:footnoteRef/>
      </w:r>
      <w:r w:rsidRPr="002E011F">
        <w:rPr>
          <w:lang w:val="es-ES"/>
        </w:rPr>
        <w:t xml:space="preserve"> </w:t>
      </w:r>
      <w:r w:rsidRPr="00FA15F8">
        <w:rPr>
          <w:lang w:val="es-MX"/>
        </w:rPr>
        <w:t>CC. T-307 de 2015.</w:t>
      </w:r>
    </w:p>
  </w:footnote>
  <w:footnote w:id="8">
    <w:p w:rsidR="00A0480D" w:rsidRPr="002E011F" w:rsidRDefault="00A0480D" w:rsidP="00A0480D">
      <w:pPr>
        <w:pStyle w:val="Notedebasdepage"/>
        <w:ind w:left="142" w:hanging="142"/>
        <w:jc w:val="both"/>
        <w:rPr>
          <w:lang w:val="es-ES"/>
        </w:rPr>
      </w:pPr>
      <w:r w:rsidRPr="00FA15F8">
        <w:rPr>
          <w:vertAlign w:val="superscript"/>
        </w:rPr>
        <w:footnoteRef/>
      </w:r>
      <w:r w:rsidRPr="002E011F">
        <w:rPr>
          <w:lang w:val="es-ES"/>
        </w:rPr>
        <w:t xml:space="preserve"> ESCUELA JUDICIAL RODRIGO LARA BONILLA. La acción de tutela en el ordenamiento constitucional colombiano, Universidad Nacional de Colombia, Catalina Botero Marino, </w:t>
      </w:r>
      <w:proofErr w:type="spellStart"/>
      <w:r w:rsidRPr="002E011F">
        <w:rPr>
          <w:lang w:val="es-ES"/>
        </w:rPr>
        <w:t>Ediprime</w:t>
      </w:r>
      <w:proofErr w:type="spellEnd"/>
      <w:r w:rsidRPr="002E011F">
        <w:rPr>
          <w:lang w:val="es-ES"/>
        </w:rPr>
        <w:t xml:space="preserve"> Ltda., 2006, </w:t>
      </w:r>
      <w:proofErr w:type="spellStart"/>
      <w:r w:rsidRPr="002E011F">
        <w:rPr>
          <w:lang w:val="es-ES"/>
        </w:rPr>
        <w:t>p.61</w:t>
      </w:r>
      <w:proofErr w:type="spellEnd"/>
      <w:r w:rsidRPr="002E011F">
        <w:rPr>
          <w:lang w:val="es-ES"/>
        </w:rPr>
        <w:t>-75.</w:t>
      </w:r>
    </w:p>
  </w:footnote>
  <w:footnote w:id="9">
    <w:p w:rsidR="00A0480D" w:rsidRPr="00FA15F8" w:rsidRDefault="00A0480D" w:rsidP="00A0480D">
      <w:pPr>
        <w:pStyle w:val="Notedebasdepage"/>
        <w:jc w:val="both"/>
        <w:rPr>
          <w:lang w:val="es-CO"/>
        </w:rPr>
      </w:pPr>
      <w:r w:rsidRPr="00FA15F8">
        <w:rPr>
          <w:rStyle w:val="Appelnotedebasdep"/>
          <w:lang w:val="es-CO"/>
        </w:rPr>
        <w:footnoteRef/>
      </w:r>
      <w:r w:rsidRPr="00FA15F8">
        <w:rPr>
          <w:lang w:val="es-CO"/>
        </w:rPr>
        <w:t xml:space="preserve"> QUINCHE R., Manuel F. La acción de tutela, el amparo en Colombia, Bogotá DC, 2011, p.233-285.</w:t>
      </w:r>
    </w:p>
  </w:footnote>
  <w:footnote w:id="10">
    <w:p w:rsidR="00A0480D" w:rsidRPr="002E011F" w:rsidRDefault="00A0480D" w:rsidP="00A0480D">
      <w:pPr>
        <w:pStyle w:val="Notedebasdepage"/>
        <w:jc w:val="both"/>
        <w:rPr>
          <w:lang w:val="fr-FR"/>
        </w:rPr>
      </w:pPr>
      <w:r w:rsidRPr="00C45F3C">
        <w:rPr>
          <w:rStyle w:val="Appelnotedebasdep"/>
        </w:rPr>
        <w:footnoteRef/>
      </w:r>
      <w:r w:rsidRPr="002E011F">
        <w:rPr>
          <w:lang w:val="fr-FR"/>
        </w:rPr>
        <w:t xml:space="preserve"> CC. T-134 de 1994. </w:t>
      </w:r>
    </w:p>
  </w:footnote>
  <w:footnote w:id="11">
    <w:p w:rsidR="00A0480D" w:rsidRPr="002E011F" w:rsidRDefault="00A0480D" w:rsidP="00A0480D">
      <w:pPr>
        <w:pStyle w:val="Notedebasdepage"/>
        <w:rPr>
          <w:lang w:val="fr-FR"/>
        </w:rPr>
      </w:pPr>
      <w:r w:rsidRPr="00C45F3C">
        <w:rPr>
          <w:rStyle w:val="Appelnotedebasdep"/>
        </w:rPr>
        <w:footnoteRef/>
      </w:r>
      <w:r w:rsidRPr="002E011F">
        <w:rPr>
          <w:lang w:val="fr-FR"/>
        </w:rPr>
        <w:t xml:space="preserve"> CC. T-103 de 2014.</w:t>
      </w:r>
    </w:p>
  </w:footnote>
  <w:footnote w:id="12">
    <w:p w:rsidR="00A0480D" w:rsidRPr="002E011F" w:rsidRDefault="00A0480D" w:rsidP="00A0480D">
      <w:pPr>
        <w:pStyle w:val="Notedebasdepage"/>
        <w:jc w:val="both"/>
        <w:rPr>
          <w:lang w:val="fr-FR"/>
        </w:rPr>
      </w:pPr>
      <w:r w:rsidRPr="00C45F3C">
        <w:rPr>
          <w:rStyle w:val="Appelnotedebasdep"/>
        </w:rPr>
        <w:footnoteRef/>
      </w:r>
      <w:r w:rsidRPr="002E011F">
        <w:rPr>
          <w:lang w:val="fr-FR"/>
        </w:rPr>
        <w:t xml:space="preserve"> CC. T-567 de 1998.</w:t>
      </w:r>
    </w:p>
  </w:footnote>
  <w:footnote w:id="13">
    <w:p w:rsidR="00A0480D" w:rsidRPr="002E011F" w:rsidRDefault="00A0480D" w:rsidP="00A0480D">
      <w:pPr>
        <w:pStyle w:val="Notedebasdepage"/>
        <w:jc w:val="both"/>
        <w:rPr>
          <w:lang w:val="fr-FR"/>
        </w:rPr>
      </w:pPr>
      <w:r w:rsidRPr="00C45F3C">
        <w:rPr>
          <w:rStyle w:val="Appelnotedebasdep"/>
        </w:rPr>
        <w:footnoteRef/>
      </w:r>
      <w:r w:rsidRPr="002E011F">
        <w:rPr>
          <w:lang w:val="fr-FR"/>
        </w:rPr>
        <w:t xml:space="preserve"> CC. </w:t>
      </w:r>
      <w:proofErr w:type="spellStart"/>
      <w:r w:rsidRPr="002E011F">
        <w:rPr>
          <w:lang w:val="fr-FR"/>
        </w:rPr>
        <w:t>SU-210</w:t>
      </w:r>
      <w:proofErr w:type="spellEnd"/>
      <w:r w:rsidRPr="002E011F">
        <w:rPr>
          <w:lang w:val="fr-FR"/>
        </w:rPr>
        <w:t xml:space="preserve"> de 2017, T-181 de 2017, T-233 de 2017, T-323 de 2017, T-001 de 2017, T-038, 106 de 2017, </w:t>
      </w:r>
      <w:r w:rsidRPr="002E011F">
        <w:rPr>
          <w:bCs/>
          <w:bdr w:val="none" w:sz="0" w:space="0" w:color="auto" w:frame="1"/>
          <w:shd w:val="clear" w:color="auto" w:fill="FFFFFF"/>
          <w:lang w:val="fr-FR"/>
        </w:rPr>
        <w:t xml:space="preserve">T-037 de 2016, T-120 de 2016 y </w:t>
      </w:r>
      <w:r w:rsidRPr="002E011F">
        <w:rPr>
          <w:lang w:val="fr-FR"/>
        </w:rPr>
        <w:t>T-662 de 2013.</w:t>
      </w:r>
      <w:r w:rsidRPr="002E011F">
        <w:rPr>
          <w:b/>
          <w:bCs/>
          <w:color w:val="2D2D2D"/>
          <w:bdr w:val="none" w:sz="0" w:space="0" w:color="auto" w:frame="1"/>
          <w:shd w:val="clear" w:color="auto" w:fill="FFFFFF"/>
          <w:lang w:val="fr-FR"/>
        </w:rPr>
        <w:t xml:space="preserve"> </w:t>
      </w:r>
    </w:p>
  </w:footnote>
  <w:footnote w:id="14">
    <w:p w:rsidR="00A0480D" w:rsidRPr="002E011F" w:rsidRDefault="00A0480D" w:rsidP="00A0480D">
      <w:pPr>
        <w:pStyle w:val="Notedebasdepage"/>
        <w:jc w:val="both"/>
        <w:rPr>
          <w:lang w:val="es-ES"/>
        </w:rPr>
      </w:pPr>
      <w:r w:rsidRPr="00C45F3C">
        <w:rPr>
          <w:rStyle w:val="Appelnotedebasdep"/>
        </w:rPr>
        <w:footnoteRef/>
      </w:r>
      <w:r w:rsidRPr="002E011F">
        <w:rPr>
          <w:lang w:val="es-ES"/>
        </w:rPr>
        <w:t xml:space="preserve"> CSJ, Civil. </w:t>
      </w:r>
      <w:proofErr w:type="spellStart"/>
      <w:r w:rsidRPr="002E011F">
        <w:rPr>
          <w:lang w:val="es-ES"/>
        </w:rPr>
        <w:t>STC2349</w:t>
      </w:r>
      <w:proofErr w:type="spellEnd"/>
      <w:r w:rsidRPr="002E011F">
        <w:rPr>
          <w:lang w:val="es-ES"/>
        </w:rPr>
        <w:t xml:space="preserve">-2017, </w:t>
      </w:r>
      <w:proofErr w:type="spellStart"/>
      <w:r w:rsidRPr="002E011F">
        <w:rPr>
          <w:lang w:val="es-ES"/>
        </w:rPr>
        <w:t>STC3931</w:t>
      </w:r>
      <w:proofErr w:type="spellEnd"/>
      <w:r w:rsidRPr="002E011F">
        <w:rPr>
          <w:lang w:val="es-ES"/>
        </w:rPr>
        <w:t xml:space="preserve">-2016, </w:t>
      </w:r>
      <w:proofErr w:type="spellStart"/>
      <w:r w:rsidRPr="002E011F">
        <w:rPr>
          <w:lang w:val="es-ES"/>
        </w:rPr>
        <w:t>STC6121</w:t>
      </w:r>
      <w:proofErr w:type="spellEnd"/>
      <w:r w:rsidRPr="002E011F">
        <w:rPr>
          <w:lang w:val="es-ES"/>
        </w:rPr>
        <w:t xml:space="preserve">-2015 y sentencia del 02-09-2014, </w:t>
      </w:r>
      <w:proofErr w:type="spellStart"/>
      <w:r w:rsidRPr="002E011F">
        <w:rPr>
          <w:lang w:val="es-ES"/>
        </w:rPr>
        <w:t>MP</w:t>
      </w:r>
      <w:proofErr w:type="spellEnd"/>
      <w:r w:rsidRPr="002E011F">
        <w:rPr>
          <w:lang w:val="es-ES"/>
        </w:rPr>
        <w:t xml:space="preserve">: Margarita Cabello B., </w:t>
      </w:r>
      <w:proofErr w:type="spellStart"/>
      <w:r w:rsidRPr="002E011F">
        <w:rPr>
          <w:lang w:val="es-ES"/>
        </w:rPr>
        <w:t>No.23001</w:t>
      </w:r>
      <w:proofErr w:type="spellEnd"/>
      <w:r w:rsidRPr="002E011F">
        <w:rPr>
          <w:lang w:val="es-ES"/>
        </w:rPr>
        <w:t>-22-14-000-2014-00097-01;</w:t>
      </w:r>
    </w:p>
  </w:footnote>
  <w:footnote w:id="15">
    <w:p w:rsidR="00D64321" w:rsidRPr="00825D8B" w:rsidRDefault="00D64321" w:rsidP="00D64321">
      <w:pPr>
        <w:pStyle w:val="Notedebasdepage"/>
        <w:jc w:val="both"/>
        <w:rPr>
          <w:lang w:val="es-CO"/>
        </w:rPr>
      </w:pPr>
      <w:r w:rsidRPr="00F61CAB">
        <w:rPr>
          <w:rStyle w:val="Appelnotedebasdep"/>
        </w:rPr>
        <w:footnoteRef/>
      </w:r>
      <w:r w:rsidRPr="002E011F">
        <w:rPr>
          <w:lang w:val="es-ES"/>
        </w:rPr>
        <w:t xml:space="preserve"> </w:t>
      </w:r>
      <w:r w:rsidRPr="00825D8B">
        <w:rPr>
          <w:lang w:val="es-CO"/>
        </w:rPr>
        <w:t xml:space="preserve">CC. T-103 de 2014. En esta providencia la Corte estableció </w:t>
      </w:r>
      <w:r w:rsidRPr="00825D8B">
        <w:rPr>
          <w:i/>
          <w:sz w:val="18"/>
          <w:lang w:val="es-CO"/>
        </w:rPr>
        <w:t xml:space="preserve">“(…) que el principio de subsidiariedad de la acción de tutela envuelve tres características importantes que llevan a su improcedencia contra providencias judiciales, a saber: (i) </w:t>
      </w:r>
      <w:r w:rsidRPr="00825D8B">
        <w:rPr>
          <w:i/>
          <w:sz w:val="18"/>
          <w:u w:val="single"/>
          <w:lang w:val="es-CO"/>
        </w:rPr>
        <w:t>el asunto está en trámite</w:t>
      </w:r>
      <w:r w:rsidRPr="00825D8B">
        <w:rPr>
          <w:i/>
          <w:sz w:val="18"/>
          <w:lang w:val="es-CO"/>
        </w:rPr>
        <w:t>; (ii) no se han agotado los medios de defensa judicial ordinarios y extraordinarios; y (iii) se usa para revivir etapas procesales en donde se dejaron de emplear los recursos previstos en el ordenamiento jurídico (…)”</w:t>
      </w:r>
      <w:r w:rsidRPr="00825D8B">
        <w:rPr>
          <w:sz w:val="18"/>
          <w:lang w:val="es-CO"/>
        </w:rPr>
        <w:t xml:space="preserve"> </w:t>
      </w:r>
    </w:p>
  </w:footnote>
  <w:footnote w:id="16">
    <w:p w:rsidR="00D64321" w:rsidRPr="002E011F" w:rsidRDefault="00D64321" w:rsidP="00D64321">
      <w:pPr>
        <w:pStyle w:val="Notedebasdepage"/>
        <w:jc w:val="both"/>
        <w:rPr>
          <w:lang w:val="fr-FR"/>
        </w:rPr>
      </w:pPr>
      <w:r w:rsidRPr="00825D8B">
        <w:rPr>
          <w:rStyle w:val="Appelnotedebasdep"/>
          <w:lang w:val="es-CO"/>
        </w:rPr>
        <w:footnoteRef/>
      </w:r>
      <w:r w:rsidRPr="002E011F">
        <w:rPr>
          <w:lang w:val="fr-FR"/>
        </w:rPr>
        <w:t xml:space="preserve"> </w:t>
      </w:r>
      <w:proofErr w:type="spellStart"/>
      <w:r w:rsidRPr="002E011F">
        <w:rPr>
          <w:lang w:val="fr-FR"/>
        </w:rPr>
        <w:t>CSJ</w:t>
      </w:r>
      <w:proofErr w:type="spellEnd"/>
      <w:r w:rsidRPr="002E011F">
        <w:rPr>
          <w:lang w:val="fr-FR"/>
        </w:rPr>
        <w:t xml:space="preserve">, Sala Civil.  </w:t>
      </w:r>
      <w:proofErr w:type="spellStart"/>
      <w:r w:rsidRPr="002E011F">
        <w:rPr>
          <w:lang w:val="fr-FR"/>
        </w:rPr>
        <w:t>STC3950</w:t>
      </w:r>
      <w:proofErr w:type="spellEnd"/>
      <w:r w:rsidRPr="002E011F">
        <w:rPr>
          <w:lang w:val="fr-FR"/>
        </w:rPr>
        <w:t>-2016.</w:t>
      </w:r>
    </w:p>
  </w:footnote>
  <w:footnote w:id="17">
    <w:p w:rsidR="00D64321" w:rsidRPr="002E011F" w:rsidRDefault="00D64321" w:rsidP="00D64321">
      <w:pPr>
        <w:pStyle w:val="Notedebasdepage"/>
        <w:rPr>
          <w:lang w:val="fr-FR"/>
        </w:rPr>
      </w:pPr>
      <w:r w:rsidRPr="007D3087">
        <w:rPr>
          <w:rStyle w:val="Appelnotedebasdep"/>
        </w:rPr>
        <w:footnoteRef/>
      </w:r>
      <w:r w:rsidRPr="002E011F">
        <w:rPr>
          <w:lang w:val="fr-FR"/>
        </w:rPr>
        <w:t xml:space="preserve"> CC.  </w:t>
      </w:r>
      <w:proofErr w:type="spellStart"/>
      <w:r w:rsidRPr="002E011F">
        <w:rPr>
          <w:lang w:val="fr-FR"/>
        </w:rPr>
        <w:t>SU-210</w:t>
      </w:r>
      <w:proofErr w:type="spellEnd"/>
      <w:r w:rsidRPr="002E011F">
        <w:rPr>
          <w:lang w:val="fr-FR"/>
        </w:rPr>
        <w:t xml:space="preserve"> de 2017 y T-717 de 2011.</w:t>
      </w:r>
    </w:p>
  </w:footnote>
  <w:footnote w:id="18">
    <w:p w:rsidR="005174D0" w:rsidRPr="002E011F" w:rsidRDefault="005174D0">
      <w:pPr>
        <w:pStyle w:val="Notedebasdepage"/>
        <w:rPr>
          <w:lang w:val="fr-FR"/>
        </w:rPr>
      </w:pPr>
      <w:r w:rsidRPr="0067134B">
        <w:rPr>
          <w:rStyle w:val="Appelnotedebasdep"/>
          <w:rFonts w:asciiTheme="minorHAnsi" w:hAnsiTheme="minorHAnsi"/>
        </w:rPr>
        <w:footnoteRef/>
      </w:r>
      <w:r w:rsidRPr="002E011F">
        <w:rPr>
          <w:rFonts w:asciiTheme="minorHAnsi" w:hAnsiTheme="minorHAnsi"/>
          <w:lang w:val="fr-FR"/>
        </w:rPr>
        <w:t xml:space="preserve"> CC. T-340 de 2016.</w:t>
      </w:r>
    </w:p>
  </w:footnote>
  <w:footnote w:id="19">
    <w:p w:rsidR="00114609" w:rsidRPr="002E011F" w:rsidRDefault="00114609" w:rsidP="00114609">
      <w:pPr>
        <w:pStyle w:val="Notedebasdepage"/>
        <w:rPr>
          <w:lang w:val="fr-FR"/>
        </w:rPr>
      </w:pPr>
      <w:r w:rsidRPr="00C62575">
        <w:rPr>
          <w:rStyle w:val="Appelnotedebasdep"/>
        </w:rPr>
        <w:footnoteRef/>
      </w:r>
      <w:r w:rsidRPr="002E011F">
        <w:rPr>
          <w:lang w:val="fr-FR"/>
        </w:rPr>
        <w:t xml:space="preserve">  </w:t>
      </w:r>
      <w:proofErr w:type="spellStart"/>
      <w:r w:rsidRPr="002E011F">
        <w:rPr>
          <w:lang w:val="fr-FR"/>
        </w:rPr>
        <w:t>CC.T-970</w:t>
      </w:r>
      <w:proofErr w:type="spellEnd"/>
      <w:r w:rsidRPr="002E011F">
        <w:rPr>
          <w:lang w:val="fr-FR"/>
        </w:rPr>
        <w:t xml:space="preserve"> de 2014.</w:t>
      </w:r>
    </w:p>
  </w:footnote>
  <w:footnote w:id="20">
    <w:p w:rsidR="00114609" w:rsidRPr="002E011F" w:rsidRDefault="00114609" w:rsidP="00114609">
      <w:pPr>
        <w:pStyle w:val="Notedebasdepage"/>
        <w:rPr>
          <w:lang w:val="fr-FR"/>
        </w:rPr>
      </w:pPr>
      <w:r w:rsidRPr="00567F0F">
        <w:rPr>
          <w:rStyle w:val="Appelnotedebasdep"/>
          <w:rFonts w:asciiTheme="minorHAnsi" w:hAnsiTheme="minorHAnsi" w:cs="Calibri"/>
        </w:rPr>
        <w:footnoteRef/>
      </w:r>
      <w:r w:rsidRPr="002E011F">
        <w:rPr>
          <w:rFonts w:asciiTheme="minorHAnsi" w:hAnsiTheme="minorHAnsi" w:cs="Calibri"/>
          <w:lang w:val="fr-FR"/>
        </w:rPr>
        <w:t xml:space="preserve">  </w:t>
      </w:r>
      <w:proofErr w:type="spellStart"/>
      <w:r w:rsidRPr="002E011F">
        <w:rPr>
          <w:lang w:val="fr-FR"/>
        </w:rPr>
        <w:t>CC.T-011</w:t>
      </w:r>
      <w:proofErr w:type="spellEnd"/>
      <w:r w:rsidRPr="002E011F">
        <w:rPr>
          <w:lang w:val="fr-FR"/>
        </w:rPr>
        <w:t xml:space="preserve"> de 2016.</w:t>
      </w:r>
    </w:p>
  </w:footnote>
  <w:footnote w:id="21">
    <w:p w:rsidR="00114609" w:rsidRPr="002E011F" w:rsidRDefault="00114609" w:rsidP="00114609">
      <w:pPr>
        <w:pStyle w:val="Notedebasdepage"/>
        <w:rPr>
          <w:lang w:val="fr-FR"/>
        </w:rPr>
      </w:pPr>
      <w:r w:rsidRPr="00C62575">
        <w:rPr>
          <w:rStyle w:val="Appelnotedebasdep"/>
        </w:rPr>
        <w:footnoteRef/>
      </w:r>
      <w:r w:rsidRPr="002E011F">
        <w:rPr>
          <w:lang w:val="fr-FR"/>
        </w:rPr>
        <w:t xml:space="preserve">  </w:t>
      </w:r>
      <w:proofErr w:type="spellStart"/>
      <w:r w:rsidRPr="002E011F">
        <w:rPr>
          <w:lang w:val="fr-FR"/>
        </w:rPr>
        <w:t>CC.T-410</w:t>
      </w:r>
      <w:proofErr w:type="spellEnd"/>
      <w:r w:rsidRPr="002E011F">
        <w:rPr>
          <w:lang w:val="fr-FR"/>
        </w:rPr>
        <w:t xml:space="preserve"> de 2017, T-062 de 2016, y </w:t>
      </w:r>
      <w:proofErr w:type="spellStart"/>
      <w:r w:rsidRPr="002E011F">
        <w:rPr>
          <w:lang w:val="fr-FR"/>
        </w:rPr>
        <w:t>SU-540</w:t>
      </w:r>
      <w:proofErr w:type="spellEnd"/>
      <w:r w:rsidRPr="002E011F">
        <w:rPr>
          <w:lang w:val="fr-FR"/>
        </w:rPr>
        <w:t xml:space="preserve"> de 2007.</w:t>
      </w:r>
    </w:p>
  </w:footnote>
  <w:footnote w:id="22">
    <w:p w:rsidR="00114609" w:rsidRPr="002E011F" w:rsidRDefault="00114609" w:rsidP="00114609">
      <w:pPr>
        <w:pStyle w:val="Notedebasdepage"/>
        <w:rPr>
          <w:lang w:val="fr-FR"/>
        </w:rPr>
      </w:pPr>
      <w:r w:rsidRPr="00C62575">
        <w:rPr>
          <w:rStyle w:val="Appelnotedebasdep"/>
        </w:rPr>
        <w:footnoteRef/>
      </w:r>
      <w:r w:rsidRPr="002E011F">
        <w:rPr>
          <w:lang w:val="fr-FR"/>
        </w:rPr>
        <w:t xml:space="preserve">  </w:t>
      </w:r>
      <w:proofErr w:type="spellStart"/>
      <w:r w:rsidRPr="002E011F">
        <w:rPr>
          <w:lang w:val="fr-FR"/>
        </w:rPr>
        <w:t>CC.T-410</w:t>
      </w:r>
      <w:proofErr w:type="spellEnd"/>
      <w:r w:rsidRPr="002E011F">
        <w:rPr>
          <w:lang w:val="fr-FR"/>
        </w:rPr>
        <w:t xml:space="preserve"> de 2017, T-059 de 2016, T-041 de 2016, y T-045 de 2008, entre </w:t>
      </w:r>
      <w:proofErr w:type="spellStart"/>
      <w:r w:rsidRPr="002E011F">
        <w:rPr>
          <w:lang w:val="fr-FR"/>
        </w:rPr>
        <w:t>otras</w:t>
      </w:r>
      <w:proofErr w:type="spellEnd"/>
      <w:r w:rsidRPr="002E011F">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Default="003913E3"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3913E3" w:rsidRDefault="003913E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4F3CCA" w:rsidRDefault="003913E3">
    <w:pPr>
      <w:pStyle w:val="En-tte"/>
      <w:pBdr>
        <w:bottom w:val="single" w:sz="4" w:space="1" w:color="D9D9D9"/>
      </w:pBdr>
      <w:jc w:val="right"/>
      <w:rPr>
        <w:rFonts w:ascii="Georgia" w:hAnsi="Georgia"/>
        <w:b/>
        <w:lang w:val="es-CO"/>
      </w:rPr>
    </w:pPr>
    <w:r w:rsidRPr="004F3CCA">
      <w:rPr>
        <w:rFonts w:ascii="Georgia" w:hAnsi="Georgia"/>
        <w:color w:val="7F7F7F"/>
        <w:spacing w:val="60"/>
        <w:sz w:val="22"/>
        <w:lang w:val="es-CO"/>
      </w:rPr>
      <w:t>Página</w:t>
    </w:r>
    <w:r w:rsidRPr="004F3CCA">
      <w:rPr>
        <w:rFonts w:ascii="Georgia" w:hAnsi="Georgia"/>
        <w:sz w:val="22"/>
        <w:lang w:val="es-CO"/>
      </w:rPr>
      <w:t xml:space="preserve"> | </w:t>
    </w:r>
    <w:r w:rsidRPr="004F3CCA">
      <w:rPr>
        <w:rFonts w:ascii="Georgia" w:hAnsi="Georgia"/>
        <w:sz w:val="22"/>
        <w:lang w:val="es-CO"/>
      </w:rPr>
      <w:fldChar w:fldCharType="begin"/>
    </w:r>
    <w:r w:rsidRPr="004F3CCA">
      <w:rPr>
        <w:rFonts w:ascii="Georgia" w:hAnsi="Georgia"/>
        <w:sz w:val="22"/>
        <w:lang w:val="es-CO"/>
      </w:rPr>
      <w:instrText xml:space="preserve"> PAGE   \* MERGEFORMAT </w:instrText>
    </w:r>
    <w:r w:rsidRPr="004F3CCA">
      <w:rPr>
        <w:rFonts w:ascii="Georgia" w:hAnsi="Georgia"/>
        <w:sz w:val="22"/>
        <w:lang w:val="es-CO"/>
      </w:rPr>
      <w:fldChar w:fldCharType="separate"/>
    </w:r>
    <w:r w:rsidR="002E011F">
      <w:rPr>
        <w:rFonts w:ascii="Georgia" w:hAnsi="Georgia"/>
        <w:noProof/>
        <w:sz w:val="22"/>
        <w:lang w:val="es-CO"/>
      </w:rPr>
      <w:t>1</w:t>
    </w:r>
    <w:r w:rsidRPr="004F3CCA">
      <w:rPr>
        <w:rFonts w:ascii="Georgia" w:hAnsi="Georgia"/>
        <w:sz w:val="22"/>
        <w:lang w:val="es-CO"/>
      </w:rPr>
      <w:fldChar w:fldCharType="end"/>
    </w:r>
  </w:p>
  <w:p w:rsidR="003913E3" w:rsidRPr="004F3CCA" w:rsidRDefault="003913E3" w:rsidP="006F562A">
    <w:pPr>
      <w:pStyle w:val="En-tte"/>
      <w:ind w:right="360"/>
      <w:jc w:val="both"/>
      <w:rPr>
        <w:rFonts w:ascii="Georgia" w:hAnsi="Georgia" w:cs="Calibri"/>
        <w:i/>
        <w:sz w:val="20"/>
        <w:szCs w:val="20"/>
      </w:rPr>
    </w:pPr>
    <w:r w:rsidRPr="004F3CCA">
      <w:rPr>
        <w:rFonts w:ascii="Georgia" w:hAnsi="Georgia" w:cs="Calibri"/>
        <w:i/>
        <w:sz w:val="20"/>
        <w:szCs w:val="20"/>
      </w:rPr>
      <w:t>EXPEDIENTE No.</w:t>
    </w:r>
    <w:r w:rsidR="004F3CCA">
      <w:rPr>
        <w:rFonts w:ascii="Georgia" w:hAnsi="Georgia" w:cs="Calibri"/>
        <w:i/>
        <w:sz w:val="20"/>
        <w:szCs w:val="20"/>
      </w:rPr>
      <w:t>2017-00421-01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92089F" w:rsidRDefault="003913E3">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18DC6FDB"/>
    <w:multiLevelType w:val="hybridMultilevel"/>
    <w:tmpl w:val="09FC56C8"/>
    <w:lvl w:ilvl="0" w:tplc="0C0A000F">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6519C6"/>
    <w:multiLevelType w:val="multilevel"/>
    <w:tmpl w:val="F53239E8"/>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26F6A2F"/>
    <w:multiLevelType w:val="multilevel"/>
    <w:tmpl w:val="085C04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32"/>
  </w:num>
  <w:num w:numId="3">
    <w:abstractNumId w:val="25"/>
  </w:num>
  <w:num w:numId="4">
    <w:abstractNumId w:val="21"/>
  </w:num>
  <w:num w:numId="5">
    <w:abstractNumId w:val="36"/>
  </w:num>
  <w:num w:numId="6">
    <w:abstractNumId w:val="23"/>
  </w:num>
  <w:num w:numId="7">
    <w:abstractNumId w:val="3"/>
  </w:num>
  <w:num w:numId="8">
    <w:abstractNumId w:val="16"/>
  </w:num>
  <w:num w:numId="9">
    <w:abstractNumId w:val="17"/>
  </w:num>
  <w:num w:numId="10">
    <w:abstractNumId w:val="2"/>
  </w:num>
  <w:num w:numId="11">
    <w:abstractNumId w:val="31"/>
  </w:num>
  <w:num w:numId="12">
    <w:abstractNumId w:val="13"/>
  </w:num>
  <w:num w:numId="13">
    <w:abstractNumId w:val="19"/>
  </w:num>
  <w:num w:numId="14">
    <w:abstractNumId w:val="39"/>
  </w:num>
  <w:num w:numId="15">
    <w:abstractNumId w:val="28"/>
  </w:num>
  <w:num w:numId="16">
    <w:abstractNumId w:val="1"/>
  </w:num>
  <w:num w:numId="17">
    <w:abstractNumId w:val="41"/>
  </w:num>
  <w:num w:numId="18">
    <w:abstractNumId w:val="29"/>
  </w:num>
  <w:num w:numId="19">
    <w:abstractNumId w:val="38"/>
  </w:num>
  <w:num w:numId="20">
    <w:abstractNumId w:val="37"/>
  </w:num>
  <w:num w:numId="21">
    <w:abstractNumId w:val="5"/>
  </w:num>
  <w:num w:numId="22">
    <w:abstractNumId w:val="0"/>
  </w:num>
  <w:num w:numId="23">
    <w:abstractNumId w:val="43"/>
  </w:num>
  <w:num w:numId="24">
    <w:abstractNumId w:val="26"/>
  </w:num>
  <w:num w:numId="25">
    <w:abstractNumId w:val="15"/>
  </w:num>
  <w:num w:numId="26">
    <w:abstractNumId w:val="18"/>
  </w:num>
  <w:num w:numId="27">
    <w:abstractNumId w:val="4"/>
  </w:num>
  <w:num w:numId="28">
    <w:abstractNumId w:val="35"/>
  </w:num>
  <w:num w:numId="29">
    <w:abstractNumId w:val="24"/>
  </w:num>
  <w:num w:numId="30">
    <w:abstractNumId w:val="14"/>
  </w:num>
  <w:num w:numId="31">
    <w:abstractNumId w:val="42"/>
  </w:num>
  <w:num w:numId="32">
    <w:abstractNumId w:val="30"/>
  </w:num>
  <w:num w:numId="33">
    <w:abstractNumId w:val="10"/>
  </w:num>
  <w:num w:numId="34">
    <w:abstractNumId w:val="34"/>
  </w:num>
  <w:num w:numId="35">
    <w:abstractNumId w:val="12"/>
  </w:num>
  <w:num w:numId="36">
    <w:abstractNumId w:val="33"/>
  </w:num>
  <w:num w:numId="37">
    <w:abstractNumId w:val="27"/>
  </w:num>
  <w:num w:numId="38">
    <w:abstractNumId w:val="2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2"/>
  </w:num>
  <w:num w:numId="43">
    <w:abstractNumId w:val="20"/>
  </w:num>
  <w:num w:numId="44">
    <w:abstractNumId w:val="7"/>
  </w:num>
  <w:num w:numId="45">
    <w:abstractNumId w:val="6"/>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5D80"/>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460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6E3"/>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453"/>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687C"/>
    <w:rsid w:val="001C7AA1"/>
    <w:rsid w:val="001C7BEE"/>
    <w:rsid w:val="001D0A6A"/>
    <w:rsid w:val="001D14A5"/>
    <w:rsid w:val="001D2702"/>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A7F"/>
    <w:rsid w:val="00230D6E"/>
    <w:rsid w:val="00230F0D"/>
    <w:rsid w:val="00231A7F"/>
    <w:rsid w:val="00231EE7"/>
    <w:rsid w:val="00231EFB"/>
    <w:rsid w:val="002338DF"/>
    <w:rsid w:val="00235DC0"/>
    <w:rsid w:val="00241C17"/>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33C0"/>
    <w:rsid w:val="002B503F"/>
    <w:rsid w:val="002B6043"/>
    <w:rsid w:val="002B7A49"/>
    <w:rsid w:val="002C2796"/>
    <w:rsid w:val="002C3307"/>
    <w:rsid w:val="002C4CF9"/>
    <w:rsid w:val="002C5F7D"/>
    <w:rsid w:val="002C763E"/>
    <w:rsid w:val="002D1038"/>
    <w:rsid w:val="002D468B"/>
    <w:rsid w:val="002D5131"/>
    <w:rsid w:val="002D55BA"/>
    <w:rsid w:val="002D5DFB"/>
    <w:rsid w:val="002D619F"/>
    <w:rsid w:val="002D6785"/>
    <w:rsid w:val="002D688F"/>
    <w:rsid w:val="002E011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4D24"/>
    <w:rsid w:val="00344FDF"/>
    <w:rsid w:val="00345261"/>
    <w:rsid w:val="003479C3"/>
    <w:rsid w:val="00350325"/>
    <w:rsid w:val="0035091C"/>
    <w:rsid w:val="003509ED"/>
    <w:rsid w:val="00351BE4"/>
    <w:rsid w:val="003530CC"/>
    <w:rsid w:val="00356574"/>
    <w:rsid w:val="00357346"/>
    <w:rsid w:val="003575CA"/>
    <w:rsid w:val="00363563"/>
    <w:rsid w:val="00364A1E"/>
    <w:rsid w:val="003708EF"/>
    <w:rsid w:val="00371F65"/>
    <w:rsid w:val="0037385E"/>
    <w:rsid w:val="00374FC2"/>
    <w:rsid w:val="003767EA"/>
    <w:rsid w:val="00377C39"/>
    <w:rsid w:val="003801D6"/>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3829"/>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02"/>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5FF8"/>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79A"/>
    <w:rsid w:val="00452844"/>
    <w:rsid w:val="004543D9"/>
    <w:rsid w:val="00455284"/>
    <w:rsid w:val="00455651"/>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142E"/>
    <w:rsid w:val="004820C7"/>
    <w:rsid w:val="004824D1"/>
    <w:rsid w:val="00483D25"/>
    <w:rsid w:val="00485811"/>
    <w:rsid w:val="004858D6"/>
    <w:rsid w:val="00486576"/>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2DCC"/>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3CCA"/>
    <w:rsid w:val="004F448C"/>
    <w:rsid w:val="004F5D30"/>
    <w:rsid w:val="004F6583"/>
    <w:rsid w:val="004F6D6A"/>
    <w:rsid w:val="00502776"/>
    <w:rsid w:val="00503BF5"/>
    <w:rsid w:val="005050E8"/>
    <w:rsid w:val="00505776"/>
    <w:rsid w:val="005069CE"/>
    <w:rsid w:val="0050752F"/>
    <w:rsid w:val="0051036C"/>
    <w:rsid w:val="0051162B"/>
    <w:rsid w:val="00512B8A"/>
    <w:rsid w:val="00513AD7"/>
    <w:rsid w:val="00514EA8"/>
    <w:rsid w:val="00515033"/>
    <w:rsid w:val="00515C3F"/>
    <w:rsid w:val="005174D0"/>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63D6"/>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30B"/>
    <w:rsid w:val="00577E6C"/>
    <w:rsid w:val="00580039"/>
    <w:rsid w:val="00581321"/>
    <w:rsid w:val="00582361"/>
    <w:rsid w:val="00584B9D"/>
    <w:rsid w:val="00586A21"/>
    <w:rsid w:val="00587194"/>
    <w:rsid w:val="005872BC"/>
    <w:rsid w:val="00587698"/>
    <w:rsid w:val="00590CB5"/>
    <w:rsid w:val="00591294"/>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45CE"/>
    <w:rsid w:val="005D5B8A"/>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1DDA"/>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6B4"/>
    <w:rsid w:val="006668E1"/>
    <w:rsid w:val="006678FC"/>
    <w:rsid w:val="00667F0F"/>
    <w:rsid w:val="0067134B"/>
    <w:rsid w:val="006748FC"/>
    <w:rsid w:val="00676868"/>
    <w:rsid w:val="00676C54"/>
    <w:rsid w:val="0067757F"/>
    <w:rsid w:val="00680035"/>
    <w:rsid w:val="00681C24"/>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D87"/>
    <w:rsid w:val="0072250C"/>
    <w:rsid w:val="007239AD"/>
    <w:rsid w:val="00723F96"/>
    <w:rsid w:val="00725A38"/>
    <w:rsid w:val="00726989"/>
    <w:rsid w:val="0073192F"/>
    <w:rsid w:val="00731B65"/>
    <w:rsid w:val="00731CB2"/>
    <w:rsid w:val="00732403"/>
    <w:rsid w:val="007328DA"/>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0C1"/>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3A7"/>
    <w:rsid w:val="007E7710"/>
    <w:rsid w:val="007F2158"/>
    <w:rsid w:val="007F3A65"/>
    <w:rsid w:val="007F443B"/>
    <w:rsid w:val="007F6579"/>
    <w:rsid w:val="007F7D49"/>
    <w:rsid w:val="00800654"/>
    <w:rsid w:val="00800C57"/>
    <w:rsid w:val="00801122"/>
    <w:rsid w:val="008025E6"/>
    <w:rsid w:val="0080432D"/>
    <w:rsid w:val="008046AF"/>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5D8B"/>
    <w:rsid w:val="008260C7"/>
    <w:rsid w:val="00831A22"/>
    <w:rsid w:val="008333C1"/>
    <w:rsid w:val="008344D5"/>
    <w:rsid w:val="00836EE1"/>
    <w:rsid w:val="008404FB"/>
    <w:rsid w:val="00841CCA"/>
    <w:rsid w:val="00842EC9"/>
    <w:rsid w:val="00843062"/>
    <w:rsid w:val="00843342"/>
    <w:rsid w:val="00843668"/>
    <w:rsid w:val="00844928"/>
    <w:rsid w:val="00845D57"/>
    <w:rsid w:val="00846885"/>
    <w:rsid w:val="00846900"/>
    <w:rsid w:val="00846E0C"/>
    <w:rsid w:val="0084769F"/>
    <w:rsid w:val="00847A96"/>
    <w:rsid w:val="00847D64"/>
    <w:rsid w:val="00847F3F"/>
    <w:rsid w:val="0085152A"/>
    <w:rsid w:val="00851A70"/>
    <w:rsid w:val="008520B9"/>
    <w:rsid w:val="0085260A"/>
    <w:rsid w:val="00852D40"/>
    <w:rsid w:val="00853C31"/>
    <w:rsid w:val="00854008"/>
    <w:rsid w:val="00856A64"/>
    <w:rsid w:val="00857554"/>
    <w:rsid w:val="008577D9"/>
    <w:rsid w:val="00860841"/>
    <w:rsid w:val="00860B21"/>
    <w:rsid w:val="00860DAD"/>
    <w:rsid w:val="00860E07"/>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4E76"/>
    <w:rsid w:val="0088572D"/>
    <w:rsid w:val="00885C5B"/>
    <w:rsid w:val="0088683E"/>
    <w:rsid w:val="00890320"/>
    <w:rsid w:val="008915EA"/>
    <w:rsid w:val="008924A4"/>
    <w:rsid w:val="00893FCA"/>
    <w:rsid w:val="008948DA"/>
    <w:rsid w:val="00896588"/>
    <w:rsid w:val="00896FA9"/>
    <w:rsid w:val="00897130"/>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4E56"/>
    <w:rsid w:val="00905425"/>
    <w:rsid w:val="00905921"/>
    <w:rsid w:val="00905E36"/>
    <w:rsid w:val="00906C56"/>
    <w:rsid w:val="009076CC"/>
    <w:rsid w:val="009079F3"/>
    <w:rsid w:val="00907B47"/>
    <w:rsid w:val="00907CB8"/>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00A6"/>
    <w:rsid w:val="0095183F"/>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4769"/>
    <w:rsid w:val="009E524E"/>
    <w:rsid w:val="009E579C"/>
    <w:rsid w:val="009E65C8"/>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0480D"/>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7752C"/>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4CC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3BF2"/>
    <w:rsid w:val="00B047F5"/>
    <w:rsid w:val="00B05CFA"/>
    <w:rsid w:val="00B06D42"/>
    <w:rsid w:val="00B06E09"/>
    <w:rsid w:val="00B072A5"/>
    <w:rsid w:val="00B07B81"/>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44E6"/>
    <w:rsid w:val="00B247D4"/>
    <w:rsid w:val="00B24E19"/>
    <w:rsid w:val="00B26BE9"/>
    <w:rsid w:val="00B30644"/>
    <w:rsid w:val="00B30689"/>
    <w:rsid w:val="00B317C5"/>
    <w:rsid w:val="00B3232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1A9E"/>
    <w:rsid w:val="00B52709"/>
    <w:rsid w:val="00B528C5"/>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D1D"/>
    <w:rsid w:val="00BB1DEC"/>
    <w:rsid w:val="00BB4D18"/>
    <w:rsid w:val="00BB51DC"/>
    <w:rsid w:val="00BB56D4"/>
    <w:rsid w:val="00BB6532"/>
    <w:rsid w:val="00BB74FF"/>
    <w:rsid w:val="00BC017D"/>
    <w:rsid w:val="00BC1C36"/>
    <w:rsid w:val="00BC1E92"/>
    <w:rsid w:val="00BD491A"/>
    <w:rsid w:val="00BD7D7B"/>
    <w:rsid w:val="00BE0BEF"/>
    <w:rsid w:val="00BE210F"/>
    <w:rsid w:val="00BE2865"/>
    <w:rsid w:val="00BE36BE"/>
    <w:rsid w:val="00BE4A3A"/>
    <w:rsid w:val="00BE78AE"/>
    <w:rsid w:val="00BF0265"/>
    <w:rsid w:val="00BF0BA5"/>
    <w:rsid w:val="00BF1B5B"/>
    <w:rsid w:val="00BF257E"/>
    <w:rsid w:val="00BF2953"/>
    <w:rsid w:val="00BF2AAB"/>
    <w:rsid w:val="00BF2D53"/>
    <w:rsid w:val="00BF3CE6"/>
    <w:rsid w:val="00BF40AF"/>
    <w:rsid w:val="00BF4B32"/>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0B0"/>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DFA"/>
    <w:rsid w:val="00CA0962"/>
    <w:rsid w:val="00CA16FD"/>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5BAC"/>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3E07"/>
    <w:rsid w:val="00CF4D81"/>
    <w:rsid w:val="00CF5E40"/>
    <w:rsid w:val="00CF667A"/>
    <w:rsid w:val="00D0039D"/>
    <w:rsid w:val="00D04012"/>
    <w:rsid w:val="00D04380"/>
    <w:rsid w:val="00D067E0"/>
    <w:rsid w:val="00D0757E"/>
    <w:rsid w:val="00D108C2"/>
    <w:rsid w:val="00D11813"/>
    <w:rsid w:val="00D1298B"/>
    <w:rsid w:val="00D12F43"/>
    <w:rsid w:val="00D13B9F"/>
    <w:rsid w:val="00D171AD"/>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321"/>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1EC"/>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600F"/>
    <w:rsid w:val="00E1053F"/>
    <w:rsid w:val="00E1204F"/>
    <w:rsid w:val="00E130DB"/>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99D"/>
    <w:rsid w:val="00E46BAA"/>
    <w:rsid w:val="00E5080E"/>
    <w:rsid w:val="00E512B3"/>
    <w:rsid w:val="00E53A71"/>
    <w:rsid w:val="00E54491"/>
    <w:rsid w:val="00E55393"/>
    <w:rsid w:val="00E55471"/>
    <w:rsid w:val="00E55F7F"/>
    <w:rsid w:val="00E56AE7"/>
    <w:rsid w:val="00E56BC0"/>
    <w:rsid w:val="00E5717C"/>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5CD4"/>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4CCF"/>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C6421"/>
    <w:rsid w:val="00FD0DFF"/>
    <w:rsid w:val="00FD0FB6"/>
    <w:rsid w:val="00FD197F"/>
    <w:rsid w:val="00FD3622"/>
    <w:rsid w:val="00FD5558"/>
    <w:rsid w:val="00FD58EF"/>
    <w:rsid w:val="00FD6068"/>
    <w:rsid w:val="00FD768F"/>
    <w:rsid w:val="00FD7D6B"/>
    <w:rsid w:val="00FE2934"/>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C6DF-9F5F-4909-BD64-60DDD679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2597</Words>
  <Characters>14287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11</cp:revision>
  <cp:lastPrinted>2018-02-23T15:00:00Z</cp:lastPrinted>
  <dcterms:created xsi:type="dcterms:W3CDTF">2018-02-22T13:53:00Z</dcterms:created>
  <dcterms:modified xsi:type="dcterms:W3CDTF">2018-03-09T10:07:00Z</dcterms:modified>
</cp:coreProperties>
</file>