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B6" w:rsidRPr="002E011F" w:rsidRDefault="00CC38B6" w:rsidP="00CC38B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C38B6" w:rsidRPr="002E011F" w:rsidRDefault="00CC38B6" w:rsidP="00CC38B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CC38B6" w:rsidRPr="001B5572" w:rsidRDefault="00CC38B6" w:rsidP="00CC38B6">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 xml:space="preserve">20 de abril </w:t>
      </w:r>
      <w:r w:rsidRPr="001B5572">
        <w:rPr>
          <w:rFonts w:asciiTheme="minorHAnsi" w:hAnsiTheme="minorHAnsi"/>
          <w:sz w:val="18"/>
          <w:szCs w:val="18"/>
        </w:rPr>
        <w:t>de 2018</w:t>
      </w:r>
    </w:p>
    <w:p w:rsidR="00CC38B6" w:rsidRDefault="00CC38B6" w:rsidP="00CC38B6">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 xml:space="preserve">Conflicto de competencia – Prematura - </w:t>
      </w:r>
      <w:r>
        <w:rPr>
          <w:rFonts w:asciiTheme="minorHAnsi" w:hAnsiTheme="minorHAnsi"/>
          <w:sz w:val="18"/>
          <w:szCs w:val="18"/>
        </w:rPr>
        <w:t>Subsidiariedad - Improcedente</w:t>
      </w:r>
    </w:p>
    <w:p w:rsidR="00CC38B6" w:rsidRPr="001B5572" w:rsidRDefault="00CC38B6" w:rsidP="00CC38B6">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CC38B6">
        <w:rPr>
          <w:rFonts w:asciiTheme="minorHAnsi" w:hAnsiTheme="minorHAnsi"/>
          <w:sz w:val="18"/>
          <w:szCs w:val="18"/>
        </w:rPr>
        <w:t>2018-00125-00 (Interna No.125)</w:t>
      </w:r>
    </w:p>
    <w:p w:rsidR="00CC38B6" w:rsidRPr="001B5572" w:rsidRDefault="00CC38B6" w:rsidP="00CC38B6">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proofErr w:type="spellStart"/>
      <w:r w:rsidRPr="00FA6A29">
        <w:rPr>
          <w:rFonts w:asciiTheme="minorHAnsi" w:hAnsiTheme="minorHAnsi"/>
          <w:sz w:val="18"/>
          <w:szCs w:val="18"/>
        </w:rPr>
        <w:t>Uner</w:t>
      </w:r>
      <w:proofErr w:type="spellEnd"/>
      <w:r w:rsidRPr="00FA6A29">
        <w:rPr>
          <w:rFonts w:asciiTheme="minorHAnsi" w:hAnsiTheme="minorHAnsi"/>
          <w:sz w:val="18"/>
          <w:szCs w:val="18"/>
        </w:rPr>
        <w:t xml:space="preserve"> Augusto Becerra Largo</w:t>
      </w:r>
    </w:p>
    <w:p w:rsidR="00CC38B6" w:rsidRPr="001B5572" w:rsidRDefault="00CC38B6" w:rsidP="00CC38B6">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FA6A29">
        <w:rPr>
          <w:rFonts w:asciiTheme="minorHAnsi" w:hAnsiTheme="minorHAnsi"/>
          <w:sz w:val="18"/>
          <w:szCs w:val="18"/>
        </w:rPr>
        <w:t>Juzgado Promiscuo del Circuito de La Virginia</w:t>
      </w:r>
      <w:r>
        <w:rPr>
          <w:rFonts w:asciiTheme="minorHAnsi" w:hAnsiTheme="minorHAnsi"/>
          <w:sz w:val="18"/>
          <w:szCs w:val="18"/>
        </w:rPr>
        <w:t xml:space="preserve"> y otros</w:t>
      </w:r>
    </w:p>
    <w:p w:rsidR="00CC38B6" w:rsidRPr="001B5572" w:rsidRDefault="00CC38B6" w:rsidP="00CC38B6">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CC38B6" w:rsidRPr="001B5572" w:rsidRDefault="00CC38B6" w:rsidP="00CC38B6">
      <w:pPr>
        <w:rPr>
          <w:rFonts w:asciiTheme="minorHAnsi" w:hAnsiTheme="minorHAnsi"/>
          <w:sz w:val="18"/>
          <w:szCs w:val="18"/>
        </w:rPr>
      </w:pPr>
    </w:p>
    <w:p w:rsidR="00CC38B6" w:rsidRPr="00CC38B6" w:rsidRDefault="00CC38B6" w:rsidP="00CC38B6">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w:t>
      </w:r>
      <w:r w:rsidRPr="00F755DC">
        <w:rPr>
          <w:rFonts w:asciiTheme="minorHAnsi" w:hAnsiTheme="minorHAnsi"/>
          <w:b/>
          <w:sz w:val="18"/>
          <w:szCs w:val="18"/>
          <w:lang w:eastAsia="fr-FR"/>
        </w:rPr>
        <w:t xml:space="preserve">/ </w:t>
      </w:r>
      <w:r>
        <w:rPr>
          <w:rFonts w:asciiTheme="minorHAnsi" w:hAnsiTheme="minorHAnsi"/>
          <w:b/>
          <w:sz w:val="18"/>
          <w:szCs w:val="18"/>
          <w:lang w:eastAsia="fr-FR"/>
        </w:rPr>
        <w:t xml:space="preserve">ACCIÓN POPULAR / CONFLICTO NEGATIVO DE COMPETENCIA / PREMATURA / SUBSIDIARIEDAD / IMPROCEDENTE - </w:t>
      </w:r>
      <w:r>
        <w:rPr>
          <w:rFonts w:asciiTheme="minorHAnsi" w:hAnsiTheme="minorHAnsi"/>
          <w:b/>
          <w:sz w:val="18"/>
          <w:lang w:eastAsia="fr-FR"/>
        </w:rPr>
        <w:t xml:space="preserve"> </w:t>
      </w:r>
      <w:r w:rsidRPr="00CC38B6">
        <w:rPr>
          <w:rFonts w:asciiTheme="minorHAnsi" w:hAnsiTheme="minorHAnsi"/>
          <w:sz w:val="18"/>
          <w:lang w:val="es-ES_tradnl" w:eastAsia="fr-FR"/>
        </w:rPr>
        <w:t>De acuerdo con el material probatorio, se tiene que la a quo con auto del 23-03-2018 dispuso remitir por competencia la acción popular No.2018-00221-00 a la Oficina Judicial -Reparto- de Bogotá (Folios 9 vuelto y 10, ib.), notificada con fijación en el estado del 02-04-2018, debidamente ejecutoriada, sin ser recurrida (Folios 10 vuelto y 11, ib.).</w:t>
      </w:r>
    </w:p>
    <w:p w:rsidR="00CC38B6" w:rsidRPr="00CC38B6" w:rsidRDefault="00CC38B6" w:rsidP="00CC38B6">
      <w:pPr>
        <w:pStyle w:val="Sinespaciado"/>
        <w:jc w:val="both"/>
        <w:rPr>
          <w:rFonts w:asciiTheme="minorHAnsi" w:hAnsiTheme="minorHAnsi"/>
          <w:sz w:val="18"/>
          <w:lang w:val="es-ES_tradnl" w:eastAsia="fr-FR"/>
        </w:rPr>
      </w:pPr>
      <w:r w:rsidRPr="00CC38B6">
        <w:rPr>
          <w:rFonts w:asciiTheme="minorHAnsi" w:hAnsiTheme="minorHAnsi"/>
          <w:sz w:val="18"/>
          <w:lang w:val="es-ES_tradnl" w:eastAsia="fr-FR"/>
        </w:rPr>
        <w:t xml:space="preserve">Según lo discurrido luce evidente que el presente amparo es improcedente por el incumplimiento del requisito de la subsidiariedad, debido a la ausencia de agotamiento del mecanismo ordinario con que contaba el actor para atacar la decisión cuestionada (Artículos 36, Ley 472 y 318, </w:t>
      </w:r>
      <w:proofErr w:type="spellStart"/>
      <w:r w:rsidRPr="00CC38B6">
        <w:rPr>
          <w:rFonts w:asciiTheme="minorHAnsi" w:hAnsiTheme="minorHAnsi"/>
          <w:sz w:val="18"/>
          <w:lang w:val="es-ES_tradnl" w:eastAsia="fr-FR"/>
        </w:rPr>
        <w:t>CGP</w:t>
      </w:r>
      <w:proofErr w:type="spellEnd"/>
      <w:r w:rsidRPr="00CC38B6">
        <w:rPr>
          <w:rFonts w:asciiTheme="minorHAnsi" w:hAnsiTheme="minorHAnsi"/>
          <w:sz w:val="18"/>
          <w:lang w:val="es-ES_tradnl" w:eastAsia="fr-FR"/>
        </w:rPr>
        <w:t>).</w:t>
      </w:r>
    </w:p>
    <w:p w:rsidR="00CC38B6" w:rsidRPr="00CC38B6" w:rsidRDefault="00CC38B6" w:rsidP="00CC38B6">
      <w:pPr>
        <w:pStyle w:val="Sinespaciado"/>
        <w:jc w:val="both"/>
        <w:rPr>
          <w:rFonts w:asciiTheme="minorHAnsi" w:hAnsiTheme="minorHAnsi"/>
          <w:sz w:val="18"/>
          <w:lang w:val="es-ES_tradnl" w:eastAsia="fr-FR"/>
        </w:rPr>
      </w:pPr>
    </w:p>
    <w:p w:rsidR="00CC38B6" w:rsidRPr="00CC38B6" w:rsidRDefault="00CC38B6" w:rsidP="00CC38B6">
      <w:pPr>
        <w:pStyle w:val="Sinespaciado"/>
        <w:jc w:val="both"/>
        <w:rPr>
          <w:rFonts w:asciiTheme="minorHAnsi" w:hAnsiTheme="minorHAnsi"/>
          <w:sz w:val="18"/>
          <w:lang w:val="es-ES_tradnl" w:eastAsia="fr-FR"/>
        </w:rPr>
      </w:pPr>
      <w:r w:rsidRPr="00CC38B6">
        <w:rPr>
          <w:rFonts w:asciiTheme="minorHAnsi" w:hAnsiTheme="minorHAnsi"/>
          <w:sz w:val="18"/>
          <w:lang w:val="es-ES_tradnl" w:eastAsia="fr-FR"/>
        </w:rPr>
        <w:t xml:space="preserve">Asimismo, se advierte que el amparo constitucional fue anticipado, por manera que también carece del mentado presupuesto, comoquiera que aún está pendiente que el despacho judicial al que se asigne el asunto decida avocar su conocimiento o formular el conflicto de competencia, proveído que igualmente puede ser recurrido en la oportunidad debida. Está claro que la acción de tutela fue prematura, en consideración a que el juicio popular todavía está en trámite. </w:t>
      </w:r>
    </w:p>
    <w:p w:rsidR="00CC38B6" w:rsidRPr="00CC38B6" w:rsidRDefault="00CC38B6" w:rsidP="00CC38B6">
      <w:pPr>
        <w:pStyle w:val="Sinespaciado"/>
        <w:jc w:val="both"/>
        <w:rPr>
          <w:rFonts w:asciiTheme="minorHAnsi" w:hAnsiTheme="minorHAnsi"/>
          <w:sz w:val="18"/>
          <w:lang w:val="es-ES_tradnl" w:eastAsia="fr-FR"/>
        </w:rPr>
      </w:pPr>
    </w:p>
    <w:p w:rsidR="00CC38B6" w:rsidRDefault="00CC38B6" w:rsidP="00CC38B6">
      <w:pPr>
        <w:pStyle w:val="Sinespaciado"/>
        <w:jc w:val="both"/>
        <w:rPr>
          <w:rFonts w:asciiTheme="minorHAnsi" w:hAnsiTheme="minorHAnsi"/>
          <w:sz w:val="18"/>
          <w:lang w:val="es-ES_tradnl" w:eastAsia="fr-FR"/>
        </w:rPr>
      </w:pPr>
      <w:r w:rsidRPr="00CC38B6">
        <w:rPr>
          <w:rFonts w:asciiTheme="minorHAnsi" w:hAnsiTheme="minorHAnsi"/>
          <w:sz w:val="18"/>
          <w:lang w:val="es-ES_tradnl" w:eastAsia="fr-FR"/>
        </w:rPr>
        <w:t xml:space="preserve">Aquel, es un criterio expuesto de tiempo atrás por la CSJ  y la </w:t>
      </w:r>
      <w:proofErr w:type="gramStart"/>
      <w:r w:rsidRPr="00CC38B6">
        <w:rPr>
          <w:rFonts w:asciiTheme="minorHAnsi" w:hAnsiTheme="minorHAnsi"/>
          <w:sz w:val="18"/>
          <w:lang w:val="es-ES_tradnl" w:eastAsia="fr-FR"/>
        </w:rPr>
        <w:t>CC ;</w:t>
      </w:r>
      <w:proofErr w:type="gramEnd"/>
      <w:r w:rsidRPr="00CC38B6">
        <w:rPr>
          <w:rFonts w:asciiTheme="minorHAnsi" w:hAnsiTheme="minorHAnsi"/>
          <w:sz w:val="18"/>
          <w:lang w:val="es-ES_tradnl" w:eastAsia="fr-FR"/>
        </w:rPr>
        <w:t xml:space="preserve"> en efecto, la última Corporación recientemente (02-10-2017) recordó : “(…) La Corte Constitucional ha señalado que el requisito de subsidiariedad cuando se atacan decisiones judiciales, se analiza de forma diferenciada en los siguientes escenarios: (i) cuando el proceso ha concluido; o (ii) se encuentra en curso . En el segundo de ellos, en principio, la intervención del juez constitucional está vedada (…)” </w:t>
      </w:r>
      <w:proofErr w:type="spellStart"/>
      <w:r w:rsidRPr="00CC38B6">
        <w:rPr>
          <w:rFonts w:asciiTheme="minorHAnsi" w:hAnsiTheme="minorHAnsi"/>
          <w:sz w:val="18"/>
          <w:lang w:val="es-ES_tradnl" w:eastAsia="fr-FR"/>
        </w:rPr>
        <w:t>Sublínea</w:t>
      </w:r>
      <w:proofErr w:type="spellEnd"/>
      <w:r w:rsidRPr="00CC38B6">
        <w:rPr>
          <w:rFonts w:asciiTheme="minorHAnsi" w:hAnsiTheme="minorHAnsi"/>
          <w:sz w:val="18"/>
          <w:lang w:val="es-ES_tradnl" w:eastAsia="fr-FR"/>
        </w:rPr>
        <w:t xml:space="preserve"> de la Sala.</w:t>
      </w:r>
      <w:bookmarkStart w:id="0" w:name="_GoBack"/>
      <w:bookmarkEnd w:id="0"/>
    </w:p>
    <w:p w:rsidR="00CC38B6" w:rsidRDefault="00CC38B6" w:rsidP="00CC38B6">
      <w:pPr>
        <w:pStyle w:val="Sinespaciado"/>
        <w:jc w:val="both"/>
        <w:rPr>
          <w:rFonts w:asciiTheme="minorHAnsi" w:hAnsiTheme="minorHAnsi"/>
          <w:sz w:val="18"/>
          <w:lang w:val="es-ES_tradnl" w:eastAsia="fr-FR"/>
        </w:rPr>
      </w:pPr>
    </w:p>
    <w:p w:rsidR="00CC38B6" w:rsidRPr="00282025" w:rsidRDefault="00CC38B6" w:rsidP="00CC38B6">
      <w:pPr>
        <w:pStyle w:val="Sinespaciado"/>
        <w:jc w:val="both"/>
        <w:rPr>
          <w:rFonts w:asciiTheme="minorHAnsi" w:hAnsiTheme="minorHAnsi"/>
          <w:sz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73460F">
        <w:rPr>
          <w:rFonts w:ascii="Georgia" w:hAnsi="Georgia" w:cs="Arial"/>
          <w:sz w:val="22"/>
        </w:rPr>
        <w:t>Uner</w:t>
      </w:r>
      <w:proofErr w:type="spellEnd"/>
      <w:r w:rsidR="0073460F">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73460F">
        <w:rPr>
          <w:rFonts w:ascii="Georgia" w:hAnsi="Georgia" w:cs="Arial"/>
          <w:sz w:val="22"/>
        </w:rPr>
        <w:t xml:space="preserve">Promiscuo </w:t>
      </w:r>
      <w:r w:rsidR="000B4D37" w:rsidRPr="00AD7B0C">
        <w:rPr>
          <w:rFonts w:ascii="Georgia" w:hAnsi="Georgia" w:cs="Arial"/>
          <w:sz w:val="22"/>
        </w:rPr>
        <w:t xml:space="preserve">del Circuito de </w:t>
      </w:r>
      <w:r w:rsidR="0073460F">
        <w:rPr>
          <w:rFonts w:ascii="Georgia" w:hAnsi="Georgia" w:cs="Arial"/>
          <w:sz w:val="22"/>
        </w:rPr>
        <w:t>La Virginia</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FD0443">
        <w:rPr>
          <w:rFonts w:ascii="Georgia" w:hAnsi="Georgia" w:cs="Arial"/>
          <w:sz w:val="22"/>
          <w:szCs w:val="22"/>
        </w:rPr>
        <w:t xml:space="preserve">Defensoría del Pueblo, Regional </w:t>
      </w:r>
      <w:r w:rsidR="0073460F">
        <w:rPr>
          <w:rFonts w:ascii="Georgia" w:hAnsi="Georgia" w:cs="Arial"/>
          <w:sz w:val="22"/>
          <w:szCs w:val="22"/>
        </w:rPr>
        <w:t>Risaralda</w:t>
      </w:r>
      <w:r w:rsidR="005F30EC">
        <w:rPr>
          <w:rFonts w:ascii="Georgia" w:hAnsi="Georgia" w:cs="Arial"/>
          <w:sz w:val="22"/>
          <w:szCs w:val="22"/>
        </w:rPr>
        <w:t xml:space="preserve">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 xml:space="preserve">2018-00125-00 </w:t>
      </w:r>
      <w:r w:rsidR="00C52C17">
        <w:rPr>
          <w:rFonts w:ascii="Georgia" w:hAnsi="Georgia" w:cs="Arial"/>
          <w:sz w:val="22"/>
        </w:rPr>
        <w:t>(Interna No.</w:t>
      </w:r>
      <w:r w:rsidR="0073460F">
        <w:rPr>
          <w:rFonts w:ascii="Georgia" w:hAnsi="Georgia" w:cs="Arial"/>
          <w:sz w:val="22"/>
        </w:rPr>
        <w:t>125</w:t>
      </w:r>
      <w:r w:rsidR="00C52C17">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CF7CFD">
        <w:rPr>
          <w:rFonts w:ascii="Georgia" w:hAnsi="Georgia"/>
          <w:sz w:val="22"/>
          <w:szCs w:val="22"/>
        </w:rPr>
        <w:t>117</w:t>
      </w:r>
      <w:r w:rsidR="0073460F">
        <w:rPr>
          <w:rFonts w:ascii="Georgia" w:hAnsi="Georgia"/>
          <w:sz w:val="22"/>
          <w:szCs w:val="22"/>
        </w:rPr>
        <w:t xml:space="preserve"> </w:t>
      </w:r>
      <w:r w:rsidRPr="00AD7B0C">
        <w:rPr>
          <w:rFonts w:ascii="Georgia" w:hAnsi="Georgia"/>
          <w:sz w:val="22"/>
          <w:szCs w:val="22"/>
        </w:rPr>
        <w:t xml:space="preserve">de </w:t>
      </w:r>
      <w:r w:rsidR="00CF7CFD">
        <w:rPr>
          <w:rFonts w:ascii="Georgia" w:hAnsi="Georgia"/>
          <w:sz w:val="22"/>
          <w:szCs w:val="22"/>
        </w:rPr>
        <w:t>20</w:t>
      </w:r>
      <w:r w:rsidRPr="00AD7B0C">
        <w:rPr>
          <w:rFonts w:ascii="Georgia" w:hAnsi="Georgia"/>
          <w:sz w:val="22"/>
          <w:szCs w:val="22"/>
        </w:rPr>
        <w:t>-</w:t>
      </w:r>
      <w:r w:rsidR="00C52C17">
        <w:rPr>
          <w:rFonts w:ascii="Georgia" w:hAnsi="Georgia"/>
          <w:sz w:val="22"/>
          <w:szCs w:val="22"/>
        </w:rPr>
        <w:t>04</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w:t>
      </w:r>
      <w:r w:rsidR="0073460F" w:rsidRPr="00FD0443">
        <w:rPr>
          <w:rFonts w:ascii="Georgia" w:hAnsi="Georgia" w:cs="Arial"/>
          <w:iCs/>
          <w:smallCaps/>
          <w:sz w:val="28"/>
          <w:lang w:val="es-CO"/>
        </w:rPr>
        <w:t>R</w:t>
      </w:r>
      <w:r w:rsidRPr="00FD0443">
        <w:rPr>
          <w:rFonts w:ascii="Georgia" w:hAnsi="Georgia" w:cs="Arial"/>
          <w:iCs/>
          <w:smallCaps/>
          <w:sz w:val="28"/>
          <w:lang w:val="es-CO"/>
        </w:rPr>
        <w:t xml:space="preserve">. </w:t>
      </w:r>
      <w:r w:rsidR="00CF7CFD">
        <w:rPr>
          <w:rFonts w:ascii="Georgia" w:hAnsi="Georgia" w:cs="Arial"/>
          <w:iCs/>
          <w:smallCaps/>
          <w:sz w:val="28"/>
          <w:lang w:val="es-CO"/>
        </w:rPr>
        <w:t>veinte</w:t>
      </w:r>
      <w:r w:rsidR="0073460F">
        <w:rPr>
          <w:rFonts w:ascii="Georgia" w:hAnsi="Georgia" w:cs="Arial"/>
          <w:iCs/>
          <w:smallCaps/>
          <w:sz w:val="28"/>
          <w:lang w:val="es-CO"/>
        </w:rPr>
        <w:t xml:space="preserve"> </w:t>
      </w:r>
      <w:r w:rsidRPr="00FD0443">
        <w:rPr>
          <w:rFonts w:ascii="Georgia" w:hAnsi="Georgia" w:cs="Arial"/>
          <w:iCs/>
          <w:smallCaps/>
          <w:sz w:val="28"/>
          <w:lang w:val="es-CO"/>
        </w:rPr>
        <w:t>(</w:t>
      </w:r>
      <w:r w:rsidR="00CF7CFD">
        <w:rPr>
          <w:rFonts w:ascii="Georgia" w:hAnsi="Georgia" w:cs="Arial"/>
          <w:iCs/>
          <w:smallCaps/>
          <w:sz w:val="28"/>
          <w:lang w:val="es-CO"/>
        </w:rPr>
        <w:t>20</w:t>
      </w:r>
      <w:r w:rsidRPr="00FD0443">
        <w:rPr>
          <w:rFonts w:ascii="Georgia" w:hAnsi="Georgia" w:cs="Arial"/>
          <w:iCs/>
          <w:smallCaps/>
          <w:sz w:val="28"/>
          <w:lang w:val="es-CO"/>
        </w:rPr>
        <w:t xml:space="preserve">) de </w:t>
      </w:r>
      <w:r w:rsidR="00C52C17">
        <w:rPr>
          <w:rFonts w:ascii="Georgia" w:hAnsi="Georgia" w:cs="Arial"/>
          <w:iCs/>
          <w:smallCaps/>
          <w:sz w:val="28"/>
          <w:lang w:val="es-CO"/>
        </w:rPr>
        <w:t xml:space="preserve">abril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FD0443" w:rsidRPr="00D63D82" w:rsidRDefault="0073460F" w:rsidP="00FD0443">
      <w:pPr>
        <w:pStyle w:val="Textoindependiente"/>
        <w:spacing w:line="360" w:lineRule="auto"/>
        <w:rPr>
          <w:rFonts w:ascii="Georgia" w:hAnsi="Georgia"/>
          <w:szCs w:val="24"/>
        </w:rPr>
      </w:pPr>
      <w:r>
        <w:rPr>
          <w:rFonts w:ascii="Georgia" w:hAnsi="Georgia"/>
          <w:szCs w:val="24"/>
        </w:rPr>
        <w:t>El</w:t>
      </w:r>
      <w:r w:rsidR="005F30EC">
        <w:rPr>
          <w:rFonts w:ascii="Georgia" w:hAnsi="Georgia"/>
          <w:szCs w:val="24"/>
        </w:rPr>
        <w:t xml:space="preserve"> </w:t>
      </w:r>
      <w:r w:rsidR="00FD0443" w:rsidRPr="00D63D82">
        <w:rPr>
          <w:rFonts w:ascii="Georgia" w:hAnsi="Georgia"/>
          <w:szCs w:val="24"/>
        </w:rPr>
        <w:t xml:space="preserve">amparo constitucional de la referencia, adelantadas las debidas actuaciones con el trámite preferente y sumario, sin que se evidencien causales de nulidad que </w:t>
      </w:r>
      <w:r w:rsidR="0069690B">
        <w:rPr>
          <w:rFonts w:ascii="Georgia" w:hAnsi="Georgia"/>
          <w:szCs w:val="24"/>
        </w:rPr>
        <w:t xml:space="preserve">lo </w:t>
      </w:r>
      <w:r w:rsidR="00FD0443" w:rsidRPr="00D63D82">
        <w:rPr>
          <w:rFonts w:ascii="Georgia" w:hAnsi="Georgia"/>
          <w:szCs w:val="24"/>
        </w:rPr>
        <w:t>invaliden.</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w:t>
      </w:r>
      <w:r w:rsidR="00FD0443">
        <w:rPr>
          <w:rFonts w:ascii="Georgia" w:hAnsi="Georgia" w:cs="Arial"/>
        </w:rPr>
        <w:t xml:space="preserve">que </w:t>
      </w:r>
      <w:r w:rsidR="0069690B">
        <w:rPr>
          <w:rFonts w:ascii="Georgia" w:hAnsi="Georgia" w:cs="Arial"/>
        </w:rPr>
        <w:t xml:space="preserve">el Juzgado de conocimiento </w:t>
      </w:r>
      <w:r w:rsidR="00C52C17">
        <w:rPr>
          <w:rFonts w:ascii="Georgia" w:hAnsi="Georgia" w:cs="Arial"/>
        </w:rPr>
        <w:t xml:space="preserve">en </w:t>
      </w:r>
      <w:r w:rsidR="0073460F">
        <w:rPr>
          <w:rFonts w:ascii="Georgia" w:hAnsi="Georgia" w:cs="Arial"/>
        </w:rPr>
        <w:t>la acción popular</w:t>
      </w:r>
      <w:r w:rsidR="005F30EC">
        <w:rPr>
          <w:rFonts w:ascii="Georgia" w:hAnsi="Georgia" w:cs="Arial"/>
        </w:rPr>
        <w:t xml:space="preserve"> </w:t>
      </w:r>
      <w:r w:rsidR="00C52C17">
        <w:rPr>
          <w:rFonts w:ascii="Georgia" w:hAnsi="Georgia" w:cs="Arial"/>
        </w:rPr>
        <w:t>No</w:t>
      </w:r>
      <w:r w:rsidR="005F30EC">
        <w:rPr>
          <w:rFonts w:ascii="Georgia" w:hAnsi="Georgia" w:cs="Arial"/>
        </w:rPr>
        <w:t>s</w:t>
      </w:r>
      <w:r w:rsidR="00C52C17">
        <w:rPr>
          <w:rFonts w:ascii="Georgia" w:hAnsi="Georgia" w:cs="Arial"/>
        </w:rPr>
        <w:t>.</w:t>
      </w:r>
      <w:r w:rsidR="0073460F">
        <w:rPr>
          <w:rFonts w:ascii="Georgia" w:hAnsi="Georgia" w:cs="Arial"/>
        </w:rPr>
        <w:t xml:space="preserve">2018-00221-00 se declaró incompetente, </w:t>
      </w:r>
      <w:r w:rsidR="00613C98">
        <w:rPr>
          <w:rFonts w:ascii="Georgia" w:hAnsi="Georgia" w:cs="Arial"/>
        </w:rPr>
        <w:t xml:space="preserve">sin tener </w:t>
      </w:r>
      <w:r w:rsidR="0073460F">
        <w:rPr>
          <w:rFonts w:ascii="Georgia" w:hAnsi="Georgia" w:cs="Arial"/>
        </w:rPr>
        <w:t xml:space="preserve">en cuenta que su elección es vinculante, </w:t>
      </w:r>
      <w:r w:rsidR="005F30EC">
        <w:rPr>
          <w:rFonts w:ascii="Georgia" w:hAnsi="Georgia" w:cs="Arial"/>
        </w:rPr>
        <w:t xml:space="preserve">además </w:t>
      </w:r>
      <w:r w:rsidR="0073460F">
        <w:rPr>
          <w:rFonts w:ascii="Georgia" w:hAnsi="Georgia" w:cs="Arial"/>
        </w:rPr>
        <w:t xml:space="preserve">de que el accionado no es parte y debe cumplir las normas de orden público </w:t>
      </w:r>
      <w:r w:rsidR="004B1EB8" w:rsidRPr="00AD7B0C">
        <w:rPr>
          <w:rFonts w:ascii="Georgia" w:hAnsi="Georgia" w:cs="Arial"/>
        </w:rPr>
        <w:t xml:space="preserve">(Folio </w:t>
      </w:r>
      <w:r w:rsidR="00401168" w:rsidRPr="00AD7B0C">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AD1EC7" w:rsidRDefault="002B0607" w:rsidP="0099045D">
      <w:pPr>
        <w:pStyle w:val="Textoindependiente"/>
        <w:spacing w:line="360" w:lineRule="auto"/>
        <w:rPr>
          <w:rFonts w:ascii="Georgia" w:hAnsi="Georgia"/>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 xml:space="preserve">os artículos 13 </w:t>
      </w:r>
      <w:r w:rsidR="0073460F">
        <w:rPr>
          <w:rFonts w:ascii="Georgia" w:hAnsi="Georgia" w:cs="Arial"/>
          <w:spacing w:val="-3"/>
          <w:lang w:val="es-ES_tradnl"/>
        </w:rPr>
        <w:t xml:space="preserve">y 83, CP, y las garantías procesales </w:t>
      </w:r>
      <w:r w:rsidR="00401168" w:rsidRPr="00AD7B0C">
        <w:rPr>
          <w:rFonts w:ascii="Georgia" w:hAnsi="Georgia" w:cs="Arial"/>
          <w:spacing w:val="-3"/>
          <w:lang w:val="es-ES_tradnl"/>
        </w:rPr>
        <w:t>(Folio</w:t>
      </w:r>
      <w:r w:rsidR="0073460F">
        <w:rPr>
          <w:rFonts w:ascii="Georgia" w:hAnsi="Georgia" w:cs="Arial"/>
          <w:spacing w:val="-3"/>
          <w:lang w:val="es-ES_tradnl"/>
        </w:rPr>
        <w:t xml:space="preserve"> 2</w:t>
      </w:r>
      <w:r w:rsidR="007D0ECC" w:rsidRPr="00AD7B0C">
        <w:rPr>
          <w:rFonts w:ascii="Georgia" w:hAnsi="Georgia" w:cs="Arial"/>
          <w:spacing w:val="-3"/>
          <w:lang w:val="es-ES_tradnl"/>
        </w:rPr>
        <w:t>, 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1EC7" w:rsidRDefault="00303E85" w:rsidP="004B1EB8">
      <w:pPr>
        <w:pStyle w:val="Sinespaciado"/>
        <w:spacing w:line="360" w:lineRule="auto"/>
        <w:jc w:val="both"/>
        <w:rPr>
          <w:rFonts w:ascii="Georgia" w:hAnsi="Georgia" w:cs="Arial"/>
          <w:szCs w:val="24"/>
        </w:rPr>
      </w:pPr>
    </w:p>
    <w:p w:rsidR="00D669DC" w:rsidRDefault="003F7B7A" w:rsidP="001A7DE1">
      <w:pPr>
        <w:spacing w:line="360" w:lineRule="auto"/>
        <w:jc w:val="both"/>
        <w:rPr>
          <w:rFonts w:ascii="Georgia" w:hAnsi="Georgia" w:cs="Arial"/>
          <w:spacing w:val="-3"/>
          <w:lang w:val="es-ES_tradnl"/>
        </w:rPr>
      </w:pPr>
      <w:r>
        <w:rPr>
          <w:rFonts w:ascii="Georgia" w:hAnsi="Georgia" w:cs="Arial"/>
        </w:rPr>
        <w:t>Pretende que se ordene al accionado</w:t>
      </w:r>
      <w:r w:rsidR="0069690B">
        <w:rPr>
          <w:rFonts w:ascii="Georgia" w:hAnsi="Georgia" w:cs="Arial"/>
        </w:rPr>
        <w:t xml:space="preserve">: (i) </w:t>
      </w:r>
      <w:r w:rsidR="0073460F">
        <w:rPr>
          <w:rFonts w:ascii="Georgia" w:hAnsi="Georgia" w:cs="Arial"/>
        </w:rPr>
        <w:t xml:space="preserve">Revocar y </w:t>
      </w:r>
      <w:r w:rsidR="00613C98">
        <w:rPr>
          <w:rFonts w:ascii="Georgia" w:hAnsi="Georgia" w:cs="Arial"/>
        </w:rPr>
        <w:t xml:space="preserve">Declarar la nulidad </w:t>
      </w:r>
      <w:r w:rsidR="0073460F">
        <w:rPr>
          <w:rFonts w:ascii="Georgia" w:hAnsi="Georgia" w:cs="Arial"/>
        </w:rPr>
        <w:t>del auto</w:t>
      </w:r>
      <w:r w:rsidR="005F30EC">
        <w:rPr>
          <w:rFonts w:ascii="Georgia" w:hAnsi="Georgia" w:cs="Arial"/>
        </w:rPr>
        <w:t xml:space="preserve"> </w:t>
      </w:r>
      <w:r w:rsidR="00613C98">
        <w:rPr>
          <w:rFonts w:ascii="Georgia" w:hAnsi="Georgia" w:cs="Arial"/>
        </w:rPr>
        <w:t xml:space="preserve">que </w:t>
      </w:r>
      <w:r w:rsidR="0073460F">
        <w:rPr>
          <w:rFonts w:ascii="Georgia" w:hAnsi="Georgia" w:cs="Arial"/>
        </w:rPr>
        <w:t>generó</w:t>
      </w:r>
      <w:r w:rsidR="005F30EC">
        <w:rPr>
          <w:rFonts w:ascii="Georgia" w:hAnsi="Georgia" w:cs="Arial"/>
        </w:rPr>
        <w:t xml:space="preserve"> </w:t>
      </w:r>
      <w:r w:rsidR="0073460F">
        <w:rPr>
          <w:rFonts w:ascii="Georgia" w:hAnsi="Georgia" w:cs="Arial"/>
        </w:rPr>
        <w:t>la falta de competencia</w:t>
      </w:r>
      <w:r w:rsidR="00613C98">
        <w:rPr>
          <w:rFonts w:ascii="Georgia" w:hAnsi="Georgia" w:cs="Arial"/>
        </w:rPr>
        <w:t xml:space="preserve">; (ii) </w:t>
      </w:r>
      <w:r w:rsidR="0073460F">
        <w:rPr>
          <w:rFonts w:ascii="Georgia" w:hAnsi="Georgia" w:cs="Arial"/>
        </w:rPr>
        <w:t xml:space="preserve">Acatar lo dispuesto por la CSJ en los conflictos de competencia 2009-00121-00 y 2016-01155-00; y (iii) Anexar copia de esas decisiones y de los autos </w:t>
      </w:r>
      <w:proofErr w:type="spellStart"/>
      <w:r w:rsidR="0073460F">
        <w:rPr>
          <w:rFonts w:ascii="Georgia" w:hAnsi="Georgia" w:cs="Arial"/>
        </w:rPr>
        <w:t>admisorios</w:t>
      </w:r>
      <w:proofErr w:type="spellEnd"/>
      <w:r w:rsidR="0073460F">
        <w:rPr>
          <w:rFonts w:ascii="Georgia" w:hAnsi="Georgia" w:cs="Arial"/>
        </w:rPr>
        <w:t xml:space="preserve"> dictados otras acciones populares </w:t>
      </w:r>
      <w:r w:rsidR="00612C75" w:rsidRPr="00AD7B0C">
        <w:rPr>
          <w:rFonts w:ascii="Georgia" w:hAnsi="Georgia" w:cs="Arial"/>
          <w:spacing w:val="-3"/>
          <w:lang w:val="es-ES_tradnl"/>
        </w:rPr>
        <w:t>(Folio</w:t>
      </w:r>
      <w:r w:rsidR="0073460F">
        <w:rPr>
          <w:rFonts w:ascii="Georgia" w:hAnsi="Georgia" w:cs="Arial"/>
          <w:spacing w:val="-3"/>
          <w:lang w:val="es-ES_tradnl"/>
        </w:rPr>
        <w:t xml:space="preserve"> 1</w:t>
      </w:r>
      <w:r w:rsidR="00D669DC" w:rsidRPr="00AD7B0C">
        <w:rPr>
          <w:rFonts w:ascii="Georgia" w:hAnsi="Georgia" w:cs="Arial"/>
          <w:spacing w:val="-3"/>
          <w:lang w:val="es-ES_tradnl"/>
        </w:rPr>
        <w:t>, este cuaderno).</w:t>
      </w: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AD1EC7" w:rsidRDefault="00AD1EC7" w:rsidP="00AD1EC7">
      <w:pPr>
        <w:pStyle w:val="Sinespaciado"/>
        <w:spacing w:line="360" w:lineRule="auto"/>
        <w:ind w:left="360"/>
        <w:jc w:val="both"/>
        <w:rPr>
          <w:rFonts w:ascii="Georgia" w:hAnsi="Georgia"/>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73460F">
        <w:rPr>
          <w:rFonts w:ascii="Georgia" w:hAnsi="Georgia"/>
        </w:rPr>
        <w:t>06</w:t>
      </w:r>
      <w:r w:rsidR="00856F8D">
        <w:rPr>
          <w:rFonts w:ascii="Georgia" w:hAnsi="Georgia"/>
        </w:rPr>
        <w:t>-</w:t>
      </w:r>
      <w:r w:rsidR="0073460F">
        <w:rPr>
          <w:rFonts w:ascii="Georgia" w:hAnsi="Georgia"/>
        </w:rPr>
        <w:t>04</w:t>
      </w:r>
      <w:r w:rsidR="00856F8D">
        <w:rPr>
          <w:rFonts w:ascii="Georgia" w:hAnsi="Georgia"/>
        </w:rPr>
        <w:t xml:space="preserve">-2018 se </w:t>
      </w:r>
      <w:r w:rsidR="0073460F">
        <w:rPr>
          <w:rFonts w:ascii="Georgia" w:hAnsi="Georgia"/>
        </w:rPr>
        <w:t xml:space="preserve">asignó </w:t>
      </w:r>
      <w:r w:rsidRPr="00D63D82">
        <w:rPr>
          <w:rFonts w:ascii="Georgia" w:hAnsi="Georgia"/>
        </w:rPr>
        <w:t>a este Despacho</w:t>
      </w:r>
      <w:r w:rsidRPr="00D63D82">
        <w:rPr>
          <w:rFonts w:ascii="Georgia" w:hAnsi="Georgia" w:cs="Arial"/>
          <w:color w:val="000000"/>
        </w:rPr>
        <w:t xml:space="preserve">, con providencia del </w:t>
      </w:r>
      <w:r w:rsidR="0073460F">
        <w:rPr>
          <w:rFonts w:ascii="Georgia" w:hAnsi="Georgia" w:cs="Arial"/>
          <w:color w:val="000000"/>
        </w:rPr>
        <w:t>09</w:t>
      </w:r>
      <w:r w:rsidR="00613C98">
        <w:rPr>
          <w:rFonts w:ascii="Georgia" w:hAnsi="Georgia" w:cs="Arial"/>
          <w:color w:val="000000"/>
        </w:rPr>
        <w:t xml:space="preserve">-04-2018 </w:t>
      </w:r>
      <w:r w:rsidR="0073460F">
        <w:rPr>
          <w:rFonts w:ascii="Georgia" w:hAnsi="Georgia" w:cs="Arial"/>
          <w:color w:val="000000"/>
        </w:rPr>
        <w:t>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73460F">
        <w:rPr>
          <w:rFonts w:ascii="Georgia" w:hAnsi="Georgia"/>
        </w:rPr>
        <w:t>tre otros ordenamientos (Folio 4</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492EC5">
        <w:rPr>
          <w:rFonts w:ascii="Georgia" w:hAnsi="Georgia" w:cs="Arial"/>
          <w:color w:val="000000"/>
        </w:rPr>
        <w:t>5 y 7</w:t>
      </w:r>
      <w:r w:rsidRPr="00D63D82">
        <w:rPr>
          <w:rFonts w:ascii="Georgia" w:hAnsi="Georgia" w:cs="Arial"/>
          <w:color w:val="000000"/>
        </w:rPr>
        <w:t xml:space="preserve">, ibídem). </w:t>
      </w:r>
      <w:r w:rsidR="00856F8D">
        <w:rPr>
          <w:rFonts w:ascii="Georgia" w:hAnsi="Georgia" w:cs="Arial"/>
          <w:color w:val="000000"/>
        </w:rPr>
        <w:t xml:space="preserve">Contestaron </w:t>
      </w:r>
      <w:r w:rsidR="005F30EC">
        <w:rPr>
          <w:rFonts w:ascii="Georgia" w:hAnsi="Georgia" w:cs="Arial"/>
          <w:color w:val="000000"/>
          <w:lang w:val="es-CO"/>
        </w:rPr>
        <w:t xml:space="preserve">el Juzgado accionado (Folio </w:t>
      </w:r>
      <w:r w:rsidR="00492EC5">
        <w:rPr>
          <w:rFonts w:ascii="Georgia" w:hAnsi="Georgia" w:cs="Arial"/>
          <w:color w:val="000000"/>
          <w:lang w:val="es-CO"/>
        </w:rPr>
        <w:t>7</w:t>
      </w:r>
      <w:r w:rsidR="005F30EC">
        <w:rPr>
          <w:rFonts w:ascii="Georgia" w:hAnsi="Georgia" w:cs="Arial"/>
          <w:color w:val="000000"/>
          <w:lang w:val="es-CO"/>
        </w:rPr>
        <w:t>, ibídem)</w:t>
      </w:r>
      <w:r w:rsidR="00492EC5">
        <w:rPr>
          <w:rFonts w:ascii="Georgia" w:hAnsi="Georgia" w:cs="Arial"/>
          <w:color w:val="000000"/>
          <w:lang w:val="es-CO"/>
        </w:rPr>
        <w:t>, la Defensoría del Pueblo, Regional Bogotá (Folio 13, ib.), la Alcaldía Mayor de Bogotá (Folios 17 a 19, ib.)</w:t>
      </w:r>
      <w:r w:rsidR="005F30EC">
        <w:rPr>
          <w:rFonts w:ascii="Georgia" w:hAnsi="Georgia" w:cs="Arial"/>
          <w:color w:val="000000"/>
          <w:lang w:val="es-CO"/>
        </w:rPr>
        <w:t xml:space="preserve"> y </w:t>
      </w:r>
      <w:r w:rsidR="00613C98">
        <w:rPr>
          <w:rFonts w:ascii="Georgia" w:hAnsi="Georgia" w:cs="Arial"/>
          <w:color w:val="000000"/>
        </w:rPr>
        <w:t xml:space="preserve">la Procuraduría General de la Nación, Regional </w:t>
      </w:r>
      <w:r w:rsidR="00492EC5">
        <w:rPr>
          <w:rFonts w:ascii="Georgia" w:hAnsi="Georgia" w:cs="Arial"/>
          <w:color w:val="000000"/>
        </w:rPr>
        <w:t xml:space="preserve">Risaralda </w:t>
      </w:r>
      <w:r w:rsidR="005F30EC">
        <w:rPr>
          <w:rFonts w:ascii="Georgia" w:hAnsi="Georgia" w:cs="Arial"/>
          <w:color w:val="000000"/>
        </w:rPr>
        <w:t>(</w:t>
      </w:r>
      <w:r w:rsidR="00492EC5">
        <w:rPr>
          <w:rFonts w:ascii="Georgia" w:hAnsi="Georgia" w:cs="Arial"/>
          <w:color w:val="000000"/>
        </w:rPr>
        <w:t>PGNRR</w:t>
      </w:r>
      <w:r w:rsidR="00613C98">
        <w:rPr>
          <w:rFonts w:ascii="Georgia" w:hAnsi="Georgia" w:cs="Arial"/>
          <w:color w:val="000000"/>
        </w:rPr>
        <w:t xml:space="preserve">) </w:t>
      </w:r>
      <w:r w:rsidR="00856F8D">
        <w:rPr>
          <w:rFonts w:ascii="Georgia" w:hAnsi="Georgia" w:cs="Arial"/>
          <w:color w:val="000000"/>
        </w:rPr>
        <w:t>(Folio</w:t>
      </w:r>
      <w:r w:rsidR="00492EC5">
        <w:rPr>
          <w:rFonts w:ascii="Georgia" w:hAnsi="Georgia" w:cs="Arial"/>
          <w:color w:val="000000"/>
        </w:rPr>
        <w:t xml:space="preserve"> 21</w:t>
      </w:r>
      <w:r w:rsidR="00613C98">
        <w:rPr>
          <w:rFonts w:ascii="Georgia" w:hAnsi="Georgia" w:cs="Arial"/>
          <w:color w:val="000000"/>
        </w:rPr>
        <w:t>, ibídem)</w:t>
      </w:r>
      <w:r w:rsidR="005F30EC">
        <w:rPr>
          <w:rFonts w:ascii="Georgia" w:hAnsi="Georgia" w:cs="Arial"/>
          <w:color w:val="000000"/>
        </w:rPr>
        <w:t>.</w:t>
      </w:r>
      <w:r w:rsidR="00613C98">
        <w:rPr>
          <w:rFonts w:ascii="Georgia" w:hAnsi="Georgia" w:cs="Arial"/>
          <w:color w:val="000000"/>
        </w:rPr>
        <w:t xml:space="preserve"> </w:t>
      </w:r>
      <w:r>
        <w:rPr>
          <w:rFonts w:ascii="Georgia" w:hAnsi="Georgia" w:cs="Arial"/>
        </w:rPr>
        <w:t xml:space="preserve">El </w:t>
      </w:r>
      <w:r w:rsidR="005F30EC">
        <w:rPr>
          <w:rFonts w:ascii="Georgia" w:hAnsi="Georgia" w:cs="Arial"/>
        </w:rPr>
        <w:t xml:space="preserve">despacho judicial </w:t>
      </w:r>
      <w:r>
        <w:rPr>
          <w:rFonts w:ascii="Georgia" w:hAnsi="Georgia" w:cs="Arial"/>
        </w:rPr>
        <w:t>arrimó la documentación requerida (Folio</w:t>
      </w:r>
      <w:r w:rsidR="00856F8D">
        <w:rPr>
          <w:rFonts w:ascii="Georgia" w:hAnsi="Georgia" w:cs="Arial"/>
        </w:rPr>
        <w:t>s</w:t>
      </w:r>
      <w:r>
        <w:rPr>
          <w:rFonts w:ascii="Georgia" w:hAnsi="Georgia" w:cs="Arial"/>
        </w:rPr>
        <w:t xml:space="preserve"> </w:t>
      </w:r>
      <w:r w:rsidR="00492EC5">
        <w:rPr>
          <w:rFonts w:ascii="Georgia" w:hAnsi="Georgia" w:cs="Arial"/>
        </w:rPr>
        <w:t>8 a 11</w:t>
      </w:r>
      <w:r>
        <w:rPr>
          <w:rFonts w:ascii="Georgia" w:hAnsi="Georgia" w:cs="Arial"/>
        </w:rPr>
        <w:t>, ib.).</w:t>
      </w:r>
    </w:p>
    <w:p w:rsidR="00B41B34" w:rsidRPr="00AD1EC7"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AD1EC7" w:rsidRDefault="00784759" w:rsidP="00730CA7">
      <w:pPr>
        <w:pStyle w:val="Textoindependiente"/>
        <w:spacing w:line="360" w:lineRule="auto"/>
        <w:rPr>
          <w:rFonts w:ascii="Georgia" w:hAnsi="Georgia"/>
        </w:rPr>
      </w:pPr>
    </w:p>
    <w:p w:rsidR="003A21E6" w:rsidRDefault="005F30EC" w:rsidP="00F96624">
      <w:pPr>
        <w:spacing w:line="360" w:lineRule="auto"/>
        <w:jc w:val="both"/>
        <w:rPr>
          <w:rFonts w:ascii="Georgia" w:hAnsi="Georgia" w:cs="Arial"/>
          <w:color w:val="000000"/>
        </w:rPr>
      </w:pPr>
      <w:r>
        <w:rPr>
          <w:rFonts w:ascii="Georgia" w:hAnsi="Georgia"/>
        </w:rPr>
        <w:t xml:space="preserve">La </w:t>
      </w:r>
      <w:r w:rsidRPr="005F30EC">
        <w:rPr>
          <w:rFonts w:ascii="Georgia" w:hAnsi="Georgia"/>
          <w:i/>
        </w:rPr>
        <w:t>a quo</w:t>
      </w:r>
      <w:r>
        <w:rPr>
          <w:rFonts w:ascii="Georgia" w:hAnsi="Georgia"/>
        </w:rPr>
        <w:t xml:space="preserve"> </w:t>
      </w:r>
      <w:r w:rsidR="00492EC5">
        <w:rPr>
          <w:rFonts w:ascii="Georgia" w:hAnsi="Georgia"/>
        </w:rPr>
        <w:t>relató el estado de la acción popular y se opuso a las pretensiones</w:t>
      </w:r>
      <w:r w:rsidR="00492EC5">
        <w:rPr>
          <w:rFonts w:ascii="Georgia" w:hAnsi="Georgia"/>
          <w:lang w:val="es-CO"/>
        </w:rPr>
        <w:t xml:space="preserve"> de la tutela (Folio 7, ib.). L</w:t>
      </w:r>
      <w:r w:rsidR="00492EC5">
        <w:rPr>
          <w:rFonts w:ascii="Georgia" w:hAnsi="Georgia"/>
        </w:rPr>
        <w:t>a</w:t>
      </w:r>
      <w:r w:rsidR="00492EC5" w:rsidRPr="00334FE8">
        <w:rPr>
          <w:rFonts w:ascii="Georgia" w:hAnsi="Georgia"/>
        </w:rPr>
        <w:t xml:space="preserve"> </w:t>
      </w:r>
      <w:r w:rsidR="00492EC5">
        <w:rPr>
          <w:rFonts w:ascii="Georgia" w:hAnsi="Georgia"/>
        </w:rPr>
        <w:t xml:space="preserve">Defensoría </w:t>
      </w:r>
      <w:r w:rsidR="00492EC5">
        <w:rPr>
          <w:rFonts w:ascii="Georgia" w:hAnsi="Georgia" w:cs="Arial"/>
          <w:color w:val="000000"/>
        </w:rPr>
        <w:t>del Pueblo</w:t>
      </w:r>
      <w:r w:rsidR="00492EC5" w:rsidRPr="00334FE8">
        <w:rPr>
          <w:rFonts w:ascii="Georgia" w:hAnsi="Georgia" w:cs="Arial"/>
          <w:color w:val="000000"/>
        </w:rPr>
        <w:t>,</w:t>
      </w:r>
      <w:r w:rsidR="00492EC5" w:rsidRPr="002F6EB1">
        <w:rPr>
          <w:rFonts w:ascii="Georgia" w:hAnsi="Georgia"/>
        </w:rPr>
        <w:t xml:space="preserve"> </w:t>
      </w:r>
      <w:r w:rsidR="00492EC5">
        <w:rPr>
          <w:rFonts w:ascii="Georgia" w:hAnsi="Georgia"/>
        </w:rPr>
        <w:t>Regional Bogotá</w:t>
      </w:r>
      <w:r w:rsidR="00492EC5" w:rsidRPr="00334FE8">
        <w:rPr>
          <w:rFonts w:ascii="Georgia" w:hAnsi="Georgia"/>
        </w:rPr>
        <w:t xml:space="preserve"> </w:t>
      </w:r>
      <w:r w:rsidR="00492EC5">
        <w:rPr>
          <w:rFonts w:ascii="Georgia" w:hAnsi="Georgia"/>
        </w:rPr>
        <w:t xml:space="preserve">refirió que no ha intervenido en la acción popular y que tampoco el actor le ha hecho petición alguna relacionada con el amparo; pidió su desvinculación (Folio 13, ib.). La </w:t>
      </w:r>
      <w:r w:rsidR="00492EC5" w:rsidRPr="00334FE8">
        <w:rPr>
          <w:rFonts w:ascii="Georgia" w:hAnsi="Georgia"/>
        </w:rPr>
        <w:t xml:space="preserve">Alcaldía </w:t>
      </w:r>
      <w:r w:rsidR="00492EC5" w:rsidRPr="00334FE8">
        <w:rPr>
          <w:rFonts w:ascii="Georgia" w:hAnsi="Georgia" w:cs="Arial"/>
          <w:color w:val="000000"/>
        </w:rPr>
        <w:t>de</w:t>
      </w:r>
      <w:r w:rsidR="00492EC5">
        <w:rPr>
          <w:rFonts w:ascii="Georgia" w:hAnsi="Georgia" w:cs="Arial"/>
          <w:color w:val="000000"/>
        </w:rPr>
        <w:t xml:space="preserve"> Bogotá</w:t>
      </w:r>
      <w:r w:rsidR="00492EC5">
        <w:rPr>
          <w:rFonts w:ascii="Georgia" w:hAnsi="Georgia"/>
        </w:rPr>
        <w:t xml:space="preserve"> alegó la falta de legitimación en la causa por pasiva y solicitó s</w:t>
      </w:r>
      <w:r w:rsidR="00492EC5" w:rsidRPr="00A02768">
        <w:rPr>
          <w:rFonts w:ascii="Georgia" w:hAnsi="Georgia" w:cs="Arial"/>
        </w:rPr>
        <w:t>u desvinculación</w:t>
      </w:r>
      <w:r w:rsidR="00492EC5">
        <w:rPr>
          <w:rFonts w:ascii="Georgia" w:hAnsi="Georgia"/>
        </w:rPr>
        <w:t xml:space="preserve"> (Folios 17 a 19, ib.)</w:t>
      </w:r>
      <w:r w:rsidR="006725EC">
        <w:rPr>
          <w:rFonts w:ascii="Georgia" w:hAnsi="Georgia"/>
        </w:rPr>
        <w:t xml:space="preserve"> </w:t>
      </w:r>
      <w:r w:rsidR="00492EC5" w:rsidRPr="00471BFA">
        <w:rPr>
          <w:rFonts w:ascii="Georgia" w:hAnsi="Georgia" w:cs="Arial"/>
          <w:color w:val="000000"/>
        </w:rPr>
        <w:t xml:space="preserve">La PGNRR adujo que la situación alegada es ajena a sus funciones (Folio </w:t>
      </w:r>
      <w:r w:rsidR="00492EC5">
        <w:rPr>
          <w:rFonts w:ascii="Georgia" w:hAnsi="Georgia" w:cs="Arial"/>
          <w:color w:val="000000"/>
        </w:rPr>
        <w:t>1021</w:t>
      </w:r>
      <w:r w:rsidR="00492EC5" w:rsidRPr="00471BFA">
        <w:rPr>
          <w:rFonts w:ascii="Georgia" w:hAnsi="Georgia" w:cs="Arial"/>
          <w:color w:val="000000"/>
        </w:rPr>
        <w:t xml:space="preserve"> ib.)</w:t>
      </w:r>
      <w:r w:rsidR="00492EC5">
        <w:rPr>
          <w:rFonts w:ascii="Georgia" w:hAnsi="Georgia" w:cs="Arial"/>
          <w:color w:val="000000"/>
        </w:rPr>
        <w:t>;</w:t>
      </w:r>
    </w:p>
    <w:p w:rsidR="00492EC5" w:rsidRPr="00AD1EC7" w:rsidRDefault="00492EC5" w:rsidP="00F96624">
      <w:pPr>
        <w:spacing w:line="360" w:lineRule="auto"/>
        <w:jc w:val="both"/>
        <w:rPr>
          <w:rFonts w:ascii="Georgia" w:hAnsi="Georgia" w:cs="Arial"/>
        </w:rPr>
      </w:pPr>
    </w:p>
    <w:p w:rsidR="00CF429F" w:rsidRPr="00AD7B0C" w:rsidRDefault="005764A9" w:rsidP="00F96624">
      <w:pPr>
        <w:pStyle w:val="Textoindependien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AD1EC7" w:rsidRDefault="006232EF" w:rsidP="00F96624">
      <w:pPr>
        <w:pStyle w:val="Textoindependiente"/>
        <w:spacing w:line="360" w:lineRule="auto"/>
        <w:ind w:left="400"/>
        <w:rPr>
          <w:rFonts w:ascii="Georgia" w:hAnsi="Georgia"/>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lastRenderedPageBreak/>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492EC5">
        <w:rPr>
          <w:rFonts w:ascii="Georgia" w:hAnsi="Georgia" w:cs="Arial"/>
          <w:color w:val="000000"/>
          <w:szCs w:val="24"/>
        </w:rPr>
        <w:t xml:space="preserve">Promiscuo </w:t>
      </w:r>
      <w:r w:rsidR="00207A3A" w:rsidRPr="00AD7B0C">
        <w:rPr>
          <w:rFonts w:ascii="Georgia" w:hAnsi="Georgia" w:cs="Arial"/>
          <w:color w:val="000000"/>
          <w:szCs w:val="24"/>
        </w:rPr>
        <w:t xml:space="preserve">del Circuito de </w:t>
      </w:r>
      <w:r w:rsidR="00492EC5">
        <w:rPr>
          <w:rFonts w:ascii="Georgia" w:hAnsi="Georgia" w:cs="Arial"/>
          <w:color w:val="000000"/>
          <w:szCs w:val="24"/>
        </w:rPr>
        <w:t>La Virginia</w:t>
      </w:r>
      <w:r w:rsidR="003F09D3">
        <w:rPr>
          <w:rFonts w:ascii="Georgia" w:hAnsi="Georgia" w:cs="Arial"/>
          <w:color w:val="000000"/>
          <w:szCs w:val="24"/>
        </w:rPr>
        <w:t>.</w:t>
      </w:r>
    </w:p>
    <w:p w:rsidR="00772F14" w:rsidRPr="00AD1EC7" w:rsidRDefault="00772F14" w:rsidP="00F9662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6725EC">
        <w:rPr>
          <w:rFonts w:ascii="Georgia" w:hAnsi="Georgia" w:cs="Arial"/>
        </w:rPr>
        <w:t>los</w:t>
      </w:r>
      <w:r w:rsidR="003E703E" w:rsidRPr="00AD7B0C">
        <w:rPr>
          <w:rFonts w:ascii="Georgia" w:hAnsi="Georgia" w:cs="Arial"/>
        </w:rPr>
        <w:t xml:space="preserve"> escrito</w:t>
      </w:r>
      <w:r w:rsidR="006725EC">
        <w:rPr>
          <w:rFonts w:ascii="Georgia" w:hAnsi="Georgia" w:cs="Arial"/>
        </w:rPr>
        <w:t>s</w:t>
      </w:r>
      <w:r w:rsidR="003F09D3">
        <w:rPr>
          <w:rFonts w:ascii="Georgia" w:hAnsi="Georgia" w:cs="Arial"/>
        </w:rPr>
        <w:t xml:space="preserve"> </w:t>
      </w:r>
      <w:r w:rsidRPr="00AD7B0C">
        <w:rPr>
          <w:rFonts w:ascii="Georgia" w:hAnsi="Georgia" w:cs="Arial"/>
        </w:rPr>
        <w:t xml:space="preserve">de tutela?   </w:t>
      </w:r>
    </w:p>
    <w:p w:rsidR="00E13659" w:rsidRPr="00AD1EC7" w:rsidRDefault="00E13659" w:rsidP="00F96624">
      <w:pPr>
        <w:pStyle w:val="Prrafodelista"/>
        <w:spacing w:line="360" w:lineRule="auto"/>
        <w:rPr>
          <w:rFonts w:ascii="Georgia" w:hAnsi="Georgia" w:cs="Arial"/>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AD1EC7" w:rsidRDefault="00D01397" w:rsidP="00F96624">
      <w:pPr>
        <w:pStyle w:val="Textoindependiente"/>
        <w:spacing w:line="360" w:lineRule="auto"/>
        <w:ind w:left="720"/>
        <w:rPr>
          <w:rFonts w:ascii="Georgia" w:hAnsi="Georgia" w:cs="Arial"/>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w:t>
      </w:r>
      <w:r w:rsidR="00492EC5">
        <w:rPr>
          <w:rFonts w:ascii="Georgia" w:hAnsi="Georgia" w:cs="Arial"/>
          <w:szCs w:val="24"/>
          <w:lang w:val="es-ES"/>
        </w:rPr>
        <w:t>la acción popular</w:t>
      </w:r>
      <w:r w:rsidR="009D43C9" w:rsidRPr="00006CF5">
        <w:rPr>
          <w:rFonts w:ascii="Georgia" w:hAnsi="Georgia" w:cs="Arial"/>
          <w:szCs w:val="24"/>
          <w:lang w:val="es-ES"/>
        </w:rPr>
        <w:t xml:space="preserve"> donde se reprocha la falta al debido proceso</w:t>
      </w:r>
      <w:r w:rsidR="009D43C9" w:rsidRPr="007C23E2">
        <w:rPr>
          <w:rFonts w:ascii="Georgia" w:hAnsi="Georgia" w:cs="Arial"/>
          <w:szCs w:val="24"/>
        </w:rPr>
        <w:t xml:space="preserve">. Y por pasiva, lo es el accionado, porque es la autoridad judicial que conoce </w:t>
      </w:r>
      <w:r w:rsidR="00492EC5">
        <w:rPr>
          <w:rFonts w:ascii="Georgia" w:hAnsi="Georgia" w:cs="Arial"/>
          <w:szCs w:val="24"/>
        </w:rPr>
        <w:t>el</w:t>
      </w:r>
      <w:r w:rsidR="006725EC">
        <w:rPr>
          <w:rFonts w:ascii="Georgia" w:hAnsi="Georgia" w:cs="Arial"/>
          <w:szCs w:val="24"/>
        </w:rPr>
        <w:t xml:space="preserve"> </w:t>
      </w:r>
      <w:r w:rsidR="009D43C9" w:rsidRPr="007C23E2">
        <w:rPr>
          <w:rFonts w:ascii="Georgia" w:hAnsi="Georgia" w:cs="Arial"/>
          <w:szCs w:val="24"/>
        </w:rPr>
        <w:t>juicio</w:t>
      </w:r>
      <w:r w:rsidR="000666EF" w:rsidRPr="00AD7B0C">
        <w:rPr>
          <w:rFonts w:ascii="Georgia" w:hAnsi="Georgia" w:cs="Arial"/>
          <w:szCs w:val="24"/>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w:t>
      </w:r>
      <w:r w:rsidRPr="00AD7B0C">
        <w:rPr>
          <w:rFonts w:ascii="Georgia" w:hAnsi="Georgia" w:cs="Arial"/>
          <w:szCs w:val="24"/>
        </w:rPr>
        <w:lastRenderedPageBreak/>
        <w:t>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AD1EC7" w:rsidRDefault="00124549" w:rsidP="00124549">
      <w:pPr>
        <w:widowControl/>
        <w:autoSpaceDE/>
        <w:adjustRightInd/>
        <w:spacing w:line="360" w:lineRule="auto"/>
        <w:ind w:left="709"/>
        <w:jc w:val="both"/>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 xml:space="preserve">.También la CSJ se </w:t>
      </w:r>
      <w:r w:rsidRPr="007310B2">
        <w:rPr>
          <w:rFonts w:ascii="Georgia" w:hAnsi="Georgia" w:cs="Arial"/>
          <w:spacing w:val="-3"/>
          <w:lang w:val="es-ES_tradnl"/>
        </w:rPr>
        <w:lastRenderedPageBreak/>
        <w:t>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xml:space="preserve">, </w:t>
      </w:r>
      <w:proofErr w:type="spellStart"/>
      <w:r w:rsidRPr="007310B2">
        <w:rPr>
          <w:rFonts w:ascii="Georgia" w:hAnsi="Georgia" w:cs="Arial"/>
          <w:spacing w:val="-3"/>
          <w:lang w:val="es-ES_tradnl"/>
        </w:rPr>
        <w:t>prohija</w:t>
      </w:r>
      <w:proofErr w:type="spellEnd"/>
      <w:r w:rsidRPr="007310B2">
        <w:rPr>
          <w:rFonts w:ascii="Georgia" w:hAnsi="Georgia" w:cs="Arial"/>
          <w:spacing w:val="-3"/>
          <w:lang w:val="es-ES_tradnl"/>
        </w:rPr>
        <w:t xml:space="preserve"> la improcedencia de la tutela por aplicación del principio de subsidiariedad.</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AD1EC7" w:rsidRDefault="00C74846" w:rsidP="006A1FD7">
      <w:pPr>
        <w:pStyle w:val="Textoindependiente"/>
        <w:tabs>
          <w:tab w:val="clear" w:pos="0"/>
          <w:tab w:val="clear" w:pos="1416"/>
        </w:tabs>
        <w:spacing w:line="360" w:lineRule="auto"/>
        <w:rPr>
          <w:rFonts w:ascii="Georgia" w:hAnsi="Georgia"/>
          <w:szCs w:val="24"/>
        </w:rPr>
      </w:pP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Pr="004E68FB">
        <w:rPr>
          <w:rFonts w:ascii="Georgia" w:hAnsi="Georgia" w:cs="Arial"/>
          <w:lang w:val="es-ES_tradnl"/>
        </w:rPr>
        <w:t xml:space="preserve">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124549" w:rsidRPr="00AD1EC7" w:rsidRDefault="00124549" w:rsidP="00124549">
      <w:pPr>
        <w:spacing w:line="360" w:lineRule="auto"/>
        <w:jc w:val="both"/>
        <w:rPr>
          <w:rFonts w:ascii="Georgia" w:hAnsi="Georgia" w:cs="Arial"/>
          <w:lang w:val="es-ES_tradnl"/>
        </w:rPr>
      </w:pPr>
    </w:p>
    <w:p w:rsidR="00732C98" w:rsidRDefault="00732C98" w:rsidP="00732C98">
      <w:pPr>
        <w:spacing w:line="360" w:lineRule="auto"/>
        <w:jc w:val="both"/>
        <w:rPr>
          <w:rFonts w:ascii="Georgia" w:hAnsi="Georgia" w:cs="Arial"/>
        </w:rPr>
      </w:pPr>
      <w:r>
        <w:rPr>
          <w:rFonts w:ascii="Georgia" w:hAnsi="Georgia"/>
          <w:lang w:val="es-CO"/>
        </w:rPr>
        <w:t xml:space="preserve">De acuerdo </w:t>
      </w:r>
      <w:r w:rsidR="007B5677">
        <w:rPr>
          <w:rFonts w:ascii="Georgia" w:hAnsi="Georgia"/>
          <w:lang w:val="es-CO"/>
        </w:rPr>
        <w:t xml:space="preserve">con el </w:t>
      </w:r>
      <w:r>
        <w:rPr>
          <w:rFonts w:ascii="Georgia" w:hAnsi="Georgia"/>
          <w:lang w:val="es-CO"/>
        </w:rPr>
        <w:t>material probatorio</w:t>
      </w:r>
      <w:r w:rsidRPr="00B50FBF">
        <w:rPr>
          <w:rFonts w:ascii="Georgia" w:hAnsi="Georgia"/>
          <w:lang w:val="es-CO"/>
        </w:rPr>
        <w:t xml:space="preserve">, se tiene que la </w:t>
      </w:r>
      <w:r w:rsidRPr="00B50FBF">
        <w:rPr>
          <w:rFonts w:ascii="Georgia" w:hAnsi="Georgia"/>
          <w:i/>
          <w:lang w:val="es-CO"/>
        </w:rPr>
        <w:t>a quo</w:t>
      </w:r>
      <w:r w:rsidRPr="00B50FBF">
        <w:rPr>
          <w:rFonts w:ascii="Georgia" w:hAnsi="Georgia"/>
          <w:lang w:val="es-CO"/>
        </w:rPr>
        <w:t xml:space="preserve"> </w:t>
      </w:r>
      <w:r>
        <w:rPr>
          <w:rFonts w:ascii="Georgia" w:hAnsi="Georgia"/>
          <w:lang w:val="es-CO"/>
        </w:rPr>
        <w:t xml:space="preserve">con auto del 23-03-2018 </w:t>
      </w:r>
      <w:r w:rsidRPr="00B33A0F">
        <w:rPr>
          <w:rFonts w:ascii="Georgia" w:hAnsi="Georgia"/>
          <w:lang w:val="es-CO"/>
        </w:rPr>
        <w:t xml:space="preserve">dispuso </w:t>
      </w:r>
      <w:r>
        <w:rPr>
          <w:rFonts w:ascii="Georgia" w:hAnsi="Georgia"/>
          <w:lang w:val="es-CO"/>
        </w:rPr>
        <w:t xml:space="preserve">remitir </w:t>
      </w:r>
      <w:r w:rsidRPr="00B33A0F">
        <w:rPr>
          <w:rFonts w:ascii="Georgia" w:hAnsi="Georgia"/>
          <w:lang w:val="es-CO"/>
        </w:rPr>
        <w:t xml:space="preserve">por competencia </w:t>
      </w:r>
      <w:r>
        <w:rPr>
          <w:rFonts w:ascii="Georgia" w:hAnsi="Georgia"/>
          <w:lang w:val="es-CO"/>
        </w:rPr>
        <w:t>la acción popular No.2018-00221-00 a la</w:t>
      </w:r>
      <w:r w:rsidRPr="00B33A0F">
        <w:rPr>
          <w:rFonts w:ascii="Georgia" w:hAnsi="Georgia"/>
          <w:lang w:val="es-CO"/>
        </w:rPr>
        <w:t xml:space="preserve"> Oficina</w:t>
      </w:r>
      <w:r>
        <w:rPr>
          <w:rFonts w:ascii="Georgia" w:hAnsi="Georgia"/>
          <w:lang w:val="es-CO"/>
        </w:rPr>
        <w:t xml:space="preserve"> Judicial -Reparto-</w:t>
      </w:r>
      <w:r w:rsidRPr="00B33A0F">
        <w:rPr>
          <w:rFonts w:ascii="Georgia" w:hAnsi="Georgia"/>
          <w:lang w:val="es-CO"/>
        </w:rPr>
        <w:t xml:space="preserve"> de Bogotá </w:t>
      </w:r>
      <w:r>
        <w:rPr>
          <w:rFonts w:ascii="Georgia" w:hAnsi="Georgia"/>
          <w:lang w:val="es-CO"/>
        </w:rPr>
        <w:t>(Folios 9 vuelto y 10</w:t>
      </w:r>
      <w:r w:rsidRPr="00B33A0F">
        <w:rPr>
          <w:rFonts w:ascii="Georgia" w:hAnsi="Georgia"/>
          <w:lang w:val="es-CO"/>
        </w:rPr>
        <w:t>, ib.)</w:t>
      </w:r>
      <w:r>
        <w:rPr>
          <w:rFonts w:ascii="Georgia" w:hAnsi="Georgia"/>
          <w:lang w:val="es-CO"/>
        </w:rPr>
        <w:t xml:space="preserve">, notificada con fijación en el estado del 02-04-2018, debidamente ejecutoriada, sin ser recurrida </w:t>
      </w:r>
      <w:r>
        <w:rPr>
          <w:rFonts w:ascii="Georgia" w:hAnsi="Georgia" w:cs="Arial"/>
        </w:rPr>
        <w:t>(Folios 10 vuelto y 11, ib.).</w:t>
      </w:r>
    </w:p>
    <w:p w:rsidR="00732C98" w:rsidRPr="00712524" w:rsidRDefault="00732C98" w:rsidP="00732C98">
      <w:pPr>
        <w:spacing w:line="360" w:lineRule="auto"/>
        <w:ind w:right="51"/>
        <w:jc w:val="both"/>
        <w:rPr>
          <w:rFonts w:ascii="Georgia" w:hAnsi="Georgia" w:cs="Arial"/>
          <w:lang w:val="es-CO"/>
        </w:rPr>
      </w:pPr>
      <w:r w:rsidRPr="00712524">
        <w:rPr>
          <w:rFonts w:ascii="Georgia" w:hAnsi="Georgia" w:cs="Arial"/>
        </w:rPr>
        <w:t xml:space="preserve">Según lo discurrido </w:t>
      </w:r>
      <w:r w:rsidR="008314EF">
        <w:rPr>
          <w:rFonts w:ascii="Georgia" w:hAnsi="Georgia" w:cs="Arial"/>
        </w:rPr>
        <w:t>luce evidente que</w:t>
      </w:r>
      <w:r w:rsidRPr="00712524">
        <w:rPr>
          <w:rFonts w:ascii="Georgia" w:hAnsi="Georgia" w:cs="Arial"/>
        </w:rPr>
        <w:t xml:space="preserve"> el presente amparo es improcedente por el incumplimiento del requisito de </w:t>
      </w:r>
      <w:r>
        <w:rPr>
          <w:rFonts w:ascii="Georgia" w:hAnsi="Georgia" w:cs="Arial"/>
        </w:rPr>
        <w:t xml:space="preserve">la </w:t>
      </w:r>
      <w:r w:rsidRPr="00712524">
        <w:rPr>
          <w:rFonts w:ascii="Georgia" w:hAnsi="Georgia" w:cs="Arial"/>
        </w:rPr>
        <w:t xml:space="preserve">subsidiariedad, debido a la ausencia de agotamiento </w:t>
      </w:r>
      <w:r>
        <w:rPr>
          <w:rFonts w:ascii="Georgia" w:hAnsi="Georgia" w:cs="Arial"/>
        </w:rPr>
        <w:t>del mecanismo ordinario</w:t>
      </w:r>
      <w:r w:rsidRPr="00712524">
        <w:rPr>
          <w:rFonts w:ascii="Georgia" w:hAnsi="Georgia" w:cs="Arial"/>
        </w:rPr>
        <w:t xml:space="preserve"> con que contaba el actor para atacar la decisión </w:t>
      </w:r>
      <w:r>
        <w:rPr>
          <w:rFonts w:ascii="Georgia" w:hAnsi="Georgia" w:cs="Arial"/>
        </w:rPr>
        <w:t>cuestionada (Artículos 36, Ley 472 y 318, CGP).</w:t>
      </w:r>
    </w:p>
    <w:p w:rsidR="00732C98" w:rsidRDefault="00732C98" w:rsidP="00732C98">
      <w:pPr>
        <w:spacing w:line="360" w:lineRule="auto"/>
        <w:jc w:val="both"/>
        <w:rPr>
          <w:rFonts w:ascii="Georgia" w:hAnsi="Georgia" w:cs="Arial"/>
        </w:rPr>
      </w:pPr>
    </w:p>
    <w:p w:rsidR="008314EF" w:rsidRDefault="008314EF" w:rsidP="007B5677">
      <w:pPr>
        <w:spacing w:line="360" w:lineRule="auto"/>
        <w:jc w:val="both"/>
        <w:rPr>
          <w:rFonts w:ascii="Georgia" w:hAnsi="Georgia"/>
          <w:lang w:val="es-CO"/>
        </w:rPr>
      </w:pPr>
      <w:r>
        <w:rPr>
          <w:rFonts w:ascii="Georgia" w:hAnsi="Georgia" w:cs="Arial"/>
        </w:rPr>
        <w:t>Asimismo</w:t>
      </w:r>
      <w:r w:rsidR="007B5677">
        <w:rPr>
          <w:rFonts w:ascii="Georgia" w:hAnsi="Georgia" w:cs="Arial"/>
        </w:rPr>
        <w:t xml:space="preserve">, se </w:t>
      </w:r>
      <w:r>
        <w:rPr>
          <w:rFonts w:ascii="Georgia" w:hAnsi="Georgia" w:cs="Arial"/>
        </w:rPr>
        <w:t xml:space="preserve">advierte </w:t>
      </w:r>
      <w:r w:rsidR="007B5677">
        <w:rPr>
          <w:rFonts w:ascii="Georgia" w:hAnsi="Georgia" w:cs="Arial"/>
        </w:rPr>
        <w:t>que el amparo constitucional fue anticipado</w:t>
      </w:r>
      <w:r>
        <w:rPr>
          <w:rFonts w:ascii="Georgia" w:hAnsi="Georgia" w:cs="Arial"/>
        </w:rPr>
        <w:t xml:space="preserve">, por manera que </w:t>
      </w:r>
      <w:r w:rsidR="007B5677">
        <w:rPr>
          <w:rFonts w:ascii="Georgia" w:hAnsi="Georgia" w:cs="Arial"/>
        </w:rPr>
        <w:t xml:space="preserve">también carece del mentado presupuesto, </w:t>
      </w:r>
      <w:r w:rsidR="007B5677" w:rsidRPr="00B33A0F">
        <w:rPr>
          <w:rFonts w:ascii="Georgia" w:hAnsi="Georgia" w:cs="Arial"/>
        </w:rPr>
        <w:t xml:space="preserve">comoquiera </w:t>
      </w:r>
      <w:r w:rsidR="007B5677">
        <w:rPr>
          <w:rFonts w:ascii="Georgia" w:hAnsi="Georgia" w:cs="Arial"/>
        </w:rPr>
        <w:t xml:space="preserve">que </w:t>
      </w:r>
      <w:r w:rsidR="007B5677">
        <w:rPr>
          <w:rFonts w:ascii="Georgia" w:hAnsi="Georgia" w:cs="Arial"/>
          <w:lang w:val="es-CO"/>
        </w:rPr>
        <w:t xml:space="preserve">aún </w:t>
      </w:r>
      <w:r w:rsidR="007B5677">
        <w:rPr>
          <w:rFonts w:ascii="Georgia" w:hAnsi="Georgia" w:cs="Arial"/>
        </w:rPr>
        <w:t>está pendiente que el despacho judicial</w:t>
      </w:r>
      <w:r w:rsidR="007B5677" w:rsidRPr="00B50FBF">
        <w:rPr>
          <w:rFonts w:ascii="Georgia" w:hAnsi="Georgia" w:cs="Arial"/>
        </w:rPr>
        <w:t xml:space="preserve"> </w:t>
      </w:r>
      <w:r w:rsidR="007B5677">
        <w:rPr>
          <w:rFonts w:ascii="Georgia" w:hAnsi="Georgia" w:cs="Arial"/>
        </w:rPr>
        <w:t xml:space="preserve">al que se asigne el asunto decida avocar </w:t>
      </w:r>
      <w:r w:rsidR="007B5677" w:rsidRPr="00B50FBF">
        <w:rPr>
          <w:rFonts w:ascii="Georgia" w:hAnsi="Georgia" w:cs="Arial"/>
        </w:rPr>
        <w:t>su conocimiento o fo</w:t>
      </w:r>
      <w:r w:rsidR="007B5677">
        <w:rPr>
          <w:rFonts w:ascii="Georgia" w:hAnsi="Georgia" w:cs="Arial"/>
        </w:rPr>
        <w:t>rmular el conflicto de competencia</w:t>
      </w:r>
      <w:r w:rsidR="007B5677" w:rsidRPr="00B50FBF">
        <w:rPr>
          <w:rFonts w:ascii="Georgia" w:hAnsi="Georgia" w:cs="Arial"/>
        </w:rPr>
        <w:t xml:space="preserve">, </w:t>
      </w:r>
      <w:r w:rsidR="007B5677">
        <w:rPr>
          <w:rFonts w:ascii="Georgia" w:hAnsi="Georgia" w:cs="Arial"/>
        </w:rPr>
        <w:t xml:space="preserve">proveído </w:t>
      </w:r>
      <w:r w:rsidR="007B5677" w:rsidRPr="00B50FBF">
        <w:rPr>
          <w:rFonts w:ascii="Georgia" w:hAnsi="Georgia" w:cs="Arial"/>
        </w:rPr>
        <w:t xml:space="preserve">que </w:t>
      </w:r>
      <w:r w:rsidR="007B5677">
        <w:rPr>
          <w:rFonts w:ascii="Georgia" w:hAnsi="Georgia" w:cs="Arial"/>
        </w:rPr>
        <w:t xml:space="preserve">igualmente puede ser recurrido en </w:t>
      </w:r>
      <w:r w:rsidR="007B5677" w:rsidRPr="00B50FBF">
        <w:rPr>
          <w:rFonts w:ascii="Georgia" w:hAnsi="Georgia" w:cs="Arial"/>
        </w:rPr>
        <w:t>la oportunidad debida</w:t>
      </w:r>
      <w:r w:rsidR="007B5677">
        <w:rPr>
          <w:rFonts w:ascii="Georgia" w:hAnsi="Georgia" w:cs="Arial"/>
        </w:rPr>
        <w:t xml:space="preserve">. </w:t>
      </w:r>
      <w:r>
        <w:rPr>
          <w:rFonts w:ascii="Georgia" w:hAnsi="Georgia" w:cs="Arial"/>
        </w:rPr>
        <w:t xml:space="preserve">Está claro que la </w:t>
      </w:r>
      <w:r w:rsidR="007B5677">
        <w:rPr>
          <w:rFonts w:ascii="Georgia" w:hAnsi="Georgia"/>
          <w:lang w:val="es-CO"/>
        </w:rPr>
        <w:t>acción de tutela fue prematura</w:t>
      </w:r>
      <w:r>
        <w:rPr>
          <w:rFonts w:ascii="Georgia" w:hAnsi="Georgia"/>
          <w:lang w:val="es-CO"/>
        </w:rPr>
        <w:t xml:space="preserve">, en consideración a que </w:t>
      </w:r>
      <w:r w:rsidR="007B5677">
        <w:rPr>
          <w:rFonts w:ascii="Georgia" w:hAnsi="Georgia"/>
          <w:lang w:val="es-CO"/>
        </w:rPr>
        <w:t xml:space="preserve">el juicio popular todavía está en trámite. </w:t>
      </w:r>
    </w:p>
    <w:p w:rsidR="008314EF" w:rsidRDefault="008314EF" w:rsidP="007B5677">
      <w:pPr>
        <w:spacing w:line="360" w:lineRule="auto"/>
        <w:jc w:val="both"/>
        <w:rPr>
          <w:rFonts w:ascii="Georgia" w:hAnsi="Georgia"/>
          <w:lang w:val="es-CO"/>
        </w:rPr>
      </w:pPr>
    </w:p>
    <w:p w:rsidR="007B5677" w:rsidRPr="008314EF" w:rsidRDefault="008314EF" w:rsidP="007B5677">
      <w:pPr>
        <w:spacing w:line="360" w:lineRule="auto"/>
        <w:jc w:val="both"/>
        <w:rPr>
          <w:rFonts w:ascii="Georgia" w:hAnsi="Georgia" w:cs="Arial"/>
          <w:lang w:val="es-CO"/>
        </w:rPr>
      </w:pPr>
      <w:r>
        <w:rPr>
          <w:rFonts w:ascii="Georgia" w:hAnsi="Georgia"/>
          <w:lang w:val="es-CO"/>
        </w:rPr>
        <w:t xml:space="preserve">Aquel, es un criterio </w:t>
      </w:r>
      <w:r>
        <w:rPr>
          <w:rFonts w:ascii="Georgia" w:hAnsi="Georgia" w:cs="Arial"/>
        </w:rPr>
        <w:t xml:space="preserve">expuesto de tiempo atrás </w:t>
      </w:r>
      <w:r w:rsidRPr="00F61CAB">
        <w:rPr>
          <w:rFonts w:ascii="Georgia" w:hAnsi="Georgia" w:cs="Arial"/>
        </w:rPr>
        <w:t>por la CSJ</w:t>
      </w:r>
      <w:r w:rsidRPr="00F61CAB">
        <w:rPr>
          <w:rFonts w:ascii="Georgia" w:hAnsi="Georgia" w:cs="Arial"/>
          <w:vertAlign w:val="superscript"/>
        </w:rPr>
        <w:footnoteReference w:id="16"/>
      </w:r>
      <w:r>
        <w:rPr>
          <w:rFonts w:ascii="Georgia" w:hAnsi="Georgia" w:cs="Arial"/>
        </w:rPr>
        <w:t xml:space="preserve"> y la </w:t>
      </w:r>
      <w:r w:rsidR="00732C98">
        <w:rPr>
          <w:rFonts w:ascii="Georgia" w:hAnsi="Georgia" w:cs="Arial"/>
        </w:rPr>
        <w:t>CC</w:t>
      </w:r>
      <w:r w:rsidR="007B5677" w:rsidRPr="001040B7">
        <w:rPr>
          <w:rStyle w:val="Refdenotaalpie"/>
          <w:rFonts w:ascii="Georgia" w:hAnsi="Georgia"/>
        </w:rPr>
        <w:footnoteReference w:id="17"/>
      </w:r>
      <w:r>
        <w:rPr>
          <w:rFonts w:ascii="Georgia" w:hAnsi="Georgia" w:cs="Arial"/>
        </w:rPr>
        <w:t>; en efecto, la última Corporación recientemente (02-10-2017) recordó</w:t>
      </w:r>
      <w:r w:rsidRPr="001040B7">
        <w:rPr>
          <w:rStyle w:val="Refdenotaalpie"/>
          <w:rFonts w:ascii="Georgia" w:hAnsi="Georgia"/>
        </w:rPr>
        <w:footnoteReference w:id="18"/>
      </w:r>
      <w:r>
        <w:rPr>
          <w:rFonts w:ascii="Georgia" w:hAnsi="Georgia" w:cs="Arial"/>
        </w:rPr>
        <w:t>:</w:t>
      </w:r>
      <w:r w:rsidR="007B5677">
        <w:rPr>
          <w:rFonts w:ascii="Georgia" w:hAnsi="Georgia" w:cs="Arial"/>
        </w:rPr>
        <w:t xml:space="preserve">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8314EF">
        <w:rPr>
          <w:rFonts w:ascii="Georgia" w:hAnsi="Georgia"/>
          <w:bCs/>
          <w:i/>
          <w:sz w:val="22"/>
          <w:szCs w:val="28"/>
        </w:rPr>
        <w:t xml:space="preserve">o </w:t>
      </w:r>
      <w:r w:rsidRPr="008314EF">
        <w:rPr>
          <w:rFonts w:ascii="Georgia" w:hAnsi="Georgia"/>
          <w:bCs/>
          <w:i/>
          <w:sz w:val="22"/>
          <w:szCs w:val="28"/>
          <w:u w:val="single"/>
        </w:rPr>
        <w:t>(ii) se encuentra en curso</w:t>
      </w:r>
      <w:r w:rsidRPr="008314EF">
        <w:rPr>
          <w:rFonts w:ascii="Georgia" w:hAnsi="Georgia"/>
          <w:bCs/>
          <w:i/>
          <w:sz w:val="22"/>
          <w:szCs w:val="28"/>
          <w:u w:val="single"/>
          <w:vertAlign w:val="superscript"/>
        </w:rPr>
        <w:footnoteReference w:id="19"/>
      </w:r>
      <w:r w:rsidRPr="008314EF">
        <w:rPr>
          <w:rFonts w:ascii="Georgia" w:hAnsi="Georgia"/>
          <w:bCs/>
          <w:i/>
          <w:sz w:val="22"/>
          <w:szCs w:val="28"/>
        </w:rPr>
        <w:t>.</w:t>
      </w:r>
      <w:r w:rsidRPr="001040B7">
        <w:rPr>
          <w:rFonts w:ascii="Georgia" w:hAnsi="Georgia"/>
          <w:bCs/>
          <w:i/>
          <w:sz w:val="22"/>
          <w:szCs w:val="28"/>
        </w:rPr>
        <w:t xml:space="preserve"> En el segundo de ellos, en principio, la intervención del juez constitucional está vedada</w:t>
      </w:r>
      <w:r>
        <w:rPr>
          <w:rFonts w:ascii="Georgia" w:hAnsi="Georgia"/>
          <w:bCs/>
          <w:i/>
          <w:sz w:val="22"/>
          <w:szCs w:val="28"/>
        </w:rPr>
        <w:t xml:space="preserve"> (…)” </w:t>
      </w:r>
      <w:proofErr w:type="spellStart"/>
      <w:r w:rsidRPr="008314EF">
        <w:rPr>
          <w:rFonts w:ascii="Georgia" w:hAnsi="Georgia"/>
          <w:bCs/>
          <w:szCs w:val="28"/>
        </w:rPr>
        <w:t>Sublínea</w:t>
      </w:r>
      <w:proofErr w:type="spellEnd"/>
      <w:r w:rsidRPr="008314EF">
        <w:rPr>
          <w:rFonts w:ascii="Georgia" w:hAnsi="Georgia"/>
          <w:bCs/>
          <w:szCs w:val="28"/>
        </w:rPr>
        <w:t xml:space="preserve"> de la Sala.</w:t>
      </w:r>
    </w:p>
    <w:p w:rsidR="00732C98" w:rsidRPr="00B50FBF" w:rsidRDefault="00732C98" w:rsidP="00732C98">
      <w:pPr>
        <w:spacing w:line="360" w:lineRule="auto"/>
        <w:jc w:val="both"/>
        <w:rPr>
          <w:rFonts w:ascii="Georgia" w:hAnsi="Georgia" w:cs="Arial"/>
        </w:rPr>
      </w:pPr>
    </w:p>
    <w:p w:rsidR="009E770D" w:rsidRDefault="00AD1EC7" w:rsidP="009E770D">
      <w:pPr>
        <w:spacing w:line="360" w:lineRule="auto"/>
        <w:ind w:right="51"/>
        <w:jc w:val="both"/>
        <w:rPr>
          <w:rFonts w:ascii="Georgia" w:hAnsi="Georgia"/>
        </w:rPr>
      </w:pPr>
      <w:r>
        <w:rPr>
          <w:rFonts w:ascii="Georgia" w:hAnsi="Georgia"/>
        </w:rPr>
        <w:lastRenderedPageBreak/>
        <w:t xml:space="preserve">Para </w:t>
      </w:r>
      <w:r w:rsidR="008314EF">
        <w:rPr>
          <w:rFonts w:ascii="Georgia" w:hAnsi="Georgia"/>
        </w:rPr>
        <w:t>esta</w:t>
      </w:r>
      <w:r>
        <w:rPr>
          <w:rFonts w:ascii="Georgia" w:hAnsi="Georgia"/>
        </w:rPr>
        <w:t xml:space="preserve"> Magistratura n</w:t>
      </w:r>
      <w:r w:rsidR="009E770D">
        <w:rPr>
          <w:rFonts w:ascii="Georgia" w:hAnsi="Georgia"/>
        </w:rPr>
        <w:t xml:space="preserve">o es dable flexibilizar el análisis del requisito echado de menos toda vez que </w:t>
      </w:r>
      <w:r w:rsidR="009E770D" w:rsidRPr="00B33A0F">
        <w:rPr>
          <w:rFonts w:ascii="Georgia" w:hAnsi="Georgia"/>
        </w:rPr>
        <w:t xml:space="preserve">nada se arguyó y menos </w:t>
      </w:r>
      <w:r w:rsidR="009E770D">
        <w:rPr>
          <w:rFonts w:ascii="Georgia" w:hAnsi="Georgia"/>
        </w:rPr>
        <w:t xml:space="preserve">se </w:t>
      </w:r>
      <w:r w:rsidR="009E770D" w:rsidRPr="00B33A0F">
        <w:rPr>
          <w:rFonts w:ascii="Georgia" w:hAnsi="Georgia"/>
        </w:rPr>
        <w:t xml:space="preserve">acreditó por </w:t>
      </w:r>
      <w:r>
        <w:rPr>
          <w:rFonts w:ascii="Georgia" w:hAnsi="Georgia"/>
        </w:rPr>
        <w:t xml:space="preserve">el </w:t>
      </w:r>
      <w:r w:rsidR="009E770D" w:rsidRPr="00B33A0F">
        <w:rPr>
          <w:rFonts w:ascii="Georgia" w:hAnsi="Georgia"/>
        </w:rPr>
        <w:t xml:space="preserve">accionante, de forma que pudiera estimarse </w:t>
      </w:r>
      <w:r w:rsidR="009E770D" w:rsidRPr="00B33A0F">
        <w:rPr>
          <w:rFonts w:ascii="Georgia" w:hAnsi="Georgia" w:cs="Arial"/>
          <w:bCs/>
          <w:szCs w:val="22"/>
          <w:lang w:val="es-CO"/>
        </w:rPr>
        <w:t>que es una persona que requiere de protección reforzada</w:t>
      </w:r>
      <w:r w:rsidR="009E770D" w:rsidRPr="00B33A0F">
        <w:rPr>
          <w:rStyle w:val="Refdenotaalpie"/>
          <w:rFonts w:ascii="Georgia" w:hAnsi="Georgia"/>
          <w:bCs/>
          <w:szCs w:val="22"/>
          <w:lang w:val="es-CO"/>
        </w:rPr>
        <w:footnoteReference w:id="20"/>
      </w:r>
      <w:r w:rsidR="009E770D" w:rsidRPr="00B33A0F">
        <w:rPr>
          <w:rFonts w:ascii="Georgia" w:hAnsi="Georgia"/>
        </w:rPr>
        <w:t>.</w:t>
      </w:r>
      <w:r>
        <w:rPr>
          <w:rFonts w:ascii="Georgia" w:hAnsi="Georgia"/>
        </w:rPr>
        <w:t xml:space="preserve"> </w:t>
      </w:r>
      <w:r w:rsidR="009E770D" w:rsidRPr="00B33A0F">
        <w:rPr>
          <w:rFonts w:ascii="Georgia" w:hAnsi="Georgia" w:cs="Arial"/>
          <w:lang w:val="es-ES_tradnl"/>
        </w:rPr>
        <w:t xml:space="preserve">En ese contexto, </w:t>
      </w:r>
      <w:r w:rsidR="008314EF">
        <w:rPr>
          <w:rFonts w:ascii="Georgia" w:hAnsi="Georgia" w:cs="Arial"/>
          <w:lang w:val="es-ES_tradnl"/>
        </w:rPr>
        <w:t xml:space="preserve">el </w:t>
      </w:r>
      <w:r w:rsidR="000C4707">
        <w:rPr>
          <w:rFonts w:ascii="Georgia" w:hAnsi="Georgia" w:cs="Arial"/>
          <w:lang w:val="es-ES_tradnl"/>
        </w:rPr>
        <w:t xml:space="preserve"> </w:t>
      </w:r>
      <w:r w:rsidR="009E770D" w:rsidRPr="00B33A0F">
        <w:rPr>
          <w:rFonts w:ascii="Georgia" w:hAnsi="Georgia" w:cs="Arial"/>
          <w:lang w:val="es-ES_tradnl"/>
        </w:rPr>
        <w:t>presente</w:t>
      </w:r>
      <w:r w:rsidR="008314EF">
        <w:rPr>
          <w:rFonts w:ascii="Georgia" w:hAnsi="Georgia" w:cs="Arial"/>
          <w:lang w:val="es-ES_tradnl"/>
        </w:rPr>
        <w:t xml:space="preserve"> </w:t>
      </w:r>
      <w:r w:rsidR="009E770D" w:rsidRPr="00B33A0F">
        <w:rPr>
          <w:rFonts w:ascii="Georgia" w:hAnsi="Georgia" w:cs="Arial"/>
          <w:lang w:val="es-ES_tradnl"/>
        </w:rPr>
        <w:t xml:space="preserve">amparo </w:t>
      </w:r>
      <w:r w:rsidR="008314EF">
        <w:rPr>
          <w:rFonts w:ascii="Georgia" w:hAnsi="Georgia" w:cs="Arial"/>
          <w:lang w:val="es-ES_tradnl"/>
        </w:rPr>
        <w:t xml:space="preserve">es </w:t>
      </w:r>
      <w:r w:rsidR="009E770D" w:rsidRPr="00B33A0F">
        <w:rPr>
          <w:rFonts w:ascii="Georgia" w:hAnsi="Georgia" w:cs="Arial"/>
          <w:lang w:val="es-ES_tradnl"/>
        </w:rPr>
        <w:t xml:space="preserve">improcedente toda vez que se incumple con uno de los siete (7) requisitos generales de </w:t>
      </w:r>
      <w:proofErr w:type="spellStart"/>
      <w:r w:rsidR="009E770D" w:rsidRPr="00B33A0F">
        <w:rPr>
          <w:rFonts w:ascii="Georgia" w:hAnsi="Georgia" w:cs="Arial"/>
          <w:lang w:val="es-ES_tradnl"/>
        </w:rPr>
        <w:t>procedibilidad</w:t>
      </w:r>
      <w:proofErr w:type="spellEnd"/>
      <w:r w:rsidR="009E770D" w:rsidRPr="00B33A0F">
        <w:rPr>
          <w:rFonts w:ascii="Georgia" w:hAnsi="Georgia" w:cs="Arial"/>
          <w:lang w:val="es-ES_tradnl"/>
        </w:rPr>
        <w:t>, como lo es el de la subsidiariedad</w:t>
      </w:r>
      <w:r w:rsidR="009E770D" w:rsidRPr="00B33A0F">
        <w:rPr>
          <w:rFonts w:ascii="Georgia" w:hAnsi="Georgia"/>
        </w:rPr>
        <w:t>.</w:t>
      </w:r>
    </w:p>
    <w:p w:rsidR="00124549" w:rsidRPr="00AD1EC7" w:rsidRDefault="00124549" w:rsidP="00124549">
      <w:pPr>
        <w:pStyle w:val="Textoindependiente"/>
        <w:spacing w:line="360" w:lineRule="auto"/>
        <w:rPr>
          <w:rFonts w:ascii="Georgia" w:hAnsi="Georgia" w:cs="Aria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AD1EC7" w:rsidRDefault="00D61DEB" w:rsidP="00D61DEB">
      <w:pPr>
        <w:pStyle w:val="Textoindependiente"/>
        <w:spacing w:line="360" w:lineRule="auto"/>
        <w:ind w:left="400"/>
        <w:rPr>
          <w:rFonts w:ascii="Georgia" w:hAnsi="Georgia"/>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 se declarará</w:t>
      </w:r>
      <w:r>
        <w:rPr>
          <w:rFonts w:ascii="Georgia" w:hAnsi="Georgia" w:cs="Arial"/>
          <w:szCs w:val="24"/>
          <w:lang w:val="es-ES"/>
        </w:rPr>
        <w:t xml:space="preserve"> improcedente </w:t>
      </w:r>
      <w:r w:rsidR="008314EF">
        <w:rPr>
          <w:rFonts w:ascii="Georgia" w:hAnsi="Georgia" w:cs="Arial"/>
          <w:szCs w:val="24"/>
          <w:lang w:val="es-ES"/>
        </w:rPr>
        <w:t xml:space="preserve">la acción de tutela formulada contra el </w:t>
      </w:r>
      <w:r w:rsidRPr="00B33A0F">
        <w:rPr>
          <w:rFonts w:ascii="Georgia" w:hAnsi="Georgia" w:cs="Arial"/>
          <w:szCs w:val="24"/>
          <w:lang w:val="es-ES"/>
        </w:rPr>
        <w:t>Juzgado</w:t>
      </w:r>
      <w:r>
        <w:rPr>
          <w:rFonts w:ascii="Georgia" w:hAnsi="Georgia" w:cs="Arial"/>
        </w:rPr>
        <w:t xml:space="preserve"> </w:t>
      </w:r>
      <w:r w:rsidR="008314EF">
        <w:rPr>
          <w:rFonts w:ascii="Georgia" w:hAnsi="Georgia" w:cs="Arial"/>
        </w:rPr>
        <w:t xml:space="preserve">Promiscuo del </w:t>
      </w:r>
      <w:r>
        <w:rPr>
          <w:rFonts w:ascii="Georgia" w:hAnsi="Georgia" w:cs="Arial"/>
        </w:rPr>
        <w:t xml:space="preserve">Circuito de </w:t>
      </w:r>
      <w:r w:rsidR="008314EF">
        <w:rPr>
          <w:rFonts w:ascii="Georgia" w:hAnsi="Georgia" w:cs="Arial"/>
        </w:rPr>
        <w:t>La Virginia</w:t>
      </w:r>
      <w:r w:rsidR="006A1FD7">
        <w:rPr>
          <w:rFonts w:ascii="Georgia" w:hAnsi="Georgia" w:cs="Arial"/>
        </w:rPr>
        <w:t>.</w:t>
      </w:r>
    </w:p>
    <w:p w:rsidR="00BB7438" w:rsidRPr="00AD1EC7" w:rsidRDefault="00BB7438" w:rsidP="00BB7438">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BB7438" w:rsidRDefault="00A0113E"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 por el señor </w:t>
      </w:r>
      <w:proofErr w:type="spellStart"/>
      <w:r w:rsidR="0073460F">
        <w:rPr>
          <w:rFonts w:ascii="Georgia" w:hAnsi="Georgia" w:cs="Arial"/>
        </w:rPr>
        <w:t>Uner</w:t>
      </w:r>
      <w:proofErr w:type="spellEnd"/>
      <w:r w:rsidR="0073460F">
        <w:rPr>
          <w:rFonts w:ascii="Georgia" w:hAnsi="Georgia" w:cs="Arial"/>
        </w:rPr>
        <w:t xml:space="preserve"> Augusto Becerra Largo</w:t>
      </w:r>
      <w:r w:rsidRPr="00B33A0F">
        <w:rPr>
          <w:rFonts w:ascii="Georgia" w:hAnsi="Georgia" w:cs="Arial"/>
        </w:rPr>
        <w:t xml:space="preserve"> contra el Juzgado</w:t>
      </w:r>
      <w:r>
        <w:rPr>
          <w:rFonts w:ascii="Georgia" w:hAnsi="Georgia" w:cs="Arial"/>
        </w:rPr>
        <w:t xml:space="preserve"> </w:t>
      </w:r>
      <w:r w:rsidR="008314EF">
        <w:rPr>
          <w:rFonts w:ascii="Georgia" w:hAnsi="Georgia" w:cs="Arial"/>
        </w:rPr>
        <w:t xml:space="preserve">Promiscuo </w:t>
      </w:r>
      <w:r w:rsidRPr="00B33A0F">
        <w:rPr>
          <w:rFonts w:ascii="Georgia" w:hAnsi="Georgia" w:cs="Arial"/>
        </w:rPr>
        <w:t xml:space="preserve">del Circuito de </w:t>
      </w:r>
      <w:r w:rsidR="008314EF">
        <w:rPr>
          <w:rFonts w:ascii="Georgia" w:hAnsi="Georgia" w:cs="Arial"/>
        </w:rPr>
        <w:t>La Virginia</w:t>
      </w:r>
      <w:r>
        <w:rPr>
          <w:rFonts w:ascii="Georgia" w:hAnsi="Georgia" w:cs="Arial"/>
        </w:rPr>
        <w:t>.</w:t>
      </w:r>
    </w:p>
    <w:p w:rsidR="008314EF" w:rsidRDefault="008314EF" w:rsidP="008314E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9E770D"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E770D" w:rsidRPr="00AD1EC7" w:rsidRDefault="009E770D" w:rsidP="009E770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sz w:val="22"/>
        </w:rPr>
      </w:pPr>
    </w:p>
    <w:p w:rsidR="009E770D" w:rsidRPr="00B33A0F" w:rsidRDefault="009E770D" w:rsidP="009E770D">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AD1EC7" w:rsidRDefault="009E770D" w:rsidP="009E770D">
      <w:pPr>
        <w:pStyle w:val="Textoindependiente"/>
        <w:tabs>
          <w:tab w:val="clear" w:pos="708"/>
        </w:tabs>
        <w:spacing w:line="360" w:lineRule="auto"/>
        <w:rPr>
          <w:rFonts w:ascii="Georgia" w:hAnsi="Georgia" w:cs="Arial"/>
          <w:szCs w:val="24"/>
          <w:lang w:val="es-CO"/>
        </w:rPr>
      </w:pPr>
    </w:p>
    <w:p w:rsidR="00BB7438" w:rsidRPr="00BB7438" w:rsidRDefault="00BB7438" w:rsidP="006A1FD7">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 xml:space="preserve">el expediente, previa anotaciones en los libros </w:t>
      </w:r>
      <w:proofErr w:type="spellStart"/>
      <w:r w:rsidRPr="00BB7438">
        <w:rPr>
          <w:rFonts w:ascii="Georgia" w:hAnsi="Georgia" w:cs="Arial"/>
        </w:rPr>
        <w:t>radicadores</w:t>
      </w:r>
      <w:proofErr w:type="spellEnd"/>
      <w:r w:rsidRPr="00BB7438">
        <w:rPr>
          <w:rFonts w:ascii="Georgia" w:hAnsi="Georgia" w:cs="Arial"/>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CE" w:rsidRDefault="008451CE" w:rsidP="0099045D">
      <w:r>
        <w:separator/>
      </w:r>
    </w:p>
  </w:endnote>
  <w:endnote w:type="continuationSeparator" w:id="0">
    <w:p w:rsidR="008451CE" w:rsidRDefault="008451C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CE" w:rsidRDefault="008451CE" w:rsidP="0099045D">
      <w:r>
        <w:separator/>
      </w:r>
    </w:p>
  </w:footnote>
  <w:footnote w:type="continuationSeparator" w:id="0">
    <w:p w:rsidR="008451CE" w:rsidRDefault="008451CE"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8314EF" w:rsidRPr="00F61CAB" w:rsidRDefault="008314EF" w:rsidP="008314EF">
      <w:pPr>
        <w:pStyle w:val="Textonotapie"/>
        <w:jc w:val="both"/>
      </w:pPr>
      <w:r w:rsidRPr="00F61CAB">
        <w:rPr>
          <w:rStyle w:val="Refdenotaalpie"/>
        </w:rPr>
        <w:footnoteRef/>
      </w:r>
      <w:r>
        <w:t xml:space="preserve"> CSJ</w:t>
      </w:r>
      <w:r w:rsidRPr="00F61CAB">
        <w:t>. STC3950-2016.</w:t>
      </w:r>
    </w:p>
  </w:footnote>
  <w:footnote w:id="17">
    <w:p w:rsidR="007B5677" w:rsidRPr="00714579" w:rsidRDefault="007B5677" w:rsidP="007B5677">
      <w:pPr>
        <w:pStyle w:val="Textonotapie"/>
      </w:pPr>
      <w:r w:rsidRPr="00714579">
        <w:rPr>
          <w:rStyle w:val="Refdenotaalpie"/>
        </w:rPr>
        <w:footnoteRef/>
      </w:r>
      <w:r w:rsidRPr="00714579">
        <w:t xml:space="preserve"> CC. T-600 de 2017.</w:t>
      </w:r>
    </w:p>
  </w:footnote>
  <w:footnote w:id="18">
    <w:p w:rsidR="008314EF" w:rsidRPr="00714579" w:rsidRDefault="008314EF" w:rsidP="008314EF">
      <w:pPr>
        <w:pStyle w:val="Textonotapie"/>
      </w:pPr>
      <w:r w:rsidRPr="00714579">
        <w:rPr>
          <w:rStyle w:val="Refdenotaalpie"/>
        </w:rPr>
        <w:footnoteRef/>
      </w:r>
      <w:r w:rsidRPr="00714579">
        <w:t xml:space="preserve"> CC. </w:t>
      </w:r>
      <w:r>
        <w:t>Ob. cit.</w:t>
      </w:r>
    </w:p>
  </w:footnote>
  <w:footnote w:id="19">
    <w:p w:rsidR="008314EF" w:rsidRPr="00714579" w:rsidRDefault="008314EF" w:rsidP="008314EF">
      <w:pPr>
        <w:pStyle w:val="Textonotapie"/>
      </w:pPr>
      <w:r w:rsidRPr="00714579">
        <w:rPr>
          <w:vertAlign w:val="superscript"/>
        </w:rPr>
        <w:footnoteRef/>
      </w:r>
      <w:r w:rsidRPr="00714579">
        <w:t xml:space="preserve"> CC. T-103 y 396 de 2014, entre otras. </w:t>
      </w:r>
    </w:p>
  </w:footnote>
  <w:footnote w:id="20">
    <w:p w:rsidR="009E770D" w:rsidRPr="007D3087" w:rsidRDefault="009E770D" w:rsidP="009E770D">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CC38B6">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73460F">
      <w:rPr>
        <w:rFonts w:ascii="Georgia" w:hAnsi="Georgia" w:cs="Calibri"/>
        <w:i/>
        <w:smallCaps/>
        <w:sz w:val="20"/>
        <w:szCs w:val="22"/>
      </w:rPr>
      <w:t>00125</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1CE"/>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38B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2FB7-6B06-4B7C-900F-87047E6D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2078</Words>
  <Characters>11430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2018-04-11T12:54:00Z</cp:lastPrinted>
  <dcterms:created xsi:type="dcterms:W3CDTF">2018-04-19T12:25:00Z</dcterms:created>
  <dcterms:modified xsi:type="dcterms:W3CDTF">2018-05-31T13:17:00Z</dcterms:modified>
</cp:coreProperties>
</file>