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14" w:rsidRPr="002F15F2" w:rsidRDefault="00072414" w:rsidP="0007241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bookmarkStart w:id="0" w:name="_GoBack"/>
      <w:bookmarkEnd w:id="0"/>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072414" w:rsidRPr="002F15F2" w:rsidRDefault="00072414" w:rsidP="0007241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072414" w:rsidRPr="00072414"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Asunto</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Sentencia de tutela en primera instancia</w:t>
      </w:r>
    </w:p>
    <w:p w:rsidR="00072414" w:rsidRPr="00072414"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Accionante</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xml:space="preserve">: Javier Elías Arias </w:t>
      </w:r>
      <w:proofErr w:type="spellStart"/>
      <w:r w:rsidRPr="00072414">
        <w:rPr>
          <w:rFonts w:ascii="Arial" w:hAnsi="Arial" w:cs="Arial"/>
          <w:sz w:val="18"/>
          <w:szCs w:val="18"/>
          <w:lang w:val="es-CO" w:eastAsia="fr-FR"/>
        </w:rPr>
        <w:t>Idárraga</w:t>
      </w:r>
      <w:proofErr w:type="spellEnd"/>
    </w:p>
    <w:p w:rsidR="00072414" w:rsidRPr="00072414"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Accionado (s)</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xml:space="preserve">: Juzgado Segundo Civil del Circuito de Pereira </w:t>
      </w:r>
    </w:p>
    <w:p w:rsidR="00072414" w:rsidRPr="00072414"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Pr>
          <w:rFonts w:ascii="Arial" w:hAnsi="Arial" w:cs="Arial"/>
          <w:sz w:val="18"/>
          <w:szCs w:val="18"/>
          <w:lang w:val="es-CO" w:eastAsia="fr-FR"/>
        </w:rPr>
        <w:tab/>
      </w:r>
      <w:r>
        <w:rPr>
          <w:rFonts w:ascii="Arial" w:hAnsi="Arial" w:cs="Arial"/>
          <w:sz w:val="18"/>
          <w:szCs w:val="18"/>
          <w:lang w:val="es-CO" w:eastAsia="fr-FR"/>
        </w:rPr>
        <w:tab/>
      </w:r>
      <w:r>
        <w:rPr>
          <w:rFonts w:ascii="Arial" w:hAnsi="Arial" w:cs="Arial"/>
          <w:sz w:val="18"/>
          <w:szCs w:val="18"/>
          <w:lang w:val="es-CO" w:eastAsia="fr-FR"/>
        </w:rPr>
        <w:tab/>
      </w:r>
      <w:r w:rsidRPr="00072414">
        <w:rPr>
          <w:rFonts w:ascii="Arial" w:hAnsi="Arial" w:cs="Arial"/>
          <w:sz w:val="18"/>
          <w:szCs w:val="18"/>
          <w:lang w:val="es-CO" w:eastAsia="fr-FR"/>
        </w:rPr>
        <w:t>: Rodolfo Herrera y otros</w:t>
      </w:r>
    </w:p>
    <w:p w:rsidR="00072414" w:rsidRPr="00072414"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Radicación</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2018-00446-00</w:t>
      </w:r>
    </w:p>
    <w:p w:rsidR="00072414" w:rsidRPr="002F15F2" w:rsidRDefault="00072414" w:rsidP="0007241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072414">
        <w:rPr>
          <w:rFonts w:ascii="Arial" w:hAnsi="Arial" w:cs="Arial"/>
          <w:sz w:val="18"/>
          <w:szCs w:val="18"/>
          <w:lang w:val="es-CO" w:eastAsia="fr-FR"/>
        </w:rPr>
        <w:t>Magistrado Ponente</w:t>
      </w:r>
      <w:r w:rsidRPr="00072414">
        <w:rPr>
          <w:rFonts w:ascii="Arial" w:hAnsi="Arial" w:cs="Arial"/>
          <w:sz w:val="18"/>
          <w:szCs w:val="18"/>
          <w:lang w:val="es-CO" w:eastAsia="fr-FR"/>
        </w:rPr>
        <w:tab/>
      </w:r>
      <w:r w:rsidRPr="00072414">
        <w:rPr>
          <w:rFonts w:ascii="Arial" w:hAnsi="Arial" w:cs="Arial"/>
          <w:sz w:val="18"/>
          <w:szCs w:val="18"/>
          <w:lang w:val="es-CO" w:eastAsia="fr-FR"/>
        </w:rPr>
        <w:tab/>
        <w:t xml:space="preserve">: </w:t>
      </w:r>
      <w:proofErr w:type="spellStart"/>
      <w:r w:rsidRPr="00072414">
        <w:rPr>
          <w:rFonts w:ascii="Arial" w:hAnsi="Arial" w:cs="Arial"/>
          <w:sz w:val="18"/>
          <w:szCs w:val="18"/>
          <w:lang w:val="es-CO" w:eastAsia="fr-FR"/>
        </w:rPr>
        <w:t>DUBERNEY</w:t>
      </w:r>
      <w:proofErr w:type="spellEnd"/>
      <w:r w:rsidRPr="00072414">
        <w:rPr>
          <w:rFonts w:ascii="Arial" w:hAnsi="Arial" w:cs="Arial"/>
          <w:sz w:val="18"/>
          <w:szCs w:val="18"/>
          <w:lang w:val="es-CO" w:eastAsia="fr-FR"/>
        </w:rPr>
        <w:t xml:space="preserve"> GRISALES HERRERA</w:t>
      </w:r>
    </w:p>
    <w:p w:rsidR="00072414" w:rsidRPr="002F15F2" w:rsidRDefault="00072414" w:rsidP="00072414">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72414" w:rsidRPr="002F15F2" w:rsidRDefault="00072414" w:rsidP="00072414">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72414" w:rsidRDefault="00072414" w:rsidP="00072414">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FALTA DE LEGITIMACIÓN</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 ACCIONANTE NO FUE QUIEN INTERPUSO RECURSO / IMPROCEDENTE /</w:t>
      </w:r>
      <w:r w:rsidRPr="002F15F2">
        <w:rPr>
          <w:rFonts w:ascii="Arial" w:hAnsi="Arial" w:cs="Arial"/>
          <w:b/>
          <w:sz w:val="18"/>
          <w:szCs w:val="18"/>
          <w:lang w:eastAsia="fr-FR"/>
        </w:rPr>
        <w:t xml:space="preserve"> </w:t>
      </w:r>
      <w:r w:rsidR="002D0B58">
        <w:rPr>
          <w:rFonts w:ascii="Arial" w:hAnsi="Arial" w:cs="Arial"/>
          <w:b/>
          <w:sz w:val="18"/>
          <w:szCs w:val="18"/>
          <w:lang w:eastAsia="fr-FR"/>
        </w:rPr>
        <w:t>SOLICITUD DESARCHIVE DE PROCESOS SIN ARANCEL JUDICIAL NO HA SIDO PRESENTADO AL JUZGADO / SE NIEGA POR AUSENCIA FÁCTICA /</w:t>
      </w:r>
    </w:p>
    <w:p w:rsidR="00072414" w:rsidRDefault="00072414" w:rsidP="00072414">
      <w:pPr>
        <w:pStyle w:val="Sinespaciado"/>
        <w:jc w:val="both"/>
        <w:rPr>
          <w:rFonts w:ascii="Arial" w:hAnsi="Arial" w:cs="Arial"/>
          <w:b/>
          <w:sz w:val="18"/>
          <w:szCs w:val="18"/>
          <w:lang w:eastAsia="fr-FR"/>
        </w:rPr>
      </w:pPr>
    </w:p>
    <w:p w:rsidR="00A97F40" w:rsidRPr="00A97F40" w:rsidRDefault="00A97F40" w:rsidP="00A97F40">
      <w:pPr>
        <w:pStyle w:val="Sinespaciado"/>
        <w:jc w:val="both"/>
        <w:rPr>
          <w:rFonts w:ascii="Arial" w:hAnsi="Arial" w:cs="Arial"/>
          <w:sz w:val="18"/>
          <w:szCs w:val="18"/>
          <w:lang w:val="es-ES_tradnl" w:eastAsia="fr-FR"/>
        </w:rPr>
      </w:pPr>
      <w:r w:rsidRPr="00A97F40">
        <w:rPr>
          <w:rFonts w:ascii="Arial" w:hAnsi="Arial" w:cs="Arial"/>
          <w:sz w:val="18"/>
          <w:szCs w:val="18"/>
          <w:lang w:val="es-ES_tradnl" w:eastAsia="fr-FR"/>
        </w:rPr>
        <w:t xml:space="preserve">También ha dicho la CSJ  en lo atinente a la tutela contra actuaciones o providencias dictadas al interior de un proceso que “E]n el promotor del amparo debe existir un interés que legitime su intervención, el cual, tratándose de violaciones derivadas de actuaciones judiciales, radica en cabeza de quienes conforman alguno de los extremos de la </w:t>
      </w:r>
      <w:proofErr w:type="spellStart"/>
      <w:r w:rsidRPr="00A97F40">
        <w:rPr>
          <w:rFonts w:ascii="Arial" w:hAnsi="Arial" w:cs="Arial"/>
          <w:sz w:val="18"/>
          <w:szCs w:val="18"/>
          <w:lang w:val="es-ES_tradnl" w:eastAsia="fr-FR"/>
        </w:rPr>
        <w:t>litis</w:t>
      </w:r>
      <w:proofErr w:type="spellEnd"/>
      <w:r w:rsidRPr="00A97F40">
        <w:rPr>
          <w:rFonts w:ascii="Arial" w:hAnsi="Arial" w:cs="Arial"/>
          <w:sz w:val="18"/>
          <w:szCs w:val="18"/>
          <w:lang w:val="es-ES_tradnl" w:eastAsia="fr-FR"/>
        </w:rPr>
        <w:t xml:space="preserve"> o fueron tenidos o reconocidos como intervinientes”. De tal suerte que las decisiones de un juez, solo pueden ser atacadas por quienes intervinieron en el proceso, es decir, alguno de los extremos de la </w:t>
      </w:r>
      <w:proofErr w:type="spellStart"/>
      <w:r w:rsidRPr="00A97F40">
        <w:rPr>
          <w:rFonts w:ascii="Arial" w:hAnsi="Arial" w:cs="Arial"/>
          <w:sz w:val="18"/>
          <w:szCs w:val="18"/>
          <w:lang w:val="es-ES_tradnl" w:eastAsia="fr-FR"/>
        </w:rPr>
        <w:t>litis</w:t>
      </w:r>
      <w:proofErr w:type="spellEnd"/>
      <w:r w:rsidRPr="00A97F40">
        <w:rPr>
          <w:rFonts w:ascii="Arial" w:hAnsi="Arial" w:cs="Arial"/>
          <w:sz w:val="18"/>
          <w:szCs w:val="18"/>
          <w:lang w:val="es-ES_tradnl" w:eastAsia="fr-FR"/>
        </w:rPr>
        <w:t xml:space="preserve"> o los terceros, únicos facultados para controvertirlas, y, por contera para formular la acción de tutela.</w:t>
      </w:r>
    </w:p>
    <w:p w:rsidR="00A97F40" w:rsidRPr="00A97F40" w:rsidRDefault="00A97F40" w:rsidP="00A97F40">
      <w:pPr>
        <w:pStyle w:val="Sinespaciado"/>
        <w:jc w:val="both"/>
        <w:rPr>
          <w:rFonts w:ascii="Arial" w:hAnsi="Arial" w:cs="Arial"/>
          <w:sz w:val="18"/>
          <w:szCs w:val="18"/>
          <w:lang w:val="es-ES_tradnl" w:eastAsia="fr-FR"/>
        </w:rPr>
      </w:pPr>
    </w:p>
    <w:p w:rsidR="00A97F40" w:rsidRPr="00A97F40" w:rsidRDefault="00A97F40" w:rsidP="00A97F40">
      <w:pPr>
        <w:pStyle w:val="Sinespaciado"/>
        <w:jc w:val="both"/>
        <w:rPr>
          <w:rFonts w:ascii="Arial" w:hAnsi="Arial" w:cs="Arial"/>
          <w:sz w:val="18"/>
          <w:szCs w:val="18"/>
          <w:lang w:val="es-ES_tradnl" w:eastAsia="fr-FR"/>
        </w:rPr>
      </w:pPr>
      <w:r w:rsidRPr="00A97F40">
        <w:rPr>
          <w:rFonts w:ascii="Arial" w:hAnsi="Arial" w:cs="Arial"/>
          <w:sz w:val="18"/>
          <w:szCs w:val="18"/>
          <w:lang w:val="es-ES_tradnl" w:eastAsia="fr-FR"/>
        </w:rPr>
        <w:t xml:space="preserve">Según el acervo probatorio las acciones populares Nos.2018-00027-00 y 2018-00035-00 fueron promovidas por el señor Rodolfo Morales (Folios 29 a 36, ib.), lo que da lugar a que sea clara la falta de legitimación en la causa por activa del señor Javier Elías Arias </w:t>
      </w:r>
      <w:proofErr w:type="spellStart"/>
      <w:r w:rsidRPr="00A97F40">
        <w:rPr>
          <w:rFonts w:ascii="Arial" w:hAnsi="Arial" w:cs="Arial"/>
          <w:sz w:val="18"/>
          <w:szCs w:val="18"/>
          <w:lang w:val="es-ES_tradnl" w:eastAsia="fr-FR"/>
        </w:rPr>
        <w:t>Idárraga</w:t>
      </w:r>
      <w:proofErr w:type="spellEnd"/>
      <w:r w:rsidRPr="00A97F40">
        <w:rPr>
          <w:rFonts w:ascii="Arial" w:hAnsi="Arial" w:cs="Arial"/>
          <w:sz w:val="18"/>
          <w:szCs w:val="18"/>
          <w:lang w:val="es-ES_tradnl" w:eastAsia="fr-FR"/>
        </w:rPr>
        <w:t xml:space="preserve">, puesto que no es parte en dichos asuntos, ni se le reconoció como tercero interviniente o coadyuvante. </w:t>
      </w:r>
    </w:p>
    <w:p w:rsidR="00A97F40" w:rsidRPr="00A97F40" w:rsidRDefault="00A97F40" w:rsidP="00A97F40">
      <w:pPr>
        <w:pStyle w:val="Sinespaciado"/>
        <w:jc w:val="both"/>
        <w:rPr>
          <w:rFonts w:ascii="Arial" w:hAnsi="Arial" w:cs="Arial"/>
          <w:sz w:val="18"/>
          <w:szCs w:val="18"/>
          <w:lang w:val="es-ES_tradnl" w:eastAsia="fr-FR"/>
        </w:rPr>
      </w:pPr>
    </w:p>
    <w:p w:rsidR="00072414" w:rsidRDefault="00A97F40" w:rsidP="00A97F40">
      <w:pPr>
        <w:pStyle w:val="Sinespaciado"/>
        <w:jc w:val="both"/>
        <w:rPr>
          <w:rFonts w:ascii="Arial" w:hAnsi="Arial" w:cs="Arial"/>
          <w:sz w:val="18"/>
          <w:szCs w:val="18"/>
          <w:lang w:val="es-ES_tradnl" w:eastAsia="fr-FR"/>
        </w:rPr>
      </w:pPr>
      <w:r w:rsidRPr="00A97F40">
        <w:rPr>
          <w:rFonts w:ascii="Arial" w:hAnsi="Arial" w:cs="Arial"/>
          <w:sz w:val="18"/>
          <w:szCs w:val="18"/>
          <w:lang w:val="es-ES_tradnl" w:eastAsia="fr-FR"/>
        </w:rPr>
        <w:t>Ahora, en lo tocante con la acción popular No.2018</w:t>
      </w:r>
      <w:r>
        <w:rPr>
          <w:rFonts w:ascii="Arial" w:hAnsi="Arial" w:cs="Arial"/>
          <w:sz w:val="18"/>
          <w:szCs w:val="18"/>
          <w:lang w:val="es-ES_tradnl" w:eastAsia="fr-FR"/>
        </w:rPr>
        <w:t>-00037-00 (Folios 37 a 43, ib.)</w:t>
      </w:r>
      <w:r w:rsidRPr="00A97F40">
        <w:rPr>
          <w:rFonts w:ascii="Arial" w:hAnsi="Arial" w:cs="Arial"/>
          <w:sz w:val="18"/>
          <w:szCs w:val="18"/>
          <w:lang w:val="es-ES_tradnl" w:eastAsia="fr-FR"/>
        </w:rPr>
        <w:t>, sí actúa como coadyuvante reconocido (Folios 43 vuelto, ib.), pese a ello carece de la legitimación para actuar, puesto que el recurso supuestamente dejado de decidir fue radicado por el señor Morales (Folio 40 vuelto, ib.); claramente busca la protección del derecho fundamental al debido proceso de otra persona, y no el suyo propio.</w:t>
      </w:r>
    </w:p>
    <w:p w:rsidR="002D0B58" w:rsidRDefault="002D0B58" w:rsidP="00A97F40">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2D0B58" w:rsidRDefault="002D0B58" w:rsidP="00A97F40">
      <w:pPr>
        <w:pStyle w:val="Sinespaciado"/>
        <w:jc w:val="both"/>
        <w:rPr>
          <w:rFonts w:ascii="Arial" w:hAnsi="Arial" w:cs="Arial"/>
          <w:sz w:val="18"/>
          <w:szCs w:val="18"/>
          <w:lang w:val="es-ES_tradnl" w:eastAsia="fr-FR"/>
        </w:rPr>
      </w:pPr>
      <w:r w:rsidRPr="002D0B58">
        <w:rPr>
          <w:rFonts w:ascii="Arial" w:hAnsi="Arial" w:cs="Arial"/>
          <w:sz w:val="18"/>
          <w:szCs w:val="18"/>
          <w:lang w:val="es-ES_tradnl" w:eastAsia="fr-FR"/>
        </w:rPr>
        <w:t>De otro lado, esta Sala negará las pretensiones tutelares dirigidas a que el despacho judicial desarchive las acciones populares sin exigir el pago de arancel judicial, dada la ausencia en el plenario de prueba sobre la presentación de pedimento en dichos términos, evidente es la inexistencia de hechos vulneradores o amenazantes de los derechos invocados; la tutela no es el mecanismo para formular derechos de petición ante autoridades o particulares.</w:t>
      </w:r>
    </w:p>
    <w:p w:rsidR="00072414" w:rsidRDefault="00072414" w:rsidP="00072414">
      <w:pPr>
        <w:pStyle w:val="Sinespaciado"/>
        <w:jc w:val="both"/>
        <w:rPr>
          <w:rFonts w:ascii="Arial" w:hAnsi="Arial" w:cs="Arial"/>
          <w:sz w:val="18"/>
          <w:szCs w:val="18"/>
          <w:lang w:val="es-ES_tradnl" w:eastAsia="fr-FR"/>
        </w:rPr>
      </w:pPr>
    </w:p>
    <w:p w:rsidR="00072414" w:rsidRDefault="00072414" w:rsidP="00072414">
      <w:pPr>
        <w:pStyle w:val="Sinespaciado"/>
        <w:jc w:val="both"/>
        <w:rPr>
          <w:rFonts w:ascii="Arial" w:hAnsi="Arial" w:cs="Arial"/>
          <w:sz w:val="18"/>
          <w:szCs w:val="18"/>
          <w:lang w:val="es-ES_tradnl" w:eastAsia="fr-FR"/>
        </w:rPr>
      </w:pPr>
    </w:p>
    <w:p w:rsidR="00072414" w:rsidRDefault="00072414" w:rsidP="00072414">
      <w:pPr>
        <w:pStyle w:val="Sinespaciado"/>
        <w:jc w:val="both"/>
        <w:rPr>
          <w:rFonts w:ascii="Arial" w:hAnsi="Arial" w:cs="Arial"/>
          <w:sz w:val="18"/>
          <w:szCs w:val="18"/>
          <w:lang w:val="es-ES_tradnl" w:eastAsia="fr-FR"/>
        </w:rPr>
      </w:pPr>
    </w:p>
    <w:p w:rsidR="00072414" w:rsidRDefault="00072414" w:rsidP="00072414">
      <w:pPr>
        <w:pStyle w:val="Sinespaciado"/>
        <w:jc w:val="both"/>
        <w:rPr>
          <w:rFonts w:ascii="Arial" w:hAnsi="Arial" w:cs="Arial"/>
          <w:sz w:val="18"/>
          <w:szCs w:val="18"/>
          <w:lang w:val="es-ES_tradnl" w:eastAsia="fr-FR"/>
        </w:rPr>
      </w:pPr>
    </w:p>
    <w:p w:rsidR="00486062" w:rsidRPr="007C23E2" w:rsidRDefault="00D0509A" w:rsidP="002403C8">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Javier Elías Arias </w:t>
      </w:r>
      <w:proofErr w:type="spellStart"/>
      <w:r w:rsidRPr="006A672F">
        <w:rPr>
          <w:rFonts w:ascii="Georgia" w:hAnsi="Georgia" w:cs="Arial"/>
        </w:rPr>
        <w:t>Idárraga</w:t>
      </w:r>
      <w:proofErr w:type="spellEnd"/>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6205AC">
        <w:rPr>
          <w:rFonts w:ascii="Georgia" w:hAnsi="Georgia" w:cs="Arial"/>
        </w:rPr>
        <w:t>Segundo</w:t>
      </w:r>
      <w:r w:rsidRPr="006A672F">
        <w:rPr>
          <w:rFonts w:ascii="Georgia" w:hAnsi="Georgia" w:cs="Arial"/>
        </w:rPr>
        <w:t xml:space="preserve"> Civil del Circuito de Pereira </w:t>
      </w:r>
    </w:p>
    <w:p w:rsidR="00B15262" w:rsidRPr="006A672F" w:rsidRDefault="00B15262" w:rsidP="00B15262">
      <w:pPr>
        <w:pStyle w:val="Textoindependiente"/>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6205AC">
        <w:rPr>
          <w:rFonts w:ascii="Georgia" w:hAnsi="Georgia" w:cs="Arial"/>
          <w:szCs w:val="22"/>
        </w:rPr>
        <w:t xml:space="preserve">Rodolfo Herrera </w:t>
      </w:r>
      <w:r w:rsidR="009742EF">
        <w:rPr>
          <w:rFonts w:ascii="Georgia" w:hAnsi="Georgia" w:cs="Arial"/>
          <w:szCs w:val="22"/>
        </w:rPr>
        <w:t>y otros</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9742EF">
        <w:rPr>
          <w:rFonts w:ascii="Georgia" w:hAnsi="Georgia" w:cs="Arial"/>
        </w:rPr>
        <w:t>2018-</w:t>
      </w:r>
      <w:r w:rsidR="006205AC">
        <w:rPr>
          <w:rFonts w:ascii="Georgia" w:hAnsi="Georgia" w:cs="Arial"/>
        </w:rPr>
        <w:t>00446</w:t>
      </w:r>
      <w:r w:rsidR="009742EF">
        <w:rPr>
          <w:rFonts w:ascii="Georgia" w:hAnsi="Georgia" w:cs="Arial"/>
        </w:rPr>
        <w:t>-00</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00C849C6">
        <w:rPr>
          <w:rFonts w:ascii="Georgia" w:hAnsi="Georgia" w:cs="Arial"/>
          <w:szCs w:val="22"/>
        </w:rPr>
        <w:t xml:space="preserve">Legitimación </w:t>
      </w:r>
      <w:r w:rsidR="006205AC">
        <w:rPr>
          <w:rFonts w:ascii="Georgia" w:hAnsi="Georgia" w:cs="Arial"/>
          <w:szCs w:val="22"/>
        </w:rPr>
        <w:t>– Inexistencia de hechos</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proofErr w:type="spellStart"/>
      <w:r w:rsidRPr="006A672F">
        <w:rPr>
          <w:rFonts w:ascii="Georgia" w:hAnsi="Georgia"/>
          <w:smallCaps/>
          <w:szCs w:val="22"/>
        </w:rPr>
        <w:t>Duberney</w:t>
      </w:r>
      <w:proofErr w:type="spellEnd"/>
      <w:r w:rsidRPr="006A672F">
        <w:rPr>
          <w:rFonts w:ascii="Georgia" w:hAnsi="Georgia"/>
          <w:smallCaps/>
          <w:szCs w:val="22"/>
        </w:rPr>
        <w:t xml:space="preserve"> Grisales Herrera</w:t>
      </w:r>
    </w:p>
    <w:p w:rsidR="00C304D7" w:rsidRPr="006A672F" w:rsidRDefault="00C304D7" w:rsidP="00C304D7">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Pr>
          <w:rFonts w:ascii="Georgia" w:hAnsi="Georgia"/>
          <w:szCs w:val="22"/>
        </w:rPr>
        <w:tab/>
      </w:r>
      <w:r w:rsidRPr="006A672F">
        <w:rPr>
          <w:rFonts w:ascii="Georgia" w:hAnsi="Georgia"/>
          <w:szCs w:val="22"/>
        </w:rPr>
        <w:t xml:space="preserve">: </w:t>
      </w:r>
      <w:r>
        <w:rPr>
          <w:rFonts w:ascii="Georgia" w:hAnsi="Georgia"/>
          <w:szCs w:val="22"/>
        </w:rPr>
        <w:t xml:space="preserve">230 </w:t>
      </w:r>
      <w:r w:rsidRPr="006A672F">
        <w:rPr>
          <w:rFonts w:ascii="Georgia" w:hAnsi="Georgia"/>
          <w:szCs w:val="22"/>
        </w:rPr>
        <w:t xml:space="preserve">de </w:t>
      </w:r>
      <w:r>
        <w:rPr>
          <w:rFonts w:ascii="Georgia" w:hAnsi="Georgia"/>
          <w:szCs w:val="22"/>
        </w:rPr>
        <w:t>03</w:t>
      </w:r>
      <w:r w:rsidRPr="006A672F">
        <w:rPr>
          <w:rFonts w:ascii="Georgia" w:hAnsi="Georgia"/>
          <w:szCs w:val="22"/>
        </w:rPr>
        <w:t>-</w:t>
      </w:r>
      <w:r>
        <w:rPr>
          <w:rFonts w:ascii="Georgia" w:hAnsi="Georgia"/>
          <w:szCs w:val="22"/>
        </w:rPr>
        <w:t>07-</w:t>
      </w:r>
      <w:r w:rsidRPr="006A672F">
        <w:rPr>
          <w:rFonts w:ascii="Georgia" w:hAnsi="Georgia"/>
          <w:szCs w:val="22"/>
        </w:rPr>
        <w:t>2018</w:t>
      </w:r>
    </w:p>
    <w:p w:rsidR="00C304D7" w:rsidRPr="007C23E2" w:rsidRDefault="00C304D7" w:rsidP="00C304D7">
      <w:pPr>
        <w:pBdr>
          <w:bottom w:val="double" w:sz="6" w:space="1" w:color="auto"/>
        </w:pBdr>
        <w:spacing w:line="360" w:lineRule="auto"/>
        <w:jc w:val="center"/>
        <w:rPr>
          <w:rFonts w:ascii="Georgia" w:hAnsi="Georgia" w:cs="Arial"/>
          <w:b/>
          <w:bCs/>
          <w:sz w:val="22"/>
          <w:szCs w:val="22"/>
        </w:rPr>
      </w:pPr>
    </w:p>
    <w:p w:rsidR="00C304D7" w:rsidRPr="006A672F" w:rsidRDefault="00C304D7" w:rsidP="00C304D7">
      <w:pPr>
        <w:spacing w:line="360" w:lineRule="auto"/>
        <w:jc w:val="center"/>
        <w:rPr>
          <w:rFonts w:ascii="Georgia" w:hAnsi="Georgia" w:cs="Arial"/>
          <w:b/>
          <w:bCs/>
          <w:szCs w:val="22"/>
        </w:rPr>
      </w:pPr>
    </w:p>
    <w:p w:rsidR="00C304D7" w:rsidRPr="009608D3" w:rsidRDefault="00C304D7" w:rsidP="00C304D7">
      <w:pPr>
        <w:spacing w:line="360" w:lineRule="auto"/>
        <w:jc w:val="center"/>
        <w:rPr>
          <w:rFonts w:ascii="Georgia" w:hAnsi="Georgia" w:cs="Arial"/>
          <w:iCs/>
          <w:sz w:val="28"/>
          <w:lang w:val="es-CO"/>
        </w:rPr>
      </w:pPr>
      <w:r w:rsidRPr="009608D3">
        <w:rPr>
          <w:rFonts w:ascii="Georgia" w:hAnsi="Georgia" w:cs="Arial"/>
          <w:iCs/>
          <w:smallCaps/>
          <w:sz w:val="28"/>
          <w:lang w:val="es-CO"/>
        </w:rPr>
        <w:t xml:space="preserve">Pereira, R. </w:t>
      </w:r>
      <w:r>
        <w:rPr>
          <w:rFonts w:ascii="Georgia" w:hAnsi="Georgia" w:cs="Arial"/>
          <w:iCs/>
          <w:smallCaps/>
          <w:sz w:val="28"/>
          <w:lang w:val="es-CO"/>
        </w:rPr>
        <w:t xml:space="preserve">tres </w:t>
      </w:r>
      <w:r w:rsidRPr="009608D3">
        <w:rPr>
          <w:rFonts w:ascii="Georgia" w:hAnsi="Georgia" w:cs="Arial"/>
          <w:iCs/>
          <w:smallCaps/>
          <w:sz w:val="28"/>
          <w:lang w:val="es-CO"/>
        </w:rPr>
        <w:t>(</w:t>
      </w:r>
      <w:r>
        <w:rPr>
          <w:rFonts w:ascii="Georgia" w:hAnsi="Georgia" w:cs="Arial"/>
          <w:iCs/>
          <w:smallCaps/>
          <w:sz w:val="28"/>
          <w:lang w:val="es-CO"/>
        </w:rPr>
        <w:t>3</w:t>
      </w:r>
      <w:r w:rsidRPr="009608D3">
        <w:rPr>
          <w:rFonts w:ascii="Georgia" w:hAnsi="Georgia" w:cs="Arial"/>
          <w:iCs/>
          <w:smallCaps/>
          <w:sz w:val="28"/>
          <w:lang w:val="es-CO"/>
        </w:rPr>
        <w:t xml:space="preserve">) de </w:t>
      </w:r>
      <w:r>
        <w:rPr>
          <w:rFonts w:ascii="Georgia" w:hAnsi="Georgia" w:cs="Arial"/>
          <w:iCs/>
          <w:smallCaps/>
          <w:sz w:val="28"/>
          <w:lang w:val="es-CO"/>
        </w:rPr>
        <w:t xml:space="preserve">julio </w:t>
      </w:r>
      <w:r w:rsidRPr="009608D3">
        <w:rPr>
          <w:rFonts w:ascii="Georgia" w:hAnsi="Georgia" w:cs="Arial"/>
          <w:iCs/>
          <w:smallCaps/>
          <w:sz w:val="28"/>
          <w:lang w:val="es-CO"/>
        </w:rPr>
        <w:t>de dos mil dieciocho (2018)</w:t>
      </w:r>
      <w:r w:rsidRPr="009608D3">
        <w:rPr>
          <w:rFonts w:ascii="Georgia" w:hAnsi="Georgia" w:cs="Arial"/>
          <w:iCs/>
          <w:sz w:val="28"/>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lastRenderedPageBreak/>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w:t>
      </w:r>
      <w:r w:rsidR="009608D3">
        <w:rPr>
          <w:rFonts w:ascii="Georgia" w:hAnsi="Georgia"/>
          <w:szCs w:val="24"/>
        </w:rPr>
        <w:t>s</w:t>
      </w:r>
      <w:r w:rsidRPr="00B50FBF">
        <w:rPr>
          <w:rFonts w:ascii="Georgia" w:hAnsi="Georgia"/>
          <w:szCs w:val="24"/>
        </w:rPr>
        <w:t xml:space="preserve"> </w:t>
      </w:r>
      <w:r w:rsidR="009608D3">
        <w:rPr>
          <w:rFonts w:ascii="Georgia" w:hAnsi="Georgia"/>
          <w:szCs w:val="24"/>
        </w:rPr>
        <w:t xml:space="preserve">acciones </w:t>
      </w:r>
      <w:r w:rsidRPr="00B50FBF">
        <w:rPr>
          <w:rFonts w:ascii="Georgia" w:hAnsi="Georgia"/>
          <w:szCs w:val="24"/>
        </w:rPr>
        <w:t>de tutela 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w:t>
      </w:r>
      <w:r w:rsidR="009608D3">
        <w:rPr>
          <w:rFonts w:ascii="Georgia" w:hAnsi="Georgia"/>
          <w:szCs w:val="24"/>
        </w:rPr>
        <w:t>s</w:t>
      </w:r>
      <w:r w:rsidRPr="00B50FBF">
        <w:rPr>
          <w:rFonts w:ascii="Georgia" w:hAnsi="Georgia"/>
          <w:szCs w:val="24"/>
        </w:rPr>
        <w:t xml:space="preserve"> invalide</w:t>
      </w:r>
      <w:r w:rsidR="009608D3">
        <w:rPr>
          <w:rFonts w:ascii="Georgia" w:hAnsi="Georgia"/>
          <w:szCs w:val="24"/>
        </w:rPr>
        <w:t>n</w:t>
      </w:r>
      <w:r w:rsidRPr="00B50FBF">
        <w:rPr>
          <w:rFonts w:ascii="Georgia" w:hAnsi="Georgia"/>
          <w:szCs w:val="24"/>
        </w:rPr>
        <w:t>.</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D16B1">
        <w:rPr>
          <w:rFonts w:ascii="Georgia" w:hAnsi="Georgia" w:cs="Arial"/>
          <w:lang w:val="es-CO"/>
        </w:rPr>
        <w:t xml:space="preserve">en </w:t>
      </w:r>
      <w:r w:rsidR="009742EF">
        <w:rPr>
          <w:rFonts w:ascii="Georgia" w:hAnsi="Georgia" w:cs="Arial"/>
          <w:lang w:val="es-CO"/>
        </w:rPr>
        <w:t>la</w:t>
      </w:r>
      <w:r w:rsidR="006205AC">
        <w:rPr>
          <w:rFonts w:ascii="Georgia" w:hAnsi="Georgia" w:cs="Arial"/>
          <w:lang w:val="es-CO"/>
        </w:rPr>
        <w:t>s</w:t>
      </w:r>
      <w:r w:rsidR="009742EF">
        <w:rPr>
          <w:rFonts w:ascii="Georgia" w:hAnsi="Georgia" w:cs="Arial"/>
          <w:lang w:val="es-CO"/>
        </w:rPr>
        <w:t xml:space="preserve"> </w:t>
      </w:r>
      <w:r w:rsidR="006205AC">
        <w:rPr>
          <w:rFonts w:ascii="Georgia" w:hAnsi="Georgia" w:cs="Arial"/>
          <w:lang w:val="es-CO"/>
        </w:rPr>
        <w:t xml:space="preserve">acciones populares </w:t>
      </w:r>
      <w:r w:rsidR="00FD16B1">
        <w:rPr>
          <w:rFonts w:ascii="Georgia" w:hAnsi="Georgia" w:cs="Arial"/>
          <w:lang w:val="es-CO"/>
        </w:rPr>
        <w:t>No</w:t>
      </w:r>
      <w:r w:rsidR="006205AC">
        <w:rPr>
          <w:rFonts w:ascii="Georgia" w:hAnsi="Georgia" w:cs="Arial"/>
          <w:lang w:val="es-CO"/>
        </w:rPr>
        <w:t>s</w:t>
      </w:r>
      <w:r w:rsidR="00FD16B1">
        <w:rPr>
          <w:rFonts w:ascii="Georgia" w:hAnsi="Georgia" w:cs="Arial"/>
          <w:lang w:val="es-CO"/>
        </w:rPr>
        <w:t>.</w:t>
      </w:r>
      <w:r w:rsidR="009742EF">
        <w:rPr>
          <w:rFonts w:ascii="Georgia" w:hAnsi="Georgia" w:cs="Arial"/>
          <w:lang w:val="es-CO"/>
        </w:rPr>
        <w:t>2018-</w:t>
      </w:r>
      <w:r w:rsidR="006205AC">
        <w:rPr>
          <w:rFonts w:ascii="Georgia" w:hAnsi="Georgia" w:cs="Arial"/>
          <w:lang w:val="es-CO"/>
        </w:rPr>
        <w:t xml:space="preserve">00037-00, 2018-00027-00 y 2018-00035-00 no se tramitaron los recursos de reposición formulados, además, se le impidió revisarlas porque estaban archivadas </w:t>
      </w:r>
      <w:r w:rsidR="00D95388" w:rsidRPr="007C23E2">
        <w:rPr>
          <w:rFonts w:ascii="Georgia" w:hAnsi="Georgia" w:cs="Arial"/>
        </w:rPr>
        <w:t>(Folio</w:t>
      </w:r>
      <w:r w:rsidR="00B856AE" w:rsidRPr="007C23E2">
        <w:rPr>
          <w:rFonts w:ascii="Georgia" w:hAnsi="Georgia" w:cs="Arial"/>
        </w:rPr>
        <w:t xml:space="preserve"> </w:t>
      </w:r>
      <w:r w:rsidR="009742EF">
        <w:rPr>
          <w:rFonts w:ascii="Georgia" w:hAnsi="Georgia" w:cs="Arial"/>
        </w:rPr>
        <w:t>1</w:t>
      </w:r>
      <w:r w:rsidR="00D95388" w:rsidRPr="007C23E2">
        <w:rPr>
          <w:rFonts w:ascii="Georgia" w:hAnsi="Georgia" w:cs="Arial"/>
        </w:rPr>
        <w:t xml:space="preserve">, </w:t>
      </w:r>
      <w:r w:rsidR="00AA2CC2">
        <w:rPr>
          <w:rFonts w:ascii="Georgia" w:hAnsi="Georgia" w:cs="Arial"/>
        </w:rPr>
        <w:t>c</w:t>
      </w:r>
      <w:r w:rsidR="00D95388" w:rsidRPr="007C23E2">
        <w:rPr>
          <w:rFonts w:ascii="Georgia" w:hAnsi="Georgia" w:cs="Arial"/>
        </w:rPr>
        <w:t>uaderno</w:t>
      </w:r>
      <w:r w:rsidR="00AA2CC2">
        <w:rPr>
          <w:rFonts w:ascii="Georgia" w:hAnsi="Georgia" w:cs="Arial"/>
        </w:rPr>
        <w:t xml:space="preserve"> No.1</w:t>
      </w:r>
      <w:r w:rsidR="00D95388" w:rsidRPr="007C23E2">
        <w:rPr>
          <w:rFonts w:ascii="Georgia" w:hAnsi="Georgia" w:cs="Arial"/>
        </w:rPr>
        <w:t xml:space="preserve">). </w:t>
      </w:r>
    </w:p>
    <w:p w:rsidR="00F952A0" w:rsidRPr="007C23E2" w:rsidRDefault="00F952A0" w:rsidP="00D95388">
      <w:pPr>
        <w:spacing w:line="360" w:lineRule="auto"/>
        <w:jc w:val="both"/>
        <w:rPr>
          <w:rFonts w:ascii="Georgia" w:hAnsi="Georgia" w:cs="Arial"/>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7C23E2" w:rsidRDefault="00800EF6" w:rsidP="00730CA7">
      <w:pPr>
        <w:pStyle w:val="Textoindependiente"/>
        <w:spacing w:line="360" w:lineRule="auto"/>
        <w:rPr>
          <w:rFonts w:ascii="Georgia" w:hAnsi="Georgia"/>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w:t>
      </w:r>
      <w:r w:rsidR="009742EF">
        <w:rPr>
          <w:rFonts w:ascii="Georgia" w:hAnsi="Georgia" w:cs="Arial"/>
          <w:spacing w:val="-3"/>
          <w:lang w:val="es-ES_tradnl"/>
        </w:rPr>
        <w:t>, 29</w:t>
      </w:r>
      <w:r w:rsidR="006205AC">
        <w:rPr>
          <w:rFonts w:ascii="Georgia" w:hAnsi="Georgia" w:cs="Arial"/>
          <w:spacing w:val="-3"/>
          <w:lang w:val="es-ES_tradnl"/>
        </w:rPr>
        <w:t xml:space="preserve"> y</w:t>
      </w:r>
      <w:r w:rsidR="009742EF">
        <w:rPr>
          <w:rFonts w:ascii="Georgia" w:hAnsi="Georgia" w:cs="Arial"/>
          <w:spacing w:val="-3"/>
          <w:lang w:val="es-ES_tradnl"/>
        </w:rPr>
        <w:t xml:space="preserve"> </w:t>
      </w:r>
      <w:r w:rsidR="00AA2CC2">
        <w:rPr>
          <w:rFonts w:ascii="Georgia" w:hAnsi="Georgia" w:cs="Arial"/>
          <w:spacing w:val="-3"/>
          <w:lang w:val="es-ES_tradnl"/>
        </w:rPr>
        <w:t>83</w:t>
      </w:r>
      <w:r w:rsidR="00D95C39">
        <w:rPr>
          <w:rFonts w:ascii="Georgia" w:hAnsi="Georgia" w:cs="Arial"/>
          <w:spacing w:val="-3"/>
          <w:lang w:val="es-ES_tradnl"/>
        </w:rPr>
        <w:t>, CP</w:t>
      </w:r>
      <w:r w:rsidR="009742EF">
        <w:rPr>
          <w:rFonts w:ascii="Georgia" w:hAnsi="Georgia" w:cs="Arial"/>
          <w:spacing w:val="-3"/>
          <w:lang w:val="es-ES_tradnl"/>
        </w:rPr>
        <w:t xml:space="preserve"> </w:t>
      </w:r>
      <w:r w:rsidR="007475F9" w:rsidRPr="007C23E2">
        <w:rPr>
          <w:rFonts w:ascii="Georgia" w:hAnsi="Georgia" w:cs="Arial"/>
          <w:spacing w:val="-3"/>
          <w:lang w:val="es-ES_tradnl"/>
        </w:rPr>
        <w:t>(Folio</w:t>
      </w:r>
      <w:r w:rsidR="009742EF">
        <w:rPr>
          <w:rFonts w:ascii="Georgia" w:hAnsi="Georgia" w:cs="Arial"/>
          <w:spacing w:val="-3"/>
          <w:lang w:val="es-ES_tradnl"/>
        </w:rPr>
        <w:t xml:space="preserve"> 1</w:t>
      </w:r>
      <w:r w:rsidR="007D0ECC" w:rsidRPr="007C23E2">
        <w:rPr>
          <w:rFonts w:ascii="Georgia" w:hAnsi="Georgia" w:cs="Arial"/>
          <w:spacing w:val="-3"/>
          <w:lang w:val="es-ES_tradnl"/>
        </w:rPr>
        <w:t>, cuaderno</w:t>
      </w:r>
      <w:r w:rsidR="00AA2CC2">
        <w:rPr>
          <w:rFonts w:ascii="Georgia" w:hAnsi="Georgia" w:cs="Arial"/>
          <w:spacing w:val="-3"/>
          <w:lang w:val="es-ES_tradnl"/>
        </w:rPr>
        <w:t xml:space="preserve"> No.1</w:t>
      </w:r>
      <w:r w:rsidR="007D0ECC" w:rsidRPr="007C23E2">
        <w:rPr>
          <w:rFonts w:ascii="Georgia" w:hAnsi="Georgia" w:cs="Arial"/>
          <w:spacing w:val="-3"/>
          <w:lang w:val="es-ES_tradnl"/>
        </w:rPr>
        <w:t>).</w:t>
      </w:r>
    </w:p>
    <w:p w:rsidR="003F6C16" w:rsidRPr="009742E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7C23E2" w:rsidRDefault="00E445DE" w:rsidP="00E445DE">
      <w:pPr>
        <w:pStyle w:val="Textoindependiente"/>
        <w:spacing w:line="360" w:lineRule="auto"/>
        <w:ind w:left="360"/>
        <w:rPr>
          <w:rFonts w:ascii="Georgia" w:hAnsi="Georgia"/>
          <w:szCs w:val="24"/>
        </w:rPr>
      </w:pPr>
    </w:p>
    <w:p w:rsidR="00D669DC" w:rsidRDefault="00426484"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w:t>
      </w:r>
      <w:r w:rsidR="00316993">
        <w:rPr>
          <w:rFonts w:ascii="Georgia" w:hAnsi="Georgia" w:cs="Arial"/>
        </w:rPr>
        <w:t>orden</w:t>
      </w:r>
      <w:r>
        <w:rPr>
          <w:rFonts w:ascii="Georgia" w:hAnsi="Georgia" w:cs="Arial"/>
        </w:rPr>
        <w:t>ar</w:t>
      </w:r>
      <w:r w:rsidR="00316993">
        <w:rPr>
          <w:rFonts w:ascii="Georgia" w:hAnsi="Georgia" w:cs="Arial"/>
        </w:rPr>
        <w:t xml:space="preserve"> al accionado</w:t>
      </w:r>
      <w:r w:rsidR="00D95C39">
        <w:rPr>
          <w:rFonts w:ascii="Georgia" w:hAnsi="Georgia" w:cs="Arial"/>
        </w:rPr>
        <w:t xml:space="preserve">: </w:t>
      </w:r>
      <w:r w:rsidR="00A370DE">
        <w:rPr>
          <w:rFonts w:ascii="Georgia" w:hAnsi="Georgia" w:cs="Arial"/>
        </w:rPr>
        <w:t xml:space="preserve">(i) </w:t>
      </w:r>
      <w:r w:rsidR="009742EF">
        <w:rPr>
          <w:rFonts w:ascii="Georgia" w:hAnsi="Georgia" w:cs="Arial"/>
        </w:rPr>
        <w:t xml:space="preserve">Resolver </w:t>
      </w:r>
      <w:r w:rsidR="006205AC">
        <w:rPr>
          <w:rFonts w:ascii="Georgia" w:hAnsi="Georgia" w:cs="Arial"/>
        </w:rPr>
        <w:t>los recursos presentados en las acciones populares</w:t>
      </w:r>
      <w:r w:rsidR="009742EF">
        <w:rPr>
          <w:rFonts w:ascii="Georgia" w:hAnsi="Georgia" w:cs="Arial"/>
        </w:rPr>
        <w:t xml:space="preserve">; (ii) </w:t>
      </w:r>
      <w:r w:rsidR="006205AC">
        <w:rPr>
          <w:rFonts w:ascii="Georgia" w:hAnsi="Georgia" w:cs="Arial"/>
          <w:lang w:val="es-CO"/>
        </w:rPr>
        <w:t>Probar que la ley permite archivarlas inmediatamente; y, (iii) Disponer su desarchivo</w:t>
      </w:r>
      <w:r w:rsidR="009742EF">
        <w:rPr>
          <w:rFonts w:ascii="Georgia" w:hAnsi="Georgia" w:cs="Arial"/>
          <w:lang w:val="es-CO"/>
        </w:rPr>
        <w:t xml:space="preserve"> </w:t>
      </w:r>
      <w:r w:rsidR="00612C75" w:rsidRPr="007C23E2">
        <w:rPr>
          <w:rFonts w:ascii="Georgia" w:hAnsi="Georgia" w:cs="Arial"/>
          <w:spacing w:val="-3"/>
          <w:lang w:val="es-ES_tradnl"/>
        </w:rPr>
        <w:t>(Folio</w:t>
      </w:r>
      <w:r w:rsidR="0036264D">
        <w:rPr>
          <w:rFonts w:ascii="Georgia" w:hAnsi="Georgia" w:cs="Arial"/>
          <w:spacing w:val="-3"/>
          <w:lang w:val="es-ES_tradnl"/>
        </w:rPr>
        <w:t xml:space="preserve"> </w:t>
      </w:r>
      <w:r w:rsidR="009742EF">
        <w:rPr>
          <w:rFonts w:ascii="Georgia" w:hAnsi="Georgia" w:cs="Arial"/>
          <w:spacing w:val="-3"/>
          <w:lang w:val="es-ES_tradnl"/>
        </w:rPr>
        <w:t>1</w:t>
      </w:r>
      <w:r w:rsidR="00D669DC" w:rsidRPr="007C23E2">
        <w:rPr>
          <w:rFonts w:ascii="Georgia" w:hAnsi="Georgia" w:cs="Arial"/>
          <w:spacing w:val="-3"/>
          <w:lang w:val="es-ES_tradnl"/>
        </w:rPr>
        <w:t>, cuaderno</w:t>
      </w:r>
      <w:r>
        <w:rPr>
          <w:rFonts w:ascii="Georgia" w:hAnsi="Georgia" w:cs="Arial"/>
          <w:spacing w:val="-3"/>
          <w:lang w:val="es-ES_tradnl"/>
        </w:rPr>
        <w:t xml:space="preserve"> No.1</w:t>
      </w:r>
      <w:r w:rsidR="00D669DC" w:rsidRPr="007C23E2">
        <w:rPr>
          <w:rFonts w:ascii="Georgia" w:hAnsi="Georgia" w:cs="Arial"/>
          <w:spacing w:val="-3"/>
          <w:lang w:val="es-ES_tradnl"/>
        </w:rPr>
        <w:t>).</w:t>
      </w:r>
    </w:p>
    <w:p w:rsidR="006A672F" w:rsidRDefault="006A672F"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9742EF" w:rsidRPr="009742EF" w:rsidRDefault="009742EF" w:rsidP="009742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ES_tradnl"/>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w:t>
      </w:r>
      <w:r w:rsidR="003C3C8F">
        <w:rPr>
          <w:rFonts w:ascii="Georgia" w:hAnsi="Georgia"/>
        </w:rPr>
        <w:t xml:space="preserve">del </w:t>
      </w:r>
      <w:r w:rsidR="003B39A3">
        <w:rPr>
          <w:rFonts w:ascii="Georgia" w:hAnsi="Georgia"/>
        </w:rPr>
        <w:t>19</w:t>
      </w:r>
      <w:r w:rsidR="003C3C8F">
        <w:rPr>
          <w:rFonts w:ascii="Georgia" w:hAnsi="Georgia"/>
        </w:rPr>
        <w:t xml:space="preserve">-06-2018 </w:t>
      </w:r>
      <w:r w:rsidR="00480426" w:rsidRPr="007C23E2">
        <w:rPr>
          <w:rFonts w:ascii="Georgia" w:hAnsi="Georgia"/>
        </w:rPr>
        <w:t xml:space="preserve">se </w:t>
      </w:r>
      <w:r w:rsidR="003C3C8F">
        <w:rPr>
          <w:rFonts w:ascii="Georgia" w:hAnsi="Georgia"/>
        </w:rPr>
        <w:t xml:space="preserve">asignó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3B39A3">
        <w:rPr>
          <w:rFonts w:ascii="Georgia" w:hAnsi="Georgia" w:cs="Arial"/>
          <w:color w:val="000000"/>
        </w:rPr>
        <w:t>21</w:t>
      </w:r>
      <w:r w:rsidR="003C3C8F">
        <w:rPr>
          <w:rFonts w:ascii="Georgia" w:hAnsi="Georgia" w:cs="Arial"/>
          <w:color w:val="000000"/>
        </w:rPr>
        <w:t>-06-2018</w:t>
      </w:r>
      <w:r w:rsidR="0036264D">
        <w:rPr>
          <w:rFonts w:ascii="Georgia" w:hAnsi="Georgia" w:cs="Arial"/>
          <w:color w:val="000000"/>
        </w:rPr>
        <w:t xml:space="preserve"> </w:t>
      </w:r>
      <w:r w:rsidR="003C3C8F">
        <w:rPr>
          <w:rFonts w:ascii="Georgia" w:hAnsi="Georgia" w:cs="Arial"/>
          <w:color w:val="000000"/>
        </w:rPr>
        <w:t>se admitió y se vinculó a quienes se estimó pertinente</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C3C8F">
        <w:rPr>
          <w:rFonts w:ascii="Georgia" w:hAnsi="Georgia"/>
        </w:rPr>
        <w:t xml:space="preserve"> 4</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3C3C8F">
        <w:rPr>
          <w:rFonts w:ascii="Georgia" w:hAnsi="Georgia" w:cs="Arial"/>
          <w:color w:val="000000"/>
        </w:rPr>
        <w:t xml:space="preserve">5 a </w:t>
      </w:r>
      <w:r w:rsidR="003B39A3">
        <w:rPr>
          <w:rFonts w:ascii="Georgia" w:hAnsi="Georgia" w:cs="Arial"/>
          <w:color w:val="000000"/>
        </w:rPr>
        <w:t>8</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36264D">
        <w:rPr>
          <w:rFonts w:ascii="Georgia" w:hAnsi="Georgia" w:cs="Arial"/>
        </w:rPr>
        <w:t xml:space="preserve">aron </w:t>
      </w:r>
      <w:r w:rsidR="00721CAD">
        <w:rPr>
          <w:rFonts w:ascii="Georgia" w:hAnsi="Georgia" w:cs="Arial"/>
        </w:rPr>
        <w:t xml:space="preserve">la </w:t>
      </w:r>
      <w:r w:rsidR="003B39A3">
        <w:rPr>
          <w:rFonts w:ascii="Georgia" w:hAnsi="Georgia" w:cs="Arial"/>
        </w:rPr>
        <w:t>Alcaldía de Medellín</w:t>
      </w:r>
      <w:r w:rsidR="003C3C8F">
        <w:rPr>
          <w:rFonts w:ascii="Georgia" w:hAnsi="Georgia" w:cs="Arial"/>
        </w:rPr>
        <w:t xml:space="preserve"> (Folio</w:t>
      </w:r>
      <w:r w:rsidR="003B39A3">
        <w:rPr>
          <w:rFonts w:ascii="Georgia" w:hAnsi="Georgia" w:cs="Arial"/>
        </w:rPr>
        <w:t>s</w:t>
      </w:r>
      <w:r w:rsidR="003C3C8F">
        <w:rPr>
          <w:rFonts w:ascii="Georgia" w:hAnsi="Georgia" w:cs="Arial"/>
        </w:rPr>
        <w:t xml:space="preserve"> </w:t>
      </w:r>
      <w:r w:rsidR="003B39A3">
        <w:rPr>
          <w:rFonts w:ascii="Georgia" w:hAnsi="Georgia" w:cs="Arial"/>
        </w:rPr>
        <w:t>9 y 10</w:t>
      </w:r>
      <w:r w:rsidR="003C3C8F">
        <w:rPr>
          <w:rFonts w:ascii="Georgia" w:hAnsi="Georgia" w:cs="Arial"/>
        </w:rPr>
        <w:t>, ibídem)</w:t>
      </w:r>
      <w:r w:rsidR="003B39A3">
        <w:rPr>
          <w:rFonts w:ascii="Georgia" w:hAnsi="Georgia" w:cs="Arial"/>
        </w:rPr>
        <w:t>, la Personería de Medellín (Folios 14 a 16</w:t>
      </w:r>
      <w:r w:rsidR="00167D05">
        <w:rPr>
          <w:rFonts w:ascii="Georgia" w:hAnsi="Georgia" w:cs="Arial"/>
        </w:rPr>
        <w:t xml:space="preserve"> y 57 a 59</w:t>
      </w:r>
      <w:r w:rsidR="003B39A3">
        <w:rPr>
          <w:rFonts w:ascii="Georgia" w:hAnsi="Georgia" w:cs="Arial"/>
        </w:rPr>
        <w:t>, ib.), la Procuraduría General de la Nación, Regional Antioquia (PGNRA) (Folios 18 a 19, ib.), la Alcaldía de San José de Cúcuta (Folio</w:t>
      </w:r>
      <w:r w:rsidR="003C3C8F">
        <w:rPr>
          <w:rFonts w:ascii="Georgia" w:hAnsi="Georgia" w:cs="Arial"/>
        </w:rPr>
        <w:t xml:space="preserve"> </w:t>
      </w:r>
      <w:r w:rsidR="003B39A3">
        <w:rPr>
          <w:rFonts w:ascii="Georgia" w:hAnsi="Georgia" w:cs="Arial"/>
        </w:rPr>
        <w:t>45</w:t>
      </w:r>
      <w:r w:rsidR="003C3C8F">
        <w:rPr>
          <w:rFonts w:ascii="Georgia" w:hAnsi="Georgia" w:cs="Arial"/>
        </w:rPr>
        <w:t>, ib.)</w:t>
      </w:r>
      <w:r w:rsidR="00167D05">
        <w:rPr>
          <w:rFonts w:ascii="Georgia" w:hAnsi="Georgia" w:cs="Arial"/>
        </w:rPr>
        <w:t xml:space="preserve"> y Personería Municipal de San José de Cúcuta (Folio 53, ib.)</w:t>
      </w:r>
      <w:r w:rsidR="00721CAD">
        <w:rPr>
          <w:rFonts w:ascii="Georgia" w:hAnsi="Georgia" w:cs="Arial"/>
        </w:rPr>
        <w:t xml:space="preserve">. </w:t>
      </w:r>
      <w:r w:rsidR="004F5697">
        <w:rPr>
          <w:rFonts w:ascii="Georgia" w:hAnsi="Georgia" w:cs="Arial"/>
        </w:rPr>
        <w:t xml:space="preserve">El Juzgado accionado allegó </w:t>
      </w:r>
      <w:r w:rsidR="00721CAD">
        <w:rPr>
          <w:rFonts w:ascii="Georgia" w:hAnsi="Georgia" w:cs="Arial"/>
        </w:rPr>
        <w:t xml:space="preserve">las </w:t>
      </w:r>
      <w:r w:rsidR="004F5697">
        <w:rPr>
          <w:rFonts w:ascii="Georgia" w:hAnsi="Georgia" w:cs="Arial"/>
        </w:rPr>
        <w:t xml:space="preserve">copias </w:t>
      </w:r>
      <w:r w:rsidR="00721CAD">
        <w:rPr>
          <w:rFonts w:ascii="Georgia" w:hAnsi="Georgia" w:cs="Arial"/>
        </w:rPr>
        <w:t>requeridas (Folio</w:t>
      </w:r>
      <w:r w:rsidR="00C32C36">
        <w:rPr>
          <w:rFonts w:ascii="Georgia" w:hAnsi="Georgia" w:cs="Arial"/>
        </w:rPr>
        <w:t>s</w:t>
      </w:r>
      <w:r w:rsidR="00412711">
        <w:rPr>
          <w:rFonts w:ascii="Georgia" w:hAnsi="Georgia" w:cs="Arial"/>
        </w:rPr>
        <w:t xml:space="preserve"> </w:t>
      </w:r>
      <w:r w:rsidR="00167D05">
        <w:rPr>
          <w:rFonts w:ascii="Georgia" w:hAnsi="Georgia" w:cs="Arial"/>
        </w:rPr>
        <w:t>29 a 44</w:t>
      </w:r>
      <w:r w:rsidR="00412711">
        <w:rPr>
          <w:rFonts w:ascii="Georgia" w:hAnsi="Georgia" w:cs="Arial"/>
        </w:rPr>
        <w:t>, ib.).</w:t>
      </w:r>
    </w:p>
    <w:p w:rsidR="00BD0842" w:rsidRDefault="00BD0842" w:rsidP="00C323F1">
      <w:pPr>
        <w:widowControl/>
        <w:spacing w:line="360" w:lineRule="auto"/>
        <w:jc w:val="both"/>
        <w:rPr>
          <w:rFonts w:ascii="Georgia" w:hAnsi="Georgia" w:cs="Arial"/>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A10C92" w:rsidRDefault="00BD0842" w:rsidP="00BD0842">
      <w:pPr>
        <w:spacing w:line="360" w:lineRule="auto"/>
        <w:jc w:val="both"/>
        <w:rPr>
          <w:rFonts w:ascii="Georgia" w:hAnsi="Georgia"/>
          <w:sz w:val="20"/>
        </w:rPr>
      </w:pPr>
    </w:p>
    <w:p w:rsidR="00721CAD" w:rsidRDefault="00167D05" w:rsidP="00BD0842">
      <w:pPr>
        <w:spacing w:line="360" w:lineRule="auto"/>
        <w:jc w:val="both"/>
        <w:rPr>
          <w:rFonts w:ascii="Georgia" w:hAnsi="Georgia"/>
        </w:rPr>
      </w:pPr>
      <w:r>
        <w:rPr>
          <w:rFonts w:ascii="Georgia" w:hAnsi="Georgia" w:cs="Arial"/>
        </w:rPr>
        <w:t>La Alcaldía y la Personería de Medellín</w:t>
      </w:r>
      <w:r w:rsidR="00721CAD">
        <w:rPr>
          <w:rFonts w:ascii="Georgia" w:hAnsi="Georgia"/>
        </w:rPr>
        <w:t>,</w:t>
      </w:r>
      <w:r>
        <w:rPr>
          <w:rFonts w:ascii="Georgia" w:hAnsi="Georgia"/>
        </w:rPr>
        <w:t xml:space="preserve"> la </w:t>
      </w:r>
      <w:r>
        <w:rPr>
          <w:rFonts w:ascii="Georgia" w:hAnsi="Georgia" w:cs="Arial"/>
        </w:rPr>
        <w:t xml:space="preserve">PGNRA, y la Alcaldía y Personería de San José de Cúcuta, </w:t>
      </w:r>
      <w:r>
        <w:rPr>
          <w:rFonts w:ascii="Georgia" w:hAnsi="Georgia"/>
        </w:rPr>
        <w:t xml:space="preserve">alegaron </w:t>
      </w:r>
      <w:r w:rsidR="00721CAD">
        <w:rPr>
          <w:rFonts w:ascii="Georgia" w:hAnsi="Georgia" w:cs="Arial"/>
        </w:rPr>
        <w:t xml:space="preserve">falta de legitimación en la casusa por pasiva </w:t>
      </w:r>
      <w:r>
        <w:rPr>
          <w:rFonts w:ascii="Georgia" w:hAnsi="Georgia" w:cs="Arial"/>
        </w:rPr>
        <w:t xml:space="preserve">e inexistencia de acción u omisión que agravie o amenace los derechos invocados </w:t>
      </w:r>
      <w:r w:rsidR="00721CAD">
        <w:rPr>
          <w:rFonts w:ascii="Georgia" w:hAnsi="Georgia" w:cs="Arial"/>
        </w:rPr>
        <w:t xml:space="preserve">(Folios </w:t>
      </w:r>
      <w:r>
        <w:rPr>
          <w:rFonts w:ascii="Georgia" w:hAnsi="Georgia" w:cs="Arial"/>
        </w:rPr>
        <w:t>9 y 10, 14 a 16, 18 a 19, 45 y 53</w:t>
      </w:r>
      <w:r w:rsidR="00721CAD">
        <w:rPr>
          <w:rFonts w:ascii="Georgia" w:hAnsi="Georgia" w:cs="Arial"/>
        </w:rPr>
        <w:t>, ib.).</w:t>
      </w:r>
      <w:r w:rsidR="00C32C36">
        <w:rPr>
          <w:rFonts w:ascii="Georgia" w:hAnsi="Georgia" w:cs="Arial"/>
        </w:rPr>
        <w:t xml:space="preserve"> </w:t>
      </w:r>
      <w:r>
        <w:rPr>
          <w:rFonts w:ascii="Georgia" w:hAnsi="Georgia" w:cs="Arial"/>
        </w:rPr>
        <w:t xml:space="preserve">Las </w:t>
      </w:r>
      <w:r w:rsidR="00C32C36">
        <w:rPr>
          <w:rFonts w:ascii="Georgia" w:hAnsi="Georgia" w:cs="Arial"/>
        </w:rPr>
        <w:t xml:space="preserve">autoridades </w:t>
      </w:r>
      <w:r>
        <w:rPr>
          <w:rFonts w:ascii="Georgia" w:hAnsi="Georgia" w:cs="Arial"/>
        </w:rPr>
        <w:t xml:space="preserve">pidieron </w:t>
      </w:r>
      <w:r w:rsidR="00C32C36">
        <w:rPr>
          <w:rFonts w:ascii="Georgia" w:hAnsi="Georgia" w:cs="Arial"/>
        </w:rPr>
        <w:t>su desvinculación.</w:t>
      </w:r>
      <w:r w:rsidR="00721CAD">
        <w:rPr>
          <w:rFonts w:ascii="Georgia" w:hAnsi="Georgia" w:cs="Arial"/>
        </w:rPr>
        <w:t xml:space="preserve">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lastRenderedPageBreak/>
        <w:t>LA FUNDAMENTACIÓN JURÍDICA PARA DECIDIR</w:t>
      </w:r>
    </w:p>
    <w:p w:rsidR="006232EF" w:rsidRPr="007C23E2" w:rsidRDefault="006232EF" w:rsidP="003B3C05">
      <w:pPr>
        <w:pStyle w:val="Textoindependiente"/>
        <w:spacing w:line="360" w:lineRule="auto"/>
        <w:ind w:left="400"/>
        <w:rPr>
          <w:rFonts w:ascii="Georgia" w:hAnsi="Georgia"/>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proofErr w:type="spellStart"/>
      <w:r w:rsidR="00167D05">
        <w:rPr>
          <w:rFonts w:ascii="Georgia" w:hAnsi="Georgia" w:cs="Arial"/>
          <w:color w:val="000000"/>
          <w:szCs w:val="24"/>
        </w:rPr>
        <w:t>Segunddo</w:t>
      </w:r>
      <w:proofErr w:type="spellEnd"/>
      <w:r w:rsidR="00377F29">
        <w:rPr>
          <w:rFonts w:ascii="Georgia" w:hAnsi="Georgia" w:cs="Arial"/>
          <w:color w:val="000000"/>
          <w:szCs w:val="24"/>
        </w:rPr>
        <w:t xml:space="preserve"> Civil del Circuito de Pereira</w:t>
      </w:r>
      <w:r w:rsidR="00D33789" w:rsidRPr="007C23E2">
        <w:rPr>
          <w:rFonts w:ascii="Georgia" w:hAnsi="Georgia" w:cs="Arial"/>
          <w:color w:val="000000"/>
          <w:szCs w:val="24"/>
        </w:rPr>
        <w:t>.</w:t>
      </w:r>
    </w:p>
    <w:p w:rsidR="005764A9" w:rsidRPr="00E445DE" w:rsidRDefault="005764A9" w:rsidP="003B3C05">
      <w:pPr>
        <w:pStyle w:val="Prrafodelista"/>
        <w:spacing w:line="360" w:lineRule="auto"/>
        <w:rPr>
          <w:rFonts w:ascii="Georgia" w:hAnsi="Georgia" w:cs="Arial"/>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F94C49">
        <w:rPr>
          <w:rFonts w:ascii="Georgia" w:hAnsi="Georgia" w:cs="Arial"/>
        </w:rPr>
        <w:t>los</w:t>
      </w:r>
      <w:r w:rsidR="00316242">
        <w:rPr>
          <w:rFonts w:ascii="Georgia" w:hAnsi="Georgia" w:cs="Arial"/>
        </w:rPr>
        <w:t xml:space="preserve"> </w:t>
      </w:r>
      <w:r w:rsidR="00506E3E">
        <w:rPr>
          <w:rFonts w:ascii="Georgia" w:hAnsi="Georgia" w:cs="Arial"/>
        </w:rPr>
        <w:t>escrito</w:t>
      </w:r>
      <w:r w:rsidR="00F94C49">
        <w:rPr>
          <w:rFonts w:ascii="Georgia" w:hAnsi="Georgia" w:cs="Arial"/>
        </w:rPr>
        <w:t>s de tutela?</w:t>
      </w:r>
    </w:p>
    <w:p w:rsidR="00ED5606" w:rsidRPr="007C23E2" w:rsidRDefault="00ED5606" w:rsidP="003B3C05">
      <w:pPr>
        <w:spacing w:line="360" w:lineRule="auto"/>
        <w:rPr>
          <w:rFonts w:ascii="Georgia" w:hAnsi="Georgia" w:cs="Arial"/>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7C23E2" w:rsidRDefault="00ED5606" w:rsidP="003B3C05">
      <w:pPr>
        <w:pStyle w:val="Prrafodelista"/>
        <w:spacing w:line="360" w:lineRule="auto"/>
        <w:ind w:left="720"/>
        <w:rPr>
          <w:rFonts w:ascii="Georgia" w:hAnsi="Georgia" w:cs="Arial"/>
        </w:rPr>
      </w:pPr>
    </w:p>
    <w:p w:rsidR="00F94C49" w:rsidRPr="00F94C49" w:rsidRDefault="00F94C49" w:rsidP="001E7B2E">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w:t>
      </w:r>
    </w:p>
    <w:p w:rsidR="00F94C49" w:rsidRDefault="00F94C49" w:rsidP="00F94C49">
      <w:pPr>
        <w:pStyle w:val="Textoindependiente"/>
        <w:spacing w:line="360" w:lineRule="auto"/>
        <w:rPr>
          <w:rFonts w:ascii="Georgia" w:hAnsi="Georgia" w:cs="Arial"/>
          <w:szCs w:val="24"/>
        </w:rPr>
      </w:pPr>
    </w:p>
    <w:p w:rsidR="00F94C49" w:rsidRPr="00D93DB8" w:rsidRDefault="00F94C49" w:rsidP="00F94C49">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F94C49" w:rsidRPr="00D93DB8" w:rsidRDefault="00F94C49" w:rsidP="00F94C49">
      <w:pPr>
        <w:pStyle w:val="Textoindependiente"/>
        <w:spacing w:line="360" w:lineRule="auto"/>
        <w:rPr>
          <w:rFonts w:ascii="Georgia" w:hAnsi="Georgia"/>
          <w:sz w:val="16"/>
          <w:szCs w:val="24"/>
        </w:rPr>
      </w:pP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F94C49" w:rsidRDefault="00F94C49" w:rsidP="00F94C49">
      <w:pPr>
        <w:pStyle w:val="Textoindependiente"/>
        <w:tabs>
          <w:tab w:val="clear" w:pos="0"/>
        </w:tabs>
        <w:spacing w:line="240" w:lineRule="auto"/>
        <w:ind w:left="567" w:right="618"/>
        <w:rPr>
          <w:rFonts w:ascii="Georgia" w:hAnsi="Georgia"/>
          <w:szCs w:val="24"/>
        </w:rPr>
      </w:pPr>
      <w:r w:rsidRPr="00D93DB8">
        <w:rPr>
          <w:rFonts w:ascii="Georgia" w:hAnsi="Georgia"/>
          <w:szCs w:val="24"/>
        </w:rPr>
        <w:t>Este es el primer requisito de procedibilidad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167D05" w:rsidRPr="00D93DB8" w:rsidRDefault="00167D05" w:rsidP="00F94C49">
      <w:pPr>
        <w:pStyle w:val="Textoindependiente"/>
        <w:tabs>
          <w:tab w:val="clear" w:pos="0"/>
        </w:tabs>
        <w:spacing w:line="240" w:lineRule="auto"/>
        <w:ind w:left="567" w:right="618"/>
        <w:rPr>
          <w:rFonts w:ascii="Georgia" w:hAnsi="Georgia"/>
          <w:szCs w:val="24"/>
        </w:rPr>
      </w:pPr>
    </w:p>
    <w:p w:rsidR="00F94C49" w:rsidRPr="00D93DB8" w:rsidRDefault="00F94C49" w:rsidP="00F94C49">
      <w:pPr>
        <w:pStyle w:val="Textoindependiente"/>
        <w:spacing w:line="360" w:lineRule="auto"/>
        <w:rPr>
          <w:rFonts w:ascii="Georgia" w:hAnsi="Georgia"/>
          <w:szCs w:val="24"/>
        </w:rPr>
      </w:pPr>
      <w:r w:rsidRPr="00D93DB8">
        <w:rPr>
          <w:rFonts w:ascii="Georgia" w:hAnsi="Georgia" w:cs="Arial"/>
          <w:szCs w:val="24"/>
        </w:rPr>
        <w:t>En  antigua  y  reiterada  jurisprudencia  la  CC  ha  referido  con relación a este requisito de procedibilidad</w:t>
      </w:r>
      <w:r w:rsidRPr="00D93DB8">
        <w:rPr>
          <w:rStyle w:val="Refdenotaalpie"/>
          <w:rFonts w:ascii="Georgia" w:hAnsi="Georgia" w:cs="Arial"/>
          <w:szCs w:val="24"/>
        </w:rPr>
        <w:footnoteReference w:id="3"/>
      </w:r>
      <w:r w:rsidRPr="00D93DB8">
        <w:rPr>
          <w:rFonts w:ascii="Georgia" w:hAnsi="Georgia" w:cs="Arial"/>
          <w:szCs w:val="24"/>
        </w:rPr>
        <w:t>:</w:t>
      </w:r>
    </w:p>
    <w:p w:rsidR="00F94C49" w:rsidRPr="00D93DB8" w:rsidRDefault="00F94C49" w:rsidP="00F94C49">
      <w:pPr>
        <w:spacing w:line="360" w:lineRule="auto"/>
        <w:ind w:left="567" w:right="335"/>
        <w:jc w:val="both"/>
        <w:rPr>
          <w:rFonts w:ascii="Georgia" w:hAnsi="Georgia" w:cs="Arial"/>
          <w:sz w:val="18"/>
          <w:lang w:val="es-CO"/>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F94C49" w:rsidRPr="00D93DB8" w:rsidRDefault="00F94C49" w:rsidP="00F94C49">
      <w:pPr>
        <w:ind w:left="567" w:right="567"/>
        <w:jc w:val="both"/>
        <w:rPr>
          <w:rFonts w:ascii="Georgia" w:hAnsi="Georgia" w:cs="Arial"/>
          <w:sz w:val="28"/>
          <w:u w:val="single"/>
          <w:lang w:val="es-CO"/>
        </w:rPr>
      </w:pPr>
    </w:p>
    <w:p w:rsidR="00F94C49" w:rsidRPr="00D93DB8" w:rsidRDefault="00F94C49" w:rsidP="00F94C49">
      <w:pPr>
        <w:ind w:left="567" w:right="567"/>
        <w:jc w:val="both"/>
        <w:rPr>
          <w:rFonts w:ascii="Georgia" w:hAnsi="Georgia" w:cs="Arial"/>
          <w:lang w:val="es-ES_tradnl"/>
        </w:rPr>
      </w:pPr>
      <w:r w:rsidRPr="00D93DB8">
        <w:rPr>
          <w:rFonts w:ascii="Georgia" w:hAnsi="Georgia" w:cs="Arial"/>
          <w:lang w:val="es-CO"/>
        </w:rPr>
        <w:t>La legitimación por activa es requisito de procedibilidad.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F94C49" w:rsidRPr="00D93DB8" w:rsidRDefault="00F94C49" w:rsidP="00F94C49">
      <w:pPr>
        <w:ind w:left="567" w:right="567"/>
        <w:jc w:val="both"/>
        <w:rPr>
          <w:rFonts w:ascii="Georgia" w:hAnsi="Georgia" w:cs="Arial"/>
          <w:sz w:val="28"/>
          <w:lang w:val="es-ES_tradnl"/>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procedibilidad </w:t>
      </w:r>
      <w:r w:rsidRPr="00D93DB8">
        <w:rPr>
          <w:rFonts w:ascii="Georgia" w:hAnsi="Georgia" w:cs="Arial"/>
          <w:u w:val="single"/>
          <w:lang w:val="es-CO"/>
        </w:rPr>
        <w:t xml:space="preserve">exige la presencia de un nexo de causalidad entre la vulneración de los derechos del demandante, y la acción u omisión de la autoridad o el particular </w:t>
      </w:r>
      <w:r w:rsidRPr="00D93DB8">
        <w:rPr>
          <w:rFonts w:ascii="Georgia" w:hAnsi="Georgia" w:cs="Arial"/>
          <w:u w:val="single"/>
          <w:lang w:val="es-CO"/>
        </w:rPr>
        <w:lastRenderedPageBreak/>
        <w:t>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F94C49" w:rsidRPr="00167D05" w:rsidRDefault="00F94C49" w:rsidP="00F94C49">
      <w:pPr>
        <w:spacing w:line="360" w:lineRule="auto"/>
        <w:jc w:val="both"/>
        <w:rPr>
          <w:rFonts w:ascii="Georgia" w:hAnsi="Georgia" w:cs="Arial"/>
          <w:lang w:val="es-ES_tradnl"/>
        </w:rPr>
      </w:pPr>
    </w:p>
    <w:p w:rsidR="00F94C49" w:rsidRPr="00D93DB8" w:rsidRDefault="00F94C49" w:rsidP="00F94C49">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xml:space="preserve">: </w:t>
      </w:r>
      <w:r w:rsidRPr="00C32C36">
        <w:rPr>
          <w:rFonts w:ascii="Georgia" w:hAnsi="Georgia" w:cs="Arial"/>
          <w:sz w:val="22"/>
          <w:szCs w:val="22"/>
          <w:lang w:val="es-ES_tradnl"/>
        </w:rPr>
        <w:t>“</w:t>
      </w:r>
      <w:r w:rsidRPr="00C32C36">
        <w:rPr>
          <w:rFonts w:ascii="Georgia" w:hAnsi="Georgia" w:cs="Arial"/>
          <w:i/>
          <w:sz w:val="22"/>
          <w:szCs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C32C36">
        <w:rPr>
          <w:rFonts w:ascii="Georgia" w:hAnsi="Georgia" w:cs="Arial"/>
          <w:sz w:val="22"/>
          <w:szCs w:val="22"/>
          <w:lang w:val="es-ES_tradnl"/>
        </w:rPr>
        <w:t>(…)”.</w:t>
      </w:r>
    </w:p>
    <w:p w:rsidR="00F94C49" w:rsidRPr="00167D05" w:rsidRDefault="00F94C49" w:rsidP="00F94C49">
      <w:pPr>
        <w:pStyle w:val="Textoindependiente"/>
        <w:tabs>
          <w:tab w:val="clear" w:pos="0"/>
        </w:tabs>
        <w:spacing w:line="360" w:lineRule="auto"/>
        <w:rPr>
          <w:rFonts w:ascii="Georgia" w:hAnsi="Georgia" w:cs="Arial"/>
          <w:sz w:val="22"/>
          <w:szCs w:val="24"/>
        </w:rPr>
      </w:pPr>
    </w:p>
    <w:p w:rsidR="00F94C49" w:rsidRDefault="00F94C49" w:rsidP="00F94C49">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 xml:space="preserve">que </w:t>
      </w:r>
      <w:r w:rsidR="00617F17" w:rsidRPr="00C32C36">
        <w:rPr>
          <w:rFonts w:ascii="Georgia" w:hAnsi="Georgia" w:cs="Arial"/>
          <w:i/>
          <w:iCs/>
          <w:sz w:val="22"/>
          <w:szCs w:val="22"/>
        </w:rPr>
        <w:t>“</w:t>
      </w:r>
      <w:r w:rsidR="00617F17" w:rsidRPr="00C32C36">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00617F17" w:rsidRPr="00C32C36">
        <w:rPr>
          <w:rFonts w:ascii="Georgia" w:hAnsi="Georgia" w:cs="Arial"/>
          <w:i/>
          <w:spacing w:val="-12"/>
          <w:sz w:val="22"/>
          <w:szCs w:val="22"/>
          <w:lang w:val="es-CO"/>
        </w:rPr>
        <w:t>litis</w:t>
      </w:r>
      <w:proofErr w:type="spellEnd"/>
      <w:r w:rsidR="00617F17" w:rsidRPr="00C32C36">
        <w:rPr>
          <w:rFonts w:ascii="Georgia" w:hAnsi="Georgia" w:cs="Arial"/>
          <w:i/>
          <w:spacing w:val="-12"/>
          <w:sz w:val="22"/>
          <w:szCs w:val="22"/>
          <w:lang w:val="es-CO"/>
        </w:rPr>
        <w:t xml:space="preserve"> o fueron tenidos o reconocidos como intervinientes</w:t>
      </w:r>
      <w:r w:rsidRPr="00C32C36">
        <w:rPr>
          <w:rFonts w:ascii="Georgia" w:hAnsi="Georgia" w:cs="Arial"/>
          <w:i/>
          <w:sz w:val="22"/>
          <w:szCs w:val="22"/>
          <w:lang w:val="es-ES"/>
        </w:rPr>
        <w:t xml:space="preserve">”.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617F17" w:rsidRDefault="00617F17" w:rsidP="00F94C49">
      <w:pPr>
        <w:pStyle w:val="Textoindependiente"/>
        <w:spacing w:line="360" w:lineRule="auto"/>
        <w:rPr>
          <w:rFonts w:ascii="Georgia" w:hAnsi="Georgia" w:cs="Arial"/>
          <w:sz w:val="22"/>
          <w:szCs w:val="24"/>
        </w:rPr>
      </w:pPr>
    </w:p>
    <w:p w:rsidR="00F12011" w:rsidRDefault="00F12011" w:rsidP="00F12011">
      <w:pPr>
        <w:spacing w:line="360" w:lineRule="auto"/>
        <w:ind w:right="51"/>
        <w:jc w:val="both"/>
        <w:rPr>
          <w:rFonts w:ascii="Georgia" w:hAnsi="Georgia"/>
          <w:lang w:val="es-CO"/>
        </w:rPr>
      </w:pPr>
      <w:r w:rsidRPr="00F12011">
        <w:rPr>
          <w:rFonts w:ascii="Georgia" w:hAnsi="Georgia"/>
        </w:rPr>
        <w:t xml:space="preserve">Según el acervo probatorio las </w:t>
      </w:r>
      <w:r>
        <w:rPr>
          <w:rFonts w:ascii="Georgia" w:hAnsi="Georgia"/>
          <w:lang w:val="es-CO"/>
        </w:rPr>
        <w:t xml:space="preserve">acciones populares Nos.2018-00027-00 y 2018-00035-00 </w:t>
      </w:r>
      <w:r w:rsidRPr="00F12011">
        <w:rPr>
          <w:rFonts w:ascii="Georgia" w:hAnsi="Georgia"/>
        </w:rPr>
        <w:t xml:space="preserve">fueron promovidas por el señor </w:t>
      </w:r>
      <w:r>
        <w:rPr>
          <w:rFonts w:ascii="Georgia" w:hAnsi="Georgia"/>
        </w:rPr>
        <w:t xml:space="preserve">Rodolfo Morales </w:t>
      </w:r>
      <w:r w:rsidRPr="00F12011">
        <w:rPr>
          <w:rFonts w:ascii="Georgia" w:hAnsi="Georgia"/>
        </w:rPr>
        <w:t xml:space="preserve">(Folios </w:t>
      </w:r>
      <w:r w:rsidR="003E1BAB">
        <w:rPr>
          <w:rFonts w:ascii="Georgia" w:hAnsi="Georgia"/>
        </w:rPr>
        <w:t>29 a 36</w:t>
      </w:r>
      <w:r w:rsidRPr="00F12011">
        <w:rPr>
          <w:rFonts w:ascii="Georgia" w:hAnsi="Georgia"/>
        </w:rPr>
        <w:t xml:space="preserve">, ib.), lo que da lugar a que sea clara la </w:t>
      </w:r>
      <w:r>
        <w:rPr>
          <w:rFonts w:ascii="Georgia" w:hAnsi="Georgia"/>
        </w:rPr>
        <w:t xml:space="preserve">falta </w:t>
      </w:r>
      <w:r w:rsidRPr="00F12011">
        <w:rPr>
          <w:rFonts w:ascii="Georgia" w:hAnsi="Georgia"/>
        </w:rPr>
        <w:t xml:space="preserve">de legitimación en la causa por activa del señor Javier Elías Arias </w:t>
      </w:r>
      <w:proofErr w:type="spellStart"/>
      <w:r w:rsidRPr="00F12011">
        <w:rPr>
          <w:rFonts w:ascii="Georgia" w:hAnsi="Georgia"/>
        </w:rPr>
        <w:t>Idárraga</w:t>
      </w:r>
      <w:proofErr w:type="spellEnd"/>
      <w:r w:rsidRPr="00F12011">
        <w:rPr>
          <w:rFonts w:ascii="Georgia" w:hAnsi="Georgia"/>
        </w:rPr>
        <w:t>, puesto que no es parte en dichos asuntos, ni se le reconoció como tercero interviniente o coadyuvante</w:t>
      </w:r>
      <w:r w:rsidRPr="00F12011">
        <w:rPr>
          <w:rFonts w:ascii="Georgia" w:hAnsi="Georgia"/>
          <w:lang w:val="es-CO"/>
        </w:rPr>
        <w:t xml:space="preserve">. </w:t>
      </w:r>
    </w:p>
    <w:p w:rsidR="00F12011" w:rsidRPr="00B76377" w:rsidRDefault="00F12011" w:rsidP="00F12011">
      <w:pPr>
        <w:spacing w:line="360" w:lineRule="auto"/>
        <w:ind w:right="51"/>
        <w:jc w:val="both"/>
        <w:rPr>
          <w:rFonts w:ascii="Georgia" w:hAnsi="Georgia"/>
          <w:sz w:val="20"/>
          <w:lang w:val="es-CO"/>
        </w:rPr>
      </w:pPr>
    </w:p>
    <w:p w:rsidR="00F12011" w:rsidRDefault="00F12011" w:rsidP="00167D05">
      <w:pPr>
        <w:pStyle w:val="Textoindependiente"/>
        <w:spacing w:line="360" w:lineRule="auto"/>
        <w:rPr>
          <w:rFonts w:ascii="Georgia" w:hAnsi="Georgia"/>
          <w:szCs w:val="24"/>
        </w:rPr>
      </w:pPr>
      <w:r>
        <w:rPr>
          <w:rFonts w:ascii="Georgia" w:hAnsi="Georgia"/>
          <w:szCs w:val="24"/>
        </w:rPr>
        <w:t>Ahora, en lo tocante con la acción popular No.2018-00037-00</w:t>
      </w:r>
      <w:r w:rsidR="00666D24">
        <w:rPr>
          <w:rFonts w:ascii="Georgia" w:hAnsi="Georgia"/>
          <w:szCs w:val="24"/>
        </w:rPr>
        <w:t xml:space="preserve"> (Folios 37 a 43, ib.</w:t>
      </w:r>
      <w:proofErr w:type="gramStart"/>
      <w:r w:rsidR="00666D24">
        <w:rPr>
          <w:rFonts w:ascii="Georgia" w:hAnsi="Georgia"/>
          <w:szCs w:val="24"/>
        </w:rPr>
        <w:t xml:space="preserve">) </w:t>
      </w:r>
      <w:r>
        <w:rPr>
          <w:rFonts w:ascii="Georgia" w:hAnsi="Georgia"/>
          <w:szCs w:val="24"/>
        </w:rPr>
        <w:t>,</w:t>
      </w:r>
      <w:proofErr w:type="gramEnd"/>
      <w:r>
        <w:rPr>
          <w:rFonts w:ascii="Georgia" w:hAnsi="Georgia"/>
          <w:szCs w:val="24"/>
        </w:rPr>
        <w:t xml:space="preserve"> sí actúa como coadyuvante reconocido</w:t>
      </w:r>
      <w:r w:rsidR="003E1BAB">
        <w:rPr>
          <w:rFonts w:ascii="Georgia" w:hAnsi="Georgia"/>
          <w:szCs w:val="24"/>
        </w:rPr>
        <w:t xml:space="preserve"> (Folios </w:t>
      </w:r>
      <w:r w:rsidR="00666D24">
        <w:rPr>
          <w:rFonts w:ascii="Georgia" w:hAnsi="Georgia"/>
          <w:szCs w:val="24"/>
        </w:rPr>
        <w:t>43 vuelto</w:t>
      </w:r>
      <w:r w:rsidR="003E1BAB">
        <w:rPr>
          <w:rFonts w:ascii="Georgia" w:hAnsi="Georgia"/>
          <w:szCs w:val="24"/>
        </w:rPr>
        <w:t>, ib.)</w:t>
      </w:r>
      <w:r>
        <w:rPr>
          <w:rFonts w:ascii="Georgia" w:hAnsi="Georgia"/>
          <w:szCs w:val="24"/>
        </w:rPr>
        <w:t>, pese a ello carece de la legitimación para actuar, puesto que el recurso supuestamente dejado de decidir fue radicado por el señor Morales</w:t>
      </w:r>
      <w:r w:rsidR="003E1BAB">
        <w:rPr>
          <w:rFonts w:ascii="Georgia" w:hAnsi="Georgia"/>
          <w:szCs w:val="24"/>
        </w:rPr>
        <w:t xml:space="preserve"> (Folio 40 vuelto, ib.)</w:t>
      </w:r>
      <w:r>
        <w:rPr>
          <w:rFonts w:ascii="Georgia" w:hAnsi="Georgia"/>
          <w:szCs w:val="24"/>
        </w:rPr>
        <w:t xml:space="preserve">; </w:t>
      </w:r>
      <w:r w:rsidRPr="00D93DB8">
        <w:rPr>
          <w:rFonts w:ascii="Georgia" w:hAnsi="Georgia"/>
          <w:szCs w:val="24"/>
        </w:rPr>
        <w:t>claramente busca la protección del derecho fundamental al debido proceso de otra persona</w:t>
      </w:r>
      <w:r>
        <w:rPr>
          <w:rFonts w:ascii="Georgia" w:hAnsi="Georgia"/>
          <w:szCs w:val="24"/>
        </w:rPr>
        <w:t xml:space="preserve">, y no el suyo propio. </w:t>
      </w:r>
    </w:p>
    <w:p w:rsidR="00F12011" w:rsidRPr="00B76377" w:rsidRDefault="00F12011" w:rsidP="00167D05">
      <w:pPr>
        <w:pStyle w:val="Textoindependiente"/>
        <w:spacing w:line="360" w:lineRule="auto"/>
        <w:rPr>
          <w:rFonts w:ascii="Georgia" w:hAnsi="Georgia"/>
          <w:sz w:val="20"/>
          <w:szCs w:val="24"/>
        </w:rPr>
      </w:pPr>
    </w:p>
    <w:p w:rsidR="00167D05" w:rsidRDefault="00167D05" w:rsidP="003E1BAB">
      <w:pPr>
        <w:pStyle w:val="Textoindependiente"/>
        <w:spacing w:line="360" w:lineRule="auto"/>
        <w:rPr>
          <w:rFonts w:ascii="Georgia" w:hAnsi="Georgia"/>
        </w:rPr>
      </w:pPr>
      <w:r>
        <w:rPr>
          <w:rFonts w:ascii="Georgia" w:hAnsi="Georgia"/>
          <w:szCs w:val="24"/>
        </w:rPr>
        <w:t>T</w:t>
      </w:r>
      <w:r w:rsidRPr="00D93DB8">
        <w:rPr>
          <w:rFonts w:ascii="Georgia" w:hAnsi="Georgia"/>
          <w:szCs w:val="24"/>
        </w:rPr>
        <w:t xml:space="preserve">ampoco podría predicarse que actúa en condición de apoderado judicial del </w:t>
      </w:r>
      <w:r w:rsidR="00F12011">
        <w:rPr>
          <w:rFonts w:ascii="Georgia" w:hAnsi="Georgia"/>
          <w:szCs w:val="24"/>
        </w:rPr>
        <w:t>actor popular</w:t>
      </w:r>
      <w:r w:rsidRPr="00D93DB8">
        <w:rPr>
          <w:rFonts w:ascii="Georgia" w:hAnsi="Georgia"/>
          <w:szCs w:val="24"/>
        </w:rPr>
        <w:t xml:space="preserve">, porque </w:t>
      </w:r>
      <w:r>
        <w:rPr>
          <w:rFonts w:ascii="Georgia" w:hAnsi="Georgia"/>
          <w:szCs w:val="24"/>
        </w:rPr>
        <w:t>dejó de aportar</w:t>
      </w:r>
      <w:r w:rsidRPr="00D93DB8">
        <w:rPr>
          <w:rFonts w:ascii="Georgia" w:hAnsi="Georgia"/>
          <w:szCs w:val="24"/>
        </w:rPr>
        <w:t xml:space="preserve"> con el petitorio el poder especial expreso </w:t>
      </w:r>
      <w:r w:rsidR="00F12011">
        <w:rPr>
          <w:rFonts w:ascii="Georgia" w:hAnsi="Georgia"/>
          <w:szCs w:val="24"/>
        </w:rPr>
        <w:t xml:space="preserve">ni </w:t>
      </w:r>
      <w:r w:rsidRPr="00D93DB8">
        <w:rPr>
          <w:rFonts w:ascii="Georgia" w:hAnsi="Georgia"/>
          <w:szCs w:val="24"/>
        </w:rPr>
        <w:t>acreditó la condición de profesional del derecho</w:t>
      </w:r>
      <w:r w:rsidRPr="00D93DB8">
        <w:rPr>
          <w:rStyle w:val="Refdenotaalpie"/>
          <w:rFonts w:ascii="Georgia" w:hAnsi="Georgia"/>
          <w:szCs w:val="24"/>
        </w:rPr>
        <w:footnoteReference w:id="6"/>
      </w:r>
      <w:r>
        <w:rPr>
          <w:rFonts w:ascii="Georgia" w:hAnsi="Georgia" w:cs="Arial"/>
          <w:szCs w:val="28"/>
          <w:shd w:val="clear" w:color="auto" w:fill="FFFFFF"/>
        </w:rPr>
        <w:t xml:space="preserve">, menos que </w:t>
      </w:r>
      <w:r w:rsidR="003E1BAB">
        <w:rPr>
          <w:rFonts w:ascii="Georgia" w:hAnsi="Georgia"/>
          <w:szCs w:val="24"/>
        </w:rPr>
        <w:t xml:space="preserve">lo hace </w:t>
      </w:r>
      <w:r w:rsidRPr="00D93DB8">
        <w:rPr>
          <w:rFonts w:ascii="Georgia" w:hAnsi="Georgia"/>
          <w:szCs w:val="24"/>
        </w:rPr>
        <w:t>como agente oficioso, ya que no se reúnen los supuestos exigidos por el precedente constitucional</w:t>
      </w:r>
      <w:r w:rsidRPr="00D93DB8">
        <w:rPr>
          <w:rStyle w:val="Refdenotaalpie"/>
          <w:rFonts w:ascii="Georgia" w:hAnsi="Georgia"/>
          <w:szCs w:val="24"/>
        </w:rPr>
        <w:footnoteReference w:id="7"/>
      </w:r>
      <w:r w:rsidRPr="00D93DB8">
        <w:rPr>
          <w:rFonts w:ascii="Georgia" w:hAnsi="Georgia"/>
          <w:szCs w:val="24"/>
        </w:rPr>
        <w:t xml:space="preserve">. </w:t>
      </w:r>
      <w:r w:rsidR="003E1BAB">
        <w:rPr>
          <w:rFonts w:ascii="Georgia" w:hAnsi="Georgia"/>
          <w:szCs w:val="24"/>
        </w:rPr>
        <w:t>N</w:t>
      </w:r>
      <w:r>
        <w:rPr>
          <w:rFonts w:ascii="Georgia" w:hAnsi="Georgia"/>
          <w:szCs w:val="24"/>
        </w:rPr>
        <w:t xml:space="preserve">ada </w:t>
      </w:r>
      <w:r w:rsidRPr="00D93DB8">
        <w:rPr>
          <w:rFonts w:ascii="Georgia" w:hAnsi="Georgia"/>
          <w:szCs w:val="24"/>
        </w:rPr>
        <w:t xml:space="preserve">alude </w:t>
      </w:r>
      <w:r>
        <w:rPr>
          <w:rFonts w:ascii="Georgia" w:hAnsi="Georgia"/>
          <w:szCs w:val="24"/>
        </w:rPr>
        <w:t xml:space="preserve">sobre </w:t>
      </w:r>
      <w:r w:rsidRPr="00D93DB8">
        <w:rPr>
          <w:rFonts w:ascii="Georgia" w:hAnsi="Georgia"/>
          <w:szCs w:val="24"/>
        </w:rPr>
        <w:t xml:space="preserve">que el señor </w:t>
      </w:r>
      <w:r w:rsidR="003E1BAB">
        <w:rPr>
          <w:rFonts w:ascii="Georgia" w:hAnsi="Georgia"/>
          <w:szCs w:val="24"/>
        </w:rPr>
        <w:t xml:space="preserve">Morales </w:t>
      </w:r>
      <w:r>
        <w:rPr>
          <w:rFonts w:ascii="Georgia" w:hAnsi="Georgia"/>
          <w:szCs w:val="24"/>
        </w:rPr>
        <w:t xml:space="preserve">esté </w:t>
      </w:r>
      <w:r w:rsidRPr="00D93DB8">
        <w:rPr>
          <w:rFonts w:ascii="Georgia" w:hAnsi="Georgia"/>
          <w:szCs w:val="24"/>
        </w:rPr>
        <w:t xml:space="preserve">imposibilitado para presentar </w:t>
      </w:r>
      <w:r w:rsidR="003E1BAB">
        <w:rPr>
          <w:rFonts w:ascii="Georgia" w:hAnsi="Georgia"/>
          <w:szCs w:val="24"/>
        </w:rPr>
        <w:t xml:space="preserve">la tutela </w:t>
      </w:r>
      <w:r w:rsidRPr="00D93DB8">
        <w:rPr>
          <w:rFonts w:ascii="Georgia" w:hAnsi="Georgia"/>
          <w:szCs w:val="24"/>
        </w:rPr>
        <w:t xml:space="preserve">por su propia cuenta. </w:t>
      </w:r>
      <w:r>
        <w:rPr>
          <w:rFonts w:ascii="Georgia" w:hAnsi="Georgia"/>
        </w:rPr>
        <w:t xml:space="preserve">En ese orden de ideas, el aludido amparo es </w:t>
      </w:r>
      <w:r w:rsidRPr="00D93DB8">
        <w:rPr>
          <w:rFonts w:ascii="Georgia" w:hAnsi="Georgia"/>
        </w:rPr>
        <w:t>improcedente y así se declarará.</w:t>
      </w:r>
    </w:p>
    <w:p w:rsidR="00167D05" w:rsidRPr="00B76377" w:rsidRDefault="00167D05" w:rsidP="00167D05">
      <w:pPr>
        <w:spacing w:line="360" w:lineRule="auto"/>
        <w:ind w:right="51"/>
        <w:jc w:val="both"/>
        <w:rPr>
          <w:rFonts w:ascii="Georgia" w:hAnsi="Georgia"/>
          <w:sz w:val="20"/>
        </w:rPr>
      </w:pPr>
    </w:p>
    <w:p w:rsidR="003E1BAB" w:rsidRDefault="003E1BAB" w:rsidP="00167D05">
      <w:pPr>
        <w:spacing w:line="360" w:lineRule="auto"/>
        <w:ind w:right="51"/>
        <w:jc w:val="both"/>
        <w:rPr>
          <w:rFonts w:ascii="Georgia" w:hAnsi="Georgia"/>
        </w:rPr>
      </w:pPr>
      <w:r>
        <w:rPr>
          <w:rFonts w:ascii="Georgia" w:hAnsi="Georgia"/>
        </w:rPr>
        <w:t xml:space="preserve">Empero lo expuesto, debe relievarse que este asunto también estaría destinado al fracaso, pero por la ausencia de hechos que afecten o amenacen los derecho invocados, toda vez que es falso que en las acciones populares se haya omitido desatar los recursos presentados, dos (2) de ellas no cuentan con los aludidos memoriales </w:t>
      </w:r>
      <w:r w:rsidRPr="00F12011">
        <w:rPr>
          <w:rFonts w:ascii="Georgia" w:hAnsi="Georgia"/>
        </w:rPr>
        <w:t xml:space="preserve">(Folios </w:t>
      </w:r>
      <w:r>
        <w:rPr>
          <w:rFonts w:ascii="Georgia" w:hAnsi="Georgia"/>
        </w:rPr>
        <w:t>29 a 36</w:t>
      </w:r>
      <w:r w:rsidRPr="00F12011">
        <w:rPr>
          <w:rFonts w:ascii="Georgia" w:hAnsi="Georgia"/>
        </w:rPr>
        <w:t>, ib.)</w:t>
      </w:r>
      <w:r>
        <w:rPr>
          <w:rFonts w:ascii="Georgia" w:hAnsi="Georgia"/>
        </w:rPr>
        <w:t xml:space="preserve"> y en la otra sí se resolvió la reposición (Folios </w:t>
      </w:r>
      <w:r w:rsidR="00666D24">
        <w:rPr>
          <w:rFonts w:ascii="Georgia" w:hAnsi="Georgia"/>
        </w:rPr>
        <w:t>41 vuelto y 42, ib.)</w:t>
      </w:r>
      <w:r>
        <w:rPr>
          <w:rFonts w:ascii="Georgia" w:hAnsi="Georgia"/>
        </w:rPr>
        <w:t xml:space="preserve">. </w:t>
      </w:r>
    </w:p>
    <w:p w:rsidR="003E1BAB" w:rsidRPr="00B76377" w:rsidRDefault="003E1BAB" w:rsidP="00167D05">
      <w:pPr>
        <w:spacing w:line="360" w:lineRule="auto"/>
        <w:ind w:right="51"/>
        <w:jc w:val="both"/>
        <w:rPr>
          <w:rFonts w:ascii="Georgia" w:hAnsi="Georgia"/>
          <w:sz w:val="20"/>
        </w:rPr>
      </w:pPr>
    </w:p>
    <w:p w:rsidR="00666D24" w:rsidRPr="00402BC3" w:rsidRDefault="00666D24" w:rsidP="00666D24">
      <w:pPr>
        <w:pStyle w:val="Textoindependiente"/>
        <w:spacing w:line="360" w:lineRule="auto"/>
        <w:rPr>
          <w:rFonts w:ascii="Georgia" w:hAnsi="Georgia"/>
          <w:szCs w:val="24"/>
          <w:lang w:val="es-CO"/>
        </w:rPr>
      </w:pPr>
      <w:r>
        <w:rPr>
          <w:rFonts w:ascii="Georgia" w:hAnsi="Georgia"/>
          <w:szCs w:val="24"/>
        </w:rPr>
        <w:t>De otro lado, esta Sala</w:t>
      </w:r>
      <w:r w:rsidRPr="00034F5D">
        <w:rPr>
          <w:rFonts w:ascii="Georgia" w:hAnsi="Georgia"/>
          <w:szCs w:val="24"/>
        </w:rPr>
        <w:t xml:space="preserve"> negará la</w:t>
      </w:r>
      <w:r>
        <w:rPr>
          <w:rFonts w:ascii="Georgia" w:hAnsi="Georgia"/>
          <w:szCs w:val="24"/>
        </w:rPr>
        <w:t>s</w:t>
      </w:r>
      <w:r w:rsidRPr="00034F5D">
        <w:rPr>
          <w:rFonts w:ascii="Georgia" w:hAnsi="Georgia"/>
          <w:szCs w:val="24"/>
        </w:rPr>
        <w:t xml:space="preserve"> pretensi</w:t>
      </w:r>
      <w:r>
        <w:rPr>
          <w:rFonts w:ascii="Georgia" w:hAnsi="Georgia"/>
          <w:szCs w:val="24"/>
        </w:rPr>
        <w:t>ones</w:t>
      </w:r>
      <w:r w:rsidRPr="00034F5D">
        <w:rPr>
          <w:rFonts w:ascii="Georgia" w:hAnsi="Georgia"/>
          <w:szCs w:val="24"/>
        </w:rPr>
        <w:t xml:space="preserve"> tutelar</w:t>
      </w:r>
      <w:r>
        <w:rPr>
          <w:rFonts w:ascii="Georgia" w:hAnsi="Georgia"/>
          <w:szCs w:val="24"/>
        </w:rPr>
        <w:t>es</w:t>
      </w:r>
      <w:r w:rsidRPr="00034F5D">
        <w:rPr>
          <w:rFonts w:ascii="Georgia" w:hAnsi="Georgia"/>
          <w:szCs w:val="24"/>
        </w:rPr>
        <w:t xml:space="preserve"> dirigida</w:t>
      </w:r>
      <w:r>
        <w:rPr>
          <w:rFonts w:ascii="Georgia" w:hAnsi="Georgia"/>
          <w:szCs w:val="24"/>
        </w:rPr>
        <w:t>s</w:t>
      </w:r>
      <w:r w:rsidRPr="00034F5D">
        <w:rPr>
          <w:rFonts w:ascii="Georgia" w:hAnsi="Georgia"/>
          <w:szCs w:val="24"/>
        </w:rPr>
        <w:t xml:space="preserve"> </w:t>
      </w:r>
      <w:r>
        <w:rPr>
          <w:rFonts w:ascii="Georgia" w:hAnsi="Georgia"/>
          <w:szCs w:val="24"/>
        </w:rPr>
        <w:t xml:space="preserve">a que el despacho judicial desarchive las acciones populares sin exigir el pago de arancel judicial, </w:t>
      </w:r>
      <w:r w:rsidR="00B76377">
        <w:rPr>
          <w:rFonts w:ascii="Georgia" w:hAnsi="Georgia"/>
          <w:szCs w:val="24"/>
        </w:rPr>
        <w:t xml:space="preserve">dada la ausencia en el plenario de prueba sobre la presentación de pedimento en dichos términos, evidente es la inexistencia </w:t>
      </w:r>
      <w:r>
        <w:rPr>
          <w:rFonts w:ascii="Georgia" w:hAnsi="Georgia"/>
          <w:szCs w:val="24"/>
        </w:rPr>
        <w:t>de hechos vulneradores o amenazantes de los derechos invocados</w:t>
      </w:r>
      <w:r w:rsidR="00B76377">
        <w:rPr>
          <w:rFonts w:ascii="Georgia" w:hAnsi="Georgia"/>
          <w:szCs w:val="24"/>
        </w:rPr>
        <w:t xml:space="preserve">; </w:t>
      </w:r>
      <w:r w:rsidRPr="00034F5D">
        <w:rPr>
          <w:rFonts w:ascii="Georgia" w:hAnsi="Georgia"/>
          <w:szCs w:val="24"/>
        </w:rPr>
        <w:t>la tutela no es el mecanismo para formular derechos de petición ante autoridades o particulares</w:t>
      </w:r>
      <w:r>
        <w:rPr>
          <w:rFonts w:ascii="Georgia" w:hAnsi="Georgia"/>
          <w:szCs w:val="24"/>
          <w:lang w:val="es-ES"/>
        </w:rPr>
        <w:t>.</w:t>
      </w:r>
      <w:r>
        <w:rPr>
          <w:rFonts w:ascii="Georgia" w:hAnsi="Georgia"/>
          <w:szCs w:val="24"/>
        </w:rPr>
        <w:t xml:space="preserve"> </w:t>
      </w:r>
    </w:p>
    <w:p w:rsidR="002255AC" w:rsidRPr="00B76377" w:rsidRDefault="002255AC" w:rsidP="002255AC">
      <w:pPr>
        <w:pStyle w:val="Textoindependiente"/>
        <w:spacing w:line="360" w:lineRule="auto"/>
        <w:rPr>
          <w:rFonts w:ascii="Georgia" w:hAnsi="Georgia" w:cs="Arial"/>
          <w:sz w:val="20"/>
          <w:lang w:val="es-CO"/>
        </w:rPr>
      </w:pP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1E7B2E" w:rsidRPr="00B76377" w:rsidRDefault="001E7B2E" w:rsidP="001E7B2E">
      <w:pPr>
        <w:pStyle w:val="Textoindependiente"/>
        <w:spacing w:line="360" w:lineRule="auto"/>
        <w:ind w:left="400"/>
        <w:rPr>
          <w:rFonts w:ascii="Georgia" w:hAnsi="Georgia"/>
          <w:sz w:val="20"/>
          <w:szCs w:val="24"/>
        </w:rPr>
      </w:pPr>
    </w:p>
    <w:p w:rsidR="000257D2" w:rsidRPr="007C23E2" w:rsidRDefault="00446F4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7B2E">
        <w:rPr>
          <w:rFonts w:ascii="Georgia" w:hAnsi="Georgia" w:cs="Arial"/>
        </w:rPr>
        <w:t>Con fundamento en las consideraciones e</w:t>
      </w:r>
      <w:r w:rsidR="001E7B2E">
        <w:rPr>
          <w:rFonts w:ascii="Georgia" w:hAnsi="Georgia" w:cs="Arial"/>
        </w:rPr>
        <w:t>xpuestas (i) S</w:t>
      </w:r>
      <w:r w:rsidRPr="001E7B2E">
        <w:rPr>
          <w:rFonts w:ascii="Georgia" w:hAnsi="Georgia" w:cs="Arial"/>
        </w:rPr>
        <w:t xml:space="preserve">e declarará improcedente </w:t>
      </w:r>
      <w:r w:rsidR="002255AC">
        <w:rPr>
          <w:rFonts w:ascii="Georgia" w:hAnsi="Georgia" w:cs="Arial"/>
        </w:rPr>
        <w:t>el amparo constitucional</w:t>
      </w:r>
      <w:r w:rsidR="00666D24">
        <w:rPr>
          <w:rFonts w:ascii="Georgia" w:hAnsi="Georgia" w:cs="Arial"/>
        </w:rPr>
        <w:t xml:space="preserve"> respecto de la omisión para proveer sobre los recursos presentados</w:t>
      </w:r>
      <w:r w:rsidR="00666D24">
        <w:rPr>
          <w:rFonts w:ascii="Georgia" w:hAnsi="Georgia"/>
        </w:rPr>
        <w:t>, por carecer de legitimación por activa y para representar;</w:t>
      </w:r>
      <w:r w:rsidR="00B76377">
        <w:rPr>
          <w:rFonts w:ascii="Georgia" w:hAnsi="Georgia"/>
        </w:rPr>
        <w:t xml:space="preserve"> (ii) Se negará</w:t>
      </w:r>
      <w:r w:rsidR="00666D24">
        <w:rPr>
          <w:rFonts w:ascii="Georgia" w:hAnsi="Georgia"/>
        </w:rPr>
        <w:t xml:space="preserve"> en lo relacionado con el desarchivo de los expedientes, por ausencia fáctica</w:t>
      </w:r>
      <w:r w:rsidR="003F5F11">
        <w:rPr>
          <w:rFonts w:ascii="Georgia" w:hAnsi="Georgia" w:cs="Arial"/>
        </w:rPr>
        <w:t>.</w:t>
      </w:r>
    </w:p>
    <w:p w:rsidR="00446F44" w:rsidRPr="00B76377" w:rsidRDefault="00446F44" w:rsidP="001E7B2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453567">
        <w:rPr>
          <w:rFonts w:ascii="Georgia" w:hAnsi="Georgia" w:cs="Arial"/>
        </w:rPr>
        <w:t xml:space="preserve">de Colombia </w:t>
      </w:r>
      <w:r w:rsidRPr="00D22B05">
        <w:rPr>
          <w:rFonts w:ascii="Georgia" w:hAnsi="Georgia" w:cs="Arial"/>
        </w:rPr>
        <w:t>y por autoridad de la Ley,</w:t>
      </w:r>
    </w:p>
    <w:p w:rsidR="00446F44"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53567" w:rsidRPr="00BB7438" w:rsidRDefault="00453567" w:rsidP="00446F44">
      <w:pPr>
        <w:pStyle w:val="Textoindependiente"/>
        <w:spacing w:line="360" w:lineRule="auto"/>
        <w:jc w:val="center"/>
        <w:rPr>
          <w:rFonts w:ascii="Georgia" w:hAnsi="Georgia" w:cs="Arial"/>
          <w:bCs/>
        </w:rPr>
      </w:pPr>
    </w:p>
    <w:p w:rsidR="003F5F11" w:rsidRDefault="00446F44"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w:t>
      </w:r>
      <w:r w:rsidR="000B2BB9">
        <w:rPr>
          <w:rFonts w:ascii="Georgia" w:hAnsi="Georgia" w:cs="Arial"/>
        </w:rPr>
        <w:t xml:space="preserve"> </w:t>
      </w:r>
      <w:r w:rsidRPr="00B33A0F">
        <w:rPr>
          <w:rFonts w:ascii="Georgia" w:hAnsi="Georgia" w:cs="Arial"/>
        </w:rPr>
        <w:t xml:space="preserve">propuesta por el señor </w:t>
      </w:r>
      <w:r>
        <w:rPr>
          <w:rFonts w:ascii="Georgia" w:hAnsi="Georgia" w:cs="Arial"/>
        </w:rPr>
        <w:t xml:space="preserve">Javier Elías Arias </w:t>
      </w:r>
      <w:proofErr w:type="spellStart"/>
      <w:r>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w:t>
      </w:r>
      <w:r w:rsidR="00666D24">
        <w:rPr>
          <w:rFonts w:ascii="Georgia" w:hAnsi="Georgia" w:cs="Arial"/>
        </w:rPr>
        <w:t xml:space="preserve">Segundo </w:t>
      </w:r>
      <w:r w:rsidRPr="00B33A0F">
        <w:rPr>
          <w:rFonts w:ascii="Georgia" w:hAnsi="Georgia" w:cs="Arial"/>
        </w:rPr>
        <w:t xml:space="preserve">Civil del Circuito </w:t>
      </w:r>
      <w:r>
        <w:rPr>
          <w:rFonts w:ascii="Georgia" w:hAnsi="Georgia" w:cs="Arial"/>
        </w:rPr>
        <w:t>de Pereira</w:t>
      </w:r>
      <w:r w:rsidR="00666D24">
        <w:rPr>
          <w:rFonts w:ascii="Georgia" w:hAnsi="Georgia" w:cs="Arial"/>
        </w:rPr>
        <w:t>, con relación a la supuesta omisión para proveer sobre los recursos presentados</w:t>
      </w:r>
      <w:r w:rsidR="003F5F11">
        <w:rPr>
          <w:rFonts w:ascii="Georgia" w:hAnsi="Georgia" w:cs="Arial"/>
        </w:rPr>
        <w:t>, por falta de legitimación por activa y para representar</w:t>
      </w:r>
      <w:r>
        <w:rPr>
          <w:rFonts w:ascii="Georgia" w:hAnsi="Georgia" w:cs="Arial"/>
        </w:rPr>
        <w:t xml:space="preserve">. </w:t>
      </w:r>
    </w:p>
    <w:p w:rsidR="003F5F11" w:rsidRPr="003F5F11" w:rsidRDefault="003F5F11" w:rsidP="003F5F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3F5F11" w:rsidRDefault="00666D24"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NEGAR el amparo referente al desarchivo de las acciones populares, por ausencia fáctica</w:t>
      </w:r>
      <w:r w:rsidR="003F5F11">
        <w:rPr>
          <w:rFonts w:ascii="Georgia" w:hAnsi="Georgia" w:cs="Arial"/>
        </w:rPr>
        <w:t>.</w:t>
      </w:r>
    </w:p>
    <w:p w:rsidR="003F5F11" w:rsidRPr="003F5F11" w:rsidRDefault="003F5F11" w:rsidP="003F5F11">
      <w:pPr>
        <w:pStyle w:val="Prrafodelista"/>
        <w:spacing w:line="360" w:lineRule="auto"/>
        <w:rPr>
          <w:rFonts w:ascii="Georgia" w:hAnsi="Georgia" w:cs="Arial"/>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NOTIFICAR esta decisión a todas las partes, por el medio más expedito y eficaz.</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REMITIR este expediente, a la CC para su eventual revisión, de no ser impugnada.</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ORDENAR el archivo del expediente, surtidos los trámites anteriores.</w:t>
      </w:r>
    </w:p>
    <w:p w:rsidR="003F5F11" w:rsidRDefault="003F5F11" w:rsidP="003F5F11">
      <w:pPr>
        <w:pStyle w:val="Prrafodelista"/>
        <w:widowControl/>
        <w:autoSpaceDE/>
        <w:adjustRightInd/>
        <w:spacing w:line="360" w:lineRule="auto"/>
        <w:ind w:left="360" w:right="51"/>
        <w:contextualSpacing/>
        <w:jc w:val="both"/>
        <w:rPr>
          <w:rFonts w:ascii="Georgia" w:hAnsi="Georgia"/>
          <w:sz w:val="4"/>
        </w:rPr>
      </w:pPr>
    </w:p>
    <w:p w:rsidR="0046126A" w:rsidRPr="001E7B2E" w:rsidRDefault="003F5F11" w:rsidP="00885750">
      <w:pPr>
        <w:pStyle w:val="Textoindependiente"/>
        <w:tabs>
          <w:tab w:val="left" w:pos="3944"/>
          <w:tab w:val="center" w:pos="4703"/>
        </w:tabs>
        <w:spacing w:line="360" w:lineRule="auto"/>
        <w:jc w:val="left"/>
        <w:rPr>
          <w:rFonts w:ascii="Georgia" w:hAnsi="Georgia"/>
          <w:sz w:val="20"/>
        </w:rPr>
      </w:pP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p>
    <w:p w:rsidR="00B30152"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377F29">
        <w:rPr>
          <w:rFonts w:ascii="Georgia" w:hAnsi="Georgia"/>
          <w:smallCaps/>
          <w:szCs w:val="24"/>
          <w:lang w:val="en-US"/>
        </w:rPr>
        <w:t>NOTIFÍQUESE,</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885750" w:rsidRDefault="005B1601" w:rsidP="004535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r w:rsidRPr="00446F44">
        <w:rPr>
          <w:rFonts w:ascii="Georgia" w:hAnsi="Georgia"/>
          <w:w w:val="150"/>
          <w:sz w:val="10"/>
          <w:szCs w:val="10"/>
          <w:lang w:val="en-US"/>
        </w:rPr>
        <w:t>DGH/ODCD/</w:t>
      </w:r>
      <w:r w:rsidR="001E7B2E">
        <w:rPr>
          <w:rFonts w:ascii="Georgia" w:hAnsi="Georgia"/>
          <w:w w:val="150"/>
          <w:sz w:val="10"/>
          <w:szCs w:val="10"/>
          <w:lang w:val="en-US"/>
        </w:rPr>
        <w:t>2018</w:t>
      </w:r>
    </w:p>
    <w:p w:rsidR="00885750" w:rsidRDefault="00885750">
      <w:pPr>
        <w:widowControl/>
        <w:autoSpaceDE/>
        <w:autoSpaceDN/>
        <w:adjustRightInd/>
        <w:rPr>
          <w:rFonts w:ascii="Georgia" w:hAnsi="Georgia"/>
          <w:w w:val="150"/>
          <w:sz w:val="10"/>
          <w:szCs w:val="10"/>
          <w:lang w:val="en-US"/>
        </w:rPr>
      </w:pPr>
    </w:p>
    <w:sectPr w:rsidR="00885750"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CB" w:rsidRDefault="00F317CB" w:rsidP="0099045D">
      <w:r>
        <w:separator/>
      </w:r>
    </w:p>
  </w:endnote>
  <w:endnote w:type="continuationSeparator" w:id="0">
    <w:p w:rsidR="00F317CB" w:rsidRDefault="00F317C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1E7B2E" w:rsidRDefault="001E7B2E" w:rsidP="006A672F"/>
  <w:p w:rsidR="001E7B2E" w:rsidRPr="007C23E2" w:rsidRDefault="001E7B2E"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1E7B2E" w:rsidRPr="007C23E2" w:rsidRDefault="001E7B2E"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CB" w:rsidRDefault="00F317CB" w:rsidP="0099045D">
      <w:r>
        <w:separator/>
      </w:r>
    </w:p>
  </w:footnote>
  <w:footnote w:type="continuationSeparator" w:id="0">
    <w:p w:rsidR="00F317CB" w:rsidRDefault="00F317CB" w:rsidP="0099045D">
      <w:r>
        <w:continuationSeparator/>
      </w:r>
    </w:p>
  </w:footnote>
  <w:footnote w:id="1">
    <w:p w:rsidR="001E7B2E" w:rsidRPr="00D372F0" w:rsidRDefault="001E7B2E" w:rsidP="00F94C49">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1E7B2E" w:rsidRPr="00D372F0" w:rsidRDefault="001E7B2E" w:rsidP="00F94C49">
      <w:pPr>
        <w:pStyle w:val="Textonotapie"/>
        <w:rPr>
          <w:lang w:val="es-CO"/>
        </w:rPr>
      </w:pPr>
      <w:r w:rsidRPr="00D372F0">
        <w:rPr>
          <w:rStyle w:val="Refdenotaalpie"/>
        </w:rPr>
        <w:footnoteRef/>
      </w:r>
      <w:r w:rsidRPr="00D372F0">
        <w:t xml:space="preserve"> CC. T–1191 de 2004 </w:t>
      </w:r>
    </w:p>
  </w:footnote>
  <w:footnote w:id="3">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1E7B2E" w:rsidRPr="00D372F0" w:rsidRDefault="001E7B2E" w:rsidP="00F94C49">
      <w:pPr>
        <w:pStyle w:val="Textonotapie"/>
        <w:jc w:val="both"/>
        <w:rPr>
          <w:lang w:val="es-CO"/>
        </w:rPr>
      </w:pPr>
      <w:r w:rsidRPr="00D372F0">
        <w:rPr>
          <w:rStyle w:val="Refdenotaalpie"/>
          <w:lang w:val="es-CO"/>
        </w:rPr>
        <w:footnoteRef/>
      </w:r>
      <w:r w:rsidRPr="00D372F0">
        <w:rPr>
          <w:lang w:val="es-CO"/>
        </w:rPr>
        <w:t xml:space="preserve"> CSJ,</w:t>
      </w:r>
      <w:r>
        <w:rPr>
          <w:lang w:val="es-CO"/>
        </w:rPr>
        <w:t xml:space="preserve"> </w:t>
      </w:r>
      <w:r w:rsidRPr="00D372F0">
        <w:rPr>
          <w:lang w:val="es-CO"/>
        </w:rPr>
        <w:t>STC del 13-12-2011, radicado No.00284-02; reiterada en las STC5313-2</w:t>
      </w:r>
      <w:r>
        <w:rPr>
          <w:lang w:val="es-CO"/>
        </w:rPr>
        <w:t>015, STC5520-2015, STC2344-2016 y STC4769-2018</w:t>
      </w:r>
      <w:r w:rsidRPr="00D372F0">
        <w:rPr>
          <w:lang w:val="es-CO"/>
        </w:rPr>
        <w:t>.</w:t>
      </w:r>
    </w:p>
  </w:footnote>
  <w:footnote w:id="5">
    <w:p w:rsidR="001E7B2E" w:rsidRPr="00D372F0" w:rsidRDefault="001E7B2E" w:rsidP="00F94C49">
      <w:pPr>
        <w:pStyle w:val="Textonotapie"/>
        <w:rPr>
          <w:lang w:val="es-CO"/>
        </w:rPr>
      </w:pPr>
      <w:r w:rsidRPr="00D372F0">
        <w:rPr>
          <w:rStyle w:val="Refdenotaalpie"/>
          <w:lang w:val="es-CO"/>
        </w:rPr>
        <w:footnoteRef/>
      </w:r>
      <w:r>
        <w:rPr>
          <w:lang w:val="es-CO"/>
        </w:rPr>
        <w:t xml:space="preserve"> CSJ</w:t>
      </w:r>
      <w:r w:rsidRPr="00D372F0">
        <w:rPr>
          <w:lang w:val="es-CO"/>
        </w:rPr>
        <w:t>.</w:t>
      </w:r>
      <w:r>
        <w:rPr>
          <w:lang w:val="es-CO"/>
        </w:rPr>
        <w:t xml:space="preserve"> STC4769-2018, también la </w:t>
      </w:r>
      <w:r w:rsidRPr="00D372F0">
        <w:rPr>
          <w:lang w:val="es-CO"/>
        </w:rPr>
        <w:t>STC15561-2015</w:t>
      </w:r>
      <w:r>
        <w:rPr>
          <w:lang w:val="es-CO"/>
        </w:rPr>
        <w:t>, entre otras</w:t>
      </w:r>
      <w:r w:rsidRPr="00D372F0">
        <w:rPr>
          <w:lang w:val="es-CO"/>
        </w:rPr>
        <w:t>.</w:t>
      </w:r>
    </w:p>
  </w:footnote>
  <w:footnote w:id="6">
    <w:p w:rsidR="00167D05" w:rsidRPr="00D372F0" w:rsidRDefault="00167D05" w:rsidP="00167D05">
      <w:pPr>
        <w:pStyle w:val="Textonotapie"/>
        <w:rPr>
          <w:lang w:val="es-CO"/>
        </w:rPr>
      </w:pPr>
      <w:r w:rsidRPr="00D372F0">
        <w:rPr>
          <w:rStyle w:val="Refdenotaalpie"/>
          <w:lang w:val="es-CO"/>
        </w:rPr>
        <w:footnoteRef/>
      </w:r>
      <w:r w:rsidRPr="00D372F0">
        <w:rPr>
          <w:lang w:val="es-CO"/>
        </w:rPr>
        <w:t xml:space="preserve"> CC. T-</w:t>
      </w:r>
      <w:r w:rsidRPr="00B66491">
        <w:rPr>
          <w:u w:val="single"/>
          <w:lang w:val="es-CO"/>
        </w:rPr>
        <w:t xml:space="preserve">382 de 2016, </w:t>
      </w:r>
      <w:hyperlink r:id="rId1" w:history="1">
        <w:r w:rsidRPr="00B66491">
          <w:rPr>
            <w:rStyle w:val="Hipervnculo"/>
            <w:bCs/>
            <w:color w:val="auto"/>
            <w:lang w:val="es-CO"/>
          </w:rPr>
          <w:t>T-417 de 2013</w:t>
        </w:r>
      </w:hyperlink>
      <w:r w:rsidRPr="00B66491">
        <w:rPr>
          <w:bCs/>
          <w:u w:val="single"/>
          <w:lang w:val="es-CO"/>
        </w:rPr>
        <w:t xml:space="preserve"> y T-194 de 2012</w:t>
      </w:r>
      <w:r w:rsidRPr="00D372F0">
        <w:rPr>
          <w:bCs/>
          <w:lang w:val="es-CO"/>
        </w:rPr>
        <w:t>, entre otras.</w:t>
      </w:r>
    </w:p>
  </w:footnote>
  <w:footnote w:id="7">
    <w:p w:rsidR="00167D05" w:rsidRPr="00D372F0" w:rsidRDefault="00167D05" w:rsidP="00167D05">
      <w:pPr>
        <w:pStyle w:val="Textonotapie"/>
        <w:rPr>
          <w:lang w:val="es-CO"/>
        </w:rPr>
      </w:pPr>
      <w:r w:rsidRPr="00D372F0">
        <w:rPr>
          <w:rStyle w:val="Refdenotaalpie"/>
          <w:lang w:val="es-CO"/>
        </w:rPr>
        <w:footnoteRef/>
      </w:r>
      <w:r w:rsidRPr="00D372F0">
        <w:rPr>
          <w:lang w:val="es-CO"/>
        </w:rPr>
        <w:t xml:space="preserve"> CC. T-1020 de 2003 y T-531 de 2002</w:t>
      </w:r>
      <w:r>
        <w:rPr>
          <w:lang w:val="es-CO"/>
        </w:rPr>
        <w:t xml:space="preserve">, </w:t>
      </w:r>
      <w:r w:rsidRPr="00D372F0">
        <w:rPr>
          <w:lang w:val="es-CO"/>
        </w:rPr>
        <w:t xml:space="preserve">T-546 de 2013 y T-160 de 2014, </w:t>
      </w:r>
      <w:r w:rsidRPr="00D372F0">
        <w:rPr>
          <w:bCs/>
          <w:bdr w:val="none" w:sz="0" w:space="0" w:color="auto" w:frame="1"/>
          <w:lang w:val="es-CO"/>
        </w:rPr>
        <w:t>T-056 de 2015</w:t>
      </w:r>
      <w:r w:rsidRPr="00D372F0">
        <w:rPr>
          <w:lang w:val="es-CO"/>
        </w:rPr>
        <w:t xml:space="preserve"> y </w:t>
      </w:r>
      <w:r w:rsidRPr="00D372F0">
        <w:rPr>
          <w:bCs/>
          <w:bdr w:val="none" w:sz="0" w:space="0" w:color="auto" w:frame="1"/>
          <w:lang w:val="es-CO"/>
        </w:rPr>
        <w:t>T-100 de 2016</w:t>
      </w:r>
      <w:r w:rsidRPr="00D372F0">
        <w:rPr>
          <w:lang w:val="es-CO"/>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762BC4">
      <w:rPr>
        <w:rFonts w:ascii="Georgia" w:hAnsi="Georgia" w:cs="Calibri"/>
        <w:i/>
        <w:noProof/>
        <w:sz w:val="20"/>
      </w:rPr>
      <w:t>6</w:t>
    </w:r>
    <w:r w:rsidRPr="007C23E2">
      <w:rPr>
        <w:rFonts w:ascii="Georgia" w:hAnsi="Georgia" w:cs="Calibri"/>
        <w:i/>
        <w:sz w:val="20"/>
      </w:rPr>
      <w:fldChar w:fldCharType="end"/>
    </w:r>
  </w:p>
  <w:p w:rsidR="001E7B2E" w:rsidRDefault="001E7B2E" w:rsidP="009C568C">
    <w:pPr>
      <w:pStyle w:val="Encabezado"/>
      <w:ind w:right="360"/>
      <w:jc w:val="both"/>
      <w:rPr>
        <w:rFonts w:ascii="Georgia" w:hAnsi="Georgia" w:cs="Calibri"/>
        <w:i/>
        <w:sz w:val="20"/>
        <w:szCs w:val="22"/>
      </w:rPr>
    </w:pPr>
    <w:r w:rsidRPr="007C23E2">
      <w:rPr>
        <w:rFonts w:ascii="Georgia" w:hAnsi="Georgia" w:cs="Calibri"/>
        <w:i/>
        <w:sz w:val="20"/>
        <w:szCs w:val="22"/>
      </w:rPr>
      <w:t>EXPEDIENTE No.201</w:t>
    </w:r>
    <w:r>
      <w:rPr>
        <w:rFonts w:ascii="Georgia" w:hAnsi="Georgia" w:cs="Calibri"/>
        <w:i/>
        <w:sz w:val="20"/>
        <w:szCs w:val="22"/>
      </w:rPr>
      <w:t>8</w:t>
    </w:r>
    <w:r w:rsidRPr="007C23E2">
      <w:rPr>
        <w:rFonts w:ascii="Georgia" w:hAnsi="Georgia" w:cs="Calibri"/>
        <w:i/>
        <w:sz w:val="20"/>
        <w:szCs w:val="22"/>
      </w:rPr>
      <w:t>-</w:t>
    </w:r>
    <w:r w:rsidR="006205AC">
      <w:rPr>
        <w:rFonts w:ascii="Georgia" w:hAnsi="Georgia" w:cs="Calibri"/>
        <w:i/>
        <w:sz w:val="20"/>
        <w:szCs w:val="22"/>
      </w:rPr>
      <w:t>00446</w:t>
    </w:r>
    <w:r w:rsidRPr="007C23E2">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1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36B"/>
    <w:rsid w:val="000A7C26"/>
    <w:rsid w:val="000B0256"/>
    <w:rsid w:val="000B133E"/>
    <w:rsid w:val="000B150A"/>
    <w:rsid w:val="000B1650"/>
    <w:rsid w:val="000B1B8C"/>
    <w:rsid w:val="000B2347"/>
    <w:rsid w:val="000B2478"/>
    <w:rsid w:val="000B2BB9"/>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67D05"/>
    <w:rsid w:val="00170F1F"/>
    <w:rsid w:val="00171238"/>
    <w:rsid w:val="0017157E"/>
    <w:rsid w:val="001718F9"/>
    <w:rsid w:val="00173831"/>
    <w:rsid w:val="001740FC"/>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5AC"/>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5B0"/>
    <w:rsid w:val="002C2622"/>
    <w:rsid w:val="002C3B48"/>
    <w:rsid w:val="002C3E10"/>
    <w:rsid w:val="002C3FDF"/>
    <w:rsid w:val="002C45F8"/>
    <w:rsid w:val="002C4684"/>
    <w:rsid w:val="002C4983"/>
    <w:rsid w:val="002C4AC0"/>
    <w:rsid w:val="002C4C30"/>
    <w:rsid w:val="002C5039"/>
    <w:rsid w:val="002C50BB"/>
    <w:rsid w:val="002C5523"/>
    <w:rsid w:val="002C5B41"/>
    <w:rsid w:val="002C61FD"/>
    <w:rsid w:val="002C710C"/>
    <w:rsid w:val="002C771C"/>
    <w:rsid w:val="002C79F1"/>
    <w:rsid w:val="002D061F"/>
    <w:rsid w:val="002D065A"/>
    <w:rsid w:val="002D08EB"/>
    <w:rsid w:val="002D0B58"/>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C34"/>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9A3"/>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3C8F"/>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1BAB"/>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5F11"/>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567"/>
    <w:rsid w:val="00453E95"/>
    <w:rsid w:val="004548B6"/>
    <w:rsid w:val="004549AD"/>
    <w:rsid w:val="00454F83"/>
    <w:rsid w:val="004557D6"/>
    <w:rsid w:val="00455F07"/>
    <w:rsid w:val="00456151"/>
    <w:rsid w:val="00456477"/>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0FA0"/>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8D2"/>
    <w:rsid w:val="00530E49"/>
    <w:rsid w:val="00531979"/>
    <w:rsid w:val="005319C2"/>
    <w:rsid w:val="00532567"/>
    <w:rsid w:val="0053291C"/>
    <w:rsid w:val="00533725"/>
    <w:rsid w:val="00533CE9"/>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5A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6D24"/>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2BC4"/>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4FCB"/>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750"/>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633"/>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773"/>
    <w:rsid w:val="008D7F5B"/>
    <w:rsid w:val="008E0188"/>
    <w:rsid w:val="008E1295"/>
    <w:rsid w:val="008E2633"/>
    <w:rsid w:val="008E2790"/>
    <w:rsid w:val="008E357D"/>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2EF"/>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77240"/>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97F40"/>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51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31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377"/>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4D7"/>
    <w:rsid w:val="00C30A21"/>
    <w:rsid w:val="00C30A46"/>
    <w:rsid w:val="00C323F1"/>
    <w:rsid w:val="00C3244D"/>
    <w:rsid w:val="00C32BD4"/>
    <w:rsid w:val="00C32C36"/>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273"/>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59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01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17CB"/>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29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2EA"/>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841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852643998">
      <w:bodyDiv w:val="1"/>
      <w:marLeft w:val="0"/>
      <w:marRight w:val="0"/>
      <w:marTop w:val="0"/>
      <w:marBottom w:val="0"/>
      <w:divBdr>
        <w:top w:val="none" w:sz="0" w:space="0" w:color="auto"/>
        <w:left w:val="none" w:sz="0" w:space="0" w:color="auto"/>
        <w:bottom w:val="none" w:sz="0" w:space="0" w:color="auto"/>
        <w:right w:val="none" w:sz="0" w:space="0" w:color="auto"/>
      </w:divBdr>
    </w:div>
    <w:div w:id="196152196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7EE2-34DE-41E7-ADC8-53CE34E3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2519</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2018-06-29T18:11:00Z</cp:lastPrinted>
  <dcterms:created xsi:type="dcterms:W3CDTF">2018-06-29T13:24:00Z</dcterms:created>
  <dcterms:modified xsi:type="dcterms:W3CDTF">2018-08-13T21:34:00Z</dcterms:modified>
</cp:coreProperties>
</file>