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C6" w:rsidRPr="002F15F2" w:rsidRDefault="00D948C6" w:rsidP="00D948C6">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2F15F2">
        <w:rPr>
          <w:rFonts w:ascii="Arial" w:hAnsi="Arial" w:cs="Arial"/>
          <w:color w:val="FF0000"/>
          <w:sz w:val="18"/>
          <w:szCs w:val="18"/>
          <w:lang w:val="es-CO" w:eastAsia="fr-FR"/>
        </w:rPr>
        <w:t>El contenido total y fiel de la decisión debe ser verificado en la Secretaría de esta Sala.</w:t>
      </w:r>
    </w:p>
    <w:p w:rsidR="00D948C6" w:rsidRDefault="00D948C6" w:rsidP="00D948C6">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p>
    <w:p w:rsidR="00D948C6" w:rsidRPr="00CA56A9" w:rsidRDefault="00D948C6" w:rsidP="00CA56A9">
      <w:pPr>
        <w:pStyle w:val="Textoindependiente"/>
        <w:tabs>
          <w:tab w:val="clear" w:pos="1416"/>
        </w:tabs>
        <w:spacing w:line="240" w:lineRule="auto"/>
        <w:rPr>
          <w:rFonts w:ascii="Arial" w:hAnsi="Arial" w:cs="Arial"/>
          <w:sz w:val="22"/>
          <w:szCs w:val="22"/>
        </w:rPr>
      </w:pPr>
      <w:r w:rsidRPr="00CA56A9">
        <w:rPr>
          <w:rFonts w:ascii="Arial" w:hAnsi="Arial" w:cs="Arial"/>
          <w:sz w:val="22"/>
          <w:szCs w:val="22"/>
        </w:rPr>
        <w:t>Asunto</w:t>
      </w:r>
      <w:r w:rsidRPr="00CA56A9">
        <w:rPr>
          <w:rFonts w:ascii="Arial" w:hAnsi="Arial" w:cs="Arial"/>
          <w:sz w:val="22"/>
          <w:szCs w:val="22"/>
        </w:rPr>
        <w:tab/>
        <w:t xml:space="preserve">             </w:t>
      </w:r>
      <w:r w:rsidRPr="00CA56A9">
        <w:rPr>
          <w:rFonts w:ascii="Arial" w:hAnsi="Arial" w:cs="Arial"/>
          <w:sz w:val="22"/>
          <w:szCs w:val="22"/>
        </w:rPr>
        <w:tab/>
        <w:t>: Auto 2ª instancia- 22 de agosto de 2018</w:t>
      </w:r>
    </w:p>
    <w:p w:rsidR="00D948C6" w:rsidRPr="00CA56A9" w:rsidRDefault="00D948C6" w:rsidP="00CA56A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 w:val="22"/>
          <w:szCs w:val="22"/>
          <w:lang w:val="es-CO"/>
        </w:rPr>
      </w:pPr>
      <w:r w:rsidRPr="00CA56A9">
        <w:rPr>
          <w:rFonts w:ascii="Arial" w:hAnsi="Arial" w:cs="Arial"/>
          <w:sz w:val="22"/>
          <w:szCs w:val="22"/>
          <w:lang w:val="es-CO"/>
        </w:rPr>
        <w:t>Proceso</w:t>
      </w:r>
      <w:r w:rsidRPr="00CA56A9">
        <w:rPr>
          <w:rFonts w:ascii="Arial" w:hAnsi="Arial" w:cs="Arial"/>
          <w:sz w:val="22"/>
          <w:szCs w:val="22"/>
          <w:lang w:val="es-CO"/>
        </w:rPr>
        <w:tab/>
      </w:r>
      <w:r w:rsidRPr="00CA56A9">
        <w:rPr>
          <w:rFonts w:ascii="Arial" w:hAnsi="Arial" w:cs="Arial"/>
          <w:sz w:val="22"/>
          <w:szCs w:val="22"/>
          <w:lang w:val="es-CO"/>
        </w:rPr>
        <w:tab/>
        <w:t xml:space="preserve">: </w:t>
      </w:r>
      <w:proofErr w:type="spellStart"/>
      <w:r w:rsidRPr="00CA56A9">
        <w:rPr>
          <w:rFonts w:ascii="Arial" w:hAnsi="Arial" w:cs="Arial"/>
          <w:sz w:val="22"/>
          <w:szCs w:val="22"/>
          <w:lang w:val="es-CO"/>
        </w:rPr>
        <w:t>Liquidatorio</w:t>
      </w:r>
      <w:proofErr w:type="spellEnd"/>
      <w:r w:rsidRPr="00CA56A9">
        <w:rPr>
          <w:rFonts w:ascii="Arial" w:hAnsi="Arial" w:cs="Arial"/>
          <w:sz w:val="22"/>
          <w:szCs w:val="22"/>
          <w:lang w:val="es-CO"/>
        </w:rPr>
        <w:t xml:space="preserve"> – Sucesión intestada </w:t>
      </w:r>
    </w:p>
    <w:p w:rsidR="00D948C6" w:rsidRPr="00CA56A9" w:rsidRDefault="00D948C6" w:rsidP="00CA56A9">
      <w:pPr>
        <w:pStyle w:val="Textoindependiente"/>
        <w:tabs>
          <w:tab w:val="clear" w:pos="1416"/>
        </w:tabs>
        <w:spacing w:line="240" w:lineRule="auto"/>
        <w:rPr>
          <w:rFonts w:ascii="Arial" w:hAnsi="Arial" w:cs="Arial"/>
          <w:sz w:val="22"/>
          <w:szCs w:val="22"/>
          <w:lang w:val="es-CO"/>
        </w:rPr>
      </w:pPr>
      <w:r w:rsidRPr="00CA56A9">
        <w:rPr>
          <w:rFonts w:ascii="Arial" w:hAnsi="Arial" w:cs="Arial"/>
          <w:sz w:val="22"/>
          <w:szCs w:val="22"/>
          <w:lang w:val="es-CO"/>
        </w:rPr>
        <w:t>Causante</w:t>
      </w:r>
      <w:r w:rsidRPr="00CA56A9">
        <w:rPr>
          <w:rFonts w:ascii="Arial" w:hAnsi="Arial" w:cs="Arial"/>
          <w:sz w:val="22"/>
          <w:szCs w:val="22"/>
          <w:lang w:val="es-CO"/>
        </w:rPr>
        <w:tab/>
        <w:t xml:space="preserve">: Luis Alfonso Gómez </w:t>
      </w:r>
      <w:proofErr w:type="spellStart"/>
      <w:r w:rsidRPr="00CA56A9">
        <w:rPr>
          <w:rFonts w:ascii="Arial" w:hAnsi="Arial" w:cs="Arial"/>
          <w:sz w:val="22"/>
          <w:szCs w:val="22"/>
          <w:lang w:val="es-CO"/>
        </w:rPr>
        <w:t>Gómez</w:t>
      </w:r>
      <w:proofErr w:type="spellEnd"/>
    </w:p>
    <w:p w:rsidR="00D948C6" w:rsidRPr="00CA56A9" w:rsidRDefault="00D948C6" w:rsidP="00CA56A9">
      <w:pPr>
        <w:tabs>
          <w:tab w:val="left" w:pos="0"/>
        </w:tabs>
        <w:rPr>
          <w:rFonts w:ascii="Arial" w:hAnsi="Arial" w:cs="Arial"/>
          <w:sz w:val="22"/>
          <w:szCs w:val="22"/>
          <w:lang w:val="es-CO"/>
        </w:rPr>
      </w:pPr>
      <w:r w:rsidRPr="00CA56A9">
        <w:rPr>
          <w:rFonts w:ascii="Arial" w:hAnsi="Arial" w:cs="Arial"/>
          <w:sz w:val="22"/>
          <w:szCs w:val="22"/>
          <w:lang w:val="es-CO"/>
        </w:rPr>
        <w:t>Interesados</w:t>
      </w:r>
      <w:r w:rsidRPr="00CA56A9">
        <w:rPr>
          <w:rFonts w:ascii="Arial" w:hAnsi="Arial" w:cs="Arial"/>
          <w:sz w:val="22"/>
          <w:szCs w:val="22"/>
          <w:lang w:val="es-CO"/>
        </w:rPr>
        <w:tab/>
      </w:r>
      <w:r w:rsidRPr="00CA56A9">
        <w:rPr>
          <w:rFonts w:ascii="Arial" w:hAnsi="Arial" w:cs="Arial"/>
          <w:sz w:val="22"/>
          <w:szCs w:val="22"/>
          <w:lang w:val="es-CO"/>
        </w:rPr>
        <w:tab/>
        <w:t>: Melva Lucía Franco Suárez y otros</w:t>
      </w:r>
    </w:p>
    <w:p w:rsidR="00D948C6" w:rsidRPr="00CA56A9" w:rsidRDefault="00D948C6" w:rsidP="00CA56A9">
      <w:pPr>
        <w:pStyle w:val="Textoindependiente"/>
        <w:tabs>
          <w:tab w:val="clear" w:pos="1416"/>
        </w:tabs>
        <w:spacing w:line="240" w:lineRule="auto"/>
        <w:rPr>
          <w:rFonts w:ascii="Arial" w:hAnsi="Arial" w:cs="Arial"/>
          <w:sz w:val="22"/>
          <w:szCs w:val="22"/>
        </w:rPr>
      </w:pPr>
      <w:r w:rsidRPr="00CA56A9">
        <w:rPr>
          <w:rFonts w:ascii="Arial" w:hAnsi="Arial" w:cs="Arial"/>
          <w:sz w:val="22"/>
          <w:szCs w:val="22"/>
        </w:rPr>
        <w:t>Radicación</w:t>
      </w:r>
      <w:r w:rsidRPr="00CA56A9">
        <w:rPr>
          <w:rFonts w:ascii="Arial" w:hAnsi="Arial" w:cs="Arial"/>
          <w:sz w:val="22"/>
          <w:szCs w:val="22"/>
        </w:rPr>
        <w:tab/>
        <w:t>: 2014-00123-01</w:t>
      </w:r>
    </w:p>
    <w:p w:rsidR="00D948C6" w:rsidRPr="00CA56A9" w:rsidRDefault="00D948C6" w:rsidP="00CA56A9">
      <w:pPr>
        <w:pStyle w:val="Textoindependiente"/>
        <w:tabs>
          <w:tab w:val="clear" w:pos="1416"/>
        </w:tabs>
        <w:spacing w:line="240" w:lineRule="auto"/>
        <w:rPr>
          <w:rFonts w:ascii="Arial" w:hAnsi="Arial" w:cs="Arial"/>
          <w:sz w:val="22"/>
          <w:szCs w:val="22"/>
          <w:lang w:val="es-CO"/>
        </w:rPr>
      </w:pPr>
      <w:proofErr w:type="spellStart"/>
      <w:r w:rsidRPr="00CA56A9">
        <w:rPr>
          <w:rFonts w:ascii="Arial" w:hAnsi="Arial" w:cs="Arial"/>
          <w:sz w:val="22"/>
          <w:szCs w:val="22"/>
          <w:lang w:val="es-CO"/>
        </w:rPr>
        <w:t>Mag.Sustanciador</w:t>
      </w:r>
      <w:proofErr w:type="spellEnd"/>
      <w:r w:rsidRPr="00CA56A9">
        <w:rPr>
          <w:rFonts w:ascii="Arial" w:hAnsi="Arial" w:cs="Arial"/>
          <w:sz w:val="22"/>
          <w:szCs w:val="22"/>
          <w:lang w:val="es-CO"/>
        </w:rPr>
        <w:tab/>
        <w:t xml:space="preserve">: </w:t>
      </w:r>
      <w:r w:rsidRPr="00CA56A9">
        <w:rPr>
          <w:rFonts w:ascii="Arial" w:hAnsi="Arial" w:cs="Arial"/>
          <w:smallCaps/>
          <w:sz w:val="22"/>
          <w:szCs w:val="22"/>
          <w:lang w:val="es-CO"/>
        </w:rPr>
        <w:t>Duberney Grisales Herrera</w:t>
      </w: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bCs/>
          <w:sz w:val="22"/>
          <w:szCs w:val="22"/>
          <w:lang w:val="es-CO" w:eastAsia="fr-FR"/>
        </w:rPr>
      </w:pP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sz w:val="22"/>
          <w:szCs w:val="22"/>
        </w:rPr>
      </w:pPr>
    </w:p>
    <w:p w:rsidR="00D948C6" w:rsidRPr="00CA56A9" w:rsidRDefault="00D948C6" w:rsidP="00CA56A9">
      <w:pPr>
        <w:shd w:val="clear" w:color="auto" w:fill="FFFFFF"/>
        <w:tabs>
          <w:tab w:val="left" w:pos="0"/>
        </w:tabs>
        <w:jc w:val="both"/>
        <w:rPr>
          <w:rFonts w:ascii="Arial" w:hAnsi="Arial" w:cs="Arial"/>
          <w:sz w:val="22"/>
          <w:szCs w:val="22"/>
        </w:rPr>
      </w:pPr>
      <w:bookmarkStart w:id="0" w:name="_GoBack"/>
      <w:r w:rsidRPr="00CA56A9">
        <w:rPr>
          <w:rFonts w:ascii="Arial" w:hAnsi="Arial" w:cs="Arial"/>
          <w:b/>
          <w:sz w:val="22"/>
          <w:szCs w:val="22"/>
        </w:rPr>
        <w:t>Temas</w:t>
      </w:r>
      <w:r w:rsidRPr="00CA56A9">
        <w:rPr>
          <w:rFonts w:ascii="Arial" w:hAnsi="Arial" w:cs="Arial"/>
          <w:b/>
          <w:sz w:val="22"/>
          <w:szCs w:val="22"/>
        </w:rPr>
        <w:tab/>
      </w:r>
      <w:r w:rsidR="00CA56A9">
        <w:rPr>
          <w:rFonts w:ascii="Arial" w:hAnsi="Arial" w:cs="Arial"/>
          <w:b/>
          <w:sz w:val="22"/>
          <w:szCs w:val="22"/>
        </w:rPr>
        <w:tab/>
      </w:r>
      <w:r w:rsidR="00CA56A9">
        <w:rPr>
          <w:rFonts w:ascii="Arial" w:hAnsi="Arial" w:cs="Arial"/>
          <w:b/>
          <w:sz w:val="22"/>
          <w:szCs w:val="22"/>
        </w:rPr>
        <w:tab/>
      </w:r>
      <w:proofErr w:type="spellStart"/>
      <w:r w:rsidRPr="00CA56A9">
        <w:rPr>
          <w:rFonts w:ascii="Arial" w:hAnsi="Arial" w:cs="Arial"/>
          <w:b/>
          <w:sz w:val="22"/>
          <w:szCs w:val="22"/>
        </w:rPr>
        <w:t>LIQUIDATORIO</w:t>
      </w:r>
      <w:proofErr w:type="spellEnd"/>
      <w:r w:rsidRPr="00CA56A9">
        <w:rPr>
          <w:rFonts w:ascii="Arial" w:hAnsi="Arial" w:cs="Arial"/>
          <w:b/>
          <w:sz w:val="22"/>
          <w:szCs w:val="22"/>
        </w:rPr>
        <w:t xml:space="preserve"> –SUCESIÓN INTESTADA-/  </w:t>
      </w:r>
      <w:r w:rsidRPr="00CA56A9">
        <w:rPr>
          <w:rFonts w:ascii="Arial" w:hAnsi="Arial" w:cs="Arial"/>
          <w:b/>
          <w:sz w:val="22"/>
          <w:szCs w:val="22"/>
        </w:rPr>
        <w:tab/>
      </w:r>
      <w:r w:rsidR="00CA56A9">
        <w:rPr>
          <w:rFonts w:ascii="Arial" w:hAnsi="Arial" w:cs="Arial"/>
          <w:b/>
          <w:sz w:val="22"/>
          <w:szCs w:val="22"/>
        </w:rPr>
        <w:t xml:space="preserve">DILIGENCIA DE INVENTARIO Y </w:t>
      </w:r>
      <w:r w:rsidR="00083D70" w:rsidRPr="00CA56A9">
        <w:rPr>
          <w:rFonts w:ascii="Arial" w:hAnsi="Arial" w:cs="Arial"/>
          <w:b/>
          <w:sz w:val="22"/>
          <w:szCs w:val="22"/>
        </w:rPr>
        <w:t>AVALÚO</w:t>
      </w:r>
      <w:r w:rsidR="00CA56A9">
        <w:rPr>
          <w:rFonts w:ascii="Arial" w:hAnsi="Arial" w:cs="Arial"/>
          <w:b/>
          <w:sz w:val="22"/>
          <w:szCs w:val="22"/>
        </w:rPr>
        <w:t xml:space="preserve"> -O</w:t>
      </w:r>
      <w:r w:rsidR="00083D70" w:rsidRPr="00CA56A9">
        <w:rPr>
          <w:rFonts w:ascii="Arial" w:hAnsi="Arial" w:cs="Arial"/>
          <w:b/>
          <w:sz w:val="22"/>
          <w:szCs w:val="22"/>
        </w:rPr>
        <w:t>bjeción</w:t>
      </w:r>
      <w:r w:rsidR="00CA56A9">
        <w:rPr>
          <w:rFonts w:ascii="Arial" w:hAnsi="Arial" w:cs="Arial"/>
          <w:b/>
          <w:sz w:val="22"/>
          <w:szCs w:val="22"/>
        </w:rPr>
        <w:t xml:space="preserve"> resuelta</w:t>
      </w:r>
      <w:r w:rsidR="00083D70" w:rsidRPr="00CA56A9">
        <w:rPr>
          <w:rFonts w:ascii="Arial" w:hAnsi="Arial" w:cs="Arial"/>
          <w:b/>
          <w:sz w:val="22"/>
          <w:szCs w:val="22"/>
        </w:rPr>
        <w:t xml:space="preserve">-/ </w:t>
      </w:r>
      <w:r w:rsidRPr="00CA56A9">
        <w:rPr>
          <w:rFonts w:ascii="Arial" w:hAnsi="Arial" w:cs="Arial"/>
          <w:b/>
          <w:sz w:val="22"/>
          <w:szCs w:val="22"/>
        </w:rPr>
        <w:t xml:space="preserve"> </w:t>
      </w:r>
      <w:r w:rsidR="00E0559D">
        <w:rPr>
          <w:rFonts w:ascii="Arial" w:hAnsi="Arial" w:cs="Arial"/>
          <w:b/>
          <w:sz w:val="22"/>
          <w:szCs w:val="22"/>
        </w:rPr>
        <w:t>INADMISIBILIDAD DE LA ALZADA</w:t>
      </w:r>
      <w:bookmarkEnd w:id="0"/>
      <w:r w:rsidR="00E0559D">
        <w:rPr>
          <w:rFonts w:ascii="Arial" w:hAnsi="Arial" w:cs="Arial"/>
          <w:b/>
          <w:sz w:val="22"/>
          <w:szCs w:val="22"/>
        </w:rPr>
        <w:t>.</w:t>
      </w: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sz w:val="22"/>
          <w:szCs w:val="22"/>
        </w:rPr>
      </w:pP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r w:rsidRPr="00CA56A9">
        <w:rPr>
          <w:rFonts w:ascii="Arial" w:hAnsi="Arial" w:cs="Arial"/>
          <w:sz w:val="22"/>
          <w:szCs w:val="22"/>
        </w:rPr>
        <w:tab/>
      </w:r>
    </w:p>
    <w:p w:rsidR="00D948C6" w:rsidRPr="00CA56A9" w:rsidRDefault="00D948C6" w:rsidP="00CA56A9">
      <w:pPr>
        <w:pStyle w:val="Sinespaciado"/>
        <w:jc w:val="both"/>
        <w:rPr>
          <w:rFonts w:ascii="Arial" w:hAnsi="Arial" w:cs="Arial"/>
          <w:sz w:val="22"/>
          <w:szCs w:val="22"/>
        </w:rPr>
      </w:pPr>
      <w:r w:rsidRPr="00CA56A9">
        <w:rPr>
          <w:rFonts w:ascii="Arial" w:hAnsi="Arial" w:cs="Arial"/>
          <w:sz w:val="22"/>
          <w:szCs w:val="22"/>
        </w:rPr>
        <w:t xml:space="preserve">La objeción formulada contra el inventario y avalúo de bienes, fue resuelta en proveído de 21-06-2017 (Folios 1 y 2, copias cuaderno de incidente), con la exclusión de una partida diferente a la citada en el auto impugnado, pues esta última ni siquiera parece haber sido rebatida, luego de los respectivos traslados (Folios 20 y 45, copias del cuaderno principal), no obra objeción frente a ella. </w:t>
      </w:r>
    </w:p>
    <w:p w:rsidR="00D948C6" w:rsidRPr="00CA56A9" w:rsidRDefault="00D948C6" w:rsidP="00CA56A9">
      <w:pPr>
        <w:pStyle w:val="Sinespaciado"/>
        <w:jc w:val="both"/>
        <w:rPr>
          <w:rFonts w:ascii="Arial" w:hAnsi="Arial" w:cs="Arial"/>
          <w:sz w:val="22"/>
          <w:szCs w:val="22"/>
        </w:rPr>
      </w:pPr>
    </w:p>
    <w:p w:rsidR="00D948C6" w:rsidRPr="00CA56A9" w:rsidRDefault="00D948C6" w:rsidP="00CA56A9">
      <w:pPr>
        <w:pStyle w:val="Sinespaciado"/>
        <w:jc w:val="both"/>
        <w:rPr>
          <w:rFonts w:ascii="Arial" w:hAnsi="Arial" w:cs="Arial"/>
          <w:sz w:val="22"/>
          <w:szCs w:val="22"/>
        </w:rPr>
      </w:pPr>
      <w:r w:rsidRPr="00CA56A9">
        <w:rPr>
          <w:rFonts w:ascii="Arial" w:hAnsi="Arial" w:cs="Arial"/>
          <w:sz w:val="22"/>
          <w:szCs w:val="22"/>
        </w:rPr>
        <w:t xml:space="preserve">El juzgado de conocimiento omitió citar la norma de sustento de la alzada, faltó rigor y cuidado, para controlar la legalidad de la concesión del recurso, sin parar mientes en que así, genera dilaciones injustificadas, que obstruyen la celeridad del trámite procedimental. </w:t>
      </w:r>
    </w:p>
    <w:p w:rsidR="00D948C6" w:rsidRPr="00CA56A9" w:rsidRDefault="00D948C6" w:rsidP="00CA56A9">
      <w:pPr>
        <w:pStyle w:val="Sinespaciado"/>
        <w:jc w:val="both"/>
        <w:rPr>
          <w:rFonts w:ascii="Arial" w:hAnsi="Arial" w:cs="Arial"/>
          <w:sz w:val="22"/>
          <w:szCs w:val="22"/>
        </w:rPr>
      </w:pPr>
    </w:p>
    <w:p w:rsidR="00D948C6" w:rsidRPr="00CA56A9" w:rsidRDefault="00D948C6" w:rsidP="00CA56A9">
      <w:pPr>
        <w:pStyle w:val="Sinespaciado"/>
        <w:jc w:val="both"/>
        <w:rPr>
          <w:rFonts w:ascii="Arial" w:hAnsi="Arial" w:cs="Arial"/>
          <w:sz w:val="22"/>
          <w:szCs w:val="22"/>
        </w:rPr>
      </w:pPr>
      <w:r w:rsidRPr="00CA56A9">
        <w:rPr>
          <w:rFonts w:ascii="Arial" w:hAnsi="Arial" w:cs="Arial"/>
          <w:sz w:val="22"/>
          <w:szCs w:val="22"/>
        </w:rPr>
        <w:t xml:space="preserve">Así las cosas, ante la improcedencia, se declarará la inadmisibilidad del recurso; sin perjuicio de reconocer, que resultaba impropio resolver en la decisión reprochada, sobre el valor de uno de los bienes inventariados y avaluados, cuya diligencia, se itera, ya había sido </w:t>
      </w:r>
      <w:proofErr w:type="gramStart"/>
      <w:r w:rsidRPr="00CA56A9">
        <w:rPr>
          <w:rFonts w:ascii="Arial" w:hAnsi="Arial" w:cs="Arial"/>
          <w:sz w:val="22"/>
          <w:szCs w:val="22"/>
        </w:rPr>
        <w:t>aprobada</w:t>
      </w:r>
      <w:proofErr w:type="gramEnd"/>
      <w:r w:rsidRPr="00CA56A9">
        <w:rPr>
          <w:rFonts w:ascii="Arial" w:hAnsi="Arial" w:cs="Arial"/>
          <w:sz w:val="22"/>
          <w:szCs w:val="22"/>
        </w:rPr>
        <w:t xml:space="preserve">. </w:t>
      </w:r>
    </w:p>
    <w:p w:rsidR="00D948C6" w:rsidRPr="00CA56A9" w:rsidRDefault="00D948C6" w:rsidP="00CA56A9">
      <w:pPr>
        <w:pStyle w:val="Sinespaciado"/>
        <w:jc w:val="both"/>
        <w:rPr>
          <w:rFonts w:ascii="Arial" w:hAnsi="Arial" w:cs="Arial"/>
          <w:sz w:val="22"/>
          <w:szCs w:val="22"/>
        </w:rPr>
      </w:pPr>
      <w:r w:rsidRPr="00CA56A9">
        <w:rPr>
          <w:rFonts w:ascii="Arial" w:hAnsi="Arial" w:cs="Arial"/>
          <w:sz w:val="22"/>
          <w:szCs w:val="22"/>
        </w:rPr>
        <w:t xml:space="preserve"> </w:t>
      </w: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D948C6" w:rsidRPr="00CA56A9" w:rsidRDefault="00D948C6" w:rsidP="00CA56A9">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D948C6" w:rsidRDefault="00D948C6" w:rsidP="00D948C6">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D948C6" w:rsidRDefault="00D948C6" w:rsidP="00D948C6">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D948C6" w:rsidRPr="002C5B40" w:rsidRDefault="00D948C6" w:rsidP="00D948C6">
      <w:pPr>
        <w:shd w:val="clear" w:color="auto" w:fill="FFFFFF"/>
        <w:tabs>
          <w:tab w:val="left" w:pos="1790"/>
          <w:tab w:val="left" w:pos="1816"/>
          <w:tab w:val="left" w:pos="1843"/>
          <w:tab w:val="left" w:pos="4755"/>
        </w:tabs>
        <w:ind w:left="1843" w:hanging="1843"/>
        <w:jc w:val="both"/>
        <w:rPr>
          <w:rFonts w:ascii="Arial" w:hAnsi="Arial" w:cs="Arial"/>
          <w:b/>
          <w:bCs/>
          <w:iCs/>
          <w:sz w:val="22"/>
          <w:szCs w:val="22"/>
          <w:lang w:val="es-CO" w:eastAsia="fr-FR"/>
        </w:rPr>
      </w:pPr>
    </w:p>
    <w:p w:rsidR="000F4FD9" w:rsidRPr="00EF69BA" w:rsidRDefault="00FC0999" w:rsidP="00283F3B">
      <w:pPr>
        <w:pStyle w:val="Sinespaciado1"/>
        <w:spacing w:line="360" w:lineRule="auto"/>
        <w:jc w:val="center"/>
        <w:rPr>
          <w:rFonts w:ascii="Georgia" w:hAnsi="Georgia" w:cs="Arial"/>
          <w:w w:val="140"/>
          <w:sz w:val="14"/>
        </w:rPr>
      </w:pPr>
      <w:r w:rsidRPr="00EF69BA">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Pr="00EF69BA" w:rsidRDefault="000F4FD9" w:rsidP="00283F3B">
      <w:pPr>
        <w:pStyle w:val="Sinespaciado1"/>
        <w:spacing w:line="360" w:lineRule="auto"/>
        <w:jc w:val="center"/>
        <w:rPr>
          <w:rFonts w:ascii="Georgia" w:hAnsi="Georgia" w:cs="Arial"/>
          <w:w w:val="140"/>
          <w:sz w:val="14"/>
        </w:rPr>
      </w:pPr>
    </w:p>
    <w:p w:rsidR="000F4FD9" w:rsidRPr="00EF69BA" w:rsidRDefault="000F4FD9" w:rsidP="00283F3B">
      <w:pPr>
        <w:pStyle w:val="Sinespaciado1"/>
        <w:spacing w:line="360" w:lineRule="auto"/>
        <w:jc w:val="center"/>
        <w:rPr>
          <w:rFonts w:ascii="Georgia" w:hAnsi="Georgia" w:cs="Arial"/>
          <w:w w:val="140"/>
          <w:sz w:val="14"/>
        </w:rPr>
      </w:pPr>
      <w:r w:rsidRPr="00EF69BA">
        <w:rPr>
          <w:rFonts w:ascii="Georgia" w:hAnsi="Georgia" w:cs="Arial"/>
          <w:w w:val="140"/>
          <w:sz w:val="14"/>
        </w:rPr>
        <w:t>REPUBLICA DE COLOMBIA</w:t>
      </w:r>
    </w:p>
    <w:p w:rsidR="000F4FD9" w:rsidRPr="00EF69BA" w:rsidRDefault="000F4FD9" w:rsidP="00283F3B">
      <w:pPr>
        <w:pStyle w:val="Sinespaciado1"/>
        <w:tabs>
          <w:tab w:val="center" w:pos="4987"/>
          <w:tab w:val="left" w:pos="8449"/>
        </w:tabs>
        <w:spacing w:line="360" w:lineRule="auto"/>
        <w:jc w:val="center"/>
        <w:rPr>
          <w:rFonts w:ascii="Georgia" w:hAnsi="Georgia" w:cs="Arial"/>
          <w:w w:val="140"/>
        </w:rPr>
      </w:pPr>
      <w:r w:rsidRPr="00EF69BA">
        <w:rPr>
          <w:rFonts w:ascii="Georgia" w:hAnsi="Georgia" w:cs="Arial"/>
          <w:w w:val="140"/>
          <w:sz w:val="14"/>
        </w:rPr>
        <w:t>RAMA JUDICIAL DEL PODER PÚBLICO</w:t>
      </w:r>
    </w:p>
    <w:p w:rsidR="000F4FD9" w:rsidRPr="00EF69BA" w:rsidRDefault="000F4FD9" w:rsidP="00283F3B">
      <w:pPr>
        <w:pStyle w:val="Sinespaciado1"/>
        <w:spacing w:line="360" w:lineRule="auto"/>
        <w:jc w:val="center"/>
        <w:rPr>
          <w:rFonts w:ascii="Georgia" w:hAnsi="Georgia" w:cs="Arial"/>
          <w:w w:val="140"/>
          <w:sz w:val="16"/>
        </w:rPr>
      </w:pPr>
      <w:r w:rsidRPr="00EF69BA">
        <w:rPr>
          <w:rFonts w:ascii="Georgia" w:hAnsi="Georgia" w:cs="Arial"/>
          <w:w w:val="140"/>
          <w:sz w:val="18"/>
        </w:rPr>
        <w:t>T</w:t>
      </w:r>
      <w:r w:rsidRPr="00EF69BA">
        <w:rPr>
          <w:rFonts w:ascii="Georgia" w:hAnsi="Georgia" w:cs="Arial"/>
          <w:w w:val="140"/>
          <w:sz w:val="16"/>
        </w:rPr>
        <w:t>RIBUNAL</w:t>
      </w:r>
      <w:r w:rsidRPr="00EF69BA">
        <w:rPr>
          <w:rFonts w:ascii="Georgia" w:hAnsi="Georgia" w:cs="Arial"/>
          <w:w w:val="140"/>
          <w:sz w:val="18"/>
        </w:rPr>
        <w:t xml:space="preserve"> S</w:t>
      </w:r>
      <w:r w:rsidRPr="00EF69BA">
        <w:rPr>
          <w:rFonts w:ascii="Georgia" w:hAnsi="Georgia" w:cs="Arial"/>
          <w:w w:val="140"/>
          <w:sz w:val="16"/>
        </w:rPr>
        <w:t xml:space="preserve">UPERIOR DEL </w:t>
      </w:r>
      <w:r w:rsidRPr="00EF69BA">
        <w:rPr>
          <w:rFonts w:ascii="Georgia" w:hAnsi="Georgia" w:cs="Arial"/>
          <w:w w:val="140"/>
          <w:sz w:val="18"/>
        </w:rPr>
        <w:t>D</w:t>
      </w:r>
      <w:r w:rsidRPr="00EF69BA">
        <w:rPr>
          <w:rFonts w:ascii="Georgia" w:hAnsi="Georgia" w:cs="Arial"/>
          <w:w w:val="140"/>
          <w:sz w:val="16"/>
        </w:rPr>
        <w:t>ISTRITO</w:t>
      </w:r>
      <w:r w:rsidRPr="00EF69BA">
        <w:rPr>
          <w:rFonts w:ascii="Georgia" w:hAnsi="Georgia" w:cs="Arial"/>
          <w:w w:val="140"/>
          <w:sz w:val="18"/>
        </w:rPr>
        <w:t xml:space="preserve"> J</w:t>
      </w:r>
      <w:r w:rsidRPr="00EF69BA">
        <w:rPr>
          <w:rFonts w:ascii="Georgia" w:hAnsi="Georgia" w:cs="Arial"/>
          <w:w w:val="140"/>
          <w:sz w:val="16"/>
        </w:rPr>
        <w:t>UDICIAL</w:t>
      </w:r>
    </w:p>
    <w:p w:rsidR="000F4FD9" w:rsidRPr="00EF69BA" w:rsidRDefault="000F4FD9" w:rsidP="00283F3B">
      <w:pPr>
        <w:pStyle w:val="Sinespaciado1"/>
        <w:spacing w:line="360" w:lineRule="auto"/>
        <w:jc w:val="center"/>
        <w:rPr>
          <w:rFonts w:ascii="Georgia" w:hAnsi="Georgia" w:cs="Arial"/>
          <w:w w:val="140"/>
          <w:sz w:val="16"/>
          <w:szCs w:val="18"/>
        </w:rPr>
      </w:pPr>
      <w:r w:rsidRPr="00EF69BA">
        <w:rPr>
          <w:rFonts w:ascii="Georgia" w:hAnsi="Georgia" w:cs="Arial"/>
          <w:w w:val="140"/>
          <w:sz w:val="18"/>
          <w:szCs w:val="18"/>
        </w:rPr>
        <w:t>S</w:t>
      </w:r>
      <w:r w:rsidRPr="00EF69BA">
        <w:rPr>
          <w:rFonts w:ascii="Georgia" w:hAnsi="Georgia" w:cs="Arial"/>
          <w:w w:val="140"/>
          <w:sz w:val="14"/>
          <w:szCs w:val="18"/>
        </w:rPr>
        <w:t xml:space="preserve">ALA </w:t>
      </w:r>
      <w:r w:rsidR="004F3FE9" w:rsidRPr="00EF69BA">
        <w:rPr>
          <w:rFonts w:ascii="Georgia" w:hAnsi="Georgia" w:cs="Arial"/>
          <w:w w:val="140"/>
          <w:sz w:val="18"/>
          <w:szCs w:val="18"/>
        </w:rPr>
        <w:t>U</w:t>
      </w:r>
      <w:r w:rsidR="004F3FE9" w:rsidRPr="00EF69BA">
        <w:rPr>
          <w:rFonts w:ascii="Georgia" w:hAnsi="Georgia" w:cs="Arial"/>
          <w:w w:val="140"/>
          <w:sz w:val="14"/>
          <w:szCs w:val="18"/>
        </w:rPr>
        <w:t xml:space="preserve">NITARIA </w:t>
      </w:r>
      <w:r w:rsidRPr="00EF69BA">
        <w:rPr>
          <w:rFonts w:ascii="Georgia" w:hAnsi="Georgia" w:cs="Arial"/>
          <w:w w:val="140"/>
          <w:sz w:val="18"/>
          <w:szCs w:val="18"/>
        </w:rPr>
        <w:t>C</w:t>
      </w:r>
      <w:r w:rsidRPr="00EF69BA">
        <w:rPr>
          <w:rFonts w:ascii="Georgia" w:hAnsi="Georgia" w:cs="Arial"/>
          <w:w w:val="140"/>
          <w:sz w:val="16"/>
          <w:szCs w:val="18"/>
        </w:rPr>
        <w:t xml:space="preserve">IVIL – </w:t>
      </w:r>
      <w:r w:rsidRPr="00EF69BA">
        <w:rPr>
          <w:rFonts w:ascii="Georgia" w:hAnsi="Georgia" w:cs="Arial"/>
          <w:w w:val="140"/>
          <w:sz w:val="18"/>
          <w:szCs w:val="18"/>
        </w:rPr>
        <w:t>F</w:t>
      </w:r>
      <w:r w:rsidRPr="00EF69BA">
        <w:rPr>
          <w:rFonts w:ascii="Georgia" w:hAnsi="Georgia" w:cs="Arial"/>
          <w:w w:val="140"/>
          <w:sz w:val="16"/>
          <w:szCs w:val="18"/>
        </w:rPr>
        <w:t xml:space="preserve">AMILIA – </w:t>
      </w:r>
      <w:r w:rsidRPr="00EF69BA">
        <w:rPr>
          <w:rFonts w:ascii="Georgia" w:hAnsi="Georgia" w:cs="Arial"/>
          <w:w w:val="140"/>
          <w:sz w:val="18"/>
          <w:szCs w:val="18"/>
        </w:rPr>
        <w:t>D</w:t>
      </w:r>
      <w:r w:rsidRPr="00EF69BA">
        <w:rPr>
          <w:rFonts w:ascii="Georgia" w:hAnsi="Georgia" w:cs="Arial"/>
          <w:w w:val="140"/>
          <w:sz w:val="16"/>
          <w:szCs w:val="18"/>
        </w:rPr>
        <w:t xml:space="preserve">ISTRITO DE </w:t>
      </w:r>
      <w:r w:rsidRPr="00EF69BA">
        <w:rPr>
          <w:rFonts w:ascii="Georgia" w:hAnsi="Georgia" w:cs="Arial"/>
          <w:w w:val="140"/>
          <w:sz w:val="18"/>
          <w:szCs w:val="18"/>
        </w:rPr>
        <w:t>P</w:t>
      </w:r>
      <w:r w:rsidRPr="00EF69BA">
        <w:rPr>
          <w:rFonts w:ascii="Georgia" w:hAnsi="Georgia" w:cs="Arial"/>
          <w:w w:val="140"/>
          <w:sz w:val="16"/>
          <w:szCs w:val="18"/>
        </w:rPr>
        <w:t>EREIRA</w:t>
      </w:r>
    </w:p>
    <w:p w:rsidR="000F4FD9" w:rsidRPr="00EF69BA" w:rsidRDefault="000F4FD9" w:rsidP="00283F3B">
      <w:pPr>
        <w:pStyle w:val="Sinespaciado"/>
        <w:spacing w:line="360" w:lineRule="auto"/>
        <w:jc w:val="center"/>
        <w:rPr>
          <w:rFonts w:ascii="Georgia" w:hAnsi="Georgia" w:cs="Arial"/>
          <w:w w:val="140"/>
          <w:sz w:val="18"/>
          <w:szCs w:val="18"/>
        </w:rPr>
      </w:pPr>
      <w:r w:rsidRPr="00EF69BA">
        <w:rPr>
          <w:rFonts w:ascii="Georgia" w:hAnsi="Georgia" w:cs="Arial"/>
          <w:w w:val="140"/>
          <w:sz w:val="18"/>
          <w:szCs w:val="18"/>
        </w:rPr>
        <w:t>D</w:t>
      </w:r>
      <w:r w:rsidRPr="00EF69BA">
        <w:rPr>
          <w:rFonts w:ascii="Georgia" w:hAnsi="Georgia" w:cs="Arial"/>
          <w:w w:val="140"/>
          <w:sz w:val="16"/>
          <w:szCs w:val="18"/>
        </w:rPr>
        <w:t xml:space="preserve">EPARTAMENTO DEL </w:t>
      </w:r>
      <w:r w:rsidRPr="00EF69BA">
        <w:rPr>
          <w:rFonts w:ascii="Georgia" w:hAnsi="Georgia" w:cs="Arial"/>
          <w:w w:val="140"/>
          <w:sz w:val="18"/>
          <w:szCs w:val="18"/>
        </w:rPr>
        <w:t>R</w:t>
      </w:r>
      <w:r w:rsidRPr="00EF69BA">
        <w:rPr>
          <w:rFonts w:ascii="Georgia" w:hAnsi="Georgia" w:cs="Arial"/>
          <w:w w:val="140"/>
          <w:sz w:val="16"/>
          <w:szCs w:val="18"/>
        </w:rPr>
        <w:t>ISARALDA</w:t>
      </w:r>
      <w:r w:rsidRPr="00EF69BA">
        <w:rPr>
          <w:rFonts w:ascii="Georgia" w:hAnsi="Georgia" w:cs="Arial"/>
          <w:w w:val="140"/>
          <w:sz w:val="18"/>
          <w:szCs w:val="18"/>
        </w:rPr>
        <w:t xml:space="preserve"> </w:t>
      </w:r>
    </w:p>
    <w:p w:rsidR="000F4FD9" w:rsidRPr="00523F0F" w:rsidRDefault="000F4FD9" w:rsidP="0040704F">
      <w:pPr>
        <w:spacing w:line="360" w:lineRule="auto"/>
        <w:jc w:val="center"/>
        <w:rPr>
          <w:rFonts w:ascii="Georgia" w:hAnsi="Georgia" w:cs="Arial"/>
          <w:b/>
          <w:bCs/>
          <w:sz w:val="24"/>
          <w:szCs w:val="26"/>
        </w:rPr>
      </w:pPr>
    </w:p>
    <w:p w:rsidR="000F4FD9" w:rsidRPr="00EF69BA" w:rsidRDefault="000F4FD9" w:rsidP="00681918">
      <w:pPr>
        <w:pStyle w:val="Textoindependiente"/>
        <w:spacing w:line="360" w:lineRule="auto"/>
        <w:rPr>
          <w:rFonts w:ascii="Georgia" w:hAnsi="Georgia"/>
          <w:sz w:val="22"/>
          <w:szCs w:val="22"/>
        </w:rPr>
      </w:pPr>
      <w:r w:rsidRPr="00EF69BA">
        <w:rPr>
          <w:rFonts w:ascii="Georgia" w:hAnsi="Georgia"/>
          <w:sz w:val="22"/>
          <w:szCs w:val="22"/>
        </w:rPr>
        <w:tab/>
      </w:r>
      <w:r w:rsidRPr="00EF69BA">
        <w:rPr>
          <w:rFonts w:ascii="Georgia" w:hAnsi="Georgia"/>
          <w:sz w:val="22"/>
          <w:szCs w:val="22"/>
        </w:rPr>
        <w:tab/>
        <w:t>Asunto</w:t>
      </w:r>
      <w:r w:rsidRPr="00EF69BA">
        <w:rPr>
          <w:rFonts w:ascii="Georgia" w:hAnsi="Georgia"/>
          <w:sz w:val="22"/>
          <w:szCs w:val="22"/>
        </w:rPr>
        <w:tab/>
      </w:r>
      <w:r w:rsidRPr="00EF69BA">
        <w:rPr>
          <w:rFonts w:ascii="Georgia" w:hAnsi="Georgia"/>
          <w:sz w:val="22"/>
          <w:szCs w:val="22"/>
        </w:rPr>
        <w:tab/>
      </w:r>
      <w:r w:rsidRPr="00EF69BA">
        <w:rPr>
          <w:rFonts w:ascii="Georgia" w:hAnsi="Georgia"/>
          <w:sz w:val="22"/>
          <w:szCs w:val="22"/>
        </w:rPr>
        <w:tab/>
        <w:t xml:space="preserve">: Decide admisibilidad </w:t>
      </w:r>
      <w:r w:rsidR="00EC4BBA" w:rsidRPr="00EF69BA">
        <w:rPr>
          <w:rFonts w:ascii="Georgia" w:hAnsi="Georgia"/>
          <w:sz w:val="22"/>
          <w:szCs w:val="22"/>
        </w:rPr>
        <w:t>–</w:t>
      </w:r>
      <w:r w:rsidR="00BA3131" w:rsidRPr="00EF69BA">
        <w:rPr>
          <w:rFonts w:ascii="Georgia" w:hAnsi="Georgia"/>
          <w:sz w:val="22"/>
          <w:szCs w:val="22"/>
        </w:rPr>
        <w:t xml:space="preserve"> A</w:t>
      </w:r>
      <w:r w:rsidRPr="00EF69BA">
        <w:rPr>
          <w:rFonts w:ascii="Georgia" w:hAnsi="Georgia"/>
          <w:sz w:val="22"/>
          <w:szCs w:val="22"/>
        </w:rPr>
        <w:t>pelación</w:t>
      </w:r>
      <w:r w:rsidR="00EC4BBA" w:rsidRPr="00EF69BA">
        <w:rPr>
          <w:rFonts w:ascii="Georgia" w:hAnsi="Georgia"/>
          <w:sz w:val="22"/>
          <w:szCs w:val="22"/>
        </w:rPr>
        <w:t xml:space="preserve"> de auto</w:t>
      </w:r>
    </w:p>
    <w:p w:rsidR="00BA3B52" w:rsidRPr="00EF69BA" w:rsidRDefault="00BA3B52" w:rsidP="00BA3B52">
      <w:pPr>
        <w:pStyle w:val="Textoindependiente"/>
        <w:spacing w:line="360" w:lineRule="auto"/>
        <w:rPr>
          <w:rFonts w:ascii="Georgia" w:hAnsi="Georgia" w:cs="Arial"/>
          <w:sz w:val="22"/>
          <w:szCs w:val="22"/>
          <w:lang w:val="es-CO"/>
        </w:rPr>
      </w:pPr>
      <w:r w:rsidRPr="00EF69BA">
        <w:rPr>
          <w:rFonts w:ascii="Georgia" w:hAnsi="Georgia" w:cs="Arial"/>
          <w:sz w:val="22"/>
          <w:szCs w:val="22"/>
          <w:lang w:val="es-CO"/>
        </w:rPr>
        <w:tab/>
      </w:r>
      <w:r w:rsidRPr="00EF69BA">
        <w:rPr>
          <w:rFonts w:ascii="Georgia" w:hAnsi="Georgia" w:cs="Arial"/>
          <w:sz w:val="22"/>
          <w:szCs w:val="22"/>
          <w:lang w:val="es-CO"/>
        </w:rPr>
        <w:tab/>
        <w:t>Tipo de proceso</w:t>
      </w:r>
      <w:r w:rsidRPr="00EF69BA">
        <w:rPr>
          <w:rFonts w:ascii="Georgia" w:hAnsi="Georgia" w:cs="Arial"/>
          <w:sz w:val="22"/>
          <w:szCs w:val="22"/>
          <w:lang w:val="es-CO"/>
        </w:rPr>
        <w:tab/>
        <w:t xml:space="preserve">: </w:t>
      </w:r>
      <w:proofErr w:type="spellStart"/>
      <w:r w:rsidR="00F44DBD">
        <w:rPr>
          <w:rFonts w:ascii="Georgia" w:hAnsi="Georgia" w:cs="Arial"/>
          <w:sz w:val="22"/>
          <w:szCs w:val="22"/>
          <w:lang w:val="es-CO"/>
        </w:rPr>
        <w:t>Liquidatorio</w:t>
      </w:r>
      <w:proofErr w:type="spellEnd"/>
      <w:r w:rsidR="00A84BE2">
        <w:rPr>
          <w:rFonts w:ascii="Georgia" w:hAnsi="Georgia" w:cs="Arial"/>
          <w:sz w:val="22"/>
          <w:szCs w:val="22"/>
          <w:lang w:val="es-CO"/>
        </w:rPr>
        <w:t xml:space="preserve"> </w:t>
      </w:r>
      <w:r w:rsidR="00182D8B" w:rsidRPr="00EF69BA">
        <w:rPr>
          <w:rFonts w:ascii="Georgia" w:hAnsi="Georgia" w:cs="Arial"/>
          <w:sz w:val="22"/>
          <w:szCs w:val="22"/>
          <w:lang w:val="es-CO"/>
        </w:rPr>
        <w:t xml:space="preserve">– </w:t>
      </w:r>
      <w:r w:rsidR="00F44DBD">
        <w:rPr>
          <w:rFonts w:ascii="Georgia" w:hAnsi="Georgia" w:cs="Arial"/>
          <w:sz w:val="22"/>
          <w:szCs w:val="22"/>
          <w:lang w:val="es-CO"/>
        </w:rPr>
        <w:t>Sucesión intestada</w:t>
      </w:r>
      <w:r w:rsidR="00182D8B" w:rsidRPr="00EF69BA">
        <w:rPr>
          <w:rFonts w:ascii="Georgia" w:hAnsi="Georgia" w:cs="Arial"/>
          <w:sz w:val="22"/>
          <w:szCs w:val="22"/>
          <w:lang w:val="es-CO"/>
        </w:rPr>
        <w:t xml:space="preserve"> </w:t>
      </w:r>
    </w:p>
    <w:p w:rsidR="00BA3B52" w:rsidRPr="00EF69BA" w:rsidRDefault="00BA3B52" w:rsidP="00BA3B52">
      <w:pPr>
        <w:pStyle w:val="Textoindependiente"/>
        <w:spacing w:line="360" w:lineRule="auto"/>
        <w:rPr>
          <w:rFonts w:ascii="Georgia" w:hAnsi="Georgia" w:cs="Arial"/>
          <w:sz w:val="22"/>
          <w:szCs w:val="22"/>
          <w:lang w:val="es-CO"/>
        </w:rPr>
      </w:pPr>
      <w:r w:rsidRPr="00EF69BA">
        <w:rPr>
          <w:rFonts w:ascii="Georgia" w:hAnsi="Georgia" w:cs="Arial"/>
          <w:sz w:val="22"/>
          <w:szCs w:val="22"/>
          <w:lang w:val="es-CO"/>
        </w:rPr>
        <w:tab/>
      </w:r>
      <w:r w:rsidRPr="00EF69BA">
        <w:rPr>
          <w:rFonts w:ascii="Georgia" w:hAnsi="Georgia" w:cs="Arial"/>
          <w:sz w:val="22"/>
          <w:szCs w:val="22"/>
          <w:lang w:val="es-CO"/>
        </w:rPr>
        <w:tab/>
      </w:r>
      <w:r w:rsidR="00F44DBD">
        <w:rPr>
          <w:rFonts w:ascii="Georgia" w:hAnsi="Georgia" w:cs="Arial"/>
          <w:sz w:val="22"/>
          <w:szCs w:val="22"/>
          <w:lang w:val="es-CO"/>
        </w:rPr>
        <w:t>Causante</w:t>
      </w:r>
      <w:r w:rsidRPr="00EF69BA">
        <w:rPr>
          <w:rFonts w:ascii="Georgia" w:hAnsi="Georgia" w:cs="Arial"/>
          <w:sz w:val="22"/>
          <w:szCs w:val="22"/>
          <w:lang w:val="es-CO"/>
        </w:rPr>
        <w:tab/>
      </w:r>
      <w:r w:rsidRPr="00EF69BA">
        <w:rPr>
          <w:rFonts w:ascii="Georgia" w:hAnsi="Georgia" w:cs="Arial"/>
          <w:sz w:val="22"/>
          <w:szCs w:val="22"/>
          <w:lang w:val="es-CO"/>
        </w:rPr>
        <w:tab/>
        <w:t xml:space="preserve">: </w:t>
      </w:r>
      <w:r w:rsidR="00A84BE2">
        <w:rPr>
          <w:rFonts w:ascii="Georgia" w:hAnsi="Georgia" w:cs="Arial"/>
          <w:sz w:val="22"/>
          <w:szCs w:val="22"/>
          <w:lang w:val="es-CO"/>
        </w:rPr>
        <w:t>Lu</w:t>
      </w:r>
      <w:r w:rsidR="00F44DBD">
        <w:rPr>
          <w:rFonts w:ascii="Georgia" w:hAnsi="Georgia" w:cs="Arial"/>
          <w:sz w:val="22"/>
          <w:szCs w:val="22"/>
          <w:lang w:val="es-CO"/>
        </w:rPr>
        <w:t xml:space="preserve">is Alfonso Gómez </w:t>
      </w:r>
      <w:proofErr w:type="spellStart"/>
      <w:r w:rsidR="00F44DBD">
        <w:rPr>
          <w:rFonts w:ascii="Georgia" w:hAnsi="Georgia" w:cs="Arial"/>
          <w:sz w:val="22"/>
          <w:szCs w:val="22"/>
          <w:lang w:val="es-CO"/>
        </w:rPr>
        <w:t>Gómez</w:t>
      </w:r>
      <w:proofErr w:type="spellEnd"/>
    </w:p>
    <w:p w:rsidR="00BA3B52" w:rsidRPr="00EF69BA" w:rsidRDefault="00F44DBD" w:rsidP="00BA3B52">
      <w:pPr>
        <w:spacing w:line="360" w:lineRule="auto"/>
        <w:ind w:left="3540" w:hanging="2124"/>
        <w:rPr>
          <w:rFonts w:ascii="Georgia" w:hAnsi="Georgia" w:cs="Arial"/>
          <w:sz w:val="22"/>
          <w:szCs w:val="22"/>
          <w:lang w:val="es-CO"/>
        </w:rPr>
      </w:pPr>
      <w:r>
        <w:rPr>
          <w:rFonts w:ascii="Georgia" w:hAnsi="Georgia" w:cs="Arial"/>
          <w:sz w:val="22"/>
          <w:szCs w:val="22"/>
          <w:lang w:val="es-CO"/>
        </w:rPr>
        <w:t>Interesados</w:t>
      </w:r>
      <w:r w:rsidR="00BA3B52" w:rsidRPr="00EF69BA">
        <w:rPr>
          <w:rFonts w:ascii="Georgia" w:hAnsi="Georgia" w:cs="Arial"/>
          <w:sz w:val="22"/>
          <w:szCs w:val="22"/>
          <w:lang w:val="es-CO"/>
        </w:rPr>
        <w:tab/>
        <w:t xml:space="preserve">: </w:t>
      </w:r>
      <w:r>
        <w:rPr>
          <w:rFonts w:ascii="Georgia" w:hAnsi="Georgia" w:cs="Arial"/>
          <w:sz w:val="22"/>
          <w:szCs w:val="22"/>
          <w:lang w:val="es-CO"/>
        </w:rPr>
        <w:t>Melva Lucía Franco Suárez y otros</w:t>
      </w:r>
    </w:p>
    <w:p w:rsidR="00440173" w:rsidRPr="00EF69BA" w:rsidRDefault="00440173" w:rsidP="00440173">
      <w:pPr>
        <w:spacing w:line="360" w:lineRule="auto"/>
        <w:ind w:left="708" w:firstLine="708"/>
        <w:rPr>
          <w:rFonts w:ascii="Georgia" w:hAnsi="Georgia" w:cs="Arial"/>
          <w:sz w:val="22"/>
          <w:szCs w:val="22"/>
        </w:rPr>
      </w:pPr>
      <w:r w:rsidRPr="00EF69BA">
        <w:rPr>
          <w:rFonts w:ascii="Georgia" w:hAnsi="Georgia" w:cs="Arial"/>
          <w:sz w:val="22"/>
          <w:szCs w:val="22"/>
        </w:rPr>
        <w:t xml:space="preserve">Procedencia </w:t>
      </w:r>
      <w:r w:rsidRPr="00EF69BA">
        <w:rPr>
          <w:rFonts w:ascii="Georgia" w:hAnsi="Georgia" w:cs="Arial"/>
          <w:sz w:val="22"/>
          <w:szCs w:val="22"/>
        </w:rPr>
        <w:tab/>
      </w:r>
      <w:r w:rsidRPr="00EF69BA">
        <w:rPr>
          <w:rFonts w:ascii="Georgia" w:hAnsi="Georgia" w:cs="Arial"/>
          <w:sz w:val="22"/>
          <w:szCs w:val="22"/>
        </w:rPr>
        <w:tab/>
        <w:t>: Juzgado</w:t>
      </w:r>
      <w:r w:rsidR="00BA3B52" w:rsidRPr="00EF69BA">
        <w:rPr>
          <w:rFonts w:ascii="Georgia" w:hAnsi="Georgia" w:cs="Arial"/>
          <w:sz w:val="22"/>
          <w:szCs w:val="22"/>
        </w:rPr>
        <w:t xml:space="preserve"> </w:t>
      </w:r>
      <w:r w:rsidR="00F44DBD">
        <w:rPr>
          <w:rFonts w:ascii="Georgia" w:hAnsi="Georgia" w:cs="Arial"/>
          <w:sz w:val="22"/>
          <w:szCs w:val="22"/>
        </w:rPr>
        <w:t xml:space="preserve">Cuarto </w:t>
      </w:r>
      <w:r w:rsidR="00A84BE2">
        <w:rPr>
          <w:rFonts w:ascii="Georgia" w:hAnsi="Georgia" w:cs="Arial"/>
          <w:sz w:val="22"/>
          <w:szCs w:val="22"/>
        </w:rPr>
        <w:t xml:space="preserve">de Familia </w:t>
      </w:r>
      <w:r w:rsidR="00577894" w:rsidRPr="00EF69BA">
        <w:rPr>
          <w:rFonts w:ascii="Georgia" w:hAnsi="Georgia" w:cs="Arial"/>
          <w:sz w:val="22"/>
          <w:szCs w:val="22"/>
        </w:rPr>
        <w:t xml:space="preserve">de </w:t>
      </w:r>
      <w:r w:rsidR="005F7966" w:rsidRPr="00EF69BA">
        <w:rPr>
          <w:rFonts w:ascii="Georgia" w:hAnsi="Georgia" w:cs="Arial"/>
          <w:sz w:val="22"/>
          <w:szCs w:val="22"/>
        </w:rPr>
        <w:t>Pereira</w:t>
      </w:r>
    </w:p>
    <w:p w:rsidR="00440173" w:rsidRPr="00EF69BA" w:rsidRDefault="00440173" w:rsidP="00440173">
      <w:pPr>
        <w:pStyle w:val="Textoindependiente"/>
        <w:spacing w:line="360" w:lineRule="auto"/>
        <w:ind w:left="1416"/>
        <w:rPr>
          <w:rFonts w:ascii="Georgia" w:hAnsi="Georgia" w:cs="Arial"/>
          <w:sz w:val="22"/>
          <w:szCs w:val="22"/>
        </w:rPr>
      </w:pPr>
      <w:r w:rsidRPr="00EF69BA">
        <w:rPr>
          <w:rFonts w:ascii="Georgia" w:hAnsi="Georgia" w:cs="Arial"/>
          <w:sz w:val="22"/>
          <w:szCs w:val="22"/>
        </w:rPr>
        <w:t>Radicación</w:t>
      </w:r>
      <w:r w:rsidRPr="00EF69BA">
        <w:rPr>
          <w:rFonts w:ascii="Georgia" w:hAnsi="Georgia" w:cs="Arial"/>
          <w:sz w:val="22"/>
          <w:szCs w:val="22"/>
        </w:rPr>
        <w:tab/>
      </w:r>
      <w:r w:rsidRPr="00EF69BA">
        <w:rPr>
          <w:rFonts w:ascii="Georgia" w:hAnsi="Georgia" w:cs="Arial"/>
          <w:sz w:val="22"/>
          <w:szCs w:val="22"/>
        </w:rPr>
        <w:tab/>
        <w:t>: 201</w:t>
      </w:r>
      <w:r w:rsidR="00F44DBD">
        <w:rPr>
          <w:rFonts w:ascii="Georgia" w:hAnsi="Georgia" w:cs="Arial"/>
          <w:sz w:val="22"/>
          <w:szCs w:val="22"/>
        </w:rPr>
        <w:t>4</w:t>
      </w:r>
      <w:r w:rsidRPr="00EF69BA">
        <w:rPr>
          <w:rFonts w:ascii="Georgia" w:hAnsi="Georgia" w:cs="Arial"/>
          <w:sz w:val="22"/>
          <w:szCs w:val="22"/>
        </w:rPr>
        <w:t>-00</w:t>
      </w:r>
      <w:r w:rsidR="00F44DBD">
        <w:rPr>
          <w:rFonts w:ascii="Georgia" w:hAnsi="Georgia" w:cs="Arial"/>
          <w:sz w:val="22"/>
          <w:szCs w:val="22"/>
        </w:rPr>
        <w:t>123</w:t>
      </w:r>
      <w:r w:rsidRPr="00EF69BA">
        <w:rPr>
          <w:rFonts w:ascii="Georgia" w:hAnsi="Georgia" w:cs="Arial"/>
          <w:sz w:val="22"/>
          <w:szCs w:val="22"/>
        </w:rPr>
        <w:t>-01</w:t>
      </w:r>
    </w:p>
    <w:p w:rsidR="000001CD" w:rsidRPr="00EF69BA" w:rsidRDefault="000001CD" w:rsidP="000001CD">
      <w:pPr>
        <w:spacing w:line="360" w:lineRule="auto"/>
        <w:ind w:left="708"/>
        <w:jc w:val="both"/>
        <w:rPr>
          <w:rFonts w:ascii="Georgia" w:hAnsi="Georgia" w:cs="Arial"/>
          <w:sz w:val="22"/>
          <w:szCs w:val="22"/>
        </w:rPr>
      </w:pPr>
      <w:r w:rsidRPr="00EF69BA">
        <w:rPr>
          <w:rFonts w:ascii="Georgia" w:hAnsi="Georgia"/>
          <w:sz w:val="22"/>
          <w:szCs w:val="22"/>
        </w:rPr>
        <w:tab/>
      </w:r>
      <w:r w:rsidRPr="00EF69BA">
        <w:rPr>
          <w:rFonts w:ascii="Georgia" w:hAnsi="Georgia" w:cs="Arial"/>
          <w:sz w:val="22"/>
          <w:szCs w:val="22"/>
        </w:rPr>
        <w:t>Temas</w:t>
      </w:r>
      <w:r w:rsidRPr="00EF69BA">
        <w:rPr>
          <w:rFonts w:ascii="Georgia" w:hAnsi="Georgia" w:cs="Arial"/>
          <w:sz w:val="22"/>
          <w:szCs w:val="22"/>
        </w:rPr>
        <w:tab/>
      </w:r>
      <w:r w:rsidRPr="00EF69BA">
        <w:rPr>
          <w:rFonts w:ascii="Georgia" w:hAnsi="Georgia" w:cs="Arial"/>
          <w:sz w:val="22"/>
          <w:szCs w:val="22"/>
        </w:rPr>
        <w:tab/>
      </w:r>
      <w:r w:rsidRPr="00EF69BA">
        <w:rPr>
          <w:rFonts w:ascii="Georgia" w:hAnsi="Georgia" w:cs="Arial"/>
          <w:sz w:val="22"/>
          <w:szCs w:val="22"/>
        </w:rPr>
        <w:tab/>
        <w:t>: Pro</w:t>
      </w:r>
      <w:r w:rsidR="00182D8B" w:rsidRPr="00EF69BA">
        <w:rPr>
          <w:rFonts w:ascii="Georgia" w:hAnsi="Georgia" w:cs="Arial"/>
          <w:sz w:val="22"/>
          <w:szCs w:val="22"/>
        </w:rPr>
        <w:t xml:space="preserve">cedencia de </w:t>
      </w:r>
      <w:r w:rsidR="00141C5A">
        <w:rPr>
          <w:rFonts w:ascii="Georgia" w:hAnsi="Georgia" w:cs="Arial"/>
          <w:sz w:val="22"/>
          <w:szCs w:val="22"/>
        </w:rPr>
        <w:t xml:space="preserve">la </w:t>
      </w:r>
      <w:r w:rsidR="00182D8B" w:rsidRPr="00EF69BA">
        <w:rPr>
          <w:rFonts w:ascii="Georgia" w:hAnsi="Georgia" w:cs="Arial"/>
          <w:sz w:val="22"/>
          <w:szCs w:val="22"/>
        </w:rPr>
        <w:t xml:space="preserve">alzada </w:t>
      </w:r>
      <w:r w:rsidR="004C3D53">
        <w:rPr>
          <w:rFonts w:ascii="Georgia" w:hAnsi="Georgia" w:cs="Arial"/>
          <w:sz w:val="22"/>
          <w:szCs w:val="22"/>
        </w:rPr>
        <w:t>- Admisibilidad</w:t>
      </w:r>
    </w:p>
    <w:p w:rsidR="009D0B7B" w:rsidRPr="00EF69BA" w:rsidRDefault="009D0B7B" w:rsidP="00440173">
      <w:pPr>
        <w:pStyle w:val="Textoindependiente"/>
        <w:spacing w:line="360" w:lineRule="auto"/>
        <w:ind w:left="1416"/>
        <w:rPr>
          <w:rFonts w:ascii="Georgia" w:hAnsi="Georgia" w:cs="Arial"/>
          <w:sz w:val="22"/>
          <w:szCs w:val="22"/>
          <w:lang w:val="es-CO"/>
        </w:rPr>
      </w:pPr>
      <w:proofErr w:type="spellStart"/>
      <w:r w:rsidRPr="00EF69BA">
        <w:rPr>
          <w:rFonts w:ascii="Georgia" w:hAnsi="Georgia" w:cs="Arial"/>
          <w:sz w:val="22"/>
          <w:szCs w:val="22"/>
          <w:lang w:val="es-CO"/>
        </w:rPr>
        <w:t>Mag.Sustanciador</w:t>
      </w:r>
      <w:proofErr w:type="spellEnd"/>
      <w:r w:rsidRPr="00EF69BA">
        <w:rPr>
          <w:rFonts w:ascii="Georgia" w:hAnsi="Georgia" w:cs="Arial"/>
          <w:sz w:val="22"/>
          <w:szCs w:val="22"/>
          <w:lang w:val="es-CO"/>
        </w:rPr>
        <w:tab/>
        <w:t xml:space="preserve">: </w:t>
      </w:r>
      <w:r w:rsidRPr="00EF69BA">
        <w:rPr>
          <w:rFonts w:ascii="Georgia" w:hAnsi="Georgia" w:cs="Arial"/>
          <w:smallCaps/>
          <w:sz w:val="22"/>
          <w:szCs w:val="22"/>
          <w:lang w:val="es-CO"/>
        </w:rPr>
        <w:t>Duberney Grisales Herrera</w:t>
      </w:r>
    </w:p>
    <w:p w:rsidR="000F4FD9" w:rsidRPr="00523F0F" w:rsidRDefault="000F4FD9" w:rsidP="00984E65">
      <w:pPr>
        <w:pStyle w:val="Textoindependiente"/>
        <w:pBdr>
          <w:bottom w:val="double" w:sz="6" w:space="1" w:color="auto"/>
        </w:pBdr>
        <w:spacing w:line="276" w:lineRule="auto"/>
        <w:jc w:val="center"/>
        <w:rPr>
          <w:rFonts w:ascii="Georgia" w:hAnsi="Georgia" w:cs="Arial"/>
        </w:rPr>
      </w:pPr>
    </w:p>
    <w:p w:rsidR="000F4FD9" w:rsidRPr="00EF69BA" w:rsidRDefault="000F4FD9" w:rsidP="00A14F72">
      <w:pPr>
        <w:pStyle w:val="Textoindependiente"/>
        <w:spacing w:line="276" w:lineRule="auto"/>
        <w:jc w:val="center"/>
        <w:rPr>
          <w:rFonts w:ascii="Georgia" w:hAnsi="Georgia" w:cs="Arial"/>
          <w:szCs w:val="24"/>
        </w:rPr>
      </w:pPr>
    </w:p>
    <w:p w:rsidR="000F4FD9" w:rsidRPr="00EF69BA" w:rsidRDefault="000F4FD9" w:rsidP="00310452">
      <w:pPr>
        <w:spacing w:line="360" w:lineRule="auto"/>
        <w:jc w:val="center"/>
        <w:rPr>
          <w:rFonts w:ascii="Georgia" w:hAnsi="Georgia" w:cs="Arial"/>
          <w:bCs/>
          <w:sz w:val="28"/>
          <w:szCs w:val="24"/>
          <w:lang w:val="es-CO"/>
        </w:rPr>
      </w:pPr>
      <w:r w:rsidRPr="00EF69BA">
        <w:rPr>
          <w:rFonts w:ascii="Georgia" w:hAnsi="Georgia" w:cs="Arial"/>
          <w:bCs/>
          <w:smallCaps/>
          <w:sz w:val="28"/>
          <w:szCs w:val="24"/>
          <w:lang w:val="es-CO"/>
        </w:rPr>
        <w:t xml:space="preserve">Pereira, </w:t>
      </w:r>
      <w:r w:rsidR="00CD02D2" w:rsidRPr="00EF69BA">
        <w:rPr>
          <w:rFonts w:ascii="Georgia" w:hAnsi="Georgia" w:cs="Arial"/>
          <w:bCs/>
          <w:smallCaps/>
          <w:sz w:val="28"/>
          <w:szCs w:val="24"/>
          <w:lang w:val="es-CO"/>
        </w:rPr>
        <w:t xml:space="preserve">R., </w:t>
      </w:r>
      <w:r w:rsidR="004C3D53">
        <w:rPr>
          <w:rFonts w:ascii="Georgia" w:hAnsi="Georgia" w:cs="Arial"/>
          <w:bCs/>
          <w:smallCaps/>
          <w:sz w:val="28"/>
          <w:szCs w:val="24"/>
          <w:lang w:val="es-CO"/>
        </w:rPr>
        <w:t>veinti</w:t>
      </w:r>
      <w:r w:rsidR="00603495">
        <w:rPr>
          <w:rFonts w:ascii="Georgia" w:hAnsi="Georgia" w:cs="Arial"/>
          <w:bCs/>
          <w:smallCaps/>
          <w:sz w:val="28"/>
          <w:szCs w:val="24"/>
          <w:lang w:val="es-CO"/>
        </w:rPr>
        <w:t xml:space="preserve">dós </w:t>
      </w:r>
      <w:r w:rsidRPr="00EF69BA">
        <w:rPr>
          <w:rFonts w:ascii="Georgia" w:hAnsi="Georgia" w:cs="Arial"/>
          <w:bCs/>
          <w:smallCaps/>
          <w:sz w:val="28"/>
          <w:szCs w:val="24"/>
          <w:lang w:val="es-CO"/>
        </w:rPr>
        <w:t>(</w:t>
      </w:r>
      <w:r w:rsidR="004C3D53">
        <w:rPr>
          <w:rFonts w:ascii="Georgia" w:hAnsi="Georgia" w:cs="Arial"/>
          <w:bCs/>
          <w:smallCaps/>
          <w:sz w:val="28"/>
          <w:szCs w:val="24"/>
          <w:lang w:val="es-CO"/>
        </w:rPr>
        <w:t>2</w:t>
      </w:r>
      <w:r w:rsidR="00603495">
        <w:rPr>
          <w:rFonts w:ascii="Georgia" w:hAnsi="Georgia" w:cs="Arial"/>
          <w:bCs/>
          <w:smallCaps/>
          <w:sz w:val="28"/>
          <w:szCs w:val="24"/>
          <w:lang w:val="es-CO"/>
        </w:rPr>
        <w:t>2</w:t>
      </w:r>
      <w:r w:rsidRPr="00EF69BA">
        <w:rPr>
          <w:rFonts w:ascii="Georgia" w:hAnsi="Georgia" w:cs="Arial"/>
          <w:bCs/>
          <w:smallCaps/>
          <w:sz w:val="28"/>
          <w:szCs w:val="24"/>
          <w:lang w:val="es-CO"/>
        </w:rPr>
        <w:t xml:space="preserve">) de </w:t>
      </w:r>
      <w:r w:rsidR="00F44DBD">
        <w:rPr>
          <w:rFonts w:ascii="Georgia" w:hAnsi="Georgia" w:cs="Arial"/>
          <w:bCs/>
          <w:smallCaps/>
          <w:sz w:val="28"/>
          <w:szCs w:val="24"/>
          <w:lang w:val="es-CO"/>
        </w:rPr>
        <w:t xml:space="preserve">agosto </w:t>
      </w:r>
      <w:r w:rsidRPr="00EF69BA">
        <w:rPr>
          <w:rFonts w:ascii="Georgia" w:hAnsi="Georgia" w:cs="Arial"/>
          <w:bCs/>
          <w:smallCaps/>
          <w:sz w:val="28"/>
          <w:szCs w:val="24"/>
          <w:lang w:val="es-CO"/>
        </w:rPr>
        <w:t xml:space="preserve">de dos mil </w:t>
      </w:r>
      <w:r w:rsidR="00182D8B" w:rsidRPr="00EF69BA">
        <w:rPr>
          <w:rFonts w:ascii="Georgia" w:hAnsi="Georgia" w:cs="Arial"/>
          <w:bCs/>
          <w:smallCaps/>
          <w:sz w:val="28"/>
          <w:szCs w:val="24"/>
          <w:lang w:val="es-CO"/>
        </w:rPr>
        <w:t>dieci</w:t>
      </w:r>
      <w:r w:rsidR="00A84BE2">
        <w:rPr>
          <w:rFonts w:ascii="Georgia" w:hAnsi="Georgia" w:cs="Arial"/>
          <w:bCs/>
          <w:smallCaps/>
          <w:sz w:val="28"/>
          <w:szCs w:val="24"/>
          <w:lang w:val="es-CO"/>
        </w:rPr>
        <w:t xml:space="preserve">ocho </w:t>
      </w:r>
      <w:r w:rsidRPr="00EF69BA">
        <w:rPr>
          <w:rFonts w:ascii="Georgia" w:hAnsi="Georgia" w:cs="Arial"/>
          <w:bCs/>
          <w:smallCaps/>
          <w:sz w:val="28"/>
          <w:szCs w:val="24"/>
          <w:lang w:val="es-CO"/>
        </w:rPr>
        <w:t>(201</w:t>
      </w:r>
      <w:r w:rsidR="00A84BE2">
        <w:rPr>
          <w:rFonts w:ascii="Georgia" w:hAnsi="Georgia" w:cs="Arial"/>
          <w:bCs/>
          <w:smallCaps/>
          <w:sz w:val="28"/>
          <w:szCs w:val="24"/>
          <w:lang w:val="es-CO"/>
        </w:rPr>
        <w:t>8</w:t>
      </w:r>
      <w:r w:rsidRPr="00EF69BA">
        <w:rPr>
          <w:rFonts w:ascii="Georgia" w:hAnsi="Georgia" w:cs="Arial"/>
          <w:bCs/>
          <w:smallCaps/>
          <w:sz w:val="28"/>
          <w:szCs w:val="24"/>
          <w:lang w:val="es-CO"/>
        </w:rPr>
        <w:t>)</w:t>
      </w:r>
      <w:r w:rsidRPr="00EF69BA">
        <w:rPr>
          <w:rFonts w:ascii="Georgia" w:hAnsi="Georgia" w:cs="Arial"/>
          <w:bCs/>
          <w:sz w:val="28"/>
          <w:szCs w:val="24"/>
          <w:lang w:val="es-CO"/>
        </w:rPr>
        <w:t>.</w:t>
      </w:r>
    </w:p>
    <w:p w:rsidR="00D37639" w:rsidRPr="00523F0F" w:rsidRDefault="00D37639" w:rsidP="00310452">
      <w:pPr>
        <w:spacing w:line="360" w:lineRule="auto"/>
        <w:jc w:val="both"/>
        <w:rPr>
          <w:rFonts w:ascii="Georgia" w:hAnsi="Georgia" w:cs="Arial"/>
          <w:b/>
          <w:bCs/>
          <w:sz w:val="24"/>
          <w:szCs w:val="24"/>
          <w:lang w:val="es-CO"/>
        </w:rPr>
      </w:pPr>
    </w:p>
    <w:p w:rsidR="000F4FD9" w:rsidRPr="00EF69BA" w:rsidRDefault="000F4FD9" w:rsidP="00310452">
      <w:pPr>
        <w:pStyle w:val="Sinespaciado"/>
        <w:widowControl/>
        <w:numPr>
          <w:ilvl w:val="0"/>
          <w:numId w:val="3"/>
        </w:numPr>
        <w:autoSpaceDE/>
        <w:autoSpaceDN/>
        <w:adjustRightInd/>
        <w:spacing w:line="360" w:lineRule="auto"/>
        <w:jc w:val="both"/>
        <w:rPr>
          <w:rFonts w:ascii="Georgia" w:hAnsi="Georgia" w:cs="Arial"/>
        </w:rPr>
      </w:pPr>
      <w:r w:rsidRPr="00EF69BA">
        <w:rPr>
          <w:rFonts w:ascii="Georgia" w:hAnsi="Georgia" w:cs="Arial"/>
          <w:sz w:val="28"/>
        </w:rPr>
        <w:t>E</w:t>
      </w:r>
      <w:r w:rsidRPr="00EF69BA">
        <w:rPr>
          <w:rFonts w:ascii="Georgia" w:hAnsi="Georgia" w:cs="Arial"/>
          <w:sz w:val="22"/>
        </w:rPr>
        <w:t>L ASUNTO POR DECIDIR</w:t>
      </w:r>
    </w:p>
    <w:p w:rsidR="000F4FD9" w:rsidRPr="00523F0F" w:rsidRDefault="000F4FD9" w:rsidP="00310452">
      <w:pPr>
        <w:pStyle w:val="Puesto"/>
        <w:spacing w:line="360" w:lineRule="auto"/>
        <w:jc w:val="left"/>
        <w:rPr>
          <w:rFonts w:ascii="Georgia" w:hAnsi="Georgia" w:cs="Arial"/>
          <w:b w:val="0"/>
          <w:i w:val="0"/>
          <w:spacing w:val="-3"/>
          <w:sz w:val="28"/>
          <w:szCs w:val="24"/>
          <w:lang w:val="es-ES_tradnl"/>
        </w:rPr>
      </w:pPr>
    </w:p>
    <w:p w:rsidR="000F4FD9" w:rsidRPr="00EF69BA" w:rsidRDefault="009D0B7B" w:rsidP="00310452">
      <w:pPr>
        <w:spacing w:line="360" w:lineRule="auto"/>
        <w:jc w:val="both"/>
        <w:rPr>
          <w:rFonts w:ascii="Georgia" w:hAnsi="Georgia" w:cs="Arial"/>
          <w:sz w:val="24"/>
          <w:szCs w:val="24"/>
        </w:rPr>
      </w:pPr>
      <w:r w:rsidRPr="00EF69BA">
        <w:rPr>
          <w:rFonts w:ascii="Georgia" w:hAnsi="Georgia" w:cs="Arial"/>
          <w:sz w:val="24"/>
          <w:szCs w:val="24"/>
        </w:rPr>
        <w:t xml:space="preserve">El cumplimiento </w:t>
      </w:r>
      <w:r w:rsidR="000F4FD9" w:rsidRPr="00EF69BA">
        <w:rPr>
          <w:rFonts w:ascii="Georgia" w:hAnsi="Georgia" w:cs="Arial"/>
          <w:sz w:val="24"/>
          <w:szCs w:val="24"/>
        </w:rPr>
        <w:t xml:space="preserve">de los supuestos de viabilidad del recurso ordinario de apelación propuesto por </w:t>
      </w:r>
      <w:r w:rsidR="00F44DBD">
        <w:rPr>
          <w:rFonts w:ascii="Georgia" w:hAnsi="Georgia" w:cs="Arial"/>
          <w:sz w:val="24"/>
          <w:szCs w:val="24"/>
        </w:rPr>
        <w:t>algunos de los interesados</w:t>
      </w:r>
      <w:r w:rsidR="000F4FD9" w:rsidRPr="00EF69BA">
        <w:rPr>
          <w:rFonts w:ascii="Georgia" w:hAnsi="Georgia" w:cs="Arial"/>
          <w:sz w:val="24"/>
          <w:szCs w:val="24"/>
        </w:rPr>
        <w:t xml:space="preserve">, contra </w:t>
      </w:r>
      <w:r w:rsidR="00BC6AA2" w:rsidRPr="00EF69BA">
        <w:rPr>
          <w:rFonts w:ascii="Georgia" w:hAnsi="Georgia" w:cs="Arial"/>
          <w:sz w:val="24"/>
          <w:szCs w:val="24"/>
        </w:rPr>
        <w:t xml:space="preserve">el auto </w:t>
      </w:r>
      <w:r w:rsidR="000F4FD9" w:rsidRPr="00EF69BA">
        <w:rPr>
          <w:rFonts w:ascii="Georgia" w:hAnsi="Georgia" w:cs="Arial"/>
          <w:sz w:val="24"/>
          <w:szCs w:val="24"/>
        </w:rPr>
        <w:t xml:space="preserve">del </w:t>
      </w:r>
      <w:r w:rsidR="00F44DBD">
        <w:rPr>
          <w:rFonts w:ascii="Georgia" w:hAnsi="Georgia" w:cs="Arial"/>
          <w:sz w:val="24"/>
          <w:szCs w:val="24"/>
        </w:rPr>
        <w:t>27-06-2018</w:t>
      </w:r>
      <w:r w:rsidR="000F4FD9" w:rsidRPr="00EF69BA">
        <w:rPr>
          <w:rFonts w:ascii="Georgia" w:hAnsi="Georgia" w:cs="Arial"/>
          <w:sz w:val="24"/>
          <w:szCs w:val="24"/>
        </w:rPr>
        <w:t xml:space="preserve"> </w:t>
      </w:r>
      <w:r w:rsidR="00924E0B" w:rsidRPr="00EF69BA">
        <w:rPr>
          <w:rFonts w:ascii="Georgia" w:hAnsi="Georgia" w:cs="Arial"/>
          <w:sz w:val="24"/>
          <w:szCs w:val="24"/>
        </w:rPr>
        <w:t xml:space="preserve">que </w:t>
      </w:r>
      <w:r w:rsidR="00A84BE2">
        <w:rPr>
          <w:rFonts w:ascii="Georgia" w:hAnsi="Georgia" w:cs="Arial"/>
          <w:sz w:val="24"/>
          <w:szCs w:val="24"/>
        </w:rPr>
        <w:t>re</w:t>
      </w:r>
      <w:r w:rsidR="00F44DBD">
        <w:rPr>
          <w:rFonts w:ascii="Georgia" w:hAnsi="Georgia" w:cs="Arial"/>
          <w:sz w:val="24"/>
          <w:szCs w:val="24"/>
        </w:rPr>
        <w:t>solvió una reposición y precisó el valor dado a un bien avaluado</w:t>
      </w:r>
      <w:r w:rsidR="00A66013">
        <w:rPr>
          <w:rFonts w:ascii="Georgia" w:hAnsi="Georgia" w:cs="Arial"/>
          <w:sz w:val="24"/>
          <w:szCs w:val="24"/>
        </w:rPr>
        <w:t xml:space="preserve"> (</w:t>
      </w:r>
      <w:r w:rsidR="00A66013" w:rsidRPr="00A66013">
        <w:rPr>
          <w:rFonts w:ascii="Georgia" w:hAnsi="Georgia" w:cs="Arial"/>
          <w:sz w:val="22"/>
          <w:szCs w:val="24"/>
        </w:rPr>
        <w:t>Folios 51 y 52, copias cuaderno principal</w:t>
      </w:r>
      <w:r w:rsidR="00A66013">
        <w:rPr>
          <w:rFonts w:ascii="Georgia" w:hAnsi="Georgia" w:cs="Arial"/>
          <w:sz w:val="24"/>
          <w:szCs w:val="24"/>
        </w:rPr>
        <w:t>)</w:t>
      </w:r>
      <w:r w:rsidR="00924E0B" w:rsidRPr="00EF69BA">
        <w:rPr>
          <w:rFonts w:ascii="Georgia" w:hAnsi="Georgia" w:cs="Arial"/>
          <w:sz w:val="24"/>
          <w:szCs w:val="24"/>
        </w:rPr>
        <w:t xml:space="preserve">, al tenor de las </w:t>
      </w:r>
      <w:r w:rsidR="000F4FD9" w:rsidRPr="00EF69BA">
        <w:rPr>
          <w:rFonts w:ascii="Georgia" w:hAnsi="Georgia" w:cs="Arial"/>
          <w:sz w:val="24"/>
          <w:szCs w:val="24"/>
        </w:rPr>
        <w:t>apreciaciones jurídicas</w:t>
      </w:r>
      <w:r w:rsidR="00924E0B" w:rsidRPr="00EF69BA">
        <w:rPr>
          <w:rFonts w:ascii="Georgia" w:hAnsi="Georgia" w:cs="Arial"/>
          <w:sz w:val="24"/>
          <w:szCs w:val="24"/>
        </w:rPr>
        <w:t xml:space="preserve"> que a continuación se formulan</w:t>
      </w:r>
      <w:r w:rsidR="000F4FD9" w:rsidRPr="00EF69BA">
        <w:rPr>
          <w:rFonts w:ascii="Georgia" w:hAnsi="Georgia" w:cs="Arial"/>
          <w:sz w:val="24"/>
          <w:szCs w:val="24"/>
        </w:rPr>
        <w:t>.</w:t>
      </w:r>
      <w:r w:rsidR="00900A84" w:rsidRPr="00EF69BA">
        <w:rPr>
          <w:rFonts w:ascii="Georgia" w:hAnsi="Georgia" w:cs="Arial"/>
          <w:sz w:val="24"/>
          <w:szCs w:val="24"/>
        </w:rPr>
        <w:t xml:space="preserve"> </w:t>
      </w:r>
    </w:p>
    <w:p w:rsidR="000F4FD9" w:rsidRPr="00EF69BA" w:rsidRDefault="000F4FD9" w:rsidP="00310452">
      <w:pPr>
        <w:pStyle w:val="Sinespaciado"/>
        <w:widowControl/>
        <w:autoSpaceDE/>
        <w:autoSpaceDN/>
        <w:adjustRightInd/>
        <w:spacing w:line="360" w:lineRule="auto"/>
        <w:jc w:val="both"/>
        <w:rPr>
          <w:rFonts w:ascii="Georgia" w:hAnsi="Georgia" w:cs="Arial"/>
        </w:rPr>
      </w:pPr>
    </w:p>
    <w:p w:rsidR="000F4FD9" w:rsidRPr="00EF69BA" w:rsidRDefault="000F4FD9" w:rsidP="00BD12C5">
      <w:pPr>
        <w:pStyle w:val="Sinespaciado"/>
        <w:numPr>
          <w:ilvl w:val="0"/>
          <w:numId w:val="3"/>
        </w:numPr>
        <w:spacing w:line="360" w:lineRule="auto"/>
        <w:jc w:val="both"/>
        <w:rPr>
          <w:rFonts w:ascii="Georgia" w:hAnsi="Georgia" w:cs="Arial"/>
        </w:rPr>
      </w:pPr>
      <w:r w:rsidRPr="00EF69BA">
        <w:rPr>
          <w:rFonts w:ascii="Georgia" w:hAnsi="Georgia" w:cs="Arial"/>
          <w:sz w:val="28"/>
        </w:rPr>
        <w:t>L</w:t>
      </w:r>
      <w:r w:rsidRPr="00EF69BA">
        <w:rPr>
          <w:rFonts w:ascii="Georgia" w:hAnsi="Georgia" w:cs="Arial"/>
          <w:sz w:val="22"/>
        </w:rPr>
        <w:t>AS ESTIMACIONES JURÍDICAS PARA DECIDIR</w:t>
      </w:r>
    </w:p>
    <w:p w:rsidR="000F4FD9" w:rsidRPr="00523F0F" w:rsidRDefault="000F4FD9" w:rsidP="00395DD3">
      <w:pPr>
        <w:spacing w:line="360" w:lineRule="auto"/>
        <w:jc w:val="both"/>
        <w:rPr>
          <w:rFonts w:ascii="Georgia" w:hAnsi="Georgia" w:cs="Arial"/>
          <w:sz w:val="24"/>
        </w:rPr>
      </w:pPr>
    </w:p>
    <w:p w:rsidR="000F4FD9" w:rsidRPr="00EF69BA" w:rsidRDefault="000F4FD9" w:rsidP="00395DD3">
      <w:pPr>
        <w:spacing w:line="360" w:lineRule="auto"/>
        <w:jc w:val="both"/>
        <w:rPr>
          <w:rFonts w:ascii="Georgia" w:hAnsi="Georgia" w:cs="Arial"/>
          <w:sz w:val="24"/>
        </w:rPr>
      </w:pPr>
      <w:r w:rsidRPr="00EF69BA">
        <w:rPr>
          <w:rFonts w:ascii="Georgia" w:hAnsi="Georgia" w:cs="Arial"/>
          <w:sz w:val="24"/>
        </w:rPr>
        <w:t xml:space="preserve">2.1. </w:t>
      </w:r>
      <w:r w:rsidRPr="00EF69BA">
        <w:rPr>
          <w:rFonts w:ascii="Georgia" w:hAnsi="Georgia" w:cs="Arial"/>
          <w:smallCaps/>
          <w:sz w:val="22"/>
        </w:rPr>
        <w:t>Los requisitos de viabilidad de un recurso</w:t>
      </w:r>
    </w:p>
    <w:p w:rsidR="000F4FD9" w:rsidRPr="00523F0F" w:rsidRDefault="000F4FD9" w:rsidP="00395DD3">
      <w:pPr>
        <w:spacing w:line="360" w:lineRule="auto"/>
        <w:jc w:val="both"/>
        <w:rPr>
          <w:rFonts w:ascii="Georgia" w:hAnsi="Georgia" w:cs="Arial"/>
          <w:sz w:val="28"/>
        </w:rPr>
      </w:pPr>
    </w:p>
    <w:p w:rsidR="001440A0" w:rsidRPr="006B6DCD" w:rsidRDefault="001440A0" w:rsidP="001440A0">
      <w:pPr>
        <w:spacing w:line="360" w:lineRule="auto"/>
        <w:jc w:val="both"/>
        <w:rPr>
          <w:rFonts w:ascii="Georgia" w:hAnsi="Georgia" w:cs="Arial"/>
          <w:sz w:val="24"/>
          <w:szCs w:val="24"/>
        </w:rPr>
      </w:pPr>
      <w:r w:rsidRPr="006B6DCD">
        <w:rPr>
          <w:rFonts w:ascii="Georgia" w:hAnsi="Georgia" w:cs="Arial"/>
          <w:sz w:val="24"/>
          <w:szCs w:val="24"/>
        </w:rPr>
        <w:t>Desde la óptica procesal, en presencia de los recursos, deben siempre concurrir los llamados presupuestos de viabilidad o trámite</w:t>
      </w:r>
      <w:r>
        <w:rPr>
          <w:rFonts w:ascii="Georgia" w:hAnsi="Georgia" w:cs="Arial"/>
          <w:sz w:val="24"/>
          <w:szCs w:val="24"/>
        </w:rPr>
        <w:t xml:space="preserve"> o </w:t>
      </w:r>
      <w:r w:rsidRPr="00893D63">
        <w:rPr>
          <w:rFonts w:ascii="Georgia" w:hAnsi="Georgia" w:cs="Arial"/>
          <w:i/>
          <w:sz w:val="22"/>
          <w:szCs w:val="24"/>
        </w:rPr>
        <w:t>condiciones para tener la posibilidad de recurrir</w:t>
      </w:r>
      <w:r>
        <w:rPr>
          <w:rStyle w:val="Refdenotaalpie"/>
          <w:rFonts w:ascii="Georgia" w:hAnsi="Georgia"/>
          <w:i/>
          <w:sz w:val="22"/>
          <w:szCs w:val="24"/>
        </w:rPr>
        <w:footnoteReference w:id="1"/>
      </w:r>
      <w:r w:rsidRPr="006B6DCD">
        <w:rPr>
          <w:rFonts w:ascii="Georgia" w:hAnsi="Georgia" w:cs="Arial"/>
          <w:sz w:val="24"/>
          <w:szCs w:val="24"/>
        </w:rPr>
        <w:t>, al decir de la doctrina procesal nacional</w:t>
      </w:r>
      <w:r w:rsidRPr="006B6DCD">
        <w:rPr>
          <w:rFonts w:ascii="Georgia" w:hAnsi="Georgia" w:cs="Arial"/>
          <w:sz w:val="24"/>
          <w:szCs w:val="24"/>
          <w:vertAlign w:val="superscript"/>
        </w:rPr>
        <w:footnoteReference w:id="2"/>
      </w:r>
      <w:r w:rsidRPr="006B6DCD">
        <w:rPr>
          <w:rFonts w:ascii="Georgia" w:hAnsi="Georgia" w:cs="Arial"/>
          <w:sz w:val="24"/>
          <w:szCs w:val="24"/>
          <w:vertAlign w:val="superscript"/>
        </w:rPr>
        <w:t>-</w:t>
      </w:r>
      <w:r w:rsidRPr="006B6DCD">
        <w:rPr>
          <w:rFonts w:ascii="Georgia" w:hAnsi="Georgia" w:cs="Arial"/>
          <w:sz w:val="24"/>
          <w:szCs w:val="24"/>
          <w:vertAlign w:val="superscript"/>
        </w:rPr>
        <w:footnoteReference w:id="3"/>
      </w:r>
      <w:r w:rsidRPr="006B6DCD">
        <w:rPr>
          <w:rFonts w:ascii="Georgia" w:hAnsi="Georgia" w:cs="Arial"/>
          <w:sz w:val="24"/>
          <w:szCs w:val="24"/>
        </w:rPr>
        <w:t>, a efectos de examinar el tema de apelación.</w:t>
      </w:r>
    </w:p>
    <w:p w:rsidR="001440A0" w:rsidRPr="00523F0F" w:rsidRDefault="001440A0" w:rsidP="001440A0">
      <w:pPr>
        <w:pStyle w:val="Sinespaciado"/>
        <w:spacing w:line="360" w:lineRule="auto"/>
        <w:jc w:val="both"/>
        <w:rPr>
          <w:rFonts w:ascii="Georgia" w:hAnsi="Georgia" w:cs="Arial"/>
          <w:sz w:val="28"/>
        </w:rPr>
      </w:pPr>
    </w:p>
    <w:p w:rsidR="001440A0" w:rsidRPr="00823F31" w:rsidRDefault="001440A0" w:rsidP="001440A0">
      <w:pPr>
        <w:pStyle w:val="Sinespaciado"/>
        <w:spacing w:line="360" w:lineRule="auto"/>
        <w:jc w:val="both"/>
        <w:rPr>
          <w:rFonts w:ascii="Georgia" w:hAnsi="Georgia" w:cs="Arial"/>
        </w:rPr>
      </w:pPr>
      <w:r w:rsidRPr="006B6DCD">
        <w:rPr>
          <w:rFonts w:ascii="Georgia" w:hAnsi="Georgia" w:cs="Arial"/>
        </w:rPr>
        <w:t xml:space="preserve">Se dice que los aludidos presupuestos son una serie de exigencias normativas formales que permiten su trámite y aseguran su decisión.  </w:t>
      </w:r>
      <w:r>
        <w:rPr>
          <w:rFonts w:ascii="Georgia" w:hAnsi="Georgia" w:cs="Arial"/>
        </w:rPr>
        <w:t>Así lo</w:t>
      </w:r>
      <w:r w:rsidRPr="006B6DCD">
        <w:rPr>
          <w:rFonts w:ascii="Georgia" w:hAnsi="Georgia" w:cs="Arial"/>
        </w:rPr>
        <w:t xml:space="preserve"> anota el profesor López B:</w:t>
      </w:r>
      <w:r w:rsidRPr="00823F31">
        <w:rPr>
          <w:rFonts w:ascii="Georgia" w:hAnsi="Georgia" w:cs="Arial"/>
        </w:rPr>
        <w:t xml:space="preserve"> </w:t>
      </w:r>
      <w:r w:rsidRPr="00823F31">
        <w:rPr>
          <w:rFonts w:ascii="Georgia" w:hAnsi="Georgia" w:cs="Arial"/>
          <w:sz w:val="22"/>
        </w:rPr>
        <w:t>“</w:t>
      </w:r>
      <w:r w:rsidRPr="00823F31">
        <w:rPr>
          <w:rFonts w:ascii="Georgia" w:hAnsi="Georgia" w:cs="Arial"/>
          <w:i/>
          <w:sz w:val="22"/>
        </w:rPr>
        <w:t>En todo caso sin estar reunidos los requisitos de viabilidad del recurso jamás se podrá tener éxito en el mismo por constituir un precedente necesario para decidirlo.</w:t>
      </w:r>
      <w:r w:rsidRPr="00823F31">
        <w:rPr>
          <w:rFonts w:ascii="Georgia" w:hAnsi="Georgia" w:cs="Arial"/>
          <w:sz w:val="22"/>
        </w:rPr>
        <w:t>”</w:t>
      </w:r>
      <w:r w:rsidRPr="00823F31">
        <w:rPr>
          <w:rFonts w:ascii="Georgia" w:hAnsi="Georgia" w:cs="Arial"/>
          <w:sz w:val="22"/>
          <w:vertAlign w:val="superscript"/>
        </w:rPr>
        <w:footnoteReference w:id="4"/>
      </w:r>
      <w:r w:rsidRPr="00823F31">
        <w:rPr>
          <w:rFonts w:ascii="Georgia" w:hAnsi="Georgia" w:cs="Arial"/>
        </w:rPr>
        <w:t>.  Y lo explica el profesor Rojas G</w:t>
      </w:r>
      <w:r>
        <w:rPr>
          <w:rFonts w:ascii="Georgia" w:hAnsi="Georgia" w:cs="Arial"/>
        </w:rPr>
        <w:t>.</w:t>
      </w:r>
      <w:r w:rsidRPr="00823F31">
        <w:rPr>
          <w:rFonts w:ascii="Georgia" w:hAnsi="Georgia" w:cs="Arial"/>
        </w:rPr>
        <w:t xml:space="preserve"> en su obra: “</w:t>
      </w:r>
      <w:r w:rsidRPr="00823F31">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823F31">
        <w:rPr>
          <w:rFonts w:ascii="Georgia" w:hAnsi="Georgia" w:cs="Arial"/>
        </w:rPr>
        <w:t>”</w:t>
      </w:r>
      <w:r w:rsidRPr="007F28E9">
        <w:rPr>
          <w:rStyle w:val="Refdenotaalpie"/>
          <w:rFonts w:ascii="Georgia" w:hAnsi="Georgia" w:cs="Arial"/>
        </w:rPr>
        <w:t xml:space="preserve"> </w:t>
      </w:r>
      <w:r w:rsidRPr="00823F31">
        <w:rPr>
          <w:rStyle w:val="Refdenotaalpie"/>
          <w:rFonts w:ascii="Georgia" w:hAnsi="Georgia" w:cs="Arial"/>
        </w:rPr>
        <w:footnoteReference w:id="5"/>
      </w:r>
      <w:r w:rsidRPr="00823F31">
        <w:rPr>
          <w:rFonts w:ascii="Georgia" w:hAnsi="Georgia" w:cs="Arial"/>
        </w:rPr>
        <w:t>.</w:t>
      </w:r>
    </w:p>
    <w:p w:rsidR="001440A0" w:rsidRPr="00523F0F" w:rsidRDefault="001440A0" w:rsidP="001440A0">
      <w:pPr>
        <w:pStyle w:val="Sinespaciado"/>
        <w:spacing w:line="360" w:lineRule="auto"/>
        <w:jc w:val="both"/>
        <w:rPr>
          <w:rFonts w:ascii="Georgia" w:hAnsi="Georgia" w:cs="Arial"/>
          <w:sz w:val="28"/>
        </w:rPr>
      </w:pPr>
    </w:p>
    <w:p w:rsidR="00F44DBD" w:rsidRPr="00823F31" w:rsidRDefault="00F44DBD" w:rsidP="00F44DBD">
      <w:pPr>
        <w:pStyle w:val="Sinespaciado"/>
        <w:spacing w:line="360" w:lineRule="auto"/>
        <w:jc w:val="both"/>
        <w:rPr>
          <w:rFonts w:ascii="Georgia" w:hAnsi="Georgia"/>
          <w:i/>
          <w:color w:val="2D2D2D"/>
          <w:shd w:val="clear" w:color="auto" w:fill="FFFFFF"/>
        </w:rPr>
      </w:pPr>
      <w:r w:rsidRPr="002019E7">
        <w:rPr>
          <w:rFonts w:ascii="Georgia" w:hAnsi="Georgia" w:cs="Arial"/>
        </w:rPr>
        <w:t>Los mencionados requisitos son concurrentes y necesarios, ausente uno se malogra el estudio de la impugnación. La misma CSJ así lo ha enseñado: “</w:t>
      </w:r>
      <w:r w:rsidRPr="002019E7">
        <w:rPr>
          <w:rFonts w:ascii="Georgia" w:hAnsi="Georgia" w:cs="Arial"/>
          <w:i/>
          <w:sz w:val="22"/>
        </w:rPr>
        <w:t xml:space="preserve">(…) al recibir el expediente, dentro del examen preliminar que le corresponde hacer (C. de </w:t>
      </w:r>
      <w:proofErr w:type="spellStart"/>
      <w:r w:rsidRPr="002019E7">
        <w:rPr>
          <w:rFonts w:ascii="Georgia" w:hAnsi="Georgia" w:cs="Arial"/>
          <w:i/>
          <w:sz w:val="22"/>
        </w:rPr>
        <w:t>P.C</w:t>
      </w:r>
      <w:proofErr w:type="spellEnd"/>
      <w:r w:rsidRPr="002019E7">
        <w:rPr>
          <w:rFonts w:ascii="Georgia" w:hAnsi="Georgia" w:cs="Arial"/>
          <w:i/>
          <w:sz w:val="22"/>
        </w:rPr>
        <w:t>.,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2019E7">
        <w:rPr>
          <w:rFonts w:ascii="Georgia" w:hAnsi="Georgia" w:cs="Arial"/>
        </w:rPr>
        <w:t>”</w:t>
      </w:r>
      <w:r w:rsidRPr="002019E7">
        <w:rPr>
          <w:rStyle w:val="Refdenotaalpie"/>
          <w:rFonts w:ascii="Georgia" w:hAnsi="Georgia"/>
        </w:rPr>
        <w:footnoteReference w:id="6"/>
      </w:r>
      <w:r w:rsidRPr="002019E7">
        <w:rPr>
          <w:rFonts w:ascii="Georgia" w:hAnsi="Georgia" w:cs="Arial"/>
        </w:rPr>
        <w:t xml:space="preserve">. Y en decisión </w:t>
      </w:r>
      <w:r w:rsidRPr="00D07E95">
        <w:rPr>
          <w:rFonts w:ascii="Georgia" w:hAnsi="Georgia" w:cs="Arial"/>
        </w:rPr>
        <w:t>más próxima (</w:t>
      </w:r>
      <w:r w:rsidRPr="00DD6A57">
        <w:rPr>
          <w:rFonts w:ascii="Georgia" w:hAnsi="Georgia" w:cs="Arial"/>
          <w:sz w:val="22"/>
        </w:rPr>
        <w:t>2017</w:t>
      </w:r>
      <w:r w:rsidRPr="00D07E95">
        <w:rPr>
          <w:rFonts w:ascii="Georgia" w:hAnsi="Georgia" w:cs="Arial"/>
        </w:rPr>
        <w:t>)</w:t>
      </w:r>
      <w:r w:rsidRPr="00D07E95">
        <w:rPr>
          <w:rStyle w:val="Refdenotaalpie"/>
          <w:rFonts w:ascii="Georgia" w:hAnsi="Georgia"/>
        </w:rPr>
        <w:footnoteReference w:id="7"/>
      </w:r>
      <w:r w:rsidRPr="00D07E95">
        <w:rPr>
          <w:rFonts w:ascii="Georgia" w:hAnsi="Georgia" w:cs="Arial"/>
        </w:rPr>
        <w:t xml:space="preserve"> recordó: </w:t>
      </w:r>
      <w:r w:rsidRPr="00D07E95">
        <w:rPr>
          <w:rFonts w:ascii="Georgia" w:hAnsi="Georgia" w:cs="Arial"/>
          <w:sz w:val="22"/>
          <w:szCs w:val="22"/>
        </w:rPr>
        <w:t>“(…)</w:t>
      </w:r>
      <w:r>
        <w:rPr>
          <w:rFonts w:ascii="Georgia" w:hAnsi="Georgia" w:cs="Arial"/>
          <w:sz w:val="22"/>
          <w:szCs w:val="22"/>
        </w:rPr>
        <w:t xml:space="preserve"> </w:t>
      </w:r>
      <w:r w:rsidRPr="00E705A1">
        <w:rPr>
          <w:rFonts w:ascii="Georgia" w:hAnsi="Georgia" w:cs="Arial"/>
          <w:i/>
          <w:spacing w:val="-4"/>
          <w:sz w:val="22"/>
          <w:szCs w:val="22"/>
        </w:rPr>
        <w:t>Por supuesto que, era facultad del superior realizar el análisis preliminar para la «admisión» de la alzada</w:t>
      </w:r>
      <w:r>
        <w:rPr>
          <w:rFonts w:ascii="Georgia" w:hAnsi="Georgia" w:cs="Arial"/>
          <w:i/>
          <w:spacing w:val="-4"/>
          <w:sz w:val="22"/>
          <w:szCs w:val="22"/>
        </w:rPr>
        <w:t xml:space="preserve">, </w:t>
      </w:r>
      <w:r w:rsidRPr="00C34139">
        <w:rPr>
          <w:rFonts w:ascii="Georgia" w:hAnsi="Georgia" w:cs="Arial"/>
          <w:i/>
          <w:spacing w:val="-4"/>
          <w:sz w:val="22"/>
          <w:szCs w:val="22"/>
        </w:rPr>
        <w:t xml:space="preserve">y conforme a la regla cuarta del canon 325 del </w:t>
      </w:r>
      <w:proofErr w:type="spellStart"/>
      <w:r w:rsidRPr="00C34139">
        <w:rPr>
          <w:rFonts w:ascii="Georgia" w:hAnsi="Georgia" w:cs="Arial"/>
          <w:i/>
          <w:spacing w:val="-4"/>
          <w:sz w:val="22"/>
          <w:szCs w:val="22"/>
        </w:rPr>
        <w:t>C.G.P</w:t>
      </w:r>
      <w:proofErr w:type="spellEnd"/>
      <w:r w:rsidRPr="00C34139">
        <w:rPr>
          <w:rFonts w:ascii="Georgia" w:hAnsi="Georgia" w:cs="Arial"/>
          <w:i/>
          <w:spacing w:val="-4"/>
          <w:sz w:val="22"/>
          <w:szCs w:val="22"/>
        </w:rPr>
        <w:t>.</w:t>
      </w:r>
      <w:r>
        <w:rPr>
          <w:rFonts w:ascii="Bookman Old Style" w:hAnsi="Bookman Old Style" w:cs="Arial"/>
          <w:spacing w:val="-4"/>
          <w:sz w:val="28"/>
          <w:szCs w:val="28"/>
        </w:rPr>
        <w:t xml:space="preserve"> </w:t>
      </w:r>
      <w:r w:rsidRPr="00E705A1">
        <w:rPr>
          <w:rFonts w:ascii="Georgia" w:hAnsi="Georgia" w:cs="Arial"/>
          <w:i/>
          <w:color w:val="2D2D2D"/>
          <w:sz w:val="22"/>
          <w:szCs w:val="22"/>
          <w:shd w:val="clear" w:color="auto" w:fill="FFFFFF"/>
        </w:rPr>
        <w:t xml:space="preserve"> </w:t>
      </w:r>
      <w:r w:rsidRPr="002019E7">
        <w:rPr>
          <w:rFonts w:ascii="Georgia" w:hAnsi="Georgia" w:cs="Arial"/>
          <w:i/>
          <w:color w:val="2D2D2D"/>
          <w:sz w:val="22"/>
          <w:szCs w:val="22"/>
          <w:shd w:val="clear" w:color="auto" w:fill="FFFFFF"/>
        </w:rPr>
        <w:t>(…)”.</w:t>
      </w:r>
    </w:p>
    <w:p w:rsidR="00A66013" w:rsidRDefault="00A66013" w:rsidP="00965470">
      <w:pPr>
        <w:pStyle w:val="Sinespaciado"/>
        <w:spacing w:line="360" w:lineRule="auto"/>
        <w:jc w:val="both"/>
        <w:rPr>
          <w:rFonts w:ascii="Georgia" w:hAnsi="Georgia" w:cs="Arial"/>
        </w:rPr>
      </w:pPr>
    </w:p>
    <w:p w:rsidR="00965470" w:rsidRPr="00EF69BA" w:rsidRDefault="001440A0" w:rsidP="00965470">
      <w:pPr>
        <w:pStyle w:val="Sinespaciado"/>
        <w:spacing w:line="360" w:lineRule="auto"/>
        <w:jc w:val="both"/>
        <w:rPr>
          <w:rFonts w:ascii="Georgia" w:hAnsi="Georgia" w:cs="Arial"/>
        </w:rPr>
      </w:pPr>
      <w:r w:rsidRPr="006B6DCD">
        <w:rPr>
          <w:rFonts w:ascii="Georgia" w:hAnsi="Georgia" w:cs="Arial"/>
        </w:rPr>
        <w:t>Esos supuestos son legitimación, oportunidad, procedencia y cargas procesales (</w:t>
      </w:r>
      <w:r w:rsidRPr="00170D54">
        <w:rPr>
          <w:rFonts w:ascii="Georgia" w:hAnsi="Georgia" w:cs="Arial"/>
          <w:sz w:val="22"/>
        </w:rPr>
        <w:t xml:space="preserve">Sustentación, expedición de copias, </w:t>
      </w:r>
      <w:proofErr w:type="spellStart"/>
      <w:r w:rsidRPr="00170D54">
        <w:rPr>
          <w:rFonts w:ascii="Georgia" w:hAnsi="Georgia" w:cs="Arial"/>
          <w:sz w:val="22"/>
        </w:rPr>
        <w:t>etc</w:t>
      </w:r>
      <w:proofErr w:type="spellEnd"/>
      <w:r w:rsidRPr="006B6DCD">
        <w:rPr>
          <w:rFonts w:ascii="Georgia" w:hAnsi="Georgia" w:cs="Arial"/>
        </w:rPr>
        <w:t xml:space="preserve">), es necesario precisar desde ya que, los tres primeros implican la </w:t>
      </w:r>
      <w:r w:rsidRPr="00F44DBD">
        <w:rPr>
          <w:rFonts w:ascii="Georgia" w:hAnsi="Georgia" w:cs="Arial"/>
          <w:u w:val="single"/>
        </w:rPr>
        <w:lastRenderedPageBreak/>
        <w:t>inadmisibilidad</w:t>
      </w:r>
      <w:r w:rsidRPr="006B6DCD">
        <w:rPr>
          <w:rFonts w:ascii="Georgia" w:hAnsi="Georgia" w:cs="Arial"/>
        </w:rPr>
        <w:t xml:space="preserve"> del recurso mientras que, el cuarto, provoca la deserción del mismo, </w:t>
      </w:r>
      <w:r>
        <w:rPr>
          <w:rFonts w:ascii="Georgia" w:hAnsi="Georgia" w:cs="Arial"/>
        </w:rPr>
        <w:t xml:space="preserve">tal como </w:t>
      </w:r>
      <w:r w:rsidRPr="006B6DCD">
        <w:rPr>
          <w:rFonts w:ascii="Georgia" w:hAnsi="Georgia" w:cs="Arial"/>
        </w:rPr>
        <w:t xml:space="preserve">lo acota </w:t>
      </w:r>
      <w:r>
        <w:rPr>
          <w:rFonts w:ascii="Georgia" w:hAnsi="Georgia" w:cs="Arial"/>
        </w:rPr>
        <w:t>la doctrina patria</w:t>
      </w:r>
      <w:r w:rsidRPr="006B6DCD">
        <w:rPr>
          <w:rStyle w:val="Refdenotaalpie"/>
          <w:rFonts w:ascii="Georgia" w:hAnsi="Georgia"/>
        </w:rPr>
        <w:footnoteReference w:id="8"/>
      </w:r>
      <w:r>
        <w:rPr>
          <w:rFonts w:ascii="Georgia" w:hAnsi="Georgia" w:cs="Arial"/>
          <w:vertAlign w:val="superscript"/>
        </w:rPr>
        <w:t>-</w:t>
      </w:r>
      <w:r>
        <w:rPr>
          <w:rStyle w:val="Refdenotaalpie"/>
          <w:rFonts w:ascii="Georgia" w:hAnsi="Georgia"/>
        </w:rPr>
        <w:footnoteReference w:id="9"/>
      </w:r>
      <w:r w:rsidRPr="006B6DCD">
        <w:rPr>
          <w:rFonts w:ascii="Georgia" w:hAnsi="Georgia" w:cs="Arial"/>
        </w:rPr>
        <w:t>.</w:t>
      </w:r>
      <w:r>
        <w:rPr>
          <w:rFonts w:ascii="Georgia" w:hAnsi="Georgia" w:cs="Arial"/>
        </w:rPr>
        <w:t xml:space="preserve"> </w:t>
      </w:r>
      <w:r w:rsidR="00767974" w:rsidRPr="00EF69BA">
        <w:rPr>
          <w:rFonts w:ascii="Georgia" w:hAnsi="Georgia" w:cs="Arial"/>
        </w:rPr>
        <w:t xml:space="preserve">En particular se echa de menos en este caso la procedencia, entendida como </w:t>
      </w:r>
      <w:r w:rsidR="00491DD9" w:rsidRPr="00EF69BA">
        <w:rPr>
          <w:rFonts w:ascii="Georgia" w:hAnsi="Georgia" w:cs="Arial"/>
        </w:rPr>
        <w:t>la expresa autorización normativa para atacar la decisión por vía de alzada</w:t>
      </w:r>
      <w:r w:rsidR="00BB695D" w:rsidRPr="00EF69BA">
        <w:rPr>
          <w:rFonts w:ascii="Georgia" w:hAnsi="Georgia" w:cs="Arial"/>
        </w:rPr>
        <w:t>.</w:t>
      </w:r>
      <w:r w:rsidR="00965470" w:rsidRPr="00EF69BA">
        <w:rPr>
          <w:rFonts w:ascii="Georgia" w:hAnsi="Georgia" w:cs="Arial"/>
        </w:rPr>
        <w:t xml:space="preserve"> </w:t>
      </w:r>
    </w:p>
    <w:p w:rsidR="00965470" w:rsidRPr="00523F0F" w:rsidRDefault="00965470" w:rsidP="00965470">
      <w:pPr>
        <w:pStyle w:val="Sinespaciado"/>
        <w:spacing w:line="360" w:lineRule="auto"/>
        <w:jc w:val="both"/>
        <w:rPr>
          <w:rFonts w:ascii="Georgia" w:hAnsi="Georgia" w:cs="Arial"/>
          <w:sz w:val="28"/>
        </w:rPr>
      </w:pPr>
    </w:p>
    <w:p w:rsidR="00504903" w:rsidRPr="00EF69BA" w:rsidRDefault="00B71ACD" w:rsidP="00B71ACD">
      <w:pPr>
        <w:pStyle w:val="Sinespaciado"/>
        <w:numPr>
          <w:ilvl w:val="0"/>
          <w:numId w:val="3"/>
        </w:numPr>
        <w:spacing w:line="360" w:lineRule="auto"/>
        <w:jc w:val="both"/>
        <w:rPr>
          <w:rFonts w:ascii="Georgia" w:hAnsi="Georgia" w:cs="Arial"/>
        </w:rPr>
      </w:pPr>
      <w:r w:rsidRPr="00B71ACD">
        <w:rPr>
          <w:rFonts w:ascii="Georgia" w:hAnsi="Georgia" w:cs="Arial"/>
          <w:smallCaps/>
          <w:sz w:val="28"/>
        </w:rPr>
        <w:t>E</w:t>
      </w:r>
      <w:r w:rsidRPr="00EF69BA">
        <w:rPr>
          <w:rFonts w:ascii="Georgia" w:hAnsi="Georgia" w:cs="Arial"/>
          <w:smallCaps/>
          <w:sz w:val="22"/>
        </w:rPr>
        <w:t>L CASO CONCRETO QUE SE ANALIZA</w:t>
      </w:r>
    </w:p>
    <w:p w:rsidR="00504903" w:rsidRPr="00EF69BA" w:rsidRDefault="00504903" w:rsidP="00965470">
      <w:pPr>
        <w:pStyle w:val="Sinespaciado"/>
        <w:spacing w:line="360" w:lineRule="auto"/>
        <w:jc w:val="both"/>
        <w:rPr>
          <w:rFonts w:ascii="Georgia" w:hAnsi="Georgia" w:cs="Arial"/>
        </w:rPr>
      </w:pPr>
    </w:p>
    <w:p w:rsidR="00073C11" w:rsidRPr="00EF69BA" w:rsidRDefault="00073C11" w:rsidP="00073C11">
      <w:pPr>
        <w:pStyle w:val="Sinespaciado"/>
        <w:spacing w:line="360" w:lineRule="auto"/>
        <w:jc w:val="both"/>
        <w:rPr>
          <w:rFonts w:ascii="Georgia" w:hAnsi="Georgia" w:cs="Arial"/>
        </w:rPr>
      </w:pPr>
      <w:r w:rsidRPr="00EF69BA">
        <w:rPr>
          <w:rFonts w:ascii="Georgia" w:hAnsi="Georgia" w:cs="Arial"/>
        </w:rPr>
        <w:t xml:space="preserve">El principio de la doble instancia, previsto por el artículo 31 de nuestra Carta Política, no es absoluto sino relativo, aplica para las sentencias </w:t>
      </w:r>
      <w:r w:rsidR="006C148D">
        <w:rPr>
          <w:rFonts w:ascii="Georgia" w:hAnsi="Georgia" w:cs="Arial"/>
        </w:rPr>
        <w:t>y excepcionalmente según el legislativo</w:t>
      </w:r>
      <w:r w:rsidRPr="00EF69BA">
        <w:rPr>
          <w:rFonts w:ascii="Georgia" w:hAnsi="Georgia" w:cs="Arial"/>
        </w:rPr>
        <w:t>. La doctrina constitucional sobre este principio ha sido constante y sólida desde 1995</w:t>
      </w:r>
      <w:r w:rsidRPr="00EF69BA">
        <w:rPr>
          <w:rStyle w:val="Refdenotaalpie"/>
          <w:rFonts w:ascii="Georgia" w:hAnsi="Georgia"/>
        </w:rPr>
        <w:footnoteReference w:id="10"/>
      </w:r>
      <w:r w:rsidRPr="00EF69BA">
        <w:rPr>
          <w:rFonts w:ascii="Georgia" w:hAnsi="Georgia" w:cs="Arial"/>
        </w:rPr>
        <w:t xml:space="preserve"> hasta nuestros días </w:t>
      </w:r>
      <w:r w:rsidR="005F7966" w:rsidRPr="00EF69BA">
        <w:rPr>
          <w:rFonts w:ascii="Georgia" w:hAnsi="Georgia" w:cs="Arial"/>
        </w:rPr>
        <w:t>(</w:t>
      </w:r>
      <w:r w:rsidR="005F7966" w:rsidRPr="00170D54">
        <w:rPr>
          <w:rFonts w:ascii="Georgia" w:hAnsi="Georgia" w:cs="Arial"/>
          <w:sz w:val="22"/>
        </w:rPr>
        <w:t>201</w:t>
      </w:r>
      <w:r w:rsidR="00D73CBC" w:rsidRPr="00170D54">
        <w:rPr>
          <w:rFonts w:ascii="Georgia" w:hAnsi="Georgia" w:cs="Arial"/>
          <w:sz w:val="22"/>
        </w:rPr>
        <w:t>7</w:t>
      </w:r>
      <w:r w:rsidR="005F7966" w:rsidRPr="00EF69BA">
        <w:rPr>
          <w:rFonts w:ascii="Georgia" w:hAnsi="Georgia" w:cs="Arial"/>
        </w:rPr>
        <w:t>)</w:t>
      </w:r>
      <w:r w:rsidR="005F7966" w:rsidRPr="00EF69BA">
        <w:rPr>
          <w:rStyle w:val="Refdenotaalpie"/>
          <w:rFonts w:ascii="Georgia" w:hAnsi="Georgia"/>
        </w:rPr>
        <w:footnoteReference w:id="11"/>
      </w:r>
      <w:r w:rsidR="005F7966" w:rsidRPr="00EF69BA">
        <w:rPr>
          <w:rFonts w:ascii="Georgia" w:hAnsi="Georgia" w:cs="Arial"/>
        </w:rPr>
        <w:t xml:space="preserve">; en esta reciente decisión, </w:t>
      </w:r>
      <w:r w:rsidR="00D73CBC">
        <w:rPr>
          <w:rFonts w:ascii="Georgia" w:hAnsi="Georgia" w:cs="Arial"/>
        </w:rPr>
        <w:t xml:space="preserve">donde se revisó nuevamente </w:t>
      </w:r>
      <w:r w:rsidR="006C148D">
        <w:rPr>
          <w:rFonts w:ascii="Georgia" w:hAnsi="Georgia" w:cs="Arial"/>
        </w:rPr>
        <w:t xml:space="preserve">la </w:t>
      </w:r>
      <w:r w:rsidR="00D73CBC" w:rsidRPr="00D73CBC">
        <w:rPr>
          <w:rFonts w:ascii="Georgia" w:hAnsi="Georgia" w:cs="Arial"/>
        </w:rPr>
        <w:t>potestad de configuración normativa del legislador en materia procesal</w:t>
      </w:r>
      <w:r w:rsidR="00D73CBC">
        <w:rPr>
          <w:rFonts w:ascii="Georgia" w:hAnsi="Georgia" w:cs="Arial"/>
        </w:rPr>
        <w:t xml:space="preserve">, específicamente los recursos de alzada y </w:t>
      </w:r>
      <w:r w:rsidR="00D73CBC" w:rsidRPr="00D73CBC">
        <w:rPr>
          <w:rFonts w:ascii="Georgia" w:hAnsi="Georgia" w:cs="Arial"/>
        </w:rPr>
        <w:t xml:space="preserve">al revisar la </w:t>
      </w:r>
      <w:proofErr w:type="spellStart"/>
      <w:r w:rsidR="00D73CBC" w:rsidRPr="00D73CBC">
        <w:rPr>
          <w:rFonts w:ascii="Georgia" w:hAnsi="Georgia" w:cs="Arial"/>
        </w:rPr>
        <w:t>exequibilidad</w:t>
      </w:r>
      <w:proofErr w:type="spellEnd"/>
      <w:r w:rsidR="00D73CBC" w:rsidRPr="00D73CBC">
        <w:rPr>
          <w:rFonts w:ascii="Georgia" w:hAnsi="Georgia" w:cs="Arial"/>
        </w:rPr>
        <w:t xml:space="preserve"> del artículo 222 de la Ley 1801</w:t>
      </w:r>
      <w:r w:rsidRPr="00EF69BA">
        <w:rPr>
          <w:rFonts w:ascii="Georgia" w:hAnsi="Georgia" w:cs="Arial"/>
        </w:rPr>
        <w:t>.</w:t>
      </w:r>
    </w:p>
    <w:p w:rsidR="00073C11" w:rsidRPr="00523F0F" w:rsidRDefault="00073C11" w:rsidP="00073C11">
      <w:pPr>
        <w:pStyle w:val="Sinespaciado"/>
        <w:spacing w:line="360" w:lineRule="auto"/>
        <w:jc w:val="both"/>
        <w:rPr>
          <w:rFonts w:ascii="Georgia" w:hAnsi="Georgia" w:cs="Arial"/>
          <w:sz w:val="28"/>
        </w:rPr>
      </w:pPr>
    </w:p>
    <w:p w:rsidR="005D1B31" w:rsidRPr="00EF69BA" w:rsidRDefault="005F7966" w:rsidP="00965470">
      <w:pPr>
        <w:pStyle w:val="Sinespaciado"/>
        <w:spacing w:line="360" w:lineRule="auto"/>
        <w:jc w:val="both"/>
        <w:rPr>
          <w:rFonts w:ascii="Georgia" w:hAnsi="Georgia" w:cs="Arial"/>
          <w:szCs w:val="24"/>
          <w:lang w:val="es-MX"/>
        </w:rPr>
      </w:pPr>
      <w:r w:rsidRPr="00EF69BA">
        <w:rPr>
          <w:rFonts w:ascii="Georgia" w:hAnsi="Georgia" w:cs="Arial"/>
        </w:rPr>
        <w:t xml:space="preserve">Por sabido se tiene, en la literatura procesal contemporánea, que la </w:t>
      </w:r>
      <w:proofErr w:type="spellStart"/>
      <w:r w:rsidRPr="00EF69BA">
        <w:rPr>
          <w:rFonts w:ascii="Georgia" w:hAnsi="Georgia" w:cs="Arial"/>
        </w:rPr>
        <w:t>taxatividad</w:t>
      </w:r>
      <w:proofErr w:type="spellEnd"/>
      <w:r w:rsidRPr="00EF69BA">
        <w:rPr>
          <w:rFonts w:ascii="Georgia" w:hAnsi="Georgia" w:cs="Arial"/>
        </w:rPr>
        <w:t xml:space="preserve"> es una regla técnica de regulación del recurso de apelación, como aplicación del principio de economía procesal, y cuyo contenido consiste en señalar que es procedente solo cuando así lo disponga una norma en forma expresa. </w:t>
      </w:r>
      <w:r w:rsidR="00627040" w:rsidRPr="00EF69BA">
        <w:rPr>
          <w:rFonts w:ascii="Georgia" w:hAnsi="Georgia" w:cs="Arial"/>
        </w:rPr>
        <w:t xml:space="preserve">En el </w:t>
      </w:r>
      <w:proofErr w:type="spellStart"/>
      <w:r w:rsidR="00627040" w:rsidRPr="00EF69BA">
        <w:rPr>
          <w:rFonts w:ascii="Georgia" w:hAnsi="Georgia" w:cs="Arial"/>
        </w:rPr>
        <w:t>CGP</w:t>
      </w:r>
      <w:proofErr w:type="spellEnd"/>
      <w:r w:rsidR="00627040" w:rsidRPr="00EF69BA">
        <w:rPr>
          <w:rFonts w:ascii="Georgia" w:hAnsi="Georgia" w:cs="Arial"/>
        </w:rPr>
        <w:t xml:space="preserve"> (</w:t>
      </w:r>
      <w:r w:rsidR="00037717" w:rsidRPr="009C4E45">
        <w:rPr>
          <w:rFonts w:ascii="Georgia" w:hAnsi="Georgia" w:cs="Arial"/>
          <w:sz w:val="22"/>
        </w:rPr>
        <w:t xml:space="preserve">Como </w:t>
      </w:r>
      <w:r w:rsidR="00627040" w:rsidRPr="009C4E45">
        <w:rPr>
          <w:rFonts w:ascii="Georgia" w:hAnsi="Georgia" w:cs="Arial"/>
          <w:sz w:val="22"/>
        </w:rPr>
        <w:t xml:space="preserve">lo hacía el </w:t>
      </w:r>
      <w:proofErr w:type="spellStart"/>
      <w:r w:rsidR="00627040" w:rsidRPr="009C4E45">
        <w:rPr>
          <w:rFonts w:ascii="Georgia" w:hAnsi="Georgia" w:cs="Arial"/>
          <w:sz w:val="22"/>
        </w:rPr>
        <w:t>CPC</w:t>
      </w:r>
      <w:proofErr w:type="spellEnd"/>
      <w:r w:rsidR="00627040" w:rsidRPr="00EF69BA">
        <w:rPr>
          <w:rFonts w:ascii="Georgia" w:hAnsi="Georgia" w:cs="Arial"/>
        </w:rPr>
        <w:t>), opera la mencionada regla de especificidad</w:t>
      </w:r>
      <w:r w:rsidRPr="00EF69BA">
        <w:rPr>
          <w:rFonts w:ascii="Georgia" w:hAnsi="Georgia" w:cs="Arial"/>
        </w:rPr>
        <w:t>, tal como lo reconocen los autores nacionales</w:t>
      </w:r>
      <w:r w:rsidRPr="00EF69BA">
        <w:rPr>
          <w:rStyle w:val="Refdenotaalpie"/>
          <w:rFonts w:ascii="Georgia" w:hAnsi="Georgia" w:cs="Arial"/>
          <w:szCs w:val="24"/>
        </w:rPr>
        <w:footnoteReference w:id="12"/>
      </w:r>
      <w:r w:rsidRPr="00EF69BA">
        <w:rPr>
          <w:rFonts w:ascii="Georgia" w:hAnsi="Georgia" w:cs="Arial"/>
          <w:szCs w:val="24"/>
          <w:vertAlign w:val="superscript"/>
        </w:rPr>
        <w:t>-</w:t>
      </w:r>
      <w:r w:rsidRPr="00EF69BA">
        <w:rPr>
          <w:rStyle w:val="Refdenotaalpie"/>
          <w:rFonts w:ascii="Georgia" w:hAnsi="Georgia" w:cs="Arial"/>
          <w:szCs w:val="24"/>
        </w:rPr>
        <w:footnoteReference w:id="13"/>
      </w:r>
      <w:r w:rsidRPr="00EF69BA">
        <w:rPr>
          <w:rFonts w:ascii="Georgia" w:hAnsi="Georgia" w:cs="Arial"/>
          <w:szCs w:val="24"/>
          <w:vertAlign w:val="superscript"/>
        </w:rPr>
        <w:t>-</w:t>
      </w:r>
      <w:r w:rsidRPr="00EF69BA">
        <w:rPr>
          <w:rStyle w:val="Refdenotaalpie"/>
          <w:rFonts w:ascii="Georgia" w:hAnsi="Georgia" w:cs="Arial"/>
          <w:szCs w:val="24"/>
        </w:rPr>
        <w:footnoteReference w:id="14"/>
      </w:r>
      <w:r w:rsidRPr="00EF69BA">
        <w:rPr>
          <w:rFonts w:ascii="Georgia" w:hAnsi="Georgia" w:cs="Arial"/>
          <w:szCs w:val="24"/>
        </w:rPr>
        <w:t xml:space="preserve"> y la misma CSJ, Sala de Casación Civil</w:t>
      </w:r>
      <w:r w:rsidRPr="00EF69BA">
        <w:rPr>
          <w:rFonts w:ascii="Georgia" w:hAnsi="Georgia"/>
          <w:vertAlign w:val="superscript"/>
        </w:rPr>
        <w:footnoteReference w:id="15"/>
      </w:r>
      <w:r w:rsidRPr="00EF69BA">
        <w:rPr>
          <w:rFonts w:ascii="Georgia" w:hAnsi="Georgia" w:cs="Arial"/>
          <w:szCs w:val="24"/>
        </w:rPr>
        <w:t>. Así está consagrado en el artículo 3</w:t>
      </w:r>
      <w:r w:rsidR="00D956E3" w:rsidRPr="00EF69BA">
        <w:rPr>
          <w:rFonts w:ascii="Georgia" w:hAnsi="Georgia" w:cs="Arial"/>
          <w:szCs w:val="24"/>
        </w:rPr>
        <w:t>2</w:t>
      </w:r>
      <w:r w:rsidRPr="00EF69BA">
        <w:rPr>
          <w:rFonts w:ascii="Georgia" w:hAnsi="Georgia" w:cs="Arial"/>
          <w:szCs w:val="24"/>
        </w:rPr>
        <w:t>1</w:t>
      </w:r>
      <w:r w:rsidR="00170D54">
        <w:rPr>
          <w:rFonts w:ascii="Georgia" w:hAnsi="Georgia" w:cs="Arial"/>
          <w:szCs w:val="24"/>
        </w:rPr>
        <w:t xml:space="preserve">, </w:t>
      </w:r>
      <w:proofErr w:type="spellStart"/>
      <w:r w:rsidR="00170D54">
        <w:rPr>
          <w:rFonts w:ascii="Georgia" w:hAnsi="Georgia" w:cs="Arial"/>
          <w:szCs w:val="24"/>
        </w:rPr>
        <w:t>CG</w:t>
      </w:r>
      <w:r w:rsidR="00D956E3" w:rsidRPr="00EF69BA">
        <w:rPr>
          <w:rFonts w:ascii="Georgia" w:hAnsi="Georgia" w:cs="Arial"/>
          <w:szCs w:val="24"/>
        </w:rPr>
        <w:t>P</w:t>
      </w:r>
      <w:proofErr w:type="spellEnd"/>
      <w:r w:rsidR="00603495">
        <w:rPr>
          <w:rFonts w:ascii="Georgia" w:hAnsi="Georgia" w:cs="Arial"/>
          <w:szCs w:val="24"/>
        </w:rPr>
        <w:t xml:space="preserve">, </w:t>
      </w:r>
      <w:r w:rsidR="009C4E45">
        <w:rPr>
          <w:rFonts w:ascii="Georgia" w:hAnsi="Georgia" w:cs="Arial"/>
          <w:szCs w:val="24"/>
        </w:rPr>
        <w:t>estatuto aplicable al asunto, conforme al 625, i</w:t>
      </w:r>
      <w:r w:rsidR="009C4E45">
        <w:rPr>
          <w:rFonts w:ascii="Georgia" w:hAnsi="Georgia" w:cs="Arial"/>
          <w:i/>
          <w:sz w:val="22"/>
          <w:szCs w:val="24"/>
        </w:rPr>
        <w:t>bí</w:t>
      </w:r>
      <w:r w:rsidR="009C4E45" w:rsidRPr="009C4E45">
        <w:rPr>
          <w:rFonts w:ascii="Georgia" w:hAnsi="Georgia" w:cs="Arial"/>
          <w:i/>
          <w:sz w:val="22"/>
          <w:szCs w:val="24"/>
        </w:rPr>
        <w:t>dem</w:t>
      </w:r>
      <w:r w:rsidRPr="00EF69BA">
        <w:rPr>
          <w:rFonts w:ascii="Georgia" w:hAnsi="Georgia" w:cs="Arial"/>
          <w:szCs w:val="24"/>
          <w:lang w:val="es-MX"/>
        </w:rPr>
        <w:t>.</w:t>
      </w:r>
    </w:p>
    <w:p w:rsidR="005F7966" w:rsidRPr="00523F0F" w:rsidRDefault="005F7966" w:rsidP="00965470">
      <w:pPr>
        <w:pStyle w:val="Sinespaciado"/>
        <w:spacing w:line="360" w:lineRule="auto"/>
        <w:jc w:val="both"/>
        <w:rPr>
          <w:rFonts w:ascii="Georgia" w:hAnsi="Georgia" w:cs="Arial"/>
          <w:sz w:val="28"/>
        </w:rPr>
      </w:pPr>
    </w:p>
    <w:p w:rsidR="00D53890" w:rsidRDefault="00CD0CBF" w:rsidP="00D5329C">
      <w:pPr>
        <w:pStyle w:val="Sinespaciado"/>
        <w:spacing w:line="360" w:lineRule="auto"/>
        <w:jc w:val="both"/>
        <w:rPr>
          <w:rFonts w:ascii="Georgia" w:hAnsi="Georgia" w:cs="Arial"/>
          <w:szCs w:val="24"/>
        </w:rPr>
      </w:pPr>
      <w:r w:rsidRPr="00F53802">
        <w:rPr>
          <w:rFonts w:ascii="Georgia" w:hAnsi="Georgia" w:cs="Arial"/>
        </w:rPr>
        <w:t xml:space="preserve">Hecho </w:t>
      </w:r>
      <w:r w:rsidR="00BE4E53" w:rsidRPr="00F53802">
        <w:rPr>
          <w:rFonts w:ascii="Georgia" w:hAnsi="Georgia" w:cs="Arial"/>
        </w:rPr>
        <w:t xml:space="preserve">el examen preliminar </w:t>
      </w:r>
      <w:r w:rsidR="00BE4E53" w:rsidRPr="00F53802">
        <w:rPr>
          <w:rFonts w:ascii="Georgia" w:hAnsi="Georgia" w:cs="Arial"/>
          <w:szCs w:val="24"/>
        </w:rPr>
        <w:t>dispuesto por el artículo 3</w:t>
      </w:r>
      <w:r w:rsidR="005C434A" w:rsidRPr="00F53802">
        <w:rPr>
          <w:rFonts w:ascii="Georgia" w:hAnsi="Georgia" w:cs="Arial"/>
          <w:szCs w:val="24"/>
        </w:rPr>
        <w:t>25</w:t>
      </w:r>
      <w:r w:rsidR="00DB6B49">
        <w:rPr>
          <w:rFonts w:ascii="Georgia" w:hAnsi="Georgia" w:cs="Arial"/>
          <w:szCs w:val="24"/>
        </w:rPr>
        <w:t xml:space="preserve">, </w:t>
      </w:r>
      <w:r w:rsidR="009C4E45" w:rsidRPr="009C4E45">
        <w:rPr>
          <w:rFonts w:ascii="Georgia" w:hAnsi="Georgia" w:cs="Arial"/>
          <w:i/>
          <w:sz w:val="22"/>
          <w:szCs w:val="24"/>
        </w:rPr>
        <w:t>ibídem</w:t>
      </w:r>
      <w:r w:rsidR="00BE4E53" w:rsidRPr="00F53802">
        <w:rPr>
          <w:rFonts w:ascii="Georgia" w:hAnsi="Georgia" w:cs="Arial"/>
          <w:szCs w:val="24"/>
        </w:rPr>
        <w:t xml:space="preserve">, </w:t>
      </w:r>
      <w:r w:rsidR="003C771A" w:rsidRPr="00F53802">
        <w:rPr>
          <w:rFonts w:ascii="Georgia" w:hAnsi="Georgia" w:cs="Arial"/>
          <w:szCs w:val="24"/>
        </w:rPr>
        <w:t xml:space="preserve">se </w:t>
      </w:r>
      <w:r w:rsidR="00170D54" w:rsidRPr="00F53802">
        <w:rPr>
          <w:rFonts w:ascii="Georgia" w:hAnsi="Georgia" w:cs="Arial"/>
          <w:szCs w:val="24"/>
        </w:rPr>
        <w:t>advierte que, la</w:t>
      </w:r>
      <w:r w:rsidR="00170D54">
        <w:rPr>
          <w:rFonts w:ascii="Georgia" w:hAnsi="Georgia" w:cs="Arial"/>
          <w:szCs w:val="24"/>
        </w:rPr>
        <w:t xml:space="preserve"> decisión recurrida, de ninguna manera, hace parte de las </w:t>
      </w:r>
      <w:r>
        <w:rPr>
          <w:rFonts w:ascii="Georgia" w:hAnsi="Georgia" w:cs="Arial"/>
          <w:szCs w:val="24"/>
        </w:rPr>
        <w:t xml:space="preserve">enlistadas </w:t>
      </w:r>
      <w:r w:rsidR="00170D54">
        <w:rPr>
          <w:rFonts w:ascii="Georgia" w:hAnsi="Georgia" w:cs="Arial"/>
          <w:szCs w:val="24"/>
        </w:rPr>
        <w:t xml:space="preserve">como </w:t>
      </w:r>
      <w:r w:rsidR="004C3D53">
        <w:rPr>
          <w:rFonts w:ascii="Georgia" w:hAnsi="Georgia" w:cs="Arial"/>
          <w:szCs w:val="24"/>
        </w:rPr>
        <w:t xml:space="preserve">pasible </w:t>
      </w:r>
      <w:r w:rsidR="00170D54">
        <w:rPr>
          <w:rFonts w:ascii="Georgia" w:hAnsi="Georgia" w:cs="Arial"/>
          <w:szCs w:val="24"/>
        </w:rPr>
        <w:t>de apelación</w:t>
      </w:r>
      <w:r w:rsidR="00A66013">
        <w:rPr>
          <w:rFonts w:ascii="Georgia" w:hAnsi="Georgia" w:cs="Arial"/>
          <w:szCs w:val="24"/>
        </w:rPr>
        <w:t xml:space="preserve"> (</w:t>
      </w:r>
      <w:r w:rsidR="00A66013" w:rsidRPr="009C4E45">
        <w:rPr>
          <w:rFonts w:ascii="Georgia" w:hAnsi="Georgia" w:cs="Arial"/>
          <w:sz w:val="22"/>
          <w:szCs w:val="24"/>
        </w:rPr>
        <w:t>Artículo 321,</w:t>
      </w:r>
      <w:r w:rsidR="009C4E45" w:rsidRPr="009C4E45">
        <w:rPr>
          <w:rFonts w:ascii="Georgia" w:hAnsi="Georgia" w:cs="Arial"/>
          <w:sz w:val="22"/>
          <w:szCs w:val="24"/>
        </w:rPr>
        <w:t xml:space="preserve"> </w:t>
      </w:r>
      <w:r w:rsidR="009C4E45" w:rsidRPr="009C4E45">
        <w:rPr>
          <w:rFonts w:ascii="Georgia" w:hAnsi="Georgia" w:cs="Arial"/>
          <w:i/>
          <w:sz w:val="22"/>
          <w:szCs w:val="24"/>
        </w:rPr>
        <w:t>ibídem</w:t>
      </w:r>
      <w:r w:rsidR="00A66013">
        <w:rPr>
          <w:rFonts w:ascii="Georgia" w:hAnsi="Georgia" w:cs="Arial"/>
          <w:szCs w:val="24"/>
        </w:rPr>
        <w:t>)</w:t>
      </w:r>
      <w:r w:rsidR="00170D54">
        <w:rPr>
          <w:rFonts w:ascii="Georgia" w:hAnsi="Georgia" w:cs="Arial"/>
          <w:szCs w:val="24"/>
        </w:rPr>
        <w:t xml:space="preserve">, tampoco en las </w:t>
      </w:r>
      <w:r w:rsidR="00B96263">
        <w:rPr>
          <w:rFonts w:ascii="Georgia" w:hAnsi="Georgia" w:cs="Arial"/>
          <w:szCs w:val="24"/>
        </w:rPr>
        <w:t xml:space="preserve">reglas especiales </w:t>
      </w:r>
      <w:r>
        <w:rPr>
          <w:rFonts w:ascii="Georgia" w:hAnsi="Georgia" w:cs="Arial"/>
          <w:szCs w:val="24"/>
        </w:rPr>
        <w:t>d</w:t>
      </w:r>
      <w:r w:rsidR="00B96263">
        <w:rPr>
          <w:rFonts w:ascii="Georgia" w:hAnsi="Georgia" w:cs="Arial"/>
          <w:szCs w:val="24"/>
        </w:rPr>
        <w:t xml:space="preserve">el trámite </w:t>
      </w:r>
      <w:proofErr w:type="spellStart"/>
      <w:r w:rsidR="00B96263">
        <w:rPr>
          <w:rFonts w:ascii="Georgia" w:hAnsi="Georgia" w:cs="Arial"/>
          <w:szCs w:val="24"/>
        </w:rPr>
        <w:t>liquidatorio</w:t>
      </w:r>
      <w:proofErr w:type="spellEnd"/>
      <w:r w:rsidR="00B96263">
        <w:rPr>
          <w:rFonts w:ascii="Georgia" w:hAnsi="Georgia" w:cs="Arial"/>
          <w:szCs w:val="24"/>
        </w:rPr>
        <w:t xml:space="preserve"> </w:t>
      </w:r>
      <w:r w:rsidR="00170D54">
        <w:rPr>
          <w:rFonts w:ascii="Georgia" w:hAnsi="Georgia" w:cs="Arial"/>
          <w:szCs w:val="24"/>
        </w:rPr>
        <w:t>(</w:t>
      </w:r>
      <w:r w:rsidR="00170D54" w:rsidRPr="009C4E45">
        <w:rPr>
          <w:rFonts w:ascii="Georgia" w:hAnsi="Georgia" w:cs="Arial"/>
          <w:sz w:val="22"/>
          <w:szCs w:val="24"/>
        </w:rPr>
        <w:t xml:space="preserve">Artículo </w:t>
      </w:r>
      <w:r w:rsidR="00F53802" w:rsidRPr="009C4E45">
        <w:rPr>
          <w:rFonts w:ascii="Georgia" w:hAnsi="Georgia" w:cs="Arial"/>
          <w:sz w:val="22"/>
          <w:szCs w:val="24"/>
        </w:rPr>
        <w:t xml:space="preserve">501 y </w:t>
      </w:r>
      <w:proofErr w:type="spellStart"/>
      <w:r w:rsidR="00F53802" w:rsidRPr="009C4E45">
        <w:rPr>
          <w:rFonts w:ascii="Georgia" w:hAnsi="Georgia" w:cs="Arial"/>
          <w:sz w:val="22"/>
          <w:szCs w:val="24"/>
        </w:rPr>
        <w:t>ss</w:t>
      </w:r>
      <w:proofErr w:type="spellEnd"/>
      <w:r w:rsidR="00F53802" w:rsidRPr="009C4E45">
        <w:rPr>
          <w:rFonts w:ascii="Georgia" w:hAnsi="Georgia" w:cs="Arial"/>
          <w:sz w:val="22"/>
          <w:szCs w:val="24"/>
        </w:rPr>
        <w:t>,</w:t>
      </w:r>
      <w:r w:rsidR="00F53802">
        <w:rPr>
          <w:rFonts w:ascii="Georgia" w:hAnsi="Georgia" w:cs="Arial"/>
          <w:szCs w:val="24"/>
        </w:rPr>
        <w:t xml:space="preserve"> </w:t>
      </w:r>
      <w:r w:rsidR="009C4E45" w:rsidRPr="009C4E45">
        <w:rPr>
          <w:rFonts w:ascii="Georgia" w:hAnsi="Georgia" w:cs="Arial"/>
          <w:i/>
          <w:sz w:val="22"/>
          <w:szCs w:val="24"/>
        </w:rPr>
        <w:t>ídem</w:t>
      </w:r>
      <w:r w:rsidR="00F53802">
        <w:rPr>
          <w:rFonts w:ascii="Georgia" w:hAnsi="Georgia" w:cs="Arial"/>
          <w:szCs w:val="24"/>
        </w:rPr>
        <w:t>)</w:t>
      </w:r>
      <w:r>
        <w:rPr>
          <w:rFonts w:ascii="Georgia" w:hAnsi="Georgia" w:cs="Arial"/>
          <w:szCs w:val="24"/>
        </w:rPr>
        <w:t xml:space="preserve">, ni se trata de la decisión de </w:t>
      </w:r>
      <w:r w:rsidR="00F00F4D" w:rsidRPr="00F00F4D">
        <w:rPr>
          <w:rFonts w:ascii="Georgia" w:hAnsi="Georgia" w:cs="Arial"/>
          <w:szCs w:val="24"/>
        </w:rPr>
        <w:t>un incidente (</w:t>
      </w:r>
      <w:r w:rsidR="00F00F4D" w:rsidRPr="00F00F4D">
        <w:rPr>
          <w:rFonts w:ascii="Georgia" w:hAnsi="Georgia" w:cs="Arial"/>
          <w:sz w:val="22"/>
          <w:szCs w:val="24"/>
        </w:rPr>
        <w:t xml:space="preserve">Artículo 321-5º, </w:t>
      </w:r>
      <w:r w:rsidR="009C4E45" w:rsidRPr="009C4E45">
        <w:rPr>
          <w:rFonts w:ascii="Georgia" w:hAnsi="Georgia" w:cs="Arial"/>
          <w:i/>
          <w:sz w:val="22"/>
          <w:szCs w:val="24"/>
        </w:rPr>
        <w:t>ídem</w:t>
      </w:r>
      <w:r w:rsidR="00F00F4D" w:rsidRPr="00F00F4D">
        <w:rPr>
          <w:rFonts w:ascii="Georgia" w:hAnsi="Georgia" w:cs="Arial"/>
          <w:szCs w:val="24"/>
        </w:rPr>
        <w:t>)</w:t>
      </w:r>
      <w:r w:rsidR="00F00F4D">
        <w:rPr>
          <w:rFonts w:ascii="Georgia" w:hAnsi="Georgia" w:cs="Arial"/>
          <w:szCs w:val="24"/>
        </w:rPr>
        <w:t xml:space="preserve">, </w:t>
      </w:r>
      <w:r w:rsidR="009800D0">
        <w:rPr>
          <w:rFonts w:ascii="Georgia" w:hAnsi="Georgia" w:cs="Arial"/>
          <w:szCs w:val="24"/>
        </w:rPr>
        <w:t xml:space="preserve">como lo </w:t>
      </w:r>
      <w:r w:rsidR="00F00F4D">
        <w:rPr>
          <w:rFonts w:ascii="Georgia" w:hAnsi="Georgia" w:cs="Arial"/>
          <w:szCs w:val="24"/>
        </w:rPr>
        <w:t xml:space="preserve">interpretan </w:t>
      </w:r>
      <w:r w:rsidR="00DB6B49">
        <w:rPr>
          <w:rFonts w:ascii="Georgia" w:hAnsi="Georgia" w:cs="Arial"/>
          <w:szCs w:val="24"/>
        </w:rPr>
        <w:t>los solicitantes (</w:t>
      </w:r>
      <w:r w:rsidR="00DB6B49" w:rsidRPr="009C4E45">
        <w:rPr>
          <w:rFonts w:ascii="Georgia" w:hAnsi="Georgia" w:cs="Arial"/>
          <w:sz w:val="22"/>
          <w:szCs w:val="24"/>
        </w:rPr>
        <w:t>Inciso final, folio 57, copias del cuaderno principal</w:t>
      </w:r>
      <w:r w:rsidR="00DB6B49" w:rsidRPr="00F00F4D">
        <w:rPr>
          <w:rFonts w:ascii="Georgia" w:hAnsi="Georgia" w:cs="Arial"/>
          <w:szCs w:val="24"/>
        </w:rPr>
        <w:t>)</w:t>
      </w:r>
      <w:r>
        <w:rPr>
          <w:rFonts w:ascii="Georgia" w:hAnsi="Georgia" w:cs="Arial"/>
          <w:szCs w:val="24"/>
        </w:rPr>
        <w:t xml:space="preserve">. </w:t>
      </w:r>
    </w:p>
    <w:p w:rsidR="00D53890" w:rsidRDefault="00D53890" w:rsidP="00D5329C">
      <w:pPr>
        <w:pStyle w:val="Sinespaciado"/>
        <w:spacing w:line="360" w:lineRule="auto"/>
        <w:jc w:val="both"/>
        <w:rPr>
          <w:rFonts w:ascii="Georgia" w:hAnsi="Georgia" w:cs="Arial"/>
          <w:szCs w:val="24"/>
        </w:rPr>
      </w:pPr>
    </w:p>
    <w:p w:rsidR="00E50518" w:rsidRDefault="004A31C8" w:rsidP="00D5329C">
      <w:pPr>
        <w:pStyle w:val="Sinespaciado"/>
        <w:spacing w:line="360" w:lineRule="auto"/>
        <w:jc w:val="both"/>
        <w:rPr>
          <w:rFonts w:ascii="Georgia" w:hAnsi="Georgia" w:cs="Arial"/>
          <w:szCs w:val="24"/>
        </w:rPr>
      </w:pPr>
      <w:r>
        <w:rPr>
          <w:rFonts w:ascii="Georgia" w:hAnsi="Georgia" w:cs="Arial"/>
          <w:szCs w:val="24"/>
        </w:rPr>
        <w:t xml:space="preserve">La objeción formulada contra el inventario y avalúo de bienes, fue </w:t>
      </w:r>
      <w:r w:rsidR="006C148D">
        <w:rPr>
          <w:rFonts w:ascii="Georgia" w:hAnsi="Georgia" w:cs="Arial"/>
          <w:szCs w:val="24"/>
        </w:rPr>
        <w:t>resuelt</w:t>
      </w:r>
      <w:r>
        <w:rPr>
          <w:rFonts w:ascii="Georgia" w:hAnsi="Georgia" w:cs="Arial"/>
          <w:szCs w:val="24"/>
        </w:rPr>
        <w:t>a</w:t>
      </w:r>
      <w:r w:rsidR="006C148D">
        <w:rPr>
          <w:rFonts w:ascii="Georgia" w:hAnsi="Georgia" w:cs="Arial"/>
          <w:szCs w:val="24"/>
        </w:rPr>
        <w:t xml:space="preserve"> en proveído de 21-06-2017 (</w:t>
      </w:r>
      <w:r w:rsidR="006C148D" w:rsidRPr="00A66013">
        <w:rPr>
          <w:rFonts w:ascii="Georgia" w:hAnsi="Georgia" w:cs="Arial"/>
          <w:sz w:val="22"/>
          <w:szCs w:val="24"/>
        </w:rPr>
        <w:t xml:space="preserve">Folios 1 y 2, </w:t>
      </w:r>
      <w:r w:rsidR="006C148D">
        <w:rPr>
          <w:rFonts w:ascii="Georgia" w:hAnsi="Georgia" w:cs="Arial"/>
          <w:sz w:val="22"/>
          <w:szCs w:val="24"/>
        </w:rPr>
        <w:t xml:space="preserve">copias </w:t>
      </w:r>
      <w:r w:rsidR="006C148D" w:rsidRPr="00A66013">
        <w:rPr>
          <w:rFonts w:ascii="Georgia" w:hAnsi="Georgia" w:cs="Arial"/>
          <w:sz w:val="22"/>
          <w:szCs w:val="24"/>
        </w:rPr>
        <w:t>cuaderno de incidente</w:t>
      </w:r>
      <w:r w:rsidR="006C148D">
        <w:rPr>
          <w:rFonts w:ascii="Georgia" w:hAnsi="Georgia" w:cs="Arial"/>
          <w:szCs w:val="24"/>
        </w:rPr>
        <w:t>)</w:t>
      </w:r>
      <w:r>
        <w:rPr>
          <w:rFonts w:ascii="Georgia" w:hAnsi="Georgia" w:cs="Arial"/>
          <w:szCs w:val="24"/>
        </w:rPr>
        <w:t xml:space="preserve">, con la exclusión de una partida diferente a la citada en el auto impugnado, pues esta última ni siquiera parece haber sido rebatida, </w:t>
      </w:r>
      <w:r w:rsidR="00D53890">
        <w:rPr>
          <w:rFonts w:ascii="Georgia" w:hAnsi="Georgia" w:cs="Arial"/>
          <w:szCs w:val="24"/>
        </w:rPr>
        <w:lastRenderedPageBreak/>
        <w:t xml:space="preserve">luego de </w:t>
      </w:r>
      <w:r>
        <w:rPr>
          <w:rFonts w:ascii="Georgia" w:hAnsi="Georgia" w:cs="Arial"/>
          <w:szCs w:val="24"/>
        </w:rPr>
        <w:t xml:space="preserve">los </w:t>
      </w:r>
      <w:r w:rsidR="00D53890">
        <w:rPr>
          <w:rFonts w:ascii="Georgia" w:hAnsi="Georgia" w:cs="Arial"/>
          <w:szCs w:val="24"/>
        </w:rPr>
        <w:t xml:space="preserve">respectivos </w:t>
      </w:r>
      <w:r>
        <w:rPr>
          <w:rFonts w:ascii="Georgia" w:hAnsi="Georgia" w:cs="Arial"/>
          <w:szCs w:val="24"/>
        </w:rPr>
        <w:t>traslados</w:t>
      </w:r>
      <w:r w:rsidR="00D53890">
        <w:rPr>
          <w:rFonts w:ascii="Georgia" w:hAnsi="Georgia" w:cs="Arial"/>
          <w:szCs w:val="24"/>
        </w:rPr>
        <w:t xml:space="preserve"> (</w:t>
      </w:r>
      <w:r w:rsidR="00D53890" w:rsidRPr="00D53890">
        <w:rPr>
          <w:rFonts w:ascii="Georgia" w:hAnsi="Georgia" w:cs="Arial"/>
          <w:sz w:val="22"/>
          <w:szCs w:val="22"/>
        </w:rPr>
        <w:t>Folios 20 y 45, copias del cuaderno principal</w:t>
      </w:r>
      <w:r w:rsidR="00D53890" w:rsidRPr="00F00F4D">
        <w:rPr>
          <w:rFonts w:ascii="Georgia" w:hAnsi="Georgia" w:cs="Arial"/>
          <w:szCs w:val="24"/>
        </w:rPr>
        <w:t>)</w:t>
      </w:r>
      <w:r w:rsidR="00D53890">
        <w:rPr>
          <w:rFonts w:ascii="Georgia" w:hAnsi="Georgia" w:cs="Arial"/>
          <w:szCs w:val="24"/>
        </w:rPr>
        <w:t>, no obra objeción frente a ella.</w:t>
      </w:r>
      <w:r>
        <w:rPr>
          <w:rFonts w:ascii="Georgia" w:hAnsi="Georgia" w:cs="Arial"/>
          <w:szCs w:val="24"/>
        </w:rPr>
        <w:t xml:space="preserve"> </w:t>
      </w:r>
    </w:p>
    <w:p w:rsidR="00E50518" w:rsidRDefault="00E50518" w:rsidP="00D5329C">
      <w:pPr>
        <w:pStyle w:val="Sinespaciado"/>
        <w:spacing w:line="360" w:lineRule="auto"/>
        <w:jc w:val="both"/>
        <w:rPr>
          <w:rFonts w:ascii="Georgia" w:hAnsi="Georgia" w:cs="Arial"/>
          <w:szCs w:val="24"/>
        </w:rPr>
      </w:pPr>
    </w:p>
    <w:p w:rsidR="00311E48" w:rsidRPr="00311E48" w:rsidRDefault="004C3D53" w:rsidP="00311E48">
      <w:pPr>
        <w:pStyle w:val="Sinespaciado"/>
        <w:spacing w:line="360" w:lineRule="auto"/>
        <w:jc w:val="both"/>
        <w:rPr>
          <w:rFonts w:ascii="Georgia" w:hAnsi="Georgia" w:cs="Arial"/>
          <w:szCs w:val="24"/>
        </w:rPr>
      </w:pPr>
      <w:r w:rsidRPr="00F00F4D">
        <w:rPr>
          <w:rFonts w:ascii="Georgia" w:hAnsi="Georgia" w:cs="Arial"/>
          <w:szCs w:val="24"/>
        </w:rPr>
        <w:t xml:space="preserve">El </w:t>
      </w:r>
      <w:r w:rsidR="00CD0CBF" w:rsidRPr="00F00F4D">
        <w:rPr>
          <w:rFonts w:ascii="Georgia" w:hAnsi="Georgia" w:cs="Arial"/>
          <w:szCs w:val="24"/>
        </w:rPr>
        <w:t>juzgado de conocimiento</w:t>
      </w:r>
      <w:r w:rsidR="00CD0CBF">
        <w:rPr>
          <w:rFonts w:ascii="Georgia" w:hAnsi="Georgia" w:cs="Arial"/>
          <w:szCs w:val="24"/>
        </w:rPr>
        <w:t xml:space="preserve"> </w:t>
      </w:r>
      <w:r w:rsidR="00CD0CBF" w:rsidRPr="00F00F4D">
        <w:rPr>
          <w:rFonts w:ascii="Georgia" w:hAnsi="Georgia" w:cs="Arial"/>
          <w:szCs w:val="24"/>
        </w:rPr>
        <w:t xml:space="preserve">omitió </w:t>
      </w:r>
      <w:r w:rsidR="00311E48">
        <w:rPr>
          <w:rFonts w:ascii="Georgia" w:hAnsi="Georgia" w:cs="Arial"/>
          <w:szCs w:val="24"/>
        </w:rPr>
        <w:t xml:space="preserve">citar </w:t>
      </w:r>
      <w:r w:rsidR="00CD0CBF">
        <w:rPr>
          <w:rFonts w:ascii="Georgia" w:hAnsi="Georgia" w:cs="Arial"/>
          <w:szCs w:val="24"/>
        </w:rPr>
        <w:t xml:space="preserve">la </w:t>
      </w:r>
      <w:r w:rsidR="00CD0CBF" w:rsidRPr="00F00F4D">
        <w:rPr>
          <w:rFonts w:ascii="Georgia" w:hAnsi="Georgia" w:cs="Arial"/>
          <w:szCs w:val="24"/>
        </w:rPr>
        <w:t xml:space="preserve">norma </w:t>
      </w:r>
      <w:r>
        <w:rPr>
          <w:rFonts w:ascii="Georgia" w:hAnsi="Georgia" w:cs="Arial"/>
          <w:szCs w:val="24"/>
        </w:rPr>
        <w:t>de sustento de</w:t>
      </w:r>
      <w:r w:rsidR="00CD0CBF">
        <w:rPr>
          <w:rFonts w:ascii="Georgia" w:hAnsi="Georgia" w:cs="Arial"/>
          <w:szCs w:val="24"/>
        </w:rPr>
        <w:t xml:space="preserve"> </w:t>
      </w:r>
      <w:r w:rsidR="00CD0CBF" w:rsidRPr="00F00F4D">
        <w:rPr>
          <w:rFonts w:ascii="Georgia" w:hAnsi="Georgia" w:cs="Arial"/>
          <w:szCs w:val="24"/>
        </w:rPr>
        <w:t>la alzada</w:t>
      </w:r>
      <w:r w:rsidR="00311E48">
        <w:rPr>
          <w:rFonts w:ascii="Georgia" w:hAnsi="Georgia" w:cs="Arial"/>
          <w:szCs w:val="24"/>
        </w:rPr>
        <w:t xml:space="preserve">, </w:t>
      </w:r>
      <w:r w:rsidR="00E50518">
        <w:rPr>
          <w:rFonts w:ascii="Georgia" w:hAnsi="Georgia" w:cs="Arial"/>
          <w:szCs w:val="24"/>
        </w:rPr>
        <w:t xml:space="preserve">faltó </w:t>
      </w:r>
      <w:r w:rsidR="00E50518" w:rsidRPr="00823F31">
        <w:rPr>
          <w:rFonts w:ascii="Georgia" w:hAnsi="Georgia" w:cs="Arial"/>
          <w:szCs w:val="24"/>
        </w:rPr>
        <w:t>rigor y cuidado</w:t>
      </w:r>
      <w:r w:rsidR="00311E48">
        <w:rPr>
          <w:rFonts w:ascii="Georgia" w:hAnsi="Georgia" w:cs="Arial"/>
          <w:szCs w:val="24"/>
        </w:rPr>
        <w:t>,</w:t>
      </w:r>
      <w:r w:rsidR="00E50518" w:rsidRPr="00823F31">
        <w:rPr>
          <w:rFonts w:ascii="Georgia" w:hAnsi="Georgia" w:cs="Arial"/>
          <w:szCs w:val="24"/>
        </w:rPr>
        <w:t xml:space="preserve"> para controlar la legalidad de la concesión del recurso, sin parar mientes en que así, genera dilaciones injustificadas, que obstruyen la celeridad del trámite procedimental.</w:t>
      </w:r>
      <w:r w:rsidR="00311E48">
        <w:rPr>
          <w:rFonts w:ascii="Georgia" w:hAnsi="Georgia" w:cs="Arial"/>
          <w:szCs w:val="24"/>
        </w:rPr>
        <w:t xml:space="preserve"> </w:t>
      </w:r>
    </w:p>
    <w:p w:rsidR="00311E48" w:rsidRPr="00823F31" w:rsidRDefault="00311E48" w:rsidP="00E50518">
      <w:pPr>
        <w:pStyle w:val="Sinespaciado"/>
        <w:spacing w:line="360" w:lineRule="auto"/>
        <w:jc w:val="both"/>
        <w:rPr>
          <w:rFonts w:ascii="Georgia" w:hAnsi="Georgia" w:cs="Arial"/>
          <w:szCs w:val="24"/>
        </w:rPr>
      </w:pPr>
    </w:p>
    <w:p w:rsidR="00311E48" w:rsidRPr="00311E48" w:rsidRDefault="00E75B0E" w:rsidP="00311E48">
      <w:pPr>
        <w:pStyle w:val="Sinespaciado"/>
        <w:spacing w:line="360" w:lineRule="auto"/>
        <w:jc w:val="both"/>
        <w:rPr>
          <w:rFonts w:ascii="Georgia" w:hAnsi="Georgia" w:cs="Arial"/>
          <w:szCs w:val="24"/>
        </w:rPr>
      </w:pPr>
      <w:r w:rsidRPr="00EF69BA">
        <w:rPr>
          <w:rFonts w:ascii="Georgia" w:hAnsi="Georgia" w:cs="Arial"/>
        </w:rPr>
        <w:t xml:space="preserve">Así las cosas, </w:t>
      </w:r>
      <w:r w:rsidR="00311E48">
        <w:rPr>
          <w:rFonts w:ascii="Georgia" w:hAnsi="Georgia" w:cs="Arial"/>
          <w:szCs w:val="24"/>
        </w:rPr>
        <w:t xml:space="preserve">ante la improcedencia, se </w:t>
      </w:r>
      <w:r w:rsidR="00311E48">
        <w:rPr>
          <w:rFonts w:ascii="Georgia" w:hAnsi="Georgia" w:cs="Arial"/>
        </w:rPr>
        <w:t xml:space="preserve">declarará </w:t>
      </w:r>
      <w:r w:rsidRPr="00EF69BA">
        <w:rPr>
          <w:rFonts w:ascii="Georgia" w:hAnsi="Georgia" w:cs="Arial"/>
        </w:rPr>
        <w:t xml:space="preserve">la </w:t>
      </w:r>
      <w:r w:rsidR="00FF09E8" w:rsidRPr="00EF69BA">
        <w:rPr>
          <w:rFonts w:ascii="Georgia" w:hAnsi="Georgia" w:cs="Arial"/>
          <w:szCs w:val="24"/>
        </w:rPr>
        <w:t xml:space="preserve">inadmisibilidad </w:t>
      </w:r>
      <w:r w:rsidRPr="00EF69BA">
        <w:rPr>
          <w:rFonts w:ascii="Georgia" w:hAnsi="Georgia" w:cs="Arial"/>
        </w:rPr>
        <w:t>del recurso</w:t>
      </w:r>
      <w:r w:rsidR="004C3D53">
        <w:rPr>
          <w:rFonts w:ascii="Georgia" w:hAnsi="Georgia" w:cs="Arial"/>
        </w:rPr>
        <w:t xml:space="preserve">; </w:t>
      </w:r>
      <w:r w:rsidR="00311E48">
        <w:rPr>
          <w:rFonts w:ascii="Georgia" w:hAnsi="Georgia" w:cs="Arial"/>
        </w:rPr>
        <w:t>sin perjuicio de reconocer</w:t>
      </w:r>
      <w:r w:rsidR="00311E48">
        <w:rPr>
          <w:rFonts w:ascii="Georgia" w:hAnsi="Georgia" w:cs="Arial"/>
          <w:szCs w:val="24"/>
        </w:rPr>
        <w:t>, que resultaba impropio resolver en la decisión reprochada, sobre el valor de uno de los bienes inventari</w:t>
      </w:r>
      <w:r w:rsidR="00A66013">
        <w:rPr>
          <w:rFonts w:ascii="Georgia" w:hAnsi="Georgia" w:cs="Arial"/>
          <w:szCs w:val="24"/>
        </w:rPr>
        <w:t xml:space="preserve">ados </w:t>
      </w:r>
      <w:r w:rsidR="00311E48">
        <w:rPr>
          <w:rFonts w:ascii="Georgia" w:hAnsi="Georgia" w:cs="Arial"/>
          <w:szCs w:val="24"/>
        </w:rPr>
        <w:t xml:space="preserve">y </w:t>
      </w:r>
      <w:r w:rsidR="00A66013">
        <w:rPr>
          <w:rFonts w:ascii="Georgia" w:hAnsi="Georgia" w:cs="Arial"/>
          <w:szCs w:val="24"/>
        </w:rPr>
        <w:t xml:space="preserve">avaluados, </w:t>
      </w:r>
      <w:r w:rsidR="004A31C8">
        <w:rPr>
          <w:rFonts w:ascii="Georgia" w:hAnsi="Georgia" w:cs="Arial"/>
          <w:szCs w:val="24"/>
        </w:rPr>
        <w:t xml:space="preserve">cuya diligencia, se itera, ya había sido </w:t>
      </w:r>
      <w:proofErr w:type="gramStart"/>
      <w:r w:rsidR="004A31C8">
        <w:rPr>
          <w:rFonts w:ascii="Georgia" w:hAnsi="Georgia" w:cs="Arial"/>
          <w:szCs w:val="24"/>
        </w:rPr>
        <w:t>aprobada</w:t>
      </w:r>
      <w:proofErr w:type="gramEnd"/>
      <w:r w:rsidR="004A31C8">
        <w:rPr>
          <w:rFonts w:ascii="Georgia" w:hAnsi="Georgia" w:cs="Arial"/>
          <w:szCs w:val="24"/>
        </w:rPr>
        <w:t xml:space="preserve">. </w:t>
      </w:r>
    </w:p>
    <w:p w:rsidR="00CD0CBF" w:rsidRPr="00523F0F" w:rsidRDefault="00E75B0E" w:rsidP="00965470">
      <w:pPr>
        <w:pStyle w:val="Sinespaciado"/>
        <w:spacing w:line="360" w:lineRule="auto"/>
        <w:jc w:val="both"/>
        <w:rPr>
          <w:rFonts w:ascii="Georgia" w:hAnsi="Georgia" w:cs="Arial"/>
          <w:sz w:val="28"/>
        </w:rPr>
      </w:pPr>
      <w:r w:rsidRPr="00EF69BA">
        <w:rPr>
          <w:rFonts w:ascii="Georgia" w:hAnsi="Georgia" w:cs="Arial"/>
        </w:rPr>
        <w:t xml:space="preserve"> </w:t>
      </w:r>
    </w:p>
    <w:p w:rsidR="001D1A4A" w:rsidRPr="00523F0F" w:rsidRDefault="001D1A4A" w:rsidP="001D1A4A">
      <w:pPr>
        <w:pStyle w:val="Textopredeterminado"/>
        <w:numPr>
          <w:ilvl w:val="0"/>
          <w:numId w:val="3"/>
        </w:numPr>
        <w:spacing w:line="360" w:lineRule="auto"/>
        <w:jc w:val="both"/>
        <w:rPr>
          <w:rFonts w:ascii="Georgia" w:hAnsi="Georgia" w:cs="Arial"/>
          <w:smallCaps/>
          <w:szCs w:val="24"/>
        </w:rPr>
      </w:pPr>
      <w:r w:rsidRPr="00523F0F">
        <w:rPr>
          <w:rFonts w:ascii="Georgia" w:hAnsi="Georgia" w:cs="Arial"/>
          <w:smallCaps/>
          <w:sz w:val="28"/>
          <w:szCs w:val="24"/>
        </w:rPr>
        <w:t>L</w:t>
      </w:r>
      <w:r w:rsidRPr="00523F0F">
        <w:rPr>
          <w:rFonts w:ascii="Georgia" w:hAnsi="Georgia" w:cs="Arial"/>
          <w:smallCaps/>
          <w:sz w:val="22"/>
          <w:szCs w:val="24"/>
        </w:rPr>
        <w:t>AS DECISIONES FINALES</w:t>
      </w:r>
    </w:p>
    <w:p w:rsidR="001D1A4A" w:rsidRPr="00EF69BA" w:rsidRDefault="001D1A4A" w:rsidP="001D1A4A">
      <w:pPr>
        <w:pStyle w:val="Textoindependiente"/>
        <w:spacing w:line="360" w:lineRule="auto"/>
        <w:ind w:right="51"/>
        <w:rPr>
          <w:rFonts w:ascii="Georgia" w:hAnsi="Georgia"/>
          <w:sz w:val="20"/>
          <w:szCs w:val="22"/>
          <w:lang w:val="es-CO"/>
        </w:rPr>
      </w:pPr>
    </w:p>
    <w:p w:rsidR="001D1A4A" w:rsidRPr="00EF69BA" w:rsidRDefault="001D1A4A" w:rsidP="00575FFF">
      <w:pPr>
        <w:pStyle w:val="Textoindependiente"/>
        <w:spacing w:line="360" w:lineRule="auto"/>
        <w:rPr>
          <w:rFonts w:ascii="Georgia" w:hAnsi="Georgia" w:cs="Arial"/>
          <w:szCs w:val="24"/>
        </w:rPr>
      </w:pPr>
      <w:r w:rsidRPr="00EF69BA">
        <w:rPr>
          <w:rFonts w:ascii="Georgia" w:hAnsi="Georgia"/>
          <w:szCs w:val="24"/>
          <w:lang w:val="es-CO"/>
        </w:rPr>
        <w:t xml:space="preserve">En armonía con las premisas expuestas, </w:t>
      </w:r>
      <w:r w:rsidRPr="00EF69BA">
        <w:rPr>
          <w:rFonts w:ascii="Georgia" w:hAnsi="Georgia" w:cs="Arial"/>
          <w:szCs w:val="24"/>
        </w:rPr>
        <w:t xml:space="preserve">se declarará la inadmisibilidad del recurso de apelación </w:t>
      </w:r>
      <w:r w:rsidR="003D2C67">
        <w:rPr>
          <w:rFonts w:ascii="Georgia" w:hAnsi="Georgia" w:cs="Arial"/>
          <w:szCs w:val="24"/>
        </w:rPr>
        <w:t>propuesto</w:t>
      </w:r>
      <w:r w:rsidRPr="00EF69BA">
        <w:rPr>
          <w:rFonts w:ascii="Georgia" w:hAnsi="Georgia" w:cs="Arial"/>
          <w:szCs w:val="24"/>
        </w:rPr>
        <w:t>, atendida su improcedencia, como atrás se dijera.</w:t>
      </w:r>
    </w:p>
    <w:p w:rsidR="00BC2E4F" w:rsidRPr="00523F0F" w:rsidRDefault="00BC2E4F" w:rsidP="00575FFF">
      <w:pPr>
        <w:pStyle w:val="Textoindependiente"/>
        <w:spacing w:line="360" w:lineRule="auto"/>
        <w:rPr>
          <w:rFonts w:ascii="Georgia" w:hAnsi="Georgia" w:cs="Arial"/>
          <w:sz w:val="28"/>
          <w:szCs w:val="24"/>
        </w:rPr>
      </w:pPr>
    </w:p>
    <w:p w:rsidR="000F4FD9" w:rsidRPr="00EF69BA" w:rsidRDefault="000F4FD9" w:rsidP="00575FFF">
      <w:pPr>
        <w:autoSpaceDE w:val="0"/>
        <w:autoSpaceDN w:val="0"/>
        <w:adjustRightInd w:val="0"/>
        <w:spacing w:line="360" w:lineRule="auto"/>
        <w:jc w:val="both"/>
        <w:rPr>
          <w:rFonts w:ascii="Georgia" w:hAnsi="Georgia" w:cs="Arial"/>
          <w:sz w:val="24"/>
          <w:szCs w:val="24"/>
        </w:rPr>
      </w:pPr>
      <w:r w:rsidRPr="00EF69BA">
        <w:rPr>
          <w:rFonts w:ascii="Georgia" w:hAnsi="Georgia" w:cs="Arial"/>
          <w:sz w:val="24"/>
          <w:szCs w:val="24"/>
        </w:rPr>
        <w:t xml:space="preserve">Considerando suficientes los argumentos expuestos en esta providencia, el </w:t>
      </w:r>
      <w:r w:rsidRPr="00EF69BA">
        <w:rPr>
          <w:rFonts w:ascii="Georgia" w:hAnsi="Georgia" w:cs="Arial"/>
          <w:bCs/>
          <w:smallCaps/>
          <w:sz w:val="24"/>
          <w:szCs w:val="24"/>
        </w:rPr>
        <w:t xml:space="preserve">Tribunal Superior del Distrito Judicial de Pereira, en Sala </w:t>
      </w:r>
      <w:r w:rsidR="00FC0999" w:rsidRPr="00EF69BA">
        <w:rPr>
          <w:rFonts w:ascii="Georgia" w:hAnsi="Georgia" w:cs="Arial"/>
          <w:bCs/>
          <w:smallCaps/>
          <w:sz w:val="24"/>
          <w:szCs w:val="24"/>
        </w:rPr>
        <w:t>Unitaria</w:t>
      </w:r>
      <w:r w:rsidRPr="00EF69BA">
        <w:rPr>
          <w:rFonts w:ascii="Georgia" w:hAnsi="Georgia" w:cs="Arial"/>
          <w:sz w:val="24"/>
          <w:szCs w:val="24"/>
        </w:rPr>
        <w:t>,</w:t>
      </w:r>
    </w:p>
    <w:p w:rsidR="00575FFF" w:rsidRPr="00EF69BA" w:rsidRDefault="00575FFF" w:rsidP="00575FFF">
      <w:pPr>
        <w:autoSpaceDE w:val="0"/>
        <w:autoSpaceDN w:val="0"/>
        <w:adjustRightInd w:val="0"/>
        <w:spacing w:line="360" w:lineRule="auto"/>
        <w:jc w:val="both"/>
        <w:rPr>
          <w:rFonts w:ascii="Georgia" w:hAnsi="Georgia" w:cs="Arial"/>
          <w:sz w:val="24"/>
          <w:szCs w:val="24"/>
          <w:lang w:val="es-ES_tradnl"/>
        </w:rPr>
      </w:pPr>
    </w:p>
    <w:p w:rsidR="000F4FD9" w:rsidRPr="00EF69BA" w:rsidRDefault="000F4FD9" w:rsidP="00310452">
      <w:pPr>
        <w:pStyle w:val="Sinespaciado"/>
        <w:spacing w:line="360" w:lineRule="auto"/>
        <w:jc w:val="center"/>
        <w:rPr>
          <w:rFonts w:ascii="Georgia" w:hAnsi="Georgia" w:cs="Arial"/>
          <w:sz w:val="20"/>
          <w:szCs w:val="22"/>
        </w:rPr>
      </w:pPr>
      <w:r w:rsidRPr="00EF69BA">
        <w:rPr>
          <w:rFonts w:ascii="Georgia" w:hAnsi="Georgia" w:cs="Arial"/>
          <w:szCs w:val="22"/>
        </w:rPr>
        <w:t>R</w:t>
      </w:r>
      <w:r w:rsidRPr="00EF69BA">
        <w:rPr>
          <w:rFonts w:ascii="Georgia" w:hAnsi="Georgia" w:cs="Arial"/>
          <w:sz w:val="22"/>
          <w:szCs w:val="22"/>
        </w:rPr>
        <w:t xml:space="preserve"> </w:t>
      </w:r>
      <w:r w:rsidRPr="00EF69BA">
        <w:rPr>
          <w:rFonts w:ascii="Georgia" w:hAnsi="Georgia" w:cs="Arial"/>
          <w:sz w:val="20"/>
          <w:szCs w:val="22"/>
        </w:rPr>
        <w:t>E S U E L V E,</w:t>
      </w:r>
    </w:p>
    <w:p w:rsidR="000F4FD9" w:rsidRPr="00EF69BA" w:rsidRDefault="000F4FD9" w:rsidP="00310452">
      <w:pPr>
        <w:pStyle w:val="Sinespaciado"/>
        <w:spacing w:line="360" w:lineRule="auto"/>
        <w:jc w:val="center"/>
        <w:rPr>
          <w:rFonts w:ascii="Georgia" w:hAnsi="Georgia" w:cs="Arial"/>
          <w:szCs w:val="24"/>
        </w:rPr>
      </w:pPr>
    </w:p>
    <w:p w:rsidR="000F4FD9" w:rsidRPr="00D53890" w:rsidRDefault="000F4FD9" w:rsidP="00D53890">
      <w:pPr>
        <w:pStyle w:val="Textopredeterminado"/>
        <w:numPr>
          <w:ilvl w:val="0"/>
          <w:numId w:val="2"/>
        </w:numPr>
        <w:spacing w:line="360" w:lineRule="auto"/>
        <w:jc w:val="both"/>
        <w:rPr>
          <w:rFonts w:ascii="Georgia" w:hAnsi="Georgia" w:cs="Arial"/>
          <w:szCs w:val="24"/>
        </w:rPr>
      </w:pPr>
      <w:r w:rsidRPr="00D53890">
        <w:rPr>
          <w:rFonts w:ascii="Georgia" w:hAnsi="Georgia" w:cs="Arial"/>
          <w:szCs w:val="24"/>
        </w:rPr>
        <w:t xml:space="preserve">DECLARAR inadmisible el recurso de apelación formulado </w:t>
      </w:r>
      <w:r w:rsidR="00504903" w:rsidRPr="00D53890">
        <w:rPr>
          <w:rFonts w:ascii="Georgia" w:hAnsi="Georgia" w:cs="Arial"/>
          <w:szCs w:val="24"/>
        </w:rPr>
        <w:t>c</w:t>
      </w:r>
      <w:r w:rsidRPr="00D53890">
        <w:rPr>
          <w:rFonts w:ascii="Georgia" w:hAnsi="Georgia" w:cs="Arial"/>
          <w:szCs w:val="24"/>
        </w:rPr>
        <w:t xml:space="preserve">ontra </w:t>
      </w:r>
      <w:r w:rsidR="008B5602" w:rsidRPr="00D53890">
        <w:rPr>
          <w:rFonts w:ascii="Georgia" w:hAnsi="Georgia" w:cs="Arial"/>
          <w:szCs w:val="24"/>
        </w:rPr>
        <w:t xml:space="preserve">el auto del </w:t>
      </w:r>
      <w:r w:rsidR="00A66013" w:rsidRPr="00D53890">
        <w:rPr>
          <w:rFonts w:ascii="Georgia" w:hAnsi="Georgia" w:cs="Arial"/>
          <w:szCs w:val="24"/>
        </w:rPr>
        <w:t>27</w:t>
      </w:r>
      <w:r w:rsidR="003D2C67" w:rsidRPr="00D53890">
        <w:rPr>
          <w:rFonts w:ascii="Georgia" w:hAnsi="Georgia" w:cs="Arial"/>
          <w:szCs w:val="24"/>
        </w:rPr>
        <w:t>-</w:t>
      </w:r>
      <w:r w:rsidR="00A66013" w:rsidRPr="00D53890">
        <w:rPr>
          <w:rFonts w:ascii="Georgia" w:hAnsi="Georgia" w:cs="Arial"/>
          <w:szCs w:val="24"/>
        </w:rPr>
        <w:t>06</w:t>
      </w:r>
      <w:r w:rsidR="003D2C67" w:rsidRPr="00D53890">
        <w:rPr>
          <w:rFonts w:ascii="Georgia" w:hAnsi="Georgia" w:cs="Arial"/>
          <w:szCs w:val="24"/>
        </w:rPr>
        <w:t>-201</w:t>
      </w:r>
      <w:r w:rsidR="00A66013" w:rsidRPr="00D53890">
        <w:rPr>
          <w:rFonts w:ascii="Georgia" w:hAnsi="Georgia" w:cs="Arial"/>
          <w:szCs w:val="24"/>
        </w:rPr>
        <w:t>8</w:t>
      </w:r>
      <w:r w:rsidRPr="00D53890">
        <w:rPr>
          <w:rFonts w:ascii="Georgia" w:hAnsi="Georgia" w:cs="Arial"/>
          <w:szCs w:val="24"/>
        </w:rPr>
        <w:t xml:space="preserve">, por falta de </w:t>
      </w:r>
      <w:r w:rsidR="00276AAF" w:rsidRPr="00D53890">
        <w:rPr>
          <w:rFonts w:ascii="Georgia" w:hAnsi="Georgia" w:cs="Arial"/>
          <w:szCs w:val="24"/>
        </w:rPr>
        <w:t>procedencia</w:t>
      </w:r>
      <w:r w:rsidRPr="00D53890">
        <w:rPr>
          <w:rFonts w:ascii="Georgia" w:hAnsi="Georgia" w:cs="Arial"/>
          <w:szCs w:val="24"/>
        </w:rPr>
        <w:t>.</w:t>
      </w:r>
    </w:p>
    <w:p w:rsidR="004A31C8" w:rsidRPr="00D53890" w:rsidRDefault="004A31C8" w:rsidP="00D53890">
      <w:pPr>
        <w:pStyle w:val="Textopredeterminado"/>
        <w:spacing w:line="360" w:lineRule="auto"/>
        <w:ind w:left="360"/>
        <w:jc w:val="both"/>
        <w:rPr>
          <w:rFonts w:ascii="Georgia" w:hAnsi="Georgia" w:cs="Arial"/>
          <w:szCs w:val="24"/>
        </w:rPr>
      </w:pPr>
    </w:p>
    <w:p w:rsidR="000F4FD9" w:rsidRPr="00D53890" w:rsidRDefault="000F4FD9" w:rsidP="00D53890">
      <w:pPr>
        <w:pStyle w:val="Textopredeterminado"/>
        <w:numPr>
          <w:ilvl w:val="0"/>
          <w:numId w:val="2"/>
        </w:numPr>
        <w:spacing w:line="360" w:lineRule="auto"/>
        <w:jc w:val="both"/>
        <w:rPr>
          <w:rFonts w:ascii="Georgia" w:hAnsi="Georgia" w:cs="Arial"/>
          <w:szCs w:val="24"/>
        </w:rPr>
      </w:pPr>
      <w:r w:rsidRPr="00D53890">
        <w:rPr>
          <w:rFonts w:ascii="Georgia" w:hAnsi="Georgia" w:cs="Arial"/>
          <w:szCs w:val="24"/>
        </w:rPr>
        <w:t>DEVOLVER el expediente al Juzgado</w:t>
      </w:r>
      <w:r w:rsidR="00A66013" w:rsidRPr="00D53890">
        <w:rPr>
          <w:rFonts w:ascii="Georgia" w:hAnsi="Georgia" w:cs="Arial"/>
          <w:szCs w:val="24"/>
        </w:rPr>
        <w:t xml:space="preserve"> Cuarto </w:t>
      </w:r>
      <w:r w:rsidR="003D2C67" w:rsidRPr="00D53890">
        <w:rPr>
          <w:rFonts w:ascii="Georgia" w:hAnsi="Georgia" w:cs="Arial"/>
          <w:szCs w:val="24"/>
        </w:rPr>
        <w:t>de Familia</w:t>
      </w:r>
      <w:r w:rsidR="00504903" w:rsidRPr="00D53890">
        <w:rPr>
          <w:rFonts w:ascii="Georgia" w:hAnsi="Georgia" w:cs="Arial"/>
          <w:szCs w:val="24"/>
        </w:rPr>
        <w:t xml:space="preserve"> de </w:t>
      </w:r>
      <w:r w:rsidR="00E75B0E" w:rsidRPr="00D53890">
        <w:rPr>
          <w:rFonts w:ascii="Georgia" w:hAnsi="Georgia" w:cs="Arial"/>
          <w:szCs w:val="24"/>
        </w:rPr>
        <w:t>Pereira</w:t>
      </w:r>
      <w:r w:rsidRPr="00D53890">
        <w:rPr>
          <w:rFonts w:ascii="Georgia" w:hAnsi="Georgia" w:cs="Arial"/>
          <w:szCs w:val="24"/>
        </w:rPr>
        <w:t>.</w:t>
      </w:r>
    </w:p>
    <w:p w:rsidR="00523F0F" w:rsidRPr="00D53890" w:rsidRDefault="00523F0F" w:rsidP="00D53890">
      <w:pPr>
        <w:pStyle w:val="Prrafodelista"/>
        <w:spacing w:line="360" w:lineRule="auto"/>
        <w:rPr>
          <w:rFonts w:ascii="Georgia" w:hAnsi="Georgia" w:cs="Arial"/>
          <w:sz w:val="24"/>
          <w:szCs w:val="24"/>
        </w:rPr>
      </w:pPr>
    </w:p>
    <w:p w:rsidR="00BC2E4F" w:rsidRPr="00D53890" w:rsidRDefault="00BC2E4F" w:rsidP="00D53890">
      <w:pPr>
        <w:pStyle w:val="Textopredeterminado"/>
        <w:numPr>
          <w:ilvl w:val="0"/>
          <w:numId w:val="2"/>
        </w:numPr>
        <w:spacing w:line="360" w:lineRule="auto"/>
        <w:jc w:val="both"/>
        <w:rPr>
          <w:rFonts w:ascii="Georgia" w:hAnsi="Georgia" w:cs="Arial"/>
          <w:szCs w:val="24"/>
        </w:rPr>
      </w:pPr>
      <w:r w:rsidRPr="00D53890">
        <w:rPr>
          <w:rFonts w:ascii="Georgia" w:hAnsi="Georgia" w:cs="Arial"/>
          <w:szCs w:val="24"/>
        </w:rPr>
        <w:t>ADVERTIR que contra esta providencia no procede recurso alguno.</w:t>
      </w:r>
    </w:p>
    <w:p w:rsidR="00BC2E4F" w:rsidRPr="00D53890" w:rsidRDefault="00BC2E4F" w:rsidP="00D53890">
      <w:pPr>
        <w:pStyle w:val="Textopredeterminado"/>
        <w:spacing w:line="360" w:lineRule="auto"/>
        <w:ind w:left="360"/>
        <w:jc w:val="center"/>
        <w:rPr>
          <w:rFonts w:ascii="Georgia" w:hAnsi="Georgia" w:cs="Arial"/>
          <w:szCs w:val="24"/>
        </w:rPr>
      </w:pPr>
    </w:p>
    <w:p w:rsidR="000F4FD9" w:rsidRPr="00EF69BA" w:rsidRDefault="000F4FD9" w:rsidP="00310452">
      <w:pPr>
        <w:pStyle w:val="Textopredeterminado"/>
        <w:spacing w:line="360" w:lineRule="auto"/>
        <w:jc w:val="center"/>
        <w:rPr>
          <w:rFonts w:ascii="Georgia" w:hAnsi="Georgia" w:cs="Arial"/>
          <w:szCs w:val="24"/>
          <w:lang w:val="en-US"/>
        </w:rPr>
      </w:pPr>
      <w:proofErr w:type="spellStart"/>
      <w:r w:rsidRPr="00EF69BA">
        <w:rPr>
          <w:rFonts w:ascii="Georgia" w:hAnsi="Georgia" w:cs="Arial"/>
          <w:smallCaps/>
          <w:szCs w:val="24"/>
          <w:lang w:val="en-US"/>
        </w:rPr>
        <w:t>Notifíquese</w:t>
      </w:r>
      <w:proofErr w:type="spellEnd"/>
      <w:r w:rsidRPr="00EF69BA">
        <w:rPr>
          <w:rFonts w:ascii="Georgia" w:hAnsi="Georgia" w:cs="Arial"/>
          <w:smallCaps/>
          <w:szCs w:val="24"/>
          <w:lang w:val="en-US"/>
        </w:rPr>
        <w:t>,</w:t>
      </w:r>
    </w:p>
    <w:p w:rsidR="000F4FD9" w:rsidRPr="00EF69BA" w:rsidRDefault="000F4FD9" w:rsidP="002E11FF">
      <w:pPr>
        <w:pStyle w:val="Sinespaciado"/>
        <w:spacing w:line="360" w:lineRule="auto"/>
        <w:jc w:val="center"/>
        <w:rPr>
          <w:rFonts w:ascii="Georgia" w:hAnsi="Georgia" w:cs="Arial"/>
          <w:spacing w:val="20"/>
          <w:w w:val="150"/>
          <w:lang w:val="en-US"/>
        </w:rPr>
      </w:pPr>
    </w:p>
    <w:p w:rsidR="0021526B" w:rsidRDefault="0021526B" w:rsidP="00310452">
      <w:pPr>
        <w:pStyle w:val="Textopredeterminado"/>
        <w:spacing w:line="360" w:lineRule="auto"/>
        <w:jc w:val="center"/>
        <w:rPr>
          <w:rFonts w:ascii="Georgia" w:hAnsi="Georgia" w:cs="Arial"/>
          <w:caps/>
          <w:spacing w:val="20"/>
          <w:w w:val="150"/>
          <w:lang w:val="en-US"/>
        </w:rPr>
      </w:pPr>
    </w:p>
    <w:p w:rsidR="00D53890" w:rsidRPr="00EF69BA" w:rsidRDefault="00D53890" w:rsidP="00310452">
      <w:pPr>
        <w:pStyle w:val="Textopredeterminado"/>
        <w:spacing w:line="360" w:lineRule="auto"/>
        <w:jc w:val="center"/>
        <w:rPr>
          <w:rFonts w:ascii="Georgia" w:hAnsi="Georgia" w:cs="Arial"/>
          <w:caps/>
          <w:spacing w:val="20"/>
          <w:w w:val="150"/>
          <w:lang w:val="en-US"/>
        </w:rPr>
      </w:pPr>
    </w:p>
    <w:p w:rsidR="000F4FD9" w:rsidRPr="00D53890" w:rsidRDefault="000F4FD9" w:rsidP="00310452">
      <w:pPr>
        <w:pStyle w:val="Textopredeterminado"/>
        <w:spacing w:line="360" w:lineRule="auto"/>
        <w:jc w:val="center"/>
        <w:rPr>
          <w:rFonts w:ascii="Georgia" w:hAnsi="Georgia" w:cs="Arial"/>
          <w:caps/>
          <w:spacing w:val="20"/>
          <w:w w:val="150"/>
          <w:lang w:val="en-US"/>
        </w:rPr>
      </w:pPr>
      <w:r w:rsidRPr="00D53890">
        <w:rPr>
          <w:rFonts w:ascii="Georgia" w:hAnsi="Georgia" w:cs="Arial"/>
          <w:caps/>
          <w:spacing w:val="20"/>
          <w:w w:val="150"/>
          <w:sz w:val="32"/>
          <w:lang w:val="en-US"/>
        </w:rPr>
        <w:t xml:space="preserve"> D</w:t>
      </w:r>
      <w:r w:rsidRPr="00D53890">
        <w:rPr>
          <w:rFonts w:ascii="Georgia" w:hAnsi="Georgia" w:cs="Arial"/>
          <w:caps/>
          <w:spacing w:val="20"/>
          <w:w w:val="150"/>
          <w:sz w:val="20"/>
          <w:lang w:val="en-US"/>
        </w:rPr>
        <w:t xml:space="preserve">UBERNEY </w:t>
      </w:r>
      <w:proofErr w:type="spellStart"/>
      <w:r w:rsidRPr="00D53890">
        <w:rPr>
          <w:rFonts w:ascii="Georgia" w:hAnsi="Georgia" w:cs="Arial"/>
          <w:caps/>
          <w:spacing w:val="20"/>
          <w:w w:val="150"/>
          <w:sz w:val="32"/>
          <w:lang w:val="en-US"/>
        </w:rPr>
        <w:t>G</w:t>
      </w:r>
      <w:r w:rsidRPr="00D53890">
        <w:rPr>
          <w:rFonts w:ascii="Georgia" w:hAnsi="Georgia" w:cs="Arial"/>
          <w:caps/>
          <w:spacing w:val="20"/>
          <w:w w:val="150"/>
          <w:sz w:val="20"/>
          <w:lang w:val="en-US"/>
        </w:rPr>
        <w:t>RISALES</w:t>
      </w:r>
      <w:proofErr w:type="spellEnd"/>
      <w:r w:rsidRPr="00D53890">
        <w:rPr>
          <w:rFonts w:ascii="Georgia" w:hAnsi="Georgia" w:cs="Arial"/>
          <w:caps/>
          <w:spacing w:val="20"/>
          <w:w w:val="150"/>
          <w:sz w:val="20"/>
          <w:lang w:val="en-US"/>
        </w:rPr>
        <w:t xml:space="preserve"> </w:t>
      </w:r>
      <w:r w:rsidRPr="00D53890">
        <w:rPr>
          <w:rFonts w:ascii="Georgia" w:hAnsi="Georgia" w:cs="Arial"/>
          <w:caps/>
          <w:spacing w:val="20"/>
          <w:w w:val="150"/>
          <w:sz w:val="32"/>
          <w:lang w:val="en-US"/>
        </w:rPr>
        <w:t>H</w:t>
      </w:r>
      <w:r w:rsidRPr="00D53890">
        <w:rPr>
          <w:rFonts w:ascii="Georgia" w:hAnsi="Georgia" w:cs="Arial"/>
          <w:caps/>
          <w:spacing w:val="20"/>
          <w:w w:val="150"/>
          <w:sz w:val="20"/>
          <w:lang w:val="en-US"/>
        </w:rPr>
        <w:t>ERRERA</w:t>
      </w:r>
    </w:p>
    <w:p w:rsidR="00504903" w:rsidRPr="00EF69BA" w:rsidRDefault="000F4FD9" w:rsidP="00F76CAD">
      <w:pPr>
        <w:spacing w:line="360" w:lineRule="auto"/>
        <w:jc w:val="center"/>
        <w:rPr>
          <w:rFonts w:ascii="Georgia" w:hAnsi="Georgia" w:cs="Arial"/>
          <w:sz w:val="12"/>
          <w:szCs w:val="12"/>
          <w:lang w:val="en-US"/>
        </w:rPr>
      </w:pPr>
      <w:r w:rsidRPr="00D53890">
        <w:rPr>
          <w:rFonts w:ascii="Georgia" w:hAnsi="Georgia" w:cs="Arial"/>
          <w:caps/>
          <w:spacing w:val="20"/>
          <w:w w:val="150"/>
          <w:sz w:val="24"/>
          <w:lang w:val="en-US"/>
        </w:rPr>
        <w:t xml:space="preserve">M </w:t>
      </w:r>
      <w:r w:rsidRPr="00D53890">
        <w:rPr>
          <w:rFonts w:ascii="Georgia" w:hAnsi="Georgia" w:cs="Arial"/>
          <w:caps/>
          <w:spacing w:val="20"/>
          <w:w w:val="150"/>
          <w:lang w:val="en-US"/>
        </w:rPr>
        <w:t>A G I S T R A D O</w:t>
      </w:r>
      <w:r w:rsidR="00F76CAD" w:rsidRPr="00D53890">
        <w:rPr>
          <w:rFonts w:ascii="Georgia" w:hAnsi="Georgia" w:cs="Arial"/>
          <w:caps/>
          <w:spacing w:val="20"/>
          <w:w w:val="150"/>
          <w:lang w:val="en-US"/>
        </w:rPr>
        <w:t xml:space="preserve"> </w:t>
      </w:r>
    </w:p>
    <w:p w:rsidR="00B7680C" w:rsidRPr="00EF69BA" w:rsidRDefault="005D1B31" w:rsidP="00B7680C">
      <w:pPr>
        <w:pStyle w:val="Sinespaciado"/>
        <w:spacing w:line="360" w:lineRule="auto"/>
        <w:jc w:val="right"/>
        <w:rPr>
          <w:rFonts w:ascii="Georgia" w:hAnsi="Georgia" w:cs="Arial"/>
          <w:spacing w:val="20"/>
          <w:w w:val="150"/>
          <w:lang w:val="en-US"/>
        </w:rPr>
      </w:pPr>
      <w:r w:rsidRPr="00EF69BA">
        <w:rPr>
          <w:rFonts w:ascii="Georgia" w:hAnsi="Georgia"/>
          <w:noProof/>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E67AAB" w:rsidRPr="00AC087B" w:rsidRDefault="00E67AAB" w:rsidP="00E67AAB">
                            <w:pPr>
                              <w:jc w:val="center"/>
                              <w:rPr>
                                <w:rFonts w:ascii="Kalinga" w:hAnsi="Kalinga" w:cs="Kalinga"/>
                                <w:color w:val="000000"/>
                                <w:sz w:val="22"/>
                                <w:szCs w:val="22"/>
                              </w:rPr>
                            </w:pPr>
                            <w:r>
                              <w:rPr>
                                <w:rFonts w:ascii="Kalinga" w:hAnsi="Kalinga" w:cs="Kalinga"/>
                                <w:color w:val="000000"/>
                                <w:szCs w:val="22"/>
                              </w:rPr>
                              <w:t>DIEGO ANDRÉS MORALES GÓMEZ</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2011"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E67AAB" w:rsidRPr="00AC087B" w:rsidRDefault="00E67AAB" w:rsidP="00E67AAB">
                      <w:pPr>
                        <w:jc w:val="center"/>
                        <w:rPr>
                          <w:rFonts w:ascii="Kalinga" w:hAnsi="Kalinga" w:cs="Kalinga"/>
                          <w:color w:val="000000"/>
                          <w:sz w:val="22"/>
                          <w:szCs w:val="22"/>
                        </w:rPr>
                      </w:pPr>
                      <w:r>
                        <w:rPr>
                          <w:rFonts w:ascii="Kalinga" w:hAnsi="Kalinga" w:cs="Kalinga"/>
                          <w:color w:val="000000"/>
                          <w:szCs w:val="22"/>
                        </w:rPr>
                        <w:t>DIEGO ANDRÉS MORALES GÓMEZ</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proofErr w:type="spellStart"/>
      <w:r w:rsidR="00B7680C" w:rsidRPr="00EF69BA">
        <w:rPr>
          <w:rFonts w:ascii="Georgia" w:hAnsi="Georgia" w:cs="Arial"/>
          <w:sz w:val="12"/>
          <w:szCs w:val="12"/>
          <w:lang w:val="en-US"/>
        </w:rPr>
        <w:t>DGH</w:t>
      </w:r>
      <w:proofErr w:type="spellEnd"/>
      <w:r w:rsidR="00B7680C" w:rsidRPr="00EF69BA">
        <w:rPr>
          <w:rFonts w:ascii="Georgia" w:hAnsi="Georgia" w:cs="Arial"/>
          <w:sz w:val="12"/>
          <w:szCs w:val="12"/>
          <w:lang w:val="en-US"/>
        </w:rPr>
        <w:t xml:space="preserve"> /</w:t>
      </w:r>
      <w:proofErr w:type="spellStart"/>
      <w:r w:rsidR="00B7680C" w:rsidRPr="00EF69BA">
        <w:rPr>
          <w:rFonts w:ascii="Georgia" w:hAnsi="Georgia" w:cs="Arial"/>
          <w:sz w:val="12"/>
          <w:szCs w:val="12"/>
          <w:lang w:val="en-US"/>
        </w:rPr>
        <w:t>DGD</w:t>
      </w:r>
      <w:proofErr w:type="spellEnd"/>
      <w:r w:rsidR="00B7680C" w:rsidRPr="00EF69BA">
        <w:rPr>
          <w:rFonts w:ascii="Georgia" w:hAnsi="Georgia" w:cs="Arial"/>
          <w:sz w:val="12"/>
          <w:szCs w:val="12"/>
          <w:lang w:val="en-US"/>
        </w:rPr>
        <w:t>/ 201</w:t>
      </w:r>
      <w:r w:rsidR="00523F0F">
        <w:rPr>
          <w:rFonts w:ascii="Georgia" w:hAnsi="Georgia" w:cs="Arial"/>
          <w:sz w:val="12"/>
          <w:szCs w:val="12"/>
          <w:lang w:val="en-US"/>
        </w:rPr>
        <w:t>8</w:t>
      </w:r>
    </w:p>
    <w:p w:rsidR="000F4FD9" w:rsidRPr="00EF69BA" w:rsidRDefault="000F4FD9" w:rsidP="00147B6F">
      <w:pPr>
        <w:pStyle w:val="Sinespaciado"/>
        <w:spacing w:line="360" w:lineRule="auto"/>
        <w:ind w:firstLine="708"/>
        <w:jc w:val="right"/>
        <w:rPr>
          <w:rFonts w:ascii="Georgia" w:hAnsi="Georgia" w:cs="Arial"/>
          <w:sz w:val="12"/>
          <w:szCs w:val="16"/>
          <w:lang w:val="en-US"/>
        </w:rPr>
      </w:pPr>
    </w:p>
    <w:sectPr w:rsidR="000F4FD9" w:rsidRPr="00EF69BA" w:rsidSect="00D82768">
      <w:headerReference w:type="default" r:id="rId9"/>
      <w:footerReference w:type="default" r:id="rId10"/>
      <w:pgSz w:w="12242" w:h="18722" w:code="14"/>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53" w:rsidRDefault="004F7553" w:rsidP="00934BB4">
      <w:r>
        <w:separator/>
      </w:r>
    </w:p>
  </w:endnote>
  <w:endnote w:type="continuationSeparator" w:id="0">
    <w:p w:rsidR="004F7553" w:rsidRDefault="004F7553"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53" w:rsidRDefault="004F7553" w:rsidP="00934BB4">
      <w:r>
        <w:separator/>
      </w:r>
    </w:p>
  </w:footnote>
  <w:footnote w:type="continuationSeparator" w:id="0">
    <w:p w:rsidR="004F7553" w:rsidRDefault="004F7553" w:rsidP="00934BB4">
      <w:r>
        <w:continuationSeparator/>
      </w:r>
    </w:p>
  </w:footnote>
  <w:footnote w:id="1">
    <w:p w:rsidR="001440A0" w:rsidRPr="00A824C1" w:rsidRDefault="001440A0" w:rsidP="00A824C1">
      <w:pPr>
        <w:pStyle w:val="Textonotapie"/>
        <w:jc w:val="both"/>
        <w:rPr>
          <w:lang w:val="es-CO"/>
        </w:rPr>
      </w:pPr>
      <w:r w:rsidRPr="00A824C1">
        <w:rPr>
          <w:rStyle w:val="Refdenotaalpie"/>
        </w:rPr>
        <w:footnoteRef/>
      </w:r>
      <w:r w:rsidRPr="00A824C1">
        <w:t xml:space="preserve"> </w:t>
      </w:r>
      <w:r w:rsidRPr="00A824C1">
        <w:rPr>
          <w:lang w:val="es-CO"/>
        </w:rPr>
        <w:t>ESCOBAR V. Édgar G. Los recursos en el Código General del Proceso. Librería jurídica Sánchez R. Ltda. 2015, p.37.</w:t>
      </w:r>
    </w:p>
  </w:footnote>
  <w:footnote w:id="2">
    <w:p w:rsidR="001440A0" w:rsidRPr="00A824C1" w:rsidRDefault="001440A0" w:rsidP="00A824C1">
      <w:pPr>
        <w:pStyle w:val="Textonotapie"/>
        <w:jc w:val="both"/>
      </w:pPr>
      <w:r w:rsidRPr="00A824C1">
        <w:rPr>
          <w:vertAlign w:val="superscript"/>
        </w:rPr>
        <w:footnoteRef/>
      </w:r>
      <w:r w:rsidRPr="00A824C1">
        <w:t xml:space="preserve"> </w:t>
      </w:r>
      <w:r w:rsidRPr="00A824C1">
        <w:rPr>
          <w:szCs w:val="18"/>
          <w:lang w:val="es-CO"/>
        </w:rPr>
        <w:t xml:space="preserve">LÓPEZ B., Hernán F. Código General del Proceso, parte general, Bogotá DC, </w:t>
      </w:r>
      <w:proofErr w:type="spellStart"/>
      <w:r w:rsidRPr="00A824C1">
        <w:rPr>
          <w:szCs w:val="18"/>
          <w:lang w:val="es-CO"/>
        </w:rPr>
        <w:t>Dupre</w:t>
      </w:r>
      <w:proofErr w:type="spellEnd"/>
      <w:r w:rsidRPr="00A824C1">
        <w:rPr>
          <w:szCs w:val="18"/>
          <w:lang w:val="es-CO"/>
        </w:rPr>
        <w:t xml:space="preserve"> editores, 2016, p.769-776</w:t>
      </w:r>
      <w:r w:rsidRPr="00A824C1">
        <w:t>.</w:t>
      </w:r>
    </w:p>
  </w:footnote>
  <w:footnote w:id="3">
    <w:p w:rsidR="001440A0" w:rsidRPr="00A824C1" w:rsidRDefault="001440A0" w:rsidP="00A824C1">
      <w:pPr>
        <w:pStyle w:val="Textonotapie"/>
        <w:jc w:val="both"/>
      </w:pPr>
      <w:r w:rsidRPr="00A824C1">
        <w:rPr>
          <w:vertAlign w:val="superscript"/>
        </w:rPr>
        <w:footnoteRef/>
      </w:r>
      <w:r w:rsidRPr="00A824C1">
        <w:t xml:space="preserve"> PARRA Q., Jairo. Derecho procesal civil, tomo I, Santafé de Bogotá D.C., Temis, 1992, p.276.</w:t>
      </w:r>
    </w:p>
  </w:footnote>
  <w:footnote w:id="4">
    <w:p w:rsidR="001440A0" w:rsidRPr="00A824C1" w:rsidRDefault="001440A0" w:rsidP="00A824C1">
      <w:pPr>
        <w:pStyle w:val="Sinespaciado"/>
        <w:jc w:val="both"/>
        <w:rPr>
          <w:rFonts w:ascii="Times New Roman" w:hAnsi="Times New Roman"/>
          <w:sz w:val="20"/>
        </w:rPr>
      </w:pPr>
      <w:r w:rsidRPr="00A824C1">
        <w:rPr>
          <w:rFonts w:ascii="Times New Roman" w:hAnsi="Times New Roman"/>
          <w:sz w:val="20"/>
          <w:vertAlign w:val="superscript"/>
        </w:rPr>
        <w:footnoteRef/>
      </w:r>
      <w:r w:rsidRPr="00A824C1">
        <w:rPr>
          <w:rFonts w:ascii="Times New Roman" w:hAnsi="Times New Roman"/>
          <w:sz w:val="20"/>
        </w:rPr>
        <w:t xml:space="preserve"> </w:t>
      </w:r>
      <w:r w:rsidRPr="00A824C1">
        <w:rPr>
          <w:rFonts w:ascii="Times New Roman" w:hAnsi="Times New Roman"/>
          <w:sz w:val="20"/>
          <w:lang w:val="es-CO"/>
        </w:rPr>
        <w:t xml:space="preserve">LÓPEZ B., Hernán F. </w:t>
      </w:r>
      <w:r w:rsidRPr="00A824C1">
        <w:rPr>
          <w:rFonts w:ascii="Times New Roman" w:hAnsi="Times New Roman"/>
          <w:sz w:val="20"/>
        </w:rPr>
        <w:t>Ob. cit., p.769.</w:t>
      </w:r>
    </w:p>
  </w:footnote>
  <w:footnote w:id="5">
    <w:p w:rsidR="001440A0" w:rsidRPr="00A824C1" w:rsidRDefault="001440A0" w:rsidP="00A824C1">
      <w:pPr>
        <w:pStyle w:val="Textonotapie"/>
        <w:jc w:val="both"/>
        <w:rPr>
          <w:lang w:val="es-CO"/>
        </w:rPr>
      </w:pPr>
      <w:r w:rsidRPr="00A824C1">
        <w:rPr>
          <w:rStyle w:val="Refdenotaalpie"/>
        </w:rPr>
        <w:footnoteRef/>
      </w:r>
      <w:r w:rsidRPr="00A824C1">
        <w:t xml:space="preserve"> </w:t>
      </w:r>
      <w:r w:rsidR="00F44DBD" w:rsidRPr="00A52E19">
        <w:rPr>
          <w:lang w:val="es-CO"/>
        </w:rPr>
        <w:t xml:space="preserve">ROJAS G., Miguel E. Lecciones de derecho procesal, procedimiento civil, tomo II, </w:t>
      </w:r>
      <w:proofErr w:type="spellStart"/>
      <w:r w:rsidR="00F44DBD" w:rsidRPr="00A52E19">
        <w:rPr>
          <w:lang w:val="es-CO"/>
        </w:rPr>
        <w:t>ESAJU</w:t>
      </w:r>
      <w:proofErr w:type="spellEnd"/>
      <w:r w:rsidR="00F44DBD" w:rsidRPr="00A52E19">
        <w:rPr>
          <w:lang w:val="es-CO"/>
        </w:rPr>
        <w:t>, 2017, 6ª edición, Bogotá, p.429</w:t>
      </w:r>
      <w:r w:rsidRPr="00A824C1">
        <w:rPr>
          <w:lang w:val="es-CO"/>
        </w:rPr>
        <w:t>.</w:t>
      </w:r>
    </w:p>
  </w:footnote>
  <w:footnote w:id="6">
    <w:p w:rsidR="00F44DBD" w:rsidRPr="00A52E19" w:rsidRDefault="00F44DBD" w:rsidP="00F44DBD">
      <w:pPr>
        <w:pStyle w:val="Textonotapie"/>
        <w:jc w:val="both"/>
        <w:rPr>
          <w:lang w:val="es-CO"/>
        </w:rPr>
      </w:pPr>
      <w:r w:rsidRPr="00A52E19">
        <w:rPr>
          <w:rStyle w:val="Refdenotaalpie"/>
        </w:rPr>
        <w:footnoteRef/>
      </w:r>
      <w:r w:rsidRPr="00A52E19">
        <w:t xml:space="preserve"> </w:t>
      </w:r>
      <w:r w:rsidRPr="00A52E19">
        <w:rPr>
          <w:lang w:val="es-CO"/>
        </w:rPr>
        <w:t xml:space="preserve">CSJ. Sala Civil. Sentencia del 17-09-1992; </w:t>
      </w:r>
      <w:proofErr w:type="spellStart"/>
      <w:r w:rsidRPr="00A52E19">
        <w:rPr>
          <w:lang w:val="es-CO"/>
        </w:rPr>
        <w:t>MP</w:t>
      </w:r>
      <w:proofErr w:type="spellEnd"/>
      <w:r w:rsidRPr="00A52E19">
        <w:rPr>
          <w:lang w:val="es-CO"/>
        </w:rPr>
        <w:t>: Ospina B.</w:t>
      </w:r>
    </w:p>
  </w:footnote>
  <w:footnote w:id="7">
    <w:p w:rsidR="00F44DBD" w:rsidRPr="00A52E19" w:rsidRDefault="00F44DBD" w:rsidP="00F44DBD">
      <w:pPr>
        <w:pStyle w:val="Textonotapie"/>
        <w:jc w:val="both"/>
        <w:rPr>
          <w:lang w:val="es-CO"/>
        </w:rPr>
      </w:pPr>
      <w:r w:rsidRPr="00A52E19">
        <w:rPr>
          <w:rStyle w:val="Refdenotaalpie"/>
        </w:rPr>
        <w:footnoteRef/>
      </w:r>
      <w:r w:rsidRPr="00A52E19">
        <w:t xml:space="preserve"> </w:t>
      </w:r>
      <w:r w:rsidRPr="00A52E19">
        <w:rPr>
          <w:lang w:val="es-CO"/>
        </w:rPr>
        <w:t>CSJ. STC12737-2017.</w:t>
      </w:r>
    </w:p>
  </w:footnote>
  <w:footnote w:id="8">
    <w:p w:rsidR="001440A0" w:rsidRPr="00A824C1" w:rsidRDefault="001440A0" w:rsidP="00A824C1">
      <w:pPr>
        <w:pStyle w:val="Textonotapie"/>
        <w:jc w:val="both"/>
        <w:rPr>
          <w:lang w:val="es-CO"/>
        </w:rPr>
      </w:pPr>
      <w:r w:rsidRPr="00A824C1">
        <w:rPr>
          <w:rStyle w:val="Refdenotaalpie"/>
        </w:rPr>
        <w:footnoteRef/>
      </w:r>
      <w:r w:rsidRPr="00A824C1">
        <w:t xml:space="preserve"> </w:t>
      </w:r>
      <w:r w:rsidRPr="00A824C1">
        <w:rPr>
          <w:lang w:val="es-CO"/>
        </w:rPr>
        <w:t>LÓPEZ B., Hernán F.</w:t>
      </w:r>
      <w:r w:rsidRPr="00A824C1">
        <w:t xml:space="preserve"> Ob. cit., p.776</w:t>
      </w:r>
    </w:p>
  </w:footnote>
  <w:footnote w:id="9">
    <w:p w:rsidR="001440A0" w:rsidRPr="00A824C1" w:rsidRDefault="001440A0" w:rsidP="00A824C1">
      <w:pPr>
        <w:pStyle w:val="Textonotapie"/>
        <w:jc w:val="both"/>
        <w:rPr>
          <w:lang w:val="es-CO"/>
        </w:rPr>
      </w:pPr>
      <w:r w:rsidRPr="00A824C1">
        <w:rPr>
          <w:rStyle w:val="Refdenotaalpie"/>
        </w:rPr>
        <w:footnoteRef/>
      </w:r>
      <w:r w:rsidRPr="00A824C1">
        <w:t xml:space="preserve"> </w:t>
      </w:r>
      <w:r w:rsidRPr="00A824C1">
        <w:rPr>
          <w:lang w:val="es-CO"/>
        </w:rPr>
        <w:t xml:space="preserve">ROJAS G., Miguel E. Código General del Proceso comentado, </w:t>
      </w:r>
      <w:proofErr w:type="spellStart"/>
      <w:r w:rsidRPr="00A824C1">
        <w:rPr>
          <w:lang w:val="es-CO"/>
        </w:rPr>
        <w:t>ESAJU</w:t>
      </w:r>
      <w:proofErr w:type="spellEnd"/>
      <w:r w:rsidRPr="00A824C1">
        <w:rPr>
          <w:lang w:val="es-CO"/>
        </w:rPr>
        <w:t>, 2017, Bogotá DC, p.511.</w:t>
      </w:r>
    </w:p>
  </w:footnote>
  <w:footnote w:id="10">
    <w:p w:rsidR="00073C11" w:rsidRPr="00A824C1" w:rsidRDefault="00073C11" w:rsidP="00A824C1">
      <w:pPr>
        <w:pStyle w:val="Textonotapie"/>
        <w:jc w:val="both"/>
        <w:rPr>
          <w:lang w:val="es-CO"/>
        </w:rPr>
      </w:pPr>
      <w:r w:rsidRPr="00A824C1">
        <w:rPr>
          <w:rStyle w:val="Refdenotaalpie"/>
        </w:rPr>
        <w:footnoteRef/>
      </w:r>
      <w:r w:rsidRPr="00A824C1">
        <w:t xml:space="preserve"> </w:t>
      </w:r>
      <w:r w:rsidRPr="00A824C1">
        <w:rPr>
          <w:lang w:val="es-CO"/>
        </w:rPr>
        <w:t>CC.  C-153 de 1995.</w:t>
      </w:r>
    </w:p>
  </w:footnote>
  <w:footnote w:id="11">
    <w:p w:rsidR="005F7966" w:rsidRPr="00A824C1" w:rsidRDefault="005F7966" w:rsidP="00A824C1">
      <w:pPr>
        <w:pStyle w:val="Textonotapie"/>
        <w:jc w:val="both"/>
        <w:rPr>
          <w:lang w:val="es-CO"/>
        </w:rPr>
      </w:pPr>
      <w:r w:rsidRPr="00A824C1">
        <w:rPr>
          <w:rStyle w:val="Refdenotaalpie"/>
        </w:rPr>
        <w:footnoteRef/>
      </w:r>
      <w:r w:rsidRPr="00A824C1">
        <w:t xml:space="preserve"> </w:t>
      </w:r>
      <w:r w:rsidRPr="00A824C1">
        <w:rPr>
          <w:lang w:val="es-CO"/>
        </w:rPr>
        <w:t>CC.  C-</w:t>
      </w:r>
      <w:r w:rsidR="00141C5A">
        <w:rPr>
          <w:lang w:val="es-CO"/>
        </w:rPr>
        <w:t>282</w:t>
      </w:r>
      <w:r w:rsidRPr="00A824C1">
        <w:rPr>
          <w:lang w:val="es-CO"/>
        </w:rPr>
        <w:t xml:space="preserve"> de 201</w:t>
      </w:r>
      <w:r w:rsidR="00141C5A">
        <w:rPr>
          <w:lang w:val="es-CO"/>
        </w:rPr>
        <w:t>7</w:t>
      </w:r>
      <w:r w:rsidRPr="00A824C1">
        <w:rPr>
          <w:lang w:val="es-CO"/>
        </w:rPr>
        <w:t>.</w:t>
      </w:r>
    </w:p>
  </w:footnote>
  <w:footnote w:id="12">
    <w:p w:rsidR="005F7966" w:rsidRPr="00A824C1" w:rsidRDefault="005F7966" w:rsidP="00A824C1">
      <w:pPr>
        <w:pStyle w:val="Textonotapie"/>
        <w:jc w:val="both"/>
        <w:rPr>
          <w:lang w:val="es-MX"/>
        </w:rPr>
      </w:pPr>
      <w:r w:rsidRPr="00A824C1">
        <w:rPr>
          <w:rStyle w:val="Refdenotaalpie"/>
        </w:rPr>
        <w:footnoteRef/>
      </w:r>
      <w:r w:rsidRPr="00A824C1">
        <w:t xml:space="preserve"> </w:t>
      </w:r>
      <w:r w:rsidR="009C4E45" w:rsidRPr="00A52E19">
        <w:rPr>
          <w:lang w:val="es-CO"/>
        </w:rPr>
        <w:t xml:space="preserve">ROJAS G., Miguel E. Lecciones de derecho procesal, procedimiento civil, tomo II, </w:t>
      </w:r>
      <w:proofErr w:type="spellStart"/>
      <w:r w:rsidR="009C4E45" w:rsidRPr="00A52E19">
        <w:rPr>
          <w:lang w:val="es-CO"/>
        </w:rPr>
        <w:t>ESAJU</w:t>
      </w:r>
      <w:proofErr w:type="spellEnd"/>
      <w:r w:rsidR="009C4E45" w:rsidRPr="00A52E19">
        <w:rPr>
          <w:lang w:val="es-CO"/>
        </w:rPr>
        <w:t>,</w:t>
      </w:r>
      <w:r w:rsidR="009C4E45">
        <w:rPr>
          <w:lang w:val="es-CO"/>
        </w:rPr>
        <w:t xml:space="preserve"> 2017, 6ª edición, Bogotá, p.448</w:t>
      </w:r>
      <w:r w:rsidRPr="00A824C1">
        <w:t>.</w:t>
      </w:r>
    </w:p>
  </w:footnote>
  <w:footnote w:id="13">
    <w:p w:rsidR="005F7966" w:rsidRPr="00A824C1" w:rsidRDefault="005F7966" w:rsidP="00A824C1">
      <w:pPr>
        <w:pStyle w:val="Textonotapie"/>
        <w:jc w:val="both"/>
        <w:rPr>
          <w:lang w:val="es-MX"/>
        </w:rPr>
      </w:pPr>
      <w:r w:rsidRPr="00A824C1">
        <w:rPr>
          <w:rStyle w:val="Refdenotaalpie"/>
        </w:rPr>
        <w:footnoteRef/>
      </w:r>
      <w:r w:rsidRPr="00A824C1">
        <w:t xml:space="preserve"> </w:t>
      </w:r>
      <w:r w:rsidR="009C4E45">
        <w:t>CANOSA T.</w:t>
      </w:r>
      <w:r w:rsidRPr="00A824C1">
        <w:t xml:space="preserve">, </w:t>
      </w:r>
      <w:r w:rsidR="009C4E45">
        <w:t>F</w:t>
      </w:r>
      <w:r w:rsidRPr="00A824C1">
        <w:t xml:space="preserve">ernando. </w:t>
      </w:r>
      <w:r w:rsidR="009C4E45">
        <w:t>Los recursos ordinarios en el Código General del Proceso</w:t>
      </w:r>
      <w:r w:rsidRPr="00A824C1">
        <w:t xml:space="preserve">, </w:t>
      </w:r>
      <w:r w:rsidR="009C4E45">
        <w:t>4ª edición</w:t>
      </w:r>
      <w:r w:rsidRPr="00A824C1">
        <w:t xml:space="preserve">, </w:t>
      </w:r>
      <w:r w:rsidR="009C4E45">
        <w:t>2017</w:t>
      </w:r>
      <w:r w:rsidRPr="00A824C1">
        <w:t xml:space="preserve">, Bogotá DC, </w:t>
      </w:r>
      <w:r w:rsidR="009C4E45">
        <w:t>Ediciones Doctrina y Ley</w:t>
      </w:r>
      <w:r w:rsidRPr="00A824C1">
        <w:t>, p.3</w:t>
      </w:r>
      <w:r w:rsidR="009C4E45">
        <w:t>17</w:t>
      </w:r>
      <w:r w:rsidRPr="00A824C1">
        <w:t>.</w:t>
      </w:r>
    </w:p>
  </w:footnote>
  <w:footnote w:id="14">
    <w:p w:rsidR="005F7966" w:rsidRPr="00A824C1" w:rsidRDefault="005F7966" w:rsidP="00A824C1">
      <w:pPr>
        <w:pStyle w:val="Textonotapie"/>
        <w:jc w:val="both"/>
        <w:rPr>
          <w:lang w:val="es-MX"/>
        </w:rPr>
      </w:pPr>
      <w:r w:rsidRPr="00A824C1">
        <w:rPr>
          <w:rStyle w:val="Refdenotaalpie"/>
        </w:rPr>
        <w:footnoteRef/>
      </w:r>
      <w:r w:rsidRPr="00A824C1">
        <w:t xml:space="preserve"> </w:t>
      </w:r>
      <w:r w:rsidRPr="00A824C1">
        <w:rPr>
          <w:lang w:val="es-CO"/>
        </w:rPr>
        <w:t xml:space="preserve">LÓPEZ B, Hernán F. </w:t>
      </w:r>
      <w:r w:rsidRPr="00A824C1">
        <w:t>Ob. cit., p.792.</w:t>
      </w:r>
    </w:p>
  </w:footnote>
  <w:footnote w:id="15">
    <w:p w:rsidR="002019E7" w:rsidRPr="002019E7" w:rsidRDefault="005F7966" w:rsidP="00A824C1">
      <w:pPr>
        <w:pStyle w:val="Textonotapie"/>
        <w:jc w:val="both"/>
        <w:rPr>
          <w:lang w:val="es-CO"/>
        </w:rPr>
      </w:pPr>
      <w:r w:rsidRPr="00A824C1">
        <w:rPr>
          <w:vertAlign w:val="superscript"/>
        </w:rPr>
        <w:footnoteRef/>
      </w:r>
      <w:r w:rsidRPr="00A824C1">
        <w:t xml:space="preserve"> </w:t>
      </w:r>
      <w:r w:rsidRPr="00A824C1">
        <w:rPr>
          <w:lang w:val="es-CO"/>
        </w:rPr>
        <w:t xml:space="preserve">CSJ, Civil. </w:t>
      </w:r>
      <w:r w:rsidR="00D82768">
        <w:rPr>
          <w:lang w:val="es-CO"/>
        </w:rPr>
        <w:t>AC468-2017 que reitera lo dicho en STC10979-2014</w:t>
      </w:r>
      <w:r w:rsidR="002019E7">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E0559D" w:rsidRPr="00E0559D">
      <w:rPr>
        <w:rFonts w:ascii="Calibri" w:hAnsi="Calibri" w:cs="Calibri"/>
        <w:bCs/>
        <w:noProof/>
      </w:rPr>
      <w:t>4</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F44DBD">
      <w:rPr>
        <w:rFonts w:ascii="Calibri" w:hAnsi="Calibri" w:cs="Calibri"/>
        <w:i/>
      </w:rPr>
      <w:t>4</w:t>
    </w:r>
    <w:r w:rsidRPr="006F2303">
      <w:rPr>
        <w:rFonts w:ascii="Calibri" w:hAnsi="Calibri" w:cs="Calibri"/>
        <w:i/>
      </w:rPr>
      <w:t>-00</w:t>
    </w:r>
    <w:r w:rsidR="00170D54">
      <w:rPr>
        <w:rFonts w:ascii="Calibri" w:hAnsi="Calibri" w:cs="Calibri"/>
        <w:i/>
      </w:rPr>
      <w:t>1</w:t>
    </w:r>
    <w:r w:rsidR="00F44DBD">
      <w:rPr>
        <w:rFonts w:ascii="Calibri" w:hAnsi="Calibri" w:cs="Calibri"/>
        <w:i/>
      </w:rPr>
      <w:t>23</w:t>
    </w:r>
    <w:r w:rsidRPr="006F2303">
      <w:rPr>
        <w:rFonts w:ascii="Calibri" w:hAnsi="Calibri" w:cs="Calibri"/>
        <w:i/>
      </w:rPr>
      <w:t xml:space="preserve">-01 </w:t>
    </w:r>
    <w:proofErr w:type="spellStart"/>
    <w:r w:rsidRPr="006F2303">
      <w:rPr>
        <w:rFonts w:ascii="Calibri" w:hAnsi="Calibri" w:cs="Calibri"/>
        <w:i/>
      </w:rPr>
      <w:t>LLRR</w:t>
    </w:r>
    <w:proofErr w:type="spellEnd"/>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1CD"/>
    <w:rsid w:val="0000074F"/>
    <w:rsid w:val="0000145D"/>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481A"/>
    <w:rsid w:val="00037717"/>
    <w:rsid w:val="000378CE"/>
    <w:rsid w:val="0004057A"/>
    <w:rsid w:val="00041035"/>
    <w:rsid w:val="000426DF"/>
    <w:rsid w:val="00045583"/>
    <w:rsid w:val="000539EE"/>
    <w:rsid w:val="000557CF"/>
    <w:rsid w:val="000602F3"/>
    <w:rsid w:val="00070885"/>
    <w:rsid w:val="00073C11"/>
    <w:rsid w:val="00073FC1"/>
    <w:rsid w:val="00077288"/>
    <w:rsid w:val="00082B69"/>
    <w:rsid w:val="0008352A"/>
    <w:rsid w:val="00083D70"/>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1C5A"/>
    <w:rsid w:val="001440A0"/>
    <w:rsid w:val="00144808"/>
    <w:rsid w:val="00144F59"/>
    <w:rsid w:val="001454DA"/>
    <w:rsid w:val="001469BE"/>
    <w:rsid w:val="00147B6F"/>
    <w:rsid w:val="00154CAC"/>
    <w:rsid w:val="00154E71"/>
    <w:rsid w:val="001605CE"/>
    <w:rsid w:val="00164383"/>
    <w:rsid w:val="00170B4F"/>
    <w:rsid w:val="00170BE7"/>
    <w:rsid w:val="00170D54"/>
    <w:rsid w:val="001720A4"/>
    <w:rsid w:val="0017695E"/>
    <w:rsid w:val="00181456"/>
    <w:rsid w:val="00182CE6"/>
    <w:rsid w:val="00182D8B"/>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19E7"/>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623"/>
    <w:rsid w:val="002508C8"/>
    <w:rsid w:val="00250A89"/>
    <w:rsid w:val="002551CD"/>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1E48"/>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B35E1"/>
    <w:rsid w:val="003C1FF7"/>
    <w:rsid w:val="003C23B2"/>
    <w:rsid w:val="003C58A8"/>
    <w:rsid w:val="003C7277"/>
    <w:rsid w:val="003C771A"/>
    <w:rsid w:val="003D05FD"/>
    <w:rsid w:val="003D1FEE"/>
    <w:rsid w:val="003D2C67"/>
    <w:rsid w:val="003D5E3D"/>
    <w:rsid w:val="003D637D"/>
    <w:rsid w:val="003D6411"/>
    <w:rsid w:val="003D741C"/>
    <w:rsid w:val="003E0BE1"/>
    <w:rsid w:val="003E1342"/>
    <w:rsid w:val="003E18D8"/>
    <w:rsid w:val="003E6859"/>
    <w:rsid w:val="003F751D"/>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31C8"/>
    <w:rsid w:val="004A4B66"/>
    <w:rsid w:val="004A7712"/>
    <w:rsid w:val="004B1BE6"/>
    <w:rsid w:val="004B23EF"/>
    <w:rsid w:val="004B283C"/>
    <w:rsid w:val="004B2CC1"/>
    <w:rsid w:val="004B3971"/>
    <w:rsid w:val="004C14DF"/>
    <w:rsid w:val="004C269E"/>
    <w:rsid w:val="004C3D53"/>
    <w:rsid w:val="004C5362"/>
    <w:rsid w:val="004D328C"/>
    <w:rsid w:val="004D5521"/>
    <w:rsid w:val="004E0A26"/>
    <w:rsid w:val="004E51C2"/>
    <w:rsid w:val="004E759E"/>
    <w:rsid w:val="004F34F3"/>
    <w:rsid w:val="004F3FE9"/>
    <w:rsid w:val="004F402D"/>
    <w:rsid w:val="004F4A0C"/>
    <w:rsid w:val="004F63B7"/>
    <w:rsid w:val="004F7553"/>
    <w:rsid w:val="00502897"/>
    <w:rsid w:val="005033BE"/>
    <w:rsid w:val="00504903"/>
    <w:rsid w:val="005067BB"/>
    <w:rsid w:val="005073A0"/>
    <w:rsid w:val="00510F15"/>
    <w:rsid w:val="00511362"/>
    <w:rsid w:val="00513176"/>
    <w:rsid w:val="00515B0E"/>
    <w:rsid w:val="00523F0F"/>
    <w:rsid w:val="005261AA"/>
    <w:rsid w:val="00530709"/>
    <w:rsid w:val="00532DF0"/>
    <w:rsid w:val="00534744"/>
    <w:rsid w:val="00537B57"/>
    <w:rsid w:val="00540948"/>
    <w:rsid w:val="00542CE3"/>
    <w:rsid w:val="00547417"/>
    <w:rsid w:val="00551743"/>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97A3A"/>
    <w:rsid w:val="005A3954"/>
    <w:rsid w:val="005A5A28"/>
    <w:rsid w:val="005B1749"/>
    <w:rsid w:val="005B3F17"/>
    <w:rsid w:val="005B51AB"/>
    <w:rsid w:val="005B7C4B"/>
    <w:rsid w:val="005C2FDC"/>
    <w:rsid w:val="005C434A"/>
    <w:rsid w:val="005C60B4"/>
    <w:rsid w:val="005C6A0B"/>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5F7966"/>
    <w:rsid w:val="00602CAB"/>
    <w:rsid w:val="00603495"/>
    <w:rsid w:val="0060616C"/>
    <w:rsid w:val="006128BE"/>
    <w:rsid w:val="00612EBD"/>
    <w:rsid w:val="0061392E"/>
    <w:rsid w:val="006167BC"/>
    <w:rsid w:val="00616E79"/>
    <w:rsid w:val="006223F7"/>
    <w:rsid w:val="006235DB"/>
    <w:rsid w:val="00626D38"/>
    <w:rsid w:val="00627040"/>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7FDF"/>
    <w:rsid w:val="006C148D"/>
    <w:rsid w:val="006C1578"/>
    <w:rsid w:val="006C6131"/>
    <w:rsid w:val="006C61B8"/>
    <w:rsid w:val="006C67EF"/>
    <w:rsid w:val="006D0895"/>
    <w:rsid w:val="006D1431"/>
    <w:rsid w:val="006D1BF2"/>
    <w:rsid w:val="006D72FA"/>
    <w:rsid w:val="006E109D"/>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1B4"/>
    <w:rsid w:val="007B06A8"/>
    <w:rsid w:val="007B0B58"/>
    <w:rsid w:val="007C147C"/>
    <w:rsid w:val="007C2905"/>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5227"/>
    <w:rsid w:val="00815618"/>
    <w:rsid w:val="0083071A"/>
    <w:rsid w:val="00836EE1"/>
    <w:rsid w:val="008404FD"/>
    <w:rsid w:val="00840AC4"/>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97A18"/>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0A84"/>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4C14"/>
    <w:rsid w:val="00947524"/>
    <w:rsid w:val="00953029"/>
    <w:rsid w:val="00955614"/>
    <w:rsid w:val="009600DB"/>
    <w:rsid w:val="00960787"/>
    <w:rsid w:val="009645BB"/>
    <w:rsid w:val="00965470"/>
    <w:rsid w:val="00965C04"/>
    <w:rsid w:val="0096793A"/>
    <w:rsid w:val="00971480"/>
    <w:rsid w:val="009721FE"/>
    <w:rsid w:val="00977144"/>
    <w:rsid w:val="009800D0"/>
    <w:rsid w:val="00982B46"/>
    <w:rsid w:val="00982D1F"/>
    <w:rsid w:val="00984E65"/>
    <w:rsid w:val="00991EC2"/>
    <w:rsid w:val="00993204"/>
    <w:rsid w:val="009A0817"/>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4E45"/>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66013"/>
    <w:rsid w:val="00A703E3"/>
    <w:rsid w:val="00A72BB3"/>
    <w:rsid w:val="00A72CE2"/>
    <w:rsid w:val="00A7374A"/>
    <w:rsid w:val="00A824C1"/>
    <w:rsid w:val="00A84BE2"/>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B74DB"/>
    <w:rsid w:val="00AC3AFA"/>
    <w:rsid w:val="00AC3B54"/>
    <w:rsid w:val="00AC43EA"/>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4676A"/>
    <w:rsid w:val="00B50E55"/>
    <w:rsid w:val="00B51070"/>
    <w:rsid w:val="00B56314"/>
    <w:rsid w:val="00B6337A"/>
    <w:rsid w:val="00B63CBF"/>
    <w:rsid w:val="00B70B6C"/>
    <w:rsid w:val="00B70B6D"/>
    <w:rsid w:val="00B71ACD"/>
    <w:rsid w:val="00B7680C"/>
    <w:rsid w:val="00B806ED"/>
    <w:rsid w:val="00B80AB6"/>
    <w:rsid w:val="00B92AB4"/>
    <w:rsid w:val="00B960DF"/>
    <w:rsid w:val="00B96263"/>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25D91"/>
    <w:rsid w:val="00C32A6F"/>
    <w:rsid w:val="00C34B6F"/>
    <w:rsid w:val="00C35F68"/>
    <w:rsid w:val="00C37B5C"/>
    <w:rsid w:val="00C42051"/>
    <w:rsid w:val="00C52CF4"/>
    <w:rsid w:val="00C6677A"/>
    <w:rsid w:val="00C66938"/>
    <w:rsid w:val="00C6731E"/>
    <w:rsid w:val="00C67CDE"/>
    <w:rsid w:val="00C82C7A"/>
    <w:rsid w:val="00C8450D"/>
    <w:rsid w:val="00C85F9E"/>
    <w:rsid w:val="00C861F3"/>
    <w:rsid w:val="00C9261A"/>
    <w:rsid w:val="00C93C5F"/>
    <w:rsid w:val="00C93C7B"/>
    <w:rsid w:val="00C93D6D"/>
    <w:rsid w:val="00C95487"/>
    <w:rsid w:val="00CA2CF0"/>
    <w:rsid w:val="00CA3BCF"/>
    <w:rsid w:val="00CA48FA"/>
    <w:rsid w:val="00CA56A9"/>
    <w:rsid w:val="00CA64B0"/>
    <w:rsid w:val="00CA7A61"/>
    <w:rsid w:val="00CC0F99"/>
    <w:rsid w:val="00CC3457"/>
    <w:rsid w:val="00CC41F7"/>
    <w:rsid w:val="00CC4FC5"/>
    <w:rsid w:val="00CC6516"/>
    <w:rsid w:val="00CD02D2"/>
    <w:rsid w:val="00CD0CBF"/>
    <w:rsid w:val="00CD46C0"/>
    <w:rsid w:val="00CD4AB7"/>
    <w:rsid w:val="00CD61D9"/>
    <w:rsid w:val="00CE186E"/>
    <w:rsid w:val="00CE453D"/>
    <w:rsid w:val="00CE4FAD"/>
    <w:rsid w:val="00CF0413"/>
    <w:rsid w:val="00CF06BF"/>
    <w:rsid w:val="00CF2413"/>
    <w:rsid w:val="00CF259F"/>
    <w:rsid w:val="00CF2E47"/>
    <w:rsid w:val="00CF35A6"/>
    <w:rsid w:val="00CF3C6C"/>
    <w:rsid w:val="00CF7010"/>
    <w:rsid w:val="00CF7B32"/>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890"/>
    <w:rsid w:val="00D53ADD"/>
    <w:rsid w:val="00D574B8"/>
    <w:rsid w:val="00D63659"/>
    <w:rsid w:val="00D6728C"/>
    <w:rsid w:val="00D7118F"/>
    <w:rsid w:val="00D73274"/>
    <w:rsid w:val="00D73CBC"/>
    <w:rsid w:val="00D758AB"/>
    <w:rsid w:val="00D75C32"/>
    <w:rsid w:val="00D761C2"/>
    <w:rsid w:val="00D82768"/>
    <w:rsid w:val="00D90DCB"/>
    <w:rsid w:val="00D91BEB"/>
    <w:rsid w:val="00D91D05"/>
    <w:rsid w:val="00D933B7"/>
    <w:rsid w:val="00D948C6"/>
    <w:rsid w:val="00D94E49"/>
    <w:rsid w:val="00D956E3"/>
    <w:rsid w:val="00D95C78"/>
    <w:rsid w:val="00D973D0"/>
    <w:rsid w:val="00D9750B"/>
    <w:rsid w:val="00DA192B"/>
    <w:rsid w:val="00DA1C2A"/>
    <w:rsid w:val="00DA3654"/>
    <w:rsid w:val="00DA3BD1"/>
    <w:rsid w:val="00DB00BC"/>
    <w:rsid w:val="00DB1D36"/>
    <w:rsid w:val="00DB2346"/>
    <w:rsid w:val="00DB6059"/>
    <w:rsid w:val="00DB6B4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DF6AE1"/>
    <w:rsid w:val="00E0559D"/>
    <w:rsid w:val="00E0685A"/>
    <w:rsid w:val="00E06B96"/>
    <w:rsid w:val="00E07EEF"/>
    <w:rsid w:val="00E1029B"/>
    <w:rsid w:val="00E12383"/>
    <w:rsid w:val="00E15135"/>
    <w:rsid w:val="00E17947"/>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0518"/>
    <w:rsid w:val="00E51806"/>
    <w:rsid w:val="00E521DA"/>
    <w:rsid w:val="00E55393"/>
    <w:rsid w:val="00E56401"/>
    <w:rsid w:val="00E56AAF"/>
    <w:rsid w:val="00E57A86"/>
    <w:rsid w:val="00E61687"/>
    <w:rsid w:val="00E619D8"/>
    <w:rsid w:val="00E61CFE"/>
    <w:rsid w:val="00E67AAB"/>
    <w:rsid w:val="00E70E4B"/>
    <w:rsid w:val="00E72608"/>
    <w:rsid w:val="00E75B0E"/>
    <w:rsid w:val="00E77EB2"/>
    <w:rsid w:val="00E811A7"/>
    <w:rsid w:val="00E86B83"/>
    <w:rsid w:val="00E920A7"/>
    <w:rsid w:val="00E94392"/>
    <w:rsid w:val="00E979D2"/>
    <w:rsid w:val="00EA34B4"/>
    <w:rsid w:val="00EA3DE4"/>
    <w:rsid w:val="00EA47A2"/>
    <w:rsid w:val="00EB19F3"/>
    <w:rsid w:val="00EB5793"/>
    <w:rsid w:val="00EB6074"/>
    <w:rsid w:val="00EB62D7"/>
    <w:rsid w:val="00EB72FB"/>
    <w:rsid w:val="00EC0B17"/>
    <w:rsid w:val="00EC4BBA"/>
    <w:rsid w:val="00EC519C"/>
    <w:rsid w:val="00ED117C"/>
    <w:rsid w:val="00ED4349"/>
    <w:rsid w:val="00ED506C"/>
    <w:rsid w:val="00ED70B1"/>
    <w:rsid w:val="00EE1700"/>
    <w:rsid w:val="00EE186F"/>
    <w:rsid w:val="00EE2A4D"/>
    <w:rsid w:val="00EF0336"/>
    <w:rsid w:val="00EF69BA"/>
    <w:rsid w:val="00EF73DE"/>
    <w:rsid w:val="00F00F4D"/>
    <w:rsid w:val="00F05F0F"/>
    <w:rsid w:val="00F10094"/>
    <w:rsid w:val="00F10D94"/>
    <w:rsid w:val="00F207CD"/>
    <w:rsid w:val="00F21836"/>
    <w:rsid w:val="00F23475"/>
    <w:rsid w:val="00F2575F"/>
    <w:rsid w:val="00F25E89"/>
    <w:rsid w:val="00F278D5"/>
    <w:rsid w:val="00F27C3C"/>
    <w:rsid w:val="00F36966"/>
    <w:rsid w:val="00F37133"/>
    <w:rsid w:val="00F40A1D"/>
    <w:rsid w:val="00F430EE"/>
    <w:rsid w:val="00F437F8"/>
    <w:rsid w:val="00F44DBD"/>
    <w:rsid w:val="00F453F1"/>
    <w:rsid w:val="00F465E7"/>
    <w:rsid w:val="00F503EE"/>
    <w:rsid w:val="00F53802"/>
    <w:rsid w:val="00F55497"/>
    <w:rsid w:val="00F601E9"/>
    <w:rsid w:val="00F6278C"/>
    <w:rsid w:val="00F70D3D"/>
    <w:rsid w:val="00F735D2"/>
    <w:rsid w:val="00F735F8"/>
    <w:rsid w:val="00F7565A"/>
    <w:rsid w:val="00F76084"/>
    <w:rsid w:val="00F76CAD"/>
    <w:rsid w:val="00F77D80"/>
    <w:rsid w:val="00F878BF"/>
    <w:rsid w:val="00F91C7F"/>
    <w:rsid w:val="00F92B15"/>
    <w:rsid w:val="00F92E55"/>
    <w:rsid w:val="00F96593"/>
    <w:rsid w:val="00FA09AB"/>
    <w:rsid w:val="00FA1550"/>
    <w:rsid w:val="00FA1578"/>
    <w:rsid w:val="00FA7D23"/>
    <w:rsid w:val="00FA7F1C"/>
    <w:rsid w:val="00FA7FE1"/>
    <w:rsid w:val="00FB0BE0"/>
    <w:rsid w:val="00FB21C4"/>
    <w:rsid w:val="00FB49E3"/>
    <w:rsid w:val="00FC0999"/>
    <w:rsid w:val="00FC0BB6"/>
    <w:rsid w:val="00FC7BEE"/>
    <w:rsid w:val="00FD17BA"/>
    <w:rsid w:val="00FD1AEE"/>
    <w:rsid w:val="00FD349C"/>
    <w:rsid w:val="00FD6E2F"/>
    <w:rsid w:val="00FD72DA"/>
    <w:rsid w:val="00FF09E8"/>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BB518-902A-4ECA-9141-7AF5C28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4A48-F55F-4A45-B018-7B4663EF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Henry Lora Rodriguez</cp:lastModifiedBy>
  <cp:revision>15</cp:revision>
  <cp:lastPrinted>2018-08-22T12:35:00Z</cp:lastPrinted>
  <dcterms:created xsi:type="dcterms:W3CDTF">2018-08-21T15:25:00Z</dcterms:created>
  <dcterms:modified xsi:type="dcterms:W3CDTF">2018-10-18T12:10:00Z</dcterms:modified>
</cp:coreProperties>
</file>