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0E2611" w:rsidRDefault="000E2611" w:rsidP="002403C8">
      <w:pPr>
        <w:pStyle w:val="Sinespaciado"/>
        <w:tabs>
          <w:tab w:val="left" w:pos="3579"/>
        </w:tabs>
        <w:spacing w:line="360" w:lineRule="auto"/>
        <w:jc w:val="center"/>
        <w:rPr>
          <w:rFonts w:ascii="Georgia" w:hAnsi="Georgia" w:cs="Arial"/>
          <w:w w:val="140"/>
          <w:sz w:val="14"/>
        </w:rPr>
      </w:pPr>
    </w:p>
    <w:p w:rsidR="000E2611" w:rsidRDefault="000E2611" w:rsidP="002403C8">
      <w:pPr>
        <w:pStyle w:val="Sinespaciado"/>
        <w:tabs>
          <w:tab w:val="left" w:pos="3579"/>
        </w:tabs>
        <w:spacing w:line="360" w:lineRule="auto"/>
        <w:jc w:val="center"/>
        <w:rPr>
          <w:rFonts w:ascii="Georgia" w:hAnsi="Georgia" w:cs="Arial"/>
          <w:w w:val="140"/>
          <w:sz w:val="14"/>
        </w:rPr>
      </w:pPr>
    </w:p>
    <w:p w:rsidR="000E2611" w:rsidRPr="008730FA" w:rsidRDefault="000E2611" w:rsidP="000E2611">
      <w:pPr>
        <w:pBdr>
          <w:top w:val="single" w:sz="4" w:space="1" w:color="auto"/>
          <w:left w:val="single" w:sz="4" w:space="4" w:color="auto"/>
          <w:bottom w:val="single" w:sz="4" w:space="1" w:color="auto"/>
          <w:right w:val="single" w:sz="4" w:space="4" w:color="auto"/>
        </w:pBdr>
        <w:rPr>
          <w:rFonts w:ascii="Arial" w:hAnsi="Arial" w:cs="Arial"/>
          <w:color w:val="FF0000"/>
          <w:sz w:val="20"/>
          <w:szCs w:val="20"/>
          <w:lang w:val="es-CO" w:eastAsia="fr-FR"/>
        </w:rPr>
      </w:pPr>
      <w:r w:rsidRPr="008730FA">
        <w:rPr>
          <w:rFonts w:ascii="Arial" w:hAnsi="Arial" w:cs="Arial"/>
          <w:color w:val="FF0000"/>
          <w:sz w:val="20"/>
          <w:szCs w:val="20"/>
          <w:lang w:val="es-CO" w:eastAsia="fr-FR"/>
        </w:rPr>
        <w:t>El siguiente es el documento presentado por el Magistrado Ponente que sirvió de base para proferir la providencia dentro del presente proceso. El contenido total y fiel de la decisión debe ser verificado en la Secretaría de esta Sala.</w:t>
      </w:r>
    </w:p>
    <w:p w:rsidR="000E2611" w:rsidRPr="005A1872" w:rsidRDefault="000E2611" w:rsidP="000E2611">
      <w:pPr>
        <w:rPr>
          <w:rFonts w:ascii="Arial" w:hAnsi="Arial" w:cs="Arial"/>
          <w:color w:val="222222"/>
          <w:sz w:val="22"/>
          <w:szCs w:val="22"/>
          <w:lang w:val="es-CO" w:eastAsia="fr-FR"/>
        </w:rPr>
      </w:pPr>
    </w:p>
    <w:p w:rsidR="000E2611" w:rsidRPr="00236AEB" w:rsidRDefault="000E2611" w:rsidP="00236AEB">
      <w:pPr>
        <w:rPr>
          <w:rFonts w:ascii="Arial" w:hAnsi="Arial" w:cs="Arial"/>
          <w:color w:val="222222"/>
          <w:sz w:val="22"/>
          <w:szCs w:val="22"/>
          <w:lang w:val="es-CO" w:eastAsia="fr-FR"/>
        </w:rPr>
      </w:pPr>
      <w:r w:rsidRPr="00236AEB">
        <w:rPr>
          <w:rFonts w:ascii="Arial" w:hAnsi="Arial" w:cs="Arial"/>
          <w:color w:val="222222"/>
          <w:sz w:val="22"/>
          <w:szCs w:val="22"/>
          <w:lang w:val="es-CO" w:eastAsia="fr-FR"/>
        </w:rPr>
        <w:t>Providencia</w:t>
      </w:r>
      <w:r w:rsidRPr="00236AEB">
        <w:rPr>
          <w:rFonts w:ascii="Arial" w:hAnsi="Arial" w:cs="Arial"/>
          <w:color w:val="222222"/>
          <w:sz w:val="22"/>
          <w:szCs w:val="22"/>
          <w:lang w:val="es-CO" w:eastAsia="fr-FR"/>
        </w:rPr>
        <w:tab/>
      </w:r>
      <w:r w:rsidRPr="00236AEB">
        <w:rPr>
          <w:rFonts w:ascii="Arial" w:hAnsi="Arial" w:cs="Arial"/>
          <w:color w:val="222222"/>
          <w:sz w:val="22"/>
          <w:szCs w:val="22"/>
          <w:lang w:val="es-CO" w:eastAsia="fr-FR"/>
        </w:rPr>
        <w:tab/>
        <w:t>:</w:t>
      </w:r>
      <w:r w:rsidR="00236AEB" w:rsidRPr="00236AEB">
        <w:rPr>
          <w:rFonts w:ascii="Arial" w:hAnsi="Arial" w:cs="Arial"/>
          <w:color w:val="222222"/>
          <w:sz w:val="22"/>
          <w:szCs w:val="22"/>
          <w:lang w:val="es-CO" w:eastAsia="fr-FR"/>
        </w:rPr>
        <w:t xml:space="preserve"> </w:t>
      </w:r>
      <w:r w:rsidRPr="00236AEB">
        <w:rPr>
          <w:rFonts w:ascii="Arial" w:hAnsi="Arial" w:cs="Arial"/>
          <w:color w:val="222222"/>
          <w:sz w:val="22"/>
          <w:szCs w:val="22"/>
          <w:lang w:val="es-CO" w:eastAsia="fr-FR"/>
        </w:rPr>
        <w:t>Sentencia  – 1ª Instancia – 14 de septiembre de 2018</w:t>
      </w:r>
    </w:p>
    <w:p w:rsidR="000E2611" w:rsidRPr="00236AEB" w:rsidRDefault="000E2611" w:rsidP="00236AEB">
      <w:pPr>
        <w:rPr>
          <w:rFonts w:ascii="Arial" w:hAnsi="Arial" w:cs="Arial"/>
          <w:color w:val="222222"/>
          <w:sz w:val="22"/>
          <w:szCs w:val="22"/>
          <w:lang w:eastAsia="fr-FR"/>
        </w:rPr>
      </w:pPr>
      <w:r w:rsidRPr="00236AEB">
        <w:rPr>
          <w:rFonts w:ascii="Arial" w:hAnsi="Arial" w:cs="Arial"/>
          <w:color w:val="222222"/>
          <w:sz w:val="22"/>
          <w:szCs w:val="22"/>
          <w:lang w:val="es-CO" w:eastAsia="fr-FR"/>
        </w:rPr>
        <w:t xml:space="preserve">Proceso                     </w:t>
      </w:r>
      <w:r w:rsidR="00236AEB">
        <w:rPr>
          <w:rFonts w:ascii="Arial" w:hAnsi="Arial" w:cs="Arial"/>
          <w:color w:val="222222"/>
          <w:sz w:val="22"/>
          <w:szCs w:val="22"/>
          <w:lang w:val="es-CO" w:eastAsia="fr-FR"/>
        </w:rPr>
        <w:t xml:space="preserve"> </w:t>
      </w:r>
      <w:r w:rsidR="00236AEB" w:rsidRPr="00236AEB">
        <w:rPr>
          <w:rFonts w:ascii="Arial" w:hAnsi="Arial" w:cs="Arial"/>
          <w:color w:val="222222"/>
          <w:sz w:val="22"/>
          <w:szCs w:val="22"/>
          <w:lang w:val="es-CO" w:eastAsia="fr-FR"/>
        </w:rPr>
        <w:t>:</w:t>
      </w:r>
      <w:r w:rsidR="00236AEB">
        <w:rPr>
          <w:rFonts w:ascii="Arial" w:hAnsi="Arial" w:cs="Arial"/>
          <w:color w:val="222222"/>
          <w:sz w:val="22"/>
          <w:szCs w:val="22"/>
          <w:lang w:val="es-CO" w:eastAsia="fr-FR"/>
        </w:rPr>
        <w:t xml:space="preserve"> </w:t>
      </w:r>
      <w:r w:rsidRPr="00236AEB">
        <w:rPr>
          <w:rFonts w:ascii="Arial" w:hAnsi="Arial" w:cs="Arial"/>
          <w:color w:val="222222"/>
          <w:sz w:val="22"/>
          <w:szCs w:val="22"/>
          <w:lang w:val="es-CO" w:eastAsia="fr-FR"/>
        </w:rPr>
        <w:t xml:space="preserve">Acción de Tutela  </w:t>
      </w:r>
    </w:p>
    <w:p w:rsidR="00236AEB" w:rsidRPr="00236AEB" w:rsidRDefault="00236AEB" w:rsidP="00236AEB">
      <w:pPr>
        <w:pStyle w:val="Textoindependiente"/>
        <w:spacing w:line="240" w:lineRule="auto"/>
        <w:ind w:left="1416" w:hanging="1416"/>
        <w:rPr>
          <w:rFonts w:ascii="Arial" w:hAnsi="Arial" w:cs="Arial"/>
          <w:sz w:val="22"/>
        </w:rPr>
      </w:pPr>
      <w:r w:rsidRPr="00236AEB">
        <w:rPr>
          <w:rFonts w:ascii="Arial" w:hAnsi="Arial" w:cs="Arial"/>
          <w:sz w:val="22"/>
        </w:rPr>
        <w:t>Accionante</w:t>
      </w:r>
      <w:r w:rsidRPr="00236AEB">
        <w:rPr>
          <w:rFonts w:ascii="Arial" w:hAnsi="Arial" w:cs="Arial"/>
          <w:sz w:val="22"/>
        </w:rPr>
        <w:tab/>
      </w:r>
      <w:r w:rsidRPr="00236AEB">
        <w:rPr>
          <w:rFonts w:ascii="Arial" w:hAnsi="Arial" w:cs="Arial"/>
          <w:sz w:val="22"/>
        </w:rPr>
        <w:tab/>
        <w:t>: Javier Elías Arias Idárraga</w:t>
      </w:r>
    </w:p>
    <w:p w:rsidR="00236AEB" w:rsidRPr="00236AEB" w:rsidRDefault="00236AEB" w:rsidP="00236AEB">
      <w:pPr>
        <w:pStyle w:val="Textoindependiente"/>
        <w:spacing w:line="240" w:lineRule="auto"/>
        <w:ind w:left="1416" w:hanging="1416"/>
        <w:rPr>
          <w:rFonts w:ascii="Arial" w:hAnsi="Arial" w:cs="Arial"/>
          <w:sz w:val="22"/>
        </w:rPr>
      </w:pPr>
      <w:r w:rsidRPr="00236AEB">
        <w:rPr>
          <w:rFonts w:ascii="Arial" w:hAnsi="Arial" w:cs="Arial"/>
          <w:sz w:val="22"/>
        </w:rPr>
        <w:t>Accionado (s)</w:t>
      </w:r>
      <w:r w:rsidRPr="00236AEB">
        <w:rPr>
          <w:rFonts w:ascii="Arial" w:hAnsi="Arial" w:cs="Arial"/>
          <w:sz w:val="22"/>
        </w:rPr>
        <w:tab/>
      </w:r>
      <w:r w:rsidRPr="00236AEB">
        <w:rPr>
          <w:rFonts w:ascii="Arial" w:hAnsi="Arial" w:cs="Arial"/>
          <w:sz w:val="22"/>
        </w:rPr>
        <w:tab/>
        <w:t xml:space="preserve">: Juzgado Quinto Civil del Circuito de Pereira </w:t>
      </w:r>
    </w:p>
    <w:p w:rsidR="00236AEB" w:rsidRPr="00236AEB" w:rsidRDefault="00236AEB" w:rsidP="00236AEB">
      <w:pPr>
        <w:pStyle w:val="Textoindependiente"/>
        <w:spacing w:line="240" w:lineRule="auto"/>
        <w:rPr>
          <w:rFonts w:ascii="Arial" w:hAnsi="Arial" w:cs="Arial"/>
          <w:sz w:val="22"/>
          <w:szCs w:val="22"/>
        </w:rPr>
      </w:pPr>
      <w:r w:rsidRPr="00236AEB">
        <w:rPr>
          <w:rFonts w:ascii="Arial" w:hAnsi="Arial" w:cs="Arial"/>
          <w:sz w:val="22"/>
          <w:szCs w:val="22"/>
        </w:rPr>
        <w:t>Vinculado (s)</w:t>
      </w:r>
      <w:r w:rsidRPr="00236AEB">
        <w:rPr>
          <w:rFonts w:ascii="Arial" w:hAnsi="Arial" w:cs="Arial"/>
          <w:sz w:val="22"/>
          <w:szCs w:val="22"/>
        </w:rPr>
        <w:tab/>
      </w:r>
      <w:r w:rsidRPr="00236AEB">
        <w:rPr>
          <w:rFonts w:ascii="Arial" w:hAnsi="Arial" w:cs="Arial"/>
          <w:sz w:val="22"/>
          <w:szCs w:val="22"/>
        </w:rPr>
        <w:tab/>
        <w:t>: Defensoría del Pueblo, Regional Bolívar y otros</w:t>
      </w:r>
    </w:p>
    <w:p w:rsidR="00236AEB" w:rsidRPr="00236AEB" w:rsidRDefault="00236AEB" w:rsidP="00236AEB">
      <w:pPr>
        <w:pStyle w:val="Textoindependiente"/>
        <w:spacing w:line="240" w:lineRule="auto"/>
        <w:ind w:left="1416" w:hanging="1416"/>
        <w:rPr>
          <w:rFonts w:ascii="Arial" w:hAnsi="Arial" w:cs="Arial"/>
          <w:sz w:val="22"/>
        </w:rPr>
      </w:pPr>
      <w:r w:rsidRPr="00236AEB">
        <w:rPr>
          <w:rFonts w:ascii="Arial" w:hAnsi="Arial" w:cs="Arial"/>
          <w:sz w:val="22"/>
        </w:rPr>
        <w:t>Radicación</w:t>
      </w:r>
      <w:r w:rsidRPr="00236AEB">
        <w:rPr>
          <w:rFonts w:ascii="Arial" w:hAnsi="Arial" w:cs="Arial"/>
          <w:sz w:val="22"/>
        </w:rPr>
        <w:tab/>
      </w:r>
      <w:r w:rsidRPr="00236AEB">
        <w:rPr>
          <w:rFonts w:ascii="Arial" w:hAnsi="Arial" w:cs="Arial"/>
          <w:sz w:val="22"/>
        </w:rPr>
        <w:tab/>
        <w:t>: 2018-00685-00 y 2018-00732-00</w:t>
      </w:r>
    </w:p>
    <w:p w:rsidR="000E2611" w:rsidRPr="00236AEB" w:rsidRDefault="000E2611" w:rsidP="00236AEB">
      <w:pPr>
        <w:rPr>
          <w:rFonts w:ascii="Arial" w:hAnsi="Arial" w:cs="Arial"/>
          <w:lang w:val="es-CO" w:eastAsia="fr-FR"/>
        </w:rPr>
      </w:pPr>
      <w:r w:rsidRPr="00236AEB">
        <w:rPr>
          <w:rFonts w:ascii="Arial" w:hAnsi="Arial" w:cs="Arial"/>
          <w:color w:val="222222"/>
          <w:sz w:val="22"/>
          <w:szCs w:val="22"/>
          <w:lang w:val="es-CO" w:eastAsia="fr-FR"/>
        </w:rPr>
        <w:t>Magistrado Ponente</w:t>
      </w:r>
      <w:r w:rsidRPr="00236AEB">
        <w:rPr>
          <w:rFonts w:ascii="Arial" w:hAnsi="Arial" w:cs="Arial"/>
          <w:color w:val="222222"/>
          <w:sz w:val="22"/>
          <w:szCs w:val="22"/>
          <w:lang w:val="es-CO" w:eastAsia="fr-FR"/>
        </w:rPr>
        <w:tab/>
      </w:r>
      <w:r w:rsidR="00236AEB" w:rsidRPr="00236AEB">
        <w:rPr>
          <w:rFonts w:ascii="Arial" w:hAnsi="Arial" w:cs="Arial"/>
          <w:color w:val="222222"/>
          <w:sz w:val="22"/>
          <w:szCs w:val="22"/>
          <w:lang w:val="es-CO" w:eastAsia="fr-FR"/>
        </w:rPr>
        <w:t>:</w:t>
      </w:r>
      <w:r w:rsidRPr="00236AEB">
        <w:rPr>
          <w:rFonts w:ascii="Arial" w:hAnsi="Arial" w:cs="Arial"/>
          <w:color w:val="222222"/>
          <w:sz w:val="22"/>
          <w:szCs w:val="22"/>
          <w:lang w:val="es-CO" w:eastAsia="fr-FR"/>
        </w:rPr>
        <w:t xml:space="preserve"> Duberney Grisales Herrera  </w:t>
      </w:r>
    </w:p>
    <w:p w:rsidR="000E2611" w:rsidRPr="005A1872" w:rsidRDefault="000E2611" w:rsidP="000E2611">
      <w:pPr>
        <w:rPr>
          <w:rFonts w:ascii="Arial" w:hAnsi="Arial" w:cs="Arial"/>
          <w:lang w:val="es-CO" w:eastAsia="fr-FR"/>
        </w:rPr>
      </w:pPr>
    </w:p>
    <w:p w:rsidR="000E2611" w:rsidRPr="00A610ED" w:rsidRDefault="000E2611" w:rsidP="00A610ED">
      <w:pPr>
        <w:jc w:val="both"/>
        <w:rPr>
          <w:rFonts w:ascii="Arial" w:hAnsi="Arial" w:cs="Arial"/>
          <w:b/>
          <w:bCs/>
          <w:iCs/>
          <w:color w:val="222222"/>
          <w:sz w:val="22"/>
          <w:szCs w:val="22"/>
          <w:lang w:eastAsia="fr-FR"/>
        </w:rPr>
      </w:pPr>
      <w:r w:rsidRPr="00A610ED">
        <w:rPr>
          <w:rFonts w:ascii="Arial" w:hAnsi="Arial" w:cs="Arial"/>
          <w:b/>
          <w:bCs/>
          <w:iCs/>
          <w:color w:val="222222"/>
          <w:sz w:val="22"/>
          <w:szCs w:val="22"/>
          <w:lang w:val="es-CO" w:eastAsia="fr-FR"/>
        </w:rPr>
        <w:t xml:space="preserve">Temas: </w:t>
      </w:r>
      <w:r w:rsidRPr="00A610ED">
        <w:rPr>
          <w:rFonts w:ascii="Arial" w:hAnsi="Arial" w:cs="Arial"/>
          <w:b/>
          <w:bCs/>
          <w:iCs/>
          <w:color w:val="222222"/>
          <w:sz w:val="22"/>
          <w:szCs w:val="22"/>
          <w:lang w:val="es-CO" w:eastAsia="fr-FR"/>
        </w:rPr>
        <w:tab/>
      </w:r>
      <w:r w:rsidRPr="00A610ED">
        <w:rPr>
          <w:rFonts w:ascii="Arial" w:hAnsi="Arial" w:cs="Arial"/>
          <w:b/>
          <w:bCs/>
          <w:iCs/>
          <w:color w:val="222222"/>
          <w:sz w:val="22"/>
          <w:szCs w:val="22"/>
          <w:lang w:val="es-CO" w:eastAsia="fr-FR"/>
        </w:rPr>
        <w:tab/>
        <w:t xml:space="preserve">         DEBIDO PROCESO</w:t>
      </w:r>
      <w:r w:rsidRPr="00A610ED">
        <w:rPr>
          <w:rFonts w:ascii="Arial" w:hAnsi="Arial" w:cs="Arial"/>
          <w:b/>
          <w:bCs/>
          <w:iCs/>
          <w:color w:val="222222"/>
          <w:sz w:val="22"/>
          <w:szCs w:val="22"/>
          <w:lang w:eastAsia="fr-FR"/>
        </w:rPr>
        <w:t xml:space="preserve"> / TUTELA CONTRA PROVIDENCIA JUDICIAL / ACCI</w:t>
      </w:r>
      <w:r w:rsidR="00744F74">
        <w:rPr>
          <w:rFonts w:ascii="Arial" w:hAnsi="Arial" w:cs="Arial"/>
          <w:b/>
          <w:bCs/>
          <w:iCs/>
          <w:color w:val="222222"/>
          <w:sz w:val="22"/>
          <w:szCs w:val="22"/>
          <w:lang w:eastAsia="fr-FR"/>
        </w:rPr>
        <w:t>ONES POPULARS</w:t>
      </w:r>
      <w:bookmarkStart w:id="0" w:name="_GoBack"/>
      <w:bookmarkEnd w:id="0"/>
      <w:r w:rsidRPr="00A610ED">
        <w:rPr>
          <w:rFonts w:ascii="Arial" w:hAnsi="Arial" w:cs="Arial"/>
          <w:b/>
          <w:bCs/>
          <w:iCs/>
          <w:color w:val="222222"/>
          <w:sz w:val="22"/>
          <w:szCs w:val="22"/>
          <w:lang w:eastAsia="fr-FR"/>
        </w:rPr>
        <w:t xml:space="preserve"> / </w:t>
      </w:r>
      <w:r w:rsidR="00A610ED" w:rsidRPr="00A610ED">
        <w:rPr>
          <w:rFonts w:ascii="Arial" w:hAnsi="Arial" w:cs="Arial"/>
          <w:b/>
          <w:bCs/>
          <w:iCs/>
          <w:color w:val="222222"/>
          <w:sz w:val="22"/>
          <w:szCs w:val="22"/>
          <w:lang w:eastAsia="fr-FR"/>
        </w:rPr>
        <w:t xml:space="preserve">OMISIÓN INEXISTENTE (DEMORA JUDICIAL) </w:t>
      </w:r>
      <w:r w:rsidRPr="00A610ED">
        <w:rPr>
          <w:rFonts w:ascii="Arial" w:hAnsi="Arial" w:cs="Arial"/>
          <w:b/>
          <w:bCs/>
          <w:iCs/>
          <w:color w:val="222222"/>
          <w:sz w:val="22"/>
          <w:szCs w:val="22"/>
          <w:lang w:eastAsia="fr-FR"/>
        </w:rPr>
        <w:t>/</w:t>
      </w:r>
      <w:r w:rsidR="00A610ED" w:rsidRPr="00A610ED">
        <w:rPr>
          <w:rFonts w:ascii="Arial" w:hAnsi="Arial" w:cs="Arial"/>
          <w:b/>
          <w:bCs/>
          <w:iCs/>
          <w:color w:val="222222"/>
          <w:sz w:val="22"/>
          <w:szCs w:val="22"/>
          <w:lang w:eastAsia="fr-FR"/>
        </w:rPr>
        <w:t xml:space="preserve"> FALSA NARACCIÓN FÁCTICA</w:t>
      </w:r>
      <w:r w:rsidRPr="00A610ED">
        <w:rPr>
          <w:rFonts w:ascii="Arial" w:hAnsi="Arial" w:cs="Arial"/>
          <w:b/>
          <w:bCs/>
          <w:iCs/>
          <w:color w:val="222222"/>
          <w:sz w:val="22"/>
          <w:szCs w:val="22"/>
          <w:lang w:eastAsia="fr-FR"/>
        </w:rPr>
        <w:t xml:space="preserve">/ </w:t>
      </w:r>
      <w:r w:rsidR="000C2891">
        <w:rPr>
          <w:rFonts w:ascii="Arial" w:hAnsi="Arial" w:cs="Arial"/>
          <w:b/>
          <w:bCs/>
          <w:iCs/>
          <w:color w:val="222222"/>
          <w:sz w:val="22"/>
          <w:szCs w:val="22"/>
          <w:lang w:eastAsia="fr-FR"/>
        </w:rPr>
        <w:t>NIEGA</w:t>
      </w:r>
    </w:p>
    <w:p w:rsidR="00236AEB" w:rsidRPr="00A610ED" w:rsidRDefault="00236AEB" w:rsidP="00A610ED">
      <w:pPr>
        <w:jc w:val="both"/>
        <w:rPr>
          <w:rFonts w:ascii="Arial" w:hAnsi="Arial" w:cs="Arial"/>
          <w:b/>
          <w:bCs/>
          <w:iCs/>
          <w:color w:val="222222"/>
          <w:sz w:val="22"/>
          <w:szCs w:val="22"/>
          <w:lang w:eastAsia="fr-FR"/>
        </w:rPr>
      </w:pPr>
    </w:p>
    <w:p w:rsidR="00A610ED" w:rsidRPr="00A610ED" w:rsidRDefault="00A610ED" w:rsidP="00A610ED">
      <w:pPr>
        <w:pStyle w:val="Textoindependiente"/>
        <w:spacing w:line="240" w:lineRule="auto"/>
        <w:rPr>
          <w:rFonts w:ascii="Arial" w:hAnsi="Arial" w:cs="Arial"/>
          <w:sz w:val="22"/>
          <w:szCs w:val="22"/>
        </w:rPr>
      </w:pPr>
      <w:r w:rsidRPr="00A610ED">
        <w:rPr>
          <w:rFonts w:ascii="Arial" w:hAnsi="Arial" w:cs="Arial"/>
          <w:sz w:val="22"/>
          <w:szCs w:val="22"/>
        </w:rPr>
        <w:t xml:space="preserve">Revisado  el  acervo  probatorio  es  diáfano  que  el  término de tres (3) días (Artículo 20, Ley </w:t>
      </w:r>
    </w:p>
    <w:p w:rsidR="00A610ED" w:rsidRPr="00A610ED" w:rsidRDefault="00A610ED" w:rsidP="00A610ED">
      <w:pPr>
        <w:pStyle w:val="Textoindependiente"/>
        <w:spacing w:line="240" w:lineRule="auto"/>
        <w:rPr>
          <w:rFonts w:ascii="Arial" w:hAnsi="Arial" w:cs="Arial"/>
          <w:sz w:val="22"/>
          <w:szCs w:val="22"/>
        </w:rPr>
      </w:pPr>
      <w:r w:rsidRPr="00A610ED">
        <w:rPr>
          <w:rFonts w:ascii="Arial" w:hAnsi="Arial" w:cs="Arial"/>
          <w:sz w:val="22"/>
          <w:szCs w:val="22"/>
        </w:rPr>
        <w:t xml:space="preserve">472) de que disponía la </w:t>
      </w:r>
      <w:r w:rsidRPr="00A610ED">
        <w:rPr>
          <w:rFonts w:ascii="Arial" w:hAnsi="Arial" w:cs="Arial"/>
          <w:i/>
          <w:sz w:val="22"/>
          <w:szCs w:val="22"/>
        </w:rPr>
        <w:t>a quo</w:t>
      </w:r>
      <w:r w:rsidRPr="00A610ED">
        <w:rPr>
          <w:rFonts w:ascii="Arial" w:hAnsi="Arial" w:cs="Arial"/>
          <w:sz w:val="22"/>
          <w:szCs w:val="22"/>
        </w:rPr>
        <w:t xml:space="preserve"> para proveer al respecto aún no había vencido para el día en que se promovieron las tutelas; mírese que las acciones populares fueron presentadas el 30-08-2018 (Folios 32 y 37,  este cuaderno), por manera que el plazo acababa el 04-09-2018, esto es, el mismo día de la radicación de los amparos (Folios 2 y 4, ibídem).</w:t>
      </w:r>
    </w:p>
    <w:p w:rsidR="00A610ED" w:rsidRPr="00A610ED" w:rsidRDefault="00A610ED" w:rsidP="00A610ED">
      <w:pPr>
        <w:pStyle w:val="Textoindependiente"/>
        <w:spacing w:line="240" w:lineRule="auto"/>
        <w:rPr>
          <w:rFonts w:ascii="Arial" w:hAnsi="Arial" w:cs="Arial"/>
          <w:sz w:val="22"/>
          <w:szCs w:val="22"/>
        </w:rPr>
      </w:pPr>
    </w:p>
    <w:p w:rsidR="00A610ED" w:rsidRPr="00A610ED" w:rsidRDefault="00A610ED" w:rsidP="00A610ED">
      <w:pPr>
        <w:pStyle w:val="Textoindependiente"/>
        <w:spacing w:line="240" w:lineRule="auto"/>
        <w:rPr>
          <w:rFonts w:ascii="Arial" w:hAnsi="Arial" w:cs="Arial"/>
          <w:sz w:val="22"/>
          <w:szCs w:val="22"/>
          <w:lang w:val="es-CO"/>
        </w:rPr>
      </w:pPr>
      <w:r w:rsidRPr="00A610ED">
        <w:rPr>
          <w:rFonts w:ascii="Arial" w:hAnsi="Arial" w:cs="Arial"/>
          <w:sz w:val="22"/>
          <w:szCs w:val="22"/>
        </w:rPr>
        <w:t xml:space="preserve">Así las cosas, refulge obvio que es falsa la narración fáctica, pues se endilga </w:t>
      </w:r>
      <w:r w:rsidRPr="00A610ED">
        <w:rPr>
          <w:rFonts w:ascii="Arial" w:hAnsi="Arial" w:cs="Arial"/>
          <w:sz w:val="22"/>
          <w:szCs w:val="22"/>
          <w:lang w:val="es-CO"/>
        </w:rPr>
        <w:t xml:space="preserve">el agravio de los derechos con ocasión de una omisión inexistente (Demora judicial). Está claro que el actor interpuso estos mecanismos, sin siquiera esperar a que el término de ley venciera, apoyado en una afirmación falaz, de tal suerte que se denegarán. </w:t>
      </w:r>
    </w:p>
    <w:p w:rsidR="00A610ED" w:rsidRPr="00A610ED" w:rsidRDefault="00A610ED" w:rsidP="00A610ED">
      <w:pPr>
        <w:jc w:val="both"/>
        <w:rPr>
          <w:rFonts w:ascii="Arial" w:hAnsi="Arial" w:cs="Arial"/>
          <w:sz w:val="22"/>
          <w:szCs w:val="22"/>
          <w:lang w:val="es-ES_tradnl"/>
        </w:rPr>
      </w:pPr>
    </w:p>
    <w:p w:rsidR="00236AEB" w:rsidRDefault="00236AEB" w:rsidP="000E2611">
      <w:pPr>
        <w:jc w:val="both"/>
        <w:rPr>
          <w:rFonts w:ascii="Arial" w:hAnsi="Arial" w:cs="Arial"/>
          <w:b/>
          <w:bCs/>
          <w:iCs/>
          <w:color w:val="222222"/>
          <w:sz w:val="22"/>
          <w:szCs w:val="22"/>
          <w:lang w:eastAsia="fr-FR"/>
        </w:rPr>
      </w:pPr>
    </w:p>
    <w:p w:rsidR="00236AEB" w:rsidRDefault="00236AEB" w:rsidP="000E2611">
      <w:pPr>
        <w:jc w:val="both"/>
        <w:rPr>
          <w:rFonts w:ascii="Arial" w:hAnsi="Arial" w:cs="Arial"/>
          <w:b/>
          <w:bCs/>
          <w:iCs/>
          <w:color w:val="222222"/>
          <w:sz w:val="22"/>
          <w:szCs w:val="22"/>
          <w:lang w:eastAsia="fr-FR"/>
        </w:rPr>
      </w:pPr>
    </w:p>
    <w:p w:rsidR="00236AEB" w:rsidRPr="008730FA" w:rsidRDefault="00236AEB" w:rsidP="000E2611">
      <w:pPr>
        <w:jc w:val="both"/>
        <w:rPr>
          <w:rFonts w:ascii="Arial" w:hAnsi="Arial" w:cs="Arial"/>
          <w:b/>
          <w:bCs/>
          <w:iCs/>
          <w:color w:val="222222"/>
          <w:sz w:val="22"/>
          <w:szCs w:val="22"/>
          <w:lang w:eastAsia="fr-FR"/>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C2733" w:rsidP="00EC2733">
      <w:pPr>
        <w:pStyle w:val="Sinespaciado"/>
        <w:tabs>
          <w:tab w:val="center" w:pos="4703"/>
          <w:tab w:val="left" w:pos="7147"/>
        </w:tabs>
        <w:spacing w:line="360" w:lineRule="auto"/>
        <w:rPr>
          <w:rFonts w:ascii="Georgia" w:hAnsi="Georgia" w:cs="Arial"/>
          <w:w w:val="140"/>
          <w:sz w:val="16"/>
          <w:szCs w:val="18"/>
        </w:rPr>
      </w:pPr>
      <w:r>
        <w:rPr>
          <w:rFonts w:ascii="Georgia" w:hAnsi="Georgia" w:cs="Arial"/>
          <w:w w:val="140"/>
          <w:sz w:val="18"/>
          <w:szCs w:val="18"/>
        </w:rPr>
        <w:tab/>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EPARTAMENTO </w:t>
      </w:r>
      <w:r w:rsidR="00E27305" w:rsidRPr="00EB1DBB">
        <w:rPr>
          <w:rFonts w:ascii="Georgia" w:hAnsi="Georgia" w:cs="Arial"/>
          <w:w w:val="140"/>
          <w:sz w:val="18"/>
          <w:szCs w:val="18"/>
        </w:rPr>
        <w:t>D</w:t>
      </w:r>
      <w:r w:rsidR="00E27305" w:rsidRPr="00EB1DBB">
        <w:rPr>
          <w:rFonts w:ascii="Georgia" w:hAnsi="Georgia" w:cs="Arial"/>
          <w:w w:val="140"/>
          <w:sz w:val="16"/>
          <w:szCs w:val="18"/>
        </w:rPr>
        <w:t xml:space="preserve">E </w:t>
      </w:r>
      <w:r w:rsidR="00E27305" w:rsidRPr="00EB1DBB">
        <w:rPr>
          <w:rFonts w:ascii="Georgia" w:hAnsi="Georgia" w:cs="Arial"/>
          <w:w w:val="140"/>
          <w:sz w:val="18"/>
          <w:szCs w:val="18"/>
        </w:rPr>
        <w:t>R</w:t>
      </w:r>
      <w:r w:rsidR="00E27305" w:rsidRPr="00EB1DBB">
        <w:rPr>
          <w:rFonts w:ascii="Georgia" w:hAnsi="Georgia" w:cs="Arial"/>
          <w:w w:val="140"/>
          <w:sz w:val="16"/>
          <w:szCs w:val="18"/>
        </w:rPr>
        <w:t>ISARALDA</w:t>
      </w:r>
      <w:r>
        <w:rPr>
          <w:rFonts w:ascii="Georgia" w:hAnsi="Georgia" w:cs="Arial"/>
          <w:w w:val="140"/>
          <w:sz w:val="16"/>
          <w:szCs w:val="18"/>
        </w:rPr>
        <w:tab/>
      </w:r>
    </w:p>
    <w:p w:rsidR="00486062" w:rsidRPr="00D41520" w:rsidRDefault="00486062" w:rsidP="00ED7F33">
      <w:pPr>
        <w:spacing w:line="360" w:lineRule="auto"/>
        <w:jc w:val="center"/>
        <w:rPr>
          <w:rFonts w:ascii="Georgia" w:hAnsi="Georgia" w:cs="Arial"/>
          <w:w w:val="140"/>
          <w:sz w:val="1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xml:space="preserve">: </w:t>
      </w:r>
      <w:r w:rsidR="001E448F">
        <w:rPr>
          <w:rFonts w:ascii="Georgia" w:hAnsi="Georgia" w:cs="Arial"/>
          <w:sz w:val="22"/>
        </w:rPr>
        <w:t>Javier Elías Arias Idárraga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1E448F">
        <w:rPr>
          <w:rFonts w:ascii="Georgia" w:hAnsi="Georgia" w:cs="Arial"/>
          <w:sz w:val="22"/>
        </w:rPr>
        <w:t xml:space="preserve">Quinto </w:t>
      </w:r>
      <w:r w:rsidR="007514C4">
        <w:rPr>
          <w:rFonts w:ascii="Georgia" w:hAnsi="Georgia" w:cs="Arial"/>
          <w:sz w:val="22"/>
        </w:rPr>
        <w:t xml:space="preserve">Civil </w:t>
      </w:r>
      <w:r w:rsidR="00277C59">
        <w:rPr>
          <w:rFonts w:ascii="Georgia" w:hAnsi="Georgia" w:cs="Arial"/>
          <w:sz w:val="22"/>
        </w:rPr>
        <w:t xml:space="preserve">del Circuito de </w:t>
      </w:r>
      <w:r w:rsidR="001E448F">
        <w:rPr>
          <w:rFonts w:ascii="Georgia" w:hAnsi="Georgia" w:cs="Arial"/>
          <w:sz w:val="22"/>
        </w:rPr>
        <w:t xml:space="preserve">Pereira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1E448F">
        <w:rPr>
          <w:rFonts w:ascii="Georgia" w:hAnsi="Georgia" w:cs="Arial"/>
          <w:sz w:val="22"/>
          <w:szCs w:val="22"/>
        </w:rPr>
        <w:t>Defensoría del Pueblo, Regional Bolívar</w:t>
      </w:r>
      <w:r w:rsidR="007514C4">
        <w:rPr>
          <w:rFonts w:ascii="Georgia" w:hAnsi="Georgia" w:cs="Arial"/>
          <w:sz w:val="22"/>
          <w:szCs w:val="22"/>
        </w:rPr>
        <w:t xml:space="preserve"> </w:t>
      </w:r>
      <w:r w:rsidR="00EB1DBB" w:rsidRPr="00EB1DBB">
        <w:rPr>
          <w:rFonts w:ascii="Georgia" w:hAnsi="Georgia" w:cs="Arial"/>
          <w:sz w:val="22"/>
          <w:szCs w:val="22"/>
        </w:rPr>
        <w:t>y otros</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7514C4">
        <w:rPr>
          <w:rFonts w:ascii="Georgia" w:hAnsi="Georgia" w:cs="Arial"/>
          <w:sz w:val="22"/>
        </w:rPr>
        <w:t>2018-</w:t>
      </w:r>
      <w:r w:rsidR="001E448F">
        <w:rPr>
          <w:rFonts w:ascii="Georgia" w:hAnsi="Georgia" w:cs="Arial"/>
          <w:sz w:val="22"/>
        </w:rPr>
        <w:t>00685</w:t>
      </w:r>
      <w:r w:rsidR="007514C4">
        <w:rPr>
          <w:rFonts w:ascii="Georgia" w:hAnsi="Georgia" w:cs="Arial"/>
          <w:sz w:val="22"/>
        </w:rPr>
        <w:t xml:space="preserve">-00 </w:t>
      </w:r>
      <w:r w:rsidR="001E448F">
        <w:rPr>
          <w:rFonts w:ascii="Georgia" w:hAnsi="Georgia" w:cs="Arial"/>
          <w:sz w:val="22"/>
        </w:rPr>
        <w:t>y 2018-00732-00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1E448F">
        <w:rPr>
          <w:rFonts w:ascii="Georgia" w:hAnsi="Georgia" w:cs="Arial"/>
          <w:sz w:val="22"/>
          <w:szCs w:val="22"/>
        </w:rPr>
        <w:t>Inexistencia de hechos</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r w:rsidR="0099045D" w:rsidRPr="00EB1DBB">
        <w:rPr>
          <w:rFonts w:ascii="Georgia" w:hAnsi="Georgia"/>
          <w:smallCaps/>
          <w:sz w:val="22"/>
          <w:szCs w:val="22"/>
        </w:rPr>
        <w:t>Duberney Grisales Herrera</w:t>
      </w:r>
    </w:p>
    <w:p w:rsidR="006A7EEC" w:rsidRPr="00AD7B0C" w:rsidRDefault="006A7EEC" w:rsidP="006A7EEC">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A56883">
        <w:rPr>
          <w:rFonts w:ascii="Georgia" w:hAnsi="Georgia"/>
          <w:sz w:val="22"/>
          <w:szCs w:val="22"/>
        </w:rPr>
        <w:t>348</w:t>
      </w:r>
      <w:r w:rsidR="007514C4">
        <w:rPr>
          <w:rFonts w:ascii="Georgia" w:hAnsi="Georgia"/>
          <w:sz w:val="22"/>
          <w:szCs w:val="22"/>
        </w:rPr>
        <w:t xml:space="preserve"> </w:t>
      </w:r>
      <w:r w:rsidRPr="00AD7B0C">
        <w:rPr>
          <w:rFonts w:ascii="Georgia" w:hAnsi="Georgia"/>
          <w:sz w:val="22"/>
          <w:szCs w:val="22"/>
        </w:rPr>
        <w:t xml:space="preserve">de </w:t>
      </w:r>
      <w:r w:rsidR="00A56883">
        <w:rPr>
          <w:rFonts w:ascii="Georgia" w:hAnsi="Georgia"/>
          <w:sz w:val="22"/>
          <w:szCs w:val="22"/>
        </w:rPr>
        <w:t>14</w:t>
      </w:r>
      <w:r w:rsidRPr="00AD7B0C">
        <w:rPr>
          <w:rFonts w:ascii="Georgia" w:hAnsi="Georgia"/>
          <w:sz w:val="22"/>
          <w:szCs w:val="22"/>
        </w:rPr>
        <w:t>-</w:t>
      </w:r>
      <w:r w:rsidR="001E448F">
        <w:rPr>
          <w:rFonts w:ascii="Georgia" w:hAnsi="Georgia"/>
          <w:sz w:val="22"/>
          <w:szCs w:val="22"/>
        </w:rPr>
        <w:t>09</w:t>
      </w:r>
      <w:r w:rsidRPr="00AD7B0C">
        <w:rPr>
          <w:rFonts w:ascii="Georgia" w:hAnsi="Georgia"/>
          <w:sz w:val="22"/>
          <w:szCs w:val="22"/>
        </w:rPr>
        <w:t>-</w:t>
      </w:r>
      <w:r>
        <w:rPr>
          <w:rFonts w:ascii="Georgia" w:hAnsi="Georgia"/>
          <w:sz w:val="22"/>
          <w:szCs w:val="22"/>
        </w:rPr>
        <w:t>2018</w:t>
      </w:r>
    </w:p>
    <w:p w:rsidR="006A7EEC" w:rsidRPr="00AD7B0C" w:rsidRDefault="006A7EEC" w:rsidP="006A7EEC">
      <w:pPr>
        <w:pBdr>
          <w:bottom w:val="double" w:sz="6" w:space="1" w:color="auto"/>
        </w:pBdr>
        <w:spacing w:line="360" w:lineRule="auto"/>
        <w:jc w:val="center"/>
        <w:rPr>
          <w:rFonts w:ascii="Georgia" w:hAnsi="Georgia" w:cs="Arial"/>
          <w:b/>
          <w:bCs/>
          <w:sz w:val="18"/>
          <w:szCs w:val="22"/>
        </w:rPr>
      </w:pPr>
    </w:p>
    <w:p w:rsidR="006A7EEC" w:rsidRPr="00AD7B0C" w:rsidRDefault="006A7EEC" w:rsidP="006A7EEC">
      <w:pPr>
        <w:spacing w:line="360" w:lineRule="auto"/>
        <w:jc w:val="center"/>
        <w:rPr>
          <w:rFonts w:ascii="Georgia" w:hAnsi="Georgia" w:cs="Arial"/>
          <w:b/>
          <w:bCs/>
          <w:szCs w:val="22"/>
        </w:rPr>
      </w:pPr>
    </w:p>
    <w:p w:rsidR="006A7EEC" w:rsidRPr="00AD7B0C" w:rsidRDefault="006A7EEC" w:rsidP="006A7EEC">
      <w:pPr>
        <w:spacing w:line="360" w:lineRule="auto"/>
        <w:jc w:val="center"/>
        <w:rPr>
          <w:rFonts w:ascii="Georgia" w:hAnsi="Georgia" w:cs="Arial"/>
          <w:iCs/>
          <w:lang w:val="es-CO"/>
        </w:rPr>
      </w:pPr>
      <w:r w:rsidRPr="00FD0443">
        <w:rPr>
          <w:rFonts w:ascii="Georgia" w:hAnsi="Georgia" w:cs="Arial"/>
          <w:iCs/>
          <w:smallCaps/>
          <w:sz w:val="28"/>
          <w:lang w:val="es-CO"/>
        </w:rPr>
        <w:t>Pereira, R.</w:t>
      </w:r>
      <w:r w:rsidR="00A56883">
        <w:rPr>
          <w:rFonts w:ascii="Georgia" w:hAnsi="Georgia" w:cs="Arial"/>
          <w:iCs/>
          <w:smallCaps/>
          <w:sz w:val="28"/>
          <w:lang w:val="es-CO"/>
        </w:rPr>
        <w:t xml:space="preserve">, catorce </w:t>
      </w:r>
      <w:r>
        <w:rPr>
          <w:rFonts w:ascii="Georgia" w:hAnsi="Georgia" w:cs="Arial"/>
          <w:iCs/>
          <w:smallCaps/>
          <w:sz w:val="28"/>
          <w:lang w:val="es-CO"/>
        </w:rPr>
        <w:t>(</w:t>
      </w:r>
      <w:r w:rsidR="00A56883">
        <w:rPr>
          <w:rFonts w:ascii="Georgia" w:hAnsi="Georgia" w:cs="Arial"/>
          <w:iCs/>
          <w:smallCaps/>
          <w:sz w:val="28"/>
          <w:lang w:val="es-CO"/>
        </w:rPr>
        <w:t>14</w:t>
      </w:r>
      <w:r w:rsidRPr="00FD0443">
        <w:rPr>
          <w:rFonts w:ascii="Georgia" w:hAnsi="Georgia" w:cs="Arial"/>
          <w:iCs/>
          <w:smallCaps/>
          <w:sz w:val="28"/>
          <w:lang w:val="es-CO"/>
        </w:rPr>
        <w:t xml:space="preserve">) de </w:t>
      </w:r>
      <w:r w:rsidR="001E448F">
        <w:rPr>
          <w:rFonts w:ascii="Georgia" w:hAnsi="Georgia" w:cs="Arial"/>
          <w:iCs/>
          <w:smallCaps/>
          <w:sz w:val="28"/>
          <w:lang w:val="es-CO"/>
        </w:rPr>
        <w:t xml:space="preserve">septiembre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D41520"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D41520" w:rsidRDefault="00134F0A" w:rsidP="0099045D">
      <w:pPr>
        <w:pStyle w:val="Textoindependiente"/>
        <w:spacing w:line="360" w:lineRule="auto"/>
        <w:rPr>
          <w:rFonts w:ascii="Georgia" w:hAnsi="Georgia"/>
          <w:sz w:val="20"/>
          <w:szCs w:val="24"/>
        </w:rPr>
      </w:pPr>
    </w:p>
    <w:p w:rsidR="00104367" w:rsidRPr="00EB1DBB" w:rsidRDefault="001E448F" w:rsidP="00104367">
      <w:pPr>
        <w:pStyle w:val="Textoindependiente"/>
        <w:spacing w:line="360" w:lineRule="auto"/>
        <w:rPr>
          <w:rFonts w:ascii="Georgia" w:hAnsi="Georgia"/>
          <w:szCs w:val="24"/>
        </w:rPr>
      </w:pPr>
      <w:r>
        <w:rPr>
          <w:rFonts w:ascii="Georgia" w:hAnsi="Georgia"/>
          <w:szCs w:val="24"/>
        </w:rPr>
        <w:lastRenderedPageBreak/>
        <w:t>Los</w:t>
      </w:r>
      <w:r w:rsidR="007514C4">
        <w:rPr>
          <w:rFonts w:ascii="Georgia" w:hAnsi="Georgia"/>
          <w:szCs w:val="24"/>
        </w:rPr>
        <w:t xml:space="preserve"> </w:t>
      </w:r>
      <w:r w:rsidR="008907D4" w:rsidRPr="00EB1DBB">
        <w:rPr>
          <w:rFonts w:ascii="Georgia" w:hAnsi="Georgia"/>
          <w:szCs w:val="24"/>
        </w:rPr>
        <w:t>amparo</w:t>
      </w:r>
      <w:r>
        <w:rPr>
          <w:rFonts w:ascii="Georgia" w:hAnsi="Georgia"/>
          <w:szCs w:val="24"/>
        </w:rPr>
        <w:t>s</w:t>
      </w:r>
      <w:r w:rsidR="008907D4" w:rsidRPr="00EB1DBB">
        <w:rPr>
          <w:rFonts w:ascii="Georgia" w:hAnsi="Georgia"/>
          <w:szCs w:val="24"/>
        </w:rPr>
        <w:t xml:space="preserve"> constitucional</w:t>
      </w:r>
      <w:r>
        <w:rPr>
          <w:rFonts w:ascii="Georgia" w:hAnsi="Georgia"/>
          <w:szCs w:val="24"/>
        </w:rPr>
        <w:t>es</w:t>
      </w:r>
      <w:r w:rsidR="007514C4">
        <w:rPr>
          <w:rFonts w:ascii="Georgia" w:hAnsi="Georgia"/>
          <w:szCs w:val="24"/>
        </w:rPr>
        <w:t xml:space="preserve"> </w:t>
      </w:r>
      <w:r w:rsidR="008907D4" w:rsidRPr="00EB1DBB">
        <w:rPr>
          <w:rFonts w:ascii="Georgia" w:hAnsi="Georgia"/>
          <w:szCs w:val="24"/>
        </w:rPr>
        <w:t>de la referencia</w:t>
      </w:r>
      <w:r w:rsidR="00104367" w:rsidRPr="00EB1DBB">
        <w:rPr>
          <w:rFonts w:ascii="Georgia" w:hAnsi="Georgia"/>
          <w:szCs w:val="24"/>
        </w:rPr>
        <w:t>, adelantada</w:t>
      </w:r>
      <w:r w:rsidR="00A35E06"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00A35E06" w:rsidRPr="00EB1DBB">
        <w:rPr>
          <w:rFonts w:ascii="Georgia" w:hAnsi="Georgia"/>
          <w:szCs w:val="24"/>
        </w:rPr>
        <w:t>n</w:t>
      </w:r>
      <w:r w:rsidR="00104367" w:rsidRPr="00EB1DBB">
        <w:rPr>
          <w:rFonts w:ascii="Georgia" w:hAnsi="Georgia"/>
          <w:szCs w:val="24"/>
        </w:rPr>
        <w:t xml:space="preserve"> causal</w:t>
      </w:r>
      <w:r w:rsidR="00A35E06" w:rsidRPr="00EB1DBB">
        <w:rPr>
          <w:rFonts w:ascii="Georgia" w:hAnsi="Georgia"/>
          <w:szCs w:val="24"/>
        </w:rPr>
        <w:t>es</w:t>
      </w:r>
      <w:r w:rsidR="00104367" w:rsidRPr="00EB1DBB">
        <w:rPr>
          <w:rFonts w:ascii="Georgia" w:hAnsi="Georgia"/>
          <w:szCs w:val="24"/>
        </w:rPr>
        <w:t xml:space="preserve"> de nulidad que </w:t>
      </w:r>
      <w:r w:rsidR="00D56742">
        <w:rPr>
          <w:rFonts w:ascii="Georgia" w:hAnsi="Georgia"/>
          <w:szCs w:val="24"/>
        </w:rPr>
        <w:t>lo</w:t>
      </w:r>
      <w:r>
        <w:rPr>
          <w:rFonts w:ascii="Georgia" w:hAnsi="Georgia"/>
          <w:szCs w:val="24"/>
        </w:rPr>
        <w:t>s</w:t>
      </w:r>
      <w:r w:rsidR="00D56742">
        <w:rPr>
          <w:rFonts w:ascii="Georgia" w:hAnsi="Georgia"/>
          <w:szCs w:val="24"/>
        </w:rPr>
        <w:t xml:space="preserve"> </w:t>
      </w:r>
      <w:r w:rsidR="00A35E06" w:rsidRPr="00EB1DBB">
        <w:rPr>
          <w:rFonts w:ascii="Georgia" w:hAnsi="Georgia"/>
          <w:szCs w:val="24"/>
        </w:rPr>
        <w:t>invaliden</w:t>
      </w:r>
      <w:r w:rsidR="00104367" w:rsidRPr="00EB1DBB">
        <w:rPr>
          <w:rFonts w:ascii="Georgia" w:hAnsi="Georgia"/>
          <w:szCs w:val="24"/>
        </w:rPr>
        <w:t>.</w:t>
      </w:r>
    </w:p>
    <w:p w:rsidR="000147A2" w:rsidRPr="00D41520"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D41520" w:rsidRDefault="0099045D" w:rsidP="0099045D">
      <w:pPr>
        <w:pStyle w:val="Textoindependiente"/>
        <w:spacing w:line="360" w:lineRule="auto"/>
        <w:rPr>
          <w:rFonts w:ascii="Georgia" w:hAnsi="Georgia"/>
          <w:sz w:val="20"/>
          <w:szCs w:val="24"/>
        </w:rPr>
      </w:pPr>
    </w:p>
    <w:p w:rsidR="00517909" w:rsidRPr="00EB1DBB" w:rsidRDefault="00821E7A" w:rsidP="00517909">
      <w:pPr>
        <w:spacing w:line="360" w:lineRule="auto"/>
        <w:jc w:val="both"/>
        <w:rPr>
          <w:rFonts w:ascii="Georgia" w:hAnsi="Georgia" w:cs="Arial"/>
        </w:rPr>
      </w:pPr>
      <w:r>
        <w:rPr>
          <w:rFonts w:ascii="Georgia" w:hAnsi="Georgia" w:cs="Arial"/>
        </w:rPr>
        <w:t xml:space="preserve">Refirió el </w:t>
      </w:r>
      <w:r w:rsidR="00D56742">
        <w:rPr>
          <w:rFonts w:ascii="Georgia" w:hAnsi="Georgia" w:cs="Arial"/>
        </w:rPr>
        <w:t xml:space="preserve">actor </w:t>
      </w:r>
      <w:r>
        <w:rPr>
          <w:rFonts w:ascii="Georgia" w:hAnsi="Georgia" w:cs="Arial"/>
        </w:rPr>
        <w:t xml:space="preserve">que en </w:t>
      </w:r>
      <w:r w:rsidR="001E448F">
        <w:rPr>
          <w:rFonts w:ascii="Georgia" w:hAnsi="Georgia" w:cs="Arial"/>
        </w:rPr>
        <w:t>las acciones populares radicadas</w:t>
      </w:r>
      <w:r>
        <w:rPr>
          <w:rFonts w:ascii="Georgia" w:hAnsi="Georgia" w:cs="Arial"/>
        </w:rPr>
        <w:t xml:space="preserve"> </w:t>
      </w:r>
      <w:r w:rsidR="001E448F">
        <w:rPr>
          <w:rFonts w:ascii="Georgia" w:hAnsi="Georgia" w:cs="Arial"/>
        </w:rPr>
        <w:t xml:space="preserve">a los </w:t>
      </w:r>
      <w:r>
        <w:rPr>
          <w:rFonts w:ascii="Georgia" w:hAnsi="Georgia" w:cs="Arial"/>
        </w:rPr>
        <w:t>No</w:t>
      </w:r>
      <w:r w:rsidR="001E448F">
        <w:rPr>
          <w:rFonts w:ascii="Georgia" w:hAnsi="Georgia" w:cs="Arial"/>
        </w:rPr>
        <w:t>s</w:t>
      </w:r>
      <w:r>
        <w:rPr>
          <w:rFonts w:ascii="Georgia" w:hAnsi="Georgia" w:cs="Arial"/>
        </w:rPr>
        <w:t>.</w:t>
      </w:r>
      <w:r w:rsidR="001E448F">
        <w:rPr>
          <w:rFonts w:ascii="Georgia" w:hAnsi="Georgia" w:cs="Arial"/>
        </w:rPr>
        <w:t xml:space="preserve">2018-00771-00 y 2018-00773-00 </w:t>
      </w:r>
      <w:r w:rsidR="007514C4">
        <w:rPr>
          <w:rFonts w:ascii="Georgia" w:hAnsi="Georgia" w:cs="Arial"/>
        </w:rPr>
        <w:t>el juzgado accionado</w:t>
      </w:r>
      <w:r>
        <w:rPr>
          <w:rFonts w:ascii="Georgia" w:hAnsi="Georgia" w:cs="Arial"/>
        </w:rPr>
        <w:t xml:space="preserve"> </w:t>
      </w:r>
      <w:r w:rsidR="007E4EA9">
        <w:rPr>
          <w:rFonts w:ascii="Georgia" w:hAnsi="Georgia" w:cs="Arial"/>
        </w:rPr>
        <w:t xml:space="preserve">dejó vencer </w:t>
      </w:r>
      <w:r>
        <w:rPr>
          <w:rFonts w:ascii="Georgia" w:hAnsi="Georgia" w:cs="Arial"/>
        </w:rPr>
        <w:t xml:space="preserve">los términos </w:t>
      </w:r>
      <w:r w:rsidR="00C01CD7">
        <w:rPr>
          <w:rFonts w:ascii="Georgia" w:hAnsi="Georgia" w:cs="Arial"/>
        </w:rPr>
        <w:t xml:space="preserve">de </w:t>
      </w:r>
      <w:r>
        <w:rPr>
          <w:rFonts w:ascii="Georgia" w:hAnsi="Georgia" w:cs="Arial"/>
        </w:rPr>
        <w:t>la Ley 472</w:t>
      </w:r>
      <w:r w:rsidR="007E4EA9">
        <w:rPr>
          <w:rFonts w:ascii="Georgia" w:hAnsi="Georgia" w:cs="Arial"/>
        </w:rPr>
        <w:t xml:space="preserve"> para proveer sobre </w:t>
      </w:r>
      <w:r w:rsidR="00222C76">
        <w:rPr>
          <w:rFonts w:ascii="Georgia" w:hAnsi="Georgia" w:cs="Arial"/>
        </w:rPr>
        <w:t xml:space="preserve">su </w:t>
      </w:r>
      <w:r>
        <w:rPr>
          <w:rFonts w:ascii="Georgia" w:hAnsi="Georgia" w:cs="Arial"/>
        </w:rPr>
        <w:t>admisibilidad</w:t>
      </w:r>
      <w:r w:rsidR="00312EAA">
        <w:rPr>
          <w:rFonts w:ascii="Georgia" w:hAnsi="Georgia" w:cs="Arial"/>
        </w:rPr>
        <w:t xml:space="preserve"> </w:t>
      </w:r>
      <w:r w:rsidR="00517909" w:rsidRPr="00EB1DBB">
        <w:rPr>
          <w:rFonts w:ascii="Georgia" w:hAnsi="Georgia" w:cs="Arial"/>
        </w:rPr>
        <w:t>(Folio</w:t>
      </w:r>
      <w:r w:rsidR="001E448F">
        <w:rPr>
          <w:rFonts w:ascii="Georgia" w:hAnsi="Georgia" w:cs="Arial"/>
        </w:rPr>
        <w:t>s</w:t>
      </w:r>
      <w:r w:rsidR="00517909" w:rsidRPr="00EB1DBB">
        <w:rPr>
          <w:rFonts w:ascii="Georgia" w:hAnsi="Georgia" w:cs="Arial"/>
        </w:rPr>
        <w:t xml:space="preserve"> </w:t>
      </w:r>
      <w:r w:rsidR="00EB1DBB" w:rsidRPr="00EB1DBB">
        <w:rPr>
          <w:rFonts w:ascii="Georgia" w:hAnsi="Georgia" w:cs="Arial"/>
        </w:rPr>
        <w:t>1</w:t>
      </w:r>
      <w:r w:rsidR="001E448F">
        <w:rPr>
          <w:rFonts w:ascii="Georgia" w:hAnsi="Georgia" w:cs="Arial"/>
        </w:rPr>
        <w:t xml:space="preserve"> y 2</w:t>
      </w:r>
      <w:r w:rsidR="00517909" w:rsidRPr="00EB1DBB">
        <w:rPr>
          <w:rFonts w:ascii="Georgia" w:hAnsi="Georgia" w:cs="Arial"/>
        </w:rPr>
        <w:t>, este cuaderno).</w:t>
      </w:r>
    </w:p>
    <w:p w:rsidR="00517909" w:rsidRPr="00D41520" w:rsidRDefault="00517909" w:rsidP="004B1EB8">
      <w:pPr>
        <w:spacing w:line="360" w:lineRule="auto"/>
        <w:jc w:val="both"/>
        <w:rPr>
          <w:rFonts w:ascii="Georgia" w:hAnsi="Georgia" w:cs="Arial"/>
          <w:sz w:val="20"/>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D41520" w:rsidRDefault="00800EF6" w:rsidP="00730CA7">
      <w:pPr>
        <w:pStyle w:val="Textoindependiente"/>
        <w:spacing w:line="360" w:lineRule="auto"/>
        <w:rPr>
          <w:rFonts w:ascii="Georgia" w:hAnsi="Georgia"/>
          <w:sz w:val="20"/>
          <w:szCs w:val="24"/>
        </w:rPr>
      </w:pPr>
    </w:p>
    <w:p w:rsidR="007D0ECC" w:rsidRPr="00EB1DBB" w:rsidRDefault="001E448F"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Pr="00AD7B0C">
        <w:rPr>
          <w:rFonts w:ascii="Georgia" w:hAnsi="Georgia" w:cs="Arial"/>
          <w:spacing w:val="-3"/>
          <w:lang w:val="es-ES_tradnl"/>
        </w:rPr>
        <w:t xml:space="preserve">os artículos </w:t>
      </w:r>
      <w:r>
        <w:rPr>
          <w:rFonts w:ascii="Georgia" w:hAnsi="Georgia" w:cs="Arial"/>
          <w:spacing w:val="-3"/>
          <w:lang w:val="es-ES_tradnl"/>
        </w:rPr>
        <w:t xml:space="preserve">45, Ley 472, 8º y 42, CGP, y 13 de la CP </w:t>
      </w:r>
      <w:r w:rsidR="00EB1DBB" w:rsidRPr="00EB1DBB">
        <w:rPr>
          <w:rFonts w:ascii="Georgia" w:hAnsi="Georgia" w:cs="Arial"/>
          <w:spacing w:val="-3"/>
          <w:lang w:val="es-ES_tradnl"/>
        </w:rPr>
        <w:t>(Folio</w:t>
      </w:r>
      <w:r>
        <w:rPr>
          <w:rFonts w:ascii="Georgia" w:hAnsi="Georgia" w:cs="Arial"/>
          <w:spacing w:val="-3"/>
          <w:lang w:val="es-ES_tradnl"/>
        </w:rPr>
        <w:t xml:space="preserve">s </w:t>
      </w:r>
      <w:r w:rsidR="00383B1A" w:rsidRPr="00EB1DBB">
        <w:rPr>
          <w:rFonts w:ascii="Georgia" w:hAnsi="Georgia" w:cs="Arial"/>
        </w:rPr>
        <w:t>1</w:t>
      </w:r>
      <w:r>
        <w:rPr>
          <w:rFonts w:ascii="Georgia" w:hAnsi="Georgia" w:cs="Arial"/>
        </w:rPr>
        <w:t xml:space="preserve"> y 3</w:t>
      </w:r>
      <w:r w:rsidR="00383B1A" w:rsidRPr="00EB1DBB">
        <w:rPr>
          <w:rFonts w:ascii="Georgia" w:hAnsi="Georgia" w:cs="Arial"/>
        </w:rPr>
        <w:t>,</w:t>
      </w:r>
      <w:r w:rsidR="007D0ECC" w:rsidRPr="00EB1DBB">
        <w:rPr>
          <w:rFonts w:ascii="Georgia" w:hAnsi="Georgia" w:cs="Arial"/>
          <w:spacing w:val="-3"/>
          <w:lang w:val="es-ES_tradnl"/>
        </w:rPr>
        <w:t xml:space="preserve"> este cuaderno).</w:t>
      </w:r>
    </w:p>
    <w:p w:rsidR="003F6C16" w:rsidRPr="00D4152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D41520" w:rsidRDefault="00303E85" w:rsidP="004B1EB8">
      <w:pPr>
        <w:pStyle w:val="Sinespaciado"/>
        <w:spacing w:line="360" w:lineRule="auto"/>
        <w:jc w:val="both"/>
        <w:rPr>
          <w:rFonts w:ascii="Georgia" w:hAnsi="Georgia" w:cs="Arial"/>
          <w:sz w:val="20"/>
          <w:szCs w:val="24"/>
        </w:rPr>
      </w:pPr>
    </w:p>
    <w:p w:rsidR="001E448F" w:rsidRDefault="001E448F" w:rsidP="001E448F">
      <w:pPr>
        <w:spacing w:line="360" w:lineRule="auto"/>
        <w:jc w:val="both"/>
        <w:rPr>
          <w:rFonts w:ascii="Georgia" w:hAnsi="Georgia" w:cs="Arial"/>
          <w:spacing w:val="-3"/>
          <w:lang w:val="es-ES_tradnl"/>
        </w:rPr>
      </w:pPr>
      <w:r w:rsidRPr="00607E09">
        <w:rPr>
          <w:rFonts w:ascii="Georgia" w:hAnsi="Georgia" w:cs="Arial"/>
        </w:rPr>
        <w:t xml:space="preserve">Se pretende </w:t>
      </w:r>
      <w:r>
        <w:rPr>
          <w:rFonts w:ascii="Georgia" w:hAnsi="Georgia" w:cs="Arial"/>
        </w:rPr>
        <w:t xml:space="preserve">que se amparen los derechos invocados y se ordene al Juzgado accionado aplicar los artículos 8º y 42, CGP, y 5º Ley 472. Asimismo, exige que las Salas Administrativa y Disciplinaria del CSJ local arrimen copia de las vigilancias judiciales y administrativas tramitadas contra el accionado. Y también que esta Sala aclare si el CGP se aplica en acciones populares y </w:t>
      </w:r>
      <w:r w:rsidR="00A56883">
        <w:rPr>
          <w:rFonts w:ascii="Georgia" w:hAnsi="Georgia" w:cs="Arial"/>
        </w:rPr>
        <w:t>b</w:t>
      </w:r>
      <w:r>
        <w:rPr>
          <w:rFonts w:ascii="Georgia" w:hAnsi="Georgia" w:cs="Arial"/>
        </w:rPr>
        <w:t xml:space="preserve">rinde copia física de los amparos </w:t>
      </w:r>
      <w:r w:rsidRPr="00AD7B0C">
        <w:rPr>
          <w:rFonts w:ascii="Georgia" w:hAnsi="Georgia" w:cs="Arial"/>
          <w:spacing w:val="-3"/>
          <w:lang w:val="es-ES_tradnl"/>
        </w:rPr>
        <w:t>(Folio</w:t>
      </w:r>
      <w:r>
        <w:rPr>
          <w:rFonts w:ascii="Georgia" w:hAnsi="Georgia" w:cs="Arial"/>
          <w:spacing w:val="-3"/>
          <w:lang w:val="es-ES_tradnl"/>
        </w:rPr>
        <w:t xml:space="preserve">s 1 y 3, </w:t>
      </w:r>
      <w:r w:rsidRPr="00AD7B0C">
        <w:rPr>
          <w:rFonts w:ascii="Georgia" w:hAnsi="Georgia" w:cs="Arial"/>
          <w:spacing w:val="-3"/>
          <w:lang w:val="es-ES_tradnl"/>
        </w:rPr>
        <w:t>este cuaderno).</w:t>
      </w:r>
    </w:p>
    <w:p w:rsidR="00222C76" w:rsidRPr="00EB1DBB" w:rsidRDefault="00222C76"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7514C4" w:rsidRPr="00532B89" w:rsidRDefault="007514C4" w:rsidP="004B1EB8">
      <w:pPr>
        <w:spacing w:line="360" w:lineRule="auto"/>
        <w:jc w:val="both"/>
        <w:rPr>
          <w:rFonts w:ascii="Georgia" w:hAnsi="Georgia"/>
          <w:lang w:val="es-CO"/>
        </w:rPr>
      </w:pPr>
    </w:p>
    <w:p w:rsidR="001E448F" w:rsidRDefault="001E448F" w:rsidP="001E448F">
      <w:pPr>
        <w:pStyle w:val="Prrafodelista"/>
        <w:spacing w:line="360" w:lineRule="auto"/>
        <w:ind w:left="0"/>
        <w:jc w:val="both"/>
        <w:rPr>
          <w:rFonts w:ascii="Georgia" w:hAnsi="Georgia" w:cs="Arial"/>
          <w:color w:val="000000"/>
        </w:rPr>
      </w:pPr>
      <w:r w:rsidRPr="0063183D">
        <w:rPr>
          <w:rFonts w:ascii="Georgia" w:hAnsi="Georgia"/>
        </w:rPr>
        <w:t xml:space="preserve">En reparto ordinario del </w:t>
      </w:r>
      <w:r>
        <w:rPr>
          <w:rFonts w:ascii="Georgia" w:hAnsi="Georgia"/>
        </w:rPr>
        <w:t xml:space="preserve">04-09-2018 </w:t>
      </w:r>
      <w:r w:rsidRPr="0063183D">
        <w:rPr>
          <w:rFonts w:ascii="Georgia" w:hAnsi="Georgia"/>
        </w:rPr>
        <w:t>se asignaron a este Despacho</w:t>
      </w:r>
      <w:r w:rsidRPr="0063183D">
        <w:rPr>
          <w:rFonts w:ascii="Georgia" w:hAnsi="Georgia" w:cs="Arial"/>
          <w:color w:val="000000"/>
        </w:rPr>
        <w:t xml:space="preserve">, con providencia del </w:t>
      </w:r>
      <w:r>
        <w:rPr>
          <w:rFonts w:ascii="Georgia" w:hAnsi="Georgia" w:cs="Arial"/>
          <w:color w:val="000000"/>
        </w:rPr>
        <w:t xml:space="preserve">06-09-2018 </w:t>
      </w:r>
      <w:r w:rsidRPr="0063183D">
        <w:rPr>
          <w:rFonts w:ascii="Georgia" w:hAnsi="Georgia" w:cs="Arial"/>
          <w:color w:val="000000"/>
        </w:rPr>
        <w:t>se acumularon</w:t>
      </w:r>
      <w:r>
        <w:rPr>
          <w:rFonts w:ascii="Georgia" w:hAnsi="Georgia" w:cs="Arial"/>
          <w:color w:val="000000"/>
        </w:rPr>
        <w:t>, admitieron</w:t>
      </w:r>
      <w:r w:rsidRPr="0063183D">
        <w:rPr>
          <w:rFonts w:ascii="Georgia" w:hAnsi="Georgia" w:cs="Arial"/>
          <w:color w:val="000000"/>
        </w:rPr>
        <w:t xml:space="preserve">, </w:t>
      </w:r>
      <w:r>
        <w:rPr>
          <w:rFonts w:ascii="Georgia" w:hAnsi="Georgia" w:cs="Arial"/>
          <w:color w:val="000000"/>
        </w:rPr>
        <w:t xml:space="preserve">y </w:t>
      </w:r>
      <w:r w:rsidRPr="0063183D">
        <w:rPr>
          <w:rFonts w:ascii="Georgia" w:hAnsi="Georgia"/>
        </w:rPr>
        <w:t>se dispuso notificar a la</w:t>
      </w:r>
      <w:r>
        <w:rPr>
          <w:rFonts w:ascii="Georgia" w:hAnsi="Georgia"/>
        </w:rPr>
        <w:t>s</w:t>
      </w:r>
      <w:r w:rsidRPr="0063183D">
        <w:rPr>
          <w:rFonts w:ascii="Georgia" w:hAnsi="Georgia"/>
        </w:rPr>
        <w:t xml:space="preserve"> partes</w:t>
      </w:r>
      <w:r w:rsidRPr="0063183D">
        <w:rPr>
          <w:rFonts w:ascii="Georgia" w:hAnsi="Georgia" w:cs="Arial"/>
          <w:color w:val="000000"/>
        </w:rPr>
        <w:t xml:space="preserve">, </w:t>
      </w:r>
      <w:r w:rsidRPr="0063183D">
        <w:rPr>
          <w:rFonts w:ascii="Georgia" w:hAnsi="Georgia"/>
        </w:rPr>
        <w:t xml:space="preserve">entre otros ordenamientos (Folios </w:t>
      </w:r>
      <w:r>
        <w:rPr>
          <w:rFonts w:ascii="Georgia" w:hAnsi="Georgia"/>
        </w:rPr>
        <w:t>6 y 7</w:t>
      </w:r>
      <w:r w:rsidRPr="0063183D">
        <w:rPr>
          <w:rFonts w:ascii="Georgia" w:hAnsi="Georgia"/>
        </w:rPr>
        <w:t>, ibídem)</w:t>
      </w:r>
      <w:r w:rsidRPr="0063183D">
        <w:rPr>
          <w:rFonts w:ascii="Georgia" w:hAnsi="Georgia" w:cs="Arial"/>
          <w:color w:val="000000"/>
        </w:rPr>
        <w:t xml:space="preserve">. Fueron debidamente enterados los extremos de la acción (Folios </w:t>
      </w:r>
      <w:r>
        <w:rPr>
          <w:rFonts w:ascii="Georgia" w:hAnsi="Georgia" w:cs="Arial"/>
          <w:color w:val="000000"/>
        </w:rPr>
        <w:t>8 a 11</w:t>
      </w:r>
      <w:r w:rsidRPr="0063183D">
        <w:rPr>
          <w:rFonts w:ascii="Georgia" w:hAnsi="Georgia" w:cs="Arial"/>
          <w:color w:val="000000"/>
        </w:rPr>
        <w:t xml:space="preserve">, ibídem). </w:t>
      </w:r>
      <w:r>
        <w:rPr>
          <w:rFonts w:ascii="Georgia" w:hAnsi="Georgia" w:cs="Arial"/>
          <w:color w:val="000000"/>
        </w:rPr>
        <w:t>Contestaron</w:t>
      </w:r>
      <w:r w:rsidRPr="0063183D">
        <w:rPr>
          <w:rFonts w:ascii="Georgia" w:hAnsi="Georgia" w:cs="Arial"/>
          <w:color w:val="000000"/>
        </w:rPr>
        <w:t xml:space="preserve"> </w:t>
      </w:r>
      <w:r>
        <w:rPr>
          <w:rFonts w:ascii="Georgia" w:hAnsi="Georgia" w:cs="Arial"/>
          <w:color w:val="000000"/>
        </w:rPr>
        <w:t>las entidades vinculadas. El Juzgado adosó la documentación solicitada (Folios 31 a 40, ib.).</w:t>
      </w:r>
    </w:p>
    <w:p w:rsidR="00A0664B" w:rsidRPr="00532B89" w:rsidRDefault="00A0664B" w:rsidP="004B1EB8">
      <w:pPr>
        <w:spacing w:line="360" w:lineRule="auto"/>
        <w:jc w:val="both"/>
        <w:rPr>
          <w:rFonts w:ascii="Georgia" w:hAnsi="Georgia" w:cs="Arial"/>
          <w:color w:val="000000"/>
          <w:sz w:val="22"/>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1E448F">
        <w:rPr>
          <w:rFonts w:ascii="Georgia" w:hAnsi="Georgia"/>
        </w:rPr>
        <w:t>S</w:t>
      </w:r>
      <w:r w:rsidR="00725242" w:rsidRPr="00EB1DBB">
        <w:rPr>
          <w:rFonts w:ascii="Georgia" w:hAnsi="Georgia"/>
        </w:rPr>
        <w:t xml:space="preserve"> </w:t>
      </w:r>
      <w:r w:rsidRPr="00EB1DBB">
        <w:rPr>
          <w:rFonts w:ascii="Georgia" w:hAnsi="Georgia"/>
        </w:rPr>
        <w:t>RESPUESTA</w:t>
      </w:r>
      <w:r w:rsidR="001E448F">
        <w:rPr>
          <w:rFonts w:ascii="Georgia" w:hAnsi="Georgia"/>
        </w:rPr>
        <w:t>S</w:t>
      </w:r>
    </w:p>
    <w:p w:rsidR="006F4450" w:rsidRPr="00532B89" w:rsidRDefault="006F4450" w:rsidP="00730CA7">
      <w:pPr>
        <w:pStyle w:val="Textoindependiente"/>
        <w:spacing w:line="360" w:lineRule="auto"/>
        <w:rPr>
          <w:rFonts w:ascii="Georgia" w:hAnsi="Georgia"/>
          <w:szCs w:val="24"/>
        </w:rPr>
      </w:pPr>
    </w:p>
    <w:p w:rsidR="005F06CD" w:rsidRPr="004E5CAF" w:rsidRDefault="001E448F" w:rsidP="005F06CD">
      <w:pPr>
        <w:spacing w:line="360" w:lineRule="auto"/>
        <w:jc w:val="both"/>
        <w:rPr>
          <w:rFonts w:ascii="Georgia" w:hAnsi="Georgia" w:cs="Arial"/>
          <w:color w:val="000000"/>
        </w:rPr>
      </w:pPr>
      <w:r>
        <w:rPr>
          <w:rFonts w:ascii="Georgia" w:hAnsi="Georgia" w:cs="Arial"/>
          <w:color w:val="000000"/>
        </w:rPr>
        <w:t xml:space="preserve">La PGNRR adujo que queja del amparo tutelar le es ajena como agente del Ministerio Público, y pidió su desvinculación (Folio 12, ib.), la PGNRA </w:t>
      </w:r>
      <w:r w:rsidR="00532B89">
        <w:rPr>
          <w:rFonts w:ascii="Georgia" w:hAnsi="Georgia" w:cs="Arial"/>
          <w:color w:val="000000"/>
        </w:rPr>
        <w:t xml:space="preserve">y el Procurador Judicial II-06 Delgado para Asuntos Civiles  alegaron </w:t>
      </w:r>
      <w:r>
        <w:rPr>
          <w:rFonts w:ascii="Georgia" w:hAnsi="Georgia" w:cs="Arial"/>
          <w:color w:val="000000"/>
        </w:rPr>
        <w:t>falta de legitimación en la causa (Folios 14 a 16</w:t>
      </w:r>
      <w:r w:rsidR="00532B89">
        <w:rPr>
          <w:rFonts w:ascii="Georgia" w:hAnsi="Georgia" w:cs="Arial"/>
          <w:color w:val="000000"/>
        </w:rPr>
        <w:t xml:space="preserve"> y 27 a 29</w:t>
      </w:r>
      <w:r>
        <w:rPr>
          <w:rFonts w:ascii="Georgia" w:hAnsi="Georgia" w:cs="Arial"/>
          <w:color w:val="000000"/>
        </w:rPr>
        <w:t>, ib.),</w:t>
      </w:r>
      <w:r w:rsidR="00532B89">
        <w:rPr>
          <w:rFonts w:ascii="Georgia" w:hAnsi="Georgia" w:cs="Arial"/>
          <w:color w:val="000000"/>
        </w:rPr>
        <w:t xml:space="preserve"> y la </w:t>
      </w:r>
      <w:r w:rsidR="00532B89" w:rsidRPr="00532B89">
        <w:rPr>
          <w:rFonts w:ascii="Georgia" w:hAnsi="Georgia" w:cs="Arial"/>
          <w:i/>
          <w:color w:val="000000"/>
        </w:rPr>
        <w:t>a quo</w:t>
      </w:r>
      <w:r w:rsidR="00532B89">
        <w:rPr>
          <w:rFonts w:ascii="Georgia" w:hAnsi="Georgia" w:cs="Arial"/>
          <w:color w:val="000000"/>
        </w:rPr>
        <w:t xml:space="preserve"> refirió que ya resolvió sobre la admisibilidad de las acciones populares (Folios 31 y 36, ib.)</w:t>
      </w:r>
      <w:r w:rsidR="00383B1A">
        <w:rPr>
          <w:rFonts w:ascii="Georgia" w:hAnsi="Georgia" w:cs="Arial"/>
          <w:color w:val="000000"/>
        </w:rPr>
        <w:t xml:space="preserve">. </w:t>
      </w:r>
    </w:p>
    <w:p w:rsidR="005F06CD" w:rsidRPr="00532B89" w:rsidRDefault="005F06CD" w:rsidP="005F06CD">
      <w:pPr>
        <w:spacing w:line="360" w:lineRule="auto"/>
        <w:jc w:val="both"/>
        <w:rPr>
          <w:rFonts w:ascii="Georgia" w:hAnsi="Georgia"/>
        </w:rPr>
      </w:pPr>
      <w:r w:rsidRPr="00FD594D">
        <w:rPr>
          <w:rFonts w:ascii="Arial" w:hAnsi="Arial"/>
        </w:rPr>
        <w:t xml:space="preserve"> </w:t>
      </w:r>
    </w:p>
    <w:p w:rsidR="00CF429F" w:rsidRPr="00222C76" w:rsidRDefault="00CF429F" w:rsidP="00222C76">
      <w:pPr>
        <w:pStyle w:val="Prrafodelista"/>
        <w:numPr>
          <w:ilvl w:val="0"/>
          <w:numId w:val="18"/>
        </w:numPr>
        <w:spacing w:line="360" w:lineRule="auto"/>
        <w:jc w:val="both"/>
        <w:rPr>
          <w:rFonts w:ascii="Georgia" w:hAnsi="Georgia"/>
        </w:rPr>
      </w:pPr>
      <w:r w:rsidRPr="00222C76">
        <w:rPr>
          <w:rFonts w:ascii="Georgia" w:hAnsi="Georgia"/>
        </w:rPr>
        <w:t>LA FUNDAMENTACIÓN JURÍDICA PARA DECIDIR</w:t>
      </w:r>
    </w:p>
    <w:p w:rsidR="006232EF" w:rsidRPr="00532B89" w:rsidRDefault="006232EF" w:rsidP="006232EF">
      <w:pPr>
        <w:pStyle w:val="Textoindependiente"/>
        <w:spacing w:line="360" w:lineRule="auto"/>
        <w:ind w:left="400"/>
        <w:rPr>
          <w:rFonts w:ascii="Georgia" w:hAnsi="Georgia"/>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lastRenderedPageBreak/>
        <w:t>La competencia</w:t>
      </w:r>
      <w:r w:rsidR="005764A9" w:rsidRPr="00EB1DBB">
        <w:rPr>
          <w:rFonts w:ascii="Georgia" w:hAnsi="Georgia"/>
          <w:smallCaps/>
          <w:szCs w:val="24"/>
        </w:rPr>
        <w:t xml:space="preserve">. </w:t>
      </w:r>
      <w:r w:rsidR="005427D5" w:rsidRPr="00EB1DBB">
        <w:rPr>
          <w:rFonts w:ascii="Georgia" w:hAnsi="Georgia" w:cs="Arial"/>
          <w:szCs w:val="24"/>
        </w:rPr>
        <w:t xml:space="preserve">Este Tribunal es competente para conocer la </w:t>
      </w:r>
      <w:r w:rsidR="00A15670" w:rsidRPr="00EB1DBB">
        <w:rPr>
          <w:rFonts w:ascii="Georgia" w:hAnsi="Georgia" w:cs="Arial"/>
          <w:szCs w:val="24"/>
        </w:rPr>
        <w:t>acci</w:t>
      </w:r>
      <w:r w:rsidR="00585336">
        <w:rPr>
          <w:rFonts w:ascii="Georgia" w:hAnsi="Georgia" w:cs="Arial"/>
          <w:szCs w:val="24"/>
        </w:rPr>
        <w:t>ón</w:t>
      </w:r>
      <w:r w:rsidR="00A15670" w:rsidRPr="00EB1DBB">
        <w:rPr>
          <w:rFonts w:ascii="Georgia" w:hAnsi="Georgia" w:cs="Arial"/>
          <w:szCs w:val="24"/>
        </w:rPr>
        <w:t xml:space="preserve">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532B89">
        <w:rPr>
          <w:rFonts w:ascii="Georgia" w:hAnsi="Georgia" w:cs="Arial"/>
          <w:color w:val="000000"/>
          <w:szCs w:val="24"/>
        </w:rPr>
        <w:t xml:space="preserve">Quinto </w:t>
      </w:r>
      <w:r w:rsidR="007514C4">
        <w:rPr>
          <w:rFonts w:ascii="Georgia" w:hAnsi="Georgia" w:cs="Arial"/>
          <w:color w:val="000000"/>
          <w:szCs w:val="24"/>
        </w:rPr>
        <w:t xml:space="preserve">Civil </w:t>
      </w:r>
      <w:r w:rsidR="00585336">
        <w:rPr>
          <w:rFonts w:ascii="Georgia" w:hAnsi="Georgia" w:cs="Arial"/>
          <w:color w:val="000000"/>
          <w:szCs w:val="24"/>
        </w:rPr>
        <w:t xml:space="preserve">del Circuito de </w:t>
      </w:r>
      <w:r w:rsidR="00532B89">
        <w:rPr>
          <w:rFonts w:ascii="Georgia" w:hAnsi="Georgia" w:cs="Arial"/>
          <w:color w:val="000000"/>
          <w:szCs w:val="24"/>
        </w:rPr>
        <w:t>Pereira</w:t>
      </w:r>
      <w:r w:rsidR="003C6DF1">
        <w:rPr>
          <w:rFonts w:ascii="Georgia" w:hAnsi="Georgia" w:cs="Arial"/>
          <w:color w:val="000000"/>
          <w:szCs w:val="24"/>
        </w:rPr>
        <w:t>.</w:t>
      </w:r>
    </w:p>
    <w:p w:rsidR="00730CA7" w:rsidRPr="00532B89" w:rsidRDefault="00C843CF" w:rsidP="005764A9">
      <w:pPr>
        <w:pStyle w:val="Sangra2detindependiente"/>
        <w:tabs>
          <w:tab w:val="left" w:pos="709"/>
        </w:tabs>
        <w:spacing w:after="0" w:line="360" w:lineRule="auto"/>
        <w:ind w:left="709" w:hanging="709"/>
        <w:jc w:val="both"/>
        <w:rPr>
          <w:rFonts w:ascii="Georgia" w:hAnsi="Georgia" w:cs="Arial"/>
          <w:sz w:val="24"/>
          <w:szCs w:val="24"/>
          <w:lang w:val="es-CO"/>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3C6DF1">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532B89"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532B89"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D07FAD">
        <w:rPr>
          <w:rFonts w:ascii="Georgia" w:hAnsi="Georgia" w:cs="Arial"/>
          <w:szCs w:val="24"/>
        </w:rPr>
        <w:t xml:space="preserve">los asuntos constitucionales </w:t>
      </w:r>
      <w:r w:rsidRPr="00EB1DBB">
        <w:rPr>
          <w:rFonts w:ascii="Georgia" w:hAnsi="Georgia" w:cs="Arial"/>
          <w:szCs w:val="24"/>
        </w:rPr>
        <w:t xml:space="preserve">donde se reprocha la falta al debido proceso. Y por pasiva, </w:t>
      </w:r>
      <w:r w:rsidR="00222C76">
        <w:rPr>
          <w:rFonts w:ascii="Georgia" w:hAnsi="Georgia" w:cs="Arial"/>
          <w:szCs w:val="24"/>
        </w:rPr>
        <w:t xml:space="preserve">el despacho Judicial </w:t>
      </w:r>
      <w:r w:rsidRPr="00EB1DBB">
        <w:rPr>
          <w:rFonts w:ascii="Georgia" w:hAnsi="Georgia" w:cs="Arial"/>
          <w:szCs w:val="24"/>
        </w:rPr>
        <w:t>accionado</w:t>
      </w:r>
      <w:r w:rsidR="00222C76">
        <w:rPr>
          <w:rFonts w:ascii="Georgia" w:hAnsi="Georgia" w:cs="Arial"/>
          <w:szCs w:val="24"/>
        </w:rPr>
        <w:t xml:space="preserve"> porque </w:t>
      </w:r>
      <w:r w:rsidRPr="00EB1DBB">
        <w:rPr>
          <w:rFonts w:ascii="Georgia" w:hAnsi="Georgia" w:cs="Arial"/>
          <w:szCs w:val="24"/>
        </w:rPr>
        <w:t xml:space="preserve">conoce </w:t>
      </w:r>
      <w:r w:rsidR="003C6DF1">
        <w:rPr>
          <w:rFonts w:ascii="Georgia" w:hAnsi="Georgia" w:cs="Arial"/>
          <w:szCs w:val="24"/>
        </w:rPr>
        <w:t xml:space="preserve">el </w:t>
      </w:r>
      <w:r w:rsidR="00EB1DBB">
        <w:rPr>
          <w:rFonts w:ascii="Georgia" w:hAnsi="Georgia" w:cs="Arial"/>
          <w:szCs w:val="24"/>
        </w:rPr>
        <w:t>juicio</w:t>
      </w:r>
      <w:r w:rsidRPr="00EB1DBB">
        <w:rPr>
          <w:rFonts w:ascii="Georgia" w:hAnsi="Georgia" w:cs="Arial"/>
          <w:szCs w:val="24"/>
        </w:rPr>
        <w:t>.</w:t>
      </w:r>
    </w:p>
    <w:p w:rsidR="001E047B" w:rsidRPr="00532B89" w:rsidRDefault="001E047B" w:rsidP="001E047B">
      <w:pPr>
        <w:spacing w:line="360" w:lineRule="auto"/>
        <w:jc w:val="both"/>
        <w:rPr>
          <w:rFonts w:ascii="Georgia" w:hAnsi="Georgia" w:cs="Arial"/>
        </w:rPr>
      </w:pPr>
    </w:p>
    <w:p w:rsidR="00532B89" w:rsidRPr="0089352F" w:rsidRDefault="00532B89" w:rsidP="00532B89">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532B89" w:rsidRPr="00532B89" w:rsidRDefault="00532B89" w:rsidP="00532B89">
      <w:pPr>
        <w:pStyle w:val="Textoindependiente"/>
        <w:shd w:val="clear" w:color="auto" w:fill="FFFFFF" w:themeFill="background1"/>
        <w:spacing w:line="360" w:lineRule="auto"/>
        <w:rPr>
          <w:rFonts w:ascii="Georgia" w:hAnsi="Georgia" w:cs="Arial"/>
          <w:szCs w:val="24"/>
        </w:rPr>
      </w:pPr>
    </w:p>
    <w:p w:rsidR="00532B89"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w:t>
      </w:r>
      <w:r>
        <w:rPr>
          <w:rFonts w:ascii="Georgia" w:hAnsi="Georgia" w:cs="Arial"/>
          <w:szCs w:val="24"/>
        </w:rPr>
        <w:t xml:space="preserve"> </w:t>
      </w:r>
      <w:r w:rsidRPr="00AD7B0C">
        <w:rPr>
          <w:rFonts w:ascii="Georgia" w:hAnsi="Georgia" w:cs="Arial"/>
          <w:szCs w:val="24"/>
        </w:rPr>
        <w:t xml:space="preserve">por la de “causales genéricas de procedibilidad” y ensanchó las causales especiales, pasando </w:t>
      </w:r>
    </w:p>
    <w:p w:rsidR="00532B89"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532B89" w:rsidRPr="00776930" w:rsidRDefault="00532B89" w:rsidP="00532B89">
      <w:pPr>
        <w:pStyle w:val="Textoindependiente"/>
        <w:shd w:val="clear" w:color="auto" w:fill="FFFFFF" w:themeFill="background1"/>
        <w:spacing w:line="360" w:lineRule="auto"/>
        <w:rPr>
          <w:rFonts w:ascii="Georgia" w:hAnsi="Georgia" w:cs="Arial"/>
          <w:sz w:val="20"/>
          <w:szCs w:val="24"/>
        </w:rPr>
      </w:pPr>
    </w:p>
    <w:p w:rsidR="00532B89" w:rsidRPr="00AD7B0C"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532B89" w:rsidRPr="00776930" w:rsidRDefault="00532B89" w:rsidP="00532B89">
      <w:pPr>
        <w:pStyle w:val="Textoindependiente"/>
        <w:shd w:val="clear" w:color="auto" w:fill="FFFFFF" w:themeFill="background1"/>
        <w:spacing w:line="360" w:lineRule="auto"/>
        <w:rPr>
          <w:rFonts w:ascii="Georgia" w:hAnsi="Georgia" w:cs="Arial"/>
          <w:sz w:val="20"/>
          <w:szCs w:val="24"/>
        </w:rPr>
      </w:pPr>
    </w:p>
    <w:p w:rsidR="00532B89" w:rsidRPr="00AD7B0C"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Los requisitos generales de procedibilidad, explicados en am</w:t>
      </w:r>
      <w:r>
        <w:rPr>
          <w:rFonts w:ascii="Georgia" w:hAnsi="Georgia" w:cs="Arial"/>
          <w:szCs w:val="24"/>
        </w:rPr>
        <w:t xml:space="preserve">plitud en la sentencia C-590 de </w:t>
      </w: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w:t>
      </w:r>
      <w:r>
        <w:rPr>
          <w:rFonts w:ascii="Georgia" w:hAnsi="Georgia" w:cs="Arial"/>
          <w:szCs w:val="24"/>
        </w:rPr>
        <w:t>2018</w:t>
      </w:r>
      <w:r w:rsidRPr="00AD7B0C">
        <w:rPr>
          <w:rFonts w:ascii="Georgia" w:hAnsi="Georgia" w:cs="Arial"/>
          <w:szCs w:val="24"/>
        </w:rPr>
        <w:t>)</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w:t>
      </w:r>
      <w:r w:rsidRPr="00AD7B0C">
        <w:rPr>
          <w:rFonts w:ascii="Georgia" w:hAnsi="Georgia" w:cs="Arial"/>
          <w:szCs w:val="24"/>
        </w:rPr>
        <w:lastRenderedPageBreak/>
        <w:t>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532B89" w:rsidRPr="00776930" w:rsidRDefault="00532B89" w:rsidP="00532B89">
      <w:pPr>
        <w:pStyle w:val="Textoindependiente"/>
        <w:shd w:val="clear" w:color="auto" w:fill="FFFFFF" w:themeFill="background1"/>
        <w:spacing w:line="360" w:lineRule="auto"/>
        <w:rPr>
          <w:rFonts w:ascii="Georgia" w:hAnsi="Georgia" w:cs="Arial"/>
          <w:sz w:val="20"/>
          <w:szCs w:val="24"/>
        </w:rPr>
      </w:pPr>
    </w:p>
    <w:p w:rsidR="00532B89" w:rsidRPr="00AD7B0C" w:rsidRDefault="00532B89" w:rsidP="00532B89">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532B89" w:rsidRPr="001E52A1" w:rsidRDefault="00532B89" w:rsidP="00532B89">
      <w:pPr>
        <w:pStyle w:val="Textoindependiente"/>
        <w:shd w:val="clear" w:color="auto" w:fill="FFFFFF"/>
        <w:spacing w:line="360" w:lineRule="auto"/>
        <w:rPr>
          <w:rFonts w:ascii="Georgia" w:hAnsi="Georgia" w:cs="Arial"/>
          <w:sz w:val="20"/>
          <w:szCs w:val="24"/>
        </w:rPr>
      </w:pPr>
    </w:p>
    <w:p w:rsidR="00532B89" w:rsidRPr="00776930" w:rsidRDefault="00FC1F65" w:rsidP="00532B89">
      <w:pPr>
        <w:pStyle w:val="Textoindependiente"/>
        <w:numPr>
          <w:ilvl w:val="0"/>
          <w:numId w:val="18"/>
        </w:numPr>
        <w:tabs>
          <w:tab w:val="clear" w:pos="0"/>
          <w:tab w:val="clear" w:pos="1416"/>
        </w:tabs>
        <w:spacing w:line="360" w:lineRule="auto"/>
        <w:rPr>
          <w:rFonts w:ascii="Georgia" w:hAnsi="Georgia"/>
          <w:smallCaps/>
          <w:szCs w:val="24"/>
        </w:rPr>
      </w:pPr>
      <w:r>
        <w:rPr>
          <w:rFonts w:ascii="Georgia" w:hAnsi="Georgia"/>
          <w:smallCaps/>
          <w:szCs w:val="24"/>
        </w:rPr>
        <w:t xml:space="preserve">EL CASO CONCRETO </w:t>
      </w:r>
    </w:p>
    <w:p w:rsidR="00532B89" w:rsidRDefault="00532B89" w:rsidP="00532B89">
      <w:pPr>
        <w:spacing w:line="360" w:lineRule="auto"/>
        <w:jc w:val="both"/>
        <w:rPr>
          <w:rFonts w:ascii="Georgia" w:hAnsi="Georgia" w:cs="Arial"/>
          <w:sz w:val="20"/>
          <w:lang w:val="es-ES_tradnl"/>
        </w:rPr>
      </w:pPr>
    </w:p>
    <w:p w:rsidR="00532B89" w:rsidRDefault="00532B89" w:rsidP="00532B89">
      <w:pPr>
        <w:pStyle w:val="Textoindependiente"/>
        <w:spacing w:line="360" w:lineRule="auto"/>
        <w:rPr>
          <w:rFonts w:ascii="Georgia" w:hAnsi="Georgia"/>
          <w:lang w:val="es-CO"/>
        </w:rPr>
      </w:pPr>
      <w:r>
        <w:rPr>
          <w:rFonts w:ascii="Georgia" w:hAnsi="Georgia" w:cs="Arial"/>
          <w:lang w:val="es-CO"/>
        </w:rPr>
        <w:t xml:space="preserve">Sin necesidad de verificar el cumplimiento de los presupuestos de procedencia de los amparos constitucionales, desde ya advierte esta Magistratura su fracaso en torno a la mora judicial endilgada por la omisión en la resolución sobre la admisibilidad de las acciones populares dentro del plazo legal, atendida la evidente </w:t>
      </w:r>
      <w:r w:rsidRPr="001219A7">
        <w:rPr>
          <w:rFonts w:ascii="Georgia" w:hAnsi="Georgia" w:cs="Arial"/>
        </w:rPr>
        <w:t xml:space="preserve">ausencia </w:t>
      </w:r>
      <w:r w:rsidRPr="001219A7">
        <w:rPr>
          <w:rFonts w:ascii="Georgia" w:hAnsi="Georgia"/>
          <w:lang w:val="es-CO"/>
        </w:rPr>
        <w:t xml:space="preserve">de los hechos vulneradores o amenazantes de los derechos </w:t>
      </w:r>
      <w:r>
        <w:rPr>
          <w:rFonts w:ascii="Georgia" w:hAnsi="Georgia"/>
          <w:lang w:val="es-CO"/>
        </w:rPr>
        <w:t xml:space="preserve">invocados. </w:t>
      </w:r>
    </w:p>
    <w:p w:rsidR="00532B89" w:rsidRPr="00172D9F" w:rsidRDefault="00532B89" w:rsidP="00532B89">
      <w:pPr>
        <w:pStyle w:val="Textoindependiente"/>
        <w:spacing w:line="360" w:lineRule="auto"/>
        <w:rPr>
          <w:rFonts w:ascii="Georgia" w:hAnsi="Georgia"/>
          <w:sz w:val="20"/>
          <w:lang w:val="es-CO"/>
        </w:rPr>
      </w:pPr>
    </w:p>
    <w:p w:rsidR="00532B89" w:rsidRDefault="00532B89" w:rsidP="00532B89">
      <w:pPr>
        <w:pStyle w:val="Textoindependiente"/>
        <w:spacing w:line="360" w:lineRule="auto"/>
        <w:rPr>
          <w:rFonts w:ascii="Georgia" w:hAnsi="Georgia" w:cs="Arial"/>
        </w:rPr>
      </w:pPr>
      <w:r>
        <w:rPr>
          <w:rFonts w:ascii="Georgia" w:hAnsi="Georgia" w:cs="Arial"/>
        </w:rPr>
        <w:t xml:space="preserve">Revisado  el  acervo  probatorio  es  diáfano  que  el  término de tres (3) días (Artículo 20, Ley </w:t>
      </w:r>
    </w:p>
    <w:p w:rsidR="00532B89" w:rsidRDefault="00532B89" w:rsidP="00532B89">
      <w:pPr>
        <w:pStyle w:val="Textoindependiente"/>
        <w:spacing w:line="360" w:lineRule="auto"/>
        <w:rPr>
          <w:rFonts w:ascii="Georgia" w:hAnsi="Georgia" w:cs="Arial"/>
        </w:rPr>
      </w:pPr>
      <w:r>
        <w:rPr>
          <w:rFonts w:ascii="Georgia" w:hAnsi="Georgia" w:cs="Arial"/>
        </w:rPr>
        <w:t xml:space="preserve">472) de que disponía la </w:t>
      </w:r>
      <w:r w:rsidRPr="00A34449">
        <w:rPr>
          <w:rFonts w:ascii="Georgia" w:hAnsi="Georgia" w:cs="Arial"/>
          <w:i/>
        </w:rPr>
        <w:t>a quo</w:t>
      </w:r>
      <w:r>
        <w:rPr>
          <w:rFonts w:ascii="Georgia" w:hAnsi="Georgia" w:cs="Arial"/>
        </w:rPr>
        <w:t xml:space="preserve"> para proveer al respecto aún no había vencido para el día en que se promovieron las tutelas; mírese que las acciones populares fueron presentadas el 30-08-2018 (Folios 32 y 37,  este cuaderno), por manera que el plazo acababa el 04-09-2018, esto es, el mismo día de la radicación de los amparos (Folios 2 y 4, ibídem).</w:t>
      </w:r>
    </w:p>
    <w:p w:rsidR="00532B89" w:rsidRPr="00172D9F" w:rsidRDefault="00532B89" w:rsidP="00532B89">
      <w:pPr>
        <w:pStyle w:val="Textoindependiente"/>
        <w:spacing w:line="360" w:lineRule="auto"/>
        <w:rPr>
          <w:rFonts w:ascii="Georgia" w:hAnsi="Georgia" w:cs="Arial"/>
          <w:sz w:val="20"/>
        </w:rPr>
      </w:pPr>
    </w:p>
    <w:p w:rsidR="00532B89" w:rsidRDefault="00532B89" w:rsidP="00532B89">
      <w:pPr>
        <w:pStyle w:val="Textoindependiente"/>
        <w:spacing w:line="360" w:lineRule="auto"/>
        <w:rPr>
          <w:rFonts w:ascii="Georgia" w:hAnsi="Georgia" w:cs="Arial"/>
          <w:lang w:val="es-CO"/>
        </w:rPr>
      </w:pPr>
      <w:r>
        <w:rPr>
          <w:rFonts w:ascii="Georgia" w:hAnsi="Georgia" w:cs="Arial"/>
        </w:rPr>
        <w:t xml:space="preserve">Así las cosas, refulge obvio que es falsa la narración fáctica, pues se endilga </w:t>
      </w:r>
      <w:r>
        <w:rPr>
          <w:rFonts w:ascii="Georgia" w:hAnsi="Georgia" w:cs="Arial"/>
          <w:lang w:val="es-CO"/>
        </w:rPr>
        <w:t xml:space="preserve">el agravio de los derechos </w:t>
      </w:r>
      <w:r w:rsidRPr="00A62F8F">
        <w:rPr>
          <w:rFonts w:ascii="Georgia" w:hAnsi="Georgia" w:cs="Arial"/>
          <w:lang w:val="es-CO"/>
        </w:rPr>
        <w:t xml:space="preserve">con ocasión de </w:t>
      </w:r>
      <w:r>
        <w:rPr>
          <w:rFonts w:ascii="Georgia" w:hAnsi="Georgia" w:cs="Arial"/>
          <w:lang w:val="es-CO"/>
        </w:rPr>
        <w:t xml:space="preserve">una omisión inexistente (Demora judicial). Está claro que el actor interpuso estos mecanismos, sin siquiera esperar a que el término de ley venciera, apoyado en una afirmación falaz, de tal suerte que se denegarán. </w:t>
      </w:r>
    </w:p>
    <w:p w:rsidR="00532B89" w:rsidRPr="00532B89" w:rsidRDefault="00532B89" w:rsidP="00532B89">
      <w:pPr>
        <w:spacing w:line="360" w:lineRule="auto"/>
        <w:jc w:val="both"/>
        <w:rPr>
          <w:rFonts w:ascii="Georgia" w:hAnsi="Georgia" w:cs="Arial"/>
          <w:sz w:val="22"/>
          <w:lang w:val="es-ES_tradnl"/>
        </w:rPr>
      </w:pPr>
    </w:p>
    <w:p w:rsidR="00532B89" w:rsidRDefault="00532B89" w:rsidP="00532B89">
      <w:pPr>
        <w:spacing w:line="360" w:lineRule="auto"/>
        <w:jc w:val="both"/>
        <w:rPr>
          <w:rFonts w:ascii="Georgia" w:hAnsi="Georgia" w:cs="Arial"/>
          <w:lang w:val="es-ES_tradnl"/>
        </w:rPr>
      </w:pPr>
      <w:r w:rsidRPr="00B33709">
        <w:rPr>
          <w:rFonts w:ascii="Georgia" w:hAnsi="Georgia" w:cs="Arial"/>
          <w:lang w:val="es-ES_tradnl"/>
        </w:rPr>
        <w:t xml:space="preserve">Esta Sala </w:t>
      </w:r>
      <w:r>
        <w:rPr>
          <w:rFonts w:ascii="Georgia" w:hAnsi="Georgia" w:cs="Arial"/>
          <w:lang w:val="es-ES_tradnl"/>
        </w:rPr>
        <w:t>descarta</w:t>
      </w:r>
      <w:r w:rsidRPr="00B33709">
        <w:rPr>
          <w:rFonts w:ascii="Georgia" w:hAnsi="Georgia" w:cs="Arial"/>
          <w:lang w:val="es-ES_tradnl"/>
        </w:rPr>
        <w:t xml:space="preserve"> la verificación del supuesto de subsidiariedad por la formulación prematura o anticipada</w:t>
      </w:r>
      <w:r w:rsidRPr="00B33709">
        <w:rPr>
          <w:rStyle w:val="Refdenotaalpie"/>
          <w:rFonts w:ascii="Georgia" w:hAnsi="Georgia"/>
        </w:rPr>
        <w:footnoteReference w:id="10"/>
      </w:r>
      <w:r w:rsidRPr="00B33709">
        <w:rPr>
          <w:rFonts w:ascii="Georgia" w:hAnsi="Georgia" w:cs="Arial"/>
          <w:lang w:val="es-ES_tradnl"/>
        </w:rPr>
        <w:t xml:space="preserve">, puesto que está fundada en la hipótesis de que la cuestión debatida en sede de tutela aún esté pendiente de resolverse en el trámite ordinario, circunstancia que aquí no aconteció; </w:t>
      </w:r>
      <w:r>
        <w:rPr>
          <w:rFonts w:ascii="Georgia" w:hAnsi="Georgia" w:cs="Arial"/>
          <w:lang w:val="es-ES_tradnl"/>
        </w:rPr>
        <w:t xml:space="preserve">es cierto que para ese día la admisibilidad de la acción estaba pendiente de ser resuelta, pero como la queja se funda en la demora, da lugar a concluir incongruente que se enrostre que el trámite esté en curso para declarar la improcedencia por subsidiariedad. </w:t>
      </w:r>
    </w:p>
    <w:p w:rsidR="00532B89" w:rsidRPr="00532B89" w:rsidRDefault="00532B89" w:rsidP="00532B89">
      <w:pPr>
        <w:spacing w:line="360" w:lineRule="auto"/>
        <w:jc w:val="both"/>
        <w:rPr>
          <w:rFonts w:ascii="Georgia" w:hAnsi="Georgia" w:cs="Arial"/>
          <w:lang w:val="es-ES_tradnl"/>
        </w:rPr>
      </w:pPr>
    </w:p>
    <w:p w:rsidR="00532B89" w:rsidRPr="00B33709" w:rsidRDefault="00532B89" w:rsidP="00532B89">
      <w:pPr>
        <w:spacing w:line="360" w:lineRule="auto"/>
        <w:jc w:val="both"/>
        <w:rPr>
          <w:rFonts w:ascii="Georgia" w:hAnsi="Georgia" w:cs="Arial"/>
          <w:lang w:val="es-ES_tradnl"/>
        </w:rPr>
      </w:pPr>
      <w:r>
        <w:rPr>
          <w:rFonts w:ascii="Georgia" w:hAnsi="Georgia" w:cs="Arial"/>
          <w:lang w:val="es-ES_tradnl"/>
        </w:rPr>
        <w:t>D</w:t>
      </w:r>
      <w:r w:rsidRPr="00B33709">
        <w:rPr>
          <w:rFonts w:ascii="Georgia" w:hAnsi="Georgia" w:cs="Arial"/>
          <w:lang w:val="es-ES_tradnl"/>
        </w:rPr>
        <w:t xml:space="preserve">iferente sería que el accionante se </w:t>
      </w:r>
      <w:r>
        <w:rPr>
          <w:rFonts w:ascii="Georgia" w:hAnsi="Georgia" w:cs="Arial"/>
          <w:lang w:val="es-ES_tradnl"/>
        </w:rPr>
        <w:t xml:space="preserve">quejara </w:t>
      </w:r>
      <w:r w:rsidRPr="00B33709">
        <w:rPr>
          <w:rFonts w:ascii="Georgia" w:hAnsi="Georgia" w:cs="Arial"/>
          <w:lang w:val="es-ES_tradnl"/>
        </w:rPr>
        <w:t xml:space="preserve">de alguna actuación judicial y </w:t>
      </w:r>
      <w:r>
        <w:rPr>
          <w:rFonts w:ascii="Georgia" w:hAnsi="Georgia" w:cs="Arial"/>
          <w:lang w:val="es-ES_tradnl"/>
        </w:rPr>
        <w:t xml:space="preserve">promoviera </w:t>
      </w:r>
      <w:r w:rsidRPr="00B33709">
        <w:rPr>
          <w:rFonts w:ascii="Georgia" w:hAnsi="Georgia" w:cs="Arial"/>
          <w:lang w:val="es-ES_tradnl"/>
        </w:rPr>
        <w:t xml:space="preserve">el amparo antes de su ejecutoria, pudiendo ejercitar algún recurso, como por ejemplo lo ha hecho en variadas oportunidades donde exige que los despachos judiciales no se declaren incompetentes para conocer de acciones populares, sin siquiera esperar a que </w:t>
      </w:r>
      <w:r>
        <w:rPr>
          <w:rFonts w:ascii="Georgia" w:hAnsi="Georgia" w:cs="Arial"/>
          <w:lang w:val="es-ES_tradnl"/>
        </w:rPr>
        <w:t xml:space="preserve">sus </w:t>
      </w:r>
      <w:r w:rsidRPr="00B33709">
        <w:rPr>
          <w:rFonts w:ascii="Georgia" w:hAnsi="Georgia" w:cs="Arial"/>
          <w:lang w:val="es-ES_tradnl"/>
        </w:rPr>
        <w:t xml:space="preserve">destinatarios se </w:t>
      </w:r>
      <w:r>
        <w:rPr>
          <w:rFonts w:ascii="Georgia" w:hAnsi="Georgia" w:cs="Arial"/>
          <w:lang w:val="es-ES_tradnl"/>
        </w:rPr>
        <w:t>pronuncien</w:t>
      </w:r>
      <w:r w:rsidRPr="00B33709">
        <w:rPr>
          <w:rFonts w:ascii="Georgia" w:hAnsi="Georgia" w:cs="Arial"/>
          <w:lang w:val="es-ES_tradnl"/>
        </w:rPr>
        <w:t xml:space="preserve">, menos proponer las impugnaciones del caso. Por lo anotado, </w:t>
      </w:r>
      <w:r>
        <w:rPr>
          <w:rFonts w:ascii="Georgia" w:hAnsi="Georgia" w:cs="Arial"/>
          <w:lang w:val="es-ES_tradnl"/>
        </w:rPr>
        <w:t xml:space="preserve">se </w:t>
      </w:r>
      <w:r w:rsidRPr="00B33709">
        <w:rPr>
          <w:rFonts w:ascii="Georgia" w:hAnsi="Georgia" w:cs="Arial"/>
          <w:lang w:val="es-ES_tradnl"/>
        </w:rPr>
        <w:t>recoge el criterio plasmado en la acción de tutela 2018-00656-00 que declaró la falta de subsidiariedad en un asunto con similares contornos</w:t>
      </w:r>
      <w:r>
        <w:rPr>
          <w:rStyle w:val="Refdenotaalpie"/>
          <w:rFonts w:ascii="Georgia" w:hAnsi="Georgia"/>
          <w:lang w:val="es-ES_tradnl"/>
        </w:rPr>
        <w:footnoteReference w:id="11"/>
      </w:r>
      <w:r w:rsidRPr="00B33709">
        <w:rPr>
          <w:rFonts w:ascii="Georgia" w:hAnsi="Georgia" w:cs="Arial"/>
          <w:lang w:val="es-ES_tradnl"/>
        </w:rPr>
        <w:t xml:space="preserve">. </w:t>
      </w:r>
    </w:p>
    <w:p w:rsidR="00532B89" w:rsidRPr="00532B89" w:rsidRDefault="00532B89" w:rsidP="00532B89">
      <w:pPr>
        <w:spacing w:line="360" w:lineRule="auto"/>
        <w:ind w:right="51"/>
        <w:jc w:val="both"/>
        <w:rPr>
          <w:rFonts w:ascii="Georgia" w:hAnsi="Georgia"/>
          <w:sz w:val="22"/>
        </w:rPr>
      </w:pPr>
    </w:p>
    <w:p w:rsidR="00532B89" w:rsidRDefault="00532B89" w:rsidP="00532B89">
      <w:pPr>
        <w:pStyle w:val="Textoindependiente"/>
        <w:spacing w:line="360" w:lineRule="auto"/>
        <w:rPr>
          <w:rFonts w:ascii="Georgia" w:hAnsi="Georgia"/>
          <w:szCs w:val="24"/>
        </w:rPr>
      </w:pPr>
      <w:r>
        <w:rPr>
          <w:rFonts w:ascii="Georgia" w:hAnsi="Georgia" w:cs="Arial"/>
          <w:szCs w:val="24"/>
        </w:rPr>
        <w:t>De otro lado</w:t>
      </w:r>
      <w:r w:rsidRPr="005F3769">
        <w:rPr>
          <w:rFonts w:ascii="Georgia" w:hAnsi="Georgia" w:cs="Arial"/>
          <w:szCs w:val="24"/>
        </w:rPr>
        <w:t xml:space="preserve">, </w:t>
      </w:r>
      <w:r w:rsidRPr="008B2C50">
        <w:rPr>
          <w:rFonts w:ascii="Georgia" w:hAnsi="Georgia"/>
          <w:szCs w:val="24"/>
        </w:rPr>
        <w:t xml:space="preserve">en cuanto a los pedimentos dirigidos a las Salas Administrativa y Disciplinaria del CSJ local, </w:t>
      </w:r>
      <w:r>
        <w:rPr>
          <w:rFonts w:ascii="Georgia" w:hAnsi="Georgia"/>
        </w:rPr>
        <w:t xml:space="preserve">esta </w:t>
      </w:r>
      <w:r w:rsidRPr="008B2C50">
        <w:rPr>
          <w:rFonts w:ascii="Georgia" w:hAnsi="Georgia"/>
          <w:szCs w:val="24"/>
        </w:rPr>
        <w:t>Sala descarta realizar análisis constitucional alguno, por la evidente finalidad probatoria que envuelven</w:t>
      </w:r>
      <w:r>
        <w:rPr>
          <w:rFonts w:ascii="Georgia" w:hAnsi="Georgia"/>
        </w:rPr>
        <w:t xml:space="preserve">: </w:t>
      </w:r>
      <w:r w:rsidRPr="00172D9F">
        <w:rPr>
          <w:rFonts w:ascii="Georgia" w:hAnsi="Georgia"/>
          <w:i/>
          <w:sz w:val="22"/>
        </w:rPr>
        <w:t xml:space="preserve">“(…) a fin de probar q (Sic) he empleado todos los medio (Sic) conocidos por mi (Sic) para buscar que se aplique art </w:t>
      </w:r>
      <w:r>
        <w:rPr>
          <w:rFonts w:ascii="Georgia" w:hAnsi="Georgia"/>
          <w:i/>
          <w:sz w:val="22"/>
        </w:rPr>
        <w:t xml:space="preserve">(Sic) </w:t>
      </w:r>
      <w:r w:rsidRPr="00172D9F">
        <w:rPr>
          <w:rFonts w:ascii="Georgia" w:hAnsi="Georgia"/>
          <w:i/>
          <w:sz w:val="22"/>
        </w:rPr>
        <w:t>5 ley 472 de 1998”</w:t>
      </w:r>
      <w:r>
        <w:rPr>
          <w:rFonts w:ascii="Georgia" w:hAnsi="Georgia"/>
        </w:rPr>
        <w:t xml:space="preserve"> (Folios 1 y 2, ib.), razón por la cual no </w:t>
      </w:r>
      <w:r w:rsidRPr="008B2C50">
        <w:rPr>
          <w:rFonts w:ascii="Georgia" w:hAnsi="Georgia"/>
          <w:szCs w:val="24"/>
        </w:rPr>
        <w:t xml:space="preserve">fueron vinculadas </w:t>
      </w:r>
      <w:r>
        <w:rPr>
          <w:rFonts w:ascii="Georgia" w:hAnsi="Georgia"/>
        </w:rPr>
        <w:t xml:space="preserve">por pasiva </w:t>
      </w:r>
      <w:r w:rsidRPr="008B2C50">
        <w:rPr>
          <w:rFonts w:ascii="Georgia" w:hAnsi="Georgia"/>
          <w:szCs w:val="24"/>
        </w:rPr>
        <w:t>a est</w:t>
      </w:r>
      <w:r>
        <w:rPr>
          <w:rFonts w:ascii="Georgia" w:hAnsi="Georgia"/>
        </w:rPr>
        <w:t>os</w:t>
      </w:r>
      <w:r w:rsidRPr="008B2C50">
        <w:rPr>
          <w:rFonts w:ascii="Georgia" w:hAnsi="Georgia"/>
          <w:szCs w:val="24"/>
        </w:rPr>
        <w:t xml:space="preserve"> amparo</w:t>
      </w:r>
      <w:r>
        <w:rPr>
          <w:rFonts w:ascii="Georgia" w:hAnsi="Georgia"/>
        </w:rPr>
        <w:t>s</w:t>
      </w:r>
      <w:r w:rsidRPr="008B2C50">
        <w:rPr>
          <w:rFonts w:ascii="Georgia" w:hAnsi="Georgia"/>
          <w:szCs w:val="24"/>
        </w:rPr>
        <w:t xml:space="preserve">; </w:t>
      </w:r>
      <w:r>
        <w:rPr>
          <w:rFonts w:ascii="Georgia" w:hAnsi="Georgia"/>
        </w:rPr>
        <w:t xml:space="preserve">en efecto, </w:t>
      </w:r>
      <w:r w:rsidRPr="008B2C50">
        <w:rPr>
          <w:rFonts w:ascii="Georgia" w:hAnsi="Georgia"/>
          <w:szCs w:val="24"/>
        </w:rPr>
        <w:t xml:space="preserve">como no se trataba de una pretensión tutelar, sino de una prueba, se emitió el respetivo pronunciamiento en el auto admisorio negando su decreto, por inútil, </w:t>
      </w:r>
      <w:r>
        <w:rPr>
          <w:rFonts w:ascii="Georgia" w:hAnsi="Georgia"/>
        </w:rPr>
        <w:t xml:space="preserve">puesto que </w:t>
      </w:r>
      <w:r w:rsidRPr="008B2C50">
        <w:rPr>
          <w:rFonts w:ascii="Georgia" w:hAnsi="Georgia"/>
          <w:szCs w:val="24"/>
        </w:rPr>
        <w:t>los hechos que se pretendían acreditar carecían de incidencia en la decisión de esta</w:t>
      </w:r>
      <w:r>
        <w:rPr>
          <w:rFonts w:ascii="Georgia" w:hAnsi="Georgia"/>
        </w:rPr>
        <w:t>s</w:t>
      </w:r>
      <w:r w:rsidRPr="008B2C50">
        <w:rPr>
          <w:rFonts w:ascii="Georgia" w:hAnsi="Georgia"/>
          <w:szCs w:val="24"/>
        </w:rPr>
        <w:t xml:space="preserve"> tutela</w:t>
      </w:r>
      <w:r>
        <w:rPr>
          <w:rFonts w:ascii="Georgia" w:hAnsi="Georgia"/>
        </w:rPr>
        <w:t>s (Folios 6 y 7, ib.)</w:t>
      </w:r>
      <w:r w:rsidRPr="008B2C50">
        <w:rPr>
          <w:rFonts w:ascii="Georgia" w:hAnsi="Georgia"/>
          <w:szCs w:val="24"/>
        </w:rPr>
        <w:t>.</w:t>
      </w:r>
    </w:p>
    <w:p w:rsidR="00532B89" w:rsidRPr="00532B89" w:rsidRDefault="00532B89" w:rsidP="00532B89">
      <w:pPr>
        <w:pStyle w:val="Textoindependiente"/>
        <w:spacing w:line="360" w:lineRule="auto"/>
        <w:rPr>
          <w:rFonts w:ascii="Georgia" w:hAnsi="Georgia"/>
          <w:szCs w:val="24"/>
        </w:rPr>
      </w:pPr>
    </w:p>
    <w:p w:rsidR="00532B89" w:rsidRDefault="00532B89" w:rsidP="00532B89">
      <w:pPr>
        <w:pStyle w:val="Textoindependiente"/>
        <w:spacing w:line="360" w:lineRule="auto"/>
        <w:rPr>
          <w:rFonts w:ascii="Georgia" w:hAnsi="Georgia" w:cs="Arial"/>
          <w:szCs w:val="24"/>
        </w:rPr>
      </w:pPr>
      <w:r>
        <w:rPr>
          <w:rFonts w:ascii="Georgia" w:hAnsi="Georgia"/>
        </w:rPr>
        <w:t>Por último</w:t>
      </w:r>
      <w:r w:rsidRPr="008B2C50">
        <w:rPr>
          <w:rFonts w:ascii="Georgia" w:hAnsi="Georgia"/>
          <w:szCs w:val="24"/>
        </w:rPr>
        <w:t>,</w:t>
      </w:r>
      <w:r>
        <w:rPr>
          <w:rFonts w:ascii="Georgia" w:hAnsi="Georgia"/>
          <w:szCs w:val="24"/>
        </w:rPr>
        <w:t xml:space="preserve"> </w:t>
      </w:r>
      <w:r w:rsidRPr="005F3769">
        <w:rPr>
          <w:rFonts w:ascii="Georgia" w:hAnsi="Georgia" w:cs="Arial"/>
          <w:szCs w:val="24"/>
        </w:rPr>
        <w:t xml:space="preserve">se </w:t>
      </w:r>
      <w:r>
        <w:rPr>
          <w:rFonts w:ascii="Georgia" w:hAnsi="Georgia" w:cs="Arial"/>
          <w:szCs w:val="24"/>
        </w:rPr>
        <w:t xml:space="preserve">accederá </w:t>
      </w:r>
      <w:r w:rsidRPr="005F3769">
        <w:rPr>
          <w:rFonts w:ascii="Georgia" w:hAnsi="Georgia" w:cs="Arial"/>
          <w:szCs w:val="24"/>
        </w:rPr>
        <w:t>al pedimento de copia</w:t>
      </w:r>
      <w:r>
        <w:rPr>
          <w:rFonts w:ascii="Georgia" w:hAnsi="Georgia" w:cs="Arial"/>
          <w:szCs w:val="24"/>
        </w:rPr>
        <w:t xml:space="preserve"> física</w:t>
      </w:r>
      <w:r w:rsidRPr="005F3769">
        <w:rPr>
          <w:rFonts w:ascii="Georgia" w:hAnsi="Georgia" w:cs="Arial"/>
          <w:szCs w:val="24"/>
        </w:rPr>
        <w:t xml:space="preserve">, </w:t>
      </w:r>
      <w:r>
        <w:rPr>
          <w:rFonts w:ascii="Georgia" w:hAnsi="Georgia" w:cs="Arial"/>
          <w:szCs w:val="24"/>
        </w:rPr>
        <w:t xml:space="preserve">en consecuencia, </w:t>
      </w:r>
      <w:r w:rsidRPr="005F3769">
        <w:rPr>
          <w:rFonts w:ascii="Georgia" w:hAnsi="Georgia" w:cs="Arial"/>
          <w:szCs w:val="24"/>
        </w:rPr>
        <w:t xml:space="preserve">se ordenará </w:t>
      </w:r>
      <w:r>
        <w:rPr>
          <w:rFonts w:ascii="Georgia" w:hAnsi="Georgia" w:cs="Arial"/>
          <w:szCs w:val="24"/>
        </w:rPr>
        <w:t>su expedición, previo pago por el actor del arancel judicial correspondiente (</w:t>
      </w:r>
      <w:r w:rsidRPr="00AC6BA9">
        <w:rPr>
          <w:rFonts w:ascii="Georgia" w:hAnsi="Georgia" w:cs="Arial"/>
          <w:szCs w:val="24"/>
        </w:rPr>
        <w:t>PSAA14-10280</w:t>
      </w:r>
      <w:r>
        <w:rPr>
          <w:rFonts w:ascii="Georgia" w:hAnsi="Georgia" w:cs="Arial"/>
          <w:szCs w:val="24"/>
        </w:rPr>
        <w:t xml:space="preserve"> del </w:t>
      </w:r>
    </w:p>
    <w:p w:rsidR="00532B89" w:rsidRDefault="00532B89" w:rsidP="00532B89">
      <w:pPr>
        <w:pStyle w:val="Textoindependiente"/>
        <w:spacing w:line="360" w:lineRule="auto"/>
        <w:rPr>
          <w:rFonts w:ascii="Georgia" w:hAnsi="Georgia" w:cs="Arial"/>
          <w:sz w:val="28"/>
          <w:szCs w:val="28"/>
        </w:rPr>
      </w:pPr>
      <w:r>
        <w:rPr>
          <w:rFonts w:ascii="Georgia" w:hAnsi="Georgia" w:cs="Arial"/>
          <w:szCs w:val="24"/>
        </w:rPr>
        <w:t>CSJ)</w:t>
      </w:r>
      <w:r w:rsidRPr="005F3769">
        <w:rPr>
          <w:rFonts w:ascii="Georgia" w:hAnsi="Georgia" w:cs="Arial"/>
          <w:sz w:val="28"/>
          <w:szCs w:val="28"/>
        </w:rPr>
        <w:t>.</w:t>
      </w:r>
      <w:r>
        <w:rPr>
          <w:rFonts w:ascii="Georgia" w:hAnsi="Georgia" w:cs="Arial"/>
          <w:sz w:val="28"/>
          <w:szCs w:val="28"/>
        </w:rPr>
        <w:t xml:space="preserve"> </w:t>
      </w:r>
    </w:p>
    <w:p w:rsidR="00532B89" w:rsidRPr="00532B89" w:rsidRDefault="00532B89" w:rsidP="00532B89">
      <w:pPr>
        <w:pStyle w:val="Textoindependiente"/>
        <w:spacing w:line="360" w:lineRule="auto"/>
        <w:rPr>
          <w:rFonts w:ascii="Georgia" w:hAnsi="Georgia" w:cs="Arial"/>
          <w:sz w:val="22"/>
          <w:szCs w:val="28"/>
        </w:rPr>
      </w:pPr>
    </w:p>
    <w:p w:rsidR="00532B89" w:rsidRDefault="00532B89" w:rsidP="00532B89">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532B89" w:rsidRDefault="00532B89" w:rsidP="00532B89">
      <w:pPr>
        <w:pStyle w:val="Textoindependiente"/>
        <w:spacing w:line="360" w:lineRule="auto"/>
        <w:ind w:left="400"/>
        <w:rPr>
          <w:rFonts w:ascii="Georgia" w:hAnsi="Georgia"/>
          <w:szCs w:val="24"/>
        </w:rPr>
      </w:pPr>
    </w:p>
    <w:p w:rsidR="00532B89" w:rsidRPr="007C23E2" w:rsidRDefault="00532B89" w:rsidP="00532B89">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B33A0F">
        <w:rPr>
          <w:rFonts w:ascii="Georgia" w:hAnsi="Georgia" w:cs="Arial"/>
        </w:rPr>
        <w:t>Con fundamento en las consideraciones expuestas</w:t>
      </w:r>
      <w:r>
        <w:rPr>
          <w:rFonts w:ascii="Georgia" w:hAnsi="Georgia" w:cs="Arial"/>
        </w:rPr>
        <w:t>:</w:t>
      </w:r>
      <w:r w:rsidRPr="00B33A0F">
        <w:rPr>
          <w:rFonts w:ascii="Georgia" w:hAnsi="Georgia" w:cs="Arial"/>
        </w:rPr>
        <w:t xml:space="preserve"> </w:t>
      </w:r>
      <w:r w:rsidRPr="00ED7914">
        <w:rPr>
          <w:rFonts w:ascii="Georgia" w:hAnsi="Georgia" w:cs="Arial"/>
        </w:rPr>
        <w:t>(i)</w:t>
      </w:r>
      <w:r>
        <w:rPr>
          <w:rFonts w:ascii="Georgia" w:hAnsi="Georgia" w:cs="Arial"/>
        </w:rPr>
        <w:t xml:space="preserve"> </w:t>
      </w:r>
      <w:r w:rsidRPr="00ED7914">
        <w:rPr>
          <w:rFonts w:ascii="Georgia" w:hAnsi="Georgia" w:cs="Arial"/>
        </w:rPr>
        <w:t>Se</w:t>
      </w:r>
      <w:r>
        <w:rPr>
          <w:rFonts w:ascii="Georgia" w:hAnsi="Georgia" w:cs="Arial"/>
        </w:rPr>
        <w:t xml:space="preserve"> negaran </w:t>
      </w:r>
      <w:r w:rsidRPr="00ED7914">
        <w:rPr>
          <w:rFonts w:ascii="Georgia" w:hAnsi="Georgia" w:cs="Arial"/>
        </w:rPr>
        <w:t>la</w:t>
      </w:r>
      <w:r>
        <w:rPr>
          <w:rFonts w:ascii="Georgia" w:hAnsi="Georgia" w:cs="Arial"/>
        </w:rPr>
        <w:t>s</w:t>
      </w:r>
      <w:r w:rsidRPr="00ED7914">
        <w:rPr>
          <w:rFonts w:ascii="Georgia" w:hAnsi="Georgia" w:cs="Arial"/>
        </w:rPr>
        <w:t xml:space="preserve"> acci</w:t>
      </w:r>
      <w:r>
        <w:rPr>
          <w:rFonts w:ascii="Georgia" w:hAnsi="Georgia" w:cs="Arial"/>
        </w:rPr>
        <w:t>ones de tutela por ausencia fáctica</w:t>
      </w:r>
      <w:r>
        <w:rPr>
          <w:rFonts w:ascii="Georgia" w:hAnsi="Georgia"/>
        </w:rPr>
        <w:t xml:space="preserve">; y, (ii) Se dispondrá </w:t>
      </w:r>
      <w:r>
        <w:rPr>
          <w:rFonts w:ascii="Georgia" w:hAnsi="Georgia" w:cs="Arial"/>
        </w:rPr>
        <w:t>expedir copia de todo el expediente a costa del actor.</w:t>
      </w:r>
    </w:p>
    <w:p w:rsidR="00532B89" w:rsidRPr="00AD1EC7" w:rsidRDefault="00532B89" w:rsidP="00532B89">
      <w:pPr>
        <w:pStyle w:val="Textoindependiente"/>
        <w:spacing w:line="360" w:lineRule="auto"/>
        <w:rPr>
          <w:rFonts w:ascii="Georgia" w:hAnsi="Georgia" w:cs="Arial"/>
        </w:rPr>
      </w:pPr>
      <w:r>
        <w:rPr>
          <w:rFonts w:ascii="Georgia" w:hAnsi="Georgia"/>
        </w:rPr>
        <w:t xml:space="preserve"> </w:t>
      </w:r>
    </w:p>
    <w:p w:rsidR="00532B89" w:rsidRPr="00D22B05" w:rsidRDefault="00532B89" w:rsidP="00532B89">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Pr>
          <w:rFonts w:ascii="Georgia" w:hAnsi="Georgia" w:cs="Arial"/>
        </w:rPr>
        <w:t xml:space="preserve"> de Colombia </w:t>
      </w:r>
      <w:r w:rsidRPr="00D22B05">
        <w:rPr>
          <w:rFonts w:ascii="Georgia" w:hAnsi="Georgia" w:cs="Arial"/>
        </w:rPr>
        <w:t>y por autoridad de la Ley,</w:t>
      </w:r>
    </w:p>
    <w:p w:rsidR="00532B89" w:rsidRDefault="00532B89" w:rsidP="00532B89">
      <w:pPr>
        <w:pStyle w:val="Textoindependiente"/>
        <w:spacing w:line="360" w:lineRule="auto"/>
        <w:jc w:val="center"/>
        <w:rPr>
          <w:rFonts w:ascii="Georgia" w:hAnsi="Georgia" w:cs="Arial"/>
          <w:bCs/>
        </w:rPr>
      </w:pPr>
      <w:r w:rsidRPr="00BB7438">
        <w:rPr>
          <w:rFonts w:ascii="Georgia" w:hAnsi="Georgia" w:cs="Arial"/>
          <w:bCs/>
        </w:rPr>
        <w:t>F A L L A,</w:t>
      </w:r>
    </w:p>
    <w:p w:rsidR="00532B89" w:rsidRPr="00BB7438" w:rsidRDefault="00532B89" w:rsidP="00532B89">
      <w:pPr>
        <w:pStyle w:val="Textoindependiente"/>
        <w:spacing w:line="360" w:lineRule="auto"/>
        <w:jc w:val="center"/>
        <w:rPr>
          <w:rFonts w:ascii="Georgia" w:hAnsi="Georgia" w:cs="Arial"/>
          <w:bCs/>
        </w:rPr>
      </w:pPr>
    </w:p>
    <w:p w:rsidR="00532B8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 xml:space="preserve">NEGAR </w:t>
      </w:r>
      <w:r w:rsidRPr="00B33A0F">
        <w:rPr>
          <w:rFonts w:ascii="Georgia" w:hAnsi="Georgia" w:cs="Arial"/>
        </w:rPr>
        <w:t>la</w:t>
      </w:r>
      <w:r>
        <w:rPr>
          <w:rFonts w:ascii="Georgia" w:hAnsi="Georgia" w:cs="Arial"/>
        </w:rPr>
        <w:t>s</w:t>
      </w:r>
      <w:r w:rsidRPr="00B33A0F">
        <w:rPr>
          <w:rFonts w:ascii="Georgia" w:hAnsi="Georgia" w:cs="Arial"/>
        </w:rPr>
        <w:t xml:space="preserve"> tutela</w:t>
      </w:r>
      <w:r>
        <w:rPr>
          <w:rFonts w:ascii="Georgia" w:hAnsi="Georgia" w:cs="Arial"/>
        </w:rPr>
        <w:t>s</w:t>
      </w:r>
      <w:r w:rsidRPr="00B33A0F">
        <w:rPr>
          <w:rFonts w:ascii="Georgia" w:hAnsi="Georgia" w:cs="Arial"/>
        </w:rPr>
        <w:t xml:space="preserve"> </w:t>
      </w:r>
      <w:r>
        <w:rPr>
          <w:rFonts w:ascii="Georgia" w:hAnsi="Georgia" w:cs="Arial"/>
        </w:rPr>
        <w:t>formuladas</w:t>
      </w:r>
      <w:r w:rsidRPr="00B33A0F">
        <w:rPr>
          <w:rFonts w:ascii="Georgia" w:hAnsi="Georgia" w:cs="Arial"/>
        </w:rPr>
        <w:t xml:space="preserve"> por el señor </w:t>
      </w:r>
      <w:r>
        <w:rPr>
          <w:rFonts w:ascii="Georgia" w:hAnsi="Georgia" w:cs="Arial"/>
        </w:rPr>
        <w:t xml:space="preserve">Javier Elías Arias Idárraga </w:t>
      </w:r>
      <w:r w:rsidRPr="00B33A0F">
        <w:rPr>
          <w:rFonts w:ascii="Georgia" w:hAnsi="Georgia" w:cs="Arial"/>
        </w:rPr>
        <w:t>contra el Juzgado</w:t>
      </w:r>
      <w:r>
        <w:rPr>
          <w:rFonts w:ascii="Georgia" w:hAnsi="Georgia" w:cs="Arial"/>
        </w:rPr>
        <w:t xml:space="preserve"> Quinto Civil del Circuito de Pereira, según lo expuesto.</w:t>
      </w:r>
    </w:p>
    <w:p w:rsidR="00532B89" w:rsidRPr="006E01D9" w:rsidRDefault="00532B89" w:rsidP="00532B8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32B8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 xml:space="preserve">EXPEDIR copia de todo el expediente de este amparo constitucional, previo pago del </w:t>
      </w:r>
      <w:r>
        <w:rPr>
          <w:rFonts w:ascii="Georgia" w:hAnsi="Georgia"/>
        </w:rPr>
        <w:lastRenderedPageBreak/>
        <w:t>arancel judicial por el accionante</w:t>
      </w:r>
      <w:r>
        <w:rPr>
          <w:rFonts w:ascii="Georgia" w:hAnsi="Georgia" w:cs="Arial"/>
        </w:rPr>
        <w:t>.</w:t>
      </w:r>
    </w:p>
    <w:p w:rsidR="00532B89" w:rsidRPr="002D3CDB" w:rsidRDefault="00532B89" w:rsidP="00532B89">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rPr>
      </w:pPr>
    </w:p>
    <w:p w:rsidR="00532B89" w:rsidRPr="006E01D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532B89" w:rsidRPr="006E01D9" w:rsidRDefault="00532B89" w:rsidP="00532B8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32B89" w:rsidRPr="006E01D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532B89" w:rsidRPr="006E01D9" w:rsidRDefault="00532B89" w:rsidP="00532B8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32B89" w:rsidRPr="006E01D9" w:rsidRDefault="00532B89" w:rsidP="00532B8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ARCHIVAR el expediente, previa anotaciones en los libros radicadores.</w:t>
      </w:r>
    </w:p>
    <w:p w:rsidR="00532B89" w:rsidRPr="0089352F" w:rsidRDefault="00532B89" w:rsidP="00532B89">
      <w:pPr>
        <w:pStyle w:val="Textoindependiente"/>
        <w:spacing w:line="360" w:lineRule="auto"/>
        <w:jc w:val="center"/>
        <w:rPr>
          <w:rFonts w:ascii="Georgia" w:hAnsi="Georgia"/>
          <w:smallCaps/>
          <w:szCs w:val="24"/>
          <w:lang w:val="en-US"/>
        </w:rPr>
      </w:pPr>
    </w:p>
    <w:p w:rsidR="00532B89" w:rsidRPr="006A1FD7" w:rsidRDefault="00532B89" w:rsidP="00532B89">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532B89"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532B89" w:rsidRPr="00AA465A"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532B89" w:rsidRPr="00AD7B0C"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532B89" w:rsidRPr="00AD7B0C"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532B89"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532B89" w:rsidRPr="00AA465A"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532B89" w:rsidRPr="00AD7B0C"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532B89"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Pr>
          <w:rFonts w:ascii="Georgia" w:hAnsi="Georgia" w:cs="Arial"/>
          <w:w w:val="150"/>
          <w:sz w:val="18"/>
          <w:lang w:val="en-GB"/>
        </w:rPr>
        <w:t xml:space="preserve"> A G I S T R A D O         </w:t>
      </w:r>
    </w:p>
    <w:p w:rsidR="00532B89"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532B89" w:rsidRPr="00AD7B0C" w:rsidRDefault="00532B89" w:rsidP="00532B8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Pr="009110AB">
        <w:rPr>
          <w:rFonts w:ascii="Georgia" w:hAnsi="Georgia"/>
          <w:w w:val="150"/>
          <w:sz w:val="10"/>
          <w:szCs w:val="10"/>
          <w:lang w:val="en-US"/>
        </w:rPr>
        <w:t>DGH/ODCD/</w:t>
      </w:r>
      <w:r>
        <w:rPr>
          <w:rFonts w:ascii="Georgia" w:hAnsi="Georgia"/>
          <w:w w:val="150"/>
          <w:sz w:val="10"/>
          <w:szCs w:val="10"/>
          <w:lang w:val="en-US"/>
        </w:rPr>
        <w:t xml:space="preserve"> 2018</w:t>
      </w:r>
    </w:p>
    <w:sectPr w:rsidR="00532B89" w:rsidRPr="00AD7B0C" w:rsidSect="00D41520">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95" w:rsidRDefault="00147395" w:rsidP="0099045D">
      <w:r>
        <w:separator/>
      </w:r>
    </w:p>
  </w:endnote>
  <w:endnote w:type="continuationSeparator" w:id="0">
    <w:p w:rsidR="00147395" w:rsidRDefault="0014739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95" w:rsidRDefault="00147395" w:rsidP="0099045D">
      <w:r>
        <w:separator/>
      </w:r>
    </w:p>
  </w:footnote>
  <w:footnote w:type="continuationSeparator" w:id="0">
    <w:p w:rsidR="00147395" w:rsidRDefault="00147395" w:rsidP="0099045D">
      <w:r>
        <w:continuationSeparator/>
      </w:r>
    </w:p>
  </w:footnote>
  <w:footnote w:id="1">
    <w:p w:rsidR="00532B89" w:rsidRPr="002D2187" w:rsidRDefault="00532B89" w:rsidP="00532B89">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532B89" w:rsidRPr="002D2187" w:rsidRDefault="00532B89" w:rsidP="00532B89">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532B89" w:rsidRPr="00C74846" w:rsidRDefault="00532B89" w:rsidP="00532B89">
      <w:pPr>
        <w:pStyle w:val="Textonotapie"/>
        <w:jc w:val="both"/>
      </w:pPr>
      <w:r w:rsidRPr="00C74846">
        <w:rPr>
          <w:rStyle w:val="Refdenotaalpie"/>
        </w:rPr>
        <w:footnoteRef/>
      </w:r>
      <w:r w:rsidRPr="00C74846">
        <w:t xml:space="preserve"> </w:t>
      </w:r>
      <w:r w:rsidRPr="00C74846">
        <w:rPr>
          <w:lang w:val="es-MX"/>
        </w:rPr>
        <w:t>CC. T-917 de 2011.</w:t>
      </w:r>
    </w:p>
  </w:footnote>
  <w:footnote w:id="4">
    <w:p w:rsidR="00532B89" w:rsidRPr="00C74846" w:rsidRDefault="00532B89" w:rsidP="00532B89">
      <w:pPr>
        <w:pStyle w:val="Textonotapie"/>
        <w:jc w:val="both"/>
      </w:pPr>
      <w:r w:rsidRPr="00C74846">
        <w:rPr>
          <w:rStyle w:val="Refdenotaalpie"/>
        </w:rPr>
        <w:footnoteRef/>
      </w:r>
      <w:r w:rsidRPr="00C74846">
        <w:rPr>
          <w:lang w:val="es-MX"/>
        </w:rPr>
        <w:t xml:space="preserve"> CC. C-590 de 2005.</w:t>
      </w:r>
    </w:p>
  </w:footnote>
  <w:footnote w:id="5">
    <w:p w:rsidR="00532B89" w:rsidRPr="00C74846" w:rsidRDefault="00532B89" w:rsidP="00532B89">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532B89" w:rsidRPr="00C74846" w:rsidRDefault="00532B89" w:rsidP="00532B89">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532B89" w:rsidRPr="00C74846" w:rsidRDefault="00532B89" w:rsidP="00532B89">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532B89" w:rsidRPr="00C74846" w:rsidRDefault="00532B89" w:rsidP="00532B89">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532B89" w:rsidRPr="00C74846" w:rsidRDefault="00532B89" w:rsidP="00532B89">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532B89" w:rsidRPr="00714579" w:rsidRDefault="00532B89" w:rsidP="00532B89">
      <w:pPr>
        <w:pStyle w:val="Textonotapie"/>
      </w:pPr>
      <w:r w:rsidRPr="00714579">
        <w:rPr>
          <w:rStyle w:val="Refdenotaalpie"/>
        </w:rPr>
        <w:footnoteRef/>
      </w:r>
      <w:r w:rsidRPr="00714579">
        <w:t xml:space="preserve"> CC. T-600 de 2017.</w:t>
      </w:r>
    </w:p>
  </w:footnote>
  <w:footnote w:id="11">
    <w:p w:rsidR="00532B89" w:rsidRPr="00B33709" w:rsidRDefault="00532B89" w:rsidP="00532B89">
      <w:pPr>
        <w:pStyle w:val="Textonotapie"/>
        <w:rPr>
          <w:lang w:val="es-CO"/>
        </w:rPr>
      </w:pPr>
      <w:r>
        <w:rPr>
          <w:rStyle w:val="Refdenotaalpie"/>
        </w:rPr>
        <w:footnoteRef/>
      </w:r>
      <w:r>
        <w:t xml:space="preserve"> </w:t>
      </w:r>
      <w:r>
        <w:rPr>
          <w:lang w:val="es-CO"/>
        </w:rPr>
        <w:t>TS de Pereira, Sala Civil – Familia. Sentencia del 11-09-2018, MP: Grisales H., No.2018-00656-00 y otra.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744F74">
      <w:rPr>
        <w:rFonts w:ascii="Georgia" w:hAnsi="Georgia" w:cs="Calibri"/>
        <w:i/>
        <w:noProof/>
        <w:sz w:val="20"/>
      </w:rPr>
      <w:t>6</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w:t>
    </w:r>
    <w:r w:rsidR="00277C59">
      <w:rPr>
        <w:rFonts w:ascii="Georgia" w:hAnsi="Georgia" w:cs="Calibri"/>
        <w:i/>
        <w:sz w:val="20"/>
        <w:szCs w:val="22"/>
      </w:rPr>
      <w:t>8</w:t>
    </w:r>
    <w:r w:rsidR="0041111B" w:rsidRPr="00BD4B96">
      <w:rPr>
        <w:rFonts w:ascii="Georgia" w:hAnsi="Georgia" w:cs="Calibri"/>
        <w:i/>
        <w:sz w:val="20"/>
        <w:szCs w:val="22"/>
      </w:rPr>
      <w:t>-</w:t>
    </w:r>
    <w:r w:rsidR="001E448F">
      <w:rPr>
        <w:rFonts w:ascii="Georgia" w:hAnsi="Georgia" w:cs="Calibri"/>
        <w:i/>
        <w:sz w:val="20"/>
        <w:szCs w:val="22"/>
      </w:rPr>
      <w:t>00685</w:t>
    </w:r>
    <w:r w:rsidR="00D56742">
      <w:rPr>
        <w:rFonts w:ascii="Georgia" w:hAnsi="Georgia" w:cs="Calibri"/>
        <w:i/>
        <w:sz w:val="20"/>
        <w:szCs w:val="22"/>
      </w:rPr>
      <w:t>-</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r w:rsidR="001E448F" w:rsidRPr="001E448F">
      <w:rPr>
        <w:rFonts w:ascii="Georgia" w:hAnsi="Georgia" w:cs="Calibri"/>
        <w:i/>
        <w:smallCaps/>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5"/>
  </w:num>
  <w:num w:numId="30">
    <w:abstractNumId w:val="10"/>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B2"/>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2891"/>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611"/>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395"/>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8F"/>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AEB"/>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2B89"/>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AD3"/>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7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3EEF"/>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A7B77"/>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5E96"/>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883"/>
    <w:rsid w:val="00A56FFA"/>
    <w:rsid w:val="00A5710B"/>
    <w:rsid w:val="00A57670"/>
    <w:rsid w:val="00A607CC"/>
    <w:rsid w:val="00A60AFF"/>
    <w:rsid w:val="00A60EDA"/>
    <w:rsid w:val="00A610ED"/>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1F65"/>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6E75-6840-4A9E-8822-0D05CA0B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1766</Words>
  <Characters>9715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9</cp:revision>
  <cp:lastPrinted>2018-09-14T19:16:00Z</cp:lastPrinted>
  <dcterms:created xsi:type="dcterms:W3CDTF">2018-09-13T20:40:00Z</dcterms:created>
  <dcterms:modified xsi:type="dcterms:W3CDTF">2018-11-01T19:35:00Z</dcterms:modified>
</cp:coreProperties>
</file>