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D96F86" w:rsidRDefault="00D96F86" w:rsidP="002403C8">
      <w:pPr>
        <w:pStyle w:val="Sinespaciado"/>
        <w:tabs>
          <w:tab w:val="left" w:pos="3579"/>
        </w:tabs>
        <w:spacing w:line="360" w:lineRule="auto"/>
        <w:jc w:val="center"/>
        <w:rPr>
          <w:rFonts w:ascii="Georgia" w:hAnsi="Georgia" w:cs="Arial"/>
          <w:w w:val="140"/>
          <w:sz w:val="14"/>
        </w:rPr>
      </w:pPr>
    </w:p>
    <w:p w:rsidR="00D96F86" w:rsidRPr="00A17A0F" w:rsidRDefault="00D96F86" w:rsidP="00D96F86">
      <w:pPr>
        <w:pBdr>
          <w:top w:val="single" w:sz="4" w:space="1" w:color="auto"/>
          <w:left w:val="single" w:sz="4" w:space="4" w:color="auto"/>
          <w:bottom w:val="single" w:sz="4" w:space="1" w:color="auto"/>
          <w:right w:val="single" w:sz="4" w:space="4" w:color="auto"/>
        </w:pBdr>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D96F86" w:rsidRDefault="00D96F86" w:rsidP="00D96F86">
      <w:pPr>
        <w:rPr>
          <w:rFonts w:ascii="Calibri" w:hAnsi="Calibri" w:cs="Calibri"/>
          <w:color w:val="222222"/>
          <w:sz w:val="18"/>
          <w:szCs w:val="18"/>
          <w:lang w:val="es-CO" w:eastAsia="fr-FR"/>
        </w:rPr>
      </w:pPr>
    </w:p>
    <w:p w:rsidR="00D96F86" w:rsidRPr="000F4DFB" w:rsidRDefault="000F4DFB" w:rsidP="000F4DFB">
      <w:pPr>
        <w:pStyle w:val="Textoindependiente"/>
        <w:spacing w:line="240" w:lineRule="auto"/>
        <w:rPr>
          <w:rFonts w:ascii="Arial" w:hAnsi="Arial" w:cs="Arial"/>
          <w:sz w:val="22"/>
        </w:rPr>
      </w:pPr>
      <w:r w:rsidRPr="000F4DFB">
        <w:rPr>
          <w:rFonts w:ascii="Arial" w:hAnsi="Arial" w:cs="Arial"/>
          <w:sz w:val="22"/>
        </w:rPr>
        <w:t>Providencia</w:t>
      </w:r>
      <w:r w:rsidRPr="000F4DFB">
        <w:rPr>
          <w:rFonts w:ascii="Arial" w:hAnsi="Arial" w:cs="Arial"/>
          <w:sz w:val="22"/>
        </w:rPr>
        <w:tab/>
        <w:t xml:space="preserve">           :</w:t>
      </w:r>
      <w:r w:rsidR="00D96F86" w:rsidRPr="000F4DFB">
        <w:rPr>
          <w:rFonts w:ascii="Arial" w:hAnsi="Arial" w:cs="Arial"/>
          <w:sz w:val="22"/>
        </w:rPr>
        <w:t xml:space="preserve"> </w:t>
      </w:r>
      <w:r w:rsidRPr="000F4DFB">
        <w:rPr>
          <w:rFonts w:ascii="Arial" w:hAnsi="Arial" w:cs="Arial"/>
          <w:sz w:val="22"/>
        </w:rPr>
        <w:t>Sentencia  – 1ª instancia – 26</w:t>
      </w:r>
      <w:r w:rsidR="00D96F86" w:rsidRPr="000F4DFB">
        <w:rPr>
          <w:rFonts w:ascii="Arial" w:hAnsi="Arial" w:cs="Arial"/>
          <w:sz w:val="22"/>
        </w:rPr>
        <w:t xml:space="preserve"> de septiembre de 2018</w:t>
      </w:r>
    </w:p>
    <w:p w:rsidR="00D96F86" w:rsidRPr="000F4DFB" w:rsidRDefault="00D96F86" w:rsidP="000F4DFB">
      <w:pPr>
        <w:pStyle w:val="Textoindependiente"/>
        <w:spacing w:line="240" w:lineRule="auto"/>
        <w:rPr>
          <w:rFonts w:ascii="Arial" w:hAnsi="Arial" w:cs="Arial"/>
          <w:sz w:val="22"/>
        </w:rPr>
      </w:pPr>
      <w:r w:rsidRPr="000F4DFB">
        <w:rPr>
          <w:rFonts w:ascii="Arial" w:hAnsi="Arial" w:cs="Arial"/>
          <w:sz w:val="22"/>
        </w:rPr>
        <w:t>Proceso    </w:t>
      </w:r>
      <w:r w:rsidRPr="000F4DFB">
        <w:rPr>
          <w:rFonts w:ascii="Arial" w:hAnsi="Arial" w:cs="Arial"/>
          <w:sz w:val="22"/>
        </w:rPr>
        <w:tab/>
        <w:t xml:space="preserve">           </w:t>
      </w:r>
      <w:r w:rsidR="000F4DFB" w:rsidRPr="000F4DFB">
        <w:rPr>
          <w:rFonts w:ascii="Arial" w:hAnsi="Arial" w:cs="Arial"/>
          <w:sz w:val="22"/>
        </w:rPr>
        <w:t>:</w:t>
      </w:r>
      <w:r w:rsidRPr="000F4DFB">
        <w:rPr>
          <w:rFonts w:ascii="Arial" w:hAnsi="Arial" w:cs="Arial"/>
          <w:sz w:val="22"/>
        </w:rPr>
        <w:t xml:space="preserve"> Acción de Tutela </w:t>
      </w:r>
    </w:p>
    <w:p w:rsidR="000F4DFB" w:rsidRPr="000F4DFB" w:rsidRDefault="000F4DFB" w:rsidP="000F4DFB">
      <w:pPr>
        <w:pStyle w:val="Textoindependiente"/>
        <w:spacing w:line="240" w:lineRule="auto"/>
        <w:rPr>
          <w:rFonts w:ascii="Arial" w:hAnsi="Arial" w:cs="Arial"/>
          <w:sz w:val="22"/>
        </w:rPr>
      </w:pPr>
      <w:r>
        <w:rPr>
          <w:rFonts w:ascii="Arial" w:hAnsi="Arial" w:cs="Arial"/>
          <w:sz w:val="22"/>
        </w:rPr>
        <w:t>Accionante</w:t>
      </w:r>
      <w:r>
        <w:rPr>
          <w:rFonts w:ascii="Arial" w:hAnsi="Arial" w:cs="Arial"/>
          <w:sz w:val="22"/>
        </w:rPr>
        <w:tab/>
        <w:t xml:space="preserve">           </w:t>
      </w:r>
      <w:r w:rsidRPr="000F4DFB">
        <w:rPr>
          <w:rFonts w:ascii="Arial" w:hAnsi="Arial" w:cs="Arial"/>
          <w:sz w:val="22"/>
        </w:rPr>
        <w:t>:</w:t>
      </w:r>
      <w:r>
        <w:rPr>
          <w:rFonts w:ascii="Arial" w:hAnsi="Arial" w:cs="Arial"/>
          <w:sz w:val="22"/>
        </w:rPr>
        <w:t xml:space="preserve"> </w:t>
      </w:r>
      <w:r w:rsidRPr="000F4DFB">
        <w:rPr>
          <w:rFonts w:ascii="Arial" w:hAnsi="Arial" w:cs="Arial"/>
          <w:sz w:val="22"/>
        </w:rPr>
        <w:t>Javier Elías Arias Idárraga</w:t>
      </w:r>
    </w:p>
    <w:p w:rsidR="000F4DFB" w:rsidRPr="000F4DFB" w:rsidRDefault="000F4DFB" w:rsidP="000F4DFB">
      <w:pPr>
        <w:pStyle w:val="Textoindependiente"/>
        <w:spacing w:line="240" w:lineRule="auto"/>
        <w:rPr>
          <w:rFonts w:ascii="Arial" w:hAnsi="Arial" w:cs="Arial"/>
          <w:sz w:val="22"/>
        </w:rPr>
      </w:pPr>
      <w:r>
        <w:rPr>
          <w:rFonts w:ascii="Arial" w:hAnsi="Arial" w:cs="Arial"/>
          <w:sz w:val="22"/>
        </w:rPr>
        <w:t>Accionado (s)</w:t>
      </w:r>
      <w:r>
        <w:rPr>
          <w:rFonts w:ascii="Arial" w:hAnsi="Arial" w:cs="Arial"/>
          <w:sz w:val="22"/>
        </w:rPr>
        <w:tab/>
        <w:t xml:space="preserve">           : </w:t>
      </w:r>
      <w:r w:rsidRPr="000F4DFB">
        <w:rPr>
          <w:rFonts w:ascii="Arial" w:hAnsi="Arial" w:cs="Arial"/>
          <w:sz w:val="22"/>
        </w:rPr>
        <w:t xml:space="preserve">Juzgado Cuarto Civil del Circuito de Pereira </w:t>
      </w:r>
    </w:p>
    <w:p w:rsidR="000F4DFB" w:rsidRPr="000F4DFB" w:rsidRDefault="000F4DFB" w:rsidP="000F4DFB">
      <w:pPr>
        <w:pStyle w:val="Textoindependiente"/>
        <w:spacing w:line="240" w:lineRule="auto"/>
        <w:rPr>
          <w:rFonts w:ascii="Arial" w:hAnsi="Arial" w:cs="Arial"/>
          <w:sz w:val="22"/>
          <w:szCs w:val="22"/>
        </w:rPr>
      </w:pPr>
      <w:r>
        <w:rPr>
          <w:rFonts w:ascii="Arial" w:hAnsi="Arial" w:cs="Arial"/>
          <w:sz w:val="22"/>
          <w:szCs w:val="22"/>
        </w:rPr>
        <w:t>Vinculado (s)</w:t>
      </w:r>
      <w:r>
        <w:rPr>
          <w:rFonts w:ascii="Arial" w:hAnsi="Arial" w:cs="Arial"/>
          <w:sz w:val="22"/>
          <w:szCs w:val="22"/>
        </w:rPr>
        <w:tab/>
        <w:t xml:space="preserve">           </w:t>
      </w:r>
      <w:r w:rsidRPr="000F4DFB">
        <w:rPr>
          <w:rFonts w:ascii="Arial" w:hAnsi="Arial" w:cs="Arial"/>
          <w:sz w:val="22"/>
          <w:szCs w:val="22"/>
        </w:rPr>
        <w:t>: Defensoría del Pueblo, Regional Risaralda y otros</w:t>
      </w:r>
    </w:p>
    <w:p w:rsidR="000F4DFB" w:rsidRPr="000F4DFB" w:rsidRDefault="000F4DFB" w:rsidP="000F4DFB">
      <w:pPr>
        <w:pStyle w:val="Textoindependiente"/>
        <w:spacing w:line="240" w:lineRule="auto"/>
        <w:rPr>
          <w:rFonts w:ascii="Arial" w:hAnsi="Arial" w:cs="Arial"/>
          <w:sz w:val="22"/>
        </w:rPr>
      </w:pPr>
      <w:r>
        <w:rPr>
          <w:rFonts w:ascii="Arial" w:hAnsi="Arial" w:cs="Arial"/>
          <w:sz w:val="22"/>
        </w:rPr>
        <w:t>Radicación</w:t>
      </w:r>
      <w:r>
        <w:rPr>
          <w:rFonts w:ascii="Arial" w:hAnsi="Arial" w:cs="Arial"/>
          <w:sz w:val="22"/>
        </w:rPr>
        <w:tab/>
        <w:t xml:space="preserve">           </w:t>
      </w:r>
      <w:r w:rsidRPr="000F4DFB">
        <w:rPr>
          <w:rFonts w:ascii="Arial" w:hAnsi="Arial" w:cs="Arial"/>
          <w:sz w:val="22"/>
        </w:rPr>
        <w:t>: 66001-22-13-000-2018-00756-00</w:t>
      </w:r>
    </w:p>
    <w:p w:rsidR="00D96F86" w:rsidRPr="000F4DFB" w:rsidRDefault="00D96F86" w:rsidP="000F4DFB">
      <w:pPr>
        <w:rPr>
          <w:rFonts w:ascii="Arial" w:hAnsi="Arial" w:cs="Arial"/>
          <w:b/>
          <w:bCs/>
          <w:iCs/>
          <w:color w:val="222222"/>
          <w:sz w:val="22"/>
          <w:szCs w:val="22"/>
          <w:lang w:val="es-CO" w:eastAsia="fr-FR"/>
        </w:rPr>
      </w:pPr>
      <w:r w:rsidRPr="000F4DFB">
        <w:rPr>
          <w:rFonts w:ascii="Arial" w:hAnsi="Arial" w:cs="Arial"/>
          <w:color w:val="222222"/>
          <w:sz w:val="22"/>
          <w:szCs w:val="22"/>
          <w:lang w:val="es-CO" w:eastAsia="fr-FR"/>
        </w:rPr>
        <w:t xml:space="preserve">Magistrado </w:t>
      </w:r>
      <w:proofErr w:type="gramStart"/>
      <w:r w:rsidRPr="000F4DFB">
        <w:rPr>
          <w:rFonts w:ascii="Arial" w:hAnsi="Arial" w:cs="Arial"/>
          <w:color w:val="222222"/>
          <w:sz w:val="22"/>
          <w:szCs w:val="22"/>
          <w:lang w:val="es-CO" w:eastAsia="fr-FR"/>
        </w:rPr>
        <w:t>Ponente</w:t>
      </w:r>
      <w:r w:rsidR="000F4DFB">
        <w:rPr>
          <w:rFonts w:ascii="Arial" w:hAnsi="Arial" w:cs="Arial"/>
          <w:color w:val="222222"/>
          <w:sz w:val="22"/>
          <w:szCs w:val="22"/>
          <w:lang w:val="es-CO" w:eastAsia="fr-FR"/>
        </w:rPr>
        <w:t xml:space="preserve">  </w:t>
      </w:r>
      <w:r w:rsidRPr="000F4DFB">
        <w:rPr>
          <w:rFonts w:ascii="Arial" w:hAnsi="Arial" w:cs="Arial"/>
          <w:color w:val="222222"/>
          <w:sz w:val="22"/>
          <w:szCs w:val="22"/>
          <w:lang w:val="es-CO" w:eastAsia="fr-FR"/>
        </w:rPr>
        <w:t>:</w:t>
      </w:r>
      <w:proofErr w:type="gramEnd"/>
      <w:r w:rsidR="000F4DFB">
        <w:rPr>
          <w:rFonts w:ascii="Arial" w:hAnsi="Arial" w:cs="Arial"/>
          <w:color w:val="222222"/>
          <w:sz w:val="22"/>
          <w:szCs w:val="22"/>
          <w:lang w:val="es-CO" w:eastAsia="fr-FR"/>
        </w:rPr>
        <w:t xml:space="preserve"> </w:t>
      </w:r>
      <w:proofErr w:type="spellStart"/>
      <w:r w:rsidRPr="000F4DFB">
        <w:rPr>
          <w:rFonts w:ascii="Arial" w:hAnsi="Arial" w:cs="Arial"/>
          <w:color w:val="222222"/>
          <w:sz w:val="22"/>
          <w:szCs w:val="22"/>
          <w:lang w:val="es-CO" w:eastAsia="fr-FR"/>
        </w:rPr>
        <w:t>Duberney</w:t>
      </w:r>
      <w:proofErr w:type="spellEnd"/>
      <w:r w:rsidRPr="000F4DFB">
        <w:rPr>
          <w:rFonts w:ascii="Arial" w:hAnsi="Arial" w:cs="Arial"/>
          <w:color w:val="222222"/>
          <w:sz w:val="22"/>
          <w:szCs w:val="22"/>
          <w:lang w:val="es-CO" w:eastAsia="fr-FR"/>
        </w:rPr>
        <w:t xml:space="preserve"> Grisales Herrera</w:t>
      </w:r>
    </w:p>
    <w:p w:rsidR="00D96F86" w:rsidRPr="000F4DFB" w:rsidRDefault="00D96F86" w:rsidP="000F4DFB">
      <w:pPr>
        <w:rPr>
          <w:rFonts w:ascii="Arial" w:hAnsi="Arial" w:cs="Arial"/>
          <w:b/>
          <w:bCs/>
          <w:iCs/>
          <w:color w:val="222222"/>
          <w:sz w:val="22"/>
          <w:szCs w:val="22"/>
          <w:lang w:val="es-CO" w:eastAsia="fr-FR"/>
        </w:rPr>
      </w:pPr>
    </w:p>
    <w:p w:rsidR="00D96F86" w:rsidRPr="000F4DFB" w:rsidRDefault="00D96F86" w:rsidP="000F4DFB">
      <w:pPr>
        <w:rPr>
          <w:rFonts w:ascii="Arial" w:hAnsi="Arial" w:cs="Arial"/>
          <w:b/>
          <w:bCs/>
          <w:iCs/>
          <w:color w:val="222222"/>
          <w:sz w:val="22"/>
          <w:szCs w:val="22"/>
          <w:lang w:val="es-CO" w:eastAsia="fr-FR"/>
        </w:rPr>
      </w:pPr>
    </w:p>
    <w:p w:rsidR="00D96F86" w:rsidRPr="000F4DFB" w:rsidRDefault="00D96F86" w:rsidP="000F4DFB">
      <w:pPr>
        <w:pStyle w:val="Sinespaciado"/>
        <w:jc w:val="both"/>
        <w:rPr>
          <w:rFonts w:ascii="Arial" w:hAnsi="Arial" w:cs="Arial"/>
          <w:sz w:val="22"/>
          <w:szCs w:val="22"/>
        </w:rPr>
      </w:pPr>
      <w:r w:rsidRPr="000F4DFB">
        <w:rPr>
          <w:rFonts w:ascii="Arial" w:hAnsi="Arial" w:cs="Arial"/>
          <w:b/>
          <w:bCs/>
          <w:iCs/>
          <w:color w:val="222222"/>
          <w:sz w:val="22"/>
          <w:szCs w:val="22"/>
          <w:lang w:val="es-CO" w:eastAsia="fr-FR"/>
        </w:rPr>
        <w:t xml:space="preserve">Temas: </w:t>
      </w:r>
      <w:r w:rsidRPr="000F4DFB">
        <w:rPr>
          <w:rFonts w:ascii="Arial" w:hAnsi="Arial" w:cs="Arial"/>
          <w:b/>
          <w:bCs/>
          <w:iCs/>
          <w:color w:val="222222"/>
          <w:sz w:val="22"/>
          <w:szCs w:val="22"/>
          <w:lang w:val="es-CO" w:eastAsia="fr-FR"/>
        </w:rPr>
        <w:tab/>
      </w:r>
      <w:r w:rsidRPr="000F4DFB">
        <w:rPr>
          <w:rFonts w:ascii="Arial" w:hAnsi="Arial" w:cs="Arial"/>
          <w:b/>
          <w:bCs/>
          <w:iCs/>
          <w:color w:val="222222"/>
          <w:sz w:val="22"/>
          <w:szCs w:val="22"/>
          <w:lang w:val="es-CO" w:eastAsia="fr-FR"/>
        </w:rPr>
        <w:tab/>
        <w:t xml:space="preserve">           DEBIDO PROCESO /</w:t>
      </w:r>
      <w:r w:rsidRPr="000F4DFB">
        <w:rPr>
          <w:rFonts w:ascii="Arial" w:hAnsi="Arial" w:cs="Arial"/>
          <w:b/>
          <w:bCs/>
          <w:iCs/>
          <w:color w:val="222222"/>
          <w:sz w:val="22"/>
          <w:szCs w:val="22"/>
          <w:lang w:eastAsia="fr-FR"/>
        </w:rPr>
        <w:t xml:space="preserve"> TUTELA CONT</w:t>
      </w:r>
      <w:r w:rsidR="000F4DFB" w:rsidRPr="000F4DFB">
        <w:rPr>
          <w:rFonts w:ascii="Arial" w:hAnsi="Arial" w:cs="Arial"/>
          <w:b/>
          <w:bCs/>
          <w:iCs/>
          <w:color w:val="222222"/>
          <w:sz w:val="22"/>
          <w:szCs w:val="22"/>
          <w:lang w:eastAsia="fr-FR"/>
        </w:rPr>
        <w:t>RA PROVIDENCIA JUDICIAL / ACCIÓN</w:t>
      </w:r>
      <w:r w:rsidRPr="000F4DFB">
        <w:rPr>
          <w:rFonts w:ascii="Arial" w:hAnsi="Arial" w:cs="Arial"/>
          <w:b/>
          <w:bCs/>
          <w:iCs/>
          <w:color w:val="222222"/>
          <w:sz w:val="22"/>
          <w:szCs w:val="22"/>
          <w:lang w:eastAsia="fr-FR"/>
        </w:rPr>
        <w:t xml:space="preserve"> POPULAR /  </w:t>
      </w:r>
      <w:r w:rsidR="000F4DFB" w:rsidRPr="000F4DFB">
        <w:rPr>
          <w:rFonts w:ascii="Arial" w:hAnsi="Arial" w:cs="Arial"/>
          <w:b/>
          <w:bCs/>
          <w:iCs/>
          <w:color w:val="222222"/>
          <w:sz w:val="22"/>
          <w:szCs w:val="22"/>
          <w:lang w:eastAsia="fr-FR"/>
        </w:rPr>
        <w:t>SUBSIDIARIEDAD</w:t>
      </w:r>
      <w:r w:rsidRPr="000F4DFB">
        <w:rPr>
          <w:rFonts w:ascii="Arial" w:hAnsi="Arial" w:cs="Arial"/>
          <w:b/>
          <w:bCs/>
          <w:iCs/>
          <w:color w:val="222222"/>
          <w:sz w:val="22"/>
          <w:szCs w:val="22"/>
          <w:lang w:eastAsia="fr-FR"/>
        </w:rPr>
        <w:t xml:space="preserve">/ </w:t>
      </w:r>
      <w:r w:rsidR="000F4DFB" w:rsidRPr="000F4DFB">
        <w:rPr>
          <w:rFonts w:ascii="Arial" w:hAnsi="Arial" w:cs="Arial"/>
          <w:b/>
          <w:bCs/>
          <w:iCs/>
          <w:color w:val="222222"/>
          <w:sz w:val="22"/>
          <w:szCs w:val="22"/>
          <w:lang w:eastAsia="fr-FR"/>
        </w:rPr>
        <w:t xml:space="preserve"> INEXISTENCIA RECURSOS/</w:t>
      </w:r>
      <w:r w:rsidRPr="000F4DFB">
        <w:rPr>
          <w:rFonts w:ascii="Arial" w:hAnsi="Arial" w:cs="Arial"/>
          <w:b/>
          <w:bCs/>
          <w:iCs/>
          <w:color w:val="222222"/>
          <w:sz w:val="22"/>
          <w:szCs w:val="22"/>
          <w:lang w:eastAsia="fr-FR"/>
        </w:rPr>
        <w:t xml:space="preserve"> IMPROCEDENTE</w:t>
      </w:r>
    </w:p>
    <w:p w:rsidR="00D96F86" w:rsidRPr="000F4DFB" w:rsidRDefault="00D96F86" w:rsidP="000F4DFB">
      <w:pPr>
        <w:pStyle w:val="Sinespaciado"/>
        <w:tabs>
          <w:tab w:val="left" w:pos="2580"/>
          <w:tab w:val="left" w:pos="3579"/>
        </w:tabs>
        <w:rPr>
          <w:rFonts w:ascii="Arial" w:hAnsi="Arial" w:cs="Arial"/>
          <w:w w:val="140"/>
          <w:sz w:val="22"/>
          <w:szCs w:val="22"/>
        </w:rPr>
      </w:pPr>
      <w:r w:rsidRPr="000F4DFB">
        <w:rPr>
          <w:rFonts w:ascii="Arial" w:hAnsi="Arial" w:cs="Arial"/>
          <w:w w:val="140"/>
          <w:sz w:val="22"/>
          <w:szCs w:val="22"/>
        </w:rPr>
        <w:tab/>
      </w:r>
      <w:r w:rsidRPr="000F4DFB">
        <w:rPr>
          <w:rFonts w:ascii="Arial" w:hAnsi="Arial" w:cs="Arial"/>
          <w:w w:val="140"/>
          <w:sz w:val="22"/>
          <w:szCs w:val="22"/>
        </w:rPr>
        <w:tab/>
      </w:r>
    </w:p>
    <w:p w:rsidR="000F4DFB" w:rsidRPr="000F4DFB" w:rsidRDefault="000F4DFB" w:rsidP="000F4DFB">
      <w:pPr>
        <w:jc w:val="both"/>
        <w:rPr>
          <w:rFonts w:ascii="Arial" w:hAnsi="Arial" w:cs="Arial"/>
        </w:rPr>
      </w:pPr>
      <w:r w:rsidRPr="000F4DFB">
        <w:rPr>
          <w:rFonts w:ascii="Arial" w:hAnsi="Arial" w:cs="Arial"/>
        </w:rPr>
        <w:t xml:space="preserve">Revisadas las copias del expediente se tiene que la </w:t>
      </w:r>
      <w:r w:rsidRPr="000F4DFB">
        <w:rPr>
          <w:rFonts w:ascii="Arial" w:hAnsi="Arial" w:cs="Arial"/>
          <w:i/>
        </w:rPr>
        <w:t>a quo</w:t>
      </w:r>
      <w:r w:rsidRPr="000F4DFB">
        <w:rPr>
          <w:rFonts w:ascii="Arial" w:hAnsi="Arial" w:cs="Arial"/>
        </w:rPr>
        <w:t xml:space="preserve"> en el auto </w:t>
      </w:r>
      <w:proofErr w:type="spellStart"/>
      <w:r w:rsidRPr="000F4DFB">
        <w:rPr>
          <w:rFonts w:ascii="Arial" w:hAnsi="Arial" w:cs="Arial"/>
        </w:rPr>
        <w:t>admisorio</w:t>
      </w:r>
      <w:proofErr w:type="spellEnd"/>
      <w:r w:rsidRPr="000F4DFB">
        <w:rPr>
          <w:rFonts w:ascii="Arial" w:hAnsi="Arial" w:cs="Arial"/>
        </w:rPr>
        <w:t xml:space="preserve"> del 16-05-2018 había impuesto a la parte actora en la acción popular, señor Juan Morales, la carga procesal de avisar a la comunidad, decisión que estaba ejecutoriada para el momento en que fue reconocido como coadyuvante el aquí accionante (08-06-2018) (Folio 16, este cuaderno); es cierto que el señor Javier E. Arias I. recurrió en reposición (Folio 15, ib.), mas también lo es que con decisión del 19-06-2018 se advirtió que no se encontraba legitimado para controvertir el auto </w:t>
      </w:r>
      <w:proofErr w:type="spellStart"/>
      <w:r w:rsidRPr="000F4DFB">
        <w:rPr>
          <w:rFonts w:ascii="Arial" w:hAnsi="Arial" w:cs="Arial"/>
        </w:rPr>
        <w:t>admisorio</w:t>
      </w:r>
      <w:proofErr w:type="spellEnd"/>
      <w:r w:rsidRPr="000F4DFB">
        <w:rPr>
          <w:rFonts w:ascii="Arial" w:hAnsi="Arial" w:cs="Arial"/>
          <w:i/>
        </w:rPr>
        <w:t>,</w:t>
      </w:r>
      <w:r w:rsidRPr="000F4DFB">
        <w:rPr>
          <w:rFonts w:ascii="Arial" w:hAnsi="Arial" w:cs="Arial"/>
        </w:rPr>
        <w:t xml:space="preserve"> por carecer de legitimación (Folios 16 y 17, ib.); además, esta Sala halla que era inadmisible, por extemporánea.</w:t>
      </w:r>
    </w:p>
    <w:p w:rsidR="000F4DFB" w:rsidRDefault="000F4DFB" w:rsidP="000F4DFB">
      <w:pPr>
        <w:jc w:val="both"/>
        <w:rPr>
          <w:rFonts w:ascii="Arial" w:hAnsi="Arial" w:cs="Arial"/>
        </w:rPr>
      </w:pPr>
      <w:r>
        <w:rPr>
          <w:rFonts w:ascii="Arial" w:hAnsi="Arial" w:cs="Arial"/>
        </w:rPr>
        <w:t>(…)</w:t>
      </w:r>
    </w:p>
    <w:p w:rsidR="000F4DFB" w:rsidRPr="000F4DFB" w:rsidRDefault="000F4DFB" w:rsidP="000F4DFB">
      <w:pPr>
        <w:jc w:val="both"/>
        <w:rPr>
          <w:rFonts w:ascii="Arial" w:hAnsi="Arial" w:cs="Arial"/>
          <w:highlight w:val="yellow"/>
        </w:rPr>
      </w:pPr>
      <w:r w:rsidRPr="000F4DFB">
        <w:rPr>
          <w:rFonts w:ascii="Arial" w:hAnsi="Arial" w:cs="Arial"/>
        </w:rPr>
        <w:t xml:space="preserve">Luego, con escrito del 13-08-2018 insistió en su pedimento (Folio 67, ib.), mas con auto del 22-08-2018 el Juzgado adujo que se atenía a lo resuelto con auto del 19-06-2018 (Folio 18, ib.); el 23-08-2018 pidió aplicar los artículos 5º y 84, Ley 472 y notificar a la accionada por correo electrónico (Folio 19, ib.), y el 11-09-2018 la </w:t>
      </w:r>
      <w:r w:rsidRPr="000F4DFB">
        <w:rPr>
          <w:rFonts w:ascii="Arial" w:hAnsi="Arial" w:cs="Arial"/>
          <w:i/>
        </w:rPr>
        <w:t>a quo</w:t>
      </w:r>
      <w:r w:rsidRPr="000F4DFB">
        <w:rPr>
          <w:rFonts w:ascii="Arial" w:hAnsi="Arial" w:cs="Arial"/>
        </w:rPr>
        <w:t xml:space="preserve"> negó la petición porque la parte pasiva ya estaba notificada, adujo que el aquí accionante puede explorar el expediente para verificar el cumplimiento de los términos, etapas y recursos legales, y requirió al actor popular para que avisara a la comunidad, so pena de rechazo (Folio 20, ib.), notificado con fijación en el estado del 11-09-2018, pendiente de ejecutoria para el día de la presentación de este amparo constitucional (13-09-2018).</w:t>
      </w:r>
      <w:r w:rsidRPr="000F4DFB">
        <w:rPr>
          <w:rFonts w:ascii="Arial" w:hAnsi="Arial" w:cs="Arial"/>
          <w:highlight w:val="yellow"/>
        </w:rPr>
        <w:t xml:space="preserve"> </w:t>
      </w:r>
    </w:p>
    <w:p w:rsidR="000F4DFB" w:rsidRPr="000F4DFB" w:rsidRDefault="000F4DFB" w:rsidP="000F4DFB">
      <w:pPr>
        <w:jc w:val="both"/>
        <w:rPr>
          <w:rFonts w:ascii="Arial" w:hAnsi="Arial" w:cs="Arial"/>
          <w:sz w:val="22"/>
          <w:highlight w:val="yellow"/>
        </w:rPr>
      </w:pPr>
      <w:r w:rsidRPr="000F4DFB">
        <w:rPr>
          <w:rFonts w:ascii="Arial" w:hAnsi="Arial" w:cs="Arial"/>
          <w:highlight w:val="yellow"/>
        </w:rPr>
        <w:t xml:space="preserve"> </w:t>
      </w:r>
    </w:p>
    <w:p w:rsidR="000F4DFB" w:rsidRPr="000F4DFB" w:rsidRDefault="000F4DFB" w:rsidP="000F4DFB">
      <w:pPr>
        <w:ind w:right="51"/>
        <w:jc w:val="both"/>
        <w:rPr>
          <w:rFonts w:ascii="Arial" w:hAnsi="Arial" w:cs="Arial"/>
          <w:lang w:val="es-ES_tradnl"/>
        </w:rPr>
      </w:pPr>
      <w:r w:rsidRPr="000F4DFB">
        <w:rPr>
          <w:rFonts w:ascii="Arial" w:hAnsi="Arial" w:cs="Arial"/>
        </w:rPr>
        <w:t>Sin lugar a dudas, luce evidente la ausencia del presupuesto de la subsidiariedad. E</w:t>
      </w:r>
      <w:r w:rsidRPr="000F4DFB">
        <w:rPr>
          <w:rFonts w:ascii="Arial" w:hAnsi="Arial" w:cs="Arial"/>
          <w:lang w:val="es-ES_tradnl"/>
        </w:rPr>
        <w:t xml:space="preserve">n ese asunto constitucional el accionante pretermitió agotar el recurso de reposición frente a la primigenia providencia denegatoria de su pedimento (19-06-2018), mecanismo ordinario y expedito con que contaba (Artículos 36, Ley 472). Asimismo, se advierte </w:t>
      </w:r>
      <w:r w:rsidRPr="000F4DFB">
        <w:rPr>
          <w:rFonts w:ascii="Arial" w:hAnsi="Arial" w:cs="Arial"/>
        </w:rPr>
        <w:t>la defectuosa interposición</w:t>
      </w:r>
      <w:r w:rsidRPr="000F4DFB">
        <w:rPr>
          <w:rFonts w:ascii="Arial" w:hAnsi="Arial" w:cs="Arial"/>
          <w:lang w:val="es-ES_tradnl"/>
        </w:rPr>
        <w:t xml:space="preserve"> del recurso que presentó contra el auto </w:t>
      </w:r>
      <w:proofErr w:type="spellStart"/>
      <w:r w:rsidRPr="000F4DFB">
        <w:rPr>
          <w:rFonts w:ascii="Arial" w:hAnsi="Arial" w:cs="Arial"/>
          <w:lang w:val="es-ES_tradnl"/>
        </w:rPr>
        <w:t>admisorio</w:t>
      </w:r>
      <w:proofErr w:type="spellEnd"/>
      <w:r w:rsidRPr="000F4DFB">
        <w:rPr>
          <w:rFonts w:ascii="Arial" w:hAnsi="Arial" w:cs="Arial"/>
          <w:lang w:val="es-ES_tradnl"/>
        </w:rPr>
        <w:t xml:space="preserve"> (Extemporaneidad y falta de interés) (Artículo 318, inciso 3º, CGP), </w:t>
      </w:r>
      <w:r w:rsidRPr="000F4DFB">
        <w:rPr>
          <w:rFonts w:ascii="Arial" w:hAnsi="Arial" w:cs="Arial"/>
        </w:rPr>
        <w:t xml:space="preserve">ni siquiera formuló reparo contra el proveído que lo desestimó, guardó silencio. </w:t>
      </w:r>
    </w:p>
    <w:p w:rsidR="000F4DFB" w:rsidRPr="000F4DFB" w:rsidRDefault="000F4DFB" w:rsidP="000F4DFB">
      <w:pPr>
        <w:pStyle w:val="Sinespaciado"/>
        <w:tabs>
          <w:tab w:val="left" w:pos="2580"/>
          <w:tab w:val="left" w:pos="3579"/>
        </w:tabs>
        <w:rPr>
          <w:rFonts w:ascii="Arial" w:hAnsi="Arial" w:cs="Arial"/>
          <w:w w:val="140"/>
          <w:sz w:val="22"/>
          <w:szCs w:val="22"/>
        </w:rPr>
      </w:pPr>
    </w:p>
    <w:p w:rsidR="000F4DFB" w:rsidRDefault="000F4DFB" w:rsidP="00D96F86">
      <w:pPr>
        <w:pStyle w:val="Sinespaciado"/>
        <w:tabs>
          <w:tab w:val="left" w:pos="2580"/>
          <w:tab w:val="left" w:pos="3579"/>
        </w:tabs>
        <w:rPr>
          <w:rFonts w:ascii="Arial" w:hAnsi="Arial" w:cs="Arial"/>
          <w:w w:val="140"/>
          <w:sz w:val="22"/>
          <w:szCs w:val="22"/>
        </w:rPr>
      </w:pPr>
    </w:p>
    <w:p w:rsidR="000F4DFB" w:rsidRPr="004952C4" w:rsidRDefault="000F4DFB" w:rsidP="00D96F86">
      <w:pPr>
        <w:pStyle w:val="Sinespaciado"/>
        <w:tabs>
          <w:tab w:val="left" w:pos="2580"/>
          <w:tab w:val="left" w:pos="3579"/>
        </w:tabs>
        <w:rPr>
          <w:rFonts w:ascii="Arial" w:hAnsi="Arial" w:cs="Arial"/>
          <w:w w:val="140"/>
          <w:sz w:val="22"/>
          <w:szCs w:val="22"/>
        </w:rPr>
      </w:pPr>
    </w:p>
    <w:p w:rsidR="00D96F86" w:rsidRDefault="00D96F86" w:rsidP="002403C8">
      <w:pPr>
        <w:pStyle w:val="Sinespaciado"/>
        <w:tabs>
          <w:tab w:val="left" w:pos="3579"/>
        </w:tabs>
        <w:spacing w:line="360" w:lineRule="auto"/>
        <w:jc w:val="center"/>
        <w:rPr>
          <w:rFonts w:ascii="Georgia" w:hAnsi="Georgia" w:cs="Arial"/>
          <w:w w:val="140"/>
          <w:sz w:val="14"/>
        </w:rPr>
      </w:pPr>
    </w:p>
    <w:p w:rsidR="00D96F86" w:rsidRDefault="00D96F86" w:rsidP="002403C8">
      <w:pPr>
        <w:pStyle w:val="Sinespaciado"/>
        <w:tabs>
          <w:tab w:val="left" w:pos="3579"/>
        </w:tabs>
        <w:spacing w:line="360" w:lineRule="auto"/>
        <w:jc w:val="center"/>
        <w:rPr>
          <w:rFonts w:ascii="Georgia" w:hAnsi="Georgia" w:cs="Arial"/>
          <w:w w:val="140"/>
          <w:sz w:val="14"/>
        </w:rPr>
      </w:pPr>
      <w:bookmarkStart w:id="0" w:name="_GoBack"/>
      <w:bookmarkEnd w:id="0"/>
    </w:p>
    <w:p w:rsidR="00D96F86" w:rsidRDefault="00D96F86" w:rsidP="002403C8">
      <w:pPr>
        <w:pStyle w:val="Sinespaciado"/>
        <w:tabs>
          <w:tab w:val="left" w:pos="3579"/>
        </w:tabs>
        <w:spacing w:line="360" w:lineRule="auto"/>
        <w:jc w:val="center"/>
        <w:rPr>
          <w:rFonts w:ascii="Georgia" w:hAnsi="Georgia" w:cs="Arial"/>
          <w:w w:val="140"/>
          <w:sz w:val="14"/>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D25766">
        <w:rPr>
          <w:rFonts w:ascii="Georgia" w:hAnsi="Georgia" w:cs="Arial"/>
          <w:sz w:val="22"/>
        </w:rPr>
        <w:t>Javier Elías Arias Idárraga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lastRenderedPageBreak/>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266108">
        <w:rPr>
          <w:rFonts w:ascii="Georgia" w:hAnsi="Georgia" w:cs="Arial"/>
          <w:sz w:val="22"/>
        </w:rPr>
        <w:t xml:space="preserve">Cuarto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B61CDD">
        <w:rPr>
          <w:rFonts w:ascii="Georgia" w:hAnsi="Georgia" w:cs="Arial"/>
          <w:sz w:val="22"/>
          <w:szCs w:val="22"/>
        </w:rPr>
        <w:t xml:space="preserve">Defensoría del Pueblo, Regional Risaralda </w:t>
      </w:r>
      <w:r w:rsidR="00D25766">
        <w:rPr>
          <w:rFonts w:ascii="Georgia" w:hAnsi="Georgia" w:cs="Arial"/>
          <w:sz w:val="22"/>
          <w:szCs w:val="22"/>
        </w:rPr>
        <w:t>y otros</w:t>
      </w:r>
    </w:p>
    <w:p w:rsidR="00266108"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B61CDD">
        <w:rPr>
          <w:rFonts w:ascii="Georgia" w:hAnsi="Georgia" w:cs="Arial"/>
          <w:sz w:val="22"/>
        </w:rPr>
        <w:t>66001-22-13-000-2018-00756-00</w:t>
      </w:r>
    </w:p>
    <w:p w:rsidR="00266108"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C10DF4">
        <w:rPr>
          <w:rFonts w:ascii="Georgia" w:hAnsi="Georgia"/>
          <w:sz w:val="22"/>
          <w:szCs w:val="22"/>
        </w:rPr>
        <w:t>370</w:t>
      </w:r>
      <w:r w:rsidR="00D25766">
        <w:rPr>
          <w:rFonts w:ascii="Georgia" w:hAnsi="Georgia"/>
          <w:sz w:val="22"/>
          <w:szCs w:val="22"/>
        </w:rPr>
        <w:t xml:space="preserve"> </w:t>
      </w:r>
      <w:r w:rsidRPr="00AD7B0C">
        <w:rPr>
          <w:rFonts w:ascii="Georgia" w:hAnsi="Georgia"/>
          <w:sz w:val="22"/>
          <w:szCs w:val="22"/>
        </w:rPr>
        <w:t>d</w:t>
      </w:r>
      <w:r w:rsidR="00D25766">
        <w:rPr>
          <w:rFonts w:ascii="Georgia" w:hAnsi="Georgia"/>
          <w:sz w:val="22"/>
          <w:szCs w:val="22"/>
        </w:rPr>
        <w:t xml:space="preserve">e </w:t>
      </w:r>
      <w:r w:rsidR="00C10DF4">
        <w:rPr>
          <w:rFonts w:ascii="Georgia" w:hAnsi="Georgia"/>
          <w:sz w:val="22"/>
          <w:szCs w:val="22"/>
        </w:rPr>
        <w:t>26</w:t>
      </w:r>
      <w:r w:rsidRPr="00AD7B0C">
        <w:rPr>
          <w:rFonts w:ascii="Georgia" w:hAnsi="Georgia"/>
          <w:sz w:val="22"/>
          <w:szCs w:val="22"/>
        </w:rPr>
        <w:t>-</w:t>
      </w:r>
      <w:r w:rsidR="00C10DF4">
        <w:rPr>
          <w:rFonts w:ascii="Georgia" w:hAnsi="Georgia"/>
          <w:sz w:val="22"/>
          <w:szCs w:val="22"/>
        </w:rPr>
        <w:t>09</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73460F" w:rsidRPr="00FD0443">
        <w:rPr>
          <w:rFonts w:ascii="Georgia" w:hAnsi="Georgia" w:cs="Arial"/>
          <w:iCs/>
          <w:smallCaps/>
          <w:sz w:val="28"/>
          <w:lang w:val="es-CO"/>
        </w:rPr>
        <w:t>R</w:t>
      </w:r>
      <w:r w:rsidRPr="00FD0443">
        <w:rPr>
          <w:rFonts w:ascii="Georgia" w:hAnsi="Georgia" w:cs="Arial"/>
          <w:iCs/>
          <w:smallCaps/>
          <w:sz w:val="28"/>
          <w:lang w:val="es-CO"/>
        </w:rPr>
        <w:t>.</w:t>
      </w:r>
      <w:r w:rsidR="00B61CDD">
        <w:rPr>
          <w:rFonts w:ascii="Georgia" w:hAnsi="Georgia" w:cs="Arial"/>
          <w:iCs/>
          <w:smallCaps/>
          <w:sz w:val="28"/>
          <w:lang w:val="es-CO"/>
        </w:rPr>
        <w:t>,</w:t>
      </w:r>
      <w:r w:rsidRPr="00FD0443">
        <w:rPr>
          <w:rFonts w:ascii="Georgia" w:hAnsi="Georgia" w:cs="Arial"/>
          <w:iCs/>
          <w:smallCaps/>
          <w:sz w:val="28"/>
          <w:lang w:val="es-CO"/>
        </w:rPr>
        <w:t xml:space="preserve"> </w:t>
      </w:r>
      <w:r w:rsidR="00C10DF4">
        <w:rPr>
          <w:rFonts w:ascii="Georgia" w:hAnsi="Georgia" w:cs="Arial"/>
          <w:iCs/>
          <w:smallCaps/>
          <w:sz w:val="28"/>
          <w:lang w:val="es-CO"/>
        </w:rPr>
        <w:t xml:space="preserve">veintiséis </w:t>
      </w:r>
      <w:r w:rsidR="0063277F">
        <w:rPr>
          <w:rFonts w:ascii="Georgia" w:hAnsi="Georgia" w:cs="Arial"/>
          <w:iCs/>
          <w:smallCaps/>
          <w:sz w:val="28"/>
          <w:lang w:val="es-CO"/>
        </w:rPr>
        <w:t>(</w:t>
      </w:r>
      <w:r w:rsidR="00C10DF4">
        <w:rPr>
          <w:rFonts w:ascii="Georgia" w:hAnsi="Georgia" w:cs="Arial"/>
          <w:iCs/>
          <w:smallCaps/>
          <w:sz w:val="28"/>
          <w:lang w:val="es-CO"/>
        </w:rPr>
        <w:t>26</w:t>
      </w:r>
      <w:r w:rsidRPr="00FD0443">
        <w:rPr>
          <w:rFonts w:ascii="Georgia" w:hAnsi="Georgia" w:cs="Arial"/>
          <w:iCs/>
          <w:smallCaps/>
          <w:sz w:val="28"/>
          <w:lang w:val="es-CO"/>
        </w:rPr>
        <w:t xml:space="preserve">) de </w:t>
      </w:r>
      <w:r w:rsidR="00B61CDD">
        <w:rPr>
          <w:rFonts w:ascii="Georgia" w:hAnsi="Georgia" w:cs="Arial"/>
          <w:iCs/>
          <w:smallCaps/>
          <w:sz w:val="28"/>
          <w:lang w:val="es-CO"/>
        </w:rPr>
        <w:t xml:space="preserve">septiembre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531350" w:rsidRDefault="00B61CDD" w:rsidP="00531350">
      <w:pPr>
        <w:pStyle w:val="Textoindependiente"/>
        <w:spacing w:line="360" w:lineRule="auto"/>
        <w:rPr>
          <w:rFonts w:ascii="Georgia" w:hAnsi="Georgia"/>
          <w:szCs w:val="24"/>
        </w:rPr>
      </w:pPr>
      <w:r>
        <w:rPr>
          <w:rFonts w:ascii="Georgia" w:hAnsi="Georgia"/>
          <w:szCs w:val="24"/>
        </w:rPr>
        <w:t xml:space="preserve">El </w:t>
      </w:r>
      <w:r w:rsidR="00531350" w:rsidRPr="00D63D82">
        <w:rPr>
          <w:rFonts w:ascii="Georgia" w:hAnsi="Georgia"/>
          <w:szCs w:val="24"/>
        </w:rPr>
        <w:t>amparo constitucional de la referencia, adelantadas las debidas actuaciones con el trámite preferente y sumario, sin que se eviden</w:t>
      </w:r>
      <w:r>
        <w:rPr>
          <w:rFonts w:ascii="Georgia" w:hAnsi="Georgia"/>
          <w:szCs w:val="24"/>
        </w:rPr>
        <w:t>cien causales de nulidad que lo</w:t>
      </w:r>
      <w:r w:rsidR="00531350" w:rsidRPr="00D63D82">
        <w:rPr>
          <w:rFonts w:ascii="Georgia" w:hAnsi="Georgia"/>
          <w:szCs w:val="24"/>
        </w:rPr>
        <w:t xml:space="preserve"> invaliden</w:t>
      </w:r>
      <w:r w:rsidR="00531350">
        <w:rPr>
          <w:rFonts w:ascii="Georgia" w:hAnsi="Georgia"/>
          <w:szCs w:val="24"/>
        </w:rPr>
        <w:t>.</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D25766" w:rsidRPr="007C23E2" w:rsidRDefault="00D25766" w:rsidP="00D25766">
      <w:pPr>
        <w:spacing w:line="360" w:lineRule="auto"/>
        <w:jc w:val="both"/>
        <w:rPr>
          <w:rFonts w:ascii="Georgia" w:hAnsi="Georgia" w:cs="Arial"/>
          <w:lang w:val="es-CO"/>
        </w:rPr>
      </w:pPr>
      <w:r>
        <w:rPr>
          <w:rFonts w:ascii="Georgia" w:hAnsi="Georgia" w:cs="Arial"/>
          <w:lang w:val="es-CO"/>
        </w:rPr>
        <w:t>Mencionó el actor que en</w:t>
      </w:r>
      <w:r w:rsidR="00B61CDD">
        <w:rPr>
          <w:rFonts w:ascii="Georgia" w:hAnsi="Georgia" w:cs="Arial"/>
          <w:lang w:val="es-CO"/>
        </w:rPr>
        <w:t xml:space="preserve"> la acción popular No.2018-00376</w:t>
      </w:r>
      <w:r>
        <w:rPr>
          <w:rFonts w:ascii="Georgia" w:hAnsi="Georgia" w:cs="Arial"/>
          <w:lang w:val="es-CO"/>
        </w:rPr>
        <w:t xml:space="preserve">-00 la </w:t>
      </w:r>
      <w:r w:rsidRPr="00D25766">
        <w:rPr>
          <w:rFonts w:ascii="Georgia" w:hAnsi="Georgia" w:cs="Arial"/>
          <w:i/>
          <w:lang w:val="es-CO"/>
        </w:rPr>
        <w:t>a quo</w:t>
      </w:r>
      <w:r>
        <w:rPr>
          <w:rFonts w:ascii="Georgia" w:hAnsi="Georgia" w:cs="Arial"/>
          <w:lang w:val="es-CO"/>
        </w:rPr>
        <w:t xml:space="preserve"> </w:t>
      </w:r>
      <w:r w:rsidR="00B61CDD">
        <w:rPr>
          <w:rFonts w:ascii="Georgia" w:hAnsi="Georgia" w:cs="Arial"/>
          <w:lang w:val="es-CO"/>
        </w:rPr>
        <w:t xml:space="preserve">se niega a informar a la comunidad por intermedio de la página </w:t>
      </w:r>
      <w:r w:rsidR="00B61CDD" w:rsidRPr="00B61CDD">
        <w:rPr>
          <w:rFonts w:ascii="Georgia" w:hAnsi="Georgia" w:cs="Arial"/>
          <w:i/>
          <w:lang w:val="es-CO"/>
        </w:rPr>
        <w:t>web</w:t>
      </w:r>
      <w:r w:rsidR="00B61CDD">
        <w:rPr>
          <w:rFonts w:ascii="Georgia" w:hAnsi="Georgia" w:cs="Arial"/>
          <w:lang w:val="es-CO"/>
        </w:rPr>
        <w:t xml:space="preserve"> de la rama judicial ni en la cartelera del Juzgado </w:t>
      </w:r>
      <w:r>
        <w:rPr>
          <w:rFonts w:ascii="Georgia" w:hAnsi="Georgia" w:cs="Arial"/>
          <w:lang w:val="es-CO"/>
        </w:rPr>
        <w:t xml:space="preserve">e incumple el artículo 5º, Ley 472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sidR="00B61CDD">
        <w:rPr>
          <w:rFonts w:ascii="Georgia" w:hAnsi="Georgia" w:cs="Arial"/>
        </w:rPr>
        <w:t xml:space="preserve">este </w:t>
      </w:r>
      <w:r>
        <w:rPr>
          <w:rFonts w:ascii="Georgia" w:hAnsi="Georgia" w:cs="Arial"/>
        </w:rPr>
        <w:t>c</w:t>
      </w:r>
      <w:r w:rsidRPr="007C23E2">
        <w:rPr>
          <w:rFonts w:ascii="Georgia" w:hAnsi="Georgia" w:cs="Arial"/>
        </w:rPr>
        <w:t xml:space="preserve">uaderno). </w:t>
      </w:r>
    </w:p>
    <w:p w:rsidR="002B0607" w:rsidRPr="00C51F1A" w:rsidRDefault="002B0607" w:rsidP="0099045D">
      <w:pPr>
        <w:pStyle w:val="Textoindependiente"/>
        <w:spacing w:line="360" w:lineRule="auto"/>
        <w:rPr>
          <w:rFonts w:ascii="Georgia" w:hAnsi="Georgia"/>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B61CDD"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Se invocan los derechos al debido proceso, defensa y acceso a la administración de justicia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AD1EC7" w:rsidRDefault="00303E85" w:rsidP="004B1EB8">
      <w:pPr>
        <w:pStyle w:val="Sinespaciado"/>
        <w:spacing w:line="360" w:lineRule="auto"/>
        <w:jc w:val="both"/>
        <w:rPr>
          <w:rFonts w:ascii="Georgia" w:hAnsi="Georgia" w:cs="Arial"/>
          <w:szCs w:val="24"/>
        </w:rPr>
      </w:pPr>
    </w:p>
    <w:p w:rsidR="00B0196F" w:rsidRPr="00DE0A27" w:rsidRDefault="008A0768" w:rsidP="00DE0A27">
      <w:pPr>
        <w:spacing w:line="360" w:lineRule="auto"/>
        <w:jc w:val="both"/>
        <w:rPr>
          <w:rFonts w:ascii="Georgia" w:hAnsi="Georgia" w:cs="Arial"/>
          <w:spacing w:val="-3"/>
          <w:lang w:val="es-ES_tradnl"/>
        </w:rPr>
      </w:pPr>
      <w:r>
        <w:rPr>
          <w:rFonts w:ascii="Georgia" w:hAnsi="Georgia" w:cs="Arial"/>
        </w:rPr>
        <w:t>Pretende se ordene al despacho</w:t>
      </w:r>
      <w:r w:rsidR="00B0196F" w:rsidRPr="00607E09">
        <w:rPr>
          <w:rFonts w:ascii="Georgia" w:hAnsi="Georgia" w:cs="Arial"/>
        </w:rPr>
        <w:t xml:space="preserve"> accionado</w:t>
      </w:r>
      <w:r w:rsidR="00C0628A">
        <w:rPr>
          <w:rFonts w:ascii="Georgia" w:hAnsi="Georgia" w:cs="Arial"/>
        </w:rPr>
        <w:t>:</w:t>
      </w:r>
      <w:r w:rsidR="00B0196F" w:rsidRPr="00607E09">
        <w:rPr>
          <w:rFonts w:ascii="Georgia" w:hAnsi="Georgia" w:cs="Arial"/>
        </w:rPr>
        <w:t xml:space="preserve"> </w:t>
      </w:r>
      <w:r w:rsidR="00B0196F">
        <w:rPr>
          <w:rFonts w:ascii="Georgia" w:hAnsi="Georgia" w:cs="Arial"/>
        </w:rPr>
        <w:t xml:space="preserve">(i) </w:t>
      </w:r>
      <w:r w:rsidR="00B61CDD">
        <w:rPr>
          <w:rFonts w:ascii="Georgia" w:hAnsi="Georgia" w:cs="Arial"/>
        </w:rPr>
        <w:t xml:space="preserve">Avisar a la comunidad </w:t>
      </w:r>
      <w:r w:rsidR="00D25766">
        <w:rPr>
          <w:rFonts w:ascii="Georgia" w:hAnsi="Georgia" w:cs="Arial"/>
        </w:rPr>
        <w:t>en la página web de la rama judicial</w:t>
      </w:r>
      <w:r w:rsidR="00B61CDD">
        <w:rPr>
          <w:rFonts w:ascii="Georgia" w:hAnsi="Georgia" w:cs="Arial"/>
        </w:rPr>
        <w:t xml:space="preserve"> y por cartelera del Juzgado</w:t>
      </w:r>
      <w:r w:rsidR="00DE0A27">
        <w:rPr>
          <w:rFonts w:ascii="Georgia" w:hAnsi="Georgia" w:cs="Arial"/>
        </w:rPr>
        <w:t xml:space="preserve">. A </w:t>
      </w:r>
      <w:r w:rsidR="00B61CDD">
        <w:rPr>
          <w:rFonts w:ascii="Georgia" w:hAnsi="Georgia" w:cs="Arial"/>
        </w:rPr>
        <w:t>la Corte Constitucional</w:t>
      </w:r>
      <w:r w:rsidR="00DE0A27">
        <w:rPr>
          <w:rFonts w:ascii="Georgia" w:hAnsi="Georgia" w:cs="Arial"/>
        </w:rPr>
        <w:t xml:space="preserve">, al Procurador General de la Nación y al Defensor del Pueblo: (ii) Conceptuar sobre la publicación del aviso en un portal web. Al Procurador Delegado: (iii) Informar las gestiones que ha adelantado para que el Juzgado accionado aplique </w:t>
      </w:r>
      <w:r w:rsidR="00D25766">
        <w:rPr>
          <w:rFonts w:ascii="Georgia" w:hAnsi="Georgia" w:cs="Arial"/>
        </w:rPr>
        <w:t xml:space="preserve">los artículos 5º y </w:t>
      </w:r>
      <w:r w:rsidR="00DE0A27">
        <w:rPr>
          <w:rFonts w:ascii="Georgia" w:hAnsi="Georgia" w:cs="Arial"/>
        </w:rPr>
        <w:t>84</w:t>
      </w:r>
      <w:r w:rsidR="00D25766">
        <w:rPr>
          <w:rFonts w:ascii="Georgia" w:hAnsi="Georgia" w:cs="Arial"/>
        </w:rPr>
        <w:t>, Ley 472</w:t>
      </w:r>
      <w:r w:rsidR="00DE0A27">
        <w:rPr>
          <w:rFonts w:ascii="Georgia" w:hAnsi="Georgia" w:cs="Arial"/>
        </w:rPr>
        <w:t xml:space="preserve">, y garantice el debido proceso del accionante. Y también pide que esta Corporación pruebe cuál </w:t>
      </w:r>
      <w:r w:rsidR="00DE0A27" w:rsidRPr="00DE0A27">
        <w:rPr>
          <w:rFonts w:ascii="Georgia" w:hAnsi="Georgia" w:cs="Arial"/>
        </w:rPr>
        <w:t xml:space="preserve">es el medio que empleará para informar a los terceros interesados </w:t>
      </w:r>
      <w:r w:rsidR="00C0628A" w:rsidRPr="00DE0A27">
        <w:rPr>
          <w:rFonts w:ascii="Georgia" w:hAnsi="Georgia" w:cs="Arial"/>
          <w:spacing w:val="-3"/>
          <w:lang w:val="es-ES_tradnl"/>
        </w:rPr>
        <w:t>(Folio 1, este cuaderno).</w:t>
      </w:r>
    </w:p>
    <w:p w:rsidR="00B0196F" w:rsidRPr="00DE0A27" w:rsidRDefault="00B0196F" w:rsidP="00DE0A27">
      <w:pPr>
        <w:spacing w:line="360" w:lineRule="auto"/>
        <w:rPr>
          <w:rFonts w:ascii="Georgia" w:hAnsi="Georgia"/>
        </w:rPr>
      </w:pPr>
    </w:p>
    <w:p w:rsidR="0099045D" w:rsidRPr="00DE0A27" w:rsidRDefault="00592A5D" w:rsidP="00DE0A27">
      <w:pPr>
        <w:pStyle w:val="Sinespaciado"/>
        <w:numPr>
          <w:ilvl w:val="0"/>
          <w:numId w:val="1"/>
        </w:numPr>
        <w:spacing w:line="360" w:lineRule="auto"/>
        <w:jc w:val="both"/>
        <w:rPr>
          <w:rFonts w:ascii="Georgia" w:hAnsi="Georgia"/>
          <w:szCs w:val="24"/>
        </w:rPr>
      </w:pPr>
      <w:r w:rsidRPr="00DE0A27">
        <w:rPr>
          <w:rFonts w:ascii="Georgia" w:hAnsi="Georgia"/>
          <w:szCs w:val="24"/>
        </w:rPr>
        <w:t xml:space="preserve">EL RESUMEN </w:t>
      </w:r>
      <w:r w:rsidR="0099045D" w:rsidRPr="00DE0A27">
        <w:rPr>
          <w:rFonts w:ascii="Georgia" w:hAnsi="Georgia"/>
          <w:szCs w:val="24"/>
        </w:rPr>
        <w:t>DE LA CRÓNICA PROCESAL</w:t>
      </w:r>
    </w:p>
    <w:p w:rsidR="00DE0A27" w:rsidRDefault="00DE0A27" w:rsidP="00DE0A27">
      <w:pPr>
        <w:pStyle w:val="Sinespaciado"/>
        <w:spacing w:line="360" w:lineRule="auto"/>
        <w:ind w:left="360"/>
        <w:jc w:val="both"/>
        <w:rPr>
          <w:rFonts w:ascii="Georgia" w:hAnsi="Georgia"/>
          <w:szCs w:val="24"/>
        </w:rPr>
      </w:pPr>
    </w:p>
    <w:p w:rsidR="003610E9" w:rsidRPr="00DE0A27" w:rsidRDefault="0006677C" w:rsidP="003610E9">
      <w:pPr>
        <w:spacing w:line="360" w:lineRule="auto"/>
        <w:jc w:val="both"/>
        <w:rPr>
          <w:rFonts w:ascii="Georgia" w:hAnsi="Georgia" w:cs="Arial"/>
          <w:lang w:val="es-CO"/>
        </w:rPr>
      </w:pPr>
      <w:r w:rsidRPr="0063183D">
        <w:rPr>
          <w:rFonts w:ascii="Georgia" w:hAnsi="Georgia"/>
        </w:rPr>
        <w:t xml:space="preserve">En reparto ordinario se </w:t>
      </w:r>
      <w:r w:rsidR="00D25766">
        <w:rPr>
          <w:rFonts w:ascii="Georgia" w:hAnsi="Georgia"/>
        </w:rPr>
        <w:t xml:space="preserve">asignó </w:t>
      </w:r>
      <w:r w:rsidRPr="0063183D">
        <w:rPr>
          <w:rFonts w:ascii="Georgia" w:hAnsi="Georgia"/>
        </w:rPr>
        <w:t>a este Despacho</w:t>
      </w:r>
      <w:r w:rsidRPr="0063183D">
        <w:rPr>
          <w:rFonts w:ascii="Georgia" w:hAnsi="Georgia" w:cs="Arial"/>
          <w:color w:val="000000"/>
        </w:rPr>
        <w:t xml:space="preserve">, con providencia del </w:t>
      </w:r>
      <w:r w:rsidR="00DE0A27">
        <w:rPr>
          <w:rFonts w:ascii="Georgia" w:hAnsi="Georgia" w:cs="Arial"/>
          <w:color w:val="000000"/>
        </w:rPr>
        <w:t>17</w:t>
      </w:r>
      <w:r w:rsidR="00615827">
        <w:rPr>
          <w:rFonts w:ascii="Georgia" w:hAnsi="Georgia" w:cs="Arial"/>
          <w:color w:val="000000"/>
        </w:rPr>
        <w:t>-</w:t>
      </w:r>
      <w:r w:rsidR="00DE0A27">
        <w:rPr>
          <w:rFonts w:ascii="Georgia" w:hAnsi="Georgia" w:cs="Arial"/>
          <w:color w:val="000000"/>
        </w:rPr>
        <w:t>09</w:t>
      </w:r>
      <w:r w:rsidR="00615827">
        <w:rPr>
          <w:rFonts w:ascii="Georgia" w:hAnsi="Georgia" w:cs="Arial"/>
          <w:color w:val="000000"/>
        </w:rPr>
        <w:t>-2018</w:t>
      </w:r>
      <w:r w:rsidRPr="0063183D">
        <w:rPr>
          <w:rFonts w:ascii="Georgia" w:hAnsi="Georgia" w:cs="Arial"/>
          <w:color w:val="000000"/>
        </w:rPr>
        <w:t xml:space="preserve"> se </w:t>
      </w:r>
      <w:r w:rsidR="00D25766">
        <w:rPr>
          <w:rFonts w:ascii="Georgia" w:hAnsi="Georgia" w:cs="Arial"/>
          <w:color w:val="000000"/>
        </w:rPr>
        <w:t xml:space="preserve">admitió </w:t>
      </w:r>
      <w:r w:rsidR="00D25766">
        <w:rPr>
          <w:rFonts w:ascii="Georgia" w:hAnsi="Georgia" w:cs="Arial"/>
          <w:color w:val="000000"/>
        </w:rPr>
        <w:lastRenderedPageBreak/>
        <w:t xml:space="preserve">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e</w:t>
      </w:r>
      <w:r w:rsidR="00D25766">
        <w:rPr>
          <w:rFonts w:ascii="Georgia" w:hAnsi="Georgia"/>
        </w:rPr>
        <w:t>ntre otros ordenamientos (Folio</w:t>
      </w:r>
      <w:r w:rsidRPr="0063183D">
        <w:rPr>
          <w:rFonts w:ascii="Georgia" w:hAnsi="Georgia"/>
        </w:rPr>
        <w:t xml:space="preserve"> </w:t>
      </w:r>
      <w:r w:rsidR="00DE0A27">
        <w:rPr>
          <w:rFonts w:ascii="Georgia" w:hAnsi="Georgia"/>
        </w:rPr>
        <w:t>7</w:t>
      </w:r>
      <w:r w:rsidRPr="0063183D">
        <w:rPr>
          <w:rFonts w:ascii="Georgia" w:hAnsi="Georgia"/>
        </w:rPr>
        <w:t>, ibídem)</w:t>
      </w:r>
      <w:r w:rsidRPr="0063183D">
        <w:rPr>
          <w:rFonts w:ascii="Georgia" w:hAnsi="Georgia" w:cs="Arial"/>
          <w:color w:val="000000"/>
        </w:rPr>
        <w:t xml:space="preserve">. Fueron </w:t>
      </w:r>
      <w:r w:rsidRPr="00703B98">
        <w:rPr>
          <w:rFonts w:ascii="Georgia" w:hAnsi="Georgia" w:cs="Arial"/>
          <w:color w:val="000000"/>
        </w:rPr>
        <w:t xml:space="preserve">debidamente enterados los extremos de la acción (Folios </w:t>
      </w:r>
      <w:r w:rsidR="00DE0A27">
        <w:rPr>
          <w:rFonts w:ascii="Georgia" w:hAnsi="Georgia" w:cs="Arial"/>
          <w:color w:val="000000"/>
        </w:rPr>
        <w:t>8 y 9</w:t>
      </w:r>
      <w:r w:rsidR="00C0628A">
        <w:rPr>
          <w:rFonts w:ascii="Georgia" w:hAnsi="Georgia" w:cs="Arial"/>
          <w:color w:val="000000"/>
        </w:rPr>
        <w:t xml:space="preserve">, ibídem). </w:t>
      </w:r>
      <w:r w:rsidR="00DE0A27">
        <w:rPr>
          <w:rFonts w:ascii="Georgia" w:hAnsi="Georgia" w:cs="Arial"/>
          <w:color w:val="000000"/>
        </w:rPr>
        <w:t xml:space="preserve">El Juzgado accionado arrimó la documentación requerida (Folios 10 a 21, ibídem). </w:t>
      </w:r>
      <w:r w:rsidR="00C0628A">
        <w:rPr>
          <w:rFonts w:ascii="Georgia" w:hAnsi="Georgia" w:cs="Arial"/>
          <w:color w:val="000000"/>
        </w:rPr>
        <w:t>Contestaron</w:t>
      </w:r>
      <w:r w:rsidRPr="00703B98">
        <w:rPr>
          <w:rFonts w:ascii="Georgia" w:hAnsi="Georgia" w:cs="Arial"/>
          <w:color w:val="000000"/>
        </w:rPr>
        <w:t xml:space="preserve"> </w:t>
      </w:r>
      <w:r w:rsidR="00DE0A27">
        <w:rPr>
          <w:rFonts w:ascii="Georgia" w:hAnsi="Georgia" w:cs="Arial"/>
          <w:color w:val="000000"/>
        </w:rPr>
        <w:t>l</w:t>
      </w:r>
      <w:r w:rsidR="00DE0A27" w:rsidRPr="00703B98">
        <w:rPr>
          <w:rFonts w:ascii="Georgia" w:hAnsi="Georgia" w:cs="Arial"/>
          <w:color w:val="000000"/>
        </w:rPr>
        <w:t xml:space="preserve">a Procuraduría General de la Nación, </w:t>
      </w:r>
      <w:r w:rsidR="00DE0A27">
        <w:rPr>
          <w:rFonts w:ascii="Georgia" w:hAnsi="Georgia" w:cs="Arial"/>
          <w:color w:val="000000"/>
        </w:rPr>
        <w:t>Regional</w:t>
      </w:r>
      <w:r w:rsidR="00DE0A27" w:rsidRPr="00703B98">
        <w:rPr>
          <w:rFonts w:ascii="Georgia" w:hAnsi="Georgia" w:cs="Arial"/>
          <w:color w:val="000000"/>
        </w:rPr>
        <w:t xml:space="preserve"> </w:t>
      </w:r>
      <w:r w:rsidR="00DE0A27">
        <w:rPr>
          <w:rFonts w:ascii="Georgia" w:hAnsi="Georgia" w:cs="Arial"/>
          <w:color w:val="000000"/>
        </w:rPr>
        <w:t xml:space="preserve">Risaralda (Folio 22, ib.), la Personería de Pereira (Folios 24 y 25, ib.), </w:t>
      </w:r>
      <w:r w:rsidR="00D25766">
        <w:rPr>
          <w:rFonts w:ascii="Georgia" w:hAnsi="Georgia" w:cs="Arial"/>
          <w:color w:val="000000"/>
        </w:rPr>
        <w:t xml:space="preserve">el municipio de Pereira (Folios </w:t>
      </w:r>
      <w:r w:rsidR="00DE0A27">
        <w:rPr>
          <w:rFonts w:ascii="Georgia" w:hAnsi="Georgia" w:cs="Arial"/>
          <w:color w:val="000000"/>
        </w:rPr>
        <w:t>36 y 37</w:t>
      </w:r>
      <w:r w:rsidR="00D25766">
        <w:rPr>
          <w:rFonts w:ascii="Georgia" w:hAnsi="Georgia" w:cs="Arial"/>
          <w:color w:val="000000"/>
        </w:rPr>
        <w:t xml:space="preserve">, </w:t>
      </w:r>
      <w:r w:rsidR="00DE0A27">
        <w:rPr>
          <w:rFonts w:ascii="Georgia" w:hAnsi="Georgia" w:cs="Arial"/>
          <w:color w:val="000000"/>
        </w:rPr>
        <w:t>ib.), el banco Davivienda SA (Folios 45 y 46, ib.), y el Procurador 12 Judicial II para Asuntos Civiles (Folios 57 y 58, ib.).</w:t>
      </w:r>
    </w:p>
    <w:p w:rsidR="00297AD8" w:rsidRDefault="00297AD8"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Default="0006677C" w:rsidP="0006677C">
      <w:pPr>
        <w:pStyle w:val="Textoindependiente"/>
        <w:spacing w:line="360" w:lineRule="auto"/>
        <w:rPr>
          <w:rFonts w:ascii="Georgia" w:hAnsi="Georgia"/>
          <w:sz w:val="20"/>
          <w:szCs w:val="24"/>
        </w:rPr>
      </w:pPr>
    </w:p>
    <w:p w:rsidR="00A10F93" w:rsidRDefault="00A10F93" w:rsidP="00A10F93">
      <w:pPr>
        <w:spacing w:line="360" w:lineRule="auto"/>
        <w:jc w:val="both"/>
        <w:rPr>
          <w:rFonts w:ascii="Georgia" w:hAnsi="Georgia"/>
        </w:rPr>
      </w:pPr>
      <w:r>
        <w:rPr>
          <w:rFonts w:ascii="Georgia" w:hAnsi="Georgia"/>
        </w:rPr>
        <w:t>L</w:t>
      </w:r>
      <w:r w:rsidRPr="00393FE3">
        <w:rPr>
          <w:rFonts w:ascii="Georgia" w:hAnsi="Georgia"/>
        </w:rPr>
        <w:t>a Procuraduría General de la Nación, Regional Risaralda, describió su papel en las acciones populares y mencionó que la situación alegada, es ajena a su</w:t>
      </w:r>
      <w:r>
        <w:rPr>
          <w:rFonts w:ascii="Georgia" w:hAnsi="Georgia"/>
        </w:rPr>
        <w:t>s</w:t>
      </w:r>
      <w:r w:rsidRPr="00393FE3">
        <w:rPr>
          <w:rFonts w:ascii="Georgia" w:hAnsi="Georgia"/>
        </w:rPr>
        <w:t xml:space="preserve"> </w:t>
      </w:r>
      <w:r>
        <w:rPr>
          <w:rFonts w:ascii="Georgia" w:hAnsi="Georgia"/>
        </w:rPr>
        <w:t>funciones como agente del Ministerio Público</w:t>
      </w:r>
      <w:r w:rsidRPr="00393FE3">
        <w:rPr>
          <w:rFonts w:ascii="Georgia" w:hAnsi="Georgia"/>
        </w:rPr>
        <w:t xml:space="preserve">, por lo que requirió su desvinculación </w:t>
      </w:r>
      <w:r w:rsidRPr="00393FE3">
        <w:rPr>
          <w:rFonts w:ascii="Georgia" w:hAnsi="Georgia" w:cs="Arial"/>
          <w:spacing w:val="3"/>
        </w:rPr>
        <w:t xml:space="preserve">(Folio </w:t>
      </w:r>
      <w:r>
        <w:rPr>
          <w:rFonts w:ascii="Georgia" w:hAnsi="Georgia" w:cs="Arial"/>
          <w:spacing w:val="3"/>
        </w:rPr>
        <w:t>22</w:t>
      </w:r>
      <w:r w:rsidRPr="00393FE3">
        <w:rPr>
          <w:rFonts w:ascii="Georgia" w:hAnsi="Georgia" w:cs="Arial"/>
          <w:spacing w:val="3"/>
        </w:rPr>
        <w:t>, ib.)</w:t>
      </w:r>
      <w:r w:rsidRPr="00393FE3">
        <w:rPr>
          <w:rFonts w:ascii="Georgia" w:hAnsi="Georgia"/>
        </w:rPr>
        <w:t>.</w:t>
      </w:r>
      <w:r w:rsidRPr="00186286">
        <w:rPr>
          <w:rFonts w:ascii="Georgia" w:hAnsi="Georgia"/>
        </w:rPr>
        <w:t xml:space="preserve"> </w:t>
      </w:r>
      <w:r w:rsidRPr="00393FE3">
        <w:rPr>
          <w:rFonts w:ascii="Georgia" w:hAnsi="Georgia"/>
        </w:rPr>
        <w:t xml:space="preserve">La Personería </w:t>
      </w:r>
      <w:r>
        <w:rPr>
          <w:rFonts w:ascii="Georgia" w:hAnsi="Georgia"/>
        </w:rPr>
        <w:t xml:space="preserve">y Alcaldía </w:t>
      </w:r>
      <w:r w:rsidRPr="00393FE3">
        <w:rPr>
          <w:rFonts w:ascii="Georgia" w:hAnsi="Georgia"/>
        </w:rPr>
        <w:t xml:space="preserve">de Pereira </w:t>
      </w:r>
      <w:r>
        <w:rPr>
          <w:rFonts w:ascii="Georgia" w:hAnsi="Georgia"/>
        </w:rPr>
        <w:t xml:space="preserve">alegaron falta de legitimación por pasiva </w:t>
      </w:r>
      <w:r w:rsidRPr="00393FE3">
        <w:rPr>
          <w:rFonts w:ascii="Georgia" w:hAnsi="Georgia"/>
        </w:rPr>
        <w:t xml:space="preserve">(Folios </w:t>
      </w:r>
      <w:r>
        <w:rPr>
          <w:rFonts w:ascii="Georgia" w:hAnsi="Georgia"/>
        </w:rPr>
        <w:t>24, 25, 36 y 37</w:t>
      </w:r>
      <w:r w:rsidRPr="00393FE3">
        <w:rPr>
          <w:rFonts w:ascii="Georgia" w:hAnsi="Georgia"/>
        </w:rPr>
        <w:t>, ib.).</w:t>
      </w:r>
      <w:r>
        <w:rPr>
          <w:rFonts w:ascii="Georgia" w:hAnsi="Georgia"/>
        </w:rPr>
        <w:t xml:space="preserve"> </w:t>
      </w:r>
    </w:p>
    <w:p w:rsidR="00A10F93" w:rsidRDefault="00A10F93" w:rsidP="00A10F93">
      <w:pPr>
        <w:spacing w:line="360" w:lineRule="auto"/>
        <w:jc w:val="both"/>
        <w:rPr>
          <w:rFonts w:ascii="Georgia" w:hAnsi="Georgia"/>
        </w:rPr>
      </w:pPr>
    </w:p>
    <w:p w:rsidR="00A10F93" w:rsidRPr="00186286" w:rsidRDefault="00A10F93" w:rsidP="00A10F93">
      <w:pPr>
        <w:spacing w:line="360" w:lineRule="auto"/>
        <w:jc w:val="both"/>
        <w:rPr>
          <w:rFonts w:ascii="Georgia" w:hAnsi="Georgia"/>
          <w:sz w:val="20"/>
        </w:rPr>
      </w:pPr>
      <w:r w:rsidRPr="00393FE3">
        <w:rPr>
          <w:rFonts w:ascii="Georgia" w:hAnsi="Georgia"/>
        </w:rPr>
        <w:t xml:space="preserve">El banco Davivienda </w:t>
      </w:r>
      <w:r>
        <w:rPr>
          <w:rFonts w:ascii="Georgia" w:hAnsi="Georgia"/>
        </w:rPr>
        <w:t xml:space="preserve">SA </w:t>
      </w:r>
      <w:r w:rsidRPr="00393FE3">
        <w:rPr>
          <w:rFonts w:ascii="Georgia" w:hAnsi="Georgia"/>
        </w:rPr>
        <w:t xml:space="preserve">pidió </w:t>
      </w:r>
      <w:r>
        <w:rPr>
          <w:rFonts w:ascii="Georgia" w:hAnsi="Georgia"/>
        </w:rPr>
        <w:t xml:space="preserve">denegar </w:t>
      </w:r>
      <w:r w:rsidRPr="00393FE3">
        <w:rPr>
          <w:rFonts w:ascii="Georgia" w:hAnsi="Georgia"/>
        </w:rPr>
        <w:t xml:space="preserve">la tutela, porque </w:t>
      </w:r>
      <w:r>
        <w:rPr>
          <w:rFonts w:ascii="Georgia" w:hAnsi="Georgia"/>
        </w:rPr>
        <w:t>no se evidencia que la vulneración de los derechos fundamentales del accionante (Folios 45 y 46</w:t>
      </w:r>
      <w:r w:rsidRPr="00393FE3">
        <w:rPr>
          <w:rFonts w:ascii="Georgia" w:hAnsi="Georgia"/>
        </w:rPr>
        <w:t>, ib.).</w:t>
      </w:r>
      <w:r>
        <w:rPr>
          <w:rFonts w:ascii="Georgia" w:hAnsi="Georgia"/>
        </w:rPr>
        <w:t xml:space="preserve"> Y el Procurador 12 Judicial II adscrito a la Procuraduría Delegada para Asuntos Civiles y Laborales solicitó denegar el amparo porque no fue creado para zanjar controversias de índole legal o establecer criterios interpretativos (Folios 57 y 58, ib.). </w:t>
      </w:r>
    </w:p>
    <w:p w:rsidR="00A86813" w:rsidRPr="00A10F93" w:rsidRDefault="00A86813" w:rsidP="004173A5">
      <w:pPr>
        <w:pStyle w:val="Textoindependiente"/>
        <w:spacing w:line="360" w:lineRule="auto"/>
        <w:rPr>
          <w:rFonts w:ascii="Georgia" w:hAnsi="Georgia" w:cs="Arial"/>
          <w:color w:val="000000"/>
          <w:sz w:val="20"/>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Cuarto Civil </w:t>
      </w:r>
      <w:r w:rsidR="00813F39">
        <w:rPr>
          <w:rFonts w:ascii="Georgia" w:hAnsi="Georgia" w:cs="Arial"/>
          <w:color w:val="000000"/>
          <w:szCs w:val="24"/>
        </w:rPr>
        <w:t>del Circuito de Pereira</w:t>
      </w:r>
      <w:r>
        <w:rPr>
          <w:rFonts w:ascii="Georgia" w:hAnsi="Georgia" w:cs="Arial"/>
          <w:color w:val="000000"/>
          <w:szCs w:val="24"/>
        </w:rPr>
        <w:t>.</w:t>
      </w:r>
    </w:p>
    <w:p w:rsidR="0006677C" w:rsidRPr="00A10F93"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B657B5">
        <w:rPr>
          <w:rFonts w:ascii="Georgia" w:hAnsi="Georgia" w:cs="Arial"/>
        </w:rPr>
        <w:t>la acción popular</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A10F93" w:rsidRDefault="0006677C" w:rsidP="0006677C">
      <w:pPr>
        <w:pStyle w:val="Prrafodelista"/>
        <w:spacing w:line="360" w:lineRule="auto"/>
        <w:rPr>
          <w:rFonts w:ascii="Georgia" w:hAnsi="Georgia" w:cs="Arial"/>
          <w:sz w:val="20"/>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B07C7D" w:rsidRPr="00B07C7D" w:rsidRDefault="0006677C" w:rsidP="00A10F93">
      <w:pPr>
        <w:pStyle w:val="Prrafodelista"/>
        <w:numPr>
          <w:ilvl w:val="2"/>
          <w:numId w:val="18"/>
        </w:numPr>
        <w:spacing w:line="360" w:lineRule="auto"/>
        <w:jc w:val="both"/>
        <w:rPr>
          <w:rFonts w:ascii="Georgia" w:hAnsi="Georgia" w:cs="Arial"/>
          <w:spacing w:val="3"/>
        </w:rPr>
      </w:pPr>
      <w:r w:rsidRPr="00A10F93">
        <w:rPr>
          <w:rFonts w:ascii="Georgia" w:hAnsi="Georgia"/>
          <w:smallCaps/>
          <w:sz w:val="22"/>
        </w:rPr>
        <w:t>La legitimación en la causa</w:t>
      </w:r>
    </w:p>
    <w:p w:rsidR="00B07C7D" w:rsidRDefault="00B07C7D" w:rsidP="00B07C7D">
      <w:pPr>
        <w:spacing w:line="360" w:lineRule="auto"/>
        <w:jc w:val="both"/>
        <w:rPr>
          <w:rFonts w:ascii="Georgia" w:hAnsi="Georgia"/>
          <w:smallCaps/>
        </w:rPr>
      </w:pPr>
    </w:p>
    <w:p w:rsidR="000666EF" w:rsidRPr="00B07C7D" w:rsidRDefault="0006677C" w:rsidP="00B07C7D">
      <w:pPr>
        <w:spacing w:line="360" w:lineRule="auto"/>
        <w:jc w:val="both"/>
        <w:rPr>
          <w:rFonts w:ascii="Georgia" w:hAnsi="Georgia" w:cs="Arial"/>
          <w:spacing w:val="3"/>
        </w:rPr>
      </w:pPr>
      <w:r w:rsidRPr="00B07C7D">
        <w:rPr>
          <w:rFonts w:ascii="Georgia" w:hAnsi="Georgia" w:cs="Arial"/>
        </w:rPr>
        <w:t xml:space="preserve">Se cumple por activa dado que el actor </w:t>
      </w:r>
      <w:r w:rsidR="00B657B5" w:rsidRPr="00B07C7D">
        <w:rPr>
          <w:rFonts w:ascii="Georgia" w:hAnsi="Georgia" w:cs="Arial"/>
        </w:rPr>
        <w:t>actúa como coadyuvante en el trámite popular</w:t>
      </w:r>
      <w:r w:rsidRPr="00B07C7D">
        <w:rPr>
          <w:rFonts w:ascii="Georgia" w:hAnsi="Georgia" w:cs="Arial"/>
        </w:rPr>
        <w:t xml:space="preserve"> donde se reprochan la falta al debido proceso. Y por pasiva, porque el accionado, es la autoridad judicial que conoce </w:t>
      </w:r>
      <w:r w:rsidR="00B657B5" w:rsidRPr="00B07C7D">
        <w:rPr>
          <w:rFonts w:ascii="Georgia" w:hAnsi="Georgia" w:cs="Arial"/>
        </w:rPr>
        <w:t>el juicio</w:t>
      </w:r>
      <w:r w:rsidR="00813F39" w:rsidRPr="00B07C7D">
        <w:rPr>
          <w:rFonts w:ascii="Georgia" w:hAnsi="Georgia"/>
        </w:rPr>
        <w:t>.</w:t>
      </w:r>
    </w:p>
    <w:p w:rsidR="00EE0CF1" w:rsidRDefault="00EE0CF1" w:rsidP="002978F5">
      <w:pPr>
        <w:spacing w:line="360" w:lineRule="auto"/>
        <w:jc w:val="both"/>
        <w:rPr>
          <w:rFonts w:ascii="Georgia" w:hAnsi="Georgia" w:cs="Arial"/>
          <w:sz w:val="20"/>
        </w:rPr>
      </w:pPr>
    </w:p>
    <w:p w:rsidR="00B07C7D" w:rsidRDefault="00B07C7D" w:rsidP="00B07C7D">
      <w:pPr>
        <w:suppressAutoHyphens/>
        <w:spacing w:line="360" w:lineRule="auto"/>
        <w:jc w:val="both"/>
        <w:rPr>
          <w:rFonts w:ascii="Georgia" w:hAnsi="Georgia"/>
        </w:rPr>
      </w:pPr>
      <w:r w:rsidRPr="00876D62">
        <w:rPr>
          <w:rFonts w:ascii="Georgia" w:hAnsi="Georgia" w:cs="Arial"/>
        </w:rPr>
        <w:t xml:space="preserve">De otro lado, al tenor de lo dispuesto en el artículo 135, inciso 4º, CGP, se </w:t>
      </w:r>
      <w:r>
        <w:rPr>
          <w:rFonts w:ascii="Georgia" w:hAnsi="Georgia" w:cs="Arial"/>
        </w:rPr>
        <w:t>rechazará</w:t>
      </w:r>
      <w:r w:rsidRPr="00876D62">
        <w:rPr>
          <w:rFonts w:ascii="Georgia" w:hAnsi="Georgia" w:cs="Arial"/>
        </w:rPr>
        <w:t xml:space="preserve"> de plano la nulidad fundada en la irregular notificación de los terceros, por la falta de </w:t>
      </w:r>
      <w:r w:rsidRPr="00876D62">
        <w:rPr>
          <w:rFonts w:ascii="Georgia" w:hAnsi="Georgia" w:cs="Arial"/>
        </w:rPr>
        <w:lastRenderedPageBreak/>
        <w:t>legitimación del accionante. Es un vicio que solo puede ser invocado por las personas presuntamente afectadas. Y</w:t>
      </w:r>
      <w:r>
        <w:rPr>
          <w:rFonts w:ascii="Georgia" w:hAnsi="Georgia" w:cs="Arial"/>
        </w:rPr>
        <w:t>,</w:t>
      </w:r>
      <w:r w:rsidRPr="00876D62">
        <w:rPr>
          <w:rFonts w:ascii="Georgia" w:hAnsi="Georgia" w:cs="Arial"/>
        </w:rPr>
        <w:t xml:space="preserve"> en lo referente a que se pruebe cómo se notificaron dichos terceros, puede consultar las constancias obrantes en este expediente, que dan cuenta sobre el medio empleado por la secretaría de la Sala (Artículo 16, Decreto 2591 de 1991).</w:t>
      </w:r>
    </w:p>
    <w:p w:rsidR="00B07C7D" w:rsidRPr="00A10F93" w:rsidRDefault="00B07C7D" w:rsidP="002978F5">
      <w:pPr>
        <w:spacing w:line="360" w:lineRule="auto"/>
        <w:jc w:val="both"/>
        <w:rPr>
          <w:rFonts w:ascii="Georgia" w:hAnsi="Georgia" w:cs="Arial"/>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3E703E" w:rsidRPr="00A10F93" w:rsidRDefault="003E703E" w:rsidP="003E703E">
      <w:pPr>
        <w:pStyle w:val="Textoindependiente"/>
        <w:spacing w:line="360" w:lineRule="auto"/>
        <w:rPr>
          <w:rFonts w:ascii="Georgia" w:hAnsi="Georgia" w:cs="Arial"/>
          <w:sz w:val="20"/>
          <w:szCs w:val="24"/>
          <w:lang w:val="es-CO"/>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1"/>
      </w:r>
      <w:r w:rsidRPr="00CB569A">
        <w:rPr>
          <w:rFonts w:ascii="Georgia" w:hAnsi="Georgia" w:cs="Arial"/>
          <w:spacing w:val="-3"/>
          <w:lang w:val="es-ES_tradnl"/>
        </w:rPr>
        <w:t xml:space="preserve">, básicamente sustituyó la expresión “vías de hecho” por la de “causales genéricas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xml:space="preserve">” y ensanchó las causales especiales, pasando de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2"/>
      </w:r>
      <w:r w:rsidRPr="00CB569A">
        <w:rPr>
          <w:rFonts w:ascii="Georgia" w:hAnsi="Georgia" w:cs="Arial"/>
          <w:spacing w:val="-3"/>
          <w:lang w:val="es-ES_tradnl"/>
        </w:rPr>
        <w:t>.</w:t>
      </w:r>
    </w:p>
    <w:p w:rsidR="00A10F93" w:rsidRPr="00CB569A" w:rsidRDefault="00A10F93"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3"/>
      </w:r>
      <w:r w:rsidRPr="00CB569A">
        <w:rPr>
          <w:rFonts w:ascii="Georgia" w:hAnsi="Georgia" w:cs="Arial"/>
          <w:spacing w:val="-3"/>
          <w:lang w:val="es-ES_tradnl"/>
        </w:rPr>
        <w:t>.</w:t>
      </w: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xml:space="preserve">, explicados en amplitud en la sentencia C-590 de </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 xml:space="preserve">De otra parte, como requisitos o causales especiales de </w:t>
      </w:r>
      <w:proofErr w:type="spellStart"/>
      <w:r w:rsidRPr="005E222A">
        <w:rPr>
          <w:rFonts w:ascii="Georgia" w:hAnsi="Georgia" w:cs="Arial"/>
          <w:spacing w:val="-3"/>
          <w:lang w:val="es-ES_tradnl"/>
        </w:rPr>
        <w:t>procedibilidad</w:t>
      </w:r>
      <w:proofErr w:type="spellEnd"/>
      <w:r w:rsidRPr="005E222A">
        <w:rPr>
          <w:rFonts w:ascii="Georgia" w:hAnsi="Georgia" w:cs="Arial"/>
          <w:spacing w:val="-3"/>
          <w:lang w:val="es-ES_tradnl"/>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5E222A">
        <w:rPr>
          <w:rFonts w:ascii="Georgia" w:hAnsi="Georgia" w:cs="Arial"/>
          <w:spacing w:val="-3"/>
          <w:lang w:val="es-ES_tradnl"/>
        </w:rPr>
        <w:lastRenderedPageBreak/>
        <w:t>sistemático recuento puede leerse en la obra de los doctores Catalina Botero Marino</w:t>
      </w:r>
      <w:r w:rsidRPr="005E222A">
        <w:rPr>
          <w:rFonts w:ascii="Georgia" w:hAnsi="Georgia" w:cs="Arial"/>
          <w:spacing w:val="-3"/>
          <w:vertAlign w:val="superscript"/>
          <w:lang w:val="es-ES_tradnl"/>
        </w:rPr>
        <w:footnoteReference w:id="7"/>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w:t>
      </w:r>
    </w:p>
    <w:p w:rsidR="00E22A96" w:rsidRPr="00B07C7D" w:rsidRDefault="00E22A96" w:rsidP="003E703E">
      <w:pPr>
        <w:pStyle w:val="Textoindependiente"/>
        <w:shd w:val="clear" w:color="auto" w:fill="FFFFFF" w:themeFill="background1"/>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B07C7D" w:rsidRDefault="00C74846" w:rsidP="006A1FD7">
      <w:pPr>
        <w:pStyle w:val="Textoindependiente"/>
        <w:tabs>
          <w:tab w:val="clear" w:pos="0"/>
          <w:tab w:val="clear" w:pos="1416"/>
        </w:tabs>
        <w:spacing w:line="360" w:lineRule="auto"/>
        <w:rPr>
          <w:rFonts w:ascii="Georgia" w:hAnsi="Georgia"/>
          <w:szCs w:val="24"/>
        </w:rPr>
      </w:pPr>
    </w:p>
    <w:p w:rsidR="00124549" w:rsidRPr="00A10F93" w:rsidRDefault="00A10F93" w:rsidP="00124549">
      <w:pPr>
        <w:spacing w:line="360" w:lineRule="auto"/>
        <w:jc w:val="both"/>
        <w:rPr>
          <w:rFonts w:ascii="Georgia" w:hAnsi="Georgia" w:cs="Arial"/>
          <w:shd w:val="clear" w:color="auto" w:fill="FFFFFF"/>
          <w:lang w:val="es-CO"/>
        </w:rPr>
      </w:pPr>
      <w:r>
        <w:rPr>
          <w:rFonts w:ascii="Georgia" w:hAnsi="Georgia" w:cs="Arial"/>
          <w:lang w:val="es-ES_tradnl"/>
        </w:rPr>
        <w:t>C</w:t>
      </w:r>
      <w:r w:rsidR="008778D4">
        <w:rPr>
          <w:rFonts w:ascii="Georgia" w:hAnsi="Georgia" w:cs="Arial"/>
          <w:lang w:val="es-ES_tradnl"/>
        </w:rPr>
        <w:t xml:space="preserve">omo quiera que </w:t>
      </w:r>
      <w:r w:rsidR="008778D4" w:rsidRPr="004E68FB">
        <w:rPr>
          <w:rFonts w:ascii="Georgia" w:hAnsi="Georgia" w:cs="Arial"/>
          <w:lang w:val="es-ES_tradnl"/>
        </w:rPr>
        <w:t xml:space="preserve">los requisitos generales de </w:t>
      </w:r>
      <w:proofErr w:type="spellStart"/>
      <w:r w:rsidR="008778D4" w:rsidRPr="004E68FB">
        <w:rPr>
          <w:rFonts w:ascii="Georgia" w:hAnsi="Georgia" w:cs="Arial"/>
          <w:lang w:val="es-ES_tradnl"/>
        </w:rPr>
        <w:t>procedibilidad</w:t>
      </w:r>
      <w:proofErr w:type="spellEnd"/>
      <w:r w:rsidR="008778D4" w:rsidRPr="004E68FB">
        <w:rPr>
          <w:rFonts w:ascii="Georgia" w:hAnsi="Georgia" w:cs="Arial"/>
          <w:lang w:val="es-ES_tradnl"/>
        </w:rPr>
        <w:t xml:space="preserve"> </w:t>
      </w:r>
      <w:r w:rsidR="008778D4">
        <w:rPr>
          <w:rFonts w:ascii="Georgia" w:hAnsi="Georgia" w:cs="Arial"/>
          <w:lang w:val="es-ES_tradnl"/>
        </w:rPr>
        <w:t xml:space="preserve">de la tutela </w:t>
      </w:r>
      <w:r w:rsidR="008778D4" w:rsidRPr="004E68FB">
        <w:rPr>
          <w:rFonts w:ascii="Georgia" w:hAnsi="Georgia" w:cs="Arial"/>
          <w:lang w:val="es-ES_tradnl"/>
        </w:rPr>
        <w:t xml:space="preserve">son concurrentes, esto es, incumplido uno, se torna inane el examen de los demás, menos podrían revisarse los supuestos especiales, el análisis que sigue se concentrará </w:t>
      </w:r>
      <w:r w:rsidR="008778D4">
        <w:rPr>
          <w:rFonts w:ascii="Georgia" w:hAnsi="Georgia" w:cs="Arial"/>
          <w:lang w:val="es-ES_tradnl"/>
        </w:rPr>
        <w:t>en la subsidiariedad</w:t>
      </w:r>
      <w:r w:rsidR="008778D4" w:rsidRPr="004E68FB">
        <w:rPr>
          <w:rFonts w:ascii="Georgia" w:hAnsi="Georgia" w:cs="Arial"/>
          <w:lang w:val="es-ES_tradnl"/>
        </w:rPr>
        <w:t xml:space="preserve">, </w:t>
      </w:r>
      <w:r w:rsidR="00124549" w:rsidRPr="004E68FB">
        <w:rPr>
          <w:rFonts w:ascii="Georgia" w:hAnsi="Georgia" w:cs="Arial"/>
          <w:lang w:val="es-ES_tradnl"/>
        </w:rPr>
        <w:t xml:space="preserve">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00124549" w:rsidRPr="004E68FB">
        <w:rPr>
          <w:rFonts w:ascii="Georgia" w:hAnsi="Georgia" w:cs="Arial"/>
          <w:lang w:val="es-ES_tradnl"/>
        </w:rPr>
        <w:t xml:space="preserve">amparo,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9"/>
      </w:r>
      <w:r w:rsidR="00124549">
        <w:rPr>
          <w:rFonts w:ascii="Georgia" w:hAnsi="Georgia" w:cs="Arial"/>
          <w:shd w:val="clear" w:color="auto" w:fill="FFFFFF"/>
        </w:rPr>
        <w:t xml:space="preserve">. </w:t>
      </w:r>
    </w:p>
    <w:p w:rsidR="00124549" w:rsidRPr="00B07C7D" w:rsidRDefault="00124549" w:rsidP="00124549">
      <w:pPr>
        <w:spacing w:line="360" w:lineRule="auto"/>
        <w:jc w:val="both"/>
        <w:rPr>
          <w:rFonts w:ascii="Georgia" w:hAnsi="Georgia" w:cs="Arial"/>
          <w:lang w:val="es-ES_tradnl"/>
        </w:rPr>
      </w:pPr>
    </w:p>
    <w:p w:rsidR="00584255" w:rsidRPr="0042090A" w:rsidRDefault="00584255" w:rsidP="00584255">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0"/>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1"/>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2"/>
      </w:r>
      <w:r w:rsidRPr="00F61CAB">
        <w:rPr>
          <w:rFonts w:ascii="Georgia" w:hAnsi="Georgia" w:cs="Arial"/>
        </w:rPr>
        <w:t>.</w:t>
      </w:r>
    </w:p>
    <w:p w:rsidR="00584255" w:rsidRPr="00B07C7D" w:rsidRDefault="00584255" w:rsidP="00584255">
      <w:pPr>
        <w:spacing w:line="360" w:lineRule="auto"/>
        <w:jc w:val="both"/>
        <w:rPr>
          <w:rFonts w:ascii="Georgia" w:hAnsi="Georgia"/>
          <w:bCs/>
          <w:szCs w:val="28"/>
        </w:rPr>
      </w:pPr>
    </w:p>
    <w:p w:rsidR="00584255" w:rsidRDefault="00584255" w:rsidP="00584255">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3"/>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584255" w:rsidRPr="00B07C7D" w:rsidRDefault="00584255" w:rsidP="00584255">
      <w:pPr>
        <w:pStyle w:val="Textoindependiente"/>
        <w:tabs>
          <w:tab w:val="clear" w:pos="0"/>
        </w:tabs>
        <w:spacing w:line="360" w:lineRule="auto"/>
        <w:rPr>
          <w:rFonts w:ascii="Georgia" w:hAnsi="Georgia" w:cs="Arial"/>
          <w:sz w:val="22"/>
          <w:szCs w:val="24"/>
        </w:rPr>
      </w:pPr>
    </w:p>
    <w:p w:rsidR="00584255" w:rsidRPr="00B07C7D" w:rsidRDefault="00584255" w:rsidP="00584255">
      <w:pPr>
        <w:pStyle w:val="Textoindependiente"/>
        <w:tabs>
          <w:tab w:val="clear" w:pos="0"/>
        </w:tabs>
        <w:spacing w:line="360" w:lineRule="auto"/>
        <w:rPr>
          <w:rFonts w:ascii="Georgia" w:hAnsi="Georgia" w:cs="Arial"/>
          <w:szCs w:val="24"/>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4"/>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xml:space="preserve"> la acción de tutela no es un mecanismo establecido para reabrir asuntos concluidos en las jurisdicciones ordinaria o contencioso administrativa; revivir términos procesales; o, compensar el desinterés de quienes no acudieron, en la oportunidad </w:t>
      </w:r>
      <w:r w:rsidRPr="00885549">
        <w:rPr>
          <w:rFonts w:ascii="Georgia" w:hAnsi="Georgia" w:cs="Arial"/>
          <w:i/>
          <w:sz w:val="22"/>
          <w:szCs w:val="22"/>
          <w:lang w:val="es-ES"/>
        </w:rPr>
        <w:lastRenderedPageBreak/>
        <w:t>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5"/>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6"/>
      </w:r>
      <w:r w:rsidRPr="008379BB">
        <w:rPr>
          <w:rFonts w:ascii="Georgia" w:hAnsi="Georgia" w:cs="Arial"/>
          <w:szCs w:val="24"/>
        </w:rPr>
        <w:t xml:space="preserve"> </w:t>
      </w:r>
      <w:proofErr w:type="spellStart"/>
      <w:r w:rsidRPr="008379BB">
        <w:rPr>
          <w:rFonts w:ascii="Georgia" w:hAnsi="Georgia" w:cs="Arial"/>
          <w:szCs w:val="24"/>
        </w:rPr>
        <w:t>prohija</w:t>
      </w:r>
      <w:proofErr w:type="spellEnd"/>
      <w:r>
        <w:rPr>
          <w:rFonts w:ascii="Georgia" w:hAnsi="Georgia" w:cs="Arial"/>
          <w:szCs w:val="24"/>
        </w:rPr>
        <w:t xml:space="preserve"> este </w:t>
      </w:r>
      <w:r w:rsidRPr="008379BB">
        <w:rPr>
          <w:rFonts w:ascii="Georgia" w:hAnsi="Georgia" w:cs="Arial"/>
          <w:szCs w:val="24"/>
        </w:rPr>
        <w:t>principio.</w:t>
      </w:r>
    </w:p>
    <w:p w:rsidR="00B657B5" w:rsidRPr="00B07C7D" w:rsidRDefault="00B657B5" w:rsidP="00A33A2C">
      <w:pPr>
        <w:spacing w:line="360" w:lineRule="auto"/>
        <w:jc w:val="both"/>
        <w:rPr>
          <w:rFonts w:ascii="Georgia" w:hAnsi="Georgia" w:cs="Arial"/>
          <w:sz w:val="22"/>
        </w:rPr>
      </w:pPr>
    </w:p>
    <w:p w:rsidR="00AE38D6" w:rsidRDefault="00A10F93" w:rsidP="0076285F">
      <w:pPr>
        <w:spacing w:line="360" w:lineRule="auto"/>
        <w:jc w:val="both"/>
        <w:rPr>
          <w:rFonts w:ascii="Georgia" w:hAnsi="Georgia" w:cs="Arial"/>
        </w:rPr>
      </w:pPr>
      <w:r>
        <w:rPr>
          <w:rFonts w:ascii="Georgia" w:hAnsi="Georgia" w:cs="Arial"/>
        </w:rPr>
        <w:t xml:space="preserve">Revisadas las copias del expediente </w:t>
      </w:r>
      <w:r w:rsidR="00885549" w:rsidRPr="00956252">
        <w:rPr>
          <w:rFonts w:ascii="Georgia" w:hAnsi="Georgia" w:cs="Arial"/>
        </w:rPr>
        <w:t xml:space="preserve">se tiene que </w:t>
      </w:r>
      <w:r w:rsidR="00584255">
        <w:rPr>
          <w:rFonts w:ascii="Georgia" w:hAnsi="Georgia" w:cs="Arial"/>
        </w:rPr>
        <w:t xml:space="preserve">la </w:t>
      </w:r>
      <w:r w:rsidR="00956252" w:rsidRPr="00956252">
        <w:rPr>
          <w:rFonts w:ascii="Georgia" w:hAnsi="Georgia" w:cs="Arial"/>
          <w:i/>
        </w:rPr>
        <w:t>a quo</w:t>
      </w:r>
      <w:r w:rsidR="00956252" w:rsidRPr="00956252">
        <w:rPr>
          <w:rFonts w:ascii="Georgia" w:hAnsi="Georgia" w:cs="Arial"/>
        </w:rPr>
        <w:t xml:space="preserve"> </w:t>
      </w:r>
      <w:r w:rsidR="00584255">
        <w:rPr>
          <w:rFonts w:ascii="Georgia" w:hAnsi="Georgia" w:cs="Arial"/>
        </w:rPr>
        <w:t xml:space="preserve">en el auto </w:t>
      </w:r>
      <w:proofErr w:type="spellStart"/>
      <w:r w:rsidR="00584255">
        <w:rPr>
          <w:rFonts w:ascii="Georgia" w:hAnsi="Georgia" w:cs="Arial"/>
        </w:rPr>
        <w:t>admisorio</w:t>
      </w:r>
      <w:proofErr w:type="spellEnd"/>
      <w:r w:rsidR="00584255">
        <w:rPr>
          <w:rFonts w:ascii="Georgia" w:hAnsi="Georgia" w:cs="Arial"/>
        </w:rPr>
        <w:t xml:space="preserve"> del 16-05-2018 había impuesto a la parte actora en la acción popular, señor Juan Morales, la carga procesal de avisar a la comunidad, decisión que estaba ejecutoriada para el momento en que fue reconocido como coadyuvante el aquí accionante (08-06-2018) (Folio 16, este cuaderno); es cierto que el señor Javier E. Arias I. recurrió en reposición (Folio 15, ib.), mas también lo es que </w:t>
      </w:r>
      <w:r w:rsidR="002C5F12">
        <w:rPr>
          <w:rFonts w:ascii="Georgia" w:hAnsi="Georgia" w:cs="Arial"/>
        </w:rPr>
        <w:t xml:space="preserve">con decisión del 19-06-2018 </w:t>
      </w:r>
      <w:r w:rsidR="00AE38D6">
        <w:rPr>
          <w:rFonts w:ascii="Georgia" w:hAnsi="Georgia" w:cs="Arial"/>
        </w:rPr>
        <w:t xml:space="preserve">se advirtió que </w:t>
      </w:r>
      <w:r w:rsidR="007A7AEF">
        <w:rPr>
          <w:rFonts w:ascii="Georgia" w:hAnsi="Georgia" w:cs="Arial"/>
        </w:rPr>
        <w:t>no se enco</w:t>
      </w:r>
      <w:r w:rsidR="00AE38D6">
        <w:rPr>
          <w:rFonts w:ascii="Georgia" w:hAnsi="Georgia" w:cs="Arial"/>
        </w:rPr>
        <w:t>ntra</w:t>
      </w:r>
      <w:r w:rsidR="007A7AEF">
        <w:rPr>
          <w:rFonts w:ascii="Georgia" w:hAnsi="Georgia" w:cs="Arial"/>
        </w:rPr>
        <w:t>ba</w:t>
      </w:r>
      <w:r w:rsidR="00AE38D6">
        <w:rPr>
          <w:rFonts w:ascii="Georgia" w:hAnsi="Georgia" w:cs="Arial"/>
        </w:rPr>
        <w:t xml:space="preserve"> legitimado para controvertir el auto </w:t>
      </w:r>
      <w:proofErr w:type="spellStart"/>
      <w:r w:rsidR="00AE38D6">
        <w:rPr>
          <w:rFonts w:ascii="Georgia" w:hAnsi="Georgia" w:cs="Arial"/>
        </w:rPr>
        <w:t>admisorio</w:t>
      </w:r>
      <w:proofErr w:type="spellEnd"/>
      <w:r w:rsidR="00584255">
        <w:rPr>
          <w:rFonts w:ascii="Georgia" w:hAnsi="Georgia" w:cs="Arial"/>
          <w:i/>
        </w:rPr>
        <w:t>,</w:t>
      </w:r>
      <w:r w:rsidR="00584255">
        <w:rPr>
          <w:rFonts w:ascii="Georgia" w:hAnsi="Georgia" w:cs="Arial"/>
        </w:rPr>
        <w:t xml:space="preserve"> por carecer de legitimación</w:t>
      </w:r>
      <w:r w:rsidR="002C5F12">
        <w:rPr>
          <w:rFonts w:ascii="Georgia" w:hAnsi="Georgia" w:cs="Arial"/>
        </w:rPr>
        <w:t xml:space="preserve"> (Folios 16 y 17, ib.)</w:t>
      </w:r>
      <w:r w:rsidR="00584255">
        <w:rPr>
          <w:rFonts w:ascii="Georgia" w:hAnsi="Georgia" w:cs="Arial"/>
        </w:rPr>
        <w:t>; además, esta Sala halla que era inadmisible, por extemporánea.</w:t>
      </w:r>
    </w:p>
    <w:p w:rsidR="00AE38D6" w:rsidRPr="00B07C7D" w:rsidRDefault="00AE38D6" w:rsidP="0076285F">
      <w:pPr>
        <w:spacing w:line="360" w:lineRule="auto"/>
        <w:jc w:val="both"/>
        <w:rPr>
          <w:rFonts w:ascii="Georgia" w:hAnsi="Georgia" w:cs="Arial"/>
          <w:sz w:val="22"/>
        </w:rPr>
      </w:pPr>
    </w:p>
    <w:p w:rsidR="00584255" w:rsidRDefault="00AE38D6" w:rsidP="0076285F">
      <w:pPr>
        <w:spacing w:line="360" w:lineRule="auto"/>
        <w:jc w:val="both"/>
        <w:rPr>
          <w:rFonts w:ascii="Georgia" w:hAnsi="Georgia" w:cs="Arial"/>
        </w:rPr>
      </w:pPr>
      <w:r>
        <w:rPr>
          <w:rFonts w:ascii="Georgia" w:hAnsi="Georgia" w:cs="Arial"/>
        </w:rPr>
        <w:t xml:space="preserve">Asimismo, en dicho proveído se </w:t>
      </w:r>
      <w:r w:rsidR="007A7AEF">
        <w:rPr>
          <w:rFonts w:ascii="Georgia" w:hAnsi="Georgia" w:cs="Arial"/>
        </w:rPr>
        <w:t xml:space="preserve">le </w:t>
      </w:r>
      <w:r>
        <w:rPr>
          <w:rFonts w:ascii="Georgia" w:hAnsi="Georgia" w:cs="Arial"/>
        </w:rPr>
        <w:t>advirtió</w:t>
      </w:r>
      <w:r w:rsidR="007A7AEF">
        <w:rPr>
          <w:rFonts w:ascii="Georgia" w:hAnsi="Georgia" w:cs="Arial"/>
        </w:rPr>
        <w:t>:</w:t>
      </w:r>
      <w:r>
        <w:rPr>
          <w:rFonts w:ascii="Georgia" w:hAnsi="Georgia" w:cs="Arial"/>
        </w:rPr>
        <w:t xml:space="preserve"> </w:t>
      </w:r>
      <w:r w:rsidRPr="00AE38D6">
        <w:rPr>
          <w:rFonts w:ascii="Georgia" w:hAnsi="Georgia" w:cs="Arial"/>
          <w:i/>
          <w:sz w:val="22"/>
        </w:rPr>
        <w:t>“(…) que la página Web no es un medio masivo de comunicación, pues quienes la visitan es un grupo reducido y en cierta forma especializado, y la norma lo que busca es que efectivamente la comunidad en general se entere de la existencia de la demanda (…)”</w:t>
      </w:r>
      <w:r>
        <w:rPr>
          <w:rFonts w:ascii="Georgia" w:hAnsi="Georgia" w:cs="Arial"/>
        </w:rPr>
        <w:t xml:space="preserve"> y </w:t>
      </w:r>
      <w:r w:rsidR="007A7AEF">
        <w:rPr>
          <w:rFonts w:ascii="Georgia" w:hAnsi="Georgia" w:cs="Arial"/>
        </w:rPr>
        <w:t xml:space="preserve">se </w:t>
      </w:r>
      <w:r>
        <w:rPr>
          <w:rFonts w:ascii="Georgia" w:hAnsi="Georgia" w:cs="Arial"/>
        </w:rPr>
        <w:t>negó el amparo de pobreza</w:t>
      </w:r>
      <w:r w:rsidR="007A7AEF">
        <w:rPr>
          <w:rFonts w:ascii="Georgia" w:hAnsi="Georgia" w:cs="Arial"/>
        </w:rPr>
        <w:t xml:space="preserve"> que pidió</w:t>
      </w:r>
      <w:r w:rsidR="00B14BBC">
        <w:rPr>
          <w:rFonts w:ascii="Georgia" w:hAnsi="Georgia" w:cs="Arial"/>
        </w:rPr>
        <w:t xml:space="preserve">, notificado con fijación en el </w:t>
      </w:r>
      <w:r>
        <w:rPr>
          <w:rFonts w:ascii="Georgia" w:hAnsi="Georgia" w:cs="Arial"/>
        </w:rPr>
        <w:t xml:space="preserve">estado del 20-06-2018, sin ser recurrido (Folios 16 y 17, ib.).  </w:t>
      </w:r>
    </w:p>
    <w:p w:rsidR="007A7AEF" w:rsidRPr="00B07C7D" w:rsidRDefault="007A7AEF" w:rsidP="0076285F">
      <w:pPr>
        <w:spacing w:line="360" w:lineRule="auto"/>
        <w:jc w:val="both"/>
        <w:rPr>
          <w:rFonts w:ascii="Georgia" w:hAnsi="Georgia" w:cs="Arial"/>
          <w:sz w:val="22"/>
        </w:rPr>
      </w:pPr>
    </w:p>
    <w:p w:rsidR="007A7AEF" w:rsidRPr="00277FA9" w:rsidRDefault="007A7AEF" w:rsidP="0076285F">
      <w:pPr>
        <w:spacing w:line="360" w:lineRule="auto"/>
        <w:jc w:val="both"/>
        <w:rPr>
          <w:rFonts w:ascii="Georgia" w:hAnsi="Georgia" w:cs="Arial"/>
          <w:highlight w:val="yellow"/>
        </w:rPr>
      </w:pPr>
      <w:r w:rsidRPr="005D0C17">
        <w:rPr>
          <w:rFonts w:ascii="Georgia" w:hAnsi="Georgia" w:cs="Arial"/>
        </w:rPr>
        <w:t xml:space="preserve">Luego, con escrito del </w:t>
      </w:r>
      <w:r w:rsidR="005D0C17" w:rsidRPr="005D0C17">
        <w:rPr>
          <w:rFonts w:ascii="Georgia" w:hAnsi="Georgia" w:cs="Arial"/>
        </w:rPr>
        <w:t>13-08-2018</w:t>
      </w:r>
      <w:r w:rsidRPr="005D0C17">
        <w:rPr>
          <w:rFonts w:ascii="Georgia" w:hAnsi="Georgia" w:cs="Arial"/>
        </w:rPr>
        <w:t xml:space="preserve"> insistió en su pedimento</w:t>
      </w:r>
      <w:r w:rsidR="005D0C17" w:rsidRPr="005D0C17">
        <w:rPr>
          <w:rFonts w:ascii="Georgia" w:hAnsi="Georgia" w:cs="Arial"/>
        </w:rPr>
        <w:t xml:space="preserve"> (Folio 67, ib.)</w:t>
      </w:r>
      <w:r w:rsidRPr="005D0C17">
        <w:rPr>
          <w:rFonts w:ascii="Georgia" w:hAnsi="Georgia" w:cs="Arial"/>
        </w:rPr>
        <w:t xml:space="preserve">, mas con auto del 22-08-2018 el Juzgado adujo que se atenía a lo resuelto con auto del 19-06-2018 (Folio 18, ib.); el 23-08-2018 pidió aplicar los artículos 5º y 84, Ley 472 y notificar a la accionada por correo electrónico (Folio 19, ib.), y el 11-09-2018 la </w:t>
      </w:r>
      <w:r w:rsidRPr="005D0C17">
        <w:rPr>
          <w:rFonts w:ascii="Georgia" w:hAnsi="Georgia" w:cs="Arial"/>
          <w:i/>
        </w:rPr>
        <w:t>a quo</w:t>
      </w:r>
      <w:r w:rsidRPr="005D0C17">
        <w:rPr>
          <w:rFonts w:ascii="Georgia" w:hAnsi="Georgia" w:cs="Arial"/>
        </w:rPr>
        <w:t xml:space="preserve"> negó la petición porque la parte pasiva ya estaba notificada, adujo que el </w:t>
      </w:r>
      <w:r w:rsidR="005D0C17" w:rsidRPr="005D0C17">
        <w:rPr>
          <w:rFonts w:ascii="Georgia" w:hAnsi="Georgia" w:cs="Arial"/>
        </w:rPr>
        <w:t xml:space="preserve">aquí accionante </w:t>
      </w:r>
      <w:r w:rsidRPr="005D0C17">
        <w:rPr>
          <w:rFonts w:ascii="Georgia" w:hAnsi="Georgia" w:cs="Arial"/>
        </w:rPr>
        <w:t xml:space="preserve">puede explorar el expediente para verificar el cumplimiento de los términos, etapas y recursos legales, y requirió </w:t>
      </w:r>
      <w:r w:rsidR="005D0C17" w:rsidRPr="005D0C17">
        <w:rPr>
          <w:rFonts w:ascii="Georgia" w:hAnsi="Georgia" w:cs="Arial"/>
        </w:rPr>
        <w:t xml:space="preserve">al actor popular </w:t>
      </w:r>
      <w:r w:rsidRPr="005D0C17">
        <w:rPr>
          <w:rFonts w:ascii="Georgia" w:hAnsi="Georgia" w:cs="Arial"/>
        </w:rPr>
        <w:t>para que avisara a la comunidad, so pena de rechazo (Folio 20, ib.), notificado con fijación en el estado del 11-09-2018</w:t>
      </w:r>
      <w:r w:rsidR="009F276F" w:rsidRPr="005D0C17">
        <w:rPr>
          <w:rFonts w:ascii="Georgia" w:hAnsi="Georgia" w:cs="Arial"/>
        </w:rPr>
        <w:t>, pendiente de ejecutoria para el día de la presentación de este amparo constitucional (13-09-2018)</w:t>
      </w:r>
      <w:r w:rsidR="005D0C17" w:rsidRPr="005D0C17">
        <w:rPr>
          <w:rFonts w:ascii="Georgia" w:hAnsi="Georgia" w:cs="Arial"/>
        </w:rPr>
        <w:t>.</w:t>
      </w:r>
      <w:r w:rsidRPr="00277FA9">
        <w:rPr>
          <w:rFonts w:ascii="Georgia" w:hAnsi="Georgia" w:cs="Arial"/>
          <w:highlight w:val="yellow"/>
        </w:rPr>
        <w:t xml:space="preserve"> </w:t>
      </w:r>
    </w:p>
    <w:p w:rsidR="00584255" w:rsidRPr="00B07C7D" w:rsidRDefault="007A7AEF" w:rsidP="0076285F">
      <w:pPr>
        <w:spacing w:line="360" w:lineRule="auto"/>
        <w:jc w:val="both"/>
        <w:rPr>
          <w:rFonts w:ascii="Georgia" w:hAnsi="Georgia" w:cs="Arial"/>
          <w:sz w:val="22"/>
          <w:highlight w:val="yellow"/>
        </w:rPr>
      </w:pPr>
      <w:r w:rsidRPr="00277FA9">
        <w:rPr>
          <w:rFonts w:ascii="Georgia" w:hAnsi="Georgia" w:cs="Arial"/>
          <w:highlight w:val="yellow"/>
        </w:rPr>
        <w:t xml:space="preserve"> </w:t>
      </w:r>
    </w:p>
    <w:p w:rsidR="004A5232" w:rsidRPr="007B04A5" w:rsidRDefault="00415A6A" w:rsidP="004A5232">
      <w:pPr>
        <w:spacing w:line="360" w:lineRule="auto"/>
        <w:ind w:right="51"/>
        <w:jc w:val="both"/>
        <w:rPr>
          <w:rFonts w:ascii="Georgia" w:hAnsi="Georgia" w:cs="Arial"/>
          <w:lang w:val="es-ES_tradnl"/>
        </w:rPr>
      </w:pPr>
      <w:r>
        <w:rPr>
          <w:rFonts w:ascii="Georgia" w:hAnsi="Georgia"/>
        </w:rPr>
        <w:t>Sin lugar a dudas, luce evidente la ausencia del presupuesto de la subsidiariedad. E</w:t>
      </w:r>
      <w:r w:rsidR="00F16470" w:rsidRPr="007332DB">
        <w:rPr>
          <w:rFonts w:ascii="Georgia" w:hAnsi="Georgia" w:cs="Arial"/>
          <w:lang w:val="es-ES_tradnl"/>
        </w:rPr>
        <w:t>n ese asunto constitucional el accionante pretermitió agotar el recurso de reposición</w:t>
      </w:r>
      <w:r w:rsidR="00F16470">
        <w:rPr>
          <w:rFonts w:ascii="Georgia" w:hAnsi="Georgia" w:cs="Arial"/>
          <w:lang w:val="es-ES_tradnl"/>
        </w:rPr>
        <w:t xml:space="preserve"> f</w:t>
      </w:r>
      <w:r w:rsidR="007B04A5">
        <w:rPr>
          <w:rFonts w:ascii="Georgia" w:hAnsi="Georgia" w:cs="Arial"/>
          <w:lang w:val="es-ES_tradnl"/>
        </w:rPr>
        <w:t>rente a la</w:t>
      </w:r>
      <w:r w:rsidR="005D0C17">
        <w:rPr>
          <w:rFonts w:ascii="Georgia" w:hAnsi="Georgia" w:cs="Arial"/>
          <w:lang w:val="es-ES_tradnl"/>
        </w:rPr>
        <w:t xml:space="preserve"> primigenia</w:t>
      </w:r>
      <w:r w:rsidR="007B04A5">
        <w:rPr>
          <w:rFonts w:ascii="Georgia" w:hAnsi="Georgia" w:cs="Arial"/>
          <w:lang w:val="es-ES_tradnl"/>
        </w:rPr>
        <w:t xml:space="preserve"> providencia denegatoria de su pedimento</w:t>
      </w:r>
      <w:r w:rsidR="005D0C17">
        <w:rPr>
          <w:rFonts w:ascii="Georgia" w:hAnsi="Georgia" w:cs="Arial"/>
          <w:lang w:val="es-ES_tradnl"/>
        </w:rPr>
        <w:t xml:space="preserve"> (19-06-2018)</w:t>
      </w:r>
      <w:r w:rsidR="00F16470" w:rsidRPr="007332DB">
        <w:rPr>
          <w:rFonts w:ascii="Georgia" w:hAnsi="Georgia" w:cs="Arial"/>
          <w:lang w:val="es-ES_tradnl"/>
        </w:rPr>
        <w:t>, mecanismo ordinario y</w:t>
      </w:r>
      <w:r w:rsidR="00F16470">
        <w:rPr>
          <w:rFonts w:ascii="Georgia" w:hAnsi="Georgia" w:cs="Arial"/>
          <w:lang w:val="es-ES_tradnl"/>
        </w:rPr>
        <w:t xml:space="preserve"> </w:t>
      </w:r>
      <w:r w:rsidR="00F16470" w:rsidRPr="007332DB">
        <w:rPr>
          <w:rFonts w:ascii="Georgia" w:hAnsi="Georgia" w:cs="Arial"/>
          <w:lang w:val="es-ES_tradnl"/>
        </w:rPr>
        <w:t>expedito con que contaba (Artículos 36, Ley</w:t>
      </w:r>
      <w:r w:rsidR="00F16470">
        <w:rPr>
          <w:rFonts w:ascii="Georgia" w:hAnsi="Georgia" w:cs="Arial"/>
          <w:lang w:val="es-ES_tradnl"/>
        </w:rPr>
        <w:t xml:space="preserve"> </w:t>
      </w:r>
      <w:r w:rsidR="00F16470" w:rsidRPr="007332DB">
        <w:rPr>
          <w:rFonts w:ascii="Georgia" w:hAnsi="Georgia" w:cs="Arial"/>
          <w:lang w:val="es-ES_tradnl"/>
        </w:rPr>
        <w:t>472</w:t>
      </w:r>
      <w:r w:rsidR="00F16470">
        <w:rPr>
          <w:rFonts w:ascii="Georgia" w:hAnsi="Georgia" w:cs="Arial"/>
          <w:lang w:val="es-ES_tradnl"/>
        </w:rPr>
        <w:t xml:space="preserve">). Asimismo, se advierte </w:t>
      </w:r>
      <w:r w:rsidR="00F16470">
        <w:rPr>
          <w:rFonts w:ascii="Georgia" w:hAnsi="Georgia"/>
        </w:rPr>
        <w:t>la defectuosa interposición</w:t>
      </w:r>
      <w:r w:rsidR="00F16470">
        <w:rPr>
          <w:rFonts w:ascii="Georgia" w:hAnsi="Georgia" w:cs="Arial"/>
          <w:lang w:val="es-ES_tradnl"/>
        </w:rPr>
        <w:t xml:space="preserve"> </w:t>
      </w:r>
      <w:r w:rsidR="005D0C17">
        <w:rPr>
          <w:rFonts w:ascii="Georgia" w:hAnsi="Georgia" w:cs="Arial"/>
          <w:lang w:val="es-ES_tradnl"/>
        </w:rPr>
        <w:t xml:space="preserve">del </w:t>
      </w:r>
      <w:r w:rsidR="00F16470">
        <w:rPr>
          <w:rFonts w:ascii="Georgia" w:hAnsi="Georgia" w:cs="Arial"/>
          <w:lang w:val="es-ES_tradnl"/>
        </w:rPr>
        <w:t xml:space="preserve">recurso que </w:t>
      </w:r>
      <w:r>
        <w:rPr>
          <w:rFonts w:ascii="Georgia" w:hAnsi="Georgia" w:cs="Arial"/>
          <w:lang w:val="es-ES_tradnl"/>
        </w:rPr>
        <w:t>presentó</w:t>
      </w:r>
      <w:r w:rsidR="00F16470">
        <w:rPr>
          <w:rFonts w:ascii="Georgia" w:hAnsi="Georgia" w:cs="Arial"/>
          <w:lang w:val="es-ES_tradnl"/>
        </w:rPr>
        <w:t xml:space="preserve"> </w:t>
      </w:r>
      <w:r w:rsidR="005D0C17">
        <w:rPr>
          <w:rFonts w:ascii="Georgia" w:hAnsi="Georgia" w:cs="Arial"/>
          <w:lang w:val="es-ES_tradnl"/>
        </w:rPr>
        <w:t xml:space="preserve">contra el auto </w:t>
      </w:r>
      <w:proofErr w:type="spellStart"/>
      <w:r w:rsidR="005D0C17">
        <w:rPr>
          <w:rFonts w:ascii="Georgia" w:hAnsi="Georgia" w:cs="Arial"/>
          <w:lang w:val="es-ES_tradnl"/>
        </w:rPr>
        <w:t>admisorio</w:t>
      </w:r>
      <w:proofErr w:type="spellEnd"/>
      <w:r w:rsidR="005D0C17">
        <w:rPr>
          <w:rFonts w:ascii="Georgia" w:hAnsi="Georgia" w:cs="Arial"/>
          <w:lang w:val="es-ES_tradnl"/>
        </w:rPr>
        <w:t xml:space="preserve"> </w:t>
      </w:r>
      <w:r w:rsidR="00F16470">
        <w:rPr>
          <w:rFonts w:ascii="Georgia" w:hAnsi="Georgia" w:cs="Arial"/>
          <w:lang w:val="es-ES_tradnl"/>
        </w:rPr>
        <w:t>(Extemporaneidad y falta de interés</w:t>
      </w:r>
      <w:r w:rsidR="00891D65">
        <w:rPr>
          <w:rFonts w:ascii="Georgia" w:hAnsi="Georgia" w:cs="Arial"/>
          <w:lang w:val="es-ES_tradnl"/>
        </w:rPr>
        <w:t xml:space="preserve">) (Artículo 318, inciso 3º, CGP), </w:t>
      </w:r>
      <w:r w:rsidR="00891D65">
        <w:rPr>
          <w:rFonts w:ascii="Georgia" w:hAnsi="Georgia" w:cs="Arial"/>
        </w:rPr>
        <w:t xml:space="preserve">ni siquiera formuló reparo contra el </w:t>
      </w:r>
      <w:r w:rsidR="005D0C17">
        <w:rPr>
          <w:rFonts w:ascii="Georgia" w:hAnsi="Georgia" w:cs="Arial"/>
        </w:rPr>
        <w:t xml:space="preserve">proveído </w:t>
      </w:r>
      <w:r w:rsidR="00891D65">
        <w:rPr>
          <w:rFonts w:ascii="Georgia" w:hAnsi="Georgia" w:cs="Arial"/>
        </w:rPr>
        <w:t xml:space="preserve">que </w:t>
      </w:r>
      <w:r w:rsidR="004A5232">
        <w:rPr>
          <w:rFonts w:ascii="Georgia" w:hAnsi="Georgia" w:cs="Arial"/>
        </w:rPr>
        <w:t>lo desestimó</w:t>
      </w:r>
      <w:r w:rsidR="00891D65">
        <w:rPr>
          <w:rFonts w:ascii="Georgia" w:hAnsi="Georgia" w:cs="Arial"/>
        </w:rPr>
        <w:t xml:space="preserve">, guardó silencio. </w:t>
      </w:r>
    </w:p>
    <w:p w:rsidR="00A33A2C" w:rsidRPr="00B07C7D" w:rsidRDefault="00A33A2C" w:rsidP="003379FE">
      <w:pPr>
        <w:spacing w:line="360" w:lineRule="auto"/>
        <w:ind w:right="51"/>
        <w:jc w:val="both"/>
        <w:rPr>
          <w:rFonts w:ascii="Georgia" w:hAnsi="Georgia"/>
          <w:sz w:val="22"/>
          <w:lang w:val="es-CO"/>
        </w:rPr>
      </w:pPr>
    </w:p>
    <w:p w:rsidR="00A33A2C" w:rsidRDefault="00E22A96" w:rsidP="00A33A2C">
      <w:pPr>
        <w:spacing w:line="360" w:lineRule="auto"/>
        <w:ind w:right="51"/>
        <w:jc w:val="both"/>
        <w:rPr>
          <w:rFonts w:ascii="Georgia" w:hAnsi="Georgia"/>
        </w:rPr>
      </w:pPr>
      <w:r>
        <w:rPr>
          <w:rFonts w:ascii="Georgia" w:hAnsi="Georgia"/>
        </w:rPr>
        <w:t>Para esta</w:t>
      </w:r>
      <w:r w:rsidR="00B07C7D">
        <w:rPr>
          <w:rFonts w:ascii="Georgia" w:hAnsi="Georgia"/>
        </w:rPr>
        <w:t xml:space="preserve"> </w:t>
      </w:r>
      <w:r>
        <w:rPr>
          <w:rFonts w:ascii="Georgia" w:hAnsi="Georgia"/>
        </w:rPr>
        <w:t xml:space="preserve"> Corporación </w:t>
      </w:r>
      <w:r w:rsidR="004A5232">
        <w:rPr>
          <w:rFonts w:ascii="Georgia" w:hAnsi="Georgia"/>
        </w:rPr>
        <w:t xml:space="preserve">es </w:t>
      </w:r>
      <w:r w:rsidR="00B07C7D">
        <w:rPr>
          <w:rFonts w:ascii="Georgia" w:hAnsi="Georgia"/>
        </w:rPr>
        <w:t xml:space="preserve"> </w:t>
      </w:r>
      <w:r w:rsidR="004A5232">
        <w:rPr>
          <w:rFonts w:ascii="Georgia" w:hAnsi="Georgia"/>
        </w:rPr>
        <w:t xml:space="preserve">inviable </w:t>
      </w:r>
      <w:r w:rsidR="00A33A2C">
        <w:rPr>
          <w:rFonts w:ascii="Georgia" w:hAnsi="Georgia"/>
        </w:rPr>
        <w:t xml:space="preserve">flexibilizar </w:t>
      </w:r>
      <w:r w:rsidR="00B07C7D">
        <w:rPr>
          <w:rFonts w:ascii="Georgia" w:hAnsi="Georgia"/>
        </w:rPr>
        <w:t xml:space="preserve"> </w:t>
      </w:r>
      <w:r w:rsidR="00A33A2C">
        <w:rPr>
          <w:rFonts w:ascii="Georgia" w:hAnsi="Georgia"/>
        </w:rPr>
        <w:t xml:space="preserve">el análisis del </w:t>
      </w:r>
      <w:r w:rsidR="00B07C7D">
        <w:rPr>
          <w:rFonts w:ascii="Georgia" w:hAnsi="Georgia"/>
        </w:rPr>
        <w:t xml:space="preserve"> </w:t>
      </w:r>
      <w:r w:rsidR="00A33A2C">
        <w:rPr>
          <w:rFonts w:ascii="Georgia" w:hAnsi="Georgia"/>
        </w:rPr>
        <w:t>requisito echado de menos</w:t>
      </w:r>
      <w:r w:rsidR="004A5232">
        <w:rPr>
          <w:rFonts w:ascii="Georgia" w:hAnsi="Georgia"/>
        </w:rPr>
        <w:t>,</w:t>
      </w:r>
      <w:r w:rsidR="00A33A2C">
        <w:rPr>
          <w:rFonts w:ascii="Georgia" w:hAnsi="Georgia"/>
        </w:rPr>
        <w:t xml:space="preserve"> </w:t>
      </w:r>
      <w:r w:rsidR="00A33A2C">
        <w:rPr>
          <w:rFonts w:ascii="Georgia" w:hAnsi="Georgia"/>
        </w:rPr>
        <w:lastRenderedPageBreak/>
        <w:t xml:space="preserve">toda vez que </w:t>
      </w:r>
      <w:r w:rsidR="00A33A2C" w:rsidRPr="00B33A0F">
        <w:rPr>
          <w:rFonts w:ascii="Georgia" w:hAnsi="Georgia"/>
        </w:rPr>
        <w:t xml:space="preserve">nada se arguyó y menos </w:t>
      </w:r>
      <w:r w:rsidR="00A33A2C">
        <w:rPr>
          <w:rFonts w:ascii="Georgia" w:hAnsi="Georgia"/>
        </w:rPr>
        <w:t xml:space="preserve">se </w:t>
      </w:r>
      <w:r w:rsidR="00A33A2C" w:rsidRPr="00B33A0F">
        <w:rPr>
          <w:rFonts w:ascii="Georgia" w:hAnsi="Georgia"/>
        </w:rPr>
        <w:t>acreditó</w:t>
      </w:r>
      <w:r w:rsidR="004A5232">
        <w:rPr>
          <w:rFonts w:ascii="Georgia" w:hAnsi="Georgia"/>
        </w:rPr>
        <w:t xml:space="preserve">, </w:t>
      </w:r>
      <w:r w:rsidR="00A33A2C" w:rsidRPr="00B33A0F">
        <w:rPr>
          <w:rFonts w:ascii="Georgia" w:hAnsi="Georgia"/>
        </w:rPr>
        <w:t xml:space="preserve">de </w:t>
      </w:r>
      <w:r w:rsidR="004A5232">
        <w:rPr>
          <w:rFonts w:ascii="Georgia" w:hAnsi="Georgia"/>
        </w:rPr>
        <w:t xml:space="preserve">tal </w:t>
      </w:r>
      <w:r w:rsidR="00A33A2C" w:rsidRPr="00B33A0F">
        <w:rPr>
          <w:rFonts w:ascii="Georgia" w:hAnsi="Georgia"/>
        </w:rPr>
        <w:t xml:space="preserve">forma que pudiera estimarse </w:t>
      </w:r>
      <w:r w:rsidR="00A33A2C" w:rsidRPr="00B33A0F">
        <w:rPr>
          <w:rFonts w:ascii="Georgia" w:hAnsi="Georgia" w:cs="Arial"/>
          <w:bCs/>
          <w:szCs w:val="22"/>
          <w:lang w:val="es-CO"/>
        </w:rPr>
        <w:t xml:space="preserve">que </w:t>
      </w:r>
      <w:r w:rsidR="004A5232">
        <w:rPr>
          <w:rFonts w:ascii="Georgia" w:hAnsi="Georgia" w:cs="Arial"/>
          <w:bCs/>
          <w:szCs w:val="22"/>
          <w:lang w:val="es-CO"/>
        </w:rPr>
        <w:t xml:space="preserve">el actor es </w:t>
      </w:r>
      <w:r w:rsidR="00A33A2C" w:rsidRPr="00B33A0F">
        <w:rPr>
          <w:rFonts w:ascii="Georgia" w:hAnsi="Georgia" w:cs="Arial"/>
          <w:bCs/>
          <w:szCs w:val="22"/>
          <w:lang w:val="es-CO"/>
        </w:rPr>
        <w:t>una persona que requiere de protección reforzada</w:t>
      </w:r>
      <w:r w:rsidR="00A33A2C" w:rsidRPr="00B33A0F">
        <w:rPr>
          <w:rStyle w:val="Refdenotaalpie"/>
          <w:rFonts w:ascii="Georgia" w:hAnsi="Georgia"/>
          <w:bCs/>
          <w:szCs w:val="22"/>
          <w:lang w:val="es-CO"/>
        </w:rPr>
        <w:footnoteReference w:id="17"/>
      </w:r>
      <w:r w:rsidR="00A33A2C" w:rsidRPr="00B33A0F">
        <w:rPr>
          <w:rFonts w:ascii="Georgia" w:hAnsi="Georgia"/>
        </w:rPr>
        <w:t>.</w:t>
      </w:r>
      <w:r w:rsidR="00A33A2C">
        <w:rPr>
          <w:rFonts w:ascii="Georgia" w:hAnsi="Georgia"/>
        </w:rPr>
        <w:t xml:space="preserve"> </w:t>
      </w:r>
      <w:r w:rsidR="003379FE">
        <w:rPr>
          <w:rFonts w:ascii="Georgia" w:hAnsi="Georgia"/>
        </w:rPr>
        <w:t>Bajo este</w:t>
      </w:r>
      <w:r w:rsidR="00A33A2C" w:rsidRPr="00B33A0F">
        <w:rPr>
          <w:rFonts w:ascii="Georgia" w:hAnsi="Georgia" w:cs="Arial"/>
          <w:lang w:val="es-ES_tradnl"/>
        </w:rPr>
        <w:t xml:space="preserve"> contexto, </w:t>
      </w:r>
      <w:r w:rsidR="004A5232">
        <w:rPr>
          <w:rFonts w:ascii="Georgia" w:hAnsi="Georgia" w:cs="Arial"/>
          <w:lang w:val="es-ES_tradnl"/>
        </w:rPr>
        <w:t>el amparo</w:t>
      </w:r>
      <w:r w:rsidR="006B0C34">
        <w:rPr>
          <w:rFonts w:ascii="Georgia" w:hAnsi="Georgia" w:cs="Arial"/>
          <w:lang w:val="es-ES_tradnl"/>
        </w:rPr>
        <w:t xml:space="preserve"> </w:t>
      </w:r>
      <w:r w:rsidR="004A5232">
        <w:rPr>
          <w:rFonts w:ascii="Georgia" w:hAnsi="Georgia" w:cs="Arial"/>
          <w:lang w:val="es-ES_tradnl"/>
        </w:rPr>
        <w:t xml:space="preserve">es </w:t>
      </w:r>
      <w:r w:rsidR="00A33A2C" w:rsidRPr="00B33A0F">
        <w:rPr>
          <w:rFonts w:ascii="Georgia" w:hAnsi="Georgia" w:cs="Arial"/>
          <w:lang w:val="es-ES_tradnl"/>
        </w:rPr>
        <w:t xml:space="preserve">improcedente </w:t>
      </w:r>
      <w:r w:rsidR="006B0C34">
        <w:rPr>
          <w:rFonts w:ascii="Georgia" w:hAnsi="Georgia" w:cs="Arial"/>
          <w:lang w:val="es-ES_tradnl"/>
        </w:rPr>
        <w:t>dado</w:t>
      </w:r>
      <w:r w:rsidR="00A33A2C" w:rsidRPr="00B33A0F">
        <w:rPr>
          <w:rFonts w:ascii="Georgia" w:hAnsi="Georgia" w:cs="Arial"/>
          <w:lang w:val="es-ES_tradnl"/>
        </w:rPr>
        <w:t xml:space="preserve"> que se incumple con uno de los siete (7) requisitos generales de </w:t>
      </w:r>
      <w:proofErr w:type="spellStart"/>
      <w:r w:rsidR="00A33A2C" w:rsidRPr="00B33A0F">
        <w:rPr>
          <w:rFonts w:ascii="Georgia" w:hAnsi="Georgia" w:cs="Arial"/>
          <w:lang w:val="es-ES_tradnl"/>
        </w:rPr>
        <w:t>procedibilidad</w:t>
      </w:r>
      <w:proofErr w:type="spellEnd"/>
      <w:r w:rsidR="00A33A2C" w:rsidRPr="00B33A0F">
        <w:rPr>
          <w:rFonts w:ascii="Georgia" w:hAnsi="Georgia" w:cs="Arial"/>
          <w:lang w:val="es-ES_tradnl"/>
        </w:rPr>
        <w:t>, como lo es el de la subsidiariedad</w:t>
      </w:r>
      <w:r w:rsidR="00A33A2C" w:rsidRPr="00B33A0F">
        <w:rPr>
          <w:rFonts w:ascii="Georgia" w:hAnsi="Georgia"/>
        </w:rPr>
        <w:t>.</w:t>
      </w:r>
    </w:p>
    <w:p w:rsidR="00A33A2C" w:rsidRDefault="00A33A2C" w:rsidP="00124549">
      <w:pPr>
        <w:spacing w:line="360" w:lineRule="auto"/>
        <w:jc w:val="both"/>
        <w:rPr>
          <w:rFonts w:ascii="Georgia" w:hAnsi="Georgia" w:cs="Arial"/>
          <w:lang w:val="es-ES_tradnl"/>
        </w:rPr>
      </w:pPr>
    </w:p>
    <w:p w:rsidR="00B07C7D" w:rsidRPr="00B8794F" w:rsidRDefault="00B07C7D" w:rsidP="00B07C7D">
      <w:pPr>
        <w:widowControl/>
        <w:spacing w:line="360" w:lineRule="auto"/>
        <w:jc w:val="both"/>
        <w:rPr>
          <w:rFonts w:ascii="Georgia" w:hAnsi="Georgia"/>
          <w:lang w:val="es-CO"/>
        </w:rPr>
      </w:pPr>
      <w:r>
        <w:rPr>
          <w:rFonts w:ascii="Georgia" w:hAnsi="Georgia"/>
          <w:lang w:val="es-CO"/>
        </w:rPr>
        <w:t xml:space="preserve">Por último, se denegará </w:t>
      </w:r>
      <w:r w:rsidRPr="00A62F8F">
        <w:rPr>
          <w:rFonts w:ascii="Georgia" w:hAnsi="Georgia"/>
          <w:lang w:val="es-CO"/>
        </w:rPr>
        <w:t>la pretensión del accionante</w:t>
      </w:r>
      <w:r>
        <w:rPr>
          <w:rFonts w:ascii="Georgia" w:hAnsi="Georgia"/>
          <w:lang w:val="es-CO"/>
        </w:rPr>
        <w:t xml:space="preserve"> frente al Procurador Delegado para Asuntos Civiles </w:t>
      </w:r>
      <w:r w:rsidR="00B14BBC">
        <w:rPr>
          <w:rFonts w:ascii="Georgia" w:hAnsi="Georgia"/>
          <w:lang w:val="es-CO"/>
        </w:rPr>
        <w:t xml:space="preserve">y Laborales </w:t>
      </w:r>
      <w:r>
        <w:rPr>
          <w:rFonts w:ascii="Georgia" w:hAnsi="Georgia"/>
          <w:lang w:val="es-CO"/>
        </w:rPr>
        <w:t>en la acción popular, en razón a la ausencia de hechos vulneradores o amenazantes de los derechos invocados; la inexistencia de petición ante esa autoridad, conlleva concluir la falta de amenaza o agravio endilgado</w:t>
      </w:r>
      <w:r w:rsidRPr="00B8794F">
        <w:rPr>
          <w:rFonts w:ascii="Georgia" w:hAnsi="Georgia"/>
          <w:lang w:val="es-CO"/>
        </w:rPr>
        <w:t>.</w:t>
      </w:r>
      <w:r>
        <w:rPr>
          <w:rFonts w:ascii="Georgia" w:hAnsi="Georgia"/>
          <w:lang w:val="es-CO"/>
        </w:rPr>
        <w:t xml:space="preserve"> Respecto de la Corte Constitucional, el Procurador General de la Nación y el Defensor de Pueblo, se reitera que el petitorio carece de acciones u omisiones en su contra; se trata de una prueba que en Sala Unitaria se negó porque no s</w:t>
      </w:r>
      <w:r w:rsidR="00B14BBC">
        <w:rPr>
          <w:rFonts w:ascii="Georgia" w:hAnsi="Georgia"/>
          <w:lang w:val="es-CO"/>
        </w:rPr>
        <w:t>on órganos consultivos (Folio 7,</w:t>
      </w:r>
      <w:r>
        <w:rPr>
          <w:rFonts w:ascii="Georgia" w:hAnsi="Georgia"/>
          <w:lang w:val="es-CO"/>
        </w:rPr>
        <w:t xml:space="preserve"> ib.).</w:t>
      </w:r>
    </w:p>
    <w:p w:rsidR="00B07C7D" w:rsidRDefault="00B07C7D"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Default="00F40F94" w:rsidP="00F40F94">
      <w:pPr>
        <w:pStyle w:val="Textoindependiente"/>
        <w:spacing w:line="360" w:lineRule="auto"/>
        <w:ind w:left="400"/>
        <w:rPr>
          <w:rFonts w:ascii="Georgia" w:hAnsi="Georgia"/>
          <w:szCs w:val="24"/>
        </w:rPr>
      </w:pPr>
    </w:p>
    <w:p w:rsidR="00B07C7D" w:rsidRPr="001A4F37" w:rsidRDefault="00B07C7D" w:rsidP="00B07C7D">
      <w:pPr>
        <w:pStyle w:val="Textoindependiente"/>
        <w:spacing w:line="360" w:lineRule="auto"/>
        <w:rPr>
          <w:rFonts w:ascii="Georgia" w:hAnsi="Georgia" w:cs="Arial"/>
          <w:lang w:val="es-CO"/>
        </w:rPr>
      </w:pPr>
      <w:r w:rsidRPr="00D63D82">
        <w:rPr>
          <w:rFonts w:ascii="Georgia" w:hAnsi="Georgia" w:cs="Arial"/>
          <w:szCs w:val="24"/>
          <w:lang w:val="es-ES"/>
        </w:rPr>
        <w:t>Con fundamento en las consideraciones expuestas</w:t>
      </w:r>
      <w:r>
        <w:rPr>
          <w:rFonts w:ascii="Georgia" w:hAnsi="Georgia" w:cs="Arial"/>
          <w:szCs w:val="24"/>
          <w:lang w:val="es-ES"/>
        </w:rPr>
        <w:t xml:space="preserve">: (i) Se rechazará de plano la nulidad invocada, por falta de legitimación; (ii) Se declarará improcedente el amparo constitucional, por carecer de </w:t>
      </w:r>
      <w:r w:rsidR="00B14BBC">
        <w:rPr>
          <w:rFonts w:ascii="Georgia" w:hAnsi="Georgia" w:cs="Arial"/>
          <w:szCs w:val="24"/>
          <w:lang w:val="es-ES"/>
        </w:rPr>
        <w:t>subsidiariedad</w:t>
      </w:r>
      <w:r>
        <w:rPr>
          <w:rFonts w:ascii="Georgia" w:hAnsi="Georgia" w:cs="Arial"/>
          <w:szCs w:val="24"/>
          <w:lang w:val="es-ES"/>
        </w:rPr>
        <w:t xml:space="preserve">; y, (iii) Se negará </w:t>
      </w:r>
      <w:r w:rsidR="00B14BBC">
        <w:rPr>
          <w:rFonts w:ascii="Georgia" w:hAnsi="Georgia" w:cs="Arial"/>
          <w:szCs w:val="24"/>
          <w:lang w:val="es-ES"/>
        </w:rPr>
        <w:t xml:space="preserve">frente </w:t>
      </w:r>
      <w:r w:rsidR="00B14BBC">
        <w:rPr>
          <w:rFonts w:ascii="Georgia" w:hAnsi="Georgia"/>
          <w:lang w:val="es-CO"/>
        </w:rPr>
        <w:t>al Procurador Delegado para Asuntos Civiles y Laborales</w:t>
      </w:r>
      <w:r>
        <w:rPr>
          <w:rFonts w:ascii="Georgia" w:hAnsi="Georgia" w:cs="Arial"/>
          <w:szCs w:val="24"/>
          <w:lang w:val="es-ES"/>
        </w:rPr>
        <w:t>, por ausencia fáctica.</w:t>
      </w:r>
    </w:p>
    <w:p w:rsidR="00B07C7D" w:rsidRPr="001A4F37" w:rsidRDefault="00B07C7D" w:rsidP="00B07C7D">
      <w:pPr>
        <w:pStyle w:val="Textoindependiente"/>
        <w:spacing w:line="360" w:lineRule="auto"/>
        <w:rPr>
          <w:rFonts w:ascii="Georgia" w:hAnsi="Georgia" w:cs="Arial"/>
          <w:szCs w:val="24"/>
          <w:lang w:val="es-ES"/>
        </w:rPr>
      </w:pPr>
    </w:p>
    <w:p w:rsidR="00B07C7D" w:rsidRDefault="00B07C7D" w:rsidP="00B07C7D">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xml:space="preserve">, administrando Justicia, en nombre de la </w:t>
      </w:r>
    </w:p>
    <w:p w:rsidR="00B07C7D" w:rsidRPr="00D63D82" w:rsidRDefault="00B07C7D" w:rsidP="00B07C7D">
      <w:pPr>
        <w:pStyle w:val="Textoindependiente"/>
        <w:spacing w:line="360" w:lineRule="auto"/>
        <w:rPr>
          <w:rFonts w:ascii="Georgia" w:hAnsi="Georgia" w:cs="Arial"/>
        </w:rPr>
      </w:pPr>
      <w:r w:rsidRPr="00D63D82">
        <w:rPr>
          <w:rFonts w:ascii="Georgia" w:hAnsi="Georgia" w:cs="Arial"/>
        </w:rPr>
        <w:t xml:space="preserve">República </w:t>
      </w:r>
      <w:r>
        <w:rPr>
          <w:rFonts w:ascii="Georgia" w:hAnsi="Georgia" w:cs="Arial"/>
        </w:rPr>
        <w:t xml:space="preserve">de Colombia </w:t>
      </w:r>
      <w:r w:rsidRPr="00D63D82">
        <w:rPr>
          <w:rFonts w:ascii="Georgia" w:hAnsi="Georgia" w:cs="Arial"/>
        </w:rPr>
        <w:t>y por autoridad de la Ley,</w:t>
      </w:r>
    </w:p>
    <w:p w:rsidR="00B07C7D" w:rsidRPr="00866892" w:rsidRDefault="00B07C7D" w:rsidP="00B07C7D">
      <w:pPr>
        <w:pStyle w:val="Textoindependiente"/>
        <w:spacing w:line="360" w:lineRule="auto"/>
        <w:jc w:val="center"/>
        <w:rPr>
          <w:rFonts w:ascii="Georgia" w:hAnsi="Georgia" w:cs="Arial"/>
          <w:bCs/>
          <w:smallCaps/>
          <w:sz w:val="20"/>
          <w:szCs w:val="24"/>
        </w:rPr>
      </w:pPr>
    </w:p>
    <w:p w:rsidR="00B07C7D" w:rsidRDefault="00B07C7D" w:rsidP="00B07C7D">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B07C7D" w:rsidRPr="00866892" w:rsidRDefault="00B07C7D" w:rsidP="00B07C7D">
      <w:pPr>
        <w:pStyle w:val="Textoindependiente"/>
        <w:spacing w:line="360" w:lineRule="auto"/>
        <w:jc w:val="center"/>
        <w:rPr>
          <w:rFonts w:ascii="Georgia" w:hAnsi="Georgia" w:cs="Arial"/>
          <w:bCs/>
          <w:smallCaps/>
          <w:sz w:val="20"/>
          <w:szCs w:val="24"/>
        </w:rPr>
      </w:pPr>
    </w:p>
    <w:p w:rsidR="00B07C7D" w:rsidRDefault="00B07C7D" w:rsidP="00B14BB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RECHAZAR DE PLANO la nulidad invocada por </w:t>
      </w:r>
      <w:r w:rsidRPr="00D63D82">
        <w:rPr>
          <w:rFonts w:ascii="Georgia" w:hAnsi="Georgia" w:cs="Arial"/>
        </w:rPr>
        <w:t xml:space="preserve">el señor </w:t>
      </w:r>
      <w:r>
        <w:rPr>
          <w:rFonts w:ascii="Georgia" w:hAnsi="Georgia" w:cs="Arial"/>
        </w:rPr>
        <w:t>Javier Elías Arias Idárraga.</w:t>
      </w:r>
    </w:p>
    <w:p w:rsidR="00B07C7D" w:rsidRDefault="00B07C7D" w:rsidP="00B14BB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B07C7D" w:rsidRDefault="00B07C7D" w:rsidP="00B14BB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la acción de tutela formulada en contra del </w:t>
      </w:r>
      <w:r w:rsidRPr="00D63D82">
        <w:rPr>
          <w:rFonts w:ascii="Georgia" w:hAnsi="Georgia" w:cs="Arial"/>
        </w:rPr>
        <w:t xml:space="preserve">Juzgado </w:t>
      </w:r>
      <w:r>
        <w:rPr>
          <w:rFonts w:ascii="Georgia" w:hAnsi="Georgia" w:cs="Arial"/>
        </w:rPr>
        <w:t>Cuarto Civil del Circuito de Pereira con relación a la aplicación del artículo 121, CGP.</w:t>
      </w:r>
    </w:p>
    <w:p w:rsidR="00B07C7D" w:rsidRPr="001A4F37" w:rsidRDefault="00B07C7D" w:rsidP="00B14BBC">
      <w:pPr>
        <w:pStyle w:val="Prrafodelista"/>
        <w:spacing w:line="360" w:lineRule="auto"/>
        <w:rPr>
          <w:rFonts w:ascii="Georgia" w:hAnsi="Georgia" w:cs="Arial"/>
          <w:lang w:val="es-CO"/>
        </w:rPr>
      </w:pPr>
    </w:p>
    <w:p w:rsidR="00B07C7D" w:rsidRDefault="00B07C7D" w:rsidP="00B14BB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el amparo frente </w:t>
      </w:r>
      <w:r w:rsidR="00B14BBC">
        <w:rPr>
          <w:rFonts w:ascii="Georgia" w:hAnsi="Georgia" w:cs="Arial"/>
        </w:rPr>
        <w:t xml:space="preserve">al </w:t>
      </w:r>
      <w:r w:rsidR="00B14BBC">
        <w:rPr>
          <w:rFonts w:ascii="Georgia" w:hAnsi="Georgia"/>
          <w:lang w:val="es-CO"/>
        </w:rPr>
        <w:t>Procurador Delegado para Asuntos Civiles y Laborales</w:t>
      </w:r>
      <w:r>
        <w:rPr>
          <w:rFonts w:ascii="Georgia" w:hAnsi="Georgia" w:cs="Arial"/>
        </w:rPr>
        <w:t xml:space="preserve">. </w:t>
      </w: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lastRenderedPageBreak/>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1A65E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DE" w:rsidRDefault="00E65DDE" w:rsidP="0099045D">
      <w:r>
        <w:separator/>
      </w:r>
    </w:p>
  </w:endnote>
  <w:endnote w:type="continuationSeparator" w:id="0">
    <w:p w:rsidR="00E65DDE" w:rsidRDefault="00E65DD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DE" w:rsidRDefault="00E65DDE" w:rsidP="0099045D">
      <w:r>
        <w:separator/>
      </w:r>
    </w:p>
  </w:footnote>
  <w:footnote w:type="continuationSeparator" w:id="0">
    <w:p w:rsidR="00E65DDE" w:rsidRDefault="00E65DDE" w:rsidP="0099045D">
      <w:r>
        <w:continuationSeparator/>
      </w:r>
    </w:p>
  </w:footnote>
  <w:footnote w:id="1">
    <w:p w:rsidR="00B657B5" w:rsidRDefault="00B657B5" w:rsidP="00B657B5">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2">
    <w:p w:rsidR="00B657B5" w:rsidRDefault="00B657B5" w:rsidP="00B657B5">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3">
    <w:p w:rsidR="00B657B5" w:rsidRDefault="00B657B5" w:rsidP="00B657B5">
      <w:pPr>
        <w:pStyle w:val="Textonotapie"/>
        <w:jc w:val="both"/>
      </w:pPr>
      <w:r w:rsidRPr="001A1A2B">
        <w:rPr>
          <w:rStyle w:val="Refdenotaalpie"/>
        </w:rPr>
        <w:footnoteRef/>
      </w:r>
      <w:r w:rsidRPr="001A1A2B">
        <w:t xml:space="preserve"> </w:t>
      </w:r>
      <w:r w:rsidRPr="001A1A2B">
        <w:rPr>
          <w:lang w:val="es-MX"/>
        </w:rPr>
        <w:t>CC. T-917 de 2011.</w:t>
      </w:r>
    </w:p>
  </w:footnote>
  <w:footnote w:id="4">
    <w:p w:rsidR="00B657B5" w:rsidRDefault="00B657B5" w:rsidP="00B657B5">
      <w:pPr>
        <w:pStyle w:val="Textonotapie"/>
        <w:jc w:val="both"/>
      </w:pPr>
      <w:r w:rsidRPr="001A1A2B">
        <w:rPr>
          <w:rStyle w:val="Refdenotaalpie"/>
        </w:rPr>
        <w:footnoteRef/>
      </w:r>
      <w:r w:rsidRPr="001A1A2B">
        <w:rPr>
          <w:lang w:val="es-MX"/>
        </w:rPr>
        <w:t xml:space="preserve"> CC. C-590 de 2005.</w:t>
      </w:r>
    </w:p>
  </w:footnote>
  <w:footnote w:id="5">
    <w:p w:rsidR="00B657B5" w:rsidRDefault="00B657B5" w:rsidP="00B657B5">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6">
    <w:p w:rsidR="00B657B5" w:rsidRDefault="00B657B5" w:rsidP="00B657B5">
      <w:pPr>
        <w:pStyle w:val="Textonotapie"/>
      </w:pPr>
      <w:r w:rsidRPr="001A1A2B">
        <w:rPr>
          <w:rStyle w:val="Refdenotaalpie"/>
        </w:rPr>
        <w:footnoteRef/>
      </w:r>
      <w:r w:rsidRPr="001A1A2B">
        <w:t xml:space="preserve"> </w:t>
      </w:r>
      <w:r w:rsidRPr="001A1A2B">
        <w:rPr>
          <w:lang w:val="es-MX"/>
        </w:rPr>
        <w:t>CC. T-307 de 2015.</w:t>
      </w:r>
    </w:p>
  </w:footnote>
  <w:footnote w:id="7">
    <w:p w:rsidR="00B657B5" w:rsidRDefault="00B657B5" w:rsidP="00B657B5">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8">
    <w:p w:rsidR="00B657B5" w:rsidRPr="00F35B54" w:rsidRDefault="00B657B5" w:rsidP="00B657B5">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9">
    <w:p w:rsidR="00124549" w:rsidRPr="00714579" w:rsidRDefault="00124549" w:rsidP="00124549">
      <w:pPr>
        <w:pStyle w:val="Textonotapie"/>
        <w:jc w:val="both"/>
      </w:pPr>
      <w:r w:rsidRPr="00714579">
        <w:rPr>
          <w:rStyle w:val="Refdenotaalpie"/>
        </w:rPr>
        <w:footnoteRef/>
      </w:r>
      <w:r w:rsidRPr="00714579">
        <w:t xml:space="preserve"> CC. T-103 </w:t>
      </w:r>
      <w:r w:rsidR="00595E1E">
        <w:t xml:space="preserve">y 396 </w:t>
      </w:r>
      <w:r w:rsidRPr="00714579">
        <w:t>de 2014</w:t>
      </w:r>
      <w:r w:rsidRPr="00714579">
        <w:rPr>
          <w:bCs/>
        </w:rPr>
        <w:t>.</w:t>
      </w:r>
    </w:p>
  </w:footnote>
  <w:footnote w:id="10">
    <w:p w:rsidR="00584255" w:rsidRPr="00714579" w:rsidRDefault="00584255" w:rsidP="00584255">
      <w:pPr>
        <w:pStyle w:val="Textonotapie"/>
      </w:pPr>
      <w:r w:rsidRPr="00714579">
        <w:rPr>
          <w:rStyle w:val="Refdenotaalpie"/>
        </w:rPr>
        <w:footnoteRef/>
      </w:r>
      <w:r w:rsidRPr="00714579">
        <w:t xml:space="preserve"> CC. T-600 de 2017.</w:t>
      </w:r>
    </w:p>
  </w:footnote>
  <w:footnote w:id="11">
    <w:p w:rsidR="00584255" w:rsidRPr="00714579" w:rsidRDefault="00584255" w:rsidP="00584255">
      <w:pPr>
        <w:pStyle w:val="Textonotapie"/>
      </w:pPr>
      <w:r w:rsidRPr="00714579">
        <w:rPr>
          <w:vertAlign w:val="superscript"/>
        </w:rPr>
        <w:footnoteRef/>
      </w:r>
      <w:r w:rsidRPr="00714579">
        <w:t xml:space="preserve"> CC. T-103 y 396 de 2014, entre otras. </w:t>
      </w:r>
    </w:p>
  </w:footnote>
  <w:footnote w:id="12">
    <w:p w:rsidR="00584255" w:rsidRPr="00AD16D4" w:rsidRDefault="00584255" w:rsidP="00584255">
      <w:pPr>
        <w:pStyle w:val="Textonotapie"/>
        <w:jc w:val="both"/>
        <w:rPr>
          <w:lang w:val="es-CO"/>
        </w:rPr>
      </w:pPr>
      <w:r w:rsidRPr="00F61CAB">
        <w:rPr>
          <w:rStyle w:val="Refdenotaalpie"/>
        </w:rPr>
        <w:footnoteRef/>
      </w:r>
      <w:r>
        <w:t xml:space="preserve"> CSJ</w:t>
      </w:r>
      <w:r w:rsidRPr="00F61CAB">
        <w:t>. STC3950-2016.</w:t>
      </w:r>
    </w:p>
  </w:footnote>
  <w:footnote w:id="13">
    <w:p w:rsidR="00584255" w:rsidRDefault="00584255" w:rsidP="00584255">
      <w:pPr>
        <w:pStyle w:val="Textonotapie"/>
        <w:jc w:val="both"/>
      </w:pPr>
      <w:r w:rsidRPr="00C45F3C">
        <w:rPr>
          <w:rStyle w:val="Refdenotaalpie"/>
        </w:rPr>
        <w:footnoteRef/>
      </w:r>
      <w:r w:rsidRPr="00C45F3C">
        <w:t xml:space="preserve"> CC. T-134 de 1994. </w:t>
      </w:r>
    </w:p>
  </w:footnote>
  <w:footnote w:id="14">
    <w:p w:rsidR="00584255" w:rsidRDefault="00584255" w:rsidP="00584255">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5">
    <w:p w:rsidR="00584255" w:rsidRDefault="00584255" w:rsidP="00584255">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6">
    <w:p w:rsidR="00584255" w:rsidRDefault="00584255" w:rsidP="00584255">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17">
    <w:p w:rsidR="00A33A2C" w:rsidRPr="007D3087" w:rsidRDefault="00A33A2C" w:rsidP="00A33A2C">
      <w:pPr>
        <w:pStyle w:val="Textonotapie"/>
      </w:pPr>
      <w:r w:rsidRPr="007D3087">
        <w:rPr>
          <w:rStyle w:val="Refdenotaalpie"/>
        </w:rPr>
        <w:footnoteRef/>
      </w:r>
      <w:r w:rsidRPr="007D3087">
        <w:t xml:space="preserve"> CC</w:t>
      </w:r>
      <w:r w:rsidRPr="00595E1E">
        <w:t xml:space="preserve">.  </w:t>
      </w:r>
      <w:r w:rsidR="00A63F04" w:rsidRPr="00595E1E">
        <w:t>T-089 de 2018</w:t>
      </w:r>
      <w:r w:rsidR="00A63F04">
        <w:t xml:space="preserve">,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0F4DFB">
      <w:rPr>
        <w:rFonts w:ascii="Georgia" w:hAnsi="Georgia" w:cs="Calibri"/>
        <w:i/>
        <w:noProof/>
        <w:sz w:val="20"/>
      </w:rPr>
      <w:t>1</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B61CDD">
      <w:rPr>
        <w:rFonts w:ascii="Georgia" w:hAnsi="Georgia" w:cs="Calibri"/>
        <w:i/>
        <w:smallCaps/>
        <w:sz w:val="20"/>
        <w:szCs w:val="22"/>
      </w:rPr>
      <w:t>00756</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5E6"/>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DFB"/>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5E0"/>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A9"/>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5F12"/>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BEA"/>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20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C99"/>
    <w:rsid w:val="00357D73"/>
    <w:rsid w:val="003603EC"/>
    <w:rsid w:val="0036055F"/>
    <w:rsid w:val="00360764"/>
    <w:rsid w:val="0036084B"/>
    <w:rsid w:val="00360BD4"/>
    <w:rsid w:val="003610E9"/>
    <w:rsid w:val="00361A7A"/>
    <w:rsid w:val="00362CB1"/>
    <w:rsid w:val="003632B0"/>
    <w:rsid w:val="003641DE"/>
    <w:rsid w:val="003648A3"/>
    <w:rsid w:val="00364C98"/>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6EAE"/>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55"/>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D8B"/>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0C17"/>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1E2"/>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2F7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AEF"/>
    <w:rsid w:val="007A7B79"/>
    <w:rsid w:val="007A7F9C"/>
    <w:rsid w:val="007B04A5"/>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778D4"/>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6252"/>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76F"/>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0F9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37C93"/>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8D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3A5"/>
    <w:rsid w:val="00B0777E"/>
    <w:rsid w:val="00B07948"/>
    <w:rsid w:val="00B07C7D"/>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4BBC"/>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1CDD"/>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DF4"/>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299"/>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6F86"/>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A27"/>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3F8"/>
    <w:rsid w:val="00E63652"/>
    <w:rsid w:val="00E65DDE"/>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5E69-7B64-4C18-9EE0-426C764E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9</cp:revision>
  <cp:lastPrinted>2018-09-26T16:29:00Z</cp:lastPrinted>
  <dcterms:created xsi:type="dcterms:W3CDTF">2018-09-25T15:47:00Z</dcterms:created>
  <dcterms:modified xsi:type="dcterms:W3CDTF">2018-11-01T20:49:00Z</dcterms:modified>
</cp:coreProperties>
</file>