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C04" w:rsidRDefault="00094C04" w:rsidP="00094C04">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color w:val="222222"/>
          <w:sz w:val="19"/>
          <w:szCs w:val="19"/>
          <w:lang w:val="es-CO" w:eastAsia="fr-FR"/>
        </w:rPr>
      </w:pPr>
      <w:r>
        <w:rPr>
          <w:rFonts w:ascii="Calibri" w:hAnsi="Calibri" w:cs="Calibri"/>
          <w:color w:val="FF0000"/>
          <w:spacing w:val="-8"/>
          <w:sz w:val="19"/>
          <w:szCs w:val="19"/>
          <w:lang w:val="es-CO" w:eastAsia="fr-FR"/>
        </w:rPr>
        <w:t xml:space="preserve">El siguiente es el documento presentado por el Magistrado Ponente que sirvió de base para proferir la providencia dentro del presente proceso. </w:t>
      </w:r>
      <w:r>
        <w:rPr>
          <w:rFonts w:ascii="Calibri" w:hAnsi="Calibri" w:cs="Calibri"/>
          <w:color w:val="FF0000"/>
          <w:sz w:val="19"/>
          <w:szCs w:val="19"/>
          <w:lang w:val="es-CO" w:eastAsia="fr-FR"/>
        </w:rPr>
        <w:t>El contenido total y fiel de la decisión debe ser verificado en la Secretaría de esta Sala.</w:t>
      </w:r>
    </w:p>
    <w:p w:rsidR="00094C04" w:rsidRDefault="00094C04" w:rsidP="00094C04">
      <w:pPr>
        <w:shd w:val="clear" w:color="auto" w:fill="FFFFFF"/>
        <w:ind w:left="1843" w:hanging="1843"/>
        <w:jc w:val="both"/>
        <w:rPr>
          <w:rFonts w:ascii="Calibri" w:hAnsi="Calibri" w:cs="Calibri"/>
          <w:color w:val="222222"/>
          <w:sz w:val="18"/>
          <w:szCs w:val="18"/>
          <w:lang w:val="es-CO" w:eastAsia="fr-FR"/>
        </w:rPr>
      </w:pPr>
    </w:p>
    <w:p w:rsidR="00094C04" w:rsidRDefault="00094C04" w:rsidP="00094C04">
      <w:pPr>
        <w:shd w:val="clear" w:color="auto" w:fill="FFFFFF"/>
        <w:ind w:left="1843" w:hanging="1843"/>
        <w:jc w:val="both"/>
        <w:rPr>
          <w:rFonts w:ascii="Arial" w:hAnsi="Arial" w:cs="Arial"/>
          <w:color w:val="222222"/>
          <w:sz w:val="22"/>
          <w:szCs w:val="22"/>
          <w:lang w:val="es-CO" w:eastAsia="fr-FR"/>
        </w:rPr>
      </w:pPr>
      <w:r>
        <w:rPr>
          <w:rFonts w:ascii="Arial" w:hAnsi="Arial" w:cs="Arial"/>
          <w:color w:val="222222"/>
          <w:sz w:val="22"/>
          <w:szCs w:val="22"/>
          <w:lang w:val="es-CO" w:eastAsia="fr-FR"/>
        </w:rPr>
        <w:t>Providencia:</w:t>
      </w:r>
      <w:r>
        <w:rPr>
          <w:rFonts w:ascii="Arial" w:hAnsi="Arial" w:cs="Arial"/>
          <w:color w:val="222222"/>
          <w:sz w:val="22"/>
          <w:szCs w:val="22"/>
          <w:lang w:val="es-CO" w:eastAsia="fr-FR"/>
        </w:rPr>
        <w:tab/>
      </w:r>
      <w:r>
        <w:rPr>
          <w:rFonts w:ascii="Arial" w:hAnsi="Arial" w:cs="Arial"/>
          <w:color w:val="222222"/>
          <w:sz w:val="22"/>
          <w:szCs w:val="22"/>
          <w:lang w:val="es-CO" w:eastAsia="fr-FR"/>
        </w:rPr>
        <w:tab/>
        <w:t>Sentencia  – 2ª instancia –13 de septiembre de 2018</w:t>
      </w:r>
    </w:p>
    <w:p w:rsidR="00094C04" w:rsidRDefault="00094C04" w:rsidP="00094C04">
      <w:pPr>
        <w:shd w:val="clear" w:color="auto" w:fill="FFFFFF"/>
        <w:tabs>
          <w:tab w:val="left" w:pos="1843"/>
          <w:tab w:val="left" w:pos="4755"/>
        </w:tabs>
        <w:ind w:left="1843" w:hanging="1843"/>
        <w:jc w:val="both"/>
        <w:rPr>
          <w:rFonts w:ascii="Arial" w:hAnsi="Arial" w:cs="Arial"/>
          <w:color w:val="222222"/>
          <w:sz w:val="22"/>
          <w:szCs w:val="22"/>
          <w:lang w:eastAsia="fr-FR"/>
        </w:rPr>
      </w:pPr>
      <w:r>
        <w:rPr>
          <w:rFonts w:ascii="Arial" w:hAnsi="Arial" w:cs="Arial"/>
          <w:color w:val="222222"/>
          <w:sz w:val="22"/>
          <w:szCs w:val="22"/>
          <w:lang w:val="es-CO" w:eastAsia="fr-FR"/>
        </w:rPr>
        <w:t>Proceso:    </w:t>
      </w:r>
      <w:r>
        <w:rPr>
          <w:rFonts w:ascii="Arial" w:hAnsi="Arial" w:cs="Arial"/>
          <w:color w:val="222222"/>
          <w:sz w:val="22"/>
          <w:szCs w:val="22"/>
          <w:lang w:val="es-CO" w:eastAsia="fr-FR"/>
        </w:rPr>
        <w:tab/>
        <w:t xml:space="preserve">     Acción de Tutela </w:t>
      </w:r>
    </w:p>
    <w:p w:rsidR="00094C04" w:rsidRDefault="00094C04" w:rsidP="00094C04">
      <w:pPr>
        <w:pStyle w:val="Textoindependiente"/>
        <w:tabs>
          <w:tab w:val="clear" w:pos="1416"/>
        </w:tabs>
        <w:spacing w:line="240" w:lineRule="auto"/>
        <w:rPr>
          <w:rFonts w:ascii="Arial" w:hAnsi="Arial" w:cs="Arial"/>
          <w:sz w:val="22"/>
          <w:szCs w:val="22"/>
        </w:rPr>
      </w:pPr>
      <w:r>
        <w:rPr>
          <w:rFonts w:ascii="Arial" w:hAnsi="Arial" w:cs="Arial"/>
          <w:color w:val="222222"/>
          <w:sz w:val="22"/>
          <w:szCs w:val="22"/>
          <w:lang w:val="es-CO" w:eastAsia="fr-FR"/>
        </w:rPr>
        <w:t xml:space="preserve">Radicación Nro. :    </w:t>
      </w:r>
      <w:r>
        <w:rPr>
          <w:rFonts w:ascii="Arial" w:hAnsi="Arial" w:cs="Arial"/>
          <w:color w:val="222222"/>
          <w:sz w:val="22"/>
          <w:szCs w:val="22"/>
          <w:lang w:val="es-CO" w:eastAsia="fr-FR"/>
        </w:rPr>
        <w:tab/>
      </w:r>
      <w:r>
        <w:rPr>
          <w:rFonts w:ascii="Arial" w:hAnsi="Arial" w:cs="Arial"/>
          <w:sz w:val="22"/>
          <w:szCs w:val="22"/>
        </w:rPr>
        <w:t>66682-31-03-001-2018-00191-02</w:t>
      </w:r>
    </w:p>
    <w:p w:rsidR="00094C04" w:rsidRDefault="00094C04" w:rsidP="00094C04">
      <w:pPr>
        <w:pStyle w:val="Textoindependiente"/>
        <w:tabs>
          <w:tab w:val="clear" w:pos="1416"/>
        </w:tabs>
        <w:spacing w:line="240" w:lineRule="auto"/>
        <w:rPr>
          <w:rFonts w:ascii="Arial" w:hAnsi="Arial" w:cs="Arial"/>
          <w:sz w:val="22"/>
          <w:szCs w:val="22"/>
        </w:rPr>
      </w:pPr>
      <w:r>
        <w:rPr>
          <w:rFonts w:ascii="Arial" w:hAnsi="Arial" w:cs="Arial"/>
          <w:bCs/>
          <w:iCs/>
          <w:color w:val="222222"/>
          <w:sz w:val="22"/>
          <w:szCs w:val="22"/>
          <w:lang w:eastAsia="fr-FR"/>
        </w:rPr>
        <w:t xml:space="preserve">Accionante:             </w:t>
      </w:r>
      <w:r>
        <w:rPr>
          <w:rFonts w:ascii="Arial" w:hAnsi="Arial" w:cs="Arial"/>
          <w:bCs/>
          <w:iCs/>
          <w:color w:val="222222"/>
          <w:sz w:val="22"/>
          <w:szCs w:val="22"/>
          <w:lang w:eastAsia="fr-FR"/>
        </w:rPr>
        <w:tab/>
      </w:r>
      <w:r>
        <w:rPr>
          <w:rFonts w:ascii="Arial" w:hAnsi="Arial" w:cs="Arial"/>
          <w:sz w:val="22"/>
          <w:szCs w:val="22"/>
        </w:rPr>
        <w:t>Edilson Antonio Moscoso Ramírez</w:t>
      </w:r>
    </w:p>
    <w:p w:rsidR="00094C04" w:rsidRDefault="00094C04" w:rsidP="00094C04">
      <w:pPr>
        <w:pStyle w:val="Textoindependiente"/>
        <w:tabs>
          <w:tab w:val="clear" w:pos="1416"/>
        </w:tabs>
        <w:spacing w:line="240" w:lineRule="auto"/>
        <w:rPr>
          <w:rFonts w:ascii="Arial" w:hAnsi="Arial" w:cs="Arial"/>
          <w:sz w:val="22"/>
          <w:szCs w:val="22"/>
        </w:rPr>
      </w:pPr>
      <w:r>
        <w:rPr>
          <w:rFonts w:ascii="Arial" w:hAnsi="Arial" w:cs="Arial"/>
          <w:color w:val="222222"/>
          <w:sz w:val="22"/>
          <w:szCs w:val="22"/>
          <w:lang w:val="es-CO" w:eastAsia="fr-FR"/>
        </w:rPr>
        <w:t xml:space="preserve">Accionado:              </w:t>
      </w:r>
      <w:r>
        <w:rPr>
          <w:rFonts w:ascii="Arial" w:hAnsi="Arial" w:cs="Arial"/>
          <w:color w:val="222222"/>
          <w:sz w:val="22"/>
          <w:szCs w:val="22"/>
          <w:lang w:val="es-CO" w:eastAsia="fr-FR"/>
        </w:rPr>
        <w:tab/>
      </w:r>
      <w:r>
        <w:rPr>
          <w:rFonts w:ascii="Arial" w:hAnsi="Arial" w:cs="Arial"/>
          <w:sz w:val="22"/>
          <w:szCs w:val="22"/>
        </w:rPr>
        <w:t>Juzgado Segundo Civil Municipal de Santa Rosa de Cabal</w:t>
      </w:r>
    </w:p>
    <w:p w:rsidR="00094C04" w:rsidRDefault="00094C04" w:rsidP="00094C04">
      <w:pPr>
        <w:pStyle w:val="Textoindependiente"/>
        <w:tabs>
          <w:tab w:val="clear" w:pos="1416"/>
        </w:tabs>
        <w:spacing w:line="240" w:lineRule="auto"/>
        <w:rPr>
          <w:rFonts w:ascii="Arial" w:hAnsi="Arial" w:cs="Arial"/>
          <w:sz w:val="22"/>
          <w:szCs w:val="22"/>
        </w:rPr>
      </w:pPr>
      <w:r>
        <w:rPr>
          <w:rFonts w:ascii="Arial" w:hAnsi="Arial" w:cs="Arial"/>
          <w:sz w:val="22"/>
          <w:szCs w:val="22"/>
        </w:rPr>
        <w:t xml:space="preserve">Vinculados (s):       </w:t>
      </w:r>
      <w:r>
        <w:rPr>
          <w:rFonts w:ascii="Arial" w:hAnsi="Arial" w:cs="Arial"/>
          <w:sz w:val="22"/>
          <w:szCs w:val="22"/>
        </w:rPr>
        <w:tab/>
        <w:t xml:space="preserve"> Eidy Lorena Ramírez Martínez y otros </w:t>
      </w:r>
    </w:p>
    <w:p w:rsidR="00094C04" w:rsidRDefault="00094C04" w:rsidP="00094C04">
      <w:pPr>
        <w:pStyle w:val="Textoindependiente"/>
        <w:tabs>
          <w:tab w:val="clear" w:pos="1416"/>
        </w:tabs>
        <w:spacing w:line="240" w:lineRule="auto"/>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t xml:space="preserve">Juzgado Civil del Circuito de Santa Rosa de Cabal </w:t>
      </w:r>
    </w:p>
    <w:p w:rsidR="00094C04" w:rsidRDefault="00094C04" w:rsidP="00094C04">
      <w:pPr>
        <w:shd w:val="clear" w:color="auto" w:fill="FFFFFF"/>
        <w:tabs>
          <w:tab w:val="left" w:pos="1790"/>
          <w:tab w:val="left" w:pos="1816"/>
          <w:tab w:val="left" w:pos="1843"/>
          <w:tab w:val="left" w:pos="4755"/>
        </w:tabs>
        <w:ind w:left="1843" w:hanging="1843"/>
        <w:jc w:val="both"/>
        <w:rPr>
          <w:rFonts w:ascii="Arial" w:hAnsi="Arial" w:cs="Arial"/>
          <w:b/>
          <w:bCs/>
          <w:iCs/>
          <w:color w:val="222222"/>
          <w:sz w:val="22"/>
          <w:szCs w:val="22"/>
          <w:lang w:val="es-CO" w:eastAsia="fr-FR"/>
        </w:rPr>
      </w:pPr>
      <w:r>
        <w:rPr>
          <w:rFonts w:ascii="Arial" w:hAnsi="Arial" w:cs="Arial"/>
          <w:color w:val="222222"/>
          <w:sz w:val="22"/>
          <w:szCs w:val="22"/>
          <w:lang w:val="es-CO" w:eastAsia="fr-FR"/>
        </w:rPr>
        <w:t>Magistrado Ponente:  Duberney Grisales Herrera</w:t>
      </w:r>
    </w:p>
    <w:p w:rsidR="00094C04" w:rsidRDefault="00094C04" w:rsidP="00094C04">
      <w:pPr>
        <w:pStyle w:val="Sinespaciado"/>
        <w:spacing w:line="360" w:lineRule="auto"/>
        <w:rPr>
          <w:rFonts w:ascii="Calibri" w:hAnsi="Calibri" w:cs="Calibri"/>
          <w:b/>
          <w:bCs/>
          <w:iCs/>
          <w:color w:val="222222"/>
          <w:sz w:val="18"/>
          <w:szCs w:val="18"/>
          <w:lang w:val="es-CO" w:eastAsia="fr-FR"/>
        </w:rPr>
      </w:pPr>
    </w:p>
    <w:p w:rsidR="00094C04" w:rsidRPr="00712F75" w:rsidRDefault="00094C04" w:rsidP="001F7D4F">
      <w:pPr>
        <w:pStyle w:val="Sinespaciado"/>
        <w:jc w:val="both"/>
        <w:rPr>
          <w:rFonts w:ascii="Arial" w:hAnsi="Arial" w:cs="Arial"/>
          <w:b/>
        </w:rPr>
      </w:pPr>
      <w:r w:rsidRPr="001F7D4F">
        <w:rPr>
          <w:rFonts w:ascii="Arial" w:hAnsi="Arial" w:cs="Arial"/>
          <w:b/>
          <w:bCs/>
          <w:iCs/>
          <w:color w:val="222222"/>
          <w:lang w:val="es-CO" w:eastAsia="fr-FR"/>
        </w:rPr>
        <w:t xml:space="preserve">Temas: </w:t>
      </w:r>
      <w:r w:rsidRPr="001F7D4F">
        <w:rPr>
          <w:rFonts w:ascii="Arial" w:hAnsi="Arial" w:cs="Arial"/>
          <w:b/>
          <w:bCs/>
          <w:iCs/>
          <w:color w:val="222222"/>
          <w:lang w:val="es-CO" w:eastAsia="fr-FR"/>
        </w:rPr>
        <w:tab/>
      </w:r>
      <w:r w:rsidRPr="001F7D4F">
        <w:rPr>
          <w:rFonts w:ascii="Arial" w:hAnsi="Arial" w:cs="Arial"/>
          <w:b/>
          <w:bCs/>
          <w:iCs/>
          <w:color w:val="222222"/>
          <w:lang w:val="es-CO" w:eastAsia="fr-FR"/>
        </w:rPr>
        <w:tab/>
        <w:t xml:space="preserve">           DEBIDO PROCESO /</w:t>
      </w:r>
      <w:r w:rsidRPr="001F7D4F">
        <w:rPr>
          <w:rFonts w:ascii="Arial" w:hAnsi="Arial" w:cs="Arial"/>
          <w:b/>
          <w:bCs/>
          <w:iCs/>
          <w:color w:val="222222"/>
          <w:lang w:eastAsia="fr-FR"/>
        </w:rPr>
        <w:t xml:space="preserve"> TUTELA CONTRA PROVIDENCIA JUDICIAL </w:t>
      </w:r>
      <w:r w:rsidR="00CA7C0B" w:rsidRPr="001F7D4F">
        <w:rPr>
          <w:rFonts w:ascii="Arial" w:hAnsi="Arial" w:cs="Arial"/>
          <w:b/>
          <w:bCs/>
          <w:iCs/>
          <w:color w:val="222222"/>
          <w:lang w:eastAsia="fr-FR"/>
        </w:rPr>
        <w:t xml:space="preserve">/ </w:t>
      </w:r>
      <w:r w:rsidR="00CA7C0B" w:rsidRPr="001F7D4F">
        <w:rPr>
          <w:rFonts w:ascii="Arial" w:hAnsi="Arial" w:cs="Arial"/>
          <w:b/>
        </w:rPr>
        <w:t xml:space="preserve">DEFECTO SUSTANTIVO O MATERIAL </w:t>
      </w:r>
      <w:r w:rsidR="006A2AF7" w:rsidRPr="001F7D4F">
        <w:rPr>
          <w:rFonts w:ascii="Arial" w:hAnsi="Arial" w:cs="Arial"/>
          <w:b/>
        </w:rPr>
        <w:t>- No se probó-</w:t>
      </w:r>
      <w:r w:rsidRPr="001F7D4F">
        <w:rPr>
          <w:rFonts w:ascii="Arial" w:hAnsi="Arial" w:cs="Arial"/>
          <w:b/>
        </w:rPr>
        <w:t xml:space="preserve">/ </w:t>
      </w:r>
      <w:r w:rsidR="00CA7C0B" w:rsidRPr="001F7D4F">
        <w:rPr>
          <w:rFonts w:ascii="Arial" w:hAnsi="Arial" w:cs="Arial"/>
          <w:b/>
        </w:rPr>
        <w:t>PRINCIPIOS DE AUTONOMÍA E INDEPENDENCIA JUDICIAL/ DESCONOCIMIENTO DEL PRECEDENTE JUDICIAL</w:t>
      </w:r>
      <w:r w:rsidR="00712F75" w:rsidRPr="00712F75">
        <w:rPr>
          <w:rFonts w:ascii="Arial" w:hAnsi="Arial" w:cs="Arial"/>
          <w:b/>
        </w:rPr>
        <w:t>/ LAS DECISIONES PROFERIDAS POR LA SALA JURISDICCIONAL DISCIPLINARIA DEL CSJ NO SON VINCULANTES</w:t>
      </w:r>
      <w:r w:rsidR="00712F75">
        <w:rPr>
          <w:rFonts w:ascii="Arial" w:hAnsi="Arial" w:cs="Arial"/>
          <w:b/>
        </w:rPr>
        <w:t xml:space="preserve"> Y</w:t>
      </w:r>
      <w:bookmarkStart w:id="0" w:name="_GoBack"/>
      <w:bookmarkEnd w:id="0"/>
      <w:r w:rsidR="00712F75" w:rsidRPr="00712F75">
        <w:rPr>
          <w:rFonts w:ascii="Arial" w:hAnsi="Arial" w:cs="Arial"/>
          <w:b/>
        </w:rPr>
        <w:t xml:space="preserve"> CARECEN DE OBLIGATORIEDAD/ CONFIRMA</w:t>
      </w:r>
    </w:p>
    <w:p w:rsidR="006A2AF7" w:rsidRPr="001F7D4F" w:rsidRDefault="006A2AF7" w:rsidP="001F7D4F">
      <w:pPr>
        <w:widowControl/>
        <w:jc w:val="both"/>
        <w:rPr>
          <w:rFonts w:ascii="Arial" w:hAnsi="Arial" w:cs="Arial"/>
          <w:sz w:val="22"/>
          <w:szCs w:val="22"/>
        </w:rPr>
      </w:pPr>
    </w:p>
    <w:p w:rsidR="00094C04" w:rsidRPr="001F7D4F" w:rsidRDefault="00094C04" w:rsidP="001F7D4F">
      <w:pPr>
        <w:widowControl/>
        <w:jc w:val="both"/>
        <w:rPr>
          <w:rFonts w:ascii="Arial" w:hAnsi="Arial" w:cs="Arial"/>
          <w:sz w:val="22"/>
          <w:szCs w:val="22"/>
        </w:rPr>
      </w:pPr>
      <w:r w:rsidRPr="001F7D4F">
        <w:rPr>
          <w:rFonts w:ascii="Arial" w:hAnsi="Arial" w:cs="Arial"/>
          <w:sz w:val="22"/>
          <w:szCs w:val="22"/>
        </w:rPr>
        <w:t xml:space="preserve">De acuerdo con lo reseñado, para esta Magistratura es inexistente la vulneración o amenaza de los derechos fundamentales invocados, toda vez que no luce irrazonable la interpretación dada a las normas aplicables al caso concreto, menos que deliberadamente se haya desatendido el artículo 47, CGP, citado por el actor. Los argumentos jurídicos expuestos, tuvieron como sostén que (i) La designación del abogado de oficio solo implica establecer que se trate de un profesional que “ejerza habitualmente la profesión” (Artículo 48-7º, CGP), sin especificación en cuanto a la materia en que se desempeñe; (ii) La experiencia en el ejército profesional; y, (iii) La aplicación de la codificación adjetiva general en materia laboral. </w:t>
      </w:r>
    </w:p>
    <w:p w:rsidR="00094C04" w:rsidRPr="001F7D4F" w:rsidRDefault="00094C04" w:rsidP="001F7D4F">
      <w:pPr>
        <w:widowControl/>
        <w:jc w:val="both"/>
        <w:rPr>
          <w:rFonts w:ascii="Arial" w:hAnsi="Arial" w:cs="Arial"/>
          <w:sz w:val="22"/>
          <w:szCs w:val="22"/>
        </w:rPr>
      </w:pPr>
      <w:r w:rsidRPr="001F7D4F">
        <w:rPr>
          <w:rFonts w:ascii="Arial" w:hAnsi="Arial" w:cs="Arial"/>
          <w:sz w:val="22"/>
          <w:szCs w:val="22"/>
        </w:rPr>
        <w:t>(…)</w:t>
      </w:r>
    </w:p>
    <w:p w:rsidR="00094C04" w:rsidRPr="001F7D4F" w:rsidRDefault="00094C04" w:rsidP="001F7D4F">
      <w:pPr>
        <w:widowControl/>
        <w:jc w:val="both"/>
        <w:rPr>
          <w:rFonts w:ascii="Arial" w:hAnsi="Arial" w:cs="Arial"/>
          <w:sz w:val="22"/>
          <w:szCs w:val="22"/>
        </w:rPr>
      </w:pPr>
      <w:r w:rsidRPr="001F7D4F">
        <w:rPr>
          <w:rFonts w:ascii="Arial" w:hAnsi="Arial" w:cs="Arial"/>
          <w:sz w:val="22"/>
          <w:szCs w:val="22"/>
        </w:rPr>
        <w:t xml:space="preserve">La conclusión a la que arribó la </w:t>
      </w:r>
      <w:r w:rsidRPr="001F7D4F">
        <w:rPr>
          <w:rFonts w:ascii="Arial" w:hAnsi="Arial" w:cs="Arial"/>
          <w:i/>
          <w:sz w:val="22"/>
          <w:szCs w:val="22"/>
        </w:rPr>
        <w:t>a quo</w:t>
      </w:r>
      <w:r w:rsidRPr="001F7D4F">
        <w:rPr>
          <w:rFonts w:ascii="Arial" w:hAnsi="Arial" w:cs="Arial"/>
          <w:sz w:val="22"/>
          <w:szCs w:val="22"/>
        </w:rPr>
        <w:t xml:space="preserve"> está debidamente sustentada. Aquí no se comprobó que se hayan pasado inadvertidas las normas aplicables ni que su interpretación haya sido contraevidente</w:t>
      </w:r>
      <w:r w:rsidRPr="001F7D4F">
        <w:rPr>
          <w:rFonts w:ascii="Arial" w:hAnsi="Arial" w:cs="Arial"/>
          <w:sz w:val="22"/>
          <w:szCs w:val="22"/>
          <w:vertAlign w:val="superscript"/>
        </w:rPr>
        <w:footnoteReference w:id="1"/>
      </w:r>
      <w:r w:rsidRPr="001F7D4F">
        <w:rPr>
          <w:rFonts w:ascii="Arial" w:hAnsi="Arial" w:cs="Arial"/>
          <w:sz w:val="22"/>
          <w:szCs w:val="22"/>
        </w:rPr>
        <w:t>, como se afirma en el petitorio de amparo. Itérese que el juicio de validez impide que la tutela sea empleada como una instancia adicional para ventilar controversias desatadas por las autoridades competentes.</w:t>
      </w:r>
    </w:p>
    <w:p w:rsidR="006A2AF7" w:rsidRPr="001F7D4F" w:rsidRDefault="006A2AF7" w:rsidP="001F7D4F">
      <w:pPr>
        <w:widowControl/>
        <w:jc w:val="both"/>
        <w:rPr>
          <w:rFonts w:ascii="Arial" w:hAnsi="Arial" w:cs="Arial"/>
          <w:smallCaps/>
          <w:sz w:val="22"/>
          <w:szCs w:val="22"/>
        </w:rPr>
      </w:pPr>
      <w:r w:rsidRPr="001F7D4F">
        <w:rPr>
          <w:rFonts w:ascii="Arial" w:hAnsi="Arial" w:cs="Arial"/>
          <w:sz w:val="22"/>
          <w:szCs w:val="22"/>
        </w:rPr>
        <w:t>(…)</w:t>
      </w:r>
    </w:p>
    <w:p w:rsidR="00094C04" w:rsidRPr="001F7D4F" w:rsidRDefault="00094C04" w:rsidP="001F7D4F">
      <w:pPr>
        <w:widowControl/>
        <w:jc w:val="both"/>
        <w:rPr>
          <w:rFonts w:ascii="Arial" w:hAnsi="Arial" w:cs="Arial"/>
          <w:sz w:val="22"/>
          <w:szCs w:val="22"/>
        </w:rPr>
      </w:pPr>
      <w:r w:rsidRPr="001F7D4F">
        <w:rPr>
          <w:rFonts w:ascii="Arial" w:hAnsi="Arial" w:cs="Arial"/>
          <w:sz w:val="22"/>
          <w:szCs w:val="22"/>
        </w:rPr>
        <w:t>De otro lado, tampoco se considera que en este asunto en particular se configure el defecto por el desconocimiento del precedente, en tanto que la decisión judicial invocada fue dictada por un órgano que no es el de cierre en la especialidad ordinaria</w:t>
      </w:r>
      <w:r w:rsidRPr="001F7D4F">
        <w:rPr>
          <w:rStyle w:val="Refdenotaalpie"/>
          <w:rFonts w:ascii="Arial" w:hAnsi="Arial" w:cs="Arial"/>
          <w:sz w:val="22"/>
          <w:szCs w:val="22"/>
        </w:rPr>
        <w:footnoteReference w:id="2"/>
      </w:r>
      <w:r w:rsidRPr="001F7D4F">
        <w:rPr>
          <w:rFonts w:ascii="Arial" w:hAnsi="Arial" w:cs="Arial"/>
          <w:sz w:val="22"/>
          <w:szCs w:val="22"/>
        </w:rPr>
        <w:t>.</w:t>
      </w:r>
    </w:p>
    <w:p w:rsidR="00094C04" w:rsidRPr="001F7D4F" w:rsidRDefault="00CA7C0B" w:rsidP="001F7D4F">
      <w:pPr>
        <w:widowControl/>
        <w:jc w:val="both"/>
        <w:rPr>
          <w:rFonts w:ascii="Arial" w:hAnsi="Arial" w:cs="Arial"/>
          <w:sz w:val="22"/>
          <w:szCs w:val="22"/>
        </w:rPr>
      </w:pPr>
      <w:r w:rsidRPr="001F7D4F">
        <w:rPr>
          <w:rFonts w:ascii="Arial" w:hAnsi="Arial" w:cs="Arial"/>
          <w:sz w:val="22"/>
          <w:szCs w:val="22"/>
        </w:rPr>
        <w:t>(..)</w:t>
      </w:r>
    </w:p>
    <w:p w:rsidR="00094C04" w:rsidRPr="001F7D4F" w:rsidRDefault="00094C04" w:rsidP="001F7D4F">
      <w:pPr>
        <w:ind w:right="51"/>
        <w:jc w:val="both"/>
        <w:rPr>
          <w:rFonts w:ascii="Arial" w:hAnsi="Arial" w:cs="Arial"/>
          <w:sz w:val="22"/>
          <w:szCs w:val="22"/>
        </w:rPr>
      </w:pPr>
      <w:r w:rsidRPr="001F7D4F">
        <w:rPr>
          <w:rFonts w:ascii="Arial" w:hAnsi="Arial" w:cs="Arial"/>
          <w:sz w:val="22"/>
          <w:szCs w:val="22"/>
        </w:rPr>
        <w:t>En ese asunto el precedente de la Sala Jurisdiccional Disciplinaria del CSJ no era vinculante, solo podía emplearse como criterio auxiliar de interpretación</w:t>
      </w:r>
      <w:r w:rsidRPr="001F7D4F">
        <w:rPr>
          <w:rStyle w:val="Refdenotaalpie"/>
          <w:rFonts w:ascii="Arial" w:hAnsi="Arial" w:cs="Arial"/>
          <w:sz w:val="22"/>
          <w:szCs w:val="22"/>
        </w:rPr>
        <w:footnoteReference w:id="3"/>
      </w:r>
      <w:r w:rsidRPr="001F7D4F">
        <w:rPr>
          <w:rFonts w:ascii="Arial" w:hAnsi="Arial" w:cs="Arial"/>
          <w:sz w:val="22"/>
          <w:szCs w:val="22"/>
        </w:rPr>
        <w:t>, y por ello carente de obligatoriedad; de tal suerte que era susceptible de que no se valorara, sin necesidad de argumento alguno para separarse del criterio allí plasmado, tal como lo hizo la encausada.</w:t>
      </w:r>
    </w:p>
    <w:p w:rsidR="00094C04" w:rsidRPr="001F7D4F" w:rsidRDefault="00094C04" w:rsidP="001F7D4F">
      <w:pPr>
        <w:pStyle w:val="Sinespaciado"/>
        <w:rPr>
          <w:rFonts w:ascii="Arial" w:hAnsi="Arial" w:cs="Arial"/>
          <w:lang w:eastAsia="en-US"/>
        </w:rPr>
      </w:pPr>
    </w:p>
    <w:p w:rsidR="00094C04" w:rsidRPr="001F7D4F" w:rsidRDefault="00094C04" w:rsidP="001F7D4F">
      <w:pPr>
        <w:pStyle w:val="Sinespaciado"/>
        <w:rPr>
          <w:rFonts w:ascii="Arial" w:hAnsi="Arial" w:cs="Arial"/>
          <w:lang w:eastAsia="en-US"/>
        </w:rPr>
      </w:pPr>
    </w:p>
    <w:p w:rsidR="00094C04" w:rsidRDefault="00094C04" w:rsidP="00094C04">
      <w:pPr>
        <w:pStyle w:val="Sinespaciado"/>
        <w:spacing w:line="360" w:lineRule="auto"/>
        <w:rPr>
          <w:rFonts w:ascii="Arial" w:hAnsi="Arial" w:cs="Arial"/>
          <w:lang w:eastAsia="en-US"/>
        </w:rPr>
      </w:pPr>
    </w:p>
    <w:p w:rsidR="00094C04" w:rsidRDefault="00094C04" w:rsidP="00094C04">
      <w:pPr>
        <w:pStyle w:val="Sinespaciado"/>
        <w:spacing w:line="360" w:lineRule="auto"/>
        <w:rPr>
          <w:rFonts w:ascii="Arial" w:hAnsi="Arial" w:cs="Arial"/>
          <w:lang w:eastAsia="en-US"/>
        </w:rPr>
      </w:pPr>
    </w:p>
    <w:p w:rsidR="003913E3" w:rsidRPr="00A94B67" w:rsidRDefault="00165382" w:rsidP="00094C04">
      <w:pPr>
        <w:pStyle w:val="Sinespaciado"/>
        <w:spacing w:line="360" w:lineRule="auto"/>
        <w:rPr>
          <w:rFonts w:ascii="Georgia" w:hAnsi="Georgia" w:cs="Arial"/>
          <w:color w:val="FF0000"/>
          <w:w w:val="140"/>
        </w:rPr>
      </w:pPr>
      <w:r w:rsidRPr="00A94B67">
        <w:rPr>
          <w:rFonts w:ascii="Georgia" w:hAnsi="Georgia"/>
          <w:noProof/>
          <w:color w:val="FF0000"/>
        </w:rPr>
        <w:drawing>
          <wp:anchor distT="0" distB="0" distL="114300" distR="114300" simplePos="0" relativeHeight="251658240" behindDoc="0" locked="0" layoutInCell="1" allowOverlap="1" wp14:anchorId="6D28D004" wp14:editId="51C12875">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Pr="0079608D" w:rsidRDefault="003913E3" w:rsidP="00F839CE">
      <w:pPr>
        <w:pStyle w:val="Sinespaciado"/>
        <w:spacing w:line="360" w:lineRule="auto"/>
        <w:rPr>
          <w:rFonts w:ascii="Georgia" w:hAnsi="Georgia" w:cs="Arial"/>
          <w:w w:val="140"/>
          <w:sz w:val="14"/>
        </w:rPr>
      </w:pPr>
    </w:p>
    <w:p w:rsidR="003913E3" w:rsidRPr="0079608D" w:rsidRDefault="003913E3" w:rsidP="00417661">
      <w:pPr>
        <w:pStyle w:val="Sinespaciado"/>
        <w:spacing w:line="360" w:lineRule="auto"/>
        <w:ind w:left="708" w:firstLine="708"/>
        <w:jc w:val="center"/>
        <w:rPr>
          <w:rFonts w:ascii="Georgia" w:hAnsi="Georgia" w:cs="Arial"/>
          <w:w w:val="140"/>
          <w:sz w:val="14"/>
        </w:rPr>
      </w:pPr>
    </w:p>
    <w:p w:rsidR="00E23846" w:rsidRPr="0079608D" w:rsidRDefault="00E23846" w:rsidP="00E23846">
      <w:pPr>
        <w:pStyle w:val="Sinespaciado"/>
        <w:spacing w:line="360" w:lineRule="auto"/>
        <w:jc w:val="center"/>
        <w:rPr>
          <w:rFonts w:ascii="Georgia" w:hAnsi="Georgia" w:cs="Arial"/>
          <w:w w:val="140"/>
          <w:sz w:val="14"/>
        </w:rPr>
      </w:pPr>
      <w:r w:rsidRPr="0079608D">
        <w:rPr>
          <w:rFonts w:ascii="Georgia" w:hAnsi="Georgia" w:cs="Arial"/>
          <w:w w:val="140"/>
          <w:sz w:val="14"/>
        </w:rPr>
        <w:t>REPUBLICA DE COLOMBIA</w:t>
      </w:r>
    </w:p>
    <w:p w:rsidR="00E23846" w:rsidRPr="0079608D" w:rsidRDefault="00E23846" w:rsidP="00E23846">
      <w:pPr>
        <w:pStyle w:val="Sinespaciado"/>
        <w:tabs>
          <w:tab w:val="center" w:pos="4987"/>
          <w:tab w:val="left" w:pos="8449"/>
        </w:tabs>
        <w:spacing w:line="360" w:lineRule="auto"/>
        <w:jc w:val="center"/>
        <w:rPr>
          <w:rFonts w:ascii="Georgia" w:hAnsi="Georgia" w:cs="Arial"/>
          <w:w w:val="140"/>
        </w:rPr>
      </w:pPr>
      <w:r w:rsidRPr="0079608D">
        <w:rPr>
          <w:rFonts w:ascii="Georgia" w:hAnsi="Georgia" w:cs="Arial"/>
          <w:w w:val="140"/>
          <w:sz w:val="14"/>
        </w:rPr>
        <w:t>RAMA JUDICIAL DEL PODER PÚBLICO</w:t>
      </w:r>
    </w:p>
    <w:p w:rsidR="00E23846" w:rsidRPr="0079608D" w:rsidRDefault="00E23846" w:rsidP="00E23846">
      <w:pPr>
        <w:pStyle w:val="Sinespaciado"/>
        <w:spacing w:line="360" w:lineRule="auto"/>
        <w:jc w:val="center"/>
        <w:rPr>
          <w:rFonts w:ascii="Georgia" w:hAnsi="Georgia" w:cs="Arial"/>
          <w:w w:val="140"/>
          <w:sz w:val="16"/>
        </w:rPr>
      </w:pPr>
      <w:r w:rsidRPr="0079608D">
        <w:rPr>
          <w:rFonts w:ascii="Georgia" w:hAnsi="Georgia" w:cs="Arial"/>
          <w:w w:val="140"/>
          <w:sz w:val="18"/>
        </w:rPr>
        <w:t>T</w:t>
      </w:r>
      <w:r w:rsidRPr="0079608D">
        <w:rPr>
          <w:rFonts w:ascii="Georgia" w:hAnsi="Georgia" w:cs="Arial"/>
          <w:w w:val="140"/>
          <w:sz w:val="16"/>
        </w:rPr>
        <w:t>RIBUNAL</w:t>
      </w:r>
      <w:r w:rsidRPr="0079608D">
        <w:rPr>
          <w:rFonts w:ascii="Georgia" w:hAnsi="Georgia" w:cs="Arial"/>
          <w:w w:val="140"/>
          <w:sz w:val="18"/>
        </w:rPr>
        <w:t xml:space="preserve"> S</w:t>
      </w:r>
      <w:r w:rsidRPr="0079608D">
        <w:rPr>
          <w:rFonts w:ascii="Georgia" w:hAnsi="Georgia" w:cs="Arial"/>
          <w:w w:val="140"/>
          <w:sz w:val="16"/>
        </w:rPr>
        <w:t xml:space="preserve">UPERIOR DEL </w:t>
      </w:r>
      <w:r w:rsidRPr="0079608D">
        <w:rPr>
          <w:rFonts w:ascii="Georgia" w:hAnsi="Georgia" w:cs="Arial"/>
          <w:w w:val="140"/>
          <w:sz w:val="18"/>
        </w:rPr>
        <w:t>D</w:t>
      </w:r>
      <w:r w:rsidRPr="0079608D">
        <w:rPr>
          <w:rFonts w:ascii="Georgia" w:hAnsi="Georgia" w:cs="Arial"/>
          <w:w w:val="140"/>
          <w:sz w:val="16"/>
        </w:rPr>
        <w:t>ISTRITO</w:t>
      </w:r>
      <w:r w:rsidRPr="0079608D">
        <w:rPr>
          <w:rFonts w:ascii="Georgia" w:hAnsi="Georgia" w:cs="Arial"/>
          <w:w w:val="140"/>
          <w:sz w:val="18"/>
        </w:rPr>
        <w:t xml:space="preserve"> J</w:t>
      </w:r>
      <w:r w:rsidRPr="0079608D">
        <w:rPr>
          <w:rFonts w:ascii="Georgia" w:hAnsi="Georgia" w:cs="Arial"/>
          <w:w w:val="140"/>
          <w:sz w:val="16"/>
        </w:rPr>
        <w:t>UDICIAL</w:t>
      </w:r>
    </w:p>
    <w:p w:rsidR="00E23846" w:rsidRPr="0079608D" w:rsidRDefault="00E23846" w:rsidP="00E23846">
      <w:pPr>
        <w:pStyle w:val="Sinespaciado"/>
        <w:spacing w:line="360" w:lineRule="auto"/>
        <w:jc w:val="center"/>
        <w:rPr>
          <w:rFonts w:ascii="Georgia" w:hAnsi="Georgia" w:cs="Arial"/>
          <w:w w:val="140"/>
          <w:sz w:val="16"/>
          <w:szCs w:val="18"/>
          <w:lang w:val="es-CO"/>
        </w:rPr>
      </w:pPr>
      <w:r w:rsidRPr="0079608D">
        <w:rPr>
          <w:rFonts w:ascii="Georgia" w:hAnsi="Georgia" w:cs="Arial"/>
          <w:w w:val="140"/>
          <w:sz w:val="18"/>
          <w:szCs w:val="18"/>
          <w:lang w:val="es-CO"/>
        </w:rPr>
        <w:t>S</w:t>
      </w:r>
      <w:r w:rsidRPr="0079608D">
        <w:rPr>
          <w:rFonts w:ascii="Georgia" w:hAnsi="Georgia" w:cs="Arial"/>
          <w:w w:val="140"/>
          <w:sz w:val="16"/>
          <w:szCs w:val="18"/>
          <w:lang w:val="es-CO"/>
        </w:rPr>
        <w:t xml:space="preserve">ALA DE </w:t>
      </w:r>
      <w:r w:rsidRPr="0079608D">
        <w:rPr>
          <w:rFonts w:ascii="Georgia" w:hAnsi="Georgia" w:cs="Arial"/>
          <w:w w:val="140"/>
          <w:sz w:val="18"/>
          <w:szCs w:val="18"/>
          <w:lang w:val="es-CO"/>
        </w:rPr>
        <w:t>D</w:t>
      </w:r>
      <w:r w:rsidRPr="0079608D">
        <w:rPr>
          <w:rFonts w:ascii="Georgia" w:hAnsi="Georgia" w:cs="Arial"/>
          <w:w w:val="140"/>
          <w:sz w:val="16"/>
          <w:szCs w:val="18"/>
          <w:lang w:val="es-CO"/>
        </w:rPr>
        <w:t xml:space="preserve">ECISIÓN </w:t>
      </w:r>
      <w:r w:rsidRPr="0079608D">
        <w:rPr>
          <w:rFonts w:ascii="Georgia" w:hAnsi="Georgia" w:cs="Arial"/>
          <w:w w:val="140"/>
          <w:sz w:val="18"/>
          <w:szCs w:val="18"/>
          <w:lang w:val="es-CO"/>
        </w:rPr>
        <w:t>C</w:t>
      </w:r>
      <w:r w:rsidRPr="0079608D">
        <w:rPr>
          <w:rFonts w:ascii="Georgia" w:hAnsi="Georgia" w:cs="Arial"/>
          <w:w w:val="140"/>
          <w:sz w:val="16"/>
          <w:szCs w:val="18"/>
          <w:lang w:val="es-CO"/>
        </w:rPr>
        <w:t xml:space="preserve">IVIL – </w:t>
      </w:r>
      <w:r w:rsidRPr="0079608D">
        <w:rPr>
          <w:rFonts w:ascii="Georgia" w:hAnsi="Georgia" w:cs="Arial"/>
          <w:w w:val="140"/>
          <w:sz w:val="18"/>
          <w:szCs w:val="18"/>
          <w:lang w:val="es-CO"/>
        </w:rPr>
        <w:t>F</w:t>
      </w:r>
      <w:r w:rsidRPr="0079608D">
        <w:rPr>
          <w:rFonts w:ascii="Georgia" w:hAnsi="Georgia" w:cs="Arial"/>
          <w:w w:val="140"/>
          <w:sz w:val="16"/>
          <w:szCs w:val="18"/>
          <w:lang w:val="es-CO"/>
        </w:rPr>
        <w:t xml:space="preserve">AMILIA – </w:t>
      </w:r>
      <w:r w:rsidRPr="0079608D">
        <w:rPr>
          <w:rFonts w:ascii="Georgia" w:hAnsi="Georgia" w:cs="Arial"/>
          <w:w w:val="140"/>
          <w:sz w:val="18"/>
          <w:szCs w:val="18"/>
          <w:lang w:val="es-CO"/>
        </w:rPr>
        <w:t>D</w:t>
      </w:r>
      <w:r w:rsidRPr="0079608D">
        <w:rPr>
          <w:rFonts w:ascii="Georgia" w:hAnsi="Georgia" w:cs="Arial"/>
          <w:w w:val="140"/>
          <w:sz w:val="16"/>
          <w:szCs w:val="18"/>
          <w:lang w:val="es-CO"/>
        </w:rPr>
        <w:t xml:space="preserve">ISTRITO DE </w:t>
      </w:r>
      <w:r w:rsidRPr="0079608D">
        <w:rPr>
          <w:rFonts w:ascii="Georgia" w:hAnsi="Georgia" w:cs="Arial"/>
          <w:w w:val="140"/>
          <w:sz w:val="18"/>
          <w:szCs w:val="18"/>
          <w:lang w:val="es-CO"/>
        </w:rPr>
        <w:t>P</w:t>
      </w:r>
      <w:r w:rsidRPr="0079608D">
        <w:rPr>
          <w:rFonts w:ascii="Georgia" w:hAnsi="Georgia" w:cs="Arial"/>
          <w:w w:val="140"/>
          <w:sz w:val="16"/>
          <w:szCs w:val="18"/>
          <w:lang w:val="es-CO"/>
        </w:rPr>
        <w:t>EREIRA</w:t>
      </w:r>
    </w:p>
    <w:p w:rsidR="00E23846" w:rsidRDefault="00E23846" w:rsidP="00E23846">
      <w:pPr>
        <w:pStyle w:val="Sinespaciado"/>
        <w:spacing w:line="360" w:lineRule="auto"/>
        <w:jc w:val="center"/>
        <w:rPr>
          <w:rFonts w:ascii="Georgia" w:hAnsi="Georgia" w:cs="Arial"/>
          <w:w w:val="140"/>
          <w:sz w:val="16"/>
          <w:szCs w:val="18"/>
        </w:rPr>
      </w:pPr>
      <w:r w:rsidRPr="0079608D">
        <w:rPr>
          <w:rFonts w:ascii="Georgia" w:hAnsi="Georgia" w:cs="Arial"/>
          <w:w w:val="140"/>
          <w:sz w:val="18"/>
          <w:szCs w:val="18"/>
        </w:rPr>
        <w:t>D</w:t>
      </w:r>
      <w:r w:rsidRPr="0079608D">
        <w:rPr>
          <w:rFonts w:ascii="Georgia" w:hAnsi="Georgia" w:cs="Arial"/>
          <w:w w:val="140"/>
          <w:sz w:val="16"/>
          <w:szCs w:val="18"/>
        </w:rPr>
        <w:t xml:space="preserve">EPARTAMENTO DEL </w:t>
      </w:r>
      <w:r w:rsidRPr="0079608D">
        <w:rPr>
          <w:rFonts w:ascii="Georgia" w:hAnsi="Georgia" w:cs="Arial"/>
          <w:w w:val="140"/>
          <w:sz w:val="18"/>
          <w:szCs w:val="18"/>
        </w:rPr>
        <w:t>R</w:t>
      </w:r>
      <w:r w:rsidRPr="0079608D">
        <w:rPr>
          <w:rFonts w:ascii="Georgia" w:hAnsi="Georgia" w:cs="Arial"/>
          <w:w w:val="140"/>
          <w:sz w:val="16"/>
          <w:szCs w:val="18"/>
        </w:rPr>
        <w:t>ISARALDA</w:t>
      </w:r>
    </w:p>
    <w:p w:rsidR="00175F65" w:rsidRPr="0079608D" w:rsidRDefault="00175F65" w:rsidP="00E23846">
      <w:pPr>
        <w:pStyle w:val="Sinespaciado"/>
        <w:spacing w:line="360" w:lineRule="auto"/>
        <w:jc w:val="center"/>
        <w:rPr>
          <w:rFonts w:ascii="Georgia" w:hAnsi="Georgia" w:cs="Arial"/>
          <w:w w:val="140"/>
          <w:sz w:val="16"/>
          <w:szCs w:val="18"/>
        </w:rPr>
      </w:pPr>
    </w:p>
    <w:p w:rsidR="003913E3" w:rsidRPr="00741970" w:rsidRDefault="003913E3" w:rsidP="003F0102">
      <w:pPr>
        <w:pStyle w:val="Textoindependiente"/>
        <w:tabs>
          <w:tab w:val="clear" w:pos="1416"/>
        </w:tabs>
        <w:spacing w:line="360" w:lineRule="auto"/>
        <w:ind w:left="709"/>
        <w:rPr>
          <w:rFonts w:ascii="Georgia" w:hAnsi="Georgia"/>
          <w:sz w:val="24"/>
          <w:szCs w:val="22"/>
        </w:rPr>
      </w:pPr>
      <w:r w:rsidRPr="00741970">
        <w:rPr>
          <w:rFonts w:ascii="Georgia" w:hAnsi="Georgia"/>
          <w:sz w:val="24"/>
          <w:szCs w:val="22"/>
        </w:rPr>
        <w:lastRenderedPageBreak/>
        <w:t>Asunto</w:t>
      </w:r>
      <w:r w:rsidRPr="00741970">
        <w:rPr>
          <w:rFonts w:ascii="Georgia" w:hAnsi="Georgia"/>
          <w:sz w:val="24"/>
          <w:szCs w:val="22"/>
        </w:rPr>
        <w:tab/>
      </w:r>
      <w:r w:rsidRPr="00741970">
        <w:rPr>
          <w:rFonts w:ascii="Georgia" w:hAnsi="Georgia"/>
          <w:sz w:val="24"/>
          <w:szCs w:val="22"/>
        </w:rPr>
        <w:tab/>
      </w:r>
      <w:r w:rsidR="00741970" w:rsidRPr="00741970">
        <w:rPr>
          <w:rFonts w:ascii="Georgia" w:hAnsi="Georgia"/>
          <w:sz w:val="24"/>
          <w:szCs w:val="22"/>
        </w:rPr>
        <w:tab/>
      </w:r>
      <w:r w:rsidRPr="00741970">
        <w:rPr>
          <w:rFonts w:ascii="Georgia" w:hAnsi="Georgia"/>
          <w:sz w:val="24"/>
          <w:szCs w:val="22"/>
        </w:rPr>
        <w:t>: Sentencia de tutela en segunda instancia</w:t>
      </w:r>
    </w:p>
    <w:p w:rsidR="0079608D" w:rsidRPr="00741970" w:rsidRDefault="00586A21" w:rsidP="003F0102">
      <w:pPr>
        <w:pStyle w:val="Textoindependiente"/>
        <w:tabs>
          <w:tab w:val="clear" w:pos="1416"/>
        </w:tabs>
        <w:spacing w:line="360" w:lineRule="auto"/>
        <w:ind w:left="709"/>
        <w:rPr>
          <w:rFonts w:ascii="Georgia" w:hAnsi="Georgia" w:cs="Arial"/>
          <w:sz w:val="24"/>
          <w:szCs w:val="22"/>
        </w:rPr>
      </w:pPr>
      <w:r w:rsidRPr="00741970">
        <w:rPr>
          <w:rFonts w:ascii="Georgia" w:hAnsi="Georgia" w:cs="Arial"/>
          <w:sz w:val="24"/>
          <w:szCs w:val="22"/>
        </w:rPr>
        <w:t>Accionante</w:t>
      </w:r>
      <w:r w:rsidR="009F023C" w:rsidRPr="00741970">
        <w:rPr>
          <w:rFonts w:ascii="Georgia" w:hAnsi="Georgia" w:cs="Arial"/>
          <w:sz w:val="24"/>
          <w:szCs w:val="22"/>
        </w:rPr>
        <w:t xml:space="preserve"> (s)</w:t>
      </w:r>
      <w:r w:rsidRPr="00741970">
        <w:rPr>
          <w:rFonts w:ascii="Georgia" w:hAnsi="Georgia" w:cs="Arial"/>
          <w:sz w:val="24"/>
          <w:szCs w:val="22"/>
        </w:rPr>
        <w:tab/>
      </w:r>
      <w:r w:rsidRPr="00741970">
        <w:rPr>
          <w:rFonts w:ascii="Georgia" w:hAnsi="Georgia" w:cs="Arial"/>
          <w:sz w:val="24"/>
          <w:szCs w:val="22"/>
        </w:rPr>
        <w:tab/>
        <w:t xml:space="preserve">: </w:t>
      </w:r>
      <w:r w:rsidR="0079608D" w:rsidRPr="00741970">
        <w:rPr>
          <w:rFonts w:ascii="Georgia" w:hAnsi="Georgia" w:cs="Arial"/>
          <w:sz w:val="24"/>
          <w:szCs w:val="22"/>
        </w:rPr>
        <w:t>Nicolás Alberto Mejía Gómez</w:t>
      </w:r>
    </w:p>
    <w:p w:rsidR="008915EA" w:rsidRPr="00741970" w:rsidRDefault="00586A21" w:rsidP="003F0102">
      <w:pPr>
        <w:pStyle w:val="Textoindependiente"/>
        <w:tabs>
          <w:tab w:val="clear" w:pos="1416"/>
        </w:tabs>
        <w:spacing w:line="360" w:lineRule="auto"/>
        <w:ind w:left="709"/>
        <w:rPr>
          <w:rFonts w:ascii="Georgia" w:hAnsi="Georgia" w:cs="Arial"/>
          <w:sz w:val="24"/>
          <w:szCs w:val="22"/>
        </w:rPr>
      </w:pPr>
      <w:r w:rsidRPr="00741970">
        <w:rPr>
          <w:rFonts w:ascii="Georgia" w:hAnsi="Georgia" w:cs="Arial"/>
          <w:sz w:val="24"/>
          <w:szCs w:val="22"/>
        </w:rPr>
        <w:t>Accionado</w:t>
      </w:r>
      <w:r w:rsidR="009F023C" w:rsidRPr="00741970">
        <w:rPr>
          <w:rFonts w:ascii="Georgia" w:hAnsi="Georgia" w:cs="Arial"/>
          <w:sz w:val="24"/>
          <w:szCs w:val="22"/>
        </w:rPr>
        <w:t xml:space="preserve"> (s)</w:t>
      </w:r>
      <w:r w:rsidRPr="00741970">
        <w:rPr>
          <w:rFonts w:ascii="Georgia" w:hAnsi="Georgia" w:cs="Arial"/>
          <w:sz w:val="24"/>
          <w:szCs w:val="22"/>
        </w:rPr>
        <w:t xml:space="preserve"> </w:t>
      </w:r>
      <w:r w:rsidRPr="00741970">
        <w:rPr>
          <w:rFonts w:ascii="Georgia" w:hAnsi="Georgia" w:cs="Arial"/>
          <w:sz w:val="24"/>
          <w:szCs w:val="22"/>
        </w:rPr>
        <w:tab/>
      </w:r>
      <w:r w:rsidRPr="00741970">
        <w:rPr>
          <w:rFonts w:ascii="Georgia" w:hAnsi="Georgia" w:cs="Arial"/>
          <w:sz w:val="24"/>
          <w:szCs w:val="22"/>
        </w:rPr>
        <w:tab/>
        <w:t xml:space="preserve">: </w:t>
      </w:r>
      <w:r w:rsidR="004F3CCA" w:rsidRPr="00741970">
        <w:rPr>
          <w:rFonts w:ascii="Georgia" w:hAnsi="Georgia" w:cs="Arial"/>
          <w:sz w:val="24"/>
          <w:szCs w:val="22"/>
        </w:rPr>
        <w:t xml:space="preserve">Juzgado </w:t>
      </w:r>
      <w:r w:rsidR="0079608D" w:rsidRPr="00741970">
        <w:rPr>
          <w:rFonts w:ascii="Georgia" w:hAnsi="Georgia" w:cs="Arial"/>
          <w:sz w:val="24"/>
          <w:szCs w:val="22"/>
        </w:rPr>
        <w:t>Segundo</w:t>
      </w:r>
      <w:r w:rsidR="004F3CCA" w:rsidRPr="00741970">
        <w:rPr>
          <w:rFonts w:ascii="Georgia" w:hAnsi="Georgia" w:cs="Arial"/>
          <w:sz w:val="24"/>
          <w:szCs w:val="22"/>
        </w:rPr>
        <w:t xml:space="preserve"> Civil Municipal de Pereira</w:t>
      </w:r>
    </w:p>
    <w:p w:rsidR="00586A21" w:rsidRPr="00741970" w:rsidRDefault="0079608D" w:rsidP="003F0102">
      <w:pPr>
        <w:pStyle w:val="Textoindependiente"/>
        <w:tabs>
          <w:tab w:val="clear" w:pos="1416"/>
        </w:tabs>
        <w:spacing w:line="360" w:lineRule="auto"/>
        <w:ind w:left="709"/>
        <w:rPr>
          <w:rFonts w:ascii="Georgia" w:hAnsi="Georgia" w:cs="Arial"/>
          <w:sz w:val="24"/>
          <w:szCs w:val="22"/>
        </w:rPr>
      </w:pPr>
      <w:r w:rsidRPr="00741970">
        <w:rPr>
          <w:rFonts w:ascii="Georgia" w:hAnsi="Georgia" w:cs="Arial"/>
          <w:sz w:val="24"/>
          <w:szCs w:val="22"/>
        </w:rPr>
        <w:t>Vinculados</w:t>
      </w:r>
      <w:r w:rsidR="008915EA" w:rsidRPr="00741970">
        <w:rPr>
          <w:rFonts w:ascii="Georgia" w:hAnsi="Georgia" w:cs="Arial"/>
          <w:sz w:val="24"/>
          <w:szCs w:val="22"/>
        </w:rPr>
        <w:t xml:space="preserve"> (s)</w:t>
      </w:r>
      <w:r w:rsidR="008915EA" w:rsidRPr="00741970">
        <w:rPr>
          <w:rFonts w:ascii="Georgia" w:hAnsi="Georgia" w:cs="Arial"/>
          <w:sz w:val="24"/>
          <w:szCs w:val="22"/>
        </w:rPr>
        <w:tab/>
      </w:r>
      <w:r w:rsidRPr="00741970">
        <w:rPr>
          <w:rFonts w:ascii="Georgia" w:hAnsi="Georgia" w:cs="Arial"/>
          <w:sz w:val="24"/>
          <w:szCs w:val="22"/>
        </w:rPr>
        <w:tab/>
      </w:r>
      <w:r w:rsidR="008915EA" w:rsidRPr="00741970">
        <w:rPr>
          <w:rFonts w:ascii="Georgia" w:hAnsi="Georgia" w:cs="Arial"/>
          <w:sz w:val="24"/>
          <w:szCs w:val="22"/>
        </w:rPr>
        <w:t xml:space="preserve">: </w:t>
      </w:r>
      <w:r w:rsidRPr="00741970">
        <w:rPr>
          <w:rFonts w:ascii="Georgia" w:hAnsi="Georgia" w:cs="Arial"/>
          <w:sz w:val="24"/>
          <w:szCs w:val="22"/>
        </w:rPr>
        <w:t>Gustavo de Jesús Orozco Montes y otro</w:t>
      </w:r>
      <w:r w:rsidR="00B9335F" w:rsidRPr="00741970">
        <w:rPr>
          <w:rFonts w:ascii="Georgia" w:hAnsi="Georgia" w:cs="Arial"/>
          <w:sz w:val="24"/>
          <w:szCs w:val="22"/>
        </w:rPr>
        <w:t>s</w:t>
      </w:r>
    </w:p>
    <w:p w:rsidR="00586A21" w:rsidRPr="00741970" w:rsidRDefault="00586A21" w:rsidP="003F0102">
      <w:pPr>
        <w:pStyle w:val="Textoindependiente"/>
        <w:tabs>
          <w:tab w:val="clear" w:pos="1416"/>
        </w:tabs>
        <w:spacing w:line="360" w:lineRule="auto"/>
        <w:ind w:left="709"/>
        <w:rPr>
          <w:rFonts w:ascii="Georgia" w:hAnsi="Georgia" w:cs="Arial"/>
          <w:sz w:val="24"/>
          <w:szCs w:val="22"/>
        </w:rPr>
      </w:pPr>
      <w:r w:rsidRPr="00741970">
        <w:rPr>
          <w:rFonts w:ascii="Georgia" w:hAnsi="Georgia" w:cs="Arial"/>
          <w:sz w:val="24"/>
          <w:szCs w:val="22"/>
        </w:rPr>
        <w:t>Procedencia</w:t>
      </w:r>
      <w:r w:rsidRPr="00741970">
        <w:rPr>
          <w:rFonts w:ascii="Georgia" w:hAnsi="Georgia" w:cs="Arial"/>
          <w:sz w:val="24"/>
          <w:szCs w:val="22"/>
        </w:rPr>
        <w:tab/>
      </w:r>
      <w:r w:rsidRPr="00741970">
        <w:rPr>
          <w:rFonts w:ascii="Georgia" w:hAnsi="Georgia" w:cs="Arial"/>
          <w:sz w:val="24"/>
          <w:szCs w:val="22"/>
        </w:rPr>
        <w:tab/>
      </w:r>
      <w:r w:rsidR="00741970" w:rsidRPr="00741970">
        <w:rPr>
          <w:rFonts w:ascii="Georgia" w:hAnsi="Georgia" w:cs="Arial"/>
          <w:sz w:val="24"/>
          <w:szCs w:val="22"/>
        </w:rPr>
        <w:tab/>
      </w:r>
      <w:r w:rsidRPr="00741970">
        <w:rPr>
          <w:rFonts w:ascii="Georgia" w:hAnsi="Georgia" w:cs="Arial"/>
          <w:sz w:val="24"/>
          <w:szCs w:val="22"/>
        </w:rPr>
        <w:t xml:space="preserve">: Juzgado </w:t>
      </w:r>
      <w:r w:rsidR="0079608D" w:rsidRPr="00741970">
        <w:rPr>
          <w:rFonts w:ascii="Georgia" w:hAnsi="Georgia" w:cs="Arial"/>
          <w:sz w:val="24"/>
          <w:szCs w:val="22"/>
        </w:rPr>
        <w:t xml:space="preserve">Segundo </w:t>
      </w:r>
      <w:r w:rsidR="008915EA" w:rsidRPr="00741970">
        <w:rPr>
          <w:rFonts w:ascii="Georgia" w:hAnsi="Georgia" w:cs="Arial"/>
          <w:sz w:val="24"/>
          <w:szCs w:val="22"/>
        </w:rPr>
        <w:t xml:space="preserve">Civil del Circuito de Pereira </w:t>
      </w:r>
    </w:p>
    <w:p w:rsidR="00586A21" w:rsidRPr="00741970" w:rsidRDefault="00586A21" w:rsidP="003F0102">
      <w:pPr>
        <w:pStyle w:val="Textoindependiente"/>
        <w:tabs>
          <w:tab w:val="clear" w:pos="1416"/>
        </w:tabs>
        <w:spacing w:line="360" w:lineRule="auto"/>
        <w:ind w:left="709"/>
        <w:rPr>
          <w:rFonts w:ascii="Georgia" w:hAnsi="Georgia" w:cs="Arial"/>
          <w:sz w:val="24"/>
          <w:szCs w:val="22"/>
        </w:rPr>
      </w:pPr>
      <w:r w:rsidRPr="00741970">
        <w:rPr>
          <w:rFonts w:ascii="Georgia" w:hAnsi="Georgia" w:cs="Arial"/>
          <w:sz w:val="24"/>
          <w:szCs w:val="22"/>
        </w:rPr>
        <w:t>Radicación</w:t>
      </w:r>
      <w:r w:rsidRPr="00741970">
        <w:rPr>
          <w:rFonts w:ascii="Georgia" w:hAnsi="Georgia" w:cs="Arial"/>
          <w:sz w:val="24"/>
          <w:szCs w:val="22"/>
        </w:rPr>
        <w:tab/>
      </w:r>
      <w:r w:rsidRPr="00741970">
        <w:rPr>
          <w:rFonts w:ascii="Georgia" w:hAnsi="Georgia" w:cs="Arial"/>
          <w:sz w:val="24"/>
          <w:szCs w:val="22"/>
        </w:rPr>
        <w:tab/>
      </w:r>
      <w:r w:rsidR="00741970" w:rsidRPr="00741970">
        <w:rPr>
          <w:rFonts w:ascii="Georgia" w:hAnsi="Georgia" w:cs="Arial"/>
          <w:sz w:val="24"/>
          <w:szCs w:val="22"/>
        </w:rPr>
        <w:tab/>
      </w:r>
      <w:r w:rsidRPr="00741970">
        <w:rPr>
          <w:rFonts w:ascii="Georgia" w:hAnsi="Georgia" w:cs="Arial"/>
          <w:sz w:val="24"/>
          <w:szCs w:val="22"/>
        </w:rPr>
        <w:t xml:space="preserve">: </w:t>
      </w:r>
      <w:r w:rsidR="00DB5D94" w:rsidRPr="00741970">
        <w:rPr>
          <w:rFonts w:ascii="Georgia" w:hAnsi="Georgia" w:cs="Arial"/>
          <w:sz w:val="24"/>
          <w:szCs w:val="22"/>
        </w:rPr>
        <w:t>66001-31-03-002-2018-00564-</w:t>
      </w:r>
      <w:r w:rsidR="004F3CCA" w:rsidRPr="00741970">
        <w:rPr>
          <w:rFonts w:ascii="Georgia" w:hAnsi="Georgia" w:cs="Arial"/>
          <w:sz w:val="24"/>
          <w:szCs w:val="22"/>
        </w:rPr>
        <w:t>01</w:t>
      </w:r>
    </w:p>
    <w:p w:rsidR="004A12F7" w:rsidRPr="00741970" w:rsidRDefault="004A12F7" w:rsidP="003F0102">
      <w:pPr>
        <w:pStyle w:val="Textoindependiente"/>
        <w:tabs>
          <w:tab w:val="clear" w:pos="1416"/>
        </w:tabs>
        <w:spacing w:line="360" w:lineRule="auto"/>
        <w:ind w:left="709"/>
        <w:rPr>
          <w:rFonts w:ascii="Georgia" w:hAnsi="Georgia" w:cs="Arial"/>
          <w:sz w:val="24"/>
          <w:szCs w:val="22"/>
        </w:rPr>
      </w:pPr>
      <w:r w:rsidRPr="00741970">
        <w:rPr>
          <w:rFonts w:ascii="Georgia" w:hAnsi="Georgia"/>
          <w:sz w:val="24"/>
          <w:szCs w:val="22"/>
        </w:rPr>
        <w:t>Temas</w:t>
      </w:r>
      <w:r w:rsidRPr="00741970">
        <w:rPr>
          <w:rFonts w:ascii="Georgia" w:hAnsi="Georgia"/>
          <w:sz w:val="24"/>
          <w:szCs w:val="22"/>
        </w:rPr>
        <w:tab/>
      </w:r>
      <w:r w:rsidRPr="00741970">
        <w:rPr>
          <w:rFonts w:ascii="Georgia" w:hAnsi="Georgia"/>
          <w:sz w:val="24"/>
          <w:szCs w:val="22"/>
        </w:rPr>
        <w:tab/>
      </w:r>
      <w:r w:rsidR="00741970" w:rsidRPr="00741970">
        <w:rPr>
          <w:rFonts w:ascii="Georgia" w:hAnsi="Georgia"/>
          <w:sz w:val="24"/>
          <w:szCs w:val="22"/>
        </w:rPr>
        <w:tab/>
      </w:r>
      <w:r w:rsidRPr="00741970">
        <w:rPr>
          <w:rFonts w:ascii="Georgia" w:hAnsi="Georgia"/>
          <w:sz w:val="24"/>
          <w:szCs w:val="22"/>
        </w:rPr>
        <w:t>:</w:t>
      </w:r>
      <w:r w:rsidR="00907CB8" w:rsidRPr="00741970">
        <w:rPr>
          <w:rFonts w:ascii="Georgia" w:hAnsi="Georgia"/>
          <w:sz w:val="24"/>
          <w:szCs w:val="22"/>
        </w:rPr>
        <w:t xml:space="preserve"> </w:t>
      </w:r>
      <w:r w:rsidR="007367DC">
        <w:rPr>
          <w:rFonts w:ascii="Georgia" w:hAnsi="Georgia"/>
          <w:sz w:val="24"/>
          <w:szCs w:val="22"/>
        </w:rPr>
        <w:t xml:space="preserve">Defectos material y desconocimiento del precedente </w:t>
      </w:r>
    </w:p>
    <w:p w:rsidR="003913E3" w:rsidRPr="00741970" w:rsidRDefault="004A12F7" w:rsidP="003F0102">
      <w:pPr>
        <w:pStyle w:val="Textoindependiente"/>
        <w:tabs>
          <w:tab w:val="clear" w:pos="1416"/>
        </w:tabs>
        <w:spacing w:line="360" w:lineRule="auto"/>
        <w:ind w:left="709" w:hanging="708"/>
        <w:rPr>
          <w:rFonts w:ascii="Georgia" w:hAnsi="Georgia" w:cs="Arial"/>
          <w:smallCaps/>
          <w:sz w:val="24"/>
          <w:szCs w:val="22"/>
          <w:lang w:val="es-CO"/>
        </w:rPr>
      </w:pPr>
      <w:r w:rsidRPr="00741970">
        <w:rPr>
          <w:rFonts w:ascii="Georgia" w:hAnsi="Georgia"/>
          <w:color w:val="FF0000"/>
          <w:sz w:val="24"/>
          <w:szCs w:val="22"/>
        </w:rPr>
        <w:tab/>
      </w:r>
      <w:r w:rsidRPr="00741970">
        <w:rPr>
          <w:rFonts w:ascii="Georgia" w:hAnsi="Georgia"/>
          <w:sz w:val="24"/>
          <w:szCs w:val="22"/>
        </w:rPr>
        <w:tab/>
      </w:r>
      <w:r w:rsidR="003913E3" w:rsidRPr="00741970">
        <w:rPr>
          <w:rFonts w:ascii="Georgia" w:hAnsi="Georgia"/>
          <w:sz w:val="24"/>
          <w:szCs w:val="22"/>
        </w:rPr>
        <w:t>Magistrado Ponente</w:t>
      </w:r>
      <w:r w:rsidR="003913E3" w:rsidRPr="00741970">
        <w:rPr>
          <w:rFonts w:ascii="Georgia" w:hAnsi="Georgia"/>
          <w:sz w:val="24"/>
          <w:szCs w:val="22"/>
        </w:rPr>
        <w:tab/>
      </w:r>
      <w:r w:rsidR="00741970" w:rsidRPr="00741970">
        <w:rPr>
          <w:rFonts w:ascii="Georgia" w:hAnsi="Georgia"/>
          <w:sz w:val="24"/>
          <w:szCs w:val="22"/>
        </w:rPr>
        <w:tab/>
      </w:r>
      <w:r w:rsidR="003913E3" w:rsidRPr="00741970">
        <w:rPr>
          <w:rFonts w:ascii="Georgia" w:hAnsi="Georgia"/>
          <w:sz w:val="24"/>
          <w:szCs w:val="22"/>
        </w:rPr>
        <w:t xml:space="preserve">: </w:t>
      </w:r>
      <w:r w:rsidR="003913E3" w:rsidRPr="00741970">
        <w:rPr>
          <w:rFonts w:ascii="Georgia" w:hAnsi="Georgia" w:cs="Arial"/>
          <w:smallCaps/>
          <w:sz w:val="24"/>
          <w:szCs w:val="22"/>
          <w:lang w:val="es-CO"/>
        </w:rPr>
        <w:t>Duberney Grisales Herrera</w:t>
      </w:r>
    </w:p>
    <w:p w:rsidR="003913E3" w:rsidRPr="00741970" w:rsidRDefault="003913E3" w:rsidP="003F0102">
      <w:pPr>
        <w:spacing w:line="360" w:lineRule="auto"/>
        <w:ind w:left="709"/>
        <w:rPr>
          <w:rFonts w:ascii="Georgia" w:hAnsi="Georgia" w:cs="Arial"/>
          <w:b/>
          <w:bCs/>
          <w:szCs w:val="22"/>
        </w:rPr>
      </w:pPr>
      <w:r w:rsidRPr="00741970">
        <w:rPr>
          <w:rFonts w:ascii="Georgia" w:hAnsi="Georgia"/>
          <w:szCs w:val="22"/>
        </w:rPr>
        <w:t>Acta número</w:t>
      </w:r>
      <w:r w:rsidRPr="00741970">
        <w:rPr>
          <w:rFonts w:ascii="Georgia" w:hAnsi="Georgia"/>
          <w:szCs w:val="22"/>
        </w:rPr>
        <w:tab/>
      </w:r>
      <w:r w:rsidRPr="00741970">
        <w:rPr>
          <w:rFonts w:ascii="Georgia" w:hAnsi="Georgia"/>
          <w:szCs w:val="22"/>
        </w:rPr>
        <w:tab/>
      </w:r>
      <w:r w:rsidR="00741970" w:rsidRPr="00741970">
        <w:rPr>
          <w:rFonts w:ascii="Georgia" w:hAnsi="Georgia"/>
          <w:szCs w:val="22"/>
        </w:rPr>
        <w:tab/>
      </w:r>
      <w:r w:rsidRPr="00741970">
        <w:rPr>
          <w:rFonts w:ascii="Georgia" w:hAnsi="Georgia"/>
          <w:szCs w:val="22"/>
        </w:rPr>
        <w:t xml:space="preserve">: </w:t>
      </w:r>
      <w:r w:rsidR="00073F3B">
        <w:rPr>
          <w:rFonts w:ascii="Georgia" w:hAnsi="Georgia"/>
          <w:szCs w:val="22"/>
        </w:rPr>
        <w:t>341</w:t>
      </w:r>
      <w:r w:rsidR="00FC6421" w:rsidRPr="00741970">
        <w:rPr>
          <w:rFonts w:ascii="Georgia" w:hAnsi="Georgia"/>
          <w:szCs w:val="22"/>
        </w:rPr>
        <w:t xml:space="preserve"> de </w:t>
      </w:r>
      <w:r w:rsidR="00073F3B">
        <w:rPr>
          <w:rFonts w:ascii="Georgia" w:hAnsi="Georgia"/>
          <w:szCs w:val="22"/>
        </w:rPr>
        <w:t>13</w:t>
      </w:r>
      <w:r w:rsidR="0079608D" w:rsidRPr="00741970">
        <w:rPr>
          <w:rFonts w:ascii="Georgia" w:hAnsi="Georgia"/>
          <w:szCs w:val="22"/>
        </w:rPr>
        <w:t>-09</w:t>
      </w:r>
      <w:r w:rsidR="00FC6421" w:rsidRPr="00741970">
        <w:rPr>
          <w:rFonts w:ascii="Georgia" w:hAnsi="Georgia"/>
          <w:szCs w:val="22"/>
        </w:rPr>
        <w:t>-</w:t>
      </w:r>
      <w:r w:rsidR="003F0102" w:rsidRPr="00741970">
        <w:rPr>
          <w:rFonts w:ascii="Georgia" w:hAnsi="Georgia"/>
          <w:szCs w:val="22"/>
        </w:rPr>
        <w:t>2018</w:t>
      </w:r>
    </w:p>
    <w:p w:rsidR="000C7369" w:rsidRPr="006477F6" w:rsidRDefault="000C7369" w:rsidP="00F839CE">
      <w:pPr>
        <w:pBdr>
          <w:bottom w:val="double" w:sz="6" w:space="1" w:color="auto"/>
        </w:pBdr>
        <w:spacing w:line="360" w:lineRule="auto"/>
        <w:jc w:val="center"/>
        <w:rPr>
          <w:rFonts w:ascii="Georgia" w:hAnsi="Georgia" w:cs="Arial"/>
          <w:b/>
          <w:bCs/>
          <w:sz w:val="10"/>
          <w:szCs w:val="22"/>
        </w:rPr>
      </w:pPr>
    </w:p>
    <w:p w:rsidR="00175F65" w:rsidRPr="006477F6" w:rsidRDefault="00175F65" w:rsidP="00F839CE">
      <w:pPr>
        <w:spacing w:line="360" w:lineRule="auto"/>
        <w:jc w:val="center"/>
        <w:rPr>
          <w:rFonts w:ascii="Georgia" w:hAnsi="Georgia" w:cs="Arial"/>
          <w:b/>
          <w:bCs/>
          <w:sz w:val="20"/>
          <w:szCs w:val="22"/>
        </w:rPr>
      </w:pPr>
    </w:p>
    <w:p w:rsidR="003913E3" w:rsidRPr="006477F6" w:rsidRDefault="003913E3" w:rsidP="00F839CE">
      <w:pPr>
        <w:spacing w:line="360" w:lineRule="auto"/>
        <w:jc w:val="center"/>
        <w:rPr>
          <w:rFonts w:ascii="Georgia" w:hAnsi="Georgia" w:cs="Arial"/>
          <w:iCs/>
          <w:sz w:val="28"/>
          <w:lang w:val="es-CO"/>
        </w:rPr>
      </w:pPr>
      <w:r w:rsidRPr="006477F6">
        <w:rPr>
          <w:rFonts w:ascii="Georgia" w:hAnsi="Georgia" w:cs="Arial"/>
          <w:iCs/>
          <w:smallCaps/>
          <w:sz w:val="28"/>
          <w:lang w:val="es-CO"/>
        </w:rPr>
        <w:t>Pereira, R</w:t>
      </w:r>
      <w:r w:rsidR="00CA23A1" w:rsidRPr="006477F6">
        <w:rPr>
          <w:rFonts w:ascii="Georgia" w:hAnsi="Georgia" w:cs="Arial"/>
          <w:iCs/>
          <w:smallCaps/>
          <w:sz w:val="28"/>
          <w:lang w:val="es-CO"/>
        </w:rPr>
        <w:t>.</w:t>
      </w:r>
      <w:r w:rsidR="00C55802" w:rsidRPr="006477F6">
        <w:rPr>
          <w:rFonts w:ascii="Georgia" w:hAnsi="Georgia" w:cs="Arial"/>
          <w:iCs/>
          <w:smallCaps/>
          <w:sz w:val="28"/>
          <w:lang w:val="es-CO"/>
        </w:rPr>
        <w:t>,</w:t>
      </w:r>
      <w:r w:rsidRPr="006477F6">
        <w:rPr>
          <w:rFonts w:ascii="Georgia" w:hAnsi="Georgia" w:cs="Arial"/>
          <w:iCs/>
          <w:smallCaps/>
          <w:sz w:val="28"/>
          <w:lang w:val="es-CO"/>
        </w:rPr>
        <w:t xml:space="preserve"> </w:t>
      </w:r>
      <w:r w:rsidR="00073F3B">
        <w:rPr>
          <w:rFonts w:ascii="Georgia" w:hAnsi="Georgia" w:cs="Arial"/>
          <w:iCs/>
          <w:smallCaps/>
          <w:sz w:val="28"/>
          <w:lang w:val="es-CO"/>
        </w:rPr>
        <w:t>trece</w:t>
      </w:r>
      <w:r w:rsidR="00E85CD4" w:rsidRPr="006477F6">
        <w:rPr>
          <w:rFonts w:ascii="Georgia" w:hAnsi="Georgia" w:cs="Arial"/>
          <w:iCs/>
          <w:smallCaps/>
          <w:sz w:val="28"/>
          <w:lang w:val="es-CO"/>
        </w:rPr>
        <w:t xml:space="preserve"> </w:t>
      </w:r>
      <w:r w:rsidRPr="006477F6">
        <w:rPr>
          <w:rFonts w:ascii="Georgia" w:hAnsi="Georgia" w:cs="Arial"/>
          <w:iCs/>
          <w:smallCaps/>
          <w:sz w:val="28"/>
          <w:lang w:val="es-CO"/>
        </w:rPr>
        <w:t>(</w:t>
      </w:r>
      <w:r w:rsidR="00073F3B">
        <w:rPr>
          <w:rFonts w:ascii="Georgia" w:hAnsi="Georgia" w:cs="Arial"/>
          <w:iCs/>
          <w:smallCaps/>
          <w:sz w:val="28"/>
          <w:lang w:val="es-CO"/>
        </w:rPr>
        <w:t>13</w:t>
      </w:r>
      <w:r w:rsidRPr="006477F6">
        <w:rPr>
          <w:rFonts w:ascii="Georgia" w:hAnsi="Georgia" w:cs="Arial"/>
          <w:iCs/>
          <w:smallCaps/>
          <w:sz w:val="28"/>
          <w:lang w:val="es-CO"/>
        </w:rPr>
        <w:t xml:space="preserve">) de </w:t>
      </w:r>
      <w:r w:rsidR="006477F6" w:rsidRPr="006477F6">
        <w:rPr>
          <w:rFonts w:ascii="Georgia" w:hAnsi="Georgia" w:cs="Arial"/>
          <w:iCs/>
          <w:smallCaps/>
          <w:sz w:val="28"/>
          <w:lang w:val="es-CO"/>
        </w:rPr>
        <w:t xml:space="preserve">septiembre </w:t>
      </w:r>
      <w:r w:rsidRPr="006477F6">
        <w:rPr>
          <w:rFonts w:ascii="Georgia" w:hAnsi="Georgia" w:cs="Arial"/>
          <w:iCs/>
          <w:smallCaps/>
          <w:sz w:val="28"/>
          <w:lang w:val="es-CO"/>
        </w:rPr>
        <w:t xml:space="preserve">de dos mil </w:t>
      </w:r>
      <w:r w:rsidR="003F0102" w:rsidRPr="006477F6">
        <w:rPr>
          <w:rFonts w:ascii="Georgia" w:hAnsi="Georgia" w:cs="Arial"/>
          <w:iCs/>
          <w:smallCaps/>
          <w:sz w:val="28"/>
          <w:lang w:val="es-CO"/>
        </w:rPr>
        <w:t xml:space="preserve">dieciocho </w:t>
      </w:r>
      <w:r w:rsidRPr="006477F6">
        <w:rPr>
          <w:rFonts w:ascii="Georgia" w:hAnsi="Georgia" w:cs="Arial"/>
          <w:iCs/>
          <w:smallCaps/>
          <w:sz w:val="28"/>
          <w:lang w:val="es-CO"/>
        </w:rPr>
        <w:t>(</w:t>
      </w:r>
      <w:r w:rsidR="003F0102" w:rsidRPr="006477F6">
        <w:rPr>
          <w:rFonts w:ascii="Georgia" w:hAnsi="Georgia" w:cs="Arial"/>
          <w:iCs/>
          <w:smallCaps/>
          <w:sz w:val="28"/>
          <w:lang w:val="es-CO"/>
        </w:rPr>
        <w:t>2018</w:t>
      </w:r>
      <w:r w:rsidRPr="006477F6">
        <w:rPr>
          <w:rFonts w:ascii="Georgia" w:hAnsi="Georgia" w:cs="Arial"/>
          <w:iCs/>
          <w:smallCaps/>
          <w:sz w:val="28"/>
          <w:lang w:val="es-CO"/>
        </w:rPr>
        <w:t>)</w:t>
      </w:r>
      <w:r w:rsidRPr="006477F6">
        <w:rPr>
          <w:rFonts w:ascii="Georgia" w:hAnsi="Georgia" w:cs="Arial"/>
          <w:iCs/>
          <w:sz w:val="28"/>
          <w:lang w:val="es-CO"/>
        </w:rPr>
        <w:t>.</w:t>
      </w:r>
    </w:p>
    <w:p w:rsidR="00586A21" w:rsidRPr="00741970" w:rsidRDefault="00586A21" w:rsidP="00F839CE">
      <w:pPr>
        <w:pStyle w:val="Textoindependiente"/>
        <w:spacing w:line="360" w:lineRule="auto"/>
        <w:rPr>
          <w:rFonts w:ascii="Georgia" w:hAnsi="Georgia" w:cs="Arial"/>
          <w:sz w:val="24"/>
          <w:szCs w:val="24"/>
          <w:lang w:val="es-CO"/>
        </w:rPr>
      </w:pPr>
    </w:p>
    <w:p w:rsidR="003913E3" w:rsidRPr="006477F6" w:rsidRDefault="003913E3" w:rsidP="00F839CE">
      <w:pPr>
        <w:pStyle w:val="Textoindependiente"/>
        <w:numPr>
          <w:ilvl w:val="0"/>
          <w:numId w:val="1"/>
        </w:numPr>
        <w:spacing w:line="360" w:lineRule="auto"/>
        <w:rPr>
          <w:rFonts w:ascii="Georgia" w:hAnsi="Georgia" w:cs="Arial"/>
          <w:sz w:val="24"/>
          <w:szCs w:val="24"/>
        </w:rPr>
      </w:pPr>
      <w:r w:rsidRPr="006477F6">
        <w:rPr>
          <w:rFonts w:ascii="Georgia" w:hAnsi="Georgia" w:cs="Arial"/>
          <w:sz w:val="24"/>
          <w:szCs w:val="24"/>
        </w:rPr>
        <w:t xml:space="preserve">EL ASUNTO </w:t>
      </w:r>
      <w:r w:rsidR="00FA29FF" w:rsidRPr="006477F6">
        <w:rPr>
          <w:rFonts w:ascii="Georgia" w:hAnsi="Georgia" w:cs="Arial"/>
          <w:sz w:val="24"/>
          <w:szCs w:val="24"/>
        </w:rPr>
        <w:t xml:space="preserve">POR </w:t>
      </w:r>
      <w:r w:rsidRPr="006477F6">
        <w:rPr>
          <w:rFonts w:ascii="Georgia" w:hAnsi="Georgia" w:cs="Arial"/>
          <w:sz w:val="24"/>
          <w:szCs w:val="24"/>
        </w:rPr>
        <w:t>DECIDIR</w:t>
      </w:r>
    </w:p>
    <w:p w:rsidR="003913E3" w:rsidRPr="00741970" w:rsidRDefault="003913E3" w:rsidP="00F839CE">
      <w:pPr>
        <w:pStyle w:val="Textoindependiente"/>
        <w:spacing w:line="360" w:lineRule="auto"/>
        <w:rPr>
          <w:rFonts w:ascii="Georgia" w:hAnsi="Georgia" w:cs="Arial"/>
          <w:sz w:val="24"/>
          <w:szCs w:val="24"/>
        </w:rPr>
      </w:pPr>
    </w:p>
    <w:p w:rsidR="003913E3" w:rsidRPr="006477F6" w:rsidRDefault="003913E3" w:rsidP="00F839CE">
      <w:pPr>
        <w:pStyle w:val="Textoindependiente"/>
        <w:spacing w:line="360" w:lineRule="auto"/>
        <w:rPr>
          <w:rFonts w:ascii="Georgia" w:hAnsi="Georgia" w:cs="Arial"/>
          <w:sz w:val="24"/>
          <w:szCs w:val="24"/>
        </w:rPr>
      </w:pPr>
      <w:r w:rsidRPr="006477F6">
        <w:rPr>
          <w:rFonts w:ascii="Georgia" w:hAnsi="Georgia" w:cs="Arial"/>
          <w:sz w:val="24"/>
          <w:szCs w:val="24"/>
        </w:rPr>
        <w:t>La impugnación formulada dentro de la acción constitucional referida, luego de surtida la actuación de primera instancia, sin avistar nulidades que la invaliden.</w:t>
      </w:r>
    </w:p>
    <w:p w:rsidR="003913E3" w:rsidRPr="00741970" w:rsidRDefault="003913E3" w:rsidP="00F839CE">
      <w:pPr>
        <w:pStyle w:val="Textoindependiente"/>
        <w:spacing w:line="360" w:lineRule="auto"/>
        <w:rPr>
          <w:rFonts w:ascii="Georgia" w:hAnsi="Georgia" w:cs="Arial"/>
          <w:sz w:val="24"/>
          <w:szCs w:val="24"/>
        </w:rPr>
      </w:pPr>
    </w:p>
    <w:p w:rsidR="003913E3" w:rsidRPr="006477F6" w:rsidRDefault="003913E3" w:rsidP="006E6B6C">
      <w:pPr>
        <w:pStyle w:val="Textoindependiente"/>
        <w:numPr>
          <w:ilvl w:val="0"/>
          <w:numId w:val="1"/>
        </w:numPr>
        <w:spacing w:line="360" w:lineRule="auto"/>
        <w:rPr>
          <w:rFonts w:ascii="Georgia" w:hAnsi="Georgia" w:cs="Arial"/>
          <w:szCs w:val="24"/>
        </w:rPr>
      </w:pPr>
      <w:r w:rsidRPr="006477F6">
        <w:rPr>
          <w:rFonts w:ascii="Georgia" w:hAnsi="Georgia" w:cs="Arial"/>
          <w:sz w:val="24"/>
          <w:szCs w:val="24"/>
        </w:rPr>
        <w:t xml:space="preserve">LA SÍNTESIS </w:t>
      </w:r>
      <w:r w:rsidR="001656E3" w:rsidRPr="006477F6">
        <w:rPr>
          <w:rFonts w:ascii="Georgia" w:hAnsi="Georgia" w:cs="Arial"/>
          <w:sz w:val="24"/>
          <w:szCs w:val="24"/>
        </w:rPr>
        <w:t>FÁCTICA</w:t>
      </w:r>
    </w:p>
    <w:p w:rsidR="001656E3" w:rsidRPr="00741970" w:rsidRDefault="001656E3" w:rsidP="001656E3">
      <w:pPr>
        <w:pStyle w:val="Textoindependiente"/>
        <w:spacing w:line="360" w:lineRule="auto"/>
        <w:ind w:left="360"/>
        <w:rPr>
          <w:rFonts w:ascii="Georgia" w:hAnsi="Georgia" w:cs="Arial"/>
          <w:sz w:val="24"/>
          <w:szCs w:val="24"/>
        </w:rPr>
      </w:pPr>
    </w:p>
    <w:p w:rsidR="008B3853" w:rsidRPr="00850FE8" w:rsidRDefault="006477F6" w:rsidP="00F839CE">
      <w:pPr>
        <w:pStyle w:val="Textoindependiente"/>
        <w:spacing w:line="360" w:lineRule="auto"/>
        <w:rPr>
          <w:rFonts w:ascii="Georgia" w:hAnsi="Georgia" w:cs="Arial"/>
          <w:sz w:val="24"/>
          <w:szCs w:val="24"/>
        </w:rPr>
      </w:pPr>
      <w:r w:rsidRPr="008B3853">
        <w:rPr>
          <w:rFonts w:ascii="Georgia" w:hAnsi="Georgia" w:cs="Arial"/>
          <w:sz w:val="24"/>
          <w:szCs w:val="24"/>
        </w:rPr>
        <w:t>I</w:t>
      </w:r>
      <w:r w:rsidR="009B6DC4" w:rsidRPr="008B3853">
        <w:rPr>
          <w:rFonts w:ascii="Georgia" w:hAnsi="Georgia" w:cs="Arial"/>
          <w:sz w:val="24"/>
          <w:szCs w:val="24"/>
        </w:rPr>
        <w:t xml:space="preserve">nformó </w:t>
      </w:r>
      <w:r w:rsidRPr="008B3853">
        <w:rPr>
          <w:rFonts w:ascii="Georgia" w:hAnsi="Georgia" w:cs="Arial"/>
          <w:sz w:val="24"/>
          <w:szCs w:val="24"/>
        </w:rPr>
        <w:t>el actor</w:t>
      </w:r>
      <w:r w:rsidR="0075694E" w:rsidRPr="008B3853">
        <w:rPr>
          <w:rFonts w:ascii="Georgia" w:hAnsi="Georgia" w:cs="Arial"/>
          <w:sz w:val="24"/>
          <w:szCs w:val="24"/>
        </w:rPr>
        <w:t xml:space="preserve"> que e</w:t>
      </w:r>
      <w:r w:rsidR="003F0102" w:rsidRPr="008B3853">
        <w:rPr>
          <w:rFonts w:ascii="Georgia" w:hAnsi="Georgia" w:cs="Arial"/>
          <w:sz w:val="24"/>
          <w:szCs w:val="24"/>
        </w:rPr>
        <w:t>n la ejecución radicada al No.2017-0</w:t>
      </w:r>
      <w:r w:rsidR="00B9335F" w:rsidRPr="008B3853">
        <w:rPr>
          <w:rFonts w:ascii="Georgia" w:hAnsi="Georgia" w:cs="Arial"/>
          <w:sz w:val="24"/>
          <w:szCs w:val="24"/>
        </w:rPr>
        <w:t>1009</w:t>
      </w:r>
      <w:r w:rsidR="003F0102" w:rsidRPr="008B3853">
        <w:rPr>
          <w:rFonts w:ascii="Georgia" w:hAnsi="Georgia" w:cs="Arial"/>
          <w:sz w:val="24"/>
          <w:szCs w:val="24"/>
        </w:rPr>
        <w:t xml:space="preserve">-00 que se adelanta contra el </w:t>
      </w:r>
      <w:r w:rsidR="00B9335F" w:rsidRPr="008B3853">
        <w:rPr>
          <w:rFonts w:ascii="Georgia" w:hAnsi="Georgia" w:cs="Arial"/>
          <w:sz w:val="24"/>
          <w:szCs w:val="24"/>
        </w:rPr>
        <w:t>señor Luis José Pimiento,</w:t>
      </w:r>
      <w:r w:rsidR="003C2D90" w:rsidRPr="008B3853">
        <w:rPr>
          <w:rFonts w:ascii="Georgia" w:hAnsi="Georgia" w:cs="Arial"/>
          <w:sz w:val="24"/>
          <w:szCs w:val="24"/>
        </w:rPr>
        <w:t xml:space="preserve"> el 11-01-2018</w:t>
      </w:r>
      <w:r w:rsidR="00B9335F" w:rsidRPr="008B3853">
        <w:rPr>
          <w:rFonts w:ascii="Georgia" w:hAnsi="Georgia" w:cs="Arial"/>
          <w:sz w:val="24"/>
          <w:szCs w:val="24"/>
        </w:rPr>
        <w:t xml:space="preserve"> el accionado</w:t>
      </w:r>
      <w:r w:rsidR="003C2D90" w:rsidRPr="008B3853">
        <w:rPr>
          <w:rFonts w:ascii="Georgia" w:hAnsi="Georgia" w:cs="Arial"/>
          <w:sz w:val="24"/>
          <w:szCs w:val="24"/>
        </w:rPr>
        <w:t xml:space="preserve"> le comunicó la designación como </w:t>
      </w:r>
      <w:r w:rsidR="00B9335F" w:rsidRPr="008B3853">
        <w:rPr>
          <w:rFonts w:ascii="Georgia" w:hAnsi="Georgia" w:cs="Arial"/>
          <w:sz w:val="24"/>
          <w:szCs w:val="24"/>
        </w:rPr>
        <w:t>apoderado en amparo de pobreza del ejecutado</w:t>
      </w:r>
      <w:r w:rsidR="0075694E" w:rsidRPr="008B3853">
        <w:rPr>
          <w:rFonts w:ascii="Georgia" w:hAnsi="Georgia" w:cs="Arial"/>
          <w:sz w:val="24"/>
          <w:szCs w:val="24"/>
        </w:rPr>
        <w:t>.</w:t>
      </w:r>
      <w:r w:rsidR="00DB5D94">
        <w:rPr>
          <w:rFonts w:ascii="Georgia" w:hAnsi="Georgia" w:cs="Arial"/>
          <w:sz w:val="24"/>
          <w:szCs w:val="24"/>
        </w:rPr>
        <w:t xml:space="preserve"> </w:t>
      </w:r>
      <w:r w:rsidR="0075694E" w:rsidRPr="008B3853">
        <w:rPr>
          <w:rFonts w:ascii="Georgia" w:hAnsi="Georgia" w:cs="Arial"/>
          <w:sz w:val="24"/>
          <w:szCs w:val="24"/>
        </w:rPr>
        <w:t>E</w:t>
      </w:r>
      <w:r w:rsidR="00B9335F" w:rsidRPr="008B3853">
        <w:rPr>
          <w:rFonts w:ascii="Georgia" w:hAnsi="Georgia" w:cs="Arial"/>
          <w:sz w:val="24"/>
          <w:szCs w:val="24"/>
        </w:rPr>
        <w:t>n múltiple</w:t>
      </w:r>
      <w:r w:rsidR="003C2D90" w:rsidRPr="008B3853">
        <w:rPr>
          <w:rFonts w:ascii="Georgia" w:hAnsi="Georgia" w:cs="Arial"/>
          <w:sz w:val="24"/>
          <w:szCs w:val="24"/>
        </w:rPr>
        <w:t>s</w:t>
      </w:r>
      <w:r w:rsidR="00B9335F" w:rsidRPr="008B3853">
        <w:rPr>
          <w:rFonts w:ascii="Georgia" w:hAnsi="Georgia" w:cs="Arial"/>
          <w:sz w:val="24"/>
          <w:szCs w:val="24"/>
        </w:rPr>
        <w:t xml:space="preserve"> ocasiones </w:t>
      </w:r>
      <w:r w:rsidR="008B3853" w:rsidRPr="008B3853">
        <w:rPr>
          <w:rFonts w:ascii="Georgia" w:hAnsi="Georgia" w:cs="Arial"/>
          <w:sz w:val="24"/>
          <w:szCs w:val="24"/>
        </w:rPr>
        <w:t>acudió</w:t>
      </w:r>
      <w:r w:rsidR="00B9335F" w:rsidRPr="008B3853">
        <w:rPr>
          <w:rFonts w:ascii="Georgia" w:hAnsi="Georgia" w:cs="Arial"/>
          <w:sz w:val="24"/>
          <w:szCs w:val="24"/>
        </w:rPr>
        <w:t xml:space="preserve"> a revisar el expediente, </w:t>
      </w:r>
      <w:r w:rsidR="003C2D90" w:rsidRPr="008B3853">
        <w:rPr>
          <w:rFonts w:ascii="Georgia" w:hAnsi="Georgia" w:cs="Arial"/>
          <w:sz w:val="24"/>
          <w:szCs w:val="24"/>
        </w:rPr>
        <w:t xml:space="preserve">pero </w:t>
      </w:r>
      <w:r w:rsidR="00E432D9">
        <w:rPr>
          <w:rFonts w:ascii="Georgia" w:hAnsi="Georgia" w:cs="Arial"/>
          <w:sz w:val="24"/>
          <w:szCs w:val="24"/>
        </w:rPr>
        <w:t>le fue imposible</w:t>
      </w:r>
      <w:r w:rsidR="003C2D90" w:rsidRPr="008B3853">
        <w:rPr>
          <w:rFonts w:ascii="Georgia" w:hAnsi="Georgia" w:cs="Arial"/>
          <w:sz w:val="24"/>
          <w:szCs w:val="24"/>
        </w:rPr>
        <w:t xml:space="preserve"> hacerlo, en razón a que no lo </w:t>
      </w:r>
      <w:r w:rsidR="00DB5D94">
        <w:rPr>
          <w:rFonts w:ascii="Georgia" w:hAnsi="Georgia" w:cs="Arial"/>
          <w:sz w:val="24"/>
          <w:szCs w:val="24"/>
        </w:rPr>
        <w:t>hallaban</w:t>
      </w:r>
      <w:r w:rsidR="003C2D90" w:rsidRPr="008B3853">
        <w:rPr>
          <w:rFonts w:ascii="Georgia" w:hAnsi="Georgia" w:cs="Arial"/>
          <w:sz w:val="24"/>
          <w:szCs w:val="24"/>
        </w:rPr>
        <w:t xml:space="preserve">, que estaba a despacho, </w:t>
      </w:r>
      <w:r w:rsidR="00B9335F" w:rsidRPr="008B3853">
        <w:rPr>
          <w:rFonts w:ascii="Georgia" w:hAnsi="Georgia" w:cs="Arial"/>
          <w:sz w:val="24"/>
          <w:szCs w:val="24"/>
        </w:rPr>
        <w:t xml:space="preserve">o </w:t>
      </w:r>
      <w:r w:rsidR="008B3853" w:rsidRPr="008B3853">
        <w:rPr>
          <w:rFonts w:ascii="Georgia" w:hAnsi="Georgia" w:cs="Arial"/>
          <w:sz w:val="24"/>
          <w:szCs w:val="24"/>
        </w:rPr>
        <w:t>se encontraba e</w:t>
      </w:r>
      <w:r w:rsidR="003C2D90" w:rsidRPr="008B3853">
        <w:rPr>
          <w:rFonts w:ascii="Georgia" w:hAnsi="Georgia" w:cs="Arial"/>
          <w:sz w:val="24"/>
          <w:szCs w:val="24"/>
        </w:rPr>
        <w:t>n el primer piso</w:t>
      </w:r>
      <w:r w:rsidR="0075694E" w:rsidRPr="008B3853">
        <w:rPr>
          <w:rFonts w:ascii="Georgia" w:hAnsi="Georgia" w:cs="Arial"/>
          <w:sz w:val="24"/>
          <w:szCs w:val="24"/>
        </w:rPr>
        <w:t>. E</w:t>
      </w:r>
      <w:r w:rsidR="003C2D90" w:rsidRPr="008B3853">
        <w:rPr>
          <w:rFonts w:ascii="Georgia" w:hAnsi="Georgia" w:cs="Arial"/>
          <w:sz w:val="24"/>
          <w:szCs w:val="24"/>
        </w:rPr>
        <w:t xml:space="preserve">l 06-04-2018, </w:t>
      </w:r>
      <w:r w:rsidR="000871E7" w:rsidRPr="008B3853">
        <w:rPr>
          <w:rFonts w:ascii="Georgia" w:hAnsi="Georgia" w:cs="Arial"/>
          <w:sz w:val="24"/>
          <w:szCs w:val="24"/>
        </w:rPr>
        <w:t>comunicó la imposibilidad de aceptar la designación</w:t>
      </w:r>
      <w:r w:rsidR="008B3853" w:rsidRPr="008B3853">
        <w:rPr>
          <w:rFonts w:ascii="Georgia" w:hAnsi="Georgia" w:cs="Arial"/>
          <w:sz w:val="24"/>
          <w:szCs w:val="24"/>
        </w:rPr>
        <w:t xml:space="preserve"> </w:t>
      </w:r>
      <w:r w:rsidR="00DB5D94">
        <w:rPr>
          <w:rFonts w:ascii="Georgia" w:hAnsi="Georgia" w:cs="Arial"/>
          <w:sz w:val="24"/>
          <w:szCs w:val="24"/>
        </w:rPr>
        <w:t>por la falta de experticia en asuntos civiles y precedente del CSJ</w:t>
      </w:r>
      <w:r w:rsidR="0075694E" w:rsidRPr="008B3853">
        <w:rPr>
          <w:rFonts w:ascii="Georgia" w:hAnsi="Georgia" w:cs="Arial"/>
          <w:sz w:val="24"/>
          <w:szCs w:val="24"/>
        </w:rPr>
        <w:t>, resuelta desfavorablemente</w:t>
      </w:r>
      <w:r w:rsidR="008B3853" w:rsidRPr="008B3853">
        <w:rPr>
          <w:rFonts w:ascii="Georgia" w:hAnsi="Georgia" w:cs="Arial"/>
          <w:sz w:val="24"/>
          <w:szCs w:val="24"/>
        </w:rPr>
        <w:t xml:space="preserve"> mediante auto del 01-06-2018, que además dispuso </w:t>
      </w:r>
      <w:r w:rsidR="008B3853" w:rsidRPr="00850FE8">
        <w:rPr>
          <w:rFonts w:ascii="Georgia" w:hAnsi="Georgia" w:cs="Arial"/>
          <w:sz w:val="24"/>
          <w:szCs w:val="24"/>
        </w:rPr>
        <w:t xml:space="preserve">requerirlo para aceptar y ejercer el cargo encomendado (Folios 1 al 16, cuaderno principal). </w:t>
      </w:r>
    </w:p>
    <w:p w:rsidR="004B5109" w:rsidRPr="00741970" w:rsidRDefault="004B5109" w:rsidP="00F839CE">
      <w:pPr>
        <w:pStyle w:val="Textoindependiente"/>
        <w:spacing w:line="360" w:lineRule="auto"/>
        <w:rPr>
          <w:rFonts w:ascii="Georgia" w:hAnsi="Georgia" w:cs="Arial"/>
          <w:sz w:val="24"/>
          <w:szCs w:val="24"/>
          <w:lang w:val="es-CO"/>
        </w:rPr>
      </w:pPr>
    </w:p>
    <w:p w:rsidR="003913E3" w:rsidRPr="00850FE8" w:rsidRDefault="003913E3" w:rsidP="00F839CE">
      <w:pPr>
        <w:pStyle w:val="Textoindependiente"/>
        <w:numPr>
          <w:ilvl w:val="0"/>
          <w:numId w:val="1"/>
        </w:numPr>
        <w:spacing w:line="360" w:lineRule="auto"/>
        <w:rPr>
          <w:rFonts w:ascii="Georgia" w:hAnsi="Georgia" w:cs="Arial"/>
          <w:sz w:val="24"/>
          <w:szCs w:val="24"/>
        </w:rPr>
      </w:pPr>
      <w:r w:rsidRPr="00850FE8">
        <w:rPr>
          <w:rFonts w:ascii="Georgia" w:hAnsi="Georgia" w:cs="Arial"/>
          <w:sz w:val="24"/>
          <w:szCs w:val="24"/>
        </w:rPr>
        <w:t>LOS DERECHOS INVOCADOS</w:t>
      </w:r>
    </w:p>
    <w:p w:rsidR="00860B21" w:rsidRPr="00741970" w:rsidRDefault="00860B21" w:rsidP="00860B21">
      <w:pPr>
        <w:pStyle w:val="Textoindependiente"/>
        <w:spacing w:line="360" w:lineRule="auto"/>
        <w:ind w:left="360"/>
        <w:rPr>
          <w:rFonts w:ascii="Georgia" w:hAnsi="Georgia" w:cs="Arial"/>
          <w:sz w:val="24"/>
          <w:szCs w:val="24"/>
        </w:rPr>
      </w:pPr>
    </w:p>
    <w:p w:rsidR="003913E3" w:rsidRDefault="00D171AD" w:rsidP="00F839CE">
      <w:pPr>
        <w:pStyle w:val="Textoindependiente"/>
        <w:widowControl w:val="0"/>
        <w:spacing w:line="360" w:lineRule="auto"/>
        <w:rPr>
          <w:rFonts w:ascii="Georgia" w:hAnsi="Georgia" w:cs="Arial"/>
          <w:sz w:val="24"/>
          <w:szCs w:val="24"/>
        </w:rPr>
      </w:pPr>
      <w:r w:rsidRPr="00850FE8">
        <w:rPr>
          <w:rFonts w:ascii="Georgia" w:hAnsi="Georgia" w:cs="Arial"/>
          <w:sz w:val="24"/>
          <w:szCs w:val="24"/>
        </w:rPr>
        <w:t xml:space="preserve">Se invocaron el </w:t>
      </w:r>
      <w:r w:rsidR="00850FE8">
        <w:rPr>
          <w:rFonts w:ascii="Georgia" w:hAnsi="Georgia" w:cs="Arial"/>
          <w:sz w:val="24"/>
          <w:szCs w:val="24"/>
        </w:rPr>
        <w:t>debido proceso, la honra, el buen nombre, el derecho de defensa y  el acceso a la administración de justicia</w:t>
      </w:r>
      <w:r w:rsidR="009F023C" w:rsidRPr="00850FE8">
        <w:rPr>
          <w:rFonts w:ascii="Georgia" w:hAnsi="Georgia" w:cs="Arial"/>
          <w:sz w:val="24"/>
          <w:szCs w:val="24"/>
        </w:rPr>
        <w:t xml:space="preserve"> </w:t>
      </w:r>
      <w:r w:rsidR="003913E3" w:rsidRPr="00850FE8">
        <w:rPr>
          <w:rFonts w:ascii="Georgia" w:hAnsi="Georgia" w:cs="Arial"/>
          <w:sz w:val="24"/>
          <w:szCs w:val="24"/>
        </w:rPr>
        <w:t>(Folio</w:t>
      </w:r>
      <w:r w:rsidR="00B978A7" w:rsidRPr="00850FE8">
        <w:rPr>
          <w:rFonts w:ascii="Georgia" w:hAnsi="Georgia" w:cs="Arial"/>
          <w:sz w:val="24"/>
          <w:szCs w:val="24"/>
        </w:rPr>
        <w:t xml:space="preserve"> </w:t>
      </w:r>
      <w:r w:rsidR="00850FE8">
        <w:rPr>
          <w:rFonts w:ascii="Georgia" w:hAnsi="Georgia" w:cs="Arial"/>
          <w:sz w:val="24"/>
          <w:szCs w:val="24"/>
        </w:rPr>
        <w:t>1</w:t>
      </w:r>
      <w:r w:rsidR="005C26B3" w:rsidRPr="00850FE8">
        <w:rPr>
          <w:rFonts w:ascii="Georgia" w:hAnsi="Georgia" w:cs="Arial"/>
          <w:sz w:val="24"/>
          <w:szCs w:val="24"/>
        </w:rPr>
        <w:t>,</w:t>
      </w:r>
      <w:r w:rsidR="003913E3" w:rsidRPr="00850FE8">
        <w:rPr>
          <w:rFonts w:ascii="Georgia" w:hAnsi="Georgia" w:cs="Arial"/>
          <w:sz w:val="24"/>
          <w:szCs w:val="24"/>
        </w:rPr>
        <w:t xml:space="preserve"> </w:t>
      </w:r>
      <w:r w:rsidR="003913E3" w:rsidRPr="00850FE8">
        <w:rPr>
          <w:rFonts w:ascii="Georgia" w:hAnsi="Georgia" w:cs="Arial"/>
          <w:sz w:val="24"/>
          <w:szCs w:val="24"/>
          <w:lang w:val="es-CO"/>
        </w:rPr>
        <w:t xml:space="preserve">cuaderno </w:t>
      </w:r>
      <w:r w:rsidR="00850FE8">
        <w:rPr>
          <w:rFonts w:ascii="Georgia" w:hAnsi="Georgia" w:cs="Arial"/>
          <w:sz w:val="24"/>
          <w:szCs w:val="24"/>
          <w:lang w:val="es-CO"/>
        </w:rPr>
        <w:t>principal</w:t>
      </w:r>
      <w:r w:rsidR="003913E3" w:rsidRPr="00850FE8">
        <w:rPr>
          <w:rFonts w:ascii="Georgia" w:hAnsi="Georgia" w:cs="Arial"/>
          <w:sz w:val="24"/>
          <w:szCs w:val="24"/>
        </w:rPr>
        <w:t>).</w:t>
      </w:r>
      <w:r w:rsidR="002C2796" w:rsidRPr="00850FE8">
        <w:rPr>
          <w:rFonts w:ascii="Georgia" w:hAnsi="Georgia" w:cs="Arial"/>
          <w:sz w:val="24"/>
          <w:szCs w:val="24"/>
        </w:rPr>
        <w:t xml:space="preserve"> </w:t>
      </w:r>
    </w:p>
    <w:p w:rsidR="001656E3" w:rsidRDefault="001656E3" w:rsidP="001656E3">
      <w:pPr>
        <w:pStyle w:val="Textoindependiente"/>
        <w:numPr>
          <w:ilvl w:val="0"/>
          <w:numId w:val="1"/>
        </w:numPr>
        <w:spacing w:line="360" w:lineRule="auto"/>
        <w:rPr>
          <w:rFonts w:ascii="Georgia" w:hAnsi="Georgia"/>
          <w:sz w:val="24"/>
          <w:szCs w:val="24"/>
        </w:rPr>
      </w:pPr>
      <w:r w:rsidRPr="008A2077">
        <w:rPr>
          <w:rFonts w:ascii="Georgia" w:hAnsi="Georgia"/>
          <w:sz w:val="24"/>
          <w:szCs w:val="24"/>
        </w:rPr>
        <w:t>LA PETICIÓN DE PROTECCIÓN</w:t>
      </w:r>
    </w:p>
    <w:p w:rsidR="00741970" w:rsidRPr="008A2077" w:rsidRDefault="00741970" w:rsidP="00741970">
      <w:pPr>
        <w:pStyle w:val="Textoindependiente"/>
        <w:spacing w:line="360" w:lineRule="auto"/>
        <w:ind w:left="360"/>
        <w:rPr>
          <w:rFonts w:ascii="Georgia" w:hAnsi="Georgia"/>
          <w:sz w:val="24"/>
          <w:szCs w:val="24"/>
        </w:rPr>
      </w:pPr>
    </w:p>
    <w:p w:rsidR="001656E3" w:rsidRPr="008A2077" w:rsidRDefault="001656E3" w:rsidP="001656E3">
      <w:pPr>
        <w:pStyle w:val="Sinespaciado"/>
        <w:spacing w:line="360" w:lineRule="auto"/>
        <w:jc w:val="both"/>
        <w:rPr>
          <w:rFonts w:ascii="Georgia" w:hAnsi="Georgia" w:cs="Arial"/>
          <w:sz w:val="24"/>
          <w:szCs w:val="24"/>
        </w:rPr>
      </w:pPr>
      <w:r w:rsidRPr="008A2077">
        <w:rPr>
          <w:rFonts w:ascii="Georgia" w:hAnsi="Georgia" w:cs="Arial"/>
          <w:sz w:val="24"/>
          <w:szCs w:val="24"/>
        </w:rPr>
        <w:t xml:space="preserve">Se pretende que se (i) tutelen los derechos fundamentales invocados; y, en consecuencia, (ii) se ordene al accionado </w:t>
      </w:r>
      <w:r w:rsidR="008A2077" w:rsidRPr="004D44A1">
        <w:rPr>
          <w:rFonts w:ascii="Georgia" w:hAnsi="Georgia" w:cs="Arial"/>
          <w:i/>
        </w:rPr>
        <w:t>“</w:t>
      </w:r>
      <w:r w:rsidR="004E5FAE">
        <w:rPr>
          <w:rFonts w:ascii="Georgia" w:hAnsi="Georgia" w:cs="Arial"/>
          <w:i/>
        </w:rPr>
        <w:t xml:space="preserve">(…) </w:t>
      </w:r>
      <w:r w:rsidR="00850FE8" w:rsidRPr="004D44A1">
        <w:rPr>
          <w:rFonts w:ascii="Georgia" w:hAnsi="Georgia" w:cs="Arial"/>
          <w:i/>
        </w:rPr>
        <w:t xml:space="preserve">desistir de su insistencia en la asignación </w:t>
      </w:r>
      <w:r w:rsidR="004D44A1">
        <w:rPr>
          <w:rFonts w:ascii="Georgia" w:hAnsi="Georgia" w:cs="Arial"/>
          <w:i/>
        </w:rPr>
        <w:t>que hiciera de NICOLÁ</w:t>
      </w:r>
      <w:r w:rsidR="008A2077" w:rsidRPr="004D44A1">
        <w:rPr>
          <w:rFonts w:ascii="Georgia" w:hAnsi="Georgia" w:cs="Arial"/>
          <w:i/>
        </w:rPr>
        <w:t>S ALBERTO MEJÍA GÓMEZ como curador ad litem en el proceso referido donde el demandado es el señor LUIS JOSÉ PIMIENTO por carecer de los requisitos procedimentales de la referida asignación</w:t>
      </w:r>
      <w:r w:rsidR="004D44A1">
        <w:rPr>
          <w:rFonts w:ascii="Georgia" w:hAnsi="Georgia" w:cs="Arial"/>
          <w:i/>
        </w:rPr>
        <w:t>”</w:t>
      </w:r>
      <w:r w:rsidRPr="008A2077">
        <w:rPr>
          <w:rFonts w:ascii="Georgia" w:hAnsi="Georgia" w:cs="Arial"/>
          <w:sz w:val="24"/>
          <w:szCs w:val="24"/>
        </w:rPr>
        <w:t xml:space="preserve"> </w:t>
      </w:r>
      <w:r w:rsidRPr="008A2077">
        <w:rPr>
          <w:rFonts w:ascii="Georgia" w:hAnsi="Georgia"/>
          <w:sz w:val="24"/>
          <w:szCs w:val="24"/>
        </w:rPr>
        <w:t>(Folio</w:t>
      </w:r>
      <w:r w:rsidR="004E5FAE">
        <w:rPr>
          <w:rFonts w:ascii="Georgia" w:hAnsi="Georgia"/>
          <w:sz w:val="24"/>
          <w:szCs w:val="24"/>
        </w:rPr>
        <w:t>s</w:t>
      </w:r>
      <w:r w:rsidR="008A2077" w:rsidRPr="008A2077">
        <w:rPr>
          <w:rFonts w:ascii="Georgia" w:hAnsi="Georgia"/>
          <w:sz w:val="24"/>
          <w:szCs w:val="24"/>
        </w:rPr>
        <w:t xml:space="preserve"> 6 y 7</w:t>
      </w:r>
      <w:r w:rsidRPr="008A2077">
        <w:rPr>
          <w:rFonts w:ascii="Georgia" w:hAnsi="Georgia"/>
          <w:sz w:val="24"/>
          <w:szCs w:val="24"/>
        </w:rPr>
        <w:t xml:space="preserve">, cuaderno </w:t>
      </w:r>
      <w:r w:rsidR="008A2077" w:rsidRPr="008A2077">
        <w:rPr>
          <w:rFonts w:ascii="Georgia" w:hAnsi="Georgia"/>
          <w:sz w:val="24"/>
          <w:szCs w:val="24"/>
        </w:rPr>
        <w:t>principal</w:t>
      </w:r>
      <w:r w:rsidRPr="008A2077">
        <w:rPr>
          <w:rFonts w:ascii="Georgia" w:hAnsi="Georgia"/>
          <w:sz w:val="24"/>
          <w:szCs w:val="24"/>
        </w:rPr>
        <w:t>)</w:t>
      </w:r>
      <w:r w:rsidRPr="008A2077">
        <w:rPr>
          <w:rFonts w:ascii="Georgia" w:hAnsi="Georgia" w:cs="Arial"/>
          <w:sz w:val="24"/>
          <w:szCs w:val="24"/>
        </w:rPr>
        <w:t xml:space="preserve">. </w:t>
      </w:r>
    </w:p>
    <w:p w:rsidR="00A84032" w:rsidRPr="00741970" w:rsidRDefault="00A84032" w:rsidP="00F839CE">
      <w:pPr>
        <w:pStyle w:val="Textoindependiente"/>
        <w:widowControl w:val="0"/>
        <w:spacing w:line="360" w:lineRule="auto"/>
        <w:rPr>
          <w:rFonts w:ascii="Georgia" w:hAnsi="Georgia" w:cs="Arial"/>
          <w:sz w:val="24"/>
          <w:szCs w:val="24"/>
        </w:rPr>
      </w:pPr>
    </w:p>
    <w:p w:rsidR="003913E3" w:rsidRPr="00D1259D" w:rsidRDefault="003913E3" w:rsidP="00F839CE">
      <w:pPr>
        <w:pStyle w:val="Textoindependiente"/>
        <w:widowControl w:val="0"/>
        <w:numPr>
          <w:ilvl w:val="0"/>
          <w:numId w:val="1"/>
        </w:numPr>
        <w:spacing w:line="360" w:lineRule="auto"/>
        <w:rPr>
          <w:rFonts w:ascii="Georgia" w:hAnsi="Georgia" w:cs="Arial"/>
          <w:sz w:val="24"/>
          <w:szCs w:val="24"/>
        </w:rPr>
      </w:pPr>
      <w:r w:rsidRPr="008A2077">
        <w:rPr>
          <w:rFonts w:ascii="Georgia" w:hAnsi="Georgia" w:cs="Arial"/>
          <w:sz w:val="24"/>
          <w:szCs w:val="24"/>
        </w:rPr>
        <w:t xml:space="preserve">LA </w:t>
      </w:r>
      <w:r w:rsidRPr="00D1259D">
        <w:rPr>
          <w:rFonts w:ascii="Georgia" w:hAnsi="Georgia" w:cs="Arial"/>
          <w:sz w:val="24"/>
          <w:szCs w:val="24"/>
        </w:rPr>
        <w:t>SÍNTESIS DE LA CRÓNICA PROCESAL</w:t>
      </w:r>
    </w:p>
    <w:p w:rsidR="003913E3" w:rsidRPr="00741970" w:rsidRDefault="003913E3" w:rsidP="00B942B6">
      <w:pPr>
        <w:pStyle w:val="Textoindependiente"/>
        <w:spacing w:line="360" w:lineRule="auto"/>
        <w:rPr>
          <w:rFonts w:ascii="Georgia" w:hAnsi="Georgia" w:cs="Arial"/>
          <w:sz w:val="24"/>
          <w:szCs w:val="24"/>
        </w:rPr>
      </w:pPr>
    </w:p>
    <w:p w:rsidR="004B3407" w:rsidRPr="00D1259D" w:rsidRDefault="004B3407" w:rsidP="004B3407">
      <w:pPr>
        <w:pStyle w:val="Textoindependiente"/>
        <w:widowControl w:val="0"/>
        <w:spacing w:line="360" w:lineRule="auto"/>
        <w:rPr>
          <w:rFonts w:ascii="Georgia" w:hAnsi="Georgia"/>
          <w:sz w:val="24"/>
        </w:rPr>
      </w:pPr>
      <w:r w:rsidRPr="00D1259D">
        <w:rPr>
          <w:rFonts w:ascii="Georgia" w:hAnsi="Georgia"/>
          <w:sz w:val="24"/>
        </w:rPr>
        <w:t xml:space="preserve">La acción correspondió por reparto al Juzgado </w:t>
      </w:r>
      <w:r w:rsidR="008A2077" w:rsidRPr="00D1259D">
        <w:rPr>
          <w:rFonts w:ascii="Georgia" w:hAnsi="Georgia"/>
          <w:sz w:val="24"/>
        </w:rPr>
        <w:t>Segundo</w:t>
      </w:r>
      <w:r w:rsidR="00D171AD" w:rsidRPr="00D1259D">
        <w:rPr>
          <w:rFonts w:ascii="Georgia" w:hAnsi="Georgia"/>
          <w:sz w:val="24"/>
        </w:rPr>
        <w:t xml:space="preserve"> </w:t>
      </w:r>
      <w:r w:rsidR="00B51A9E" w:rsidRPr="00D1259D">
        <w:rPr>
          <w:rFonts w:ascii="Georgia" w:hAnsi="Georgia"/>
          <w:sz w:val="24"/>
        </w:rPr>
        <w:t>Civil del Circuito de Pereira</w:t>
      </w:r>
      <w:r w:rsidRPr="00D1259D">
        <w:rPr>
          <w:rFonts w:ascii="Georgia" w:hAnsi="Georgia"/>
          <w:sz w:val="24"/>
        </w:rPr>
        <w:t xml:space="preserve">, </w:t>
      </w:r>
      <w:r w:rsidR="00B51A9E" w:rsidRPr="00D1259D">
        <w:rPr>
          <w:rFonts w:ascii="Georgia" w:hAnsi="Georgia"/>
          <w:sz w:val="24"/>
        </w:rPr>
        <w:t xml:space="preserve">quien </w:t>
      </w:r>
      <w:r w:rsidRPr="00D1259D">
        <w:rPr>
          <w:rFonts w:ascii="Georgia" w:hAnsi="Georgia"/>
          <w:sz w:val="24"/>
        </w:rPr>
        <w:t xml:space="preserve">con providencia del </w:t>
      </w:r>
      <w:r w:rsidR="008A2077" w:rsidRPr="00D1259D">
        <w:rPr>
          <w:rFonts w:ascii="Georgia" w:hAnsi="Georgia"/>
          <w:sz w:val="24"/>
        </w:rPr>
        <w:t>17</w:t>
      </w:r>
      <w:r w:rsidR="00D171AD" w:rsidRPr="00D1259D">
        <w:rPr>
          <w:rFonts w:ascii="Georgia" w:hAnsi="Georgia"/>
          <w:sz w:val="24"/>
        </w:rPr>
        <w:t>-</w:t>
      </w:r>
      <w:r w:rsidR="008A2077" w:rsidRPr="00D1259D">
        <w:rPr>
          <w:rFonts w:ascii="Georgia" w:hAnsi="Georgia"/>
          <w:sz w:val="24"/>
        </w:rPr>
        <w:t>07</w:t>
      </w:r>
      <w:r w:rsidR="00D171AD" w:rsidRPr="00D1259D">
        <w:rPr>
          <w:rFonts w:ascii="Georgia" w:hAnsi="Georgia"/>
          <w:sz w:val="24"/>
        </w:rPr>
        <w:t>-201</w:t>
      </w:r>
      <w:r w:rsidR="008A2077" w:rsidRPr="00D1259D">
        <w:rPr>
          <w:rFonts w:ascii="Georgia" w:hAnsi="Georgia"/>
          <w:sz w:val="24"/>
        </w:rPr>
        <w:t>8</w:t>
      </w:r>
      <w:r w:rsidR="00D171AD" w:rsidRPr="00D1259D">
        <w:rPr>
          <w:rFonts w:ascii="Georgia" w:hAnsi="Georgia"/>
          <w:sz w:val="24"/>
        </w:rPr>
        <w:t xml:space="preserve"> </w:t>
      </w:r>
      <w:r w:rsidRPr="00D1259D">
        <w:rPr>
          <w:rFonts w:ascii="Georgia" w:hAnsi="Georgia"/>
          <w:sz w:val="24"/>
        </w:rPr>
        <w:t>la admitió</w:t>
      </w:r>
      <w:r w:rsidR="00B51A9E" w:rsidRPr="00D1259D">
        <w:rPr>
          <w:rFonts w:ascii="Georgia" w:hAnsi="Georgia"/>
          <w:sz w:val="24"/>
        </w:rPr>
        <w:t>, vinculó a quienes estimó conveniente</w:t>
      </w:r>
      <w:r w:rsidR="008A2077" w:rsidRPr="00D1259D">
        <w:rPr>
          <w:rFonts w:ascii="Georgia" w:hAnsi="Georgia"/>
          <w:sz w:val="24"/>
        </w:rPr>
        <w:t xml:space="preserve">, decretó la práctica de inspección judicial al proceso genitor del presente amparo y </w:t>
      </w:r>
      <w:r w:rsidRPr="00D1259D">
        <w:rPr>
          <w:rFonts w:ascii="Georgia" w:hAnsi="Georgia"/>
          <w:sz w:val="24"/>
        </w:rPr>
        <w:t>ordenó notificar a las partes</w:t>
      </w:r>
      <w:r w:rsidR="00A84032" w:rsidRPr="00D1259D">
        <w:rPr>
          <w:rFonts w:ascii="Georgia" w:hAnsi="Georgia"/>
          <w:sz w:val="24"/>
        </w:rPr>
        <w:t>, entre otros ordenamientos</w:t>
      </w:r>
      <w:r w:rsidRPr="00D1259D">
        <w:rPr>
          <w:rFonts w:ascii="Georgia" w:hAnsi="Georgia"/>
          <w:sz w:val="24"/>
        </w:rPr>
        <w:t xml:space="preserve"> (Folio </w:t>
      </w:r>
      <w:r w:rsidR="008A2077" w:rsidRPr="00D1259D">
        <w:rPr>
          <w:rFonts w:ascii="Georgia" w:hAnsi="Georgia"/>
          <w:sz w:val="24"/>
        </w:rPr>
        <w:t>18</w:t>
      </w:r>
      <w:r w:rsidRPr="00D1259D">
        <w:rPr>
          <w:rFonts w:ascii="Georgia" w:hAnsi="Georgia"/>
          <w:sz w:val="24"/>
        </w:rPr>
        <w:t xml:space="preserve">, </w:t>
      </w:r>
      <w:r w:rsidR="001656E3" w:rsidRPr="00D1259D">
        <w:rPr>
          <w:rFonts w:ascii="Georgia" w:hAnsi="Georgia" w:cs="Arial"/>
          <w:sz w:val="24"/>
          <w:szCs w:val="24"/>
          <w:lang w:val="es-CO"/>
        </w:rPr>
        <w:t>ibídem</w:t>
      </w:r>
      <w:r w:rsidRPr="00D1259D">
        <w:rPr>
          <w:rFonts w:ascii="Georgia" w:hAnsi="Georgia"/>
          <w:sz w:val="24"/>
        </w:rPr>
        <w:t>)</w:t>
      </w:r>
      <w:r w:rsidR="00D545E7" w:rsidRPr="00D1259D">
        <w:rPr>
          <w:rFonts w:ascii="Georgia" w:hAnsi="Georgia"/>
          <w:sz w:val="24"/>
        </w:rPr>
        <w:t>. E</w:t>
      </w:r>
      <w:r w:rsidRPr="00D1259D">
        <w:rPr>
          <w:rFonts w:ascii="Georgia" w:hAnsi="Georgia"/>
          <w:sz w:val="24"/>
        </w:rPr>
        <w:t xml:space="preserve">l </w:t>
      </w:r>
      <w:r w:rsidR="00D545E7" w:rsidRPr="00D1259D">
        <w:rPr>
          <w:rFonts w:ascii="Georgia" w:hAnsi="Georgia"/>
          <w:sz w:val="24"/>
        </w:rPr>
        <w:t>19</w:t>
      </w:r>
      <w:r w:rsidR="00D171AD" w:rsidRPr="00D1259D">
        <w:rPr>
          <w:rFonts w:ascii="Georgia" w:hAnsi="Georgia"/>
          <w:sz w:val="24"/>
        </w:rPr>
        <w:t>-</w:t>
      </w:r>
      <w:r w:rsidR="00D545E7" w:rsidRPr="00D1259D">
        <w:rPr>
          <w:rFonts w:ascii="Georgia" w:hAnsi="Georgia"/>
          <w:sz w:val="24"/>
        </w:rPr>
        <w:t>07</w:t>
      </w:r>
      <w:r w:rsidR="00D171AD" w:rsidRPr="00D1259D">
        <w:rPr>
          <w:rFonts w:ascii="Georgia" w:hAnsi="Georgia"/>
          <w:sz w:val="24"/>
        </w:rPr>
        <w:t>-201</w:t>
      </w:r>
      <w:r w:rsidR="00D545E7" w:rsidRPr="00D1259D">
        <w:rPr>
          <w:rFonts w:ascii="Georgia" w:hAnsi="Georgia"/>
          <w:sz w:val="24"/>
        </w:rPr>
        <w:t xml:space="preserve">8 </w:t>
      </w:r>
      <w:r w:rsidR="00D171AD" w:rsidRPr="00D1259D">
        <w:rPr>
          <w:rFonts w:ascii="Georgia" w:hAnsi="Georgia"/>
          <w:sz w:val="24"/>
        </w:rPr>
        <w:t>practicó la inspección judicial (Folio 3</w:t>
      </w:r>
      <w:r w:rsidR="00D545E7" w:rsidRPr="00D1259D">
        <w:rPr>
          <w:rFonts w:ascii="Georgia" w:hAnsi="Georgia"/>
          <w:sz w:val="24"/>
        </w:rPr>
        <w:t>1, ibídem). Contestaron el juzgado accionado y el vinculado Gustavo de Jesús Orozco Montes (Folios 32 a 40, ibídem). El 31</w:t>
      </w:r>
      <w:r w:rsidR="006A309C" w:rsidRPr="00D1259D">
        <w:rPr>
          <w:rFonts w:ascii="Georgia" w:hAnsi="Georgia"/>
          <w:sz w:val="24"/>
        </w:rPr>
        <w:t>-</w:t>
      </w:r>
      <w:r w:rsidR="00D545E7" w:rsidRPr="00D1259D">
        <w:rPr>
          <w:rFonts w:ascii="Georgia" w:hAnsi="Georgia"/>
          <w:sz w:val="24"/>
        </w:rPr>
        <w:t>07-2018</w:t>
      </w:r>
      <w:r w:rsidR="006A309C" w:rsidRPr="00D1259D">
        <w:rPr>
          <w:rFonts w:ascii="Georgia" w:hAnsi="Georgia"/>
          <w:sz w:val="24"/>
        </w:rPr>
        <w:t xml:space="preserve"> </w:t>
      </w:r>
      <w:r w:rsidR="00D545E7" w:rsidRPr="00D1259D">
        <w:rPr>
          <w:rFonts w:ascii="Georgia" w:hAnsi="Georgia"/>
          <w:sz w:val="24"/>
        </w:rPr>
        <w:t xml:space="preserve">se </w:t>
      </w:r>
      <w:r w:rsidRPr="00D1259D">
        <w:rPr>
          <w:rFonts w:ascii="Georgia" w:hAnsi="Georgia"/>
          <w:sz w:val="24"/>
        </w:rPr>
        <w:t xml:space="preserve">emitió </w:t>
      </w:r>
      <w:r w:rsidR="00B51A9E" w:rsidRPr="00D1259D">
        <w:rPr>
          <w:rFonts w:ascii="Georgia" w:hAnsi="Georgia"/>
          <w:sz w:val="24"/>
        </w:rPr>
        <w:t xml:space="preserve">sentencia </w:t>
      </w:r>
      <w:r w:rsidRPr="00D1259D">
        <w:rPr>
          <w:rFonts w:ascii="Georgia" w:hAnsi="Georgia"/>
          <w:sz w:val="24"/>
        </w:rPr>
        <w:t xml:space="preserve">(Folios </w:t>
      </w:r>
      <w:r w:rsidR="00D545E7" w:rsidRPr="00D1259D">
        <w:rPr>
          <w:rFonts w:ascii="Georgia" w:hAnsi="Georgia"/>
          <w:sz w:val="24"/>
        </w:rPr>
        <w:t>41</w:t>
      </w:r>
      <w:r w:rsidR="00D171AD" w:rsidRPr="00D1259D">
        <w:rPr>
          <w:rFonts w:ascii="Georgia" w:hAnsi="Georgia"/>
          <w:sz w:val="24"/>
        </w:rPr>
        <w:t xml:space="preserve"> a </w:t>
      </w:r>
      <w:r w:rsidR="00D545E7" w:rsidRPr="00D1259D">
        <w:rPr>
          <w:rFonts w:ascii="Georgia" w:hAnsi="Georgia"/>
          <w:sz w:val="24"/>
        </w:rPr>
        <w:t>46</w:t>
      </w:r>
      <w:r w:rsidR="00D171AD" w:rsidRPr="00D1259D">
        <w:rPr>
          <w:rFonts w:ascii="Georgia" w:hAnsi="Georgia"/>
          <w:sz w:val="24"/>
        </w:rPr>
        <w:t xml:space="preserve">, ibídem); y, el </w:t>
      </w:r>
      <w:r w:rsidR="00D545E7" w:rsidRPr="00D1259D">
        <w:rPr>
          <w:rFonts w:ascii="Georgia" w:hAnsi="Georgia"/>
          <w:sz w:val="24"/>
        </w:rPr>
        <w:t>13</w:t>
      </w:r>
      <w:r w:rsidR="00D171AD" w:rsidRPr="00D1259D">
        <w:rPr>
          <w:rFonts w:ascii="Georgia" w:hAnsi="Georgia"/>
          <w:sz w:val="24"/>
        </w:rPr>
        <w:t>-0</w:t>
      </w:r>
      <w:r w:rsidR="00D545E7" w:rsidRPr="00D1259D">
        <w:rPr>
          <w:rFonts w:ascii="Georgia" w:hAnsi="Georgia"/>
          <w:sz w:val="24"/>
        </w:rPr>
        <w:t>8</w:t>
      </w:r>
      <w:r w:rsidR="00D171AD" w:rsidRPr="00D1259D">
        <w:rPr>
          <w:rFonts w:ascii="Georgia" w:hAnsi="Georgia"/>
          <w:sz w:val="24"/>
        </w:rPr>
        <w:t xml:space="preserve">-2018 </w:t>
      </w:r>
      <w:r w:rsidR="00D545E7" w:rsidRPr="00D1259D">
        <w:rPr>
          <w:rFonts w:ascii="Georgia" w:hAnsi="Georgia"/>
          <w:sz w:val="24"/>
        </w:rPr>
        <w:t xml:space="preserve">se </w:t>
      </w:r>
      <w:r w:rsidRPr="00D1259D">
        <w:rPr>
          <w:rFonts w:ascii="Georgia" w:hAnsi="Georgia"/>
          <w:sz w:val="24"/>
        </w:rPr>
        <w:t xml:space="preserve">concedió la impugnación formulada por la parte </w:t>
      </w:r>
      <w:r w:rsidR="00D171AD" w:rsidRPr="00D1259D">
        <w:rPr>
          <w:rFonts w:ascii="Georgia" w:hAnsi="Georgia"/>
          <w:sz w:val="24"/>
        </w:rPr>
        <w:t>actora</w:t>
      </w:r>
      <w:r w:rsidRPr="00D1259D">
        <w:rPr>
          <w:rFonts w:ascii="Georgia" w:hAnsi="Georgia"/>
          <w:sz w:val="24"/>
        </w:rPr>
        <w:t xml:space="preserve">, ante este Tribunal (Folio </w:t>
      </w:r>
      <w:r w:rsidR="00D171AD" w:rsidRPr="00D1259D">
        <w:rPr>
          <w:rFonts w:ascii="Georgia" w:hAnsi="Georgia"/>
          <w:sz w:val="24"/>
        </w:rPr>
        <w:t>5</w:t>
      </w:r>
      <w:r w:rsidR="00D1259D" w:rsidRPr="00D1259D">
        <w:rPr>
          <w:rFonts w:ascii="Georgia" w:hAnsi="Georgia"/>
          <w:sz w:val="24"/>
        </w:rPr>
        <w:t>7</w:t>
      </w:r>
      <w:r w:rsidRPr="00D1259D">
        <w:rPr>
          <w:rFonts w:ascii="Georgia" w:hAnsi="Georgia"/>
          <w:sz w:val="24"/>
        </w:rPr>
        <w:t xml:space="preserve">, </w:t>
      </w:r>
      <w:r w:rsidR="001656E3" w:rsidRPr="00D1259D">
        <w:rPr>
          <w:rFonts w:ascii="Georgia" w:hAnsi="Georgia"/>
          <w:sz w:val="24"/>
        </w:rPr>
        <w:t>ib.</w:t>
      </w:r>
      <w:r w:rsidRPr="00D1259D">
        <w:rPr>
          <w:rFonts w:ascii="Georgia" w:hAnsi="Georgia"/>
          <w:sz w:val="24"/>
        </w:rPr>
        <w:t xml:space="preserve">). </w:t>
      </w:r>
    </w:p>
    <w:p w:rsidR="006F03E2" w:rsidRPr="00741970" w:rsidRDefault="006F03E2" w:rsidP="006F03E2">
      <w:pPr>
        <w:spacing w:line="360" w:lineRule="auto"/>
        <w:jc w:val="both"/>
        <w:rPr>
          <w:rFonts w:ascii="Georgia" w:hAnsi="Georgia" w:cs="Arial"/>
        </w:rPr>
      </w:pPr>
    </w:p>
    <w:p w:rsidR="004D44A1" w:rsidRPr="004D44A1" w:rsidRDefault="00AA4CC9" w:rsidP="00AA4CC9">
      <w:pPr>
        <w:pStyle w:val="Textoindependiente"/>
        <w:widowControl w:val="0"/>
        <w:spacing w:line="360" w:lineRule="auto"/>
        <w:rPr>
          <w:rFonts w:ascii="Georgia" w:hAnsi="Georgia" w:cs="Arial"/>
          <w:sz w:val="24"/>
          <w:szCs w:val="24"/>
        </w:rPr>
      </w:pPr>
      <w:r w:rsidRPr="004D44A1">
        <w:rPr>
          <w:rFonts w:ascii="Georgia" w:hAnsi="Georgia" w:cs="Arial"/>
          <w:sz w:val="24"/>
          <w:szCs w:val="24"/>
        </w:rPr>
        <w:t xml:space="preserve">Mediante la sentencia opugnada </w:t>
      </w:r>
      <w:r w:rsidR="00D1259D" w:rsidRPr="004D44A1">
        <w:rPr>
          <w:rFonts w:ascii="Georgia" w:hAnsi="Georgia" w:cs="Arial"/>
          <w:sz w:val="24"/>
          <w:szCs w:val="24"/>
        </w:rPr>
        <w:t xml:space="preserve">se negó la tutela interpuesta </w:t>
      </w:r>
      <w:r w:rsidR="004D44A1" w:rsidRPr="004D44A1">
        <w:rPr>
          <w:rFonts w:ascii="Georgia" w:hAnsi="Georgia" w:cs="Arial"/>
          <w:sz w:val="24"/>
          <w:szCs w:val="24"/>
        </w:rPr>
        <w:t xml:space="preserve">porque </w:t>
      </w:r>
      <w:r w:rsidR="000C7369">
        <w:rPr>
          <w:rFonts w:ascii="Georgia" w:hAnsi="Georgia" w:cs="Arial"/>
          <w:sz w:val="24"/>
          <w:szCs w:val="24"/>
        </w:rPr>
        <w:t xml:space="preserve">se </w:t>
      </w:r>
      <w:r w:rsidR="004E5FAE">
        <w:rPr>
          <w:rFonts w:ascii="Georgia" w:hAnsi="Georgia" w:cs="Arial"/>
          <w:sz w:val="24"/>
          <w:szCs w:val="24"/>
        </w:rPr>
        <w:t xml:space="preserve">concluyó razonable la interpretación normativa del juzgado accionado, además </w:t>
      </w:r>
      <w:r w:rsidR="004D44A1" w:rsidRPr="004D44A1">
        <w:rPr>
          <w:rFonts w:ascii="Georgia" w:hAnsi="Georgia" w:cs="Arial"/>
          <w:i/>
          <w:sz w:val="22"/>
          <w:szCs w:val="22"/>
        </w:rPr>
        <w:t>“</w:t>
      </w:r>
      <w:r w:rsidR="004E5FAE">
        <w:rPr>
          <w:rFonts w:ascii="Georgia" w:hAnsi="Georgia" w:cs="Arial"/>
          <w:i/>
          <w:sz w:val="22"/>
          <w:szCs w:val="22"/>
        </w:rPr>
        <w:t>Las normas que disciplinan la materia no exigen que quien sea designado como abogado en amparo de pobreza deba tener formación especializada o experiencia en el área, sino que solo se refieren al título profesional</w:t>
      </w:r>
      <w:r w:rsidR="004D44A1" w:rsidRPr="004D44A1">
        <w:rPr>
          <w:rFonts w:ascii="Georgia" w:hAnsi="Georgia" w:cs="Arial"/>
          <w:i/>
          <w:sz w:val="22"/>
          <w:szCs w:val="22"/>
        </w:rPr>
        <w:t>”</w:t>
      </w:r>
      <w:r w:rsidR="004E5FAE">
        <w:rPr>
          <w:rFonts w:ascii="Georgia" w:hAnsi="Georgia" w:cs="Arial"/>
          <w:i/>
          <w:sz w:val="22"/>
          <w:szCs w:val="22"/>
        </w:rPr>
        <w:t>.</w:t>
      </w:r>
      <w:r w:rsidR="007E75FD" w:rsidRPr="007E75FD">
        <w:rPr>
          <w:rFonts w:ascii="Georgia" w:hAnsi="Georgia"/>
          <w:sz w:val="24"/>
        </w:rPr>
        <w:t xml:space="preserve"> </w:t>
      </w:r>
      <w:r w:rsidR="007E75FD" w:rsidRPr="00D1259D">
        <w:rPr>
          <w:rFonts w:ascii="Georgia" w:hAnsi="Georgia"/>
          <w:sz w:val="24"/>
        </w:rPr>
        <w:t>(Folios 41 a 46, ib</w:t>
      </w:r>
      <w:r w:rsidR="007E75FD">
        <w:rPr>
          <w:rFonts w:ascii="Georgia" w:hAnsi="Georgia"/>
          <w:sz w:val="24"/>
        </w:rPr>
        <w:t>.)</w:t>
      </w:r>
    </w:p>
    <w:p w:rsidR="00AA4CC9" w:rsidRPr="00741970" w:rsidRDefault="00AA4CC9" w:rsidP="00AA4CC9">
      <w:pPr>
        <w:pStyle w:val="Textoindependiente"/>
        <w:widowControl w:val="0"/>
        <w:spacing w:line="360" w:lineRule="auto"/>
        <w:rPr>
          <w:rFonts w:ascii="Georgia" w:hAnsi="Georgia" w:cs="Arial"/>
          <w:sz w:val="24"/>
          <w:szCs w:val="24"/>
          <w:lang w:val="es-CO"/>
        </w:rPr>
      </w:pPr>
    </w:p>
    <w:p w:rsidR="00AA4CC9" w:rsidRPr="00AB4AAA" w:rsidRDefault="00AA4CC9" w:rsidP="00AA4CC9">
      <w:pPr>
        <w:pStyle w:val="Textoindependiente"/>
        <w:widowControl w:val="0"/>
        <w:spacing w:line="360" w:lineRule="auto"/>
        <w:rPr>
          <w:rFonts w:ascii="Georgia" w:hAnsi="Georgia" w:cs="Arial"/>
          <w:sz w:val="24"/>
          <w:szCs w:val="24"/>
          <w:lang w:val="es-CO"/>
        </w:rPr>
      </w:pPr>
      <w:r w:rsidRPr="00AB4AAA">
        <w:rPr>
          <w:rFonts w:ascii="Georgia" w:hAnsi="Georgia" w:cs="Arial"/>
          <w:sz w:val="24"/>
          <w:szCs w:val="24"/>
        </w:rPr>
        <w:t xml:space="preserve">El impugnante </w:t>
      </w:r>
      <w:r w:rsidR="0091426B">
        <w:rPr>
          <w:rFonts w:ascii="Georgia" w:hAnsi="Georgia" w:cs="Arial"/>
          <w:sz w:val="24"/>
          <w:szCs w:val="24"/>
        </w:rPr>
        <w:t xml:space="preserve">refiere </w:t>
      </w:r>
      <w:r w:rsidRPr="00AB4AAA">
        <w:rPr>
          <w:rFonts w:ascii="Georgia" w:hAnsi="Georgia" w:cs="Arial"/>
          <w:sz w:val="24"/>
          <w:szCs w:val="24"/>
        </w:rPr>
        <w:t xml:space="preserve">que </w:t>
      </w:r>
      <w:r w:rsidR="001D7CF6" w:rsidRPr="00AB4AAA">
        <w:rPr>
          <w:rFonts w:ascii="Georgia" w:hAnsi="Georgia" w:cs="Arial"/>
          <w:sz w:val="24"/>
          <w:szCs w:val="24"/>
        </w:rPr>
        <w:t xml:space="preserve">es </w:t>
      </w:r>
      <w:r w:rsidR="0091426B">
        <w:rPr>
          <w:rFonts w:ascii="Georgia" w:hAnsi="Georgia" w:cs="Arial"/>
          <w:sz w:val="24"/>
          <w:szCs w:val="24"/>
        </w:rPr>
        <w:t>in</w:t>
      </w:r>
      <w:r w:rsidR="001D7CF6" w:rsidRPr="00AB4AAA">
        <w:rPr>
          <w:rFonts w:ascii="Georgia" w:hAnsi="Georgia" w:cs="Arial"/>
          <w:sz w:val="24"/>
          <w:szCs w:val="24"/>
        </w:rPr>
        <w:t>correcto el entendimiento que el juez de tutela le otorga a los hechos que suscitaron la solicitud de amparo; considera que hay una comprensión indebida por la inobserva</w:t>
      </w:r>
      <w:r w:rsidR="000C7369">
        <w:rPr>
          <w:rFonts w:ascii="Georgia" w:hAnsi="Georgia" w:cs="Arial"/>
          <w:sz w:val="24"/>
          <w:szCs w:val="24"/>
        </w:rPr>
        <w:t>n</w:t>
      </w:r>
      <w:r w:rsidR="001D7CF6" w:rsidRPr="00AB4AAA">
        <w:rPr>
          <w:rFonts w:ascii="Georgia" w:hAnsi="Georgia" w:cs="Arial"/>
          <w:sz w:val="24"/>
          <w:szCs w:val="24"/>
        </w:rPr>
        <w:t>cia de los elementos básicos para la formulaci</w:t>
      </w:r>
      <w:r w:rsidR="00AB4AAA" w:rsidRPr="00AB4AAA">
        <w:rPr>
          <w:rFonts w:ascii="Georgia" w:hAnsi="Georgia" w:cs="Arial"/>
          <w:sz w:val="24"/>
          <w:szCs w:val="24"/>
        </w:rPr>
        <w:t>ón del tema puesto a su d</w:t>
      </w:r>
      <w:r w:rsidR="001D7CF6" w:rsidRPr="00AB4AAA">
        <w:rPr>
          <w:rFonts w:ascii="Georgia" w:hAnsi="Georgia" w:cs="Arial"/>
          <w:sz w:val="24"/>
          <w:szCs w:val="24"/>
        </w:rPr>
        <w:t>i</w:t>
      </w:r>
      <w:r w:rsidR="00AB4AAA" w:rsidRPr="00AB4AAA">
        <w:rPr>
          <w:rFonts w:ascii="Georgia" w:hAnsi="Georgia" w:cs="Arial"/>
          <w:sz w:val="24"/>
          <w:szCs w:val="24"/>
        </w:rPr>
        <w:t>s</w:t>
      </w:r>
      <w:r w:rsidR="001D7CF6" w:rsidRPr="00AB4AAA">
        <w:rPr>
          <w:rFonts w:ascii="Georgia" w:hAnsi="Georgia" w:cs="Arial"/>
          <w:sz w:val="24"/>
          <w:szCs w:val="24"/>
        </w:rPr>
        <w:t xml:space="preserve">posición, se duele de la falta de valoración y práctica probatoria del </w:t>
      </w:r>
      <w:r w:rsidR="001D7CF6" w:rsidRPr="00AB4AAA">
        <w:rPr>
          <w:rFonts w:ascii="Georgia" w:hAnsi="Georgia" w:cs="Arial"/>
          <w:i/>
          <w:sz w:val="24"/>
          <w:szCs w:val="24"/>
        </w:rPr>
        <w:t>a quo</w:t>
      </w:r>
      <w:r w:rsidR="001D7CF6" w:rsidRPr="00AB4AAA">
        <w:rPr>
          <w:rFonts w:ascii="Georgia" w:hAnsi="Georgia" w:cs="Arial"/>
          <w:sz w:val="24"/>
          <w:szCs w:val="24"/>
        </w:rPr>
        <w:t xml:space="preserve">, quien se limitó a replicar el análisis realizado por el accionado respecto a su negativa de asumir el cargo encomendado, </w:t>
      </w:r>
      <w:r w:rsidR="00AB4AAA" w:rsidRPr="00AB4AAA">
        <w:rPr>
          <w:rFonts w:ascii="Georgia" w:hAnsi="Georgia" w:cs="Arial"/>
          <w:sz w:val="24"/>
          <w:szCs w:val="24"/>
        </w:rPr>
        <w:t xml:space="preserve">que además consideró </w:t>
      </w:r>
      <w:r w:rsidR="00AB4AAA" w:rsidRPr="00AB4AAA">
        <w:rPr>
          <w:rFonts w:ascii="Georgia" w:hAnsi="Georgia" w:cs="Arial"/>
          <w:i/>
          <w:sz w:val="24"/>
          <w:szCs w:val="24"/>
        </w:rPr>
        <w:t>“</w:t>
      </w:r>
      <w:r w:rsidR="0091426B" w:rsidRPr="00AB4AAA">
        <w:rPr>
          <w:rFonts w:ascii="Georgia" w:hAnsi="Georgia" w:cs="Arial"/>
          <w:i/>
          <w:sz w:val="24"/>
          <w:szCs w:val="24"/>
        </w:rPr>
        <w:t>plausible</w:t>
      </w:r>
      <w:r w:rsidR="00AB4AAA" w:rsidRPr="00AB4AAA">
        <w:rPr>
          <w:rFonts w:ascii="Georgia" w:hAnsi="Georgia" w:cs="Arial"/>
          <w:i/>
          <w:sz w:val="24"/>
          <w:szCs w:val="24"/>
        </w:rPr>
        <w:t>”</w:t>
      </w:r>
      <w:r w:rsidR="00AB4AAA" w:rsidRPr="00AB4AAA">
        <w:rPr>
          <w:rFonts w:ascii="Georgia" w:hAnsi="Georgia" w:cs="Arial"/>
          <w:sz w:val="24"/>
          <w:szCs w:val="24"/>
        </w:rPr>
        <w:t xml:space="preserve">. En extensa disertación, expone </w:t>
      </w:r>
      <w:r w:rsidR="00F07625">
        <w:rPr>
          <w:rFonts w:ascii="Georgia" w:hAnsi="Georgia" w:cs="Arial"/>
          <w:sz w:val="24"/>
          <w:szCs w:val="24"/>
        </w:rPr>
        <w:t>los motivos de su inconformidad,</w:t>
      </w:r>
      <w:r w:rsidR="00AB4AAA" w:rsidRPr="00AB4AAA">
        <w:rPr>
          <w:rFonts w:ascii="Georgia" w:hAnsi="Georgia" w:cs="Arial"/>
          <w:sz w:val="24"/>
          <w:szCs w:val="24"/>
        </w:rPr>
        <w:t xml:space="preserve"> pide se revoque la decisión impugnada</w:t>
      </w:r>
      <w:r w:rsidR="00F07625">
        <w:rPr>
          <w:rFonts w:ascii="Georgia" w:hAnsi="Georgia" w:cs="Arial"/>
          <w:sz w:val="24"/>
          <w:szCs w:val="24"/>
        </w:rPr>
        <w:t>,</w:t>
      </w:r>
      <w:r w:rsidR="00AB4AAA" w:rsidRPr="00AB4AAA">
        <w:rPr>
          <w:rFonts w:ascii="Georgia" w:hAnsi="Georgia" w:cs="Arial"/>
          <w:sz w:val="24"/>
          <w:szCs w:val="24"/>
        </w:rPr>
        <w:t xml:space="preserve"> y en su reemplazo se profiera un fallo accediendo a la pretensión deprecada</w:t>
      </w:r>
      <w:r w:rsidRPr="00AB4AAA">
        <w:rPr>
          <w:rFonts w:ascii="Georgia" w:hAnsi="Georgia" w:cs="Arial"/>
          <w:sz w:val="24"/>
          <w:szCs w:val="24"/>
        </w:rPr>
        <w:t xml:space="preserve"> (Folio</w:t>
      </w:r>
      <w:r w:rsidR="00AB4AAA" w:rsidRPr="00AB4AAA">
        <w:rPr>
          <w:rFonts w:ascii="Georgia" w:hAnsi="Georgia" w:cs="Arial"/>
          <w:sz w:val="24"/>
          <w:szCs w:val="24"/>
        </w:rPr>
        <w:t>s</w:t>
      </w:r>
      <w:r w:rsidRPr="00AB4AAA">
        <w:rPr>
          <w:rFonts w:ascii="Georgia" w:hAnsi="Georgia" w:cs="Arial"/>
          <w:sz w:val="24"/>
          <w:szCs w:val="24"/>
        </w:rPr>
        <w:t xml:space="preserve"> </w:t>
      </w:r>
      <w:r w:rsidR="00AB4AAA" w:rsidRPr="00AB4AAA">
        <w:rPr>
          <w:rFonts w:ascii="Georgia" w:hAnsi="Georgia" w:cs="Arial"/>
          <w:sz w:val="24"/>
          <w:szCs w:val="24"/>
        </w:rPr>
        <w:t>52 a 56</w:t>
      </w:r>
      <w:r w:rsidRPr="00AB4AAA">
        <w:rPr>
          <w:rFonts w:ascii="Georgia" w:hAnsi="Georgia" w:cs="Arial"/>
          <w:sz w:val="24"/>
          <w:szCs w:val="24"/>
        </w:rPr>
        <w:t xml:space="preserve">, </w:t>
      </w:r>
      <w:r w:rsidR="001656E3" w:rsidRPr="00AB4AAA">
        <w:rPr>
          <w:rFonts w:ascii="Georgia" w:hAnsi="Georgia" w:cs="Arial"/>
          <w:sz w:val="24"/>
          <w:szCs w:val="24"/>
        </w:rPr>
        <w:t>ib.</w:t>
      </w:r>
      <w:r w:rsidRPr="00AB4AAA">
        <w:rPr>
          <w:rFonts w:ascii="Georgia" w:hAnsi="Georgia" w:cs="Arial"/>
          <w:sz w:val="24"/>
          <w:szCs w:val="24"/>
        </w:rPr>
        <w:t>).</w:t>
      </w:r>
    </w:p>
    <w:p w:rsidR="000D01DC" w:rsidRPr="00741970" w:rsidRDefault="000D01DC" w:rsidP="00F839CE">
      <w:pPr>
        <w:pStyle w:val="Textoindependiente"/>
        <w:widowControl w:val="0"/>
        <w:spacing w:line="360" w:lineRule="auto"/>
        <w:rPr>
          <w:rFonts w:ascii="Georgia" w:hAnsi="Georgia" w:cs="Arial"/>
          <w:sz w:val="24"/>
          <w:szCs w:val="24"/>
        </w:rPr>
      </w:pPr>
    </w:p>
    <w:p w:rsidR="001656E3" w:rsidRPr="00AB4AAA" w:rsidRDefault="001656E3" w:rsidP="001656E3">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AB4AAA">
        <w:rPr>
          <w:rFonts w:ascii="Georgia" w:hAnsi="Georgia" w:cs="Arial"/>
          <w:sz w:val="24"/>
          <w:szCs w:val="24"/>
        </w:rPr>
        <w:t>LA FUNDAMENTACIÓN JURÍDICA PARA RESOLVER</w:t>
      </w:r>
    </w:p>
    <w:p w:rsidR="001656E3" w:rsidRPr="00741970" w:rsidRDefault="001656E3" w:rsidP="001656E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1656E3" w:rsidRPr="00AB4AAA" w:rsidRDefault="001656E3" w:rsidP="001656E3">
      <w:pPr>
        <w:pStyle w:val="Textoindependiente"/>
        <w:widowControl w:val="0"/>
        <w:numPr>
          <w:ilvl w:val="1"/>
          <w:numId w:val="4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MX"/>
        </w:rPr>
      </w:pPr>
      <w:r w:rsidRPr="00AB4AAA">
        <w:rPr>
          <w:rFonts w:ascii="Georgia" w:hAnsi="Georgia" w:cs="Arial"/>
          <w:smallCaps/>
          <w:sz w:val="24"/>
          <w:szCs w:val="24"/>
        </w:rPr>
        <w:t>La competencia funcional.</w:t>
      </w:r>
      <w:r w:rsidRPr="00AB4AAA">
        <w:rPr>
          <w:rFonts w:ascii="Georgia" w:hAnsi="Georgia" w:cs="Arial"/>
          <w:sz w:val="24"/>
          <w:szCs w:val="24"/>
        </w:rPr>
        <w:t xml:space="preserve"> </w:t>
      </w:r>
      <w:r w:rsidRPr="00AB4AAA">
        <w:rPr>
          <w:rFonts w:ascii="Georgia" w:hAnsi="Georgia" w:cs="Arial"/>
          <w:sz w:val="24"/>
          <w:szCs w:val="24"/>
          <w:lang w:val="es-CO"/>
        </w:rPr>
        <w:t>Esta Sala especializada está facultada en forma legal para desatar la controversia puesta a su consideración, por ser la superiora jerárquica del Despacho que conoció en primera instancia (Artículo 32 del Decreto 2591 de 1991).</w:t>
      </w:r>
    </w:p>
    <w:p w:rsidR="001656E3" w:rsidRDefault="001656E3" w:rsidP="001656E3">
      <w:pPr>
        <w:pStyle w:val="Textoindependiente"/>
        <w:widowControl w:val="0"/>
        <w:numPr>
          <w:ilvl w:val="1"/>
          <w:numId w:val="46"/>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AB4AAA">
        <w:rPr>
          <w:rFonts w:ascii="Georgia" w:hAnsi="Georgia" w:cs="Arial"/>
          <w:smallCaps/>
          <w:sz w:val="24"/>
          <w:szCs w:val="24"/>
        </w:rPr>
        <w:t xml:space="preserve">El problema jurídico a resolver. </w:t>
      </w:r>
      <w:r w:rsidRPr="00AB4AAA">
        <w:rPr>
          <w:rFonts w:ascii="Georgia" w:hAnsi="Georgia" w:cs="Arial"/>
          <w:sz w:val="24"/>
          <w:szCs w:val="24"/>
        </w:rPr>
        <w:t xml:space="preserve">¿Es procedente confirmar, modificar o revocar la sentencia del </w:t>
      </w:r>
      <w:r w:rsidRPr="00AB4AAA">
        <w:rPr>
          <w:rFonts w:ascii="Georgia" w:hAnsi="Georgia"/>
          <w:sz w:val="24"/>
        </w:rPr>
        <w:t xml:space="preserve">Juzgado </w:t>
      </w:r>
      <w:r w:rsidR="00AB4AAA">
        <w:rPr>
          <w:rFonts w:ascii="Georgia" w:hAnsi="Georgia"/>
          <w:sz w:val="24"/>
        </w:rPr>
        <w:t>Segundo</w:t>
      </w:r>
      <w:r w:rsidRPr="00AB4AAA">
        <w:rPr>
          <w:rFonts w:ascii="Georgia" w:hAnsi="Georgia"/>
          <w:sz w:val="24"/>
        </w:rPr>
        <w:t xml:space="preserve"> Civil del </w:t>
      </w:r>
      <w:r w:rsidRPr="00AB4AAA">
        <w:rPr>
          <w:rFonts w:ascii="Georgia" w:hAnsi="Georgia" w:cs="Arial"/>
          <w:sz w:val="24"/>
          <w:szCs w:val="24"/>
        </w:rPr>
        <w:t>Circuito de Pereira, según la impugnación presentada por la parte actora?</w:t>
      </w:r>
    </w:p>
    <w:p w:rsidR="00741970" w:rsidRPr="00AB4AAA" w:rsidRDefault="00741970" w:rsidP="00741970">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rPr>
      </w:pPr>
    </w:p>
    <w:p w:rsidR="001656E3" w:rsidRPr="00AB4AAA" w:rsidRDefault="001656E3" w:rsidP="001656E3">
      <w:pPr>
        <w:pStyle w:val="Textoindependiente"/>
        <w:numPr>
          <w:ilvl w:val="1"/>
          <w:numId w:val="46"/>
        </w:numPr>
        <w:tabs>
          <w:tab w:val="clear" w:pos="708"/>
          <w:tab w:val="clear" w:pos="1416"/>
          <w:tab w:val="left" w:pos="709"/>
          <w:tab w:val="left" w:pos="1418"/>
        </w:tabs>
        <w:spacing w:line="360" w:lineRule="auto"/>
        <w:rPr>
          <w:rFonts w:ascii="Georgia" w:hAnsi="Georgia"/>
          <w:smallCaps/>
          <w:szCs w:val="24"/>
        </w:rPr>
      </w:pPr>
      <w:r w:rsidRPr="00AB4AAA">
        <w:rPr>
          <w:rFonts w:ascii="Georgia" w:hAnsi="Georgia"/>
          <w:smallCaps/>
          <w:sz w:val="24"/>
          <w:szCs w:val="24"/>
        </w:rPr>
        <w:t>Los presupuestos generales de procedencia</w:t>
      </w:r>
    </w:p>
    <w:p w:rsidR="001656E3" w:rsidRPr="00741970" w:rsidRDefault="001656E3" w:rsidP="001656E3">
      <w:pPr>
        <w:pStyle w:val="Textoindependiente"/>
        <w:tabs>
          <w:tab w:val="clear" w:pos="708"/>
          <w:tab w:val="clear" w:pos="1416"/>
          <w:tab w:val="left" w:pos="709"/>
          <w:tab w:val="left" w:pos="1418"/>
        </w:tabs>
        <w:spacing w:line="360" w:lineRule="auto"/>
        <w:rPr>
          <w:rFonts w:ascii="Georgia" w:hAnsi="Georgia"/>
          <w:smallCaps/>
          <w:sz w:val="24"/>
          <w:szCs w:val="24"/>
        </w:rPr>
      </w:pPr>
    </w:p>
    <w:p w:rsidR="001656E3" w:rsidRPr="00AB4AAA" w:rsidRDefault="001656E3" w:rsidP="001656E3">
      <w:pPr>
        <w:pStyle w:val="Textoindependiente"/>
        <w:numPr>
          <w:ilvl w:val="2"/>
          <w:numId w:val="46"/>
        </w:numPr>
        <w:spacing w:line="360" w:lineRule="auto"/>
        <w:rPr>
          <w:rFonts w:ascii="Georgia" w:hAnsi="Georgia" w:cs="Arial"/>
          <w:sz w:val="24"/>
          <w:szCs w:val="24"/>
        </w:rPr>
      </w:pPr>
      <w:r w:rsidRPr="00AB4AAA">
        <w:rPr>
          <w:rFonts w:ascii="Georgia" w:hAnsi="Georgia" w:cs="Arial"/>
          <w:smallCaps/>
          <w:sz w:val="22"/>
          <w:szCs w:val="24"/>
        </w:rPr>
        <w:t>La legitimación en la causa</w:t>
      </w:r>
    </w:p>
    <w:p w:rsidR="00780F06" w:rsidRPr="00741970" w:rsidRDefault="00780F06" w:rsidP="00780F06">
      <w:pPr>
        <w:pStyle w:val="Textoindependiente"/>
        <w:tabs>
          <w:tab w:val="clear" w:pos="708"/>
          <w:tab w:val="left" w:pos="709"/>
        </w:tabs>
        <w:spacing w:line="360" w:lineRule="auto"/>
        <w:rPr>
          <w:rFonts w:ascii="Georgia" w:hAnsi="Georgia" w:cs="Arial"/>
          <w:sz w:val="24"/>
          <w:szCs w:val="24"/>
        </w:rPr>
      </w:pPr>
    </w:p>
    <w:p w:rsidR="001656E3" w:rsidRPr="00AB4AAA" w:rsidRDefault="001656E3" w:rsidP="001656E3">
      <w:pPr>
        <w:pStyle w:val="Textoindependiente"/>
        <w:spacing w:line="360" w:lineRule="auto"/>
        <w:rPr>
          <w:rFonts w:ascii="Georgia" w:hAnsi="Georgia" w:cs="Arial"/>
          <w:sz w:val="24"/>
          <w:szCs w:val="24"/>
        </w:rPr>
      </w:pPr>
      <w:r w:rsidRPr="00AB4AAA">
        <w:rPr>
          <w:rFonts w:ascii="Georgia" w:hAnsi="Georgia" w:cs="Arial"/>
          <w:sz w:val="24"/>
          <w:szCs w:val="24"/>
        </w:rPr>
        <w:t xml:space="preserve">Se cumple por activa dado que el </w:t>
      </w:r>
      <w:r w:rsidR="00AB4AAA" w:rsidRPr="00AB4AAA">
        <w:rPr>
          <w:rFonts w:ascii="Georgia" w:hAnsi="Georgia" w:cs="Arial"/>
          <w:sz w:val="24"/>
          <w:szCs w:val="24"/>
        </w:rPr>
        <w:t>actor Nicolás Alberto Mejía Gómez</w:t>
      </w:r>
      <w:r w:rsidR="00A0480D" w:rsidRPr="00AB4AAA">
        <w:rPr>
          <w:rFonts w:ascii="Georgia" w:hAnsi="Georgia" w:cs="Arial"/>
          <w:sz w:val="24"/>
          <w:szCs w:val="24"/>
        </w:rPr>
        <w:t xml:space="preserve"> </w:t>
      </w:r>
      <w:r w:rsidR="00AB4AAA" w:rsidRPr="00AB4AAA">
        <w:rPr>
          <w:rFonts w:ascii="Georgia" w:hAnsi="Georgia" w:cs="Arial"/>
          <w:sz w:val="24"/>
          <w:szCs w:val="24"/>
        </w:rPr>
        <w:t>fue designado en a</w:t>
      </w:r>
      <w:r w:rsidR="00D31D9F">
        <w:rPr>
          <w:rFonts w:ascii="Georgia" w:hAnsi="Georgia" w:cs="Arial"/>
          <w:sz w:val="24"/>
          <w:szCs w:val="24"/>
        </w:rPr>
        <w:t>m</w:t>
      </w:r>
      <w:r w:rsidR="00AB4AAA" w:rsidRPr="00AB4AAA">
        <w:rPr>
          <w:rFonts w:ascii="Georgia" w:hAnsi="Georgia" w:cs="Arial"/>
          <w:sz w:val="24"/>
          <w:szCs w:val="24"/>
        </w:rPr>
        <w:t xml:space="preserve">paro de pobreza en </w:t>
      </w:r>
      <w:r w:rsidRPr="00AB4AAA">
        <w:rPr>
          <w:rFonts w:ascii="Georgia" w:hAnsi="Georgia" w:cs="Arial"/>
          <w:sz w:val="24"/>
          <w:szCs w:val="24"/>
        </w:rPr>
        <w:t>el proceso</w:t>
      </w:r>
      <w:r w:rsidR="00AB4AAA" w:rsidRPr="00AB4AAA">
        <w:rPr>
          <w:rFonts w:ascii="Georgia" w:hAnsi="Georgia" w:cs="Arial"/>
          <w:sz w:val="24"/>
          <w:szCs w:val="24"/>
        </w:rPr>
        <w:t xml:space="preserve"> de ejecución </w:t>
      </w:r>
      <w:r w:rsidRPr="00AB4AAA">
        <w:rPr>
          <w:rFonts w:ascii="Georgia" w:hAnsi="Georgia" w:cs="Arial"/>
          <w:sz w:val="24"/>
          <w:szCs w:val="24"/>
        </w:rPr>
        <w:t xml:space="preserve">en el que se reprocha </w:t>
      </w:r>
      <w:r w:rsidRPr="00AB4AAA">
        <w:rPr>
          <w:rFonts w:ascii="Georgia" w:hAnsi="Georgia" w:cs="Arial"/>
          <w:sz w:val="24"/>
          <w:szCs w:val="24"/>
          <w:lang w:val="es-ES"/>
        </w:rPr>
        <w:t xml:space="preserve">la </w:t>
      </w:r>
      <w:r w:rsidR="00A0480D" w:rsidRPr="00AB4AAA">
        <w:rPr>
          <w:rFonts w:ascii="Georgia" w:hAnsi="Georgia" w:cs="Arial"/>
          <w:sz w:val="24"/>
          <w:szCs w:val="24"/>
          <w:lang w:val="es-ES"/>
        </w:rPr>
        <w:t>vulneración o amenaza de sus derechos</w:t>
      </w:r>
      <w:r w:rsidRPr="00AB4AAA">
        <w:rPr>
          <w:rFonts w:ascii="Georgia" w:hAnsi="Georgia" w:cs="Arial"/>
          <w:sz w:val="24"/>
          <w:szCs w:val="24"/>
        </w:rPr>
        <w:t>.</w:t>
      </w:r>
      <w:r w:rsidRPr="00AB4AAA">
        <w:rPr>
          <w:rFonts w:ascii="Georgia" w:hAnsi="Georgia"/>
          <w:sz w:val="24"/>
          <w:szCs w:val="24"/>
        </w:rPr>
        <w:t xml:space="preserve"> Y</w:t>
      </w:r>
      <w:r w:rsidRPr="00AB4AAA">
        <w:rPr>
          <w:rFonts w:ascii="Georgia" w:hAnsi="Georgia" w:cs="Arial"/>
          <w:sz w:val="24"/>
          <w:szCs w:val="24"/>
        </w:rPr>
        <w:t xml:space="preserve"> por pasiva, lo es el Juzgado </w:t>
      </w:r>
      <w:r w:rsidR="00AB4AAA" w:rsidRPr="00AB4AAA">
        <w:rPr>
          <w:rFonts w:ascii="Georgia" w:hAnsi="Georgia" w:cs="Arial"/>
          <w:sz w:val="24"/>
          <w:szCs w:val="24"/>
        </w:rPr>
        <w:t>Segundo</w:t>
      </w:r>
      <w:r w:rsidR="00A0480D" w:rsidRPr="00AB4AAA">
        <w:rPr>
          <w:rFonts w:ascii="Georgia" w:hAnsi="Georgia" w:cs="Arial"/>
          <w:sz w:val="24"/>
          <w:szCs w:val="24"/>
        </w:rPr>
        <w:t xml:space="preserve"> </w:t>
      </w:r>
      <w:r w:rsidRPr="00AB4AAA">
        <w:rPr>
          <w:rFonts w:ascii="Georgia" w:hAnsi="Georgia" w:cs="Arial"/>
          <w:sz w:val="24"/>
          <w:szCs w:val="24"/>
        </w:rPr>
        <w:t>Civil Municipal de Pereira, por ser la autoridad judicial que conoce del</w:t>
      </w:r>
      <w:r w:rsidR="00AB4AAA" w:rsidRPr="00AB4AAA">
        <w:rPr>
          <w:rFonts w:ascii="Georgia" w:hAnsi="Georgia" w:cs="Arial"/>
          <w:sz w:val="24"/>
          <w:szCs w:val="24"/>
        </w:rPr>
        <w:t xml:space="preserve"> asunto</w:t>
      </w:r>
      <w:r w:rsidRPr="00AB4AAA">
        <w:rPr>
          <w:rFonts w:ascii="Georgia" w:hAnsi="Georgia" w:cs="Arial"/>
          <w:sz w:val="24"/>
          <w:szCs w:val="24"/>
        </w:rPr>
        <w:t>.</w:t>
      </w:r>
    </w:p>
    <w:p w:rsidR="00A0480D" w:rsidRPr="00741970" w:rsidRDefault="00A0480D" w:rsidP="001656E3">
      <w:pPr>
        <w:pStyle w:val="Textoindependiente"/>
        <w:spacing w:line="360" w:lineRule="auto"/>
        <w:rPr>
          <w:rFonts w:ascii="Georgia" w:hAnsi="Georgia" w:cs="Arial"/>
          <w:sz w:val="24"/>
          <w:szCs w:val="24"/>
        </w:rPr>
      </w:pPr>
    </w:p>
    <w:p w:rsidR="00A0480D" w:rsidRPr="00BB3FA6" w:rsidRDefault="00A0480D" w:rsidP="00A0480D">
      <w:pPr>
        <w:pStyle w:val="Textoindependiente"/>
        <w:numPr>
          <w:ilvl w:val="2"/>
          <w:numId w:val="46"/>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 w:val="24"/>
          <w:szCs w:val="24"/>
        </w:rPr>
      </w:pPr>
      <w:r w:rsidRPr="00BB3FA6">
        <w:rPr>
          <w:rFonts w:ascii="Georgia" w:hAnsi="Georgia" w:cs="Arial"/>
          <w:smallCaps/>
          <w:sz w:val="24"/>
          <w:szCs w:val="24"/>
        </w:rPr>
        <w:t>Las sub-reglas de análisis en la procedibilidad frente a decisiones judiciales</w:t>
      </w:r>
    </w:p>
    <w:p w:rsidR="00AB4AAA" w:rsidRPr="00741970" w:rsidRDefault="00AB4AAA" w:rsidP="00AB4AAA">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 w:val="24"/>
          <w:szCs w:val="24"/>
        </w:rPr>
      </w:pPr>
    </w:p>
    <w:p w:rsidR="00A0480D" w:rsidRPr="00BB3FA6" w:rsidRDefault="00A0480D" w:rsidP="00A0480D">
      <w:pPr>
        <w:pStyle w:val="Textoindependiente"/>
        <w:spacing w:line="360" w:lineRule="auto"/>
        <w:rPr>
          <w:rFonts w:ascii="Georgia" w:hAnsi="Georgia" w:cs="Arial"/>
          <w:sz w:val="24"/>
          <w:szCs w:val="24"/>
        </w:rPr>
      </w:pPr>
      <w:r w:rsidRPr="00BB3FA6">
        <w:rPr>
          <w:rFonts w:ascii="Georgia" w:hAnsi="Georgia" w:cs="Arial"/>
          <w:sz w:val="24"/>
          <w:szCs w:val="24"/>
        </w:rPr>
        <w:t>Desde la sentencia C-543</w:t>
      </w:r>
      <w:r w:rsidRPr="00BB3FA6">
        <w:rPr>
          <w:rFonts w:ascii="Georgia" w:hAnsi="Georgia"/>
          <w:sz w:val="24"/>
          <w:szCs w:val="24"/>
        </w:rPr>
        <w:t xml:space="preserve"> </w:t>
      </w:r>
      <w:r w:rsidRPr="00BB3FA6">
        <w:rPr>
          <w:rFonts w:ascii="Georgia" w:hAnsi="Georgia" w:cs="Arial"/>
          <w:sz w:val="24"/>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BB3FA6">
        <w:rPr>
          <w:rStyle w:val="Refdenotaalpie"/>
          <w:rFonts w:ascii="Georgia" w:hAnsi="Georgia" w:cs="Arial"/>
          <w:sz w:val="24"/>
          <w:szCs w:val="24"/>
        </w:rPr>
        <w:footnoteReference w:id="4"/>
      </w:r>
      <w:r w:rsidRPr="00BB3FA6">
        <w:rPr>
          <w:rFonts w:ascii="Georgia" w:hAnsi="Georgia" w:cs="Arial"/>
          <w:sz w:val="24"/>
          <w:szCs w:val="24"/>
        </w:rPr>
        <w:t>, básicamente sustituyó la expresión “vías de hecho” por la de “causales genéricas de procedibilidad” y ensanchó las causales especiales, pasando de cuatro (4) a ocho (8).  En el mismo sentido Quiroga N.</w:t>
      </w:r>
      <w:r w:rsidRPr="00BB3FA6">
        <w:rPr>
          <w:rStyle w:val="Refdenotaalpie"/>
          <w:rFonts w:ascii="Georgia" w:hAnsi="Georgia"/>
          <w:sz w:val="24"/>
          <w:szCs w:val="24"/>
        </w:rPr>
        <w:footnoteReference w:id="5"/>
      </w:r>
      <w:r w:rsidRPr="00BB3FA6">
        <w:rPr>
          <w:rFonts w:ascii="Georgia" w:hAnsi="Georgia" w:cs="Arial"/>
          <w:sz w:val="24"/>
          <w:szCs w:val="24"/>
        </w:rPr>
        <w:t>.</w:t>
      </w:r>
    </w:p>
    <w:p w:rsidR="00A0480D" w:rsidRPr="00741970" w:rsidRDefault="00A0480D" w:rsidP="00A0480D">
      <w:pPr>
        <w:pStyle w:val="Textoindependiente"/>
        <w:spacing w:line="360" w:lineRule="auto"/>
        <w:rPr>
          <w:rFonts w:ascii="Georgia" w:hAnsi="Georgia" w:cs="Arial"/>
          <w:sz w:val="24"/>
          <w:szCs w:val="24"/>
        </w:rPr>
      </w:pPr>
    </w:p>
    <w:p w:rsidR="00A0480D" w:rsidRPr="00BB3FA6" w:rsidRDefault="00A0480D" w:rsidP="00A0480D">
      <w:pPr>
        <w:pStyle w:val="Textoindependiente"/>
        <w:spacing w:line="360" w:lineRule="auto"/>
        <w:rPr>
          <w:rFonts w:ascii="Georgia" w:hAnsi="Georgia" w:cs="Arial"/>
          <w:sz w:val="24"/>
          <w:szCs w:val="24"/>
        </w:rPr>
      </w:pPr>
      <w:r w:rsidRPr="00BB3FA6">
        <w:rPr>
          <w:rFonts w:ascii="Georgia" w:hAnsi="Georgia" w:cs="Arial"/>
          <w:sz w:val="24"/>
          <w:szCs w:val="24"/>
        </w:rPr>
        <w:t xml:space="preserve">Ahora, en frente  del  examen que se reclama en sede constitucional, resulta de mayúscula trascendencia, precisar que </w:t>
      </w:r>
      <w:r w:rsidRPr="00BB3FA6">
        <w:rPr>
          <w:rFonts w:ascii="Georgia" w:hAnsi="Georgia" w:cs="Arial"/>
          <w:sz w:val="24"/>
          <w:szCs w:val="24"/>
          <w:u w:val="single"/>
        </w:rPr>
        <w:t>se trata de un juicio de validez y no de corrección</w:t>
      </w:r>
      <w:r w:rsidRPr="00BB3FA6">
        <w:rPr>
          <w:rFonts w:ascii="Georgia" w:hAnsi="Georgia" w:cs="Arial"/>
          <w:sz w:val="24"/>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BB3FA6">
        <w:rPr>
          <w:rStyle w:val="Refdenotaalpie"/>
          <w:rFonts w:ascii="Georgia" w:hAnsi="Georgia" w:cs="Arial"/>
          <w:sz w:val="24"/>
          <w:szCs w:val="24"/>
        </w:rPr>
        <w:footnoteReference w:id="6"/>
      </w:r>
      <w:r w:rsidRPr="00BB3FA6">
        <w:rPr>
          <w:rFonts w:ascii="Georgia" w:hAnsi="Georgia" w:cs="Arial"/>
          <w:sz w:val="24"/>
          <w:szCs w:val="24"/>
        </w:rPr>
        <w:t>.</w:t>
      </w:r>
    </w:p>
    <w:p w:rsidR="00A0480D" w:rsidRPr="00741970" w:rsidRDefault="00A0480D" w:rsidP="00A0480D">
      <w:pPr>
        <w:pStyle w:val="Textoindependiente"/>
        <w:spacing w:line="360" w:lineRule="auto"/>
        <w:rPr>
          <w:rFonts w:ascii="Georgia" w:hAnsi="Georgia" w:cs="Arial"/>
          <w:sz w:val="24"/>
          <w:szCs w:val="24"/>
        </w:rPr>
      </w:pPr>
    </w:p>
    <w:p w:rsidR="00D31D9F" w:rsidRPr="00A01C7A" w:rsidRDefault="00D31D9F" w:rsidP="00D31D9F">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 xml:space="preserve">Los requisitos generales de procedibilidad, explicados en amplitud en la sentencia C-590 de </w:t>
      </w:r>
    </w:p>
    <w:p w:rsidR="00D31D9F" w:rsidRDefault="00D31D9F" w:rsidP="00D31D9F">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2005</w:t>
      </w:r>
      <w:r w:rsidRPr="00A01C7A">
        <w:rPr>
          <w:rFonts w:ascii="Georgia" w:hAnsi="Georgia" w:cs="Arial"/>
          <w:spacing w:val="-3"/>
          <w:vertAlign w:val="superscript"/>
          <w:lang w:val="es-ES_tradnl"/>
        </w:rPr>
        <w:footnoteReference w:id="7"/>
      </w:r>
      <w:r w:rsidRPr="00A01C7A">
        <w:rPr>
          <w:rFonts w:ascii="Georgia" w:hAnsi="Georgia" w:cs="Arial"/>
          <w:spacing w:val="-3"/>
          <w:lang w:val="es-ES_tradnl"/>
        </w:rPr>
        <w:t xml:space="preserve"> y reiterados en la consolidada línea jurisprudencial de la CC</w:t>
      </w:r>
      <w:r w:rsidRPr="00A01C7A">
        <w:rPr>
          <w:rFonts w:ascii="Georgia" w:hAnsi="Georgia" w:cs="Arial"/>
          <w:spacing w:val="-3"/>
          <w:vertAlign w:val="superscript"/>
          <w:lang w:val="es-ES_tradnl"/>
        </w:rPr>
        <w:footnoteReference w:id="8"/>
      </w:r>
      <w:r w:rsidRPr="00A01C7A">
        <w:rPr>
          <w:rFonts w:ascii="Georgia" w:hAnsi="Georgia" w:cs="Arial"/>
          <w:spacing w:val="-3"/>
          <w:lang w:val="es-ES_tradnl"/>
        </w:rPr>
        <w:t xml:space="preserve"> (</w:t>
      </w:r>
      <w:r>
        <w:rPr>
          <w:rFonts w:ascii="Georgia" w:hAnsi="Georgia" w:cs="Arial"/>
          <w:spacing w:val="-3"/>
          <w:lang w:val="es-ES_tradnl"/>
        </w:rPr>
        <w:t>2018</w:t>
      </w:r>
      <w:r w:rsidRPr="00A01C7A">
        <w:rPr>
          <w:rFonts w:ascii="Georgia" w:hAnsi="Georgia" w:cs="Arial"/>
          <w:spacing w:val="-3"/>
          <w:lang w:val="es-ES_tradnl"/>
        </w:rPr>
        <w:t>)</w:t>
      </w:r>
      <w:r w:rsidRPr="00A01C7A">
        <w:rPr>
          <w:rFonts w:ascii="Georgia" w:hAnsi="Georgia" w:cs="Times New Roman"/>
          <w:spacing w:val="-3"/>
          <w:vertAlign w:val="superscript"/>
          <w:lang w:val="es-ES_tradnl"/>
        </w:rPr>
        <w:footnoteReference w:id="9"/>
      </w:r>
      <w:r w:rsidRPr="00A01C7A">
        <w:rPr>
          <w:rFonts w:ascii="Georgia" w:hAnsi="Georgia" w:cs="Arial"/>
          <w:spacing w:val="-3"/>
          <w:lang w:val="es-ES_tradnl"/>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01C7A">
        <w:rPr>
          <w:rFonts w:ascii="Georgia" w:hAnsi="Georgia" w:cs="Times New Roman"/>
          <w:spacing w:val="-3"/>
          <w:vertAlign w:val="superscript"/>
          <w:lang w:val="es-ES_tradnl"/>
        </w:rPr>
        <w:footnoteReference w:id="10"/>
      </w:r>
      <w:r w:rsidRPr="00A01C7A">
        <w:rPr>
          <w:rFonts w:ascii="Georgia" w:hAnsi="Georgia" w:cs="Arial"/>
          <w:spacing w:val="-3"/>
          <w:lang w:val="es-ES_tradnl"/>
        </w:rPr>
        <w:t>.</w:t>
      </w:r>
    </w:p>
    <w:p w:rsidR="00741970" w:rsidRPr="00741970" w:rsidRDefault="00741970" w:rsidP="00D31D9F">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741970" w:rsidRDefault="00D31D9F" w:rsidP="00D31D9F">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 xml:space="preserve">De otra parte, </w:t>
      </w:r>
      <w:r w:rsidR="00741970">
        <w:rPr>
          <w:rFonts w:ascii="Georgia" w:hAnsi="Georgia" w:cs="Arial"/>
          <w:spacing w:val="-3"/>
          <w:lang w:val="es-ES_tradnl"/>
        </w:rPr>
        <w:t xml:space="preserve"> </w:t>
      </w:r>
      <w:r w:rsidRPr="00A01C7A">
        <w:rPr>
          <w:rFonts w:ascii="Georgia" w:hAnsi="Georgia" w:cs="Arial"/>
          <w:spacing w:val="-3"/>
          <w:lang w:val="es-ES_tradnl"/>
        </w:rPr>
        <w:t xml:space="preserve">como </w:t>
      </w:r>
      <w:r w:rsidR="00741970">
        <w:rPr>
          <w:rFonts w:ascii="Georgia" w:hAnsi="Georgia" w:cs="Arial"/>
          <w:spacing w:val="-3"/>
          <w:lang w:val="es-ES_tradnl"/>
        </w:rPr>
        <w:t xml:space="preserve"> </w:t>
      </w:r>
      <w:r w:rsidRPr="00A01C7A">
        <w:rPr>
          <w:rFonts w:ascii="Georgia" w:hAnsi="Georgia" w:cs="Arial"/>
          <w:spacing w:val="-3"/>
          <w:lang w:val="es-ES_tradnl"/>
        </w:rPr>
        <w:t>requisitos o causales</w:t>
      </w:r>
      <w:r w:rsidR="00741970">
        <w:rPr>
          <w:rFonts w:ascii="Georgia" w:hAnsi="Georgia" w:cs="Arial"/>
          <w:spacing w:val="-3"/>
          <w:lang w:val="es-ES_tradnl"/>
        </w:rPr>
        <w:t xml:space="preserve"> </w:t>
      </w:r>
      <w:r w:rsidRPr="00A01C7A">
        <w:rPr>
          <w:rFonts w:ascii="Georgia" w:hAnsi="Georgia" w:cs="Arial"/>
          <w:spacing w:val="-3"/>
          <w:lang w:val="es-ES_tradnl"/>
        </w:rPr>
        <w:t xml:space="preserve"> especiales de procedibilidad, </w:t>
      </w:r>
      <w:r w:rsidR="00741970">
        <w:rPr>
          <w:rFonts w:ascii="Georgia" w:hAnsi="Georgia" w:cs="Arial"/>
          <w:spacing w:val="-3"/>
          <w:lang w:val="es-ES_tradnl"/>
        </w:rPr>
        <w:t xml:space="preserve"> </w:t>
      </w:r>
      <w:r w:rsidRPr="00A01C7A">
        <w:rPr>
          <w:rFonts w:ascii="Georgia" w:hAnsi="Georgia" w:cs="Arial"/>
          <w:spacing w:val="-3"/>
          <w:lang w:val="es-ES_tradnl"/>
        </w:rPr>
        <w:t>se han</w:t>
      </w:r>
      <w:r w:rsidR="00741970">
        <w:rPr>
          <w:rFonts w:ascii="Georgia" w:hAnsi="Georgia" w:cs="Arial"/>
          <w:spacing w:val="-3"/>
          <w:lang w:val="es-ES_tradnl"/>
        </w:rPr>
        <w:t xml:space="preserve"> </w:t>
      </w:r>
      <w:r w:rsidRPr="00A01C7A">
        <w:rPr>
          <w:rFonts w:ascii="Georgia" w:hAnsi="Georgia" w:cs="Arial"/>
          <w:spacing w:val="-3"/>
          <w:lang w:val="es-ES_tradnl"/>
        </w:rPr>
        <w:t xml:space="preserve"> definido los </w:t>
      </w:r>
    </w:p>
    <w:p w:rsidR="00D31D9F" w:rsidRPr="00A01C7A" w:rsidRDefault="00D31D9F" w:rsidP="00D31D9F">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 xml:space="preserve">siguientes: (i) Defecto orgánico, (ii) Defecto procedimental, (iii) Defecto fáctico, (iv) Error inducido, (v) Decisión sin motivación, (vi) Defecto material o sustantivo; (vii) </w:t>
      </w:r>
      <w:r w:rsidRPr="00A01C7A">
        <w:rPr>
          <w:rFonts w:ascii="Georgia" w:hAnsi="Georgia" w:cs="Arial"/>
          <w:spacing w:val="-3"/>
          <w:lang w:val="es-ES_tradnl"/>
        </w:rPr>
        <w:lastRenderedPageBreak/>
        <w:t>Desconocimiento del precedente; y, por último, (viii) violación directa de la Carta.  Un sistemático recuento puede leerse en la obra de los doctores Catalina Botero Marino</w:t>
      </w:r>
      <w:r w:rsidRPr="00A01C7A">
        <w:rPr>
          <w:rFonts w:ascii="Georgia" w:hAnsi="Georgia" w:cs="Arial"/>
          <w:spacing w:val="-3"/>
          <w:vertAlign w:val="superscript"/>
          <w:lang w:val="es-ES_tradnl"/>
        </w:rPr>
        <w:footnoteReference w:id="11"/>
      </w:r>
      <w:r w:rsidRPr="00A01C7A">
        <w:rPr>
          <w:rFonts w:ascii="Georgia" w:hAnsi="Georgia" w:cs="Arial"/>
          <w:spacing w:val="-3"/>
          <w:lang w:val="es-ES_tradnl"/>
        </w:rPr>
        <w:t xml:space="preserve"> y Quinche Ramírez</w:t>
      </w:r>
      <w:r w:rsidRPr="00A01C7A">
        <w:rPr>
          <w:rFonts w:ascii="Georgia" w:hAnsi="Georgia" w:cs="Arial"/>
          <w:spacing w:val="-3"/>
          <w:vertAlign w:val="superscript"/>
          <w:lang w:val="es-ES_tradnl"/>
        </w:rPr>
        <w:footnoteReference w:id="12"/>
      </w:r>
      <w:r w:rsidRPr="00A01C7A">
        <w:rPr>
          <w:rFonts w:ascii="Georgia" w:hAnsi="Georgia" w:cs="Arial"/>
          <w:spacing w:val="-3"/>
          <w:lang w:val="es-ES_tradnl"/>
        </w:rPr>
        <w:t>.</w:t>
      </w:r>
    </w:p>
    <w:p w:rsidR="00D31D9F" w:rsidRPr="00741970" w:rsidRDefault="00D31D9F" w:rsidP="00D31D9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z w:val="24"/>
          <w:szCs w:val="24"/>
          <w:lang w:val="es-ES"/>
        </w:rPr>
      </w:pPr>
    </w:p>
    <w:p w:rsidR="00D31D9F" w:rsidRDefault="00D31D9F" w:rsidP="00D31D9F">
      <w:pPr>
        <w:pStyle w:val="Prrafodelista"/>
        <w:numPr>
          <w:ilvl w:val="2"/>
          <w:numId w:val="46"/>
        </w:numPr>
        <w:spacing w:after="0" w:line="360" w:lineRule="auto"/>
        <w:ind w:right="51"/>
        <w:jc w:val="both"/>
        <w:rPr>
          <w:rFonts w:ascii="Georgia" w:hAnsi="Georgia"/>
          <w:smallCaps/>
          <w:sz w:val="24"/>
          <w:lang w:val="es-ES_tradnl"/>
        </w:rPr>
      </w:pPr>
      <w:r w:rsidRPr="00D31D9F">
        <w:rPr>
          <w:rFonts w:ascii="Georgia" w:hAnsi="Georgia" w:cs="Arial"/>
          <w:smallCaps/>
          <w:sz w:val="24"/>
          <w:lang w:val="es-ES_tradnl"/>
        </w:rPr>
        <w:t xml:space="preserve">La causal especial </w:t>
      </w:r>
      <w:r w:rsidRPr="00D31D9F">
        <w:rPr>
          <w:rFonts w:ascii="Georgia" w:hAnsi="Georgia"/>
          <w:smallCaps/>
          <w:sz w:val="24"/>
          <w:lang w:val="es-ES_tradnl"/>
        </w:rPr>
        <w:t>de procedibilidad alegada</w:t>
      </w:r>
    </w:p>
    <w:p w:rsidR="00D31D9F" w:rsidRPr="00741970" w:rsidRDefault="00D31D9F" w:rsidP="00D31D9F">
      <w:pPr>
        <w:pStyle w:val="Prrafodelista"/>
        <w:spacing w:after="0" w:line="360" w:lineRule="auto"/>
        <w:ind w:right="51"/>
        <w:jc w:val="both"/>
        <w:rPr>
          <w:rFonts w:ascii="Georgia" w:hAnsi="Georgia"/>
          <w:smallCaps/>
          <w:sz w:val="24"/>
          <w:lang w:val="es-ES_tradnl"/>
        </w:rPr>
      </w:pPr>
    </w:p>
    <w:p w:rsidR="00974833" w:rsidRPr="00926444" w:rsidRDefault="00974833" w:rsidP="00974833">
      <w:pPr>
        <w:pStyle w:val="Textoindependiente"/>
        <w:numPr>
          <w:ilvl w:val="3"/>
          <w:numId w:val="46"/>
        </w:numPr>
        <w:shd w:val="clear" w:color="auto" w:fill="FFFFFF" w:themeFill="background1"/>
        <w:spacing w:line="360" w:lineRule="auto"/>
        <w:rPr>
          <w:rFonts w:ascii="Georgia" w:hAnsi="Georgia" w:cs="Arial"/>
          <w:sz w:val="24"/>
          <w:szCs w:val="24"/>
        </w:rPr>
      </w:pPr>
      <w:r w:rsidRPr="00926444">
        <w:rPr>
          <w:rFonts w:ascii="Georgia" w:hAnsi="Georgia"/>
          <w:smallCaps/>
          <w:sz w:val="24"/>
          <w:szCs w:val="24"/>
        </w:rPr>
        <w:t>El defecto sustantivo o material</w:t>
      </w:r>
    </w:p>
    <w:p w:rsidR="00974833" w:rsidRPr="00926444" w:rsidRDefault="00974833" w:rsidP="00974833">
      <w:pPr>
        <w:spacing w:line="360" w:lineRule="auto"/>
        <w:ind w:right="22"/>
        <w:jc w:val="both"/>
        <w:rPr>
          <w:rFonts w:ascii="Georgia" w:hAnsi="Georgia" w:cs="Arial"/>
          <w:szCs w:val="22"/>
          <w:lang w:val="es-ES_tradnl"/>
        </w:rPr>
      </w:pPr>
    </w:p>
    <w:p w:rsidR="00974833" w:rsidRDefault="00974833" w:rsidP="00974833">
      <w:pPr>
        <w:spacing w:line="360" w:lineRule="auto"/>
        <w:ind w:right="22"/>
        <w:jc w:val="both"/>
        <w:rPr>
          <w:rFonts w:ascii="Georgia" w:hAnsi="Georgia" w:cs="Arial"/>
          <w:szCs w:val="22"/>
          <w:lang w:val="es-ES_tradnl"/>
        </w:rPr>
      </w:pPr>
      <w:r w:rsidRPr="003A0558">
        <w:rPr>
          <w:rFonts w:ascii="Georgia" w:hAnsi="Georgia" w:cs="Arial"/>
          <w:szCs w:val="22"/>
          <w:lang w:val="es-ES_tradnl"/>
        </w:rPr>
        <w:t>La doctrina constitucional, a lo largo de su evolución, ha definido aquellos eventos en los cuales se comete tal anomalía, y ha dicho que consiste en una decisión fundada en normas indiscutiblemente inaplicables</w:t>
      </w:r>
      <w:r w:rsidRPr="003A0558">
        <w:rPr>
          <w:rStyle w:val="Refdenotaalpie"/>
          <w:rFonts w:ascii="Georgia" w:hAnsi="Georgia"/>
          <w:szCs w:val="22"/>
        </w:rPr>
        <w:footnoteReference w:id="13"/>
      </w:r>
      <w:r w:rsidRPr="003A0558">
        <w:rPr>
          <w:rFonts w:ascii="Georgia" w:hAnsi="Georgia" w:cs="Arial"/>
          <w:szCs w:val="22"/>
          <w:lang w:val="es-ES_tradnl"/>
        </w:rPr>
        <w:t>, luego en otra decisión</w:t>
      </w:r>
      <w:r w:rsidRPr="003A0558">
        <w:rPr>
          <w:rStyle w:val="Refdenotaalpie"/>
          <w:rFonts w:ascii="Georgia" w:hAnsi="Georgia"/>
          <w:szCs w:val="22"/>
        </w:rPr>
        <w:footnoteReference w:id="14"/>
      </w:r>
      <w:r w:rsidRPr="003A0558">
        <w:rPr>
          <w:rFonts w:ascii="Georgia" w:hAnsi="Georgia" w:cs="Arial"/>
          <w:szCs w:val="22"/>
          <w:lang w:val="es-ES_tradnl"/>
        </w:rPr>
        <w:t xml:space="preserve"> añadió que surge cuando quiera que </w:t>
      </w:r>
      <w:r w:rsidRPr="003A0558">
        <w:rPr>
          <w:rFonts w:ascii="Georgia" w:hAnsi="Georgia" w:cs="Arial"/>
        </w:rPr>
        <w:t>la autoridad judicial desatiende reglas legales o infralegales, que son aplicables para un determinado caso</w:t>
      </w:r>
      <w:r w:rsidRPr="003A0558">
        <w:rPr>
          <w:rFonts w:ascii="Georgia" w:hAnsi="Georgia" w:cs="Arial"/>
          <w:szCs w:val="22"/>
          <w:lang w:val="es-ES_tradnl"/>
        </w:rPr>
        <w:t>.  En desarrollo de esta teoría, se ha ido ampliando esa noción, para prodigar protección en varios eventos</w:t>
      </w:r>
      <w:r w:rsidRPr="003A0558">
        <w:rPr>
          <w:rStyle w:val="Refdenotaalpie"/>
          <w:rFonts w:ascii="Georgia" w:hAnsi="Georgia"/>
          <w:szCs w:val="22"/>
        </w:rPr>
        <w:footnoteReference w:id="15"/>
      </w:r>
      <w:r w:rsidRPr="003A0558">
        <w:rPr>
          <w:rFonts w:ascii="Georgia" w:hAnsi="Georgia" w:cs="Arial"/>
          <w:szCs w:val="22"/>
          <w:lang w:val="es-ES_tradnl"/>
        </w:rPr>
        <w:t>, al efecto tiene precisadas distintas variables:</w:t>
      </w:r>
    </w:p>
    <w:p w:rsidR="00974833" w:rsidRPr="009404D7" w:rsidRDefault="00974833" w:rsidP="00974833">
      <w:pPr>
        <w:spacing w:line="360" w:lineRule="auto"/>
        <w:ind w:right="22"/>
        <w:jc w:val="both"/>
        <w:rPr>
          <w:rFonts w:ascii="Georgia" w:hAnsi="Georgia" w:cs="Arial"/>
          <w:sz w:val="20"/>
          <w:szCs w:val="22"/>
          <w:lang w:val="es-ES_tradnl"/>
        </w:rPr>
      </w:pPr>
    </w:p>
    <w:p w:rsidR="00974833" w:rsidRPr="003A0558" w:rsidRDefault="00974833" w:rsidP="00974833">
      <w:pPr>
        <w:ind w:left="567" w:right="567"/>
        <w:jc w:val="both"/>
        <w:rPr>
          <w:rFonts w:ascii="Georgia" w:hAnsi="Georgia" w:cs="Arial"/>
          <w:iCs/>
          <w:vanish/>
          <w:specVanish/>
        </w:rPr>
      </w:pPr>
      <w:r w:rsidRPr="003A0558">
        <w:rPr>
          <w:rFonts w:ascii="Georgia" w:hAnsi="Georgia" w:cs="Arial"/>
        </w:rPr>
        <w:t>… una providencia judicial adolece de un defecto sustantivo (i) cuando la norma aplicable al caso es claramente inadvertida o no tenida en cuenta por el fallador</w:t>
      </w:r>
      <w:r w:rsidRPr="003A0558">
        <w:rPr>
          <w:rFonts w:ascii="Georgia" w:hAnsi="Georgia" w:cs="Arial"/>
          <w:vertAlign w:val="superscript"/>
        </w:rPr>
        <w:footnoteReference w:id="16"/>
      </w:r>
      <w:r w:rsidRPr="003A0558">
        <w:rPr>
          <w:rFonts w:ascii="Georgia" w:hAnsi="Georgia" w:cs="Arial"/>
        </w:rPr>
        <w:t>, (ii) cuando a pesar del amplio margen interpretativo que la Constitución le reconoce a las autoridades judiciales, la aplicación final de la regla es inaceptable por tratarse de una interpretación contraevidente</w:t>
      </w:r>
      <w:r w:rsidRPr="003A0558">
        <w:rPr>
          <w:rFonts w:ascii="Georgia" w:hAnsi="Georgia" w:cs="Arial"/>
          <w:vertAlign w:val="superscript"/>
        </w:rPr>
        <w:footnoteReference w:id="17"/>
      </w:r>
      <w:r w:rsidRPr="003A0558">
        <w:rPr>
          <w:rFonts w:ascii="Georgia" w:hAnsi="Georgia" w:cs="Arial"/>
        </w:rPr>
        <w:t xml:space="preserve"> (interpretación </w:t>
      </w:r>
      <w:r w:rsidRPr="003A0558">
        <w:rPr>
          <w:rFonts w:ascii="Georgia" w:hAnsi="Georgia" w:cs="Arial"/>
          <w:iCs/>
        </w:rPr>
        <w:t xml:space="preserve">contra </w:t>
      </w:r>
      <w:r w:rsidRPr="003A0558">
        <w:rPr>
          <w:rFonts w:ascii="Georgia" w:hAnsi="Georgia" w:cs="Arial"/>
          <w:i/>
          <w:iCs/>
        </w:rPr>
        <w:t>legem</w:t>
      </w:r>
      <w:r w:rsidRPr="003A0558">
        <w:rPr>
          <w:rFonts w:ascii="Georgia" w:hAnsi="Georgia" w:cs="Arial"/>
        </w:rPr>
        <w:t>) o claramente perjudicial para los intereses legítimos de una de las partes</w:t>
      </w:r>
      <w:r w:rsidRPr="003A0558">
        <w:rPr>
          <w:rFonts w:ascii="Georgia" w:hAnsi="Georgia" w:cs="Arial"/>
          <w:vertAlign w:val="superscript"/>
        </w:rPr>
        <w:footnoteReference w:id="18"/>
      </w:r>
      <w:r w:rsidRPr="003A0558">
        <w:rPr>
          <w:rFonts w:ascii="Georgia" w:hAnsi="Georgia" w:cs="Arial"/>
        </w:rPr>
        <w:t xml:space="preserve"> (irrazonable o desproporcionada), y finalmente (iii) cuando el fallador desconoce las sentencias con efectos </w:t>
      </w:r>
      <w:r w:rsidRPr="003A0558">
        <w:rPr>
          <w:rFonts w:ascii="Georgia" w:hAnsi="Georgia" w:cs="Arial"/>
          <w:iCs/>
        </w:rPr>
        <w:t xml:space="preserve">erga omnes </w:t>
      </w:r>
      <w:r w:rsidRPr="003A0558">
        <w:rPr>
          <w:rFonts w:ascii="Georgia" w:hAnsi="Georgia" w:cs="Arial"/>
        </w:rPr>
        <w:t>tanto de la jurisdicción constitucional como de la jurisdicción de lo contencioso administrativo, cuyos precedentes se ubican en el mismo rango de la norma sobre la que pesa la cosa juzgada respectiva</w:t>
      </w:r>
    </w:p>
    <w:p w:rsidR="00974833" w:rsidRPr="003A0558" w:rsidRDefault="00974833" w:rsidP="00974833">
      <w:pPr>
        <w:ind w:left="567" w:right="567"/>
        <w:jc w:val="both"/>
        <w:rPr>
          <w:rFonts w:ascii="Georgia" w:hAnsi="Georgia" w:cs="Arial"/>
        </w:rPr>
      </w:pPr>
      <w:r w:rsidRPr="003A0558">
        <w:rPr>
          <w:rStyle w:val="Refdenotaalpie"/>
          <w:rFonts w:ascii="Georgia" w:hAnsi="Georgia"/>
          <w:iCs/>
        </w:rPr>
        <w:footnoteReference w:id="19"/>
      </w:r>
      <w:r w:rsidRPr="003A0558">
        <w:rPr>
          <w:rFonts w:ascii="Georgia" w:hAnsi="Georgia" w:cs="Arial"/>
          <w:iCs/>
        </w:rPr>
        <w:t>.</w:t>
      </w:r>
    </w:p>
    <w:p w:rsidR="00974833" w:rsidRPr="00926444" w:rsidRDefault="00974833" w:rsidP="00974833">
      <w:pPr>
        <w:pStyle w:val="Textoindependiente"/>
        <w:spacing w:line="360" w:lineRule="auto"/>
        <w:rPr>
          <w:rFonts w:ascii="Georgia" w:hAnsi="Georgia" w:cs="Arial"/>
          <w:sz w:val="24"/>
        </w:rPr>
      </w:pPr>
    </w:p>
    <w:p w:rsidR="00974833" w:rsidRPr="00926444" w:rsidRDefault="00974833" w:rsidP="00974833">
      <w:pPr>
        <w:pStyle w:val="Textoindependiente"/>
        <w:spacing w:line="360" w:lineRule="auto"/>
        <w:rPr>
          <w:rFonts w:ascii="Georgia" w:hAnsi="Georgia" w:cs="Arial"/>
          <w:sz w:val="24"/>
        </w:rPr>
      </w:pPr>
      <w:r w:rsidRPr="00926444">
        <w:rPr>
          <w:rFonts w:ascii="Georgia" w:hAnsi="Georgia" w:cs="Arial"/>
          <w:sz w:val="24"/>
        </w:rPr>
        <w:t>Así mismo el alto Tribunal Constitucional</w:t>
      </w:r>
      <w:r w:rsidRPr="00926444">
        <w:rPr>
          <w:rStyle w:val="Refdenotaalpie"/>
          <w:rFonts w:ascii="Georgia" w:hAnsi="Georgia"/>
          <w:sz w:val="24"/>
        </w:rPr>
        <w:footnoteReference w:id="20"/>
      </w:r>
      <w:r w:rsidRPr="00926444">
        <w:rPr>
          <w:rFonts w:ascii="Georgia" w:hAnsi="Georgia" w:cs="Arial"/>
          <w:sz w:val="24"/>
        </w:rPr>
        <w:t xml:space="preserve">, señaló: </w:t>
      </w:r>
    </w:p>
    <w:p w:rsidR="00974833" w:rsidRPr="003A0558" w:rsidRDefault="00974833" w:rsidP="00974833">
      <w:pPr>
        <w:ind w:left="567" w:right="567"/>
        <w:jc w:val="both"/>
        <w:rPr>
          <w:rFonts w:ascii="Georgia" w:hAnsi="Georgia" w:cs="Arial"/>
        </w:rPr>
      </w:pPr>
      <w:r w:rsidRPr="003A0558">
        <w:rPr>
          <w:rFonts w:ascii="Georgia" w:hAnsi="Georgia"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3A0558">
        <w:rPr>
          <w:rFonts w:ascii="Georgia" w:hAnsi="Georgia" w:cs="Arial"/>
          <w:u w:val="single"/>
        </w:rPr>
        <w:t xml:space="preserve">o </w:t>
      </w:r>
      <w:r w:rsidRPr="003A0558">
        <w:rPr>
          <w:rFonts w:ascii="Georgia" w:hAnsi="Georgia" w:cs="Arial"/>
          <w:i/>
          <w:u w:val="single"/>
        </w:rPr>
        <w:t>interprete en forma contraevidente, irrazonable o desproporcionada la norma aplicable</w:t>
      </w:r>
      <w:r w:rsidRPr="003A0558">
        <w:rPr>
          <w:rFonts w:ascii="Georgia" w:hAnsi="Georgia" w:cs="Arial"/>
          <w:i/>
        </w:rPr>
        <w:t>.</w:t>
      </w:r>
      <w:r w:rsidRPr="003A0558">
        <w:rPr>
          <w:rFonts w:ascii="Georgia" w:hAnsi="Georgia" w:cs="Arial"/>
        </w:rPr>
        <w:t xml:space="preserve">  </w:t>
      </w:r>
    </w:p>
    <w:p w:rsidR="00974833" w:rsidRPr="00926444" w:rsidRDefault="00974833" w:rsidP="00974833">
      <w:pPr>
        <w:pStyle w:val="Textoindependiente"/>
        <w:spacing w:line="240" w:lineRule="auto"/>
        <w:rPr>
          <w:rFonts w:ascii="Georgia" w:hAnsi="Georgia" w:cs="Arial"/>
          <w:sz w:val="22"/>
        </w:rPr>
      </w:pPr>
    </w:p>
    <w:p w:rsidR="00974833" w:rsidRPr="00926444" w:rsidRDefault="00974833" w:rsidP="00974833">
      <w:pPr>
        <w:pStyle w:val="Textoindependiente"/>
        <w:spacing w:line="240" w:lineRule="auto"/>
        <w:ind w:left="567" w:right="567"/>
        <w:rPr>
          <w:rFonts w:ascii="Georgia" w:hAnsi="Georgia" w:cs="Arial"/>
          <w:spacing w:val="0"/>
          <w:sz w:val="24"/>
          <w:szCs w:val="24"/>
          <w:lang w:val="es-ES"/>
        </w:rPr>
      </w:pPr>
      <w:r w:rsidRPr="00926444">
        <w:rPr>
          <w:rFonts w:ascii="Georgia" w:hAnsi="Georgia" w:cs="Arial"/>
          <w:spacing w:val="0"/>
          <w:sz w:val="24"/>
          <w:szCs w:val="24"/>
          <w:lang w:val="es-ES"/>
        </w:rPr>
        <w:t>Así las cosas, constituye un defecto material o sustantivo la decisión judicial que se funda en una interpretación indebida de una disposición legal.  (Sublínea fuera de texto).</w:t>
      </w:r>
    </w:p>
    <w:p w:rsidR="00974833" w:rsidRPr="00926444" w:rsidRDefault="00974833" w:rsidP="00974833">
      <w:pPr>
        <w:spacing w:line="360" w:lineRule="auto"/>
        <w:jc w:val="both"/>
        <w:rPr>
          <w:rFonts w:ascii="Georgia" w:hAnsi="Georgia" w:cs="Arial"/>
          <w:sz w:val="28"/>
          <w:lang w:val="es-ES_tradnl"/>
        </w:rPr>
      </w:pPr>
    </w:p>
    <w:p w:rsidR="00974833" w:rsidRPr="003A0558" w:rsidRDefault="00974833" w:rsidP="00974833">
      <w:pPr>
        <w:spacing w:line="360" w:lineRule="auto"/>
        <w:jc w:val="both"/>
        <w:rPr>
          <w:rFonts w:ascii="Georgia" w:hAnsi="Georgia" w:cs="Arial"/>
          <w:lang w:val="es-ES_tradnl"/>
        </w:rPr>
      </w:pPr>
      <w:r w:rsidRPr="003A0558">
        <w:rPr>
          <w:rFonts w:ascii="Georgia" w:hAnsi="Georgia" w:cs="Arial"/>
          <w:lang w:val="es-ES_tradnl"/>
        </w:rPr>
        <w:lastRenderedPageBreak/>
        <w:t>Criterio reiterado en varias y recientes decisiones</w:t>
      </w:r>
      <w:r w:rsidRPr="003A0558">
        <w:rPr>
          <w:rStyle w:val="Refdenotaalpie"/>
          <w:rFonts w:ascii="Georgia" w:hAnsi="Georgia"/>
        </w:rPr>
        <w:footnoteReference w:id="21"/>
      </w:r>
      <w:r w:rsidRPr="003A0558">
        <w:rPr>
          <w:rFonts w:ascii="Georgia" w:hAnsi="Georgia" w:cs="Arial"/>
          <w:lang w:val="es-ES_tradnl"/>
        </w:rPr>
        <w:t>, según el análisis de la línea decisional sobre el tema.</w:t>
      </w:r>
    </w:p>
    <w:p w:rsidR="00974833" w:rsidRPr="00974833" w:rsidRDefault="00974833" w:rsidP="00974833">
      <w:pPr>
        <w:pStyle w:val="Textoindependiente"/>
        <w:spacing w:line="360" w:lineRule="auto"/>
        <w:ind w:left="1080"/>
        <w:rPr>
          <w:rFonts w:ascii="Georgia" w:hAnsi="Georgia" w:cs="Arial"/>
          <w:smallCaps/>
          <w:sz w:val="24"/>
          <w:szCs w:val="24"/>
        </w:rPr>
      </w:pPr>
    </w:p>
    <w:p w:rsidR="00741970" w:rsidRPr="00741970" w:rsidRDefault="00741970" w:rsidP="00741970">
      <w:pPr>
        <w:pStyle w:val="Textoindependiente"/>
        <w:numPr>
          <w:ilvl w:val="3"/>
          <w:numId w:val="46"/>
        </w:numPr>
        <w:spacing w:line="360" w:lineRule="auto"/>
        <w:rPr>
          <w:rFonts w:ascii="Georgia" w:hAnsi="Georgia" w:cs="Arial"/>
          <w:smallCaps/>
          <w:sz w:val="24"/>
          <w:szCs w:val="24"/>
        </w:rPr>
      </w:pPr>
      <w:r w:rsidRPr="00F851F3">
        <w:rPr>
          <w:rFonts w:ascii="Georgia" w:hAnsi="Georgia" w:cs="Arial"/>
          <w:smallCaps/>
          <w:sz w:val="22"/>
          <w:szCs w:val="24"/>
        </w:rPr>
        <w:t>El desconocimiento del precedente</w:t>
      </w:r>
    </w:p>
    <w:p w:rsidR="00741970" w:rsidRPr="00741970" w:rsidRDefault="00741970" w:rsidP="00741970">
      <w:pPr>
        <w:pStyle w:val="Textoindependiente"/>
        <w:spacing w:line="360" w:lineRule="auto"/>
        <w:ind w:left="1080"/>
        <w:rPr>
          <w:rFonts w:ascii="Georgia" w:hAnsi="Georgia" w:cs="Arial"/>
          <w:smallCaps/>
          <w:sz w:val="24"/>
          <w:szCs w:val="24"/>
        </w:rPr>
      </w:pPr>
    </w:p>
    <w:p w:rsidR="00741970" w:rsidRDefault="00741970" w:rsidP="00741970">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eastAsia="es-MX"/>
        </w:rPr>
      </w:pPr>
      <w:r w:rsidRPr="00A01C7A">
        <w:rPr>
          <w:rFonts w:ascii="Georgia" w:hAnsi="Georgia" w:cs="Arial"/>
          <w:spacing w:val="-3"/>
          <w:lang w:val="es-ES_tradnl"/>
        </w:rPr>
        <w:t xml:space="preserve">Se entiende por </w:t>
      </w:r>
      <w:r w:rsidRPr="00A01C7A">
        <w:rPr>
          <w:rFonts w:ascii="Georgia" w:hAnsi="Georgia" w:cs="Arial"/>
          <w:bCs/>
          <w:spacing w:val="-3"/>
          <w:lang w:val="es-ES_tradnl"/>
        </w:rPr>
        <w:t>precedente judicial</w:t>
      </w:r>
      <w:r w:rsidRPr="00A01C7A">
        <w:rPr>
          <w:rFonts w:ascii="Georgia" w:hAnsi="Georgia" w:cs="Arial"/>
          <w:spacing w:val="-3"/>
          <w:vertAlign w:val="superscript"/>
          <w:lang w:val="es-ES_tradnl"/>
        </w:rPr>
        <w:footnoteReference w:id="22"/>
      </w:r>
      <w:r w:rsidRPr="00A01C7A">
        <w:rPr>
          <w:rFonts w:ascii="Georgia" w:hAnsi="Georgia" w:cs="Arial"/>
          <w:bCs/>
          <w:spacing w:val="-3"/>
          <w:lang w:val="es-ES_tradnl"/>
        </w:rPr>
        <w:t>, ha dicho la CC</w:t>
      </w:r>
      <w:r w:rsidRPr="00A01C7A">
        <w:rPr>
          <w:rFonts w:ascii="Georgia" w:hAnsi="Georgia" w:cs="Times New Roman"/>
          <w:bCs/>
          <w:spacing w:val="-3"/>
          <w:vertAlign w:val="superscript"/>
          <w:lang w:val="es-ES_tradnl"/>
        </w:rPr>
        <w:footnoteReference w:id="23"/>
      </w:r>
      <w:r w:rsidRPr="00A01C7A">
        <w:rPr>
          <w:rFonts w:ascii="Georgia" w:hAnsi="Georgia" w:cs="Arial"/>
          <w:spacing w:val="-3"/>
          <w:lang w:val="es-ES_tradnl"/>
        </w:rPr>
        <w:t xml:space="preserve">: </w:t>
      </w:r>
      <w:r w:rsidRPr="00A01C7A">
        <w:rPr>
          <w:rFonts w:ascii="Georgia" w:hAnsi="Georgia" w:cs="Arial"/>
          <w:i/>
          <w:spacing w:val="-3"/>
          <w:sz w:val="22"/>
          <w:lang w:val="es-ES_tradnl"/>
        </w:rPr>
        <w:t xml:space="preserve">“(…) </w:t>
      </w:r>
      <w:r w:rsidRPr="00A01C7A">
        <w:rPr>
          <w:rFonts w:ascii="Georgia" w:hAnsi="Georgia" w:cs="Arial"/>
          <w:i/>
          <w:iCs/>
          <w:spacing w:val="-3"/>
          <w:sz w:val="22"/>
          <w:lang w:val="es-CO"/>
        </w:rPr>
        <w:t>por regla general, es aquella sentencia o conjunto de sentencias que presentan similitudes con un caso nuevo objeto de escrutinio en materia de (i) patrones fácticos y (ii) problemas jurídicos, y en las que en su ratio decidendi se ha fijado una regla para resolver la controversia, que sirve también para solucionar el nuevo caso</w:t>
      </w:r>
      <w:r w:rsidRPr="00A01C7A">
        <w:rPr>
          <w:rFonts w:ascii="Georgia" w:hAnsi="Georgia" w:cs="Arial"/>
          <w:i/>
          <w:spacing w:val="-3"/>
          <w:sz w:val="22"/>
        </w:rPr>
        <w:t xml:space="preserve"> </w:t>
      </w:r>
      <w:r w:rsidRPr="00A01C7A">
        <w:rPr>
          <w:rFonts w:ascii="Georgia" w:hAnsi="Georgia" w:cs="Arial"/>
          <w:i/>
          <w:spacing w:val="-3"/>
          <w:sz w:val="22"/>
          <w:lang w:val="es-ES_tradnl"/>
        </w:rPr>
        <w:t>(…)”</w:t>
      </w:r>
      <w:r w:rsidRPr="00A01C7A">
        <w:rPr>
          <w:rFonts w:ascii="Georgia" w:hAnsi="Georgia" w:cs="Arial"/>
          <w:i/>
          <w:spacing w:val="-3"/>
          <w:lang w:val="es-ES_tradnl"/>
        </w:rPr>
        <w:t>.</w:t>
      </w:r>
      <w:r w:rsidRPr="00A01C7A">
        <w:rPr>
          <w:rFonts w:ascii="Georgia" w:hAnsi="Georgia" w:cs="Arial"/>
          <w:spacing w:val="-3"/>
          <w:lang w:val="es-ES_tradnl"/>
        </w:rPr>
        <w:t xml:space="preserve"> </w:t>
      </w:r>
      <w:r>
        <w:rPr>
          <w:rFonts w:ascii="Georgia" w:hAnsi="Georgia" w:cs="Arial"/>
          <w:spacing w:val="-3"/>
          <w:lang w:val="es-ES_tradnl"/>
        </w:rPr>
        <w:t xml:space="preserve"> </w:t>
      </w:r>
      <w:r w:rsidRPr="00A01C7A">
        <w:rPr>
          <w:rFonts w:ascii="Georgia" w:hAnsi="Georgia" w:cs="Arial"/>
          <w:spacing w:val="-3"/>
          <w:lang w:val="es-ES_tradnl"/>
        </w:rPr>
        <w:t xml:space="preserve"> La </w:t>
      </w:r>
      <w:r>
        <w:rPr>
          <w:rFonts w:ascii="Georgia" w:hAnsi="Georgia" w:cs="Arial"/>
          <w:spacing w:val="-3"/>
          <w:lang w:val="es-ES_tradnl"/>
        </w:rPr>
        <w:t xml:space="preserve"> </w:t>
      </w:r>
      <w:r w:rsidRPr="00A01C7A">
        <w:rPr>
          <w:rFonts w:ascii="Georgia" w:hAnsi="Georgia" w:cs="Arial"/>
          <w:spacing w:val="-3"/>
          <w:lang w:val="es-ES_tradnl"/>
        </w:rPr>
        <w:t xml:space="preserve">doctrina </w:t>
      </w:r>
      <w:r>
        <w:rPr>
          <w:rFonts w:ascii="Georgia" w:hAnsi="Georgia" w:cs="Arial"/>
          <w:spacing w:val="-3"/>
          <w:lang w:val="es-ES_tradnl"/>
        </w:rPr>
        <w:t xml:space="preserve"> </w:t>
      </w:r>
      <w:r w:rsidRPr="00A01C7A">
        <w:rPr>
          <w:rFonts w:ascii="Georgia" w:hAnsi="Georgia" w:cs="Arial"/>
          <w:spacing w:val="-3"/>
          <w:lang w:val="es-ES_tradnl"/>
        </w:rPr>
        <w:t xml:space="preserve">nacional </w:t>
      </w:r>
      <w:r>
        <w:rPr>
          <w:rFonts w:ascii="Georgia" w:hAnsi="Georgia" w:cs="Arial"/>
          <w:spacing w:val="-3"/>
          <w:lang w:val="es-ES_tradnl"/>
        </w:rPr>
        <w:t xml:space="preserve"> </w:t>
      </w:r>
      <w:r w:rsidRPr="00A01C7A">
        <w:rPr>
          <w:rFonts w:ascii="Georgia" w:hAnsi="Georgia" w:cs="Arial"/>
          <w:spacing w:val="-3"/>
          <w:lang w:val="es-ES_tradnl"/>
        </w:rPr>
        <w:t xml:space="preserve">más </w:t>
      </w:r>
      <w:r>
        <w:rPr>
          <w:rFonts w:ascii="Georgia" w:hAnsi="Georgia" w:cs="Arial"/>
          <w:spacing w:val="-3"/>
          <w:lang w:val="es-ES_tradnl"/>
        </w:rPr>
        <w:t xml:space="preserve"> </w:t>
      </w:r>
      <w:r w:rsidRPr="00A01C7A">
        <w:rPr>
          <w:rFonts w:ascii="Georgia" w:hAnsi="Georgia" w:cs="Arial"/>
          <w:spacing w:val="-3"/>
          <w:lang w:val="es-ES_tradnl"/>
        </w:rPr>
        <w:t xml:space="preserve">autorizada </w:t>
      </w:r>
      <w:r>
        <w:rPr>
          <w:rFonts w:ascii="Georgia" w:hAnsi="Georgia" w:cs="Arial"/>
          <w:spacing w:val="-3"/>
          <w:lang w:val="es-ES_tradnl"/>
        </w:rPr>
        <w:t xml:space="preserve"> </w:t>
      </w:r>
      <w:r w:rsidRPr="00A01C7A">
        <w:rPr>
          <w:rFonts w:ascii="Georgia" w:hAnsi="Georgia" w:cs="Arial"/>
          <w:spacing w:val="-3"/>
          <w:lang w:val="es-ES_tradnl"/>
        </w:rPr>
        <w:t xml:space="preserve">en </w:t>
      </w:r>
      <w:r>
        <w:rPr>
          <w:rFonts w:ascii="Georgia" w:hAnsi="Georgia" w:cs="Arial"/>
          <w:spacing w:val="-3"/>
          <w:lang w:val="es-ES_tradnl"/>
        </w:rPr>
        <w:t xml:space="preserve"> </w:t>
      </w:r>
      <w:r w:rsidRPr="00A01C7A">
        <w:rPr>
          <w:rFonts w:ascii="Georgia" w:hAnsi="Georgia" w:cs="Arial"/>
          <w:spacing w:val="-3"/>
          <w:lang w:val="es-ES_tradnl"/>
        </w:rPr>
        <w:t xml:space="preserve">esta </w:t>
      </w:r>
      <w:r>
        <w:rPr>
          <w:rFonts w:ascii="Georgia" w:hAnsi="Georgia" w:cs="Arial"/>
          <w:spacing w:val="-3"/>
          <w:lang w:val="es-ES_tradnl"/>
        </w:rPr>
        <w:t xml:space="preserve"> </w:t>
      </w:r>
      <w:r w:rsidRPr="00A01C7A">
        <w:rPr>
          <w:rFonts w:ascii="Georgia" w:hAnsi="Georgia" w:cs="Arial"/>
          <w:spacing w:val="-3"/>
          <w:lang w:val="es-ES_tradnl"/>
        </w:rPr>
        <w:t xml:space="preserve">materia, cuenta con la obra </w:t>
      </w:r>
      <w:r w:rsidRPr="00A01C7A">
        <w:rPr>
          <w:rFonts w:ascii="Georgia" w:hAnsi="Georgia" w:cs="Arial"/>
          <w:spacing w:val="-3"/>
          <w:lang w:val="es-ES_tradnl" w:eastAsia="es-MX"/>
        </w:rPr>
        <w:t xml:space="preserve">del profesor </w:t>
      </w:r>
    </w:p>
    <w:p w:rsidR="00741970" w:rsidRDefault="00741970" w:rsidP="00741970">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eastAsia="es-MX"/>
        </w:rPr>
      </w:pPr>
      <w:r w:rsidRPr="00A01C7A">
        <w:rPr>
          <w:rFonts w:ascii="Georgia" w:hAnsi="Georgia" w:cs="Arial"/>
          <w:spacing w:val="-3"/>
          <w:lang w:val="es-ES_tradnl" w:eastAsia="es-MX"/>
        </w:rPr>
        <w:t>López Medina</w:t>
      </w:r>
      <w:r w:rsidRPr="00A01C7A">
        <w:rPr>
          <w:rFonts w:ascii="Georgia" w:hAnsi="Georgia" w:cs="Arial"/>
          <w:spacing w:val="-3"/>
          <w:vertAlign w:val="superscript"/>
          <w:lang w:val="es-ES_tradnl" w:eastAsia="es-MX"/>
        </w:rPr>
        <w:footnoteReference w:id="24"/>
      </w:r>
      <w:r w:rsidRPr="00A01C7A">
        <w:rPr>
          <w:rFonts w:ascii="Georgia" w:hAnsi="Georgia" w:cs="Arial"/>
          <w:spacing w:val="-3"/>
          <w:lang w:val="es-ES_tradnl" w:eastAsia="es-MX"/>
        </w:rPr>
        <w:t>, que puede consultarse para mayor ilustración académica.</w:t>
      </w:r>
    </w:p>
    <w:p w:rsidR="00974833" w:rsidRPr="00741970" w:rsidRDefault="00974833" w:rsidP="00741970">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iCs/>
          <w:spacing w:val="-3"/>
          <w:sz w:val="22"/>
          <w:lang w:val="es-CO"/>
        </w:rPr>
      </w:pPr>
    </w:p>
    <w:p w:rsidR="00741970" w:rsidRPr="00741970" w:rsidRDefault="00741970" w:rsidP="00741970">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eastAsia="es-CO"/>
        </w:rPr>
      </w:pPr>
      <w:r w:rsidRPr="00A01C7A">
        <w:rPr>
          <w:rFonts w:ascii="Georgia" w:hAnsi="Georgia" w:cs="Arial"/>
          <w:spacing w:val="-3"/>
          <w:lang w:val="es-ES_tradnl" w:eastAsia="es-CO"/>
        </w:rPr>
        <w:t>En</w:t>
      </w:r>
      <w:r>
        <w:rPr>
          <w:rFonts w:ascii="Georgia" w:hAnsi="Georgia" w:cs="Arial"/>
          <w:spacing w:val="-3"/>
          <w:lang w:val="es-ES_tradnl" w:eastAsia="es-CO"/>
        </w:rPr>
        <w:t xml:space="preserve"> </w:t>
      </w:r>
      <w:r w:rsidRPr="00A01C7A">
        <w:rPr>
          <w:rFonts w:ascii="Georgia" w:hAnsi="Georgia" w:cs="Arial"/>
          <w:spacing w:val="-3"/>
          <w:lang w:val="es-ES_tradnl" w:eastAsia="es-CO"/>
        </w:rPr>
        <w:t xml:space="preserve"> la </w:t>
      </w:r>
      <w:r>
        <w:rPr>
          <w:rFonts w:ascii="Georgia" w:hAnsi="Georgia" w:cs="Arial"/>
          <w:spacing w:val="-3"/>
          <w:lang w:val="es-ES_tradnl" w:eastAsia="es-CO"/>
        </w:rPr>
        <w:t xml:space="preserve"> </w:t>
      </w:r>
      <w:r w:rsidRPr="00A01C7A">
        <w:rPr>
          <w:rFonts w:ascii="Georgia" w:hAnsi="Georgia" w:cs="Arial"/>
          <w:spacing w:val="-3"/>
          <w:lang w:val="es-ES_tradnl" w:eastAsia="es-CO"/>
        </w:rPr>
        <w:t xml:space="preserve">teoría </w:t>
      </w:r>
      <w:r>
        <w:rPr>
          <w:rFonts w:ascii="Georgia" w:hAnsi="Georgia" w:cs="Arial"/>
          <w:spacing w:val="-3"/>
          <w:lang w:val="es-ES_tradnl" w:eastAsia="es-CO"/>
        </w:rPr>
        <w:t xml:space="preserve"> </w:t>
      </w:r>
      <w:r w:rsidRPr="00A01C7A">
        <w:rPr>
          <w:rFonts w:ascii="Georgia" w:hAnsi="Georgia" w:cs="Arial"/>
          <w:spacing w:val="-3"/>
          <w:lang w:val="es-ES_tradnl" w:eastAsia="es-CO"/>
        </w:rPr>
        <w:t xml:space="preserve">del </w:t>
      </w:r>
      <w:r>
        <w:rPr>
          <w:rFonts w:ascii="Georgia" w:hAnsi="Georgia" w:cs="Arial"/>
          <w:spacing w:val="-3"/>
          <w:lang w:val="es-ES_tradnl" w:eastAsia="es-CO"/>
        </w:rPr>
        <w:t xml:space="preserve"> </w:t>
      </w:r>
      <w:r w:rsidRPr="00A01C7A">
        <w:rPr>
          <w:rFonts w:ascii="Georgia" w:hAnsi="Georgia" w:cs="Arial"/>
          <w:spacing w:val="-3"/>
          <w:lang w:val="es-ES_tradnl" w:eastAsia="es-CO"/>
        </w:rPr>
        <w:t xml:space="preserve">derecho </w:t>
      </w:r>
      <w:r>
        <w:rPr>
          <w:rFonts w:ascii="Georgia" w:hAnsi="Georgia" w:cs="Arial"/>
          <w:spacing w:val="-3"/>
          <w:lang w:val="es-ES_tradnl" w:eastAsia="es-CO"/>
        </w:rPr>
        <w:t xml:space="preserve"> </w:t>
      </w:r>
      <w:r w:rsidRPr="00A01C7A">
        <w:rPr>
          <w:rFonts w:ascii="Georgia" w:hAnsi="Georgia" w:cs="Arial"/>
          <w:spacing w:val="-3"/>
          <w:lang w:val="es-ES_tradnl" w:eastAsia="es-CO"/>
        </w:rPr>
        <w:t xml:space="preserve">judicial </w:t>
      </w:r>
      <w:r>
        <w:rPr>
          <w:rFonts w:ascii="Georgia" w:hAnsi="Georgia" w:cs="Arial"/>
          <w:spacing w:val="-3"/>
          <w:lang w:val="es-ES_tradnl" w:eastAsia="es-CO"/>
        </w:rPr>
        <w:t xml:space="preserve"> </w:t>
      </w:r>
      <w:r w:rsidRPr="00A01C7A">
        <w:rPr>
          <w:rFonts w:ascii="Georgia" w:hAnsi="Georgia" w:cs="Arial"/>
          <w:spacing w:val="-3"/>
          <w:lang w:val="es-ES_tradnl" w:eastAsia="es-CO"/>
        </w:rPr>
        <w:t xml:space="preserve">y </w:t>
      </w:r>
      <w:r>
        <w:rPr>
          <w:rFonts w:ascii="Georgia" w:hAnsi="Georgia" w:cs="Arial"/>
          <w:spacing w:val="-3"/>
          <w:lang w:val="es-ES_tradnl" w:eastAsia="es-CO"/>
        </w:rPr>
        <w:t xml:space="preserve"> </w:t>
      </w:r>
      <w:r w:rsidRPr="00A01C7A">
        <w:rPr>
          <w:rFonts w:ascii="Georgia" w:hAnsi="Georgia" w:cs="Arial"/>
          <w:spacing w:val="-3"/>
          <w:lang w:val="es-ES_tradnl" w:eastAsia="es-CO"/>
        </w:rPr>
        <w:t xml:space="preserve">en </w:t>
      </w:r>
      <w:r>
        <w:rPr>
          <w:rFonts w:ascii="Georgia" w:hAnsi="Georgia" w:cs="Arial"/>
          <w:spacing w:val="-3"/>
          <w:lang w:val="es-ES_tradnl" w:eastAsia="es-CO"/>
        </w:rPr>
        <w:t xml:space="preserve"> </w:t>
      </w:r>
      <w:r w:rsidRPr="00A01C7A">
        <w:rPr>
          <w:rFonts w:ascii="Georgia" w:hAnsi="Georgia" w:cs="Arial"/>
          <w:spacing w:val="-3"/>
          <w:lang w:val="es-ES_tradnl" w:eastAsia="es-CO"/>
        </w:rPr>
        <w:t xml:space="preserve">particular </w:t>
      </w:r>
      <w:r>
        <w:rPr>
          <w:rFonts w:ascii="Georgia" w:hAnsi="Georgia" w:cs="Arial"/>
          <w:spacing w:val="-3"/>
          <w:lang w:val="es-ES_tradnl" w:eastAsia="es-CO"/>
        </w:rPr>
        <w:t xml:space="preserve"> </w:t>
      </w:r>
      <w:r w:rsidRPr="00A01C7A">
        <w:rPr>
          <w:rFonts w:ascii="Georgia" w:hAnsi="Georgia" w:cs="Arial"/>
          <w:spacing w:val="-3"/>
          <w:lang w:val="es-ES_tradnl" w:eastAsia="es-CO"/>
        </w:rPr>
        <w:t xml:space="preserve">nuestro </w:t>
      </w:r>
      <w:r>
        <w:rPr>
          <w:rFonts w:ascii="Georgia" w:hAnsi="Georgia" w:cs="Arial"/>
          <w:spacing w:val="-3"/>
          <w:lang w:val="es-ES_tradnl" w:eastAsia="es-CO"/>
        </w:rPr>
        <w:t xml:space="preserve"> </w:t>
      </w:r>
      <w:r w:rsidRPr="00A01C7A">
        <w:rPr>
          <w:rFonts w:ascii="Georgia" w:hAnsi="Georgia" w:cs="Arial"/>
          <w:spacing w:val="-3"/>
          <w:lang w:val="es-ES_tradnl" w:eastAsia="es-CO"/>
        </w:rPr>
        <w:t>Alto Tribunal constitucional, se distingue el precedente horizontal y el vertical</w:t>
      </w:r>
      <w:r w:rsidRPr="00A01C7A">
        <w:rPr>
          <w:rFonts w:ascii="Georgia" w:hAnsi="Georgia" w:cs="Arial"/>
          <w:spacing w:val="-3"/>
          <w:vertAlign w:val="superscript"/>
          <w:lang w:val="es-ES_tradnl" w:eastAsia="es-CO"/>
        </w:rPr>
        <w:footnoteReference w:id="25"/>
      </w:r>
      <w:r w:rsidRPr="00A01C7A">
        <w:rPr>
          <w:rFonts w:ascii="Georgia" w:hAnsi="Georgia" w:cs="Arial"/>
          <w:spacing w:val="-3"/>
          <w:lang w:val="es-ES_tradnl" w:eastAsia="es-CO"/>
        </w:rPr>
        <w:t xml:space="preserve"> (2017), según la autoridad judicial que profiere la providencia previa.  El primero alude a las sentencias fijadas por autoridades de la misma jerarquía o el mismo operador judicial, y el segundo está vinculado a los lineamientos trazados por instancias superiores, encargadas de unificar jurisprudencia dentro de la respectiva jurisdicción o a nivel constitucional. Aquí se parafrasean las explicaciones de la CC</w:t>
      </w:r>
      <w:r w:rsidRPr="00A01C7A">
        <w:rPr>
          <w:rFonts w:ascii="Georgia" w:hAnsi="Georgia" w:cs="Times New Roman"/>
          <w:spacing w:val="-3"/>
          <w:vertAlign w:val="superscript"/>
          <w:lang w:val="es-ES_tradnl" w:eastAsia="es-CO"/>
        </w:rPr>
        <w:footnoteReference w:id="26"/>
      </w:r>
      <w:r w:rsidRPr="00A01C7A">
        <w:rPr>
          <w:rFonts w:ascii="Georgia" w:hAnsi="Georgia" w:cs="Arial"/>
          <w:spacing w:val="-3"/>
          <w:lang w:val="es-ES_tradnl" w:eastAsia="es-CO"/>
        </w:rPr>
        <w:t>.</w:t>
      </w:r>
    </w:p>
    <w:p w:rsidR="00741970" w:rsidRPr="00A01C7A" w:rsidRDefault="00741970" w:rsidP="00741970">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lang w:val="es-CO"/>
        </w:rPr>
      </w:pPr>
    </w:p>
    <w:p w:rsidR="00741970" w:rsidRPr="00A01C7A" w:rsidRDefault="00741970" w:rsidP="00741970">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sz w:val="22"/>
          <w:lang w:val="es-ES_tradnl" w:eastAsia="es-CO"/>
        </w:rPr>
      </w:pPr>
      <w:r w:rsidRPr="00A01C7A">
        <w:rPr>
          <w:rFonts w:ascii="Georgia" w:hAnsi="Georgia" w:cs="Times New Roman"/>
          <w:spacing w:val="-3"/>
          <w:lang w:val="es-ES_tradnl"/>
        </w:rPr>
        <w:t xml:space="preserve">En  la  decisión  aludida  concluyó  la  Corporación  en  los  siguientes  términos: </w:t>
      </w:r>
      <w:r w:rsidRPr="00A01C7A">
        <w:rPr>
          <w:rFonts w:ascii="Georgia" w:hAnsi="Georgia" w:cs="Arial"/>
          <w:i/>
          <w:spacing w:val="-3"/>
          <w:sz w:val="22"/>
          <w:lang w:val="es-ES_tradnl" w:eastAsia="es-CO"/>
        </w:rPr>
        <w:t>“Así, para la mayoría de asuntos, el precedente vertical que deben seguir los funcionarios judiciales es determinado por la Corte Suprema de Justicia o por el Consejo de Estado, como órganos de cierre dentro de su respectiva jurisdicción</w:t>
      </w:r>
      <w:r w:rsidRPr="00A01C7A">
        <w:rPr>
          <w:rFonts w:ascii="Georgia" w:hAnsi="Georgia" w:cs="Arial"/>
          <w:i/>
          <w:spacing w:val="-3"/>
          <w:sz w:val="22"/>
          <w:vertAlign w:val="superscript"/>
          <w:lang w:val="es-ES_tradnl" w:eastAsia="es-CO"/>
        </w:rPr>
        <w:footnoteReference w:id="27"/>
      </w:r>
      <w:r w:rsidRPr="00A01C7A">
        <w:rPr>
          <w:rFonts w:ascii="Georgia" w:hAnsi="Georgia" w:cs="Arial"/>
          <w:i/>
          <w:spacing w:val="-3"/>
          <w:sz w:val="22"/>
          <w:lang w:val="es-ES_tradnl" w:eastAsia="es-CO"/>
        </w:rPr>
        <w:t>. En los casos en los que no son susceptibles de ser revisados por las autoridades mencionadas, son los tribunales los encargados de establecer criterios hermenéuticos para los operadores judiciales inferiores”</w:t>
      </w:r>
      <w:r w:rsidRPr="00A01C7A">
        <w:rPr>
          <w:rFonts w:ascii="Georgia" w:hAnsi="Georgia" w:cs="Arial"/>
          <w:i/>
          <w:spacing w:val="-3"/>
          <w:vertAlign w:val="superscript"/>
          <w:lang w:val="es-ES_tradnl" w:eastAsia="es-CO"/>
        </w:rPr>
        <w:footnoteReference w:id="28"/>
      </w:r>
      <w:r w:rsidRPr="00A01C7A">
        <w:rPr>
          <w:rFonts w:ascii="Georgia" w:hAnsi="Georgia" w:cs="Arial"/>
          <w:i/>
          <w:spacing w:val="-3"/>
          <w:lang w:val="es-ES_tradnl" w:eastAsia="es-CO"/>
        </w:rPr>
        <w:t>.</w:t>
      </w:r>
      <w:r w:rsidRPr="00A01C7A">
        <w:rPr>
          <w:rFonts w:ascii="Georgia" w:hAnsi="Georgia" w:cs="Arial"/>
          <w:spacing w:val="-3"/>
          <w:lang w:val="es-ES_tradnl" w:eastAsia="es-CO"/>
        </w:rPr>
        <w:t xml:space="preserve"> </w:t>
      </w:r>
    </w:p>
    <w:p w:rsidR="00741970" w:rsidRPr="00A01C7A" w:rsidRDefault="00741970" w:rsidP="00741970">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eastAsia="es-CO"/>
        </w:rPr>
      </w:pPr>
    </w:p>
    <w:p w:rsidR="00741970" w:rsidRPr="00A01C7A" w:rsidRDefault="00741970" w:rsidP="00741970">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CO"/>
        </w:rPr>
      </w:pPr>
      <w:r w:rsidRPr="00A01C7A">
        <w:rPr>
          <w:rFonts w:ascii="Georgia" w:hAnsi="Georgia" w:cs="Times New Roman"/>
          <w:spacing w:val="-3"/>
          <w:lang w:val="es-ES_tradnl"/>
        </w:rPr>
        <w:t>También se tiene dicho que e</w:t>
      </w:r>
      <w:r w:rsidRPr="00A01C7A">
        <w:rPr>
          <w:rFonts w:ascii="Georgia" w:hAnsi="Georgia" w:cs="Arial"/>
          <w:spacing w:val="-3"/>
          <w:lang w:val="es-ES_tradnl"/>
        </w:rPr>
        <w:t xml:space="preserve">l precedente no solo es orientador, sino </w:t>
      </w:r>
      <w:r w:rsidRPr="00A01C7A">
        <w:rPr>
          <w:rFonts w:ascii="Georgia" w:hAnsi="Georgia" w:cs="Arial"/>
          <w:bCs/>
          <w:spacing w:val="-3"/>
          <w:u w:val="single"/>
          <w:lang w:val="es-ES_tradnl"/>
        </w:rPr>
        <w:t>obligatorio</w:t>
      </w:r>
      <w:r w:rsidRPr="00A01C7A">
        <w:rPr>
          <w:rFonts w:ascii="Georgia" w:hAnsi="Georgia" w:cs="Arial"/>
          <w:spacing w:val="-3"/>
          <w:lang w:val="es-ES_tradnl"/>
        </w:rPr>
        <w:t xml:space="preserve">, aunque con la posibilidad de discrepar, a condición de tener presente que: </w:t>
      </w:r>
      <w:r w:rsidRPr="00A01C7A">
        <w:rPr>
          <w:rFonts w:ascii="Georgia" w:hAnsi="Georgia" w:cs="Arial"/>
          <w:i/>
          <w:spacing w:val="-3"/>
          <w:lang w:val="es-ES_tradnl"/>
        </w:rPr>
        <w:t>“</w:t>
      </w:r>
      <w:r w:rsidRPr="00A01C7A">
        <w:rPr>
          <w:rFonts w:ascii="Georgia" w:hAnsi="Georgia" w:cs="Arial"/>
          <w:i/>
          <w:spacing w:val="-3"/>
          <w:sz w:val="22"/>
          <w:lang w:val="es-ES_tradnl"/>
        </w:rPr>
        <w:t xml:space="preserve">(…) </w:t>
      </w:r>
      <w:r w:rsidRPr="00A01C7A">
        <w:rPr>
          <w:rFonts w:ascii="Georgia" w:hAnsi="Georgia" w:cs="Arial"/>
          <w:i/>
          <w:iCs/>
          <w:spacing w:val="-3"/>
          <w:sz w:val="22"/>
          <w:lang w:val="es-ES_tradnl"/>
        </w:rPr>
        <w:t xml:space="preserve">están obligados </w:t>
      </w:r>
      <w:r w:rsidRPr="00A01C7A">
        <w:rPr>
          <w:rFonts w:ascii="Georgia" w:hAnsi="Georgia" w:cs="Arial"/>
          <w:iCs/>
          <w:spacing w:val="-3"/>
          <w:sz w:val="22"/>
          <w:lang w:val="es-ES_tradnl"/>
        </w:rPr>
        <w:t>(Sic)</w:t>
      </w:r>
      <w:r w:rsidRPr="00A01C7A">
        <w:rPr>
          <w:rFonts w:ascii="Georgia" w:hAnsi="Georgia" w:cs="Arial"/>
          <w:i/>
          <w:iCs/>
          <w:spacing w:val="-3"/>
          <w:sz w:val="22"/>
          <w:lang w:val="es-ES_tradnl"/>
        </w:rPr>
        <w:t xml:space="preserve"> </w:t>
      </w:r>
      <w:r w:rsidRPr="00A01C7A">
        <w:rPr>
          <w:rFonts w:ascii="Georgia" w:hAnsi="Georgia" w:cs="Arial"/>
          <w:i/>
          <w:iCs/>
          <w:spacing w:val="-3"/>
          <w:sz w:val="22"/>
          <w:lang w:val="es-ES_tradnl"/>
        </w:rPr>
        <w:lastRenderedPageBreak/>
        <w:t>exponer clara y razonadamente los fundamentos jurídicos que justifican su decisión</w:t>
      </w:r>
      <w:r w:rsidRPr="00A01C7A">
        <w:rPr>
          <w:rFonts w:ascii="Georgia" w:hAnsi="Georgia" w:cs="Arial"/>
          <w:i/>
          <w:spacing w:val="-3"/>
          <w:sz w:val="22"/>
          <w:lang w:val="es-ES_tradnl"/>
        </w:rPr>
        <w:t xml:space="preserve"> (…)</w:t>
      </w:r>
      <w:r w:rsidRPr="00A01C7A">
        <w:rPr>
          <w:rFonts w:ascii="Georgia" w:hAnsi="Georgia" w:cs="Arial"/>
          <w:i/>
          <w:spacing w:val="-3"/>
          <w:lang w:val="es-ES_tradnl"/>
        </w:rPr>
        <w:t>”</w:t>
      </w:r>
      <w:r w:rsidRPr="00A01C7A">
        <w:rPr>
          <w:rFonts w:ascii="Georgia" w:hAnsi="Georgia" w:cs="Times New Roman"/>
          <w:i/>
          <w:spacing w:val="-3"/>
          <w:vertAlign w:val="superscript"/>
          <w:lang w:val="es-ES_tradnl"/>
        </w:rPr>
        <w:footnoteReference w:id="29"/>
      </w:r>
      <w:r w:rsidRPr="00A01C7A">
        <w:rPr>
          <w:rFonts w:ascii="Georgia" w:hAnsi="Georgia" w:cs="Arial"/>
          <w:i/>
          <w:spacing w:val="-3"/>
          <w:lang w:val="es-ES_tradnl"/>
        </w:rPr>
        <w:t xml:space="preserve">, </w:t>
      </w:r>
      <w:r w:rsidRPr="00A01C7A">
        <w:rPr>
          <w:rFonts w:ascii="Georgia" w:hAnsi="Georgia" w:cs="Arial"/>
          <w:spacing w:val="-3"/>
          <w:lang w:val="es-ES_tradnl"/>
        </w:rPr>
        <w:t xml:space="preserve">por eso precisa la </w:t>
      </w:r>
      <w:r>
        <w:rPr>
          <w:rFonts w:ascii="Georgia" w:hAnsi="Georgia" w:cs="Arial"/>
          <w:spacing w:val="-3"/>
          <w:lang w:val="es-ES_tradnl"/>
        </w:rPr>
        <w:t>Corte</w:t>
      </w:r>
      <w:r w:rsidRPr="00A01C7A">
        <w:rPr>
          <w:rFonts w:ascii="Georgia" w:hAnsi="Georgia" w:cs="Times New Roman"/>
          <w:spacing w:val="-3"/>
          <w:vertAlign w:val="superscript"/>
          <w:lang w:val="es-ES_tradnl"/>
        </w:rPr>
        <w:footnoteReference w:id="30"/>
      </w:r>
      <w:r w:rsidRPr="00A01C7A">
        <w:rPr>
          <w:rFonts w:ascii="Georgia" w:hAnsi="Georgia" w:cs="Arial"/>
          <w:spacing w:val="-3"/>
          <w:lang w:val="es-ES_tradnl"/>
        </w:rPr>
        <w:t xml:space="preserve">, tantas veces citada: </w:t>
      </w:r>
      <w:r w:rsidRPr="00A01C7A">
        <w:rPr>
          <w:rFonts w:ascii="Georgia" w:hAnsi="Georgia" w:cs="Arial"/>
          <w:i/>
          <w:spacing w:val="-3"/>
          <w:sz w:val="22"/>
          <w:lang w:val="es-ES_tradnl"/>
        </w:rPr>
        <w:t xml:space="preserve">“(…) </w:t>
      </w:r>
      <w:r w:rsidRPr="00A01C7A">
        <w:rPr>
          <w:rFonts w:ascii="Georgia" w:hAnsi="Georgia" w:cs="Arial"/>
          <w:i/>
          <w:iCs/>
          <w:color w:val="000000"/>
          <w:spacing w:val="-3"/>
          <w:sz w:val="22"/>
          <w:szCs w:val="22"/>
          <w:shd w:val="clear" w:color="auto" w:fill="FFFFFF"/>
          <w:lang w:val="es-ES_tradnl"/>
        </w:rPr>
        <w:t xml:space="preserve">el error no se presenta siempre que el funcionario jurisdiccional reconozca y señale las decisiones anteriores de las que se aparta, y argumente con suficiencia los motivos de su decisión. Ello sucede con un manejo legítimo del precedente, labor que obliga a que el juez i) se refiera al precedente anterior y ii) ofrezca un argumento suficiente para el abandono o </w:t>
      </w:r>
      <w:r w:rsidRPr="00A01C7A">
        <w:rPr>
          <w:rFonts w:ascii="Georgia" w:hAnsi="Georgia" w:cs="Arial"/>
          <w:i/>
          <w:iCs/>
          <w:spacing w:val="-3"/>
          <w:sz w:val="22"/>
          <w:szCs w:val="22"/>
          <w:shd w:val="clear" w:color="auto" w:fill="FFFFFF"/>
          <w:lang w:val="es-ES_tradnl"/>
        </w:rPr>
        <w:t>cambio de la norma jurisprudencial</w:t>
      </w:r>
      <w:r w:rsidRPr="009C3D3C">
        <w:rPr>
          <w:rFonts w:ascii="Georgia" w:hAnsi="Georgia" w:cs="Arial"/>
          <w:i/>
          <w:iCs/>
          <w:spacing w:val="-3"/>
          <w:sz w:val="22"/>
          <w:szCs w:val="22"/>
          <w:shd w:val="clear" w:color="auto" w:fill="FFFFFF"/>
          <w:lang w:val="es-ES_tradnl"/>
        </w:rPr>
        <w:t xml:space="preserve"> (…)</w:t>
      </w:r>
      <w:r w:rsidRPr="00A01C7A">
        <w:rPr>
          <w:rFonts w:ascii="Georgia" w:hAnsi="Georgia" w:cs="Arial"/>
          <w:i/>
          <w:iCs/>
          <w:spacing w:val="-3"/>
          <w:sz w:val="22"/>
          <w:szCs w:val="22"/>
          <w:shd w:val="clear" w:color="auto" w:fill="FFFFFF"/>
          <w:lang w:val="es-ES_tradnl"/>
        </w:rPr>
        <w:t>”.</w:t>
      </w:r>
    </w:p>
    <w:p w:rsidR="00741970" w:rsidRPr="00A01C7A" w:rsidRDefault="00741970" w:rsidP="00741970">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0"/>
          <w:lang w:val="es-ES_tradnl"/>
        </w:rPr>
      </w:pPr>
    </w:p>
    <w:p w:rsidR="00741970" w:rsidRPr="00A01C7A" w:rsidRDefault="00741970" w:rsidP="00741970">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A01C7A">
        <w:rPr>
          <w:rFonts w:ascii="Georgia" w:hAnsi="Georgia" w:cs="Arial"/>
          <w:spacing w:val="-3"/>
          <w:lang w:val="es-ES_tradnl"/>
        </w:rPr>
        <w:t xml:space="preserve">En suma, la doctrina del precedente judicial y su nivel de obligatoriedad para las autoridades, en aras de garantizar </w:t>
      </w:r>
      <w:r w:rsidRPr="00A01C7A">
        <w:rPr>
          <w:rFonts w:ascii="Georgia" w:hAnsi="Georgia" w:cs="Arial"/>
          <w:spacing w:val="-3"/>
          <w:lang w:val="es-ES_tradnl" w:eastAsia="es-CO"/>
        </w:rPr>
        <w:t>la confianza en las decisiones de los jueces, se armoniza con los principios de seguridad jurídica, igualdad, buena fe y confianza legítima imperantes en nuestro sistema jurídico. Importa una ilustración dogmática adicional, con las concisas palabras de la Corte citada</w:t>
      </w:r>
      <w:r w:rsidRPr="009C3D3C">
        <w:rPr>
          <w:rFonts w:ascii="Georgia" w:hAnsi="Georgia" w:cs="Times New Roman"/>
          <w:spacing w:val="-3"/>
          <w:vertAlign w:val="superscript"/>
          <w:lang w:val="es-ES_tradnl" w:eastAsia="es-CO"/>
        </w:rPr>
        <w:footnoteReference w:id="31"/>
      </w:r>
      <w:r w:rsidRPr="00A01C7A">
        <w:rPr>
          <w:rFonts w:ascii="Georgia" w:hAnsi="Georgia" w:cs="Arial"/>
          <w:spacing w:val="-3"/>
          <w:lang w:val="es-ES_tradnl" w:eastAsia="es-CO"/>
        </w:rPr>
        <w:t>:</w:t>
      </w:r>
    </w:p>
    <w:p w:rsidR="00741970" w:rsidRPr="00A01C7A" w:rsidRDefault="00741970" w:rsidP="00741970">
      <w:pPr>
        <w:widowControl/>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0"/>
          <w:lang w:val="es-ES_tradnl"/>
        </w:rPr>
      </w:pPr>
    </w:p>
    <w:p w:rsidR="00741970" w:rsidRPr="00A01C7A" w:rsidRDefault="00741970" w:rsidP="007419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567"/>
        <w:jc w:val="both"/>
        <w:textAlignment w:val="baseline"/>
        <w:rPr>
          <w:rFonts w:ascii="Georgia" w:hAnsi="Georgia" w:cs="Arial"/>
          <w:spacing w:val="-3"/>
          <w:szCs w:val="20"/>
          <w:lang w:val="es-ES_tradnl"/>
        </w:rPr>
      </w:pPr>
      <w:r w:rsidRPr="00A01C7A">
        <w:rPr>
          <w:rFonts w:ascii="Georgia" w:hAnsi="Georgia" w:cs="Arial"/>
          <w:spacing w:val="-3"/>
          <w:lang w:val="es-ES_tradnl" w:eastAsia="es-CO"/>
        </w:rPr>
        <w:t xml:space="preserve">En resumen, los jueces tienen un deber de obligatorio cumplimiento y es el de </w:t>
      </w:r>
      <w:r w:rsidRPr="00A01C7A">
        <w:rPr>
          <w:rFonts w:ascii="Georgia" w:hAnsi="Georgia" w:cs="Arial"/>
          <w:bCs/>
          <w:spacing w:val="-3"/>
          <w:lang w:val="es-ES_tradnl" w:eastAsia="es-CO"/>
        </w:rPr>
        <w:t xml:space="preserve">(i) </w:t>
      </w:r>
      <w:r w:rsidRPr="00A01C7A">
        <w:rPr>
          <w:rFonts w:ascii="Georgia" w:hAnsi="Georgia" w:cs="Arial"/>
          <w:spacing w:val="-3"/>
          <w:lang w:val="es-ES_tradnl" w:eastAsia="es-CO"/>
        </w:rPr>
        <w:t xml:space="preserve">acoger las decisiones proferidas por los órganos de cierre en cada una de las jurisdicciones (ordinaria, contencioso administrativa o constitucional) cuando éstas constituyen precedentes, y/o </w:t>
      </w:r>
      <w:r w:rsidRPr="00A01C7A">
        <w:rPr>
          <w:rFonts w:ascii="Georgia" w:hAnsi="Georgia" w:cs="Arial"/>
          <w:bCs/>
          <w:spacing w:val="-3"/>
          <w:lang w:val="es-ES_tradnl" w:eastAsia="es-CO"/>
        </w:rPr>
        <w:t xml:space="preserve">(ii) </w:t>
      </w:r>
      <w:r w:rsidRPr="00A01C7A">
        <w:rPr>
          <w:rFonts w:ascii="Georgia" w:hAnsi="Georgia" w:cs="Arial"/>
          <w:spacing w:val="-3"/>
          <w:lang w:val="es-ES_tradnl" w:eastAsia="es-CO"/>
        </w:rPr>
        <w:t>sus propias decisiones en casos idénticos, por el respeto del trato igual al acceder a la justicia. Sin embargo, esta regla no es absoluta, ya que los jueces pueden apartarse de dicho precedente,</w:t>
      </w:r>
      <w:r>
        <w:rPr>
          <w:rFonts w:ascii="Georgia" w:hAnsi="Georgia" w:cs="Arial"/>
          <w:spacing w:val="-3"/>
          <w:lang w:val="es-ES_tradnl" w:eastAsia="es-CO"/>
        </w:rPr>
        <w:t xml:space="preserve"> </w:t>
      </w:r>
      <w:r w:rsidRPr="00A01C7A">
        <w:rPr>
          <w:rFonts w:ascii="Georgia" w:hAnsi="Georgia" w:cs="Arial"/>
          <w:spacing w:val="-3"/>
          <w:lang w:val="es-ES_tradnl" w:eastAsia="es-CO"/>
        </w:rPr>
        <w:t>pero cumpliendo la carga argumentativa antes descrita y construyendo una mejor respuesta al problema jurídico. En este orden de ideas, por ejemplo, cuando un juez de inferior jerarquía se aparta de un precedente establecido en su jurisdicción por el órgano de cierre o de su propio precedente, sin exponer un razonamiento proporcional y razonable para el efecto, incurre en la causal de procedibilidad de la tutela por defecto sustantivo o material, que tiene como consecuencia, una vulneración de los derechos fundamentales a la igualdad y al debido proceso de las personas partícipes del proceso respectivo, entre otros.</w:t>
      </w:r>
    </w:p>
    <w:p w:rsidR="00741970" w:rsidRPr="00157FD9" w:rsidRDefault="00741970" w:rsidP="00A0480D">
      <w:pPr>
        <w:pStyle w:val="Textoindependiente"/>
        <w:spacing w:line="360" w:lineRule="auto"/>
        <w:ind w:left="720"/>
        <w:rPr>
          <w:rFonts w:ascii="Georgia" w:hAnsi="Georgia" w:cs="Arial"/>
          <w:smallCaps/>
          <w:sz w:val="28"/>
          <w:szCs w:val="24"/>
        </w:rPr>
      </w:pPr>
    </w:p>
    <w:p w:rsidR="00741970" w:rsidRPr="00AE5D15" w:rsidRDefault="00741970" w:rsidP="00741970">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Cs w:val="24"/>
        </w:rPr>
      </w:pPr>
      <w:r w:rsidRPr="00AE5D15">
        <w:rPr>
          <w:rFonts w:ascii="Georgia" w:hAnsi="Georgia" w:cs="Arial"/>
          <w:szCs w:val="24"/>
        </w:rPr>
        <w:t>EL CASO CONCRETO QUE SE ANALIZA</w:t>
      </w:r>
    </w:p>
    <w:p w:rsidR="00741970" w:rsidRPr="00157FD9" w:rsidRDefault="00741970" w:rsidP="00741970">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CO"/>
        </w:rPr>
      </w:pPr>
    </w:p>
    <w:p w:rsidR="00157FD9" w:rsidRDefault="00157FD9" w:rsidP="00157F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51"/>
        <w:jc w:val="both"/>
        <w:textAlignment w:val="baseline"/>
        <w:rPr>
          <w:rFonts w:ascii="Georgia" w:hAnsi="Georgia"/>
        </w:rPr>
      </w:pPr>
      <w:r w:rsidRPr="00157FD9">
        <w:rPr>
          <w:rFonts w:ascii="Georgia" w:hAnsi="Georgia"/>
        </w:rPr>
        <w:t xml:space="preserve">En la metodología enseñada por la doctrina constitucional, el primer examen consiste en verificar los presupuestos generales de procedibilidad, y para el caso se hallan cumplidos. </w:t>
      </w:r>
    </w:p>
    <w:p w:rsidR="00157FD9" w:rsidRDefault="00157FD9" w:rsidP="00157F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51"/>
        <w:jc w:val="both"/>
        <w:textAlignment w:val="baseline"/>
        <w:rPr>
          <w:rFonts w:ascii="Georgia" w:hAnsi="Georgia"/>
        </w:rPr>
      </w:pPr>
    </w:p>
    <w:p w:rsidR="00974833" w:rsidRDefault="00157FD9" w:rsidP="00157F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51"/>
        <w:jc w:val="both"/>
        <w:textAlignment w:val="baseline"/>
        <w:rPr>
          <w:rFonts w:ascii="Georgia" w:hAnsi="Georgia" w:cs="Times New Roman"/>
          <w:spacing w:val="-3"/>
          <w:lang w:val="es-ES_tradnl"/>
        </w:rPr>
      </w:pPr>
      <w:r>
        <w:rPr>
          <w:rFonts w:ascii="Georgia" w:hAnsi="Georgia" w:cs="Times New Roman"/>
          <w:spacing w:val="-3"/>
          <w:lang w:val="es-ES_tradnl"/>
        </w:rPr>
        <w:t>E</w:t>
      </w:r>
      <w:r w:rsidRPr="006C5B0C">
        <w:rPr>
          <w:rFonts w:ascii="Georgia" w:hAnsi="Georgia" w:cs="Times New Roman"/>
          <w:spacing w:val="-3"/>
          <w:lang w:val="es-ES_tradnl"/>
        </w:rPr>
        <w:t xml:space="preserve">s </w:t>
      </w:r>
      <w:r w:rsidR="00974833">
        <w:rPr>
          <w:rFonts w:ascii="Georgia" w:hAnsi="Georgia" w:cs="Times New Roman"/>
          <w:spacing w:val="-3"/>
          <w:lang w:val="es-ES_tradnl"/>
        </w:rPr>
        <w:t xml:space="preserve">  </w:t>
      </w:r>
      <w:r w:rsidRPr="006C5B0C">
        <w:rPr>
          <w:rFonts w:ascii="Georgia" w:hAnsi="Georgia" w:cs="Times New Roman"/>
          <w:spacing w:val="-3"/>
          <w:lang w:val="es-ES_tradnl"/>
        </w:rPr>
        <w:t xml:space="preserve">evidente </w:t>
      </w:r>
      <w:r w:rsidR="00974833">
        <w:rPr>
          <w:rFonts w:ascii="Georgia" w:hAnsi="Georgia" w:cs="Times New Roman"/>
          <w:spacing w:val="-3"/>
          <w:lang w:val="es-ES_tradnl"/>
        </w:rPr>
        <w:t xml:space="preserve">  </w:t>
      </w:r>
      <w:r>
        <w:rPr>
          <w:rFonts w:ascii="Georgia" w:hAnsi="Georgia" w:cs="Times New Roman"/>
          <w:spacing w:val="-3"/>
          <w:lang w:val="es-ES_tradnl"/>
        </w:rPr>
        <w:t xml:space="preserve">que </w:t>
      </w:r>
      <w:r w:rsidR="00974833">
        <w:rPr>
          <w:rFonts w:ascii="Georgia" w:hAnsi="Georgia" w:cs="Times New Roman"/>
          <w:spacing w:val="-3"/>
          <w:lang w:val="es-ES_tradnl"/>
        </w:rPr>
        <w:t xml:space="preserve">  </w:t>
      </w:r>
      <w:r>
        <w:rPr>
          <w:rFonts w:ascii="Georgia" w:hAnsi="Georgia" w:cs="Times New Roman"/>
          <w:spacing w:val="-3"/>
          <w:lang w:val="es-ES_tradnl"/>
        </w:rPr>
        <w:t xml:space="preserve">la </w:t>
      </w:r>
      <w:r w:rsidR="00974833">
        <w:rPr>
          <w:rFonts w:ascii="Georgia" w:hAnsi="Georgia" w:cs="Times New Roman"/>
          <w:spacing w:val="-3"/>
          <w:lang w:val="es-ES_tradnl"/>
        </w:rPr>
        <w:t xml:space="preserve">  </w:t>
      </w:r>
      <w:r>
        <w:rPr>
          <w:rFonts w:ascii="Georgia" w:hAnsi="Georgia" w:cs="Times New Roman"/>
          <w:spacing w:val="-3"/>
          <w:lang w:val="es-ES_tradnl"/>
        </w:rPr>
        <w:t xml:space="preserve">tutela </w:t>
      </w:r>
      <w:r w:rsidR="00974833">
        <w:rPr>
          <w:rFonts w:ascii="Georgia" w:hAnsi="Georgia" w:cs="Times New Roman"/>
          <w:spacing w:val="-3"/>
          <w:lang w:val="es-ES_tradnl"/>
        </w:rPr>
        <w:t xml:space="preserve">  </w:t>
      </w:r>
      <w:r>
        <w:rPr>
          <w:rFonts w:ascii="Georgia" w:hAnsi="Georgia" w:cs="Times New Roman"/>
          <w:spacing w:val="-3"/>
          <w:lang w:val="es-ES_tradnl"/>
        </w:rPr>
        <w:t xml:space="preserve">tiene </w:t>
      </w:r>
      <w:r w:rsidR="00974833">
        <w:rPr>
          <w:rFonts w:ascii="Georgia" w:hAnsi="Georgia" w:cs="Times New Roman"/>
          <w:spacing w:val="-3"/>
          <w:lang w:val="es-ES_tradnl"/>
        </w:rPr>
        <w:t xml:space="preserve">  </w:t>
      </w:r>
      <w:r w:rsidRPr="006C5B0C">
        <w:rPr>
          <w:rFonts w:ascii="Georgia" w:hAnsi="Georgia" w:cs="Times New Roman"/>
          <w:spacing w:val="-3"/>
          <w:lang w:val="es-ES_tradnl"/>
        </w:rPr>
        <w:t xml:space="preserve">relevancia </w:t>
      </w:r>
      <w:r w:rsidR="00974833">
        <w:rPr>
          <w:rFonts w:ascii="Georgia" w:hAnsi="Georgia" w:cs="Times New Roman"/>
          <w:spacing w:val="-3"/>
          <w:lang w:val="es-ES_tradnl"/>
        </w:rPr>
        <w:t xml:space="preserve">  </w:t>
      </w:r>
      <w:r w:rsidRPr="006C5B0C">
        <w:rPr>
          <w:rFonts w:ascii="Georgia" w:hAnsi="Georgia" w:cs="Times New Roman"/>
          <w:spacing w:val="-3"/>
          <w:lang w:val="es-ES_tradnl"/>
        </w:rPr>
        <w:t>constitucional</w:t>
      </w:r>
      <w:r>
        <w:rPr>
          <w:rFonts w:ascii="Georgia" w:hAnsi="Georgia" w:cs="Times New Roman"/>
          <w:spacing w:val="-3"/>
          <w:lang w:val="es-ES_tradnl"/>
        </w:rPr>
        <w:t xml:space="preserve"> </w:t>
      </w:r>
      <w:r w:rsidR="00974833">
        <w:rPr>
          <w:rFonts w:ascii="Georgia" w:hAnsi="Georgia" w:cs="Times New Roman"/>
          <w:spacing w:val="-3"/>
          <w:lang w:val="es-ES_tradnl"/>
        </w:rPr>
        <w:t xml:space="preserve">  </w:t>
      </w:r>
      <w:r>
        <w:rPr>
          <w:rFonts w:ascii="Georgia" w:hAnsi="Georgia" w:cs="Times New Roman"/>
          <w:spacing w:val="-3"/>
          <w:lang w:val="es-ES_tradnl"/>
        </w:rPr>
        <w:t xml:space="preserve">con </w:t>
      </w:r>
      <w:r w:rsidR="00974833">
        <w:rPr>
          <w:rFonts w:ascii="Georgia" w:hAnsi="Georgia" w:cs="Times New Roman"/>
          <w:spacing w:val="-3"/>
          <w:lang w:val="es-ES_tradnl"/>
        </w:rPr>
        <w:t xml:space="preserve">  </w:t>
      </w:r>
      <w:r>
        <w:rPr>
          <w:rFonts w:ascii="Georgia" w:hAnsi="Georgia" w:cs="Times New Roman"/>
          <w:spacing w:val="-3"/>
          <w:lang w:val="es-ES_tradnl"/>
        </w:rPr>
        <w:t xml:space="preserve">ocasión </w:t>
      </w:r>
      <w:r w:rsidR="00974833">
        <w:rPr>
          <w:rFonts w:ascii="Georgia" w:hAnsi="Georgia" w:cs="Times New Roman"/>
          <w:spacing w:val="-3"/>
          <w:lang w:val="es-ES_tradnl"/>
        </w:rPr>
        <w:t xml:space="preserve">  </w:t>
      </w:r>
      <w:r>
        <w:rPr>
          <w:rFonts w:ascii="Georgia" w:hAnsi="Georgia" w:cs="Times New Roman"/>
          <w:spacing w:val="-3"/>
          <w:lang w:val="es-ES_tradnl"/>
        </w:rPr>
        <w:t xml:space="preserve">del </w:t>
      </w:r>
      <w:r w:rsidR="00974833">
        <w:rPr>
          <w:rFonts w:ascii="Georgia" w:hAnsi="Georgia" w:cs="Times New Roman"/>
          <w:spacing w:val="-3"/>
          <w:lang w:val="es-ES_tradnl"/>
        </w:rPr>
        <w:t xml:space="preserve">  </w:t>
      </w:r>
      <w:r>
        <w:rPr>
          <w:rFonts w:ascii="Georgia" w:hAnsi="Georgia" w:cs="Times New Roman"/>
          <w:spacing w:val="-3"/>
          <w:lang w:val="es-ES_tradnl"/>
        </w:rPr>
        <w:t xml:space="preserve">derecho </w:t>
      </w:r>
    </w:p>
    <w:p w:rsidR="00157FD9" w:rsidRPr="00BC6976" w:rsidRDefault="00157FD9" w:rsidP="00157FD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51"/>
        <w:jc w:val="both"/>
        <w:textAlignment w:val="baseline"/>
        <w:rPr>
          <w:rFonts w:ascii="Georgia" w:hAnsi="Georgia" w:cs="Arial"/>
          <w:spacing w:val="-3"/>
          <w:lang w:val="es-ES_tradnl"/>
        </w:rPr>
      </w:pPr>
      <w:r>
        <w:rPr>
          <w:rFonts w:ascii="Georgia" w:hAnsi="Georgia" w:cs="Times New Roman"/>
          <w:spacing w:val="-3"/>
          <w:lang w:val="es-ES_tradnl"/>
        </w:rPr>
        <w:t>fundamental invocado (Debido proceso)</w:t>
      </w:r>
      <w:r w:rsidRPr="006C5B0C">
        <w:rPr>
          <w:rFonts w:ascii="Georgia" w:hAnsi="Georgia" w:cs="Times New Roman"/>
          <w:spacing w:val="-3"/>
          <w:lang w:val="es-ES_tradnl"/>
        </w:rPr>
        <w:t>; la subsidiariedad</w:t>
      </w:r>
      <w:r w:rsidRPr="006C5B0C">
        <w:rPr>
          <w:rFonts w:ascii="Georgia" w:hAnsi="Georgia" w:cs="Times New Roman"/>
          <w:spacing w:val="-3"/>
          <w:vertAlign w:val="superscript"/>
          <w:lang w:val="es-ES_tradnl"/>
        </w:rPr>
        <w:footnoteReference w:id="32"/>
      </w:r>
      <w:r w:rsidRPr="006C5B0C">
        <w:rPr>
          <w:rFonts w:ascii="Georgia" w:hAnsi="Georgia" w:cs="Times New Roman"/>
          <w:spacing w:val="-3"/>
          <w:lang w:val="es-ES_tradnl"/>
        </w:rPr>
        <w:t xml:space="preserve">, porque </w:t>
      </w:r>
      <w:r>
        <w:rPr>
          <w:rFonts w:ascii="Georgia" w:hAnsi="Georgia" w:cs="Times New Roman"/>
          <w:spacing w:val="-3"/>
          <w:lang w:val="es-ES_tradnl"/>
        </w:rPr>
        <w:t xml:space="preserve">se agotó el recurso de reposición frente a la providencia que desestimó el impedimento del accionante para aceptar la designación como apoderado de oficio </w:t>
      </w:r>
      <w:r w:rsidRPr="00BC6976">
        <w:rPr>
          <w:rFonts w:ascii="Georgia" w:hAnsi="Georgia" w:cs="Times New Roman"/>
          <w:spacing w:val="-3"/>
          <w:lang w:val="es-ES_tradnl"/>
        </w:rPr>
        <w:t>(Folio</w:t>
      </w:r>
      <w:r>
        <w:rPr>
          <w:rFonts w:ascii="Georgia" w:hAnsi="Georgia" w:cs="Times New Roman"/>
          <w:spacing w:val="-3"/>
          <w:lang w:val="es-ES_tradnl"/>
        </w:rPr>
        <w:t>s</w:t>
      </w:r>
      <w:r w:rsidRPr="00BC6976">
        <w:rPr>
          <w:rFonts w:ascii="Georgia" w:hAnsi="Georgia" w:cs="Times New Roman"/>
          <w:spacing w:val="-3"/>
          <w:lang w:val="es-ES_tradnl"/>
        </w:rPr>
        <w:t xml:space="preserve"> </w:t>
      </w:r>
      <w:r>
        <w:rPr>
          <w:rFonts w:ascii="Georgia" w:hAnsi="Georgia" w:cs="Times New Roman"/>
          <w:spacing w:val="-3"/>
          <w:lang w:val="es-ES_tradnl"/>
        </w:rPr>
        <w:t>31 y 32</w:t>
      </w:r>
      <w:r w:rsidRPr="00BC6976">
        <w:rPr>
          <w:rFonts w:ascii="Georgia" w:hAnsi="Georgia" w:cs="Times New Roman"/>
          <w:spacing w:val="-3"/>
          <w:lang w:val="es-ES_tradnl"/>
        </w:rPr>
        <w:t>, este cuaderno)</w:t>
      </w:r>
      <w:r>
        <w:rPr>
          <w:rFonts w:ascii="Georgia" w:hAnsi="Georgia" w:cs="Times New Roman"/>
          <w:spacing w:val="-3"/>
          <w:lang w:val="es-ES_tradnl"/>
        </w:rPr>
        <w:t>;</w:t>
      </w:r>
      <w:r w:rsidRPr="00861FF0">
        <w:rPr>
          <w:rFonts w:ascii="Georgia" w:hAnsi="Georgia"/>
        </w:rPr>
        <w:t xml:space="preserve"> </w:t>
      </w:r>
      <w:r>
        <w:rPr>
          <w:rFonts w:ascii="Georgia" w:hAnsi="Georgia"/>
        </w:rPr>
        <w:t>la actuación reprochada no es de tutela;</w:t>
      </w:r>
      <w:r>
        <w:rPr>
          <w:rFonts w:ascii="Georgia" w:hAnsi="Georgia" w:cs="Arial"/>
        </w:rPr>
        <w:t xml:space="preserve"> </w:t>
      </w:r>
      <w:r w:rsidRPr="006C5B0C">
        <w:rPr>
          <w:rFonts w:ascii="Georgia" w:hAnsi="Georgia" w:cs="Times New Roman"/>
          <w:spacing w:val="-3"/>
          <w:lang w:val="es-ES_tradnl"/>
        </w:rPr>
        <w:t>hay inmediatez</w:t>
      </w:r>
      <w:r w:rsidRPr="006C5B0C">
        <w:rPr>
          <w:rFonts w:ascii="Georgia" w:hAnsi="Georgia" w:cs="Times New Roman"/>
          <w:spacing w:val="-3"/>
          <w:vertAlign w:val="superscript"/>
          <w:lang w:val="es-ES_tradnl"/>
        </w:rPr>
        <w:footnoteReference w:id="33"/>
      </w:r>
      <w:r>
        <w:rPr>
          <w:rFonts w:ascii="Georgia" w:hAnsi="Georgia" w:cs="Times New Roman"/>
          <w:spacing w:val="-3"/>
          <w:lang w:val="es-ES_tradnl"/>
        </w:rPr>
        <w:t xml:space="preserve">, pues </w:t>
      </w:r>
      <w:r w:rsidRPr="00BC6976">
        <w:rPr>
          <w:rFonts w:ascii="Georgia" w:hAnsi="Georgia" w:cs="Times New Roman"/>
          <w:spacing w:val="-3"/>
          <w:lang w:val="es-ES_tradnl"/>
        </w:rPr>
        <w:t xml:space="preserve">la providencia </w:t>
      </w:r>
      <w:r>
        <w:rPr>
          <w:rFonts w:ascii="Georgia" w:hAnsi="Georgia" w:cs="Times New Roman"/>
          <w:spacing w:val="-3"/>
          <w:lang w:val="es-ES_tradnl"/>
        </w:rPr>
        <w:t xml:space="preserve">que desató el recurso </w:t>
      </w:r>
      <w:r w:rsidRPr="00BC6976">
        <w:rPr>
          <w:rFonts w:ascii="Georgia" w:hAnsi="Georgia" w:cs="Times New Roman"/>
          <w:spacing w:val="-3"/>
          <w:lang w:val="es-ES_tradnl"/>
        </w:rPr>
        <w:t xml:space="preserve">data del </w:t>
      </w:r>
      <w:r>
        <w:rPr>
          <w:rFonts w:ascii="Georgia" w:hAnsi="Georgia" w:cs="Times New Roman"/>
          <w:spacing w:val="-3"/>
          <w:lang w:val="es-ES_tradnl"/>
        </w:rPr>
        <w:t xml:space="preserve">10-07-2018 </w:t>
      </w:r>
      <w:r w:rsidRPr="00BC6976">
        <w:rPr>
          <w:rFonts w:ascii="Georgia" w:hAnsi="Georgia" w:cs="Times New Roman"/>
          <w:spacing w:val="-3"/>
          <w:lang w:val="es-ES_tradnl"/>
        </w:rPr>
        <w:t>(Folio</w:t>
      </w:r>
      <w:r>
        <w:rPr>
          <w:rFonts w:ascii="Georgia" w:hAnsi="Georgia" w:cs="Times New Roman"/>
          <w:spacing w:val="-3"/>
          <w:lang w:val="es-ES_tradnl"/>
        </w:rPr>
        <w:t>s</w:t>
      </w:r>
      <w:r w:rsidRPr="00BC6976">
        <w:rPr>
          <w:rFonts w:ascii="Georgia" w:hAnsi="Georgia" w:cs="Times New Roman"/>
          <w:spacing w:val="-3"/>
          <w:lang w:val="es-ES_tradnl"/>
        </w:rPr>
        <w:t xml:space="preserve"> </w:t>
      </w:r>
      <w:r>
        <w:rPr>
          <w:rFonts w:ascii="Georgia" w:hAnsi="Georgia" w:cs="Times New Roman"/>
          <w:spacing w:val="-3"/>
          <w:lang w:val="es-ES_tradnl"/>
        </w:rPr>
        <w:t>35 y 36, ibídem</w:t>
      </w:r>
      <w:r w:rsidRPr="00BC6976">
        <w:rPr>
          <w:rFonts w:ascii="Georgia" w:hAnsi="Georgia" w:cs="Times New Roman"/>
          <w:spacing w:val="-3"/>
          <w:lang w:val="es-ES_tradnl"/>
        </w:rPr>
        <w:t xml:space="preserve">); </w:t>
      </w:r>
      <w:r w:rsidRPr="00BC6976">
        <w:rPr>
          <w:rFonts w:ascii="Georgia" w:hAnsi="Georgia" w:cs="Arial"/>
          <w:spacing w:val="-3"/>
          <w:lang w:val="es-ES_tradnl"/>
        </w:rPr>
        <w:t>la</w:t>
      </w:r>
      <w:r>
        <w:rPr>
          <w:rFonts w:ascii="Georgia" w:hAnsi="Georgia" w:cs="Arial"/>
          <w:spacing w:val="-3"/>
          <w:lang w:val="es-ES_tradnl"/>
        </w:rPr>
        <w:t>s</w:t>
      </w:r>
      <w:r w:rsidRPr="00BC6976">
        <w:rPr>
          <w:rFonts w:ascii="Georgia" w:hAnsi="Georgia" w:cs="Arial"/>
          <w:spacing w:val="-3"/>
          <w:lang w:val="es-ES_tradnl"/>
        </w:rPr>
        <w:t xml:space="preserve"> irregularidad</w:t>
      </w:r>
      <w:r>
        <w:rPr>
          <w:rFonts w:ascii="Georgia" w:hAnsi="Georgia" w:cs="Arial"/>
          <w:spacing w:val="-3"/>
          <w:lang w:val="es-ES_tradnl"/>
        </w:rPr>
        <w:t>es</w:t>
      </w:r>
      <w:r w:rsidRPr="00BC6976">
        <w:rPr>
          <w:rFonts w:ascii="Georgia" w:hAnsi="Georgia" w:cs="Arial"/>
          <w:spacing w:val="-3"/>
          <w:lang w:val="es-ES_tradnl"/>
        </w:rPr>
        <w:t xml:space="preserve"> tiene</w:t>
      </w:r>
      <w:r>
        <w:rPr>
          <w:rFonts w:ascii="Georgia" w:hAnsi="Georgia" w:cs="Arial"/>
          <w:spacing w:val="-3"/>
          <w:lang w:val="es-ES_tradnl"/>
        </w:rPr>
        <w:t>n</w:t>
      </w:r>
      <w:r w:rsidRPr="00BC6976">
        <w:rPr>
          <w:rFonts w:ascii="Georgia" w:hAnsi="Georgia" w:cs="Arial"/>
          <w:spacing w:val="-3"/>
          <w:lang w:val="es-ES_tradnl"/>
        </w:rPr>
        <w:t xml:space="preserve"> un efecto determinante sobre la decisión atacada; y se identificaron los hechos generadores de la vulneración.</w:t>
      </w:r>
    </w:p>
    <w:p w:rsidR="00157FD9" w:rsidRPr="00157FD9" w:rsidRDefault="00157FD9" w:rsidP="00157FD9">
      <w:pPr>
        <w:pStyle w:val="Textoindependiente"/>
        <w:spacing w:line="360" w:lineRule="auto"/>
        <w:rPr>
          <w:rFonts w:ascii="Georgia" w:hAnsi="Georgia"/>
          <w:sz w:val="24"/>
          <w:szCs w:val="24"/>
        </w:rPr>
      </w:pPr>
    </w:p>
    <w:p w:rsidR="00DC761B" w:rsidRPr="00974833" w:rsidRDefault="00157FD9" w:rsidP="00157FD9">
      <w:pPr>
        <w:spacing w:line="360" w:lineRule="auto"/>
        <w:ind w:right="51"/>
        <w:jc w:val="both"/>
        <w:rPr>
          <w:rFonts w:ascii="Georgia" w:hAnsi="Georgia"/>
          <w:lang w:val="es-CO"/>
        </w:rPr>
      </w:pPr>
      <w:r>
        <w:rPr>
          <w:rFonts w:ascii="Georgia" w:hAnsi="Georgia"/>
        </w:rPr>
        <w:t>E</w:t>
      </w:r>
      <w:r w:rsidRPr="00CC7903">
        <w:rPr>
          <w:rFonts w:ascii="Georgia" w:hAnsi="Georgia"/>
        </w:rPr>
        <w:t xml:space="preserve">n lo tocante </w:t>
      </w:r>
      <w:r>
        <w:rPr>
          <w:rFonts w:ascii="Georgia" w:hAnsi="Georgia"/>
        </w:rPr>
        <w:t xml:space="preserve">con </w:t>
      </w:r>
      <w:r w:rsidRPr="00CC7903">
        <w:rPr>
          <w:rFonts w:ascii="Georgia" w:hAnsi="Georgia"/>
        </w:rPr>
        <w:t xml:space="preserve">la identificación de los defectos la parte accionante </w:t>
      </w:r>
      <w:r w:rsidR="00DC761B">
        <w:rPr>
          <w:rFonts w:ascii="Georgia" w:hAnsi="Georgia"/>
        </w:rPr>
        <w:t>refiere el procedimental y el desconocimiento del precedente; respecto del primero</w:t>
      </w:r>
      <w:r w:rsidR="00974833">
        <w:rPr>
          <w:rFonts w:ascii="Georgia" w:hAnsi="Georgia"/>
        </w:rPr>
        <w:t>,</w:t>
      </w:r>
      <w:r w:rsidR="00DC761B">
        <w:rPr>
          <w:rFonts w:ascii="Georgia" w:hAnsi="Georgia"/>
        </w:rPr>
        <w:t xml:space="preserve"> válido acotar que los argumentos expuestos refieren más bien al sustantivo</w:t>
      </w:r>
      <w:r w:rsidR="00D21978">
        <w:rPr>
          <w:rFonts w:ascii="Georgia" w:hAnsi="Georgia"/>
        </w:rPr>
        <w:t xml:space="preserve"> o material</w:t>
      </w:r>
      <w:r w:rsidR="00DC761B">
        <w:rPr>
          <w:rFonts w:ascii="Georgia" w:hAnsi="Georgia"/>
        </w:rPr>
        <w:t xml:space="preserve">, en la medida que se duele de la interpretación que el </w:t>
      </w:r>
      <w:r w:rsidR="00DC761B" w:rsidRPr="00DC761B">
        <w:rPr>
          <w:rFonts w:ascii="Georgia" w:hAnsi="Georgia"/>
          <w:i/>
        </w:rPr>
        <w:t>a quo</w:t>
      </w:r>
      <w:r w:rsidR="00DC761B">
        <w:rPr>
          <w:rFonts w:ascii="Georgia" w:hAnsi="Georgia"/>
        </w:rPr>
        <w:t xml:space="preserve"> dio de las </w:t>
      </w:r>
      <w:r w:rsidR="00974833">
        <w:rPr>
          <w:rFonts w:ascii="Georgia" w:hAnsi="Georgia"/>
        </w:rPr>
        <w:t xml:space="preserve">disposiciones </w:t>
      </w:r>
      <w:r w:rsidR="00DC761B">
        <w:rPr>
          <w:rFonts w:ascii="Georgia" w:hAnsi="Georgia"/>
        </w:rPr>
        <w:t>adjetivas que reglamentan la designación de</w:t>
      </w:r>
      <w:r w:rsidR="00D21978">
        <w:rPr>
          <w:rFonts w:ascii="Georgia" w:hAnsi="Georgia"/>
        </w:rPr>
        <w:t xml:space="preserve"> un</w:t>
      </w:r>
      <w:r w:rsidR="00DC761B">
        <w:rPr>
          <w:rFonts w:ascii="Georgia" w:hAnsi="Georgia"/>
        </w:rPr>
        <w:t xml:space="preserve"> apoderado de oficio, específicamente, el artículo 47, CGP, que </w:t>
      </w:r>
      <w:r w:rsidR="00D21978">
        <w:rPr>
          <w:rFonts w:ascii="Georgia" w:hAnsi="Georgia"/>
        </w:rPr>
        <w:t xml:space="preserve">alude </w:t>
      </w:r>
      <w:r w:rsidR="00DC761B">
        <w:rPr>
          <w:rFonts w:ascii="Georgia" w:hAnsi="Georgia"/>
        </w:rPr>
        <w:t xml:space="preserve">a la idoneidad del auxiliar judicial, en este caso, la de profesional del derecho experto en materia civil; y el segundo porque se desatendió </w:t>
      </w:r>
      <w:r w:rsidR="00974833">
        <w:rPr>
          <w:rFonts w:ascii="Georgia" w:hAnsi="Georgia"/>
        </w:rPr>
        <w:t xml:space="preserve">el </w:t>
      </w:r>
      <w:r w:rsidR="00DC761B">
        <w:rPr>
          <w:rFonts w:ascii="Georgia" w:hAnsi="Georgia"/>
        </w:rPr>
        <w:t xml:space="preserve">precedente del CSJ </w:t>
      </w:r>
      <w:r w:rsidR="00DC761B">
        <w:rPr>
          <w:rFonts w:ascii="Georgia" w:hAnsi="Georgia"/>
          <w:lang w:val="es-CO"/>
        </w:rPr>
        <w:t xml:space="preserve">donde </w:t>
      </w:r>
      <w:r w:rsidR="00974833">
        <w:rPr>
          <w:rFonts w:ascii="Georgia" w:hAnsi="Georgia"/>
          <w:lang w:val="es-CO"/>
        </w:rPr>
        <w:t xml:space="preserve">se sancionó a un abogado que aceptó defender a una persona sin tener conocimiento necesario para adelantar el encargo. </w:t>
      </w:r>
    </w:p>
    <w:p w:rsidR="00DC761B" w:rsidRDefault="00DC761B" w:rsidP="00157FD9">
      <w:pPr>
        <w:spacing w:line="360" w:lineRule="auto"/>
        <w:ind w:right="51"/>
        <w:jc w:val="both"/>
        <w:rPr>
          <w:rFonts w:ascii="Georgia" w:hAnsi="Georgia"/>
        </w:rPr>
      </w:pPr>
    </w:p>
    <w:p w:rsidR="00D21978" w:rsidRPr="00D21978" w:rsidRDefault="00D21978" w:rsidP="00157FD9">
      <w:pPr>
        <w:spacing w:line="360" w:lineRule="auto"/>
        <w:ind w:right="51"/>
        <w:jc w:val="both"/>
        <w:rPr>
          <w:rFonts w:ascii="Georgia" w:hAnsi="Georgia"/>
          <w:smallCaps/>
        </w:rPr>
      </w:pPr>
      <w:r w:rsidRPr="00D21978">
        <w:rPr>
          <w:rFonts w:ascii="Georgia" w:hAnsi="Georgia"/>
          <w:smallCaps/>
        </w:rPr>
        <w:t>7.1.     El defecto sustantivo</w:t>
      </w:r>
    </w:p>
    <w:p w:rsidR="00D21978" w:rsidRDefault="00D21978" w:rsidP="00157FD9">
      <w:pPr>
        <w:spacing w:line="360" w:lineRule="auto"/>
        <w:ind w:right="51"/>
        <w:jc w:val="both"/>
        <w:rPr>
          <w:rFonts w:ascii="Georgia" w:hAnsi="Georgia"/>
        </w:rPr>
      </w:pPr>
    </w:p>
    <w:p w:rsidR="00E61045" w:rsidRDefault="00F56F1B" w:rsidP="00F56F1B">
      <w:pPr>
        <w:spacing w:line="360" w:lineRule="auto"/>
        <w:ind w:right="51"/>
        <w:jc w:val="both"/>
        <w:rPr>
          <w:rFonts w:ascii="Georgia" w:hAnsi="Georgia" w:cs="Arial"/>
          <w:lang w:val="es-ES_tradnl"/>
        </w:rPr>
      </w:pPr>
      <w:r w:rsidRPr="00E971B7">
        <w:rPr>
          <w:rFonts w:ascii="Georgia" w:hAnsi="Georgia" w:cs="Arial"/>
          <w:lang w:val="es-ES_tradnl"/>
        </w:rPr>
        <w:t>Ahora, la juez</w:t>
      </w:r>
      <w:r>
        <w:rPr>
          <w:rFonts w:ascii="Georgia" w:hAnsi="Georgia" w:cs="Arial"/>
          <w:lang w:val="es-ES_tradnl"/>
        </w:rPr>
        <w:t>a</w:t>
      </w:r>
      <w:r w:rsidRPr="00E971B7">
        <w:rPr>
          <w:rFonts w:ascii="Georgia" w:hAnsi="Georgia" w:cs="Arial"/>
          <w:lang w:val="es-ES_tradnl"/>
        </w:rPr>
        <w:t xml:space="preserve"> de la causa en la </w:t>
      </w:r>
      <w:r>
        <w:rPr>
          <w:rFonts w:ascii="Georgia" w:hAnsi="Georgia" w:cs="Arial"/>
          <w:lang w:val="es-ES_tradnl"/>
        </w:rPr>
        <w:t xml:space="preserve">providencia que denegó el relevo pedido e instó al </w:t>
      </w:r>
      <w:r w:rsidR="00E432D9">
        <w:rPr>
          <w:rFonts w:ascii="Georgia" w:hAnsi="Georgia" w:cs="Arial"/>
          <w:lang w:val="es-ES_tradnl"/>
        </w:rPr>
        <w:t>abogado</w:t>
      </w:r>
      <w:r>
        <w:rPr>
          <w:rFonts w:ascii="Georgia" w:hAnsi="Georgia" w:cs="Arial"/>
          <w:lang w:val="es-ES_tradnl"/>
        </w:rPr>
        <w:t xml:space="preserve"> para que aceptara el cargo, con fundamento en los artículos 154 y 48, CGP, y 28-4º y 21º, Ley 1123, </w:t>
      </w:r>
      <w:r w:rsidRPr="00E971B7">
        <w:rPr>
          <w:rFonts w:ascii="Georgia" w:hAnsi="Georgia" w:cs="Arial"/>
          <w:lang w:val="es-ES_tradnl"/>
        </w:rPr>
        <w:t xml:space="preserve">expuso: </w:t>
      </w:r>
    </w:p>
    <w:p w:rsidR="00E61045" w:rsidRDefault="00E61045" w:rsidP="00F56F1B">
      <w:pPr>
        <w:spacing w:line="360" w:lineRule="auto"/>
        <w:ind w:right="51"/>
        <w:jc w:val="both"/>
        <w:rPr>
          <w:rFonts w:ascii="Georgia" w:hAnsi="Georgia" w:cs="Arial"/>
          <w:lang w:val="es-ES_tradnl"/>
        </w:rPr>
      </w:pPr>
    </w:p>
    <w:p w:rsidR="00E61045" w:rsidRDefault="00F56F1B" w:rsidP="00E61045">
      <w:pPr>
        <w:ind w:left="567" w:right="902"/>
        <w:jc w:val="both"/>
        <w:rPr>
          <w:rFonts w:ascii="Georgia" w:hAnsi="Georgia" w:cs="Arial"/>
          <w:lang w:val="es-ES_tradnl"/>
        </w:rPr>
      </w:pPr>
      <w:r w:rsidRPr="00E61045">
        <w:rPr>
          <w:rFonts w:ascii="Georgia" w:hAnsi="Georgia" w:cs="Arial"/>
          <w:lang w:val="es-ES_tradnl"/>
        </w:rPr>
        <w:t>…  el profesional en derecho (…) ejerce habitualmente la profesión, como él lo indica ha tramitado más de 5.000 procesos</w:t>
      </w:r>
      <w:r w:rsidR="00E61045" w:rsidRPr="00E61045">
        <w:rPr>
          <w:rFonts w:ascii="Georgia" w:hAnsi="Georgia" w:cs="Arial"/>
          <w:lang w:val="es-ES_tradnl"/>
        </w:rPr>
        <w:t xml:space="preserve"> (…)</w:t>
      </w:r>
      <w:r w:rsidRPr="00E61045">
        <w:rPr>
          <w:rFonts w:ascii="Georgia" w:hAnsi="Georgia" w:cs="Arial"/>
          <w:lang w:val="es-ES_tradnl"/>
        </w:rPr>
        <w:t xml:space="preserve">; por otro lado, la norma no hace alusión a la especialidad, porque la profesión de abogado lo faculta para actuar ante cualquier rama del derecho, más aún cuando pese a que el área laboral es una rama diferente del derecho, dicha </w:t>
      </w:r>
      <w:r w:rsidR="00E61045" w:rsidRPr="00E61045">
        <w:rPr>
          <w:rFonts w:ascii="Georgia" w:hAnsi="Georgia" w:cs="Arial"/>
          <w:lang w:val="es-ES_tradnl"/>
        </w:rPr>
        <w:t>especialidad se nutre del código general del proceso, específicamente los procesos ejecutivos de los cuales su trámite no es de marcada diferencia con los de la línea civil (…</w:t>
      </w:r>
      <w:r w:rsidR="00E61045">
        <w:rPr>
          <w:rFonts w:ascii="Georgia" w:hAnsi="Georgia" w:cs="Arial"/>
          <w:lang w:val="es-ES_tradnl"/>
        </w:rPr>
        <w:t>).</w:t>
      </w:r>
      <w:r w:rsidR="00E61045" w:rsidRPr="00E61045">
        <w:rPr>
          <w:rFonts w:ascii="Georgia" w:hAnsi="Georgia" w:cs="Arial"/>
          <w:lang w:val="es-ES_tradnl"/>
        </w:rPr>
        <w:t xml:space="preserve"> </w:t>
      </w:r>
    </w:p>
    <w:p w:rsidR="00E61045" w:rsidRPr="00E61045" w:rsidRDefault="00E61045" w:rsidP="00E61045">
      <w:pPr>
        <w:ind w:right="902"/>
        <w:jc w:val="both"/>
        <w:rPr>
          <w:rFonts w:ascii="Georgia" w:hAnsi="Georgia" w:cs="Arial"/>
          <w:sz w:val="40"/>
          <w:lang w:val="es-ES_tradnl"/>
        </w:rPr>
      </w:pPr>
    </w:p>
    <w:p w:rsidR="00E61045" w:rsidRPr="00E61045" w:rsidRDefault="004A6C7E" w:rsidP="004A6C7E">
      <w:pPr>
        <w:spacing w:line="360" w:lineRule="auto"/>
        <w:ind w:right="51"/>
        <w:jc w:val="both"/>
        <w:rPr>
          <w:rFonts w:ascii="Georgia" w:hAnsi="Georgia" w:cs="Arial"/>
          <w:i/>
          <w:sz w:val="22"/>
          <w:lang w:val="es-ES_tradnl"/>
        </w:rPr>
      </w:pPr>
      <w:r>
        <w:rPr>
          <w:rFonts w:ascii="Georgia" w:hAnsi="Georgia" w:cs="Arial"/>
          <w:lang w:val="es-ES_tradnl"/>
        </w:rPr>
        <w:t>M</w:t>
      </w:r>
      <w:r w:rsidR="00E61045" w:rsidRPr="00E61045">
        <w:rPr>
          <w:rFonts w:ascii="Georgia" w:hAnsi="Georgia" w:cs="Arial"/>
          <w:lang w:val="es-ES_tradnl"/>
        </w:rPr>
        <w:t xml:space="preserve">ás adelante resaltó: </w:t>
      </w:r>
      <w:r w:rsidR="00E61045" w:rsidRPr="00E61045">
        <w:rPr>
          <w:rFonts w:ascii="Georgia" w:hAnsi="Georgia" w:cs="Arial"/>
          <w:i/>
          <w:sz w:val="22"/>
          <w:lang w:val="es-ES_tradnl"/>
        </w:rPr>
        <w:t xml:space="preserve">“(…) no existe una enfermedad grave, una incompatibilidad de intereses, ser servidor público, no acreditó tener en su haber más defensas o alguna razón que (…) lo imposibilite para desempeñar el cargo, siendo esté (Sic) abogado titulado y con más de 10 años en litigio cuenta con toda la experiencia para la representación designada, aunado a lo anterior ha tramitado procesos civiles así lo indica él, en su mismo escrito (…)” </w:t>
      </w:r>
      <w:r w:rsidR="00E61045" w:rsidRPr="00E61045">
        <w:rPr>
          <w:rFonts w:ascii="Georgia" w:hAnsi="Georgia" w:cs="Arial"/>
          <w:lang w:val="es-ES_tradnl"/>
        </w:rPr>
        <w:t xml:space="preserve">(Folios 28 a 30, </w:t>
      </w:r>
      <w:r w:rsidR="00E61045">
        <w:rPr>
          <w:rFonts w:ascii="Georgia" w:hAnsi="Georgia" w:cs="Arial"/>
          <w:lang w:val="es-ES_tradnl"/>
        </w:rPr>
        <w:t>ib.</w:t>
      </w:r>
      <w:r w:rsidR="00E61045" w:rsidRPr="00E61045">
        <w:rPr>
          <w:rFonts w:ascii="Georgia" w:hAnsi="Georgia" w:cs="Arial"/>
          <w:lang w:val="es-ES_tradnl"/>
        </w:rPr>
        <w:t>)</w:t>
      </w:r>
    </w:p>
    <w:p w:rsidR="00F56F1B" w:rsidRDefault="00F56F1B" w:rsidP="00157FD9">
      <w:pPr>
        <w:spacing w:line="360" w:lineRule="auto"/>
        <w:ind w:right="51"/>
        <w:jc w:val="both"/>
        <w:rPr>
          <w:rFonts w:ascii="Georgia" w:hAnsi="Georgia"/>
        </w:rPr>
      </w:pPr>
    </w:p>
    <w:p w:rsidR="004A6C7E" w:rsidRPr="00D21978" w:rsidRDefault="00E61045" w:rsidP="00157FD9">
      <w:pPr>
        <w:spacing w:line="360" w:lineRule="auto"/>
        <w:ind w:right="51"/>
        <w:jc w:val="both"/>
        <w:rPr>
          <w:rFonts w:ascii="Georgia" w:hAnsi="Georgia"/>
          <w:lang w:val="es-CO"/>
        </w:rPr>
      </w:pPr>
      <w:r>
        <w:rPr>
          <w:rFonts w:ascii="Georgia" w:hAnsi="Georgia"/>
        </w:rPr>
        <w:t xml:space="preserve">Por último, </w:t>
      </w:r>
      <w:r w:rsidR="004A6C7E">
        <w:rPr>
          <w:rFonts w:ascii="Georgia" w:hAnsi="Georgia"/>
        </w:rPr>
        <w:t xml:space="preserve">mantuvo incólume </w:t>
      </w:r>
      <w:r w:rsidR="00F54A62">
        <w:rPr>
          <w:rFonts w:ascii="Georgia" w:hAnsi="Georgia"/>
        </w:rPr>
        <w:t xml:space="preserve">la </w:t>
      </w:r>
      <w:r w:rsidR="004A6C7E">
        <w:rPr>
          <w:rFonts w:ascii="Georgia" w:hAnsi="Georgia"/>
        </w:rPr>
        <w:t>decisión</w:t>
      </w:r>
      <w:r w:rsidR="00F54A62">
        <w:rPr>
          <w:rFonts w:ascii="Georgia" w:hAnsi="Georgia"/>
        </w:rPr>
        <w:t xml:space="preserve"> con fundamento en </w:t>
      </w:r>
      <w:r w:rsidR="004A6C7E">
        <w:rPr>
          <w:rFonts w:ascii="Georgia" w:hAnsi="Georgia"/>
        </w:rPr>
        <w:t xml:space="preserve">el mentado artículo 48, ibídem, </w:t>
      </w:r>
      <w:r w:rsidR="00F54A62">
        <w:rPr>
          <w:rFonts w:ascii="Georgia" w:hAnsi="Georgia"/>
        </w:rPr>
        <w:t>arguyendo</w:t>
      </w:r>
      <w:r w:rsidR="004A6C7E">
        <w:rPr>
          <w:rFonts w:ascii="Georgia" w:hAnsi="Georgia"/>
        </w:rPr>
        <w:t xml:space="preserve">: </w:t>
      </w:r>
      <w:r w:rsidR="004A6C7E" w:rsidRPr="004A6C7E">
        <w:rPr>
          <w:rFonts w:ascii="Georgia" w:hAnsi="Georgia"/>
          <w:i/>
          <w:sz w:val="22"/>
        </w:rPr>
        <w:t>“(…) El togado recurrente</w:t>
      </w:r>
      <w:r w:rsidR="00F54A62">
        <w:rPr>
          <w:rFonts w:ascii="Georgia" w:hAnsi="Georgia"/>
          <w:i/>
          <w:sz w:val="22"/>
        </w:rPr>
        <w:t xml:space="preserve"> es un profesional en derecho (abogado) que </w:t>
      </w:r>
      <w:r w:rsidR="004A6C7E" w:rsidRPr="004A6C7E">
        <w:rPr>
          <w:rFonts w:ascii="Georgia" w:hAnsi="Georgia"/>
          <w:i/>
          <w:sz w:val="22"/>
        </w:rPr>
        <w:t xml:space="preserve">habitualmente ejerce la profesión, de lo anterior no se desprende que deba ser en especialidad específica, (…) cuenta con toda la habilidad y conocimiento para ejercer una adecuada defensa, más aún por la naturaleza del proceso, el cual es de ejecución y el trámite del anterior no varía demasiado conforma (Sic) al procedimiento que se </w:t>
      </w:r>
      <w:r w:rsidR="004A6C7E" w:rsidRPr="00D21978">
        <w:rPr>
          <w:rFonts w:ascii="Georgia" w:hAnsi="Georgia"/>
          <w:i/>
          <w:sz w:val="22"/>
        </w:rPr>
        <w:t>realiza en el área laboral (…)”</w:t>
      </w:r>
      <w:r w:rsidR="004A6C7E" w:rsidRPr="00D21978">
        <w:rPr>
          <w:rFonts w:ascii="Georgia" w:hAnsi="Georgia"/>
          <w:sz w:val="22"/>
        </w:rPr>
        <w:t xml:space="preserve"> </w:t>
      </w:r>
      <w:r w:rsidR="004A6C7E" w:rsidRPr="00D21978">
        <w:rPr>
          <w:rFonts w:ascii="Georgia" w:hAnsi="Georgia"/>
        </w:rPr>
        <w:t>(Folios 35 y 36, ib.).</w:t>
      </w:r>
    </w:p>
    <w:p w:rsidR="004A6C7E" w:rsidRPr="00F54A62" w:rsidRDefault="004A6C7E">
      <w:pPr>
        <w:widowControl/>
        <w:autoSpaceDE/>
        <w:autoSpaceDN/>
        <w:adjustRightInd/>
        <w:rPr>
          <w:rFonts w:ascii="Georgia" w:hAnsi="Georgia"/>
          <w:sz w:val="32"/>
        </w:rPr>
      </w:pPr>
    </w:p>
    <w:p w:rsidR="006E6B6C" w:rsidRPr="00D21978" w:rsidRDefault="004A6C7E" w:rsidP="004A6C7E">
      <w:pPr>
        <w:widowControl/>
        <w:spacing w:line="360" w:lineRule="auto"/>
        <w:jc w:val="both"/>
        <w:rPr>
          <w:rFonts w:ascii="Georgia" w:hAnsi="Georgia" w:cs="Arial"/>
        </w:rPr>
      </w:pPr>
      <w:r w:rsidRPr="00D21978">
        <w:rPr>
          <w:rFonts w:ascii="Georgia" w:hAnsi="Georgia" w:cs="Arial"/>
        </w:rPr>
        <w:t>De acuerdo con lo reseñado, para esta Magistratura es inexistente la vulneración o amenaza de los derechos fundamentales</w:t>
      </w:r>
      <w:r w:rsidR="006E6B6C" w:rsidRPr="00D21978">
        <w:rPr>
          <w:rFonts w:ascii="Georgia" w:hAnsi="Georgia" w:cs="Arial"/>
        </w:rPr>
        <w:t xml:space="preserve"> invocados</w:t>
      </w:r>
      <w:r w:rsidRPr="00D21978">
        <w:rPr>
          <w:rFonts w:ascii="Georgia" w:hAnsi="Georgia" w:cs="Arial"/>
        </w:rPr>
        <w:t xml:space="preserve">, toda vez que no luce irrazonable la interpretación dada a las normas aplicables al caso concreto, menos que deliberadamente </w:t>
      </w:r>
      <w:r w:rsidR="0012392C" w:rsidRPr="00D21978">
        <w:rPr>
          <w:rFonts w:ascii="Georgia" w:hAnsi="Georgia" w:cs="Arial"/>
        </w:rPr>
        <w:lastRenderedPageBreak/>
        <w:t>se haya</w:t>
      </w:r>
      <w:r w:rsidRPr="00D21978">
        <w:rPr>
          <w:rFonts w:ascii="Georgia" w:hAnsi="Georgia" w:cs="Arial"/>
        </w:rPr>
        <w:t xml:space="preserve"> desatendido el artículo 47, CGP, </w:t>
      </w:r>
      <w:r w:rsidR="00F54A62">
        <w:rPr>
          <w:rFonts w:ascii="Georgia" w:hAnsi="Georgia" w:cs="Arial"/>
        </w:rPr>
        <w:t>citado</w:t>
      </w:r>
      <w:r w:rsidRPr="00D21978">
        <w:rPr>
          <w:rFonts w:ascii="Georgia" w:hAnsi="Georgia" w:cs="Arial"/>
        </w:rPr>
        <w:t xml:space="preserve"> por el actor. Los argumentos jurídicos expuestos, tuvieron como sostén </w:t>
      </w:r>
      <w:r w:rsidR="006E6B6C" w:rsidRPr="00D21978">
        <w:rPr>
          <w:rFonts w:ascii="Georgia" w:hAnsi="Georgia" w:cs="Arial"/>
        </w:rPr>
        <w:t>que (i) La designación de</w:t>
      </w:r>
      <w:r w:rsidR="0012392C" w:rsidRPr="00D21978">
        <w:rPr>
          <w:rFonts w:ascii="Georgia" w:hAnsi="Georgia" w:cs="Arial"/>
        </w:rPr>
        <w:t>l</w:t>
      </w:r>
      <w:r w:rsidR="006E6B6C" w:rsidRPr="00D21978">
        <w:rPr>
          <w:rFonts w:ascii="Georgia" w:hAnsi="Georgia" w:cs="Arial"/>
        </w:rPr>
        <w:t xml:space="preserve"> abogado de oficio solo implica establecer que se trate de un profesional que “ejerza habitualmente la profesión”</w:t>
      </w:r>
      <w:r w:rsidR="0012392C" w:rsidRPr="00D21978">
        <w:rPr>
          <w:rFonts w:ascii="Georgia" w:hAnsi="Georgia" w:cs="Arial"/>
        </w:rPr>
        <w:t xml:space="preserve"> (Artículo 48-7º, CGP)</w:t>
      </w:r>
      <w:r w:rsidR="006E6B6C" w:rsidRPr="00D21978">
        <w:rPr>
          <w:rFonts w:ascii="Georgia" w:hAnsi="Georgia" w:cs="Arial"/>
        </w:rPr>
        <w:t>, sin especificación en cuanto a la materia en que se desempeñe; (ii) La experiencia en el ejército profesional</w:t>
      </w:r>
      <w:r w:rsidR="00F54A62">
        <w:rPr>
          <w:rFonts w:ascii="Georgia" w:hAnsi="Georgia" w:cs="Arial"/>
        </w:rPr>
        <w:t>;</w:t>
      </w:r>
      <w:r w:rsidR="006E6B6C" w:rsidRPr="00D21978">
        <w:rPr>
          <w:rFonts w:ascii="Georgia" w:hAnsi="Georgia" w:cs="Arial"/>
        </w:rPr>
        <w:t xml:space="preserve"> y, (iii) La aplicación de la codificación adjetiva general en materia laboral. </w:t>
      </w:r>
    </w:p>
    <w:p w:rsidR="006E6B6C" w:rsidRPr="00D21978" w:rsidRDefault="006E6B6C" w:rsidP="004A6C7E">
      <w:pPr>
        <w:widowControl/>
        <w:spacing w:line="360" w:lineRule="auto"/>
        <w:jc w:val="both"/>
        <w:rPr>
          <w:rFonts w:ascii="Georgia" w:hAnsi="Georgia" w:cs="Arial"/>
        </w:rPr>
      </w:pPr>
    </w:p>
    <w:p w:rsidR="0012392C" w:rsidRPr="00D21978" w:rsidRDefault="0012392C" w:rsidP="0012392C">
      <w:pPr>
        <w:widowControl/>
        <w:spacing w:line="360" w:lineRule="auto"/>
        <w:jc w:val="both"/>
        <w:rPr>
          <w:rFonts w:ascii="Georgia" w:hAnsi="Georgia" w:cs="Arial"/>
        </w:rPr>
      </w:pPr>
      <w:r w:rsidRPr="00D21978">
        <w:rPr>
          <w:rFonts w:ascii="Georgia" w:hAnsi="Georgia" w:cs="Arial"/>
        </w:rPr>
        <w:t xml:space="preserve">Recuérdese que en sede de tutela </w:t>
      </w:r>
      <w:r w:rsidR="007211BA" w:rsidRPr="00D21978">
        <w:rPr>
          <w:rFonts w:ascii="Georgia" w:hAnsi="Georgia" w:cs="Arial"/>
        </w:rPr>
        <w:t xml:space="preserve">debe respetarse </w:t>
      </w:r>
      <w:r w:rsidRPr="00D21978">
        <w:rPr>
          <w:rFonts w:ascii="Georgia" w:hAnsi="Georgia" w:cs="Arial"/>
        </w:rPr>
        <w:t xml:space="preserve">el ejercicio jurisdiccional de los funcionarios </w:t>
      </w:r>
      <w:r w:rsidR="007211BA" w:rsidRPr="00D21978">
        <w:rPr>
          <w:rFonts w:ascii="Georgia" w:hAnsi="Georgia" w:cs="Arial"/>
        </w:rPr>
        <w:t xml:space="preserve">en aplicación de </w:t>
      </w:r>
      <w:r w:rsidRPr="00D21978">
        <w:rPr>
          <w:rFonts w:ascii="Georgia" w:hAnsi="Georgia" w:cs="Arial"/>
        </w:rPr>
        <w:t xml:space="preserve">los principios de autonomía e independencia judicial: </w:t>
      </w:r>
      <w:r w:rsidRPr="00D21978">
        <w:rPr>
          <w:rFonts w:ascii="Georgia" w:hAnsi="Georgia" w:cs="Arial"/>
          <w:i/>
          <w:sz w:val="22"/>
        </w:rPr>
        <w:t>“(…) el administrador de justicia tiene entera libertad para realizar una apreciación autónoma y reflexiva de los medios demostrativos a partir de los cuales debe formar su convencimiento, y aplicar al asunto razonamientos de orden jurídico, sin incurrir, desde luego, en desviación ostensible del ordenamiento legal al interpretar las normas que regulan la temática de la discusión procesal, (…), por lo que le está vedado al juez del amparo interferir en la labor acometida bajo los principios de autonomía e independencia que demarcan la función judicial (…)”</w:t>
      </w:r>
      <w:r w:rsidRPr="00D21978">
        <w:rPr>
          <w:rStyle w:val="Refdenotaalpie"/>
          <w:rFonts w:ascii="Georgia" w:hAnsi="Georgia"/>
          <w:i/>
          <w:sz w:val="22"/>
        </w:rPr>
        <w:footnoteReference w:id="34"/>
      </w:r>
      <w:r w:rsidRPr="00D21978">
        <w:rPr>
          <w:rFonts w:ascii="Georgia" w:hAnsi="Georgia" w:cs="Arial"/>
        </w:rPr>
        <w:t>, menos orientar las decisiones cuestionadas aun cuando no las comparta.</w:t>
      </w:r>
    </w:p>
    <w:p w:rsidR="0012392C" w:rsidRPr="00D21978" w:rsidRDefault="0012392C" w:rsidP="0012392C">
      <w:pPr>
        <w:widowControl/>
        <w:spacing w:line="360" w:lineRule="auto"/>
        <w:jc w:val="both"/>
        <w:rPr>
          <w:rFonts w:ascii="Georgia" w:hAnsi="Georgia" w:cs="Arial"/>
        </w:rPr>
      </w:pPr>
      <w:r w:rsidRPr="00D21978">
        <w:rPr>
          <w:rFonts w:ascii="Georgia" w:hAnsi="Georgia" w:cs="Arial"/>
        </w:rPr>
        <w:t xml:space="preserve"> </w:t>
      </w:r>
    </w:p>
    <w:p w:rsidR="0012392C" w:rsidRPr="00D21978" w:rsidRDefault="0012392C" w:rsidP="0012392C">
      <w:pPr>
        <w:widowControl/>
        <w:spacing w:line="360" w:lineRule="auto"/>
        <w:jc w:val="both"/>
        <w:rPr>
          <w:rFonts w:ascii="Georgia" w:hAnsi="Georgia" w:cs="Arial"/>
        </w:rPr>
      </w:pPr>
      <w:r w:rsidRPr="00D21978">
        <w:rPr>
          <w:rFonts w:ascii="Georgia" w:hAnsi="Georgia" w:cs="Arial"/>
        </w:rPr>
        <w:t xml:space="preserve">La conclusión a la que arribó </w:t>
      </w:r>
      <w:r w:rsidR="00F54A62">
        <w:rPr>
          <w:rFonts w:ascii="Georgia" w:hAnsi="Georgia" w:cs="Arial"/>
        </w:rPr>
        <w:t xml:space="preserve">la </w:t>
      </w:r>
      <w:r w:rsidR="00F54A62" w:rsidRPr="00F54A62">
        <w:rPr>
          <w:rFonts w:ascii="Georgia" w:hAnsi="Georgia" w:cs="Arial"/>
          <w:i/>
        </w:rPr>
        <w:t>a quo</w:t>
      </w:r>
      <w:r w:rsidR="00F54A62">
        <w:rPr>
          <w:rFonts w:ascii="Georgia" w:hAnsi="Georgia" w:cs="Arial"/>
        </w:rPr>
        <w:t xml:space="preserve"> </w:t>
      </w:r>
      <w:r w:rsidRPr="00D21978">
        <w:rPr>
          <w:rFonts w:ascii="Georgia" w:hAnsi="Georgia" w:cs="Arial"/>
        </w:rPr>
        <w:t xml:space="preserve">está debidamente sustentada. </w:t>
      </w:r>
      <w:r w:rsidR="00F54A62">
        <w:rPr>
          <w:rFonts w:ascii="Georgia" w:hAnsi="Georgia"/>
        </w:rPr>
        <w:t xml:space="preserve">Aquí </w:t>
      </w:r>
      <w:r w:rsidRPr="00D21978">
        <w:rPr>
          <w:rFonts w:ascii="Georgia" w:hAnsi="Georgia"/>
        </w:rPr>
        <w:t>no se comprobó que</w:t>
      </w:r>
      <w:r w:rsidRPr="00D21978">
        <w:rPr>
          <w:rFonts w:ascii="Georgia" w:hAnsi="Georgia" w:cs="Arial"/>
        </w:rPr>
        <w:t xml:space="preserve"> se hayan pasado inadvertidas las normas aplicables ni que su interpretación haya sido contraevidente</w:t>
      </w:r>
      <w:r w:rsidRPr="00D21978">
        <w:rPr>
          <w:rFonts w:ascii="Georgia" w:hAnsi="Georgia" w:cs="Arial"/>
          <w:vertAlign w:val="superscript"/>
        </w:rPr>
        <w:footnoteReference w:id="35"/>
      </w:r>
      <w:r w:rsidRPr="00D21978">
        <w:rPr>
          <w:rFonts w:ascii="Georgia" w:hAnsi="Georgia" w:cs="Arial"/>
        </w:rPr>
        <w:t xml:space="preserve">, como se afirma en el petitorio de amparo. </w:t>
      </w:r>
      <w:r w:rsidR="00F54A62" w:rsidRPr="00D21978">
        <w:rPr>
          <w:rFonts w:ascii="Georgia" w:hAnsi="Georgia" w:cs="Arial"/>
        </w:rPr>
        <w:t>I</w:t>
      </w:r>
      <w:r w:rsidR="00F54A62" w:rsidRPr="00D21978">
        <w:rPr>
          <w:rFonts w:ascii="Georgia" w:hAnsi="Georgia"/>
        </w:rPr>
        <w:t>térese que el juicio de validez impide que la tutela sea empleada como una instancia adicional para ventilar controversias desatadas por las autoridades competentes.</w:t>
      </w:r>
    </w:p>
    <w:p w:rsidR="006E6B6C" w:rsidRPr="00D21978" w:rsidRDefault="006E6B6C" w:rsidP="006E6B6C">
      <w:pPr>
        <w:widowControl/>
        <w:spacing w:line="360" w:lineRule="auto"/>
        <w:jc w:val="both"/>
        <w:rPr>
          <w:rFonts w:ascii="Georgia" w:hAnsi="Georgia" w:cs="Arial"/>
        </w:rPr>
      </w:pPr>
    </w:p>
    <w:p w:rsidR="00E432D9" w:rsidRDefault="001D5C92" w:rsidP="006E6B6C">
      <w:pPr>
        <w:widowControl/>
        <w:spacing w:line="360" w:lineRule="auto"/>
        <w:jc w:val="both"/>
        <w:rPr>
          <w:rFonts w:ascii="Georgia" w:hAnsi="Georgia" w:cs="Arial"/>
        </w:rPr>
      </w:pPr>
      <w:r>
        <w:rPr>
          <w:rFonts w:ascii="Georgia" w:hAnsi="Georgia" w:cs="Arial"/>
        </w:rPr>
        <w:t>Aun cuando lo expuesto es suficiente para desestimar la incursión en el defecto material</w:t>
      </w:r>
      <w:r w:rsidR="0012392C" w:rsidRPr="00D21978">
        <w:rPr>
          <w:rFonts w:ascii="Georgia" w:hAnsi="Georgia" w:cs="Arial"/>
        </w:rPr>
        <w:t xml:space="preserve">, </w:t>
      </w:r>
      <w:r>
        <w:rPr>
          <w:rFonts w:ascii="Georgia" w:hAnsi="Georgia" w:cs="Arial"/>
        </w:rPr>
        <w:t xml:space="preserve">no sobra relievar que </w:t>
      </w:r>
      <w:r w:rsidR="0012392C" w:rsidRPr="00D21978">
        <w:rPr>
          <w:rFonts w:ascii="Georgia" w:hAnsi="Georgia" w:cs="Arial"/>
        </w:rPr>
        <w:t xml:space="preserve">para esta Sala </w:t>
      </w:r>
      <w:r>
        <w:rPr>
          <w:rFonts w:ascii="Georgia" w:hAnsi="Georgia" w:cs="Arial"/>
        </w:rPr>
        <w:t xml:space="preserve">fueron </w:t>
      </w:r>
      <w:r w:rsidR="0012392C" w:rsidRPr="00D21978">
        <w:rPr>
          <w:rFonts w:ascii="Georgia" w:hAnsi="Georgia" w:cs="Arial"/>
        </w:rPr>
        <w:t>acertadas las decisiones cuestionadas y se comparten</w:t>
      </w:r>
      <w:r>
        <w:rPr>
          <w:rFonts w:ascii="Georgia" w:hAnsi="Georgia" w:cs="Arial"/>
        </w:rPr>
        <w:t xml:space="preserve">, puesto que se avinieron </w:t>
      </w:r>
      <w:r w:rsidR="0012392C" w:rsidRPr="00D21978">
        <w:rPr>
          <w:rFonts w:ascii="Georgia" w:hAnsi="Georgia" w:cs="Arial"/>
        </w:rPr>
        <w:t>a la realidad fáctica del devenir propio en el ejercicio litigioso de un abogado experimentado como el acto</w:t>
      </w:r>
      <w:r w:rsidR="0011727B" w:rsidRPr="00D21978">
        <w:rPr>
          <w:rFonts w:ascii="Georgia" w:hAnsi="Georgia" w:cs="Arial"/>
        </w:rPr>
        <w:t>r</w:t>
      </w:r>
      <w:r w:rsidR="0012392C" w:rsidRPr="00D21978">
        <w:rPr>
          <w:rFonts w:ascii="Georgia" w:hAnsi="Georgia" w:cs="Arial"/>
        </w:rPr>
        <w:t xml:space="preserve">.  El trámite para el cual se designó como defensor de oficio es de </w:t>
      </w:r>
      <w:r w:rsidR="0011727B" w:rsidRPr="00D21978">
        <w:rPr>
          <w:rFonts w:ascii="Georgia" w:hAnsi="Georgia" w:cs="Arial"/>
        </w:rPr>
        <w:t>mediana</w:t>
      </w:r>
      <w:r w:rsidR="0012392C" w:rsidRPr="00D21978">
        <w:rPr>
          <w:rFonts w:ascii="Georgia" w:hAnsi="Georgia" w:cs="Arial"/>
        </w:rPr>
        <w:t xml:space="preserve"> complejidad, a más que afín con litigios ventilados en </w:t>
      </w:r>
      <w:r w:rsidR="00E432D9">
        <w:rPr>
          <w:rFonts w:ascii="Georgia" w:hAnsi="Georgia" w:cs="Arial"/>
        </w:rPr>
        <w:t xml:space="preserve"> </w:t>
      </w:r>
      <w:r w:rsidR="0012392C" w:rsidRPr="00D21978">
        <w:rPr>
          <w:rFonts w:ascii="Georgia" w:hAnsi="Georgia" w:cs="Arial"/>
        </w:rPr>
        <w:t xml:space="preserve">materia </w:t>
      </w:r>
      <w:r w:rsidR="00E432D9">
        <w:rPr>
          <w:rFonts w:ascii="Georgia" w:hAnsi="Georgia" w:cs="Arial"/>
        </w:rPr>
        <w:t xml:space="preserve"> </w:t>
      </w:r>
      <w:r w:rsidR="0012392C" w:rsidRPr="00D21978">
        <w:rPr>
          <w:rFonts w:ascii="Georgia" w:hAnsi="Georgia" w:cs="Arial"/>
        </w:rPr>
        <w:t xml:space="preserve">laboral; </w:t>
      </w:r>
      <w:r w:rsidR="00E432D9">
        <w:rPr>
          <w:rFonts w:ascii="Georgia" w:hAnsi="Georgia" w:cs="Arial"/>
        </w:rPr>
        <w:t xml:space="preserve"> </w:t>
      </w:r>
      <w:r w:rsidR="0012392C" w:rsidRPr="00D21978">
        <w:rPr>
          <w:rFonts w:ascii="Georgia" w:hAnsi="Georgia" w:cs="Arial"/>
        </w:rPr>
        <w:t xml:space="preserve">como bien lo acotó el accionado, se trata de un proceso ejecutivo </w:t>
      </w:r>
      <w:r w:rsidR="0011727B" w:rsidRPr="00D21978">
        <w:rPr>
          <w:rFonts w:ascii="Georgia" w:hAnsi="Georgia" w:cs="Arial"/>
        </w:rPr>
        <w:t xml:space="preserve">que </w:t>
      </w:r>
    </w:p>
    <w:p w:rsidR="0011727B" w:rsidRPr="00D21978" w:rsidRDefault="0011727B" w:rsidP="006E6B6C">
      <w:pPr>
        <w:widowControl/>
        <w:spacing w:line="360" w:lineRule="auto"/>
        <w:jc w:val="both"/>
        <w:rPr>
          <w:rFonts w:ascii="Georgia" w:hAnsi="Georgia" w:cs="Arial"/>
        </w:rPr>
      </w:pPr>
      <w:r w:rsidRPr="00D21978">
        <w:rPr>
          <w:rFonts w:ascii="Georgia" w:hAnsi="Georgia" w:cs="Arial"/>
        </w:rPr>
        <w:t xml:space="preserve">no le es ajeno, pues en su especialidad también se tramitan </w:t>
      </w:r>
      <w:r w:rsidR="007211BA" w:rsidRPr="00D21978">
        <w:rPr>
          <w:rFonts w:ascii="Georgia" w:hAnsi="Georgia" w:cs="Arial"/>
        </w:rPr>
        <w:t xml:space="preserve">asuntos </w:t>
      </w:r>
      <w:r w:rsidRPr="00D21978">
        <w:rPr>
          <w:rFonts w:ascii="Georgia" w:hAnsi="Georgia" w:cs="Arial"/>
        </w:rPr>
        <w:t>similares</w:t>
      </w:r>
      <w:r w:rsidR="00E432D9">
        <w:rPr>
          <w:rFonts w:ascii="Georgia" w:hAnsi="Georgia" w:cs="Arial"/>
        </w:rPr>
        <w:t>; incluso opera la analogía al CGP, cuando haya vacíos (Artículo 145, CSTSS).</w:t>
      </w:r>
      <w:r w:rsidRPr="00D21978">
        <w:rPr>
          <w:rFonts w:ascii="Georgia" w:hAnsi="Georgia" w:cs="Arial"/>
        </w:rPr>
        <w:t xml:space="preserve"> </w:t>
      </w:r>
    </w:p>
    <w:p w:rsidR="0011727B" w:rsidRPr="00D21978" w:rsidRDefault="0011727B" w:rsidP="006E6B6C">
      <w:pPr>
        <w:widowControl/>
        <w:spacing w:line="360" w:lineRule="auto"/>
        <w:jc w:val="both"/>
        <w:rPr>
          <w:rFonts w:ascii="Georgia" w:hAnsi="Georgia" w:cs="Arial"/>
        </w:rPr>
      </w:pPr>
    </w:p>
    <w:p w:rsidR="007211BA" w:rsidRPr="00D21978" w:rsidRDefault="0011727B" w:rsidP="007211BA">
      <w:pPr>
        <w:widowControl/>
        <w:spacing w:line="360" w:lineRule="auto"/>
        <w:jc w:val="both"/>
        <w:rPr>
          <w:rFonts w:ascii="Georgia" w:hAnsi="Georgia" w:cs="Arial"/>
        </w:rPr>
      </w:pPr>
      <w:r w:rsidRPr="00D21978">
        <w:rPr>
          <w:rFonts w:ascii="Georgia" w:hAnsi="Georgia" w:cs="Arial"/>
        </w:rPr>
        <w:t>No discute esta Corporación que el funcionario judicial debe ser precavido al momento de designar un defensor de oficio</w:t>
      </w:r>
      <w:r w:rsidR="007211BA" w:rsidRPr="00D21978">
        <w:rPr>
          <w:rFonts w:ascii="Georgia" w:hAnsi="Georgia" w:cs="Arial"/>
        </w:rPr>
        <w:t xml:space="preserve"> para representar a alguna de las partes, </w:t>
      </w:r>
      <w:r w:rsidR="001D5C92">
        <w:rPr>
          <w:rFonts w:ascii="Georgia" w:hAnsi="Georgia" w:cs="Arial"/>
        </w:rPr>
        <w:t>con fundamento</w:t>
      </w:r>
      <w:r w:rsidR="00F54A62">
        <w:rPr>
          <w:rFonts w:ascii="Georgia" w:hAnsi="Georgia" w:cs="Arial"/>
        </w:rPr>
        <w:t xml:space="preserve"> en </w:t>
      </w:r>
      <w:r w:rsidR="007211BA" w:rsidRPr="00D21978">
        <w:rPr>
          <w:rFonts w:ascii="Georgia" w:hAnsi="Georgia" w:cs="Arial"/>
        </w:rPr>
        <w:t>la materia y el tipo de trámite en el que deba intervenir</w:t>
      </w:r>
      <w:r w:rsidR="001D5C92">
        <w:rPr>
          <w:rFonts w:ascii="Georgia" w:hAnsi="Georgia" w:cs="Arial"/>
        </w:rPr>
        <w:t>, pese a la inexistencia de mandato legal expreso</w:t>
      </w:r>
      <w:r w:rsidR="007211BA" w:rsidRPr="00D21978">
        <w:rPr>
          <w:rFonts w:ascii="Georgia" w:hAnsi="Georgia" w:cs="Arial"/>
        </w:rPr>
        <w:t xml:space="preserve">; sin embargo, </w:t>
      </w:r>
      <w:r w:rsidR="00E432D9">
        <w:rPr>
          <w:rFonts w:ascii="Georgia" w:hAnsi="Georgia" w:cs="Arial"/>
        </w:rPr>
        <w:t>como se trata</w:t>
      </w:r>
      <w:r w:rsidR="001D5C92">
        <w:rPr>
          <w:rFonts w:ascii="Georgia" w:hAnsi="Georgia" w:cs="Arial"/>
        </w:rPr>
        <w:t xml:space="preserve"> de un </w:t>
      </w:r>
      <w:r w:rsidR="007211BA" w:rsidRPr="00D21978">
        <w:rPr>
          <w:rFonts w:ascii="Georgia" w:hAnsi="Georgia" w:cs="Arial"/>
        </w:rPr>
        <w:t xml:space="preserve">proceso ejecutivo </w:t>
      </w:r>
      <w:r w:rsidR="001D5C92">
        <w:rPr>
          <w:rFonts w:ascii="Georgia" w:hAnsi="Georgia" w:cs="Arial"/>
        </w:rPr>
        <w:t xml:space="preserve">con base en un título valor (Letra de cambio) </w:t>
      </w:r>
      <w:r w:rsidR="007211BA" w:rsidRPr="00D21978">
        <w:rPr>
          <w:rFonts w:ascii="Georgia" w:hAnsi="Georgia" w:cs="Arial"/>
        </w:rPr>
        <w:t xml:space="preserve">no </w:t>
      </w:r>
      <w:r w:rsidR="00E432D9">
        <w:rPr>
          <w:rFonts w:ascii="Georgia" w:hAnsi="Georgia" w:cs="Arial"/>
        </w:rPr>
        <w:t>merecía</w:t>
      </w:r>
      <w:r w:rsidR="007211BA" w:rsidRPr="00D21978">
        <w:rPr>
          <w:rFonts w:ascii="Georgia" w:hAnsi="Georgia" w:cs="Arial"/>
        </w:rPr>
        <w:t xml:space="preserve"> mayor </w:t>
      </w:r>
      <w:r w:rsidR="00E432D9">
        <w:rPr>
          <w:rFonts w:ascii="Georgia" w:hAnsi="Georgia" w:cs="Arial"/>
        </w:rPr>
        <w:t>escrúpulo</w:t>
      </w:r>
      <w:r w:rsidR="007211BA" w:rsidRPr="00D21978">
        <w:rPr>
          <w:rFonts w:ascii="Georgia" w:hAnsi="Georgia" w:cs="Arial"/>
        </w:rPr>
        <w:t xml:space="preserve">; diferente </w:t>
      </w:r>
      <w:r w:rsidR="00F54A62">
        <w:rPr>
          <w:rFonts w:ascii="Georgia" w:hAnsi="Georgia" w:cs="Arial"/>
        </w:rPr>
        <w:t xml:space="preserve">es </w:t>
      </w:r>
      <w:r w:rsidR="007211BA" w:rsidRPr="00D21978">
        <w:rPr>
          <w:rFonts w:ascii="Georgia" w:hAnsi="Georgia" w:cs="Arial"/>
        </w:rPr>
        <w:t xml:space="preserve">si se tratase de un </w:t>
      </w:r>
      <w:r w:rsidR="007211BA" w:rsidRPr="00D21978">
        <w:rPr>
          <w:rFonts w:ascii="Georgia" w:hAnsi="Georgia" w:cs="Arial"/>
        </w:rPr>
        <w:lastRenderedPageBreak/>
        <w:t xml:space="preserve">proceso más complejo que exija conocimientos especiales, </w:t>
      </w:r>
      <w:r w:rsidR="00E432D9">
        <w:rPr>
          <w:rFonts w:ascii="Georgia" w:hAnsi="Georgia" w:cs="Arial"/>
        </w:rPr>
        <w:t>asuntos de derecho societario, marcario, marítimo, etc.;</w:t>
      </w:r>
      <w:r w:rsidR="00F54A62">
        <w:rPr>
          <w:rFonts w:ascii="Georgia" w:hAnsi="Georgia" w:cs="Arial"/>
        </w:rPr>
        <w:t xml:space="preserve"> serían </w:t>
      </w:r>
      <w:r w:rsidR="001D5C92">
        <w:rPr>
          <w:rFonts w:ascii="Georgia" w:hAnsi="Georgia" w:cs="Arial"/>
        </w:rPr>
        <w:t xml:space="preserve">sensatos </w:t>
      </w:r>
      <w:r w:rsidR="00F54A62">
        <w:rPr>
          <w:rFonts w:ascii="Georgia" w:hAnsi="Georgia" w:cs="Arial"/>
        </w:rPr>
        <w:t>los argumentos del opugnante</w:t>
      </w:r>
      <w:r w:rsidR="007211BA" w:rsidRPr="00D21978">
        <w:rPr>
          <w:rFonts w:ascii="Georgia" w:hAnsi="Georgia" w:cs="Arial"/>
        </w:rPr>
        <w:t xml:space="preserve">. </w:t>
      </w:r>
    </w:p>
    <w:p w:rsidR="007211BA" w:rsidRPr="00D21978" w:rsidRDefault="007211BA" w:rsidP="007211BA">
      <w:pPr>
        <w:widowControl/>
        <w:spacing w:line="360" w:lineRule="auto"/>
        <w:jc w:val="both"/>
        <w:rPr>
          <w:rFonts w:ascii="Georgia" w:hAnsi="Georgia" w:cs="Arial"/>
        </w:rPr>
      </w:pPr>
    </w:p>
    <w:p w:rsidR="007211BA" w:rsidRPr="00D21978" w:rsidRDefault="007211BA" w:rsidP="007211BA">
      <w:pPr>
        <w:widowControl/>
        <w:spacing w:line="360" w:lineRule="auto"/>
        <w:jc w:val="both"/>
        <w:rPr>
          <w:rFonts w:ascii="Georgia" w:hAnsi="Georgia" w:cs="Arial"/>
          <w:smallCaps/>
        </w:rPr>
      </w:pPr>
      <w:r w:rsidRPr="00D21978">
        <w:rPr>
          <w:rFonts w:ascii="Georgia" w:hAnsi="Georgia" w:cs="Arial"/>
          <w:smallCaps/>
        </w:rPr>
        <w:t xml:space="preserve">7.2. </w:t>
      </w:r>
      <w:r w:rsidR="00D21978" w:rsidRPr="00D21978">
        <w:rPr>
          <w:rFonts w:ascii="Georgia" w:hAnsi="Georgia" w:cs="Arial"/>
          <w:smallCaps/>
        </w:rPr>
        <w:t xml:space="preserve">   </w:t>
      </w:r>
      <w:r w:rsidRPr="00D21978">
        <w:rPr>
          <w:rFonts w:ascii="Georgia" w:hAnsi="Georgia" w:cs="Arial"/>
          <w:smallCaps/>
        </w:rPr>
        <w:t xml:space="preserve">El </w:t>
      </w:r>
      <w:r w:rsidR="00DE5F6A" w:rsidRPr="00D21978">
        <w:rPr>
          <w:rFonts w:ascii="Georgia" w:hAnsi="Georgia" w:cs="Arial"/>
          <w:smallCaps/>
        </w:rPr>
        <w:t>desconocimiento</w:t>
      </w:r>
      <w:r w:rsidRPr="00D21978">
        <w:rPr>
          <w:rFonts w:ascii="Georgia" w:hAnsi="Georgia" w:cs="Arial"/>
          <w:smallCaps/>
        </w:rPr>
        <w:t xml:space="preserve"> del precedente</w:t>
      </w:r>
    </w:p>
    <w:p w:rsidR="007211BA" w:rsidRPr="00D21978" w:rsidRDefault="007211BA" w:rsidP="007211BA">
      <w:pPr>
        <w:widowControl/>
        <w:spacing w:line="360" w:lineRule="auto"/>
        <w:jc w:val="both"/>
        <w:rPr>
          <w:rFonts w:ascii="Georgia" w:hAnsi="Georgia" w:cs="Arial"/>
        </w:rPr>
      </w:pPr>
    </w:p>
    <w:p w:rsidR="00DE5F6A" w:rsidRPr="00D21978" w:rsidRDefault="00DE5F6A" w:rsidP="007211BA">
      <w:pPr>
        <w:widowControl/>
        <w:spacing w:line="360" w:lineRule="auto"/>
        <w:jc w:val="both"/>
        <w:rPr>
          <w:rFonts w:ascii="Georgia" w:hAnsi="Georgia" w:cs="Arial"/>
        </w:rPr>
      </w:pPr>
      <w:r w:rsidRPr="00D21978">
        <w:rPr>
          <w:rFonts w:ascii="Georgia" w:hAnsi="Georgia" w:cs="Arial"/>
        </w:rPr>
        <w:t xml:space="preserve">De otro lado, tampoco se considera </w:t>
      </w:r>
      <w:r w:rsidR="007211BA" w:rsidRPr="00D21978">
        <w:rPr>
          <w:rFonts w:ascii="Georgia" w:hAnsi="Georgia" w:cs="Arial"/>
        </w:rPr>
        <w:t xml:space="preserve">que en este asunto en particular </w:t>
      </w:r>
      <w:r w:rsidRPr="00D21978">
        <w:rPr>
          <w:rFonts w:ascii="Georgia" w:hAnsi="Georgia" w:cs="Arial"/>
        </w:rPr>
        <w:t>se configure</w:t>
      </w:r>
      <w:r w:rsidR="007211BA" w:rsidRPr="00D21978">
        <w:rPr>
          <w:rFonts w:ascii="Georgia" w:hAnsi="Georgia" w:cs="Arial"/>
        </w:rPr>
        <w:t xml:space="preserve"> el defecto </w:t>
      </w:r>
      <w:r w:rsidRPr="00D21978">
        <w:rPr>
          <w:rFonts w:ascii="Georgia" w:hAnsi="Georgia" w:cs="Arial"/>
        </w:rPr>
        <w:t xml:space="preserve">por el desconocimiento del precedente, en tanto que la decisión judicial invocada fue dictada por un órgano que no es el de cierre </w:t>
      </w:r>
      <w:r w:rsidR="001D5C92">
        <w:rPr>
          <w:rFonts w:ascii="Georgia" w:hAnsi="Georgia" w:cs="Arial"/>
        </w:rPr>
        <w:t xml:space="preserve">en </w:t>
      </w:r>
      <w:r w:rsidRPr="00D21978">
        <w:rPr>
          <w:rFonts w:ascii="Georgia" w:hAnsi="Georgia" w:cs="Arial"/>
        </w:rPr>
        <w:t>la especialidad ordinaria</w:t>
      </w:r>
      <w:r w:rsidR="00E432D9">
        <w:rPr>
          <w:rStyle w:val="Refdenotaalpie"/>
          <w:rFonts w:ascii="Georgia" w:hAnsi="Georgia"/>
        </w:rPr>
        <w:footnoteReference w:id="36"/>
      </w:r>
      <w:r w:rsidRPr="00D21978">
        <w:rPr>
          <w:rFonts w:ascii="Georgia" w:hAnsi="Georgia" w:cs="Arial"/>
        </w:rPr>
        <w:t>.</w:t>
      </w:r>
    </w:p>
    <w:p w:rsidR="00DE5F6A" w:rsidRPr="00D21978" w:rsidRDefault="00DE5F6A" w:rsidP="007211BA">
      <w:pPr>
        <w:widowControl/>
        <w:spacing w:line="360" w:lineRule="auto"/>
        <w:jc w:val="both"/>
        <w:rPr>
          <w:rFonts w:ascii="Georgia" w:hAnsi="Georgia" w:cs="Arial"/>
        </w:rPr>
      </w:pPr>
    </w:p>
    <w:p w:rsidR="00DE5F6A" w:rsidRPr="00DE5F6A" w:rsidRDefault="00DE5F6A" w:rsidP="00DE5F6A">
      <w:pPr>
        <w:widowControl/>
        <w:spacing w:line="360" w:lineRule="auto"/>
        <w:jc w:val="both"/>
        <w:rPr>
          <w:rFonts w:ascii="Georgia" w:hAnsi="Georgia" w:cs="Arial"/>
        </w:rPr>
      </w:pPr>
      <w:r w:rsidRPr="00D21978">
        <w:rPr>
          <w:rFonts w:ascii="Georgia" w:hAnsi="Georgia" w:cs="Arial"/>
        </w:rPr>
        <w:t xml:space="preserve">En efecto, como las decisiones cuestionadas fueron tomadas por </w:t>
      </w:r>
      <w:r w:rsidR="00F54A62">
        <w:rPr>
          <w:rFonts w:ascii="Georgia" w:hAnsi="Georgia" w:cs="Arial"/>
        </w:rPr>
        <w:t>una funcionaria</w:t>
      </w:r>
      <w:r w:rsidRPr="00D21978">
        <w:rPr>
          <w:rFonts w:ascii="Georgia" w:hAnsi="Georgia" w:cs="Arial"/>
        </w:rPr>
        <w:t xml:space="preserve"> en ejercicio de su jurisdicción civil, debía entonces</w:t>
      </w:r>
      <w:r w:rsidRPr="00DE5F6A">
        <w:rPr>
          <w:rFonts w:ascii="Georgia" w:hAnsi="Georgia" w:cs="Arial"/>
        </w:rPr>
        <w:t xml:space="preserve"> acatar la doctrina jurisprudencial que </w:t>
      </w:r>
      <w:r w:rsidR="00D21978">
        <w:rPr>
          <w:rFonts w:ascii="Georgia" w:hAnsi="Georgia" w:cs="Arial"/>
          <w:lang w:val="es-CO"/>
        </w:rPr>
        <w:t xml:space="preserve">alguno de sus superiores haya </w:t>
      </w:r>
      <w:r w:rsidRPr="00DE5F6A">
        <w:rPr>
          <w:rFonts w:ascii="Georgia" w:hAnsi="Georgia" w:cs="Arial"/>
        </w:rPr>
        <w:t xml:space="preserve">instituido en materia de </w:t>
      </w:r>
      <w:r>
        <w:rPr>
          <w:rFonts w:ascii="Georgia" w:hAnsi="Georgia" w:cs="Arial"/>
        </w:rPr>
        <w:t>amparos de pobreza</w:t>
      </w:r>
      <w:r w:rsidR="00D21978">
        <w:rPr>
          <w:rFonts w:ascii="Georgia" w:hAnsi="Georgia" w:cs="Arial"/>
        </w:rPr>
        <w:t xml:space="preserve"> </w:t>
      </w:r>
      <w:r w:rsidR="00D21978" w:rsidRPr="00DE5F6A">
        <w:rPr>
          <w:rFonts w:ascii="Georgia" w:hAnsi="Georgia" w:cs="Arial"/>
        </w:rPr>
        <w:t>(Precedente vertical)</w:t>
      </w:r>
      <w:r w:rsidRPr="00DE5F6A">
        <w:rPr>
          <w:rFonts w:ascii="Georgia" w:hAnsi="Georgia" w:cs="Arial"/>
        </w:rPr>
        <w:t xml:space="preserve">, </w:t>
      </w:r>
      <w:r>
        <w:rPr>
          <w:rFonts w:ascii="Georgia" w:hAnsi="Georgia" w:cs="Arial"/>
        </w:rPr>
        <w:t>ya sea de un Juzgado Civil del Circuito local, de esta Sala del Tribunal Superior, o</w:t>
      </w:r>
      <w:r w:rsidR="00D21978">
        <w:rPr>
          <w:rFonts w:ascii="Georgia" w:hAnsi="Georgia" w:cs="Arial"/>
        </w:rPr>
        <w:t xml:space="preserve">, en mejor medida </w:t>
      </w:r>
      <w:r>
        <w:rPr>
          <w:rFonts w:ascii="Georgia" w:hAnsi="Georgia" w:cs="Arial"/>
        </w:rPr>
        <w:t xml:space="preserve">de la CSJ, </w:t>
      </w:r>
      <w:r w:rsidRPr="00DE5F6A">
        <w:rPr>
          <w:rFonts w:ascii="Georgia" w:hAnsi="Georgia" w:cs="Arial"/>
        </w:rPr>
        <w:t>salvo que</w:t>
      </w:r>
      <w:r w:rsidR="00D21978">
        <w:rPr>
          <w:rFonts w:ascii="Georgia" w:hAnsi="Georgia" w:cs="Arial"/>
        </w:rPr>
        <w:t xml:space="preserve"> tuviera </w:t>
      </w:r>
      <w:r w:rsidRPr="00DE5F6A">
        <w:rPr>
          <w:rFonts w:ascii="Georgia" w:hAnsi="Georgia" w:cs="Arial"/>
        </w:rPr>
        <w:t xml:space="preserve">razones suficientes para apartarse y que </w:t>
      </w:r>
      <w:r>
        <w:rPr>
          <w:rFonts w:ascii="Georgia" w:hAnsi="Georgia" w:cs="Arial"/>
        </w:rPr>
        <w:t>estaba</w:t>
      </w:r>
      <w:r w:rsidRPr="00DE5F6A">
        <w:rPr>
          <w:rFonts w:ascii="Georgia" w:hAnsi="Georgia" w:cs="Arial"/>
        </w:rPr>
        <w:t xml:space="preserve"> en la obligación de referir. </w:t>
      </w:r>
    </w:p>
    <w:p w:rsidR="00DE5F6A" w:rsidRPr="00D21978" w:rsidRDefault="00DE5F6A" w:rsidP="007211BA">
      <w:pPr>
        <w:widowControl/>
        <w:spacing w:line="360" w:lineRule="auto"/>
        <w:jc w:val="both"/>
        <w:rPr>
          <w:rFonts w:ascii="Georgia" w:hAnsi="Georgia" w:cs="Arial"/>
        </w:rPr>
      </w:pPr>
    </w:p>
    <w:p w:rsidR="00D21978" w:rsidRPr="00D21978" w:rsidRDefault="00D21978" w:rsidP="00D21978">
      <w:pPr>
        <w:spacing w:line="360" w:lineRule="auto"/>
        <w:ind w:right="51"/>
        <w:jc w:val="both"/>
        <w:rPr>
          <w:rFonts w:ascii="Georgia" w:hAnsi="Georgia" w:cs="Arial"/>
        </w:rPr>
      </w:pPr>
      <w:r w:rsidRPr="00D21978">
        <w:rPr>
          <w:rFonts w:ascii="Georgia" w:hAnsi="Georgia" w:cs="Arial"/>
        </w:rPr>
        <w:t>En ese asunto el precedente de la Sala Jurisdiccional Disciplinaria del CSJ no era vinculante, solo podía emplearse como criterio auxiliar de interpretación</w:t>
      </w:r>
      <w:r w:rsidRPr="00D21978">
        <w:rPr>
          <w:rStyle w:val="Refdenotaalpie"/>
          <w:rFonts w:ascii="Georgia" w:hAnsi="Georgia"/>
        </w:rPr>
        <w:footnoteReference w:id="37"/>
      </w:r>
      <w:r w:rsidRPr="00D21978">
        <w:rPr>
          <w:rFonts w:ascii="Georgia" w:hAnsi="Georgia" w:cs="Arial"/>
        </w:rPr>
        <w:t xml:space="preserve">, y por ello carente de obligatoriedad; de tal suerte que era susceptible de que no se valorara, sin necesidad de argumento alguno para </w:t>
      </w:r>
      <w:r w:rsidR="00E432D9">
        <w:rPr>
          <w:rFonts w:ascii="Georgia" w:hAnsi="Georgia" w:cs="Arial"/>
        </w:rPr>
        <w:t>separarse</w:t>
      </w:r>
      <w:r w:rsidRPr="00D21978">
        <w:rPr>
          <w:rFonts w:ascii="Georgia" w:hAnsi="Georgia" w:cs="Arial"/>
        </w:rPr>
        <w:t xml:space="preserve"> del criterio allí plasmado</w:t>
      </w:r>
      <w:r w:rsidR="00F54A62">
        <w:rPr>
          <w:rFonts w:ascii="Georgia" w:hAnsi="Georgia" w:cs="Arial"/>
        </w:rPr>
        <w:t>, tal como lo hizo la encausada</w:t>
      </w:r>
      <w:r w:rsidRPr="00D21978">
        <w:rPr>
          <w:rFonts w:ascii="Georgia" w:hAnsi="Georgia" w:cs="Arial"/>
        </w:rPr>
        <w:t>.</w:t>
      </w:r>
    </w:p>
    <w:p w:rsidR="00D21978" w:rsidRDefault="00D21978" w:rsidP="00D21978">
      <w:pPr>
        <w:spacing w:line="360" w:lineRule="auto"/>
        <w:ind w:right="51"/>
        <w:jc w:val="both"/>
        <w:rPr>
          <w:rFonts w:ascii="Arial" w:hAnsi="Arial" w:cs="Arial"/>
        </w:rPr>
      </w:pPr>
    </w:p>
    <w:p w:rsidR="00BB6532" w:rsidRPr="000C7369" w:rsidRDefault="00BB6532" w:rsidP="0064328A">
      <w:pPr>
        <w:pStyle w:val="Textoindependiente"/>
        <w:numPr>
          <w:ilvl w:val="0"/>
          <w:numId w:val="1"/>
        </w:numPr>
        <w:spacing w:line="360" w:lineRule="auto"/>
        <w:rPr>
          <w:rFonts w:ascii="Georgia" w:hAnsi="Georgia" w:cs="Arial"/>
          <w:sz w:val="24"/>
          <w:lang w:eastAsia="es-CO"/>
        </w:rPr>
      </w:pPr>
      <w:r w:rsidRPr="000C7369">
        <w:rPr>
          <w:rFonts w:ascii="Georgia" w:hAnsi="Georgia" w:cs="Arial"/>
          <w:sz w:val="24"/>
          <w:lang w:eastAsia="es-CO"/>
        </w:rPr>
        <w:t xml:space="preserve">LAS CONCLUSIONES </w:t>
      </w:r>
    </w:p>
    <w:p w:rsidR="00BB6532" w:rsidRPr="000C7369" w:rsidRDefault="00BB6532" w:rsidP="00114609">
      <w:pPr>
        <w:pStyle w:val="Textoindependiente"/>
        <w:spacing w:line="360" w:lineRule="auto"/>
        <w:rPr>
          <w:rFonts w:ascii="Georgia" w:hAnsi="Georgia" w:cs="Arial"/>
          <w:sz w:val="24"/>
          <w:lang w:val="es-CO" w:eastAsia="es-CO"/>
        </w:rPr>
      </w:pPr>
    </w:p>
    <w:p w:rsidR="003158A3" w:rsidRPr="000C7369" w:rsidRDefault="006E100D" w:rsidP="00D97F73">
      <w:pPr>
        <w:widowControl/>
        <w:autoSpaceDE/>
        <w:autoSpaceDN/>
        <w:adjustRightInd/>
        <w:spacing w:line="360" w:lineRule="auto"/>
        <w:jc w:val="both"/>
        <w:rPr>
          <w:rFonts w:ascii="Georgia" w:hAnsi="Georgia"/>
          <w:lang w:val="es-CO"/>
        </w:rPr>
      </w:pPr>
      <w:r w:rsidRPr="000C7369">
        <w:rPr>
          <w:rFonts w:ascii="Georgia" w:hAnsi="Georgia"/>
          <w:lang w:val="es-CO"/>
        </w:rPr>
        <w:t xml:space="preserve">En armonía con lo discurrido </w:t>
      </w:r>
      <w:r w:rsidR="001D5C92">
        <w:rPr>
          <w:rFonts w:ascii="Georgia" w:hAnsi="Georgia" w:cs="Arial"/>
          <w:lang w:val="es-CO"/>
        </w:rPr>
        <w:t xml:space="preserve">se confirmará </w:t>
      </w:r>
      <w:r w:rsidR="00C90241" w:rsidRPr="000C7369">
        <w:rPr>
          <w:rFonts w:ascii="Georgia" w:hAnsi="Georgia" w:cs="Arial"/>
          <w:lang w:val="es-CO"/>
        </w:rPr>
        <w:t>el fallo opugnado</w:t>
      </w:r>
      <w:r w:rsidR="00D97F73" w:rsidRPr="000C7369">
        <w:rPr>
          <w:rFonts w:ascii="Georgia" w:hAnsi="Georgia"/>
          <w:lang w:val="es-CO"/>
        </w:rPr>
        <w:t>.</w:t>
      </w:r>
    </w:p>
    <w:p w:rsidR="00D97F73" w:rsidRPr="000C7369" w:rsidRDefault="00D97F73" w:rsidP="00D97F73">
      <w:pPr>
        <w:widowControl/>
        <w:autoSpaceDE/>
        <w:autoSpaceDN/>
        <w:adjustRightInd/>
        <w:spacing w:line="360" w:lineRule="auto"/>
        <w:jc w:val="both"/>
        <w:rPr>
          <w:rFonts w:ascii="Georgia" w:hAnsi="Georgia" w:cs="Arial"/>
          <w:lang w:val="es-CO"/>
        </w:rPr>
      </w:pPr>
    </w:p>
    <w:p w:rsidR="00E23846" w:rsidRPr="000C7369" w:rsidRDefault="00E23846" w:rsidP="00E23846">
      <w:pPr>
        <w:tabs>
          <w:tab w:val="left" w:pos="-720"/>
        </w:tabs>
        <w:suppressAutoHyphens/>
        <w:spacing w:line="360" w:lineRule="auto"/>
        <w:jc w:val="both"/>
        <w:rPr>
          <w:rFonts w:ascii="Georgia" w:hAnsi="Georgia" w:cs="Arial"/>
          <w:bCs/>
          <w:smallCaps/>
        </w:rPr>
      </w:pPr>
      <w:r w:rsidRPr="000C7369">
        <w:rPr>
          <w:rFonts w:ascii="Georgia" w:hAnsi="Georgia" w:cs="Arial"/>
        </w:rPr>
        <w:t xml:space="preserve">En mérito de lo razonado, el </w:t>
      </w:r>
      <w:r w:rsidRPr="000C7369">
        <w:rPr>
          <w:rFonts w:ascii="Georgia" w:hAnsi="Georgia" w:cs="Arial"/>
          <w:bCs/>
          <w:smallCaps/>
        </w:rPr>
        <w:t>Tribunal Superior del Distrito Judicial de Pereira, Sala de Decisión Civil - Familia</w:t>
      </w:r>
      <w:r w:rsidRPr="000C7369">
        <w:rPr>
          <w:rFonts w:ascii="Georgia" w:hAnsi="Georgia" w:cs="Arial"/>
        </w:rPr>
        <w:t>, administrando Justicia, en nombre de la República</w:t>
      </w:r>
      <w:r w:rsidR="001D5C92">
        <w:rPr>
          <w:rFonts w:ascii="Georgia" w:hAnsi="Georgia" w:cs="Arial"/>
        </w:rPr>
        <w:t xml:space="preserve"> de Colombia </w:t>
      </w:r>
      <w:r w:rsidRPr="000C7369">
        <w:rPr>
          <w:rFonts w:ascii="Georgia" w:hAnsi="Georgia" w:cs="Arial"/>
        </w:rPr>
        <w:t>y por autoridad de la Ley,</w:t>
      </w:r>
      <w:r w:rsidRPr="000C7369">
        <w:rPr>
          <w:rFonts w:ascii="Georgia" w:hAnsi="Georgia" w:cs="Arial"/>
          <w:bCs/>
          <w:smallCaps/>
        </w:rPr>
        <w:tab/>
      </w:r>
      <w:r w:rsidRPr="000C7369">
        <w:rPr>
          <w:rFonts w:ascii="Georgia" w:hAnsi="Georgia" w:cs="Arial"/>
          <w:bCs/>
          <w:smallCaps/>
        </w:rPr>
        <w:tab/>
      </w:r>
      <w:r w:rsidRPr="000C7369">
        <w:rPr>
          <w:rFonts w:ascii="Georgia" w:hAnsi="Georgia" w:cs="Arial"/>
          <w:bCs/>
          <w:smallCaps/>
        </w:rPr>
        <w:tab/>
      </w:r>
      <w:r w:rsidRPr="000C7369">
        <w:rPr>
          <w:rFonts w:ascii="Georgia" w:hAnsi="Georgia" w:cs="Arial"/>
          <w:bCs/>
          <w:smallCaps/>
        </w:rPr>
        <w:tab/>
      </w:r>
      <w:r w:rsidRPr="000C7369">
        <w:rPr>
          <w:rFonts w:ascii="Georgia" w:hAnsi="Georgia" w:cs="Arial"/>
          <w:bCs/>
          <w:smallCaps/>
        </w:rPr>
        <w:tab/>
      </w:r>
      <w:r w:rsidRPr="000C7369">
        <w:rPr>
          <w:rFonts w:ascii="Georgia" w:hAnsi="Georgia" w:cs="Arial"/>
          <w:bCs/>
          <w:smallCaps/>
        </w:rPr>
        <w:tab/>
      </w:r>
    </w:p>
    <w:p w:rsidR="001D5C92" w:rsidRPr="00073F3B" w:rsidRDefault="001D5C92"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sz w:val="20"/>
          <w:lang w:val="es-ES_tradnl"/>
        </w:rPr>
      </w:pPr>
    </w:p>
    <w:p w:rsidR="003158A3" w:rsidRPr="000C7369"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lang w:val="es-ES_tradnl"/>
        </w:rPr>
      </w:pPr>
      <w:r w:rsidRPr="000C7369">
        <w:rPr>
          <w:rFonts w:ascii="Georgia" w:hAnsi="Georgia" w:cs="Arial"/>
          <w:bCs/>
          <w:smallCaps/>
          <w:spacing w:val="-3"/>
          <w:lang w:val="es-ES_tradnl"/>
        </w:rPr>
        <w:t>F A L L A,</w:t>
      </w:r>
    </w:p>
    <w:p w:rsidR="003158A3" w:rsidRPr="00175F65"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lang w:val="es-ES_tradnl"/>
        </w:rPr>
      </w:pPr>
    </w:p>
    <w:p w:rsidR="003158A3" w:rsidRPr="000C7369" w:rsidRDefault="00DA234C" w:rsidP="003158A3">
      <w:pPr>
        <w:widowControl/>
        <w:numPr>
          <w:ilvl w:val="0"/>
          <w:numId w:val="40"/>
        </w:numPr>
        <w:tabs>
          <w:tab w:val="clear" w:pos="360"/>
          <w:tab w:val="num" w:pos="720"/>
        </w:tabs>
        <w:autoSpaceDE/>
        <w:adjustRightInd/>
        <w:spacing w:line="360" w:lineRule="auto"/>
        <w:jc w:val="both"/>
        <w:rPr>
          <w:rFonts w:ascii="Georgia" w:hAnsi="Georgia" w:cs="Arial"/>
          <w:lang w:val="es-CO"/>
        </w:rPr>
      </w:pPr>
      <w:r>
        <w:rPr>
          <w:rFonts w:ascii="Georgia" w:hAnsi="Georgia" w:cs="Arial"/>
          <w:lang w:val="es-CO"/>
        </w:rPr>
        <w:t>CON</w:t>
      </w:r>
      <w:r w:rsidR="001D5C92">
        <w:rPr>
          <w:rFonts w:ascii="Georgia" w:hAnsi="Georgia" w:cs="Arial"/>
          <w:lang w:val="es-CO"/>
        </w:rPr>
        <w:t xml:space="preserve">FIRMAR </w:t>
      </w:r>
      <w:r w:rsidR="003158A3" w:rsidRPr="000C7369">
        <w:rPr>
          <w:rFonts w:ascii="Georgia" w:hAnsi="Georgia"/>
          <w:spacing w:val="-3"/>
          <w:lang w:val="es-ES_tradnl"/>
        </w:rPr>
        <w:t xml:space="preserve">la sentencia </w:t>
      </w:r>
      <w:r w:rsidR="00E23846" w:rsidRPr="000C7369">
        <w:rPr>
          <w:rFonts w:ascii="Georgia" w:hAnsi="Georgia"/>
          <w:spacing w:val="-3"/>
          <w:lang w:val="es-ES_tradnl"/>
        </w:rPr>
        <w:t xml:space="preserve">proferida </w:t>
      </w:r>
      <w:r w:rsidR="001D5C92">
        <w:rPr>
          <w:rFonts w:ascii="Georgia" w:hAnsi="Georgia"/>
          <w:spacing w:val="-3"/>
          <w:lang w:val="es-ES_tradnl"/>
        </w:rPr>
        <w:t>de primera instancia</w:t>
      </w:r>
      <w:r w:rsidR="003158A3" w:rsidRPr="000C7369">
        <w:rPr>
          <w:rFonts w:ascii="Georgia" w:hAnsi="Georgia" w:cs="Arial"/>
          <w:lang w:val="es-CO"/>
        </w:rPr>
        <w:t xml:space="preserve">. </w:t>
      </w:r>
    </w:p>
    <w:p w:rsidR="0067134B" w:rsidRPr="000C7369" w:rsidRDefault="0067134B" w:rsidP="0067134B">
      <w:pPr>
        <w:pStyle w:val="Textoindependiente"/>
        <w:tabs>
          <w:tab w:val="clear" w:pos="708"/>
          <w:tab w:val="clear" w:pos="1416"/>
          <w:tab w:val="left" w:pos="426"/>
        </w:tabs>
        <w:spacing w:line="360" w:lineRule="auto"/>
        <w:ind w:left="360"/>
        <w:textAlignment w:val="auto"/>
        <w:rPr>
          <w:rFonts w:ascii="Georgia" w:hAnsi="Georgia" w:cs="Arial"/>
          <w:sz w:val="24"/>
          <w:szCs w:val="24"/>
        </w:rPr>
      </w:pPr>
    </w:p>
    <w:p w:rsidR="003158A3" w:rsidRPr="000C7369" w:rsidRDefault="003158A3" w:rsidP="003158A3">
      <w:pPr>
        <w:pStyle w:val="Textoindependiente"/>
        <w:numPr>
          <w:ilvl w:val="0"/>
          <w:numId w:val="40"/>
        </w:numPr>
        <w:tabs>
          <w:tab w:val="clear" w:pos="360"/>
          <w:tab w:val="clear" w:pos="708"/>
          <w:tab w:val="clear" w:pos="1416"/>
          <w:tab w:val="left" w:pos="426"/>
          <w:tab w:val="num" w:pos="720"/>
        </w:tabs>
        <w:spacing w:line="360" w:lineRule="auto"/>
        <w:textAlignment w:val="auto"/>
        <w:rPr>
          <w:rFonts w:ascii="Georgia" w:hAnsi="Georgia" w:cs="Arial"/>
          <w:sz w:val="24"/>
          <w:szCs w:val="24"/>
        </w:rPr>
      </w:pPr>
      <w:r w:rsidRPr="000C7369">
        <w:rPr>
          <w:rFonts w:ascii="Georgia" w:hAnsi="Georgia" w:cs="Arial"/>
          <w:sz w:val="24"/>
          <w:szCs w:val="24"/>
        </w:rPr>
        <w:t xml:space="preserve">REMITIR el expediente a la </w:t>
      </w:r>
      <w:r w:rsidR="00114609" w:rsidRPr="000C7369">
        <w:rPr>
          <w:rFonts w:ascii="Georgia" w:hAnsi="Georgia" w:cs="Arial"/>
          <w:sz w:val="24"/>
          <w:szCs w:val="24"/>
        </w:rPr>
        <w:t xml:space="preserve">CC </w:t>
      </w:r>
      <w:r w:rsidRPr="000C7369">
        <w:rPr>
          <w:rFonts w:ascii="Georgia" w:hAnsi="Georgia" w:cs="Arial"/>
          <w:sz w:val="24"/>
          <w:szCs w:val="24"/>
        </w:rPr>
        <w:t xml:space="preserve">para su eventual revisión. </w:t>
      </w:r>
    </w:p>
    <w:p w:rsidR="003913E3" w:rsidRPr="00175F65"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lang w:val="es-ES_tradnl"/>
        </w:rPr>
      </w:pPr>
    </w:p>
    <w:p w:rsidR="003913E3" w:rsidRPr="000C7369" w:rsidRDefault="00073F3B" w:rsidP="00F839CE">
      <w:pPr>
        <w:pStyle w:val="Textoindependiente"/>
        <w:spacing w:line="360" w:lineRule="auto"/>
        <w:jc w:val="center"/>
        <w:rPr>
          <w:rFonts w:ascii="Georgia" w:hAnsi="Georgia"/>
          <w:smallCaps/>
          <w:sz w:val="22"/>
          <w:szCs w:val="24"/>
          <w:lang w:val="en-US"/>
        </w:rPr>
      </w:pPr>
      <w:r w:rsidRPr="000C7369">
        <w:rPr>
          <w:rFonts w:ascii="Georgia" w:hAnsi="Georgia"/>
          <w:smallCaps/>
          <w:sz w:val="24"/>
          <w:szCs w:val="24"/>
          <w:lang w:val="en-US"/>
        </w:rPr>
        <w:lastRenderedPageBreak/>
        <w:t>NOTIFÍQUESE,</w:t>
      </w:r>
    </w:p>
    <w:p w:rsidR="006663F5" w:rsidRPr="000C7369"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16"/>
          <w:lang w:val="en-GB"/>
        </w:rPr>
      </w:pPr>
    </w:p>
    <w:p w:rsidR="006663F5"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16"/>
          <w:szCs w:val="16"/>
          <w:lang w:val="en-GB"/>
        </w:rPr>
      </w:pPr>
    </w:p>
    <w:p w:rsidR="001D5C92" w:rsidRDefault="001D5C92"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16"/>
          <w:szCs w:val="16"/>
          <w:lang w:val="en-GB"/>
        </w:rPr>
      </w:pPr>
    </w:p>
    <w:p w:rsidR="001D5C92" w:rsidRDefault="001D5C92"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16"/>
          <w:szCs w:val="16"/>
          <w:lang w:val="en-GB"/>
        </w:rPr>
      </w:pPr>
    </w:p>
    <w:p w:rsidR="00601CD1" w:rsidRPr="00601CD1" w:rsidRDefault="00601CD1"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16"/>
          <w:szCs w:val="16"/>
          <w:lang w:val="en-GB"/>
        </w:rPr>
      </w:pPr>
    </w:p>
    <w:p w:rsidR="006663F5" w:rsidRPr="000C7369"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0C7369">
        <w:rPr>
          <w:rFonts w:ascii="Georgia" w:hAnsi="Georgia" w:cs="Arial"/>
          <w:i/>
          <w:spacing w:val="-3"/>
          <w:w w:val="150"/>
          <w:sz w:val="32"/>
          <w:szCs w:val="18"/>
          <w:lang w:val="es-CO"/>
        </w:rPr>
        <w:t>D</w:t>
      </w:r>
      <w:r w:rsidRPr="000C7369">
        <w:rPr>
          <w:rFonts w:ascii="Georgia" w:hAnsi="Georgia" w:cs="Arial"/>
          <w:i/>
          <w:spacing w:val="-3"/>
          <w:w w:val="150"/>
          <w:sz w:val="18"/>
          <w:szCs w:val="18"/>
          <w:lang w:val="es-CO"/>
        </w:rPr>
        <w:t xml:space="preserve">UBERNEY </w:t>
      </w:r>
      <w:r w:rsidRPr="000C7369">
        <w:rPr>
          <w:rFonts w:ascii="Georgia" w:hAnsi="Georgia" w:cs="Arial"/>
          <w:i/>
          <w:spacing w:val="-3"/>
          <w:w w:val="150"/>
          <w:sz w:val="28"/>
          <w:szCs w:val="18"/>
          <w:lang w:val="es-CO"/>
        </w:rPr>
        <w:t>G</w:t>
      </w:r>
      <w:r w:rsidRPr="000C7369">
        <w:rPr>
          <w:rFonts w:ascii="Georgia" w:hAnsi="Georgia" w:cs="Arial"/>
          <w:i/>
          <w:spacing w:val="-3"/>
          <w:w w:val="150"/>
          <w:sz w:val="18"/>
          <w:szCs w:val="18"/>
          <w:lang w:val="es-CO"/>
        </w:rPr>
        <w:t xml:space="preserve">RISALES </w:t>
      </w:r>
      <w:r w:rsidRPr="000C7369">
        <w:rPr>
          <w:rFonts w:ascii="Georgia" w:hAnsi="Georgia" w:cs="Arial"/>
          <w:i/>
          <w:spacing w:val="-3"/>
          <w:w w:val="150"/>
          <w:sz w:val="28"/>
          <w:szCs w:val="18"/>
          <w:lang w:val="es-CO"/>
        </w:rPr>
        <w:t>H</w:t>
      </w:r>
      <w:r w:rsidRPr="000C7369">
        <w:rPr>
          <w:rFonts w:ascii="Georgia" w:hAnsi="Georgia" w:cs="Arial"/>
          <w:i/>
          <w:spacing w:val="-3"/>
          <w:w w:val="150"/>
          <w:sz w:val="18"/>
          <w:szCs w:val="18"/>
          <w:lang w:val="es-CO"/>
        </w:rPr>
        <w:t>ERRERA</w:t>
      </w:r>
    </w:p>
    <w:p w:rsidR="006663F5" w:rsidRPr="000C7369"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s-CO"/>
        </w:rPr>
      </w:pPr>
      <w:r w:rsidRPr="000C7369">
        <w:rPr>
          <w:rFonts w:ascii="Georgia" w:hAnsi="Georgia" w:cs="Arial"/>
          <w:i/>
          <w:spacing w:val="-3"/>
          <w:w w:val="150"/>
          <w:sz w:val="32"/>
          <w:lang w:val="es-CO"/>
        </w:rPr>
        <w:t>M</w:t>
      </w:r>
      <w:r w:rsidRPr="000C7369">
        <w:rPr>
          <w:rFonts w:ascii="Georgia" w:hAnsi="Georgia" w:cs="Arial"/>
          <w:i/>
          <w:spacing w:val="-3"/>
          <w:w w:val="150"/>
          <w:sz w:val="16"/>
          <w:lang w:val="es-CO"/>
        </w:rPr>
        <w:t xml:space="preserve"> </w:t>
      </w:r>
      <w:r w:rsidRPr="000C7369">
        <w:rPr>
          <w:rFonts w:ascii="Georgia" w:hAnsi="Georgia" w:cs="Arial"/>
          <w:i/>
          <w:spacing w:val="-3"/>
          <w:w w:val="150"/>
          <w:sz w:val="18"/>
          <w:szCs w:val="20"/>
          <w:lang w:val="es-CO"/>
        </w:rPr>
        <w:t>A G I S T R A D O</w:t>
      </w:r>
    </w:p>
    <w:p w:rsidR="006663F5" w:rsidRPr="000C7369"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2"/>
          <w:lang w:val="es-ES_tradnl"/>
        </w:rPr>
      </w:pPr>
    </w:p>
    <w:p w:rsidR="00175F65" w:rsidRDefault="00175F6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6"/>
          <w:szCs w:val="16"/>
          <w:lang w:val="es-ES_tradnl"/>
        </w:rPr>
      </w:pPr>
    </w:p>
    <w:p w:rsidR="00175F65" w:rsidRDefault="00175F6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6"/>
          <w:szCs w:val="16"/>
          <w:lang w:val="es-ES_tradnl"/>
        </w:rPr>
      </w:pPr>
    </w:p>
    <w:p w:rsidR="001D5C92" w:rsidRDefault="001D5C92"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6"/>
          <w:szCs w:val="16"/>
          <w:lang w:val="es-ES_tradnl"/>
        </w:rPr>
      </w:pPr>
    </w:p>
    <w:p w:rsidR="001D5C92" w:rsidRDefault="001D5C92"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6"/>
          <w:szCs w:val="16"/>
          <w:lang w:val="es-ES_tradnl"/>
        </w:rPr>
      </w:pPr>
    </w:p>
    <w:p w:rsidR="00175F65" w:rsidRDefault="00175F6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6"/>
          <w:szCs w:val="16"/>
          <w:lang w:val="es-ES_tradnl"/>
        </w:rPr>
      </w:pPr>
    </w:p>
    <w:p w:rsidR="00E23846" w:rsidRPr="000C7369" w:rsidRDefault="00E23846" w:rsidP="00E238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0C7369">
        <w:rPr>
          <w:rFonts w:ascii="Georgia" w:hAnsi="Georgia"/>
          <w:i/>
          <w:w w:val="150"/>
          <w:sz w:val="28"/>
          <w:szCs w:val="18"/>
          <w:lang w:val="en-US"/>
        </w:rPr>
        <w:t>E</w:t>
      </w:r>
      <w:r w:rsidRPr="000C7369">
        <w:rPr>
          <w:rFonts w:ascii="Georgia" w:hAnsi="Georgia"/>
          <w:i/>
          <w:w w:val="150"/>
          <w:sz w:val="18"/>
          <w:szCs w:val="18"/>
          <w:lang w:val="en-US"/>
        </w:rPr>
        <w:t>DDER</w:t>
      </w:r>
      <w:r w:rsidRPr="000C7369">
        <w:rPr>
          <w:rFonts w:ascii="Georgia" w:hAnsi="Georgia"/>
          <w:i/>
          <w:w w:val="150"/>
          <w:sz w:val="18"/>
          <w:lang w:val="en-US"/>
        </w:rPr>
        <w:t xml:space="preserve"> </w:t>
      </w:r>
      <w:r w:rsidRPr="000C7369">
        <w:rPr>
          <w:rFonts w:ascii="Georgia" w:hAnsi="Georgia"/>
          <w:i/>
          <w:w w:val="150"/>
          <w:sz w:val="28"/>
          <w:lang w:val="en-US"/>
        </w:rPr>
        <w:t>J</w:t>
      </w:r>
      <w:r w:rsidRPr="000C7369">
        <w:rPr>
          <w:rFonts w:ascii="Georgia" w:hAnsi="Georgia"/>
          <w:i/>
          <w:w w:val="150"/>
          <w:sz w:val="18"/>
          <w:szCs w:val="18"/>
          <w:lang w:val="en-US"/>
        </w:rPr>
        <w:t xml:space="preserve">IMMY </w:t>
      </w:r>
      <w:r w:rsidRPr="000C7369">
        <w:rPr>
          <w:rFonts w:ascii="Georgia" w:hAnsi="Georgia"/>
          <w:i/>
          <w:w w:val="150"/>
          <w:sz w:val="28"/>
          <w:lang w:val="en-US"/>
        </w:rPr>
        <w:t>S</w:t>
      </w:r>
      <w:r w:rsidRPr="000C7369">
        <w:rPr>
          <w:rFonts w:ascii="Georgia" w:hAnsi="Georgia"/>
          <w:i/>
          <w:w w:val="150"/>
          <w:sz w:val="18"/>
          <w:szCs w:val="18"/>
          <w:lang w:val="en-US"/>
        </w:rPr>
        <w:t xml:space="preserve">ÁNCHEZ </w:t>
      </w:r>
      <w:r w:rsidRPr="000C7369">
        <w:rPr>
          <w:rFonts w:ascii="Georgia" w:hAnsi="Georgia"/>
          <w:i/>
          <w:w w:val="150"/>
          <w:sz w:val="28"/>
          <w:szCs w:val="18"/>
          <w:lang w:val="en-US"/>
        </w:rPr>
        <w:t>C.</w:t>
      </w:r>
      <w:r w:rsidRPr="000C7369">
        <w:rPr>
          <w:rFonts w:ascii="Georgia" w:hAnsi="Georgia"/>
          <w:i/>
          <w:w w:val="150"/>
          <w:sz w:val="28"/>
          <w:szCs w:val="18"/>
          <w:lang w:val="en-US"/>
        </w:rPr>
        <w:tab/>
      </w:r>
      <w:r w:rsidRPr="000C7369">
        <w:rPr>
          <w:rFonts w:ascii="Georgia" w:hAnsi="Georgia"/>
          <w:i/>
          <w:w w:val="150"/>
          <w:sz w:val="28"/>
          <w:szCs w:val="18"/>
          <w:lang w:val="en-US"/>
        </w:rPr>
        <w:tab/>
      </w:r>
      <w:r w:rsidRPr="000C7369">
        <w:rPr>
          <w:rFonts w:ascii="Georgia" w:hAnsi="Georgia" w:cs="Arial"/>
          <w:i/>
          <w:spacing w:val="-3"/>
          <w:w w:val="150"/>
          <w:sz w:val="28"/>
          <w:szCs w:val="18"/>
          <w:lang w:val="en-US"/>
        </w:rPr>
        <w:t>J</w:t>
      </w:r>
      <w:r w:rsidRPr="000C7369">
        <w:rPr>
          <w:rFonts w:ascii="Georgia" w:hAnsi="Georgia" w:cs="Arial"/>
          <w:i/>
          <w:spacing w:val="-3"/>
          <w:w w:val="150"/>
          <w:sz w:val="18"/>
          <w:szCs w:val="18"/>
          <w:lang w:val="en-US"/>
        </w:rPr>
        <w:t xml:space="preserve">AIME </w:t>
      </w:r>
      <w:r w:rsidRPr="000C7369">
        <w:rPr>
          <w:rFonts w:ascii="Georgia" w:hAnsi="Georgia" w:cs="Arial"/>
          <w:i/>
          <w:spacing w:val="-3"/>
          <w:w w:val="150"/>
          <w:sz w:val="28"/>
          <w:szCs w:val="18"/>
          <w:lang w:val="en-US"/>
        </w:rPr>
        <w:t>A</w:t>
      </w:r>
      <w:r w:rsidRPr="000C7369">
        <w:rPr>
          <w:rFonts w:ascii="Georgia" w:hAnsi="Georgia"/>
          <w:i/>
          <w:w w:val="150"/>
          <w:sz w:val="18"/>
          <w:szCs w:val="18"/>
          <w:lang w:val="en-US"/>
        </w:rPr>
        <w:t xml:space="preserve">LBERTO </w:t>
      </w:r>
      <w:r w:rsidRPr="000C7369">
        <w:rPr>
          <w:rFonts w:ascii="Georgia" w:hAnsi="Georgia" w:cs="Arial"/>
          <w:i/>
          <w:spacing w:val="-3"/>
          <w:w w:val="150"/>
          <w:sz w:val="28"/>
          <w:szCs w:val="18"/>
          <w:lang w:val="en-US"/>
        </w:rPr>
        <w:t>S</w:t>
      </w:r>
      <w:r w:rsidRPr="000C7369">
        <w:rPr>
          <w:rFonts w:ascii="Georgia" w:hAnsi="Georgia" w:cs="Arial"/>
          <w:i/>
          <w:spacing w:val="-3"/>
          <w:w w:val="150"/>
          <w:sz w:val="18"/>
          <w:szCs w:val="16"/>
          <w:lang w:val="en-US"/>
        </w:rPr>
        <w:t xml:space="preserve">ARAZA </w:t>
      </w:r>
      <w:r w:rsidRPr="000C7369">
        <w:rPr>
          <w:rFonts w:ascii="Georgia" w:hAnsi="Georgia" w:cs="Arial"/>
          <w:i/>
          <w:spacing w:val="-3"/>
          <w:w w:val="150"/>
          <w:sz w:val="28"/>
          <w:szCs w:val="18"/>
          <w:lang w:val="en-US"/>
        </w:rPr>
        <w:t>N.</w:t>
      </w:r>
    </w:p>
    <w:p w:rsidR="00114609" w:rsidRPr="000C7369" w:rsidRDefault="00E23846" w:rsidP="00860B2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0C7369">
        <w:rPr>
          <w:rFonts w:ascii="Georgia" w:hAnsi="Georgia" w:cs="Arial"/>
          <w:i/>
          <w:w w:val="150"/>
          <w:sz w:val="28"/>
          <w:lang w:val="en-US"/>
        </w:rPr>
        <w:tab/>
      </w:r>
      <w:r w:rsidRPr="000C7369">
        <w:rPr>
          <w:rFonts w:ascii="Georgia" w:hAnsi="Georgia" w:cs="Arial"/>
          <w:i/>
          <w:w w:val="150"/>
          <w:sz w:val="28"/>
          <w:lang w:val="en-GB"/>
        </w:rPr>
        <w:t>M</w:t>
      </w:r>
      <w:r w:rsidRPr="000C7369">
        <w:rPr>
          <w:rFonts w:ascii="Georgia" w:hAnsi="Georgia" w:cs="Arial"/>
          <w:i/>
          <w:w w:val="150"/>
          <w:sz w:val="18"/>
          <w:lang w:val="en-GB"/>
        </w:rPr>
        <w:t xml:space="preserve"> A G I S T R A D O </w:t>
      </w:r>
      <w:r w:rsidRPr="000C7369">
        <w:rPr>
          <w:rFonts w:ascii="Georgia" w:hAnsi="Georgia" w:cs="Arial"/>
          <w:i/>
          <w:w w:val="150"/>
          <w:sz w:val="18"/>
          <w:lang w:val="en-GB"/>
        </w:rPr>
        <w:tab/>
      </w:r>
      <w:r w:rsidRPr="000C7369">
        <w:rPr>
          <w:rFonts w:ascii="Georgia" w:hAnsi="Georgia" w:cs="Arial"/>
          <w:i/>
          <w:w w:val="150"/>
          <w:sz w:val="18"/>
          <w:lang w:val="en-GB"/>
        </w:rPr>
        <w:tab/>
      </w:r>
      <w:r w:rsidRPr="000C7369">
        <w:rPr>
          <w:rFonts w:ascii="Georgia" w:hAnsi="Georgia" w:cs="Arial"/>
          <w:i/>
          <w:w w:val="150"/>
          <w:sz w:val="18"/>
          <w:lang w:val="en-GB"/>
        </w:rPr>
        <w:tab/>
      </w:r>
      <w:r w:rsidRPr="000C7369">
        <w:rPr>
          <w:rFonts w:ascii="Georgia" w:hAnsi="Georgia" w:cs="Arial"/>
          <w:i/>
          <w:w w:val="150"/>
          <w:sz w:val="18"/>
          <w:lang w:val="en-GB"/>
        </w:rPr>
        <w:tab/>
      </w:r>
      <w:r w:rsidRPr="000C7369">
        <w:rPr>
          <w:rFonts w:ascii="Georgia" w:hAnsi="Georgia" w:cs="Arial"/>
          <w:i/>
          <w:w w:val="150"/>
          <w:sz w:val="28"/>
          <w:lang w:val="en-GB"/>
        </w:rPr>
        <w:t>M</w:t>
      </w:r>
      <w:r w:rsidRPr="000C7369">
        <w:rPr>
          <w:rFonts w:ascii="Georgia" w:hAnsi="Georgia" w:cs="Arial"/>
          <w:i/>
          <w:w w:val="150"/>
          <w:sz w:val="18"/>
          <w:lang w:val="en-GB"/>
        </w:rPr>
        <w:t xml:space="preserve"> A G I S T R A D O</w:t>
      </w:r>
    </w:p>
    <w:p w:rsidR="000C7369" w:rsidRPr="00175F65" w:rsidRDefault="000C7369" w:rsidP="00CF3E0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2"/>
          <w:lang w:val="en-GB"/>
        </w:rPr>
      </w:pPr>
    </w:p>
    <w:p w:rsidR="00CF3E07" w:rsidRPr="00175F65" w:rsidRDefault="00CF3E07" w:rsidP="00CF3E0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2"/>
          <w:lang w:val="en-GB"/>
        </w:rPr>
      </w:pPr>
      <w:r w:rsidRPr="00175F65">
        <w:rPr>
          <w:rFonts w:ascii="Georgia" w:hAnsi="Georgia" w:cs="Arial"/>
          <w:i/>
          <w:w w:val="150"/>
          <w:sz w:val="12"/>
          <w:lang w:val="en-GB"/>
        </w:rPr>
        <w:t>DGH/ODCD/2018</w:t>
      </w:r>
    </w:p>
    <w:p w:rsidR="00741970" w:rsidRDefault="00741970">
      <w:pPr>
        <w:widowControl/>
        <w:autoSpaceDE/>
        <w:autoSpaceDN/>
        <w:adjustRightInd/>
        <w:rPr>
          <w:rFonts w:ascii="Georgia" w:hAnsi="Georgia" w:cs="Arial"/>
          <w:i/>
          <w:w w:val="150"/>
          <w:sz w:val="18"/>
          <w:lang w:val="en-GB"/>
        </w:rPr>
      </w:pPr>
    </w:p>
    <w:sectPr w:rsidR="00741970" w:rsidSect="00741970">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134"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E01" w:rsidRDefault="00926E01" w:rsidP="002F20AB">
      <w:r>
        <w:separator/>
      </w:r>
    </w:p>
  </w:endnote>
  <w:endnote w:type="continuationSeparator" w:id="0">
    <w:p w:rsidR="00926E01" w:rsidRDefault="00926E01"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Ottawa">
    <w:altName w:val="Ottaw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6C" w:rsidRPr="004F3CCA" w:rsidRDefault="006E6B6C">
    <w:pPr>
      <w:pStyle w:val="Piedepgina"/>
      <w:framePr w:wrap="around" w:vAnchor="text" w:hAnchor="margin" w:xAlign="right" w:y="1"/>
      <w:rPr>
        <w:rStyle w:val="Nmerodepgina"/>
        <w:rFonts w:ascii="Georgia" w:hAnsi="Georgia" w:cs="Verdana"/>
      </w:rPr>
    </w:pPr>
    <w:r w:rsidRPr="004F3CCA">
      <w:rPr>
        <w:rStyle w:val="Nmerodepgina"/>
        <w:rFonts w:ascii="Georgia" w:hAnsi="Georgia" w:cs="Verdana"/>
      </w:rPr>
      <w:fldChar w:fldCharType="begin"/>
    </w:r>
    <w:r w:rsidRPr="004F3CCA">
      <w:rPr>
        <w:rStyle w:val="Nmerodepgina"/>
        <w:rFonts w:ascii="Georgia" w:hAnsi="Georgia" w:cs="Verdana"/>
      </w:rPr>
      <w:instrText xml:space="preserve">PAGE  </w:instrText>
    </w:r>
    <w:r w:rsidRPr="004F3CCA">
      <w:rPr>
        <w:rStyle w:val="Nmerodepgina"/>
        <w:rFonts w:ascii="Georgia" w:hAnsi="Georgia" w:cs="Verdana"/>
      </w:rPr>
      <w:fldChar w:fldCharType="separate"/>
    </w:r>
    <w:r w:rsidRPr="004F3CCA">
      <w:rPr>
        <w:rStyle w:val="Nmerodepgina"/>
        <w:rFonts w:ascii="Georgia" w:hAnsi="Georgia" w:cs="Verdana"/>
        <w:noProof/>
      </w:rPr>
      <w:t>10</w:t>
    </w:r>
    <w:r w:rsidRPr="004F3CCA">
      <w:rPr>
        <w:rStyle w:val="Nmerodepgina"/>
        <w:rFonts w:ascii="Georgia" w:hAnsi="Georgia" w:cs="Verdana"/>
      </w:rPr>
      <w:fldChar w:fldCharType="end"/>
    </w:r>
  </w:p>
  <w:p w:rsidR="006E6B6C" w:rsidRPr="004F3CCA" w:rsidRDefault="006E6B6C">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6C" w:rsidRPr="00741970" w:rsidRDefault="006E6B6C" w:rsidP="00A67268">
    <w:pPr>
      <w:pStyle w:val="Piedepgina"/>
      <w:pBdr>
        <w:bottom w:val="double" w:sz="6" w:space="1" w:color="auto"/>
      </w:pBdr>
      <w:spacing w:line="360" w:lineRule="auto"/>
      <w:rPr>
        <w:rFonts w:ascii="Georgia" w:hAnsi="Georgia" w:cs="Arial"/>
        <w:spacing w:val="20"/>
        <w:w w:val="200"/>
        <w:sz w:val="2"/>
        <w:szCs w:val="10"/>
        <w:lang w:val="es-ES"/>
      </w:rPr>
    </w:pPr>
  </w:p>
  <w:p w:rsidR="006E6B6C" w:rsidRPr="004F3CCA" w:rsidRDefault="006E6B6C" w:rsidP="00751EE2">
    <w:pPr>
      <w:pStyle w:val="Piedepgina"/>
      <w:spacing w:line="360" w:lineRule="auto"/>
      <w:jc w:val="right"/>
      <w:rPr>
        <w:rFonts w:ascii="Georgia" w:hAnsi="Georgia" w:cs="Arial"/>
        <w:spacing w:val="20"/>
        <w:w w:val="200"/>
        <w:sz w:val="14"/>
        <w:szCs w:val="10"/>
      </w:rPr>
    </w:pPr>
  </w:p>
  <w:p w:rsidR="006E6B6C" w:rsidRPr="004F3CCA" w:rsidRDefault="006E6B6C" w:rsidP="00751EE2">
    <w:pPr>
      <w:pStyle w:val="Piedepgina"/>
      <w:spacing w:line="360" w:lineRule="auto"/>
      <w:jc w:val="right"/>
      <w:rPr>
        <w:rFonts w:ascii="Georgia" w:hAnsi="Georgia" w:cs="Arial"/>
        <w:spacing w:val="20"/>
        <w:w w:val="200"/>
        <w:sz w:val="10"/>
        <w:szCs w:val="10"/>
        <w:lang w:val="es-ES"/>
      </w:rPr>
    </w:pPr>
    <w:r w:rsidRPr="004F3CCA">
      <w:rPr>
        <w:rFonts w:ascii="Georgia" w:hAnsi="Georgia" w:cs="Arial"/>
        <w:spacing w:val="20"/>
        <w:w w:val="200"/>
        <w:sz w:val="14"/>
        <w:szCs w:val="10"/>
        <w:lang w:val="es-ES"/>
      </w:rPr>
      <w:t>T</w:t>
    </w:r>
    <w:r w:rsidRPr="004F3CCA">
      <w:rPr>
        <w:rFonts w:ascii="Georgia" w:hAnsi="Georgia" w:cs="Arial"/>
        <w:spacing w:val="20"/>
        <w:w w:val="200"/>
        <w:sz w:val="10"/>
        <w:szCs w:val="10"/>
        <w:lang w:val="es-ES"/>
      </w:rPr>
      <w:t xml:space="preserve">RIBUNAL </w:t>
    </w:r>
    <w:r w:rsidRPr="004F3CCA">
      <w:rPr>
        <w:rFonts w:ascii="Georgia" w:hAnsi="Georgia" w:cs="Arial"/>
        <w:spacing w:val="20"/>
        <w:w w:val="200"/>
        <w:sz w:val="14"/>
        <w:szCs w:val="10"/>
        <w:lang w:val="es-ES"/>
      </w:rPr>
      <w:t>S</w:t>
    </w:r>
    <w:r w:rsidRPr="004F3CCA">
      <w:rPr>
        <w:rFonts w:ascii="Georgia" w:hAnsi="Georgia" w:cs="Arial"/>
        <w:spacing w:val="20"/>
        <w:w w:val="200"/>
        <w:sz w:val="10"/>
        <w:szCs w:val="10"/>
        <w:lang w:val="es-ES"/>
      </w:rPr>
      <w:t xml:space="preserve">UPERIOR DE </w:t>
    </w:r>
    <w:r w:rsidRPr="004F3CCA">
      <w:rPr>
        <w:rFonts w:ascii="Georgia" w:hAnsi="Georgia" w:cs="Arial"/>
        <w:spacing w:val="20"/>
        <w:w w:val="200"/>
        <w:sz w:val="14"/>
        <w:szCs w:val="10"/>
        <w:lang w:val="es-ES"/>
      </w:rPr>
      <w:t>P</w:t>
    </w:r>
    <w:r w:rsidRPr="004F3CCA">
      <w:rPr>
        <w:rFonts w:ascii="Georgia" w:hAnsi="Georgia" w:cs="Arial"/>
        <w:spacing w:val="20"/>
        <w:w w:val="200"/>
        <w:sz w:val="10"/>
        <w:szCs w:val="10"/>
        <w:lang w:val="es-ES"/>
      </w:rPr>
      <w:t>EREIRA</w:t>
    </w:r>
  </w:p>
  <w:p w:rsidR="006E6B6C" w:rsidRPr="004F3CCA" w:rsidRDefault="006E6B6C" w:rsidP="00751EE2">
    <w:pPr>
      <w:pStyle w:val="Piedepgina"/>
      <w:jc w:val="right"/>
      <w:rPr>
        <w:rFonts w:ascii="Georgia" w:hAnsi="Georgia"/>
        <w:lang w:val="es-ES"/>
      </w:rPr>
    </w:pPr>
    <w:r w:rsidRPr="004F3CCA">
      <w:rPr>
        <w:rFonts w:ascii="Georgia" w:hAnsi="Georgia" w:cs="Arial"/>
        <w:spacing w:val="20"/>
        <w:w w:val="200"/>
        <w:sz w:val="10"/>
        <w:szCs w:val="10"/>
        <w:lang w:val="es-ES"/>
      </w:rPr>
      <w:t xml:space="preserve">MP </w:t>
    </w:r>
    <w:r w:rsidRPr="004F3CCA">
      <w:rPr>
        <w:rFonts w:ascii="Georgia" w:hAnsi="Georgia" w:cs="Arial"/>
        <w:spacing w:val="20"/>
        <w:w w:val="200"/>
        <w:sz w:val="12"/>
        <w:szCs w:val="10"/>
        <w:lang w:val="es-ES"/>
      </w:rPr>
      <w:t>D</w:t>
    </w:r>
    <w:r w:rsidRPr="004F3CCA">
      <w:rPr>
        <w:rFonts w:ascii="Georgia" w:hAnsi="Georgia" w:cs="Arial"/>
        <w:spacing w:val="20"/>
        <w:w w:val="200"/>
        <w:sz w:val="8"/>
        <w:szCs w:val="10"/>
        <w:lang w:val="es-ES"/>
      </w:rPr>
      <w:t xml:space="preserve">UBERNEY </w:t>
    </w:r>
    <w:r w:rsidRPr="004F3CCA">
      <w:rPr>
        <w:rFonts w:ascii="Georgia" w:hAnsi="Georgia" w:cs="Arial"/>
        <w:spacing w:val="20"/>
        <w:w w:val="200"/>
        <w:sz w:val="12"/>
        <w:szCs w:val="10"/>
        <w:lang w:val="es-ES"/>
      </w:rPr>
      <w:t>G</w:t>
    </w:r>
    <w:r w:rsidRPr="004F3CCA">
      <w:rPr>
        <w:rFonts w:ascii="Georgia" w:hAnsi="Georgia" w:cs="Arial"/>
        <w:spacing w:val="20"/>
        <w:w w:val="200"/>
        <w:sz w:val="8"/>
        <w:szCs w:val="10"/>
        <w:lang w:val="es-ES"/>
      </w:rPr>
      <w:t xml:space="preserve">RISALES </w:t>
    </w:r>
    <w:r w:rsidRPr="004F3CCA">
      <w:rPr>
        <w:rFonts w:ascii="Georgia" w:hAnsi="Georgia" w:cs="Arial"/>
        <w:spacing w:val="20"/>
        <w:w w:val="200"/>
        <w:sz w:val="12"/>
        <w:szCs w:val="10"/>
        <w:lang w:val="es-ES"/>
      </w:rPr>
      <w:t>H</w:t>
    </w:r>
    <w:r w:rsidRPr="004F3CCA">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6C" w:rsidRPr="00C53999" w:rsidRDefault="006E6B6C"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E6B6C" w:rsidRPr="00213147" w:rsidRDefault="006E6B6C"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E01" w:rsidRDefault="00926E01" w:rsidP="002F20AB">
      <w:r>
        <w:separator/>
      </w:r>
    </w:p>
  </w:footnote>
  <w:footnote w:type="continuationSeparator" w:id="0">
    <w:p w:rsidR="00926E01" w:rsidRDefault="00926E01" w:rsidP="002F20AB">
      <w:r>
        <w:continuationSeparator/>
      </w:r>
    </w:p>
  </w:footnote>
  <w:footnote w:id="1">
    <w:p w:rsidR="00094C04" w:rsidRPr="00FE5CDD" w:rsidRDefault="00094C04" w:rsidP="00094C04">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T-573 de 1997.</w:t>
      </w:r>
    </w:p>
  </w:footnote>
  <w:footnote w:id="2">
    <w:p w:rsidR="00094C04" w:rsidRPr="00E432D9" w:rsidRDefault="00094C04" w:rsidP="00094C04">
      <w:pPr>
        <w:pStyle w:val="Textonotapie"/>
        <w:rPr>
          <w:lang w:val="es-CO"/>
        </w:rPr>
      </w:pPr>
      <w:r w:rsidRPr="00E432D9">
        <w:rPr>
          <w:rStyle w:val="Refdenotaalpie"/>
        </w:rPr>
        <w:footnoteRef/>
      </w:r>
      <w:r w:rsidRPr="00E432D9">
        <w:t xml:space="preserve"> </w:t>
      </w:r>
      <w:r w:rsidRPr="00E432D9">
        <w:rPr>
          <w:lang w:val="es-CO"/>
        </w:rPr>
        <w:t>CSJ. SC-10304-2014.</w:t>
      </w:r>
    </w:p>
  </w:footnote>
  <w:footnote w:id="3">
    <w:p w:rsidR="00094C04" w:rsidRPr="008335D4" w:rsidRDefault="00094C04" w:rsidP="00094C04">
      <w:pPr>
        <w:pStyle w:val="Textonotapie"/>
        <w:rPr>
          <w:rFonts w:ascii="Calibri" w:hAnsi="Calibri"/>
          <w:lang w:val="es-CO"/>
        </w:rPr>
      </w:pPr>
      <w:r w:rsidRPr="00E432D9">
        <w:rPr>
          <w:rStyle w:val="Refdenotaalpie"/>
        </w:rPr>
        <w:footnoteRef/>
      </w:r>
      <w:r w:rsidRPr="00E432D9">
        <w:t xml:space="preserve"> </w:t>
      </w:r>
      <w:r w:rsidRPr="00E432D9">
        <w:rPr>
          <w:lang w:val="es-CO"/>
        </w:rPr>
        <w:t xml:space="preserve">QUINCHE R., Manuel F. El precedente judicial y sus reglas, Bogotá DC, Legis y Universidad del Rosario, 2014, p.18. </w:t>
      </w:r>
      <w:r w:rsidRPr="00E432D9">
        <w:rPr>
          <w:i/>
          <w:lang w:val="es-CO"/>
        </w:rPr>
        <w:t>“(…) Son decisiones y reglas dispuestas por otros órganos y autoridades judiciales distintas a los órganos de cierre, que son criterio auxiliar de interpretación (…)”</w:t>
      </w:r>
    </w:p>
  </w:footnote>
  <w:footnote w:id="4">
    <w:p w:rsidR="006E6B6C" w:rsidRPr="00FA15F8" w:rsidRDefault="006E6B6C" w:rsidP="00A0480D">
      <w:pPr>
        <w:pStyle w:val="Textonotapie"/>
        <w:ind w:left="142" w:hanging="142"/>
        <w:jc w:val="both"/>
      </w:pPr>
      <w:r w:rsidRPr="00FA15F8">
        <w:rPr>
          <w:rStyle w:val="Refdenotaalpie"/>
        </w:rPr>
        <w:footnoteRef/>
      </w:r>
      <w:r w:rsidRPr="00FA15F8">
        <w:t xml:space="preserve"> QUINCHE R., Manuel F. Vías de hecho, acción de tutela contra providencias, Temis SA, Bogotá, 2013,    p.103.</w:t>
      </w:r>
    </w:p>
  </w:footnote>
  <w:footnote w:id="5">
    <w:p w:rsidR="006E6B6C" w:rsidRPr="00FA15F8" w:rsidRDefault="006E6B6C" w:rsidP="00A0480D">
      <w:pPr>
        <w:pStyle w:val="Textonotapie"/>
        <w:ind w:left="142" w:hanging="142"/>
        <w:jc w:val="both"/>
      </w:pPr>
      <w:r w:rsidRPr="00FA15F8">
        <w:rPr>
          <w:rStyle w:val="Refdenotaalpie"/>
        </w:rPr>
        <w:footnoteRef/>
      </w:r>
      <w:r w:rsidRPr="00FA15F8">
        <w:t xml:space="preserve"> QUIROGA N., Édgar A. Tutela contra decisiones judiciales, Universidad Santo Tomás y editorial Ibáñez, Bogotá  DC, 2014, p.83.</w:t>
      </w:r>
    </w:p>
  </w:footnote>
  <w:footnote w:id="6">
    <w:p w:rsidR="006E6B6C" w:rsidRPr="00FA15F8" w:rsidRDefault="006E6B6C" w:rsidP="00A0480D">
      <w:pPr>
        <w:pStyle w:val="Textonotapie"/>
        <w:jc w:val="both"/>
      </w:pPr>
      <w:r w:rsidRPr="00FA15F8">
        <w:rPr>
          <w:rStyle w:val="Refdenotaalpie"/>
        </w:rPr>
        <w:footnoteRef/>
      </w:r>
      <w:r w:rsidRPr="00FA15F8">
        <w:t xml:space="preserve"> </w:t>
      </w:r>
      <w:r w:rsidRPr="00FA15F8">
        <w:rPr>
          <w:lang w:val="es-MX"/>
        </w:rPr>
        <w:t>CC. T-917 de 2011.</w:t>
      </w:r>
    </w:p>
  </w:footnote>
  <w:footnote w:id="7">
    <w:p w:rsidR="006E6B6C" w:rsidRPr="00A01C7A" w:rsidRDefault="006E6B6C" w:rsidP="00D31D9F">
      <w:pPr>
        <w:pStyle w:val="Textonotapie"/>
        <w:jc w:val="both"/>
      </w:pPr>
      <w:r w:rsidRPr="00A01C7A">
        <w:rPr>
          <w:rStyle w:val="Refdenotaalpie"/>
        </w:rPr>
        <w:footnoteRef/>
      </w:r>
      <w:r w:rsidRPr="00A01C7A">
        <w:rPr>
          <w:lang w:val="es-MX"/>
        </w:rPr>
        <w:t xml:space="preserve"> CC. C-590 de 2005.</w:t>
      </w:r>
    </w:p>
  </w:footnote>
  <w:footnote w:id="8">
    <w:p w:rsidR="006E6B6C" w:rsidRPr="00A01C7A" w:rsidRDefault="006E6B6C" w:rsidP="00D31D9F">
      <w:pPr>
        <w:pStyle w:val="Textonotapie"/>
        <w:jc w:val="both"/>
      </w:pPr>
      <w:r w:rsidRPr="00A01C7A">
        <w:rPr>
          <w:rStyle w:val="Refdenotaalpie"/>
        </w:rPr>
        <w:footnoteRef/>
      </w:r>
      <w:r w:rsidRPr="00A01C7A">
        <w:rPr>
          <w:lang w:val="es-MX"/>
        </w:rPr>
        <w:t xml:space="preserve"> CC. </w:t>
      </w:r>
      <w:r w:rsidRPr="00A01C7A">
        <w:rPr>
          <w:bCs/>
        </w:rPr>
        <w:t>SU-222 de 2016</w:t>
      </w:r>
      <w:r w:rsidRPr="00A01C7A">
        <w:rPr>
          <w:lang w:val="es-MX"/>
        </w:rPr>
        <w:t>.</w:t>
      </w:r>
    </w:p>
  </w:footnote>
  <w:footnote w:id="9">
    <w:p w:rsidR="006E6B6C" w:rsidRPr="00A01C7A" w:rsidRDefault="006E6B6C" w:rsidP="00D31D9F">
      <w:pPr>
        <w:pStyle w:val="Textonotapie"/>
        <w:rPr>
          <w:b/>
          <w:bCs/>
        </w:rPr>
      </w:pPr>
      <w:r w:rsidRPr="00A01C7A">
        <w:rPr>
          <w:rStyle w:val="Refdenotaalpie"/>
        </w:rPr>
        <w:footnoteRef/>
      </w:r>
      <w:r w:rsidRPr="00A01C7A">
        <w:t xml:space="preserve"> </w:t>
      </w:r>
      <w:r w:rsidRPr="00A01C7A">
        <w:rPr>
          <w:bCs/>
          <w:lang w:val="es-ES_tradnl"/>
        </w:rPr>
        <w:t xml:space="preserve">CC. </w:t>
      </w:r>
      <w:r>
        <w:rPr>
          <w:bCs/>
          <w:lang w:val="es-ES_tradnl"/>
        </w:rPr>
        <w:t xml:space="preserve">T-002 de 2018 y </w:t>
      </w:r>
      <w:r w:rsidRPr="00A01C7A">
        <w:rPr>
          <w:bCs/>
          <w:lang w:val="es-ES_tradnl"/>
        </w:rPr>
        <w:t>T-137 de 2017.</w:t>
      </w:r>
    </w:p>
  </w:footnote>
  <w:footnote w:id="10">
    <w:p w:rsidR="006E6B6C" w:rsidRPr="00A01C7A" w:rsidRDefault="006E6B6C" w:rsidP="00D31D9F">
      <w:pPr>
        <w:pStyle w:val="Textonotapie"/>
        <w:rPr>
          <w:lang w:val="es-CO"/>
        </w:rPr>
      </w:pPr>
      <w:r w:rsidRPr="00A01C7A">
        <w:rPr>
          <w:rStyle w:val="Refdenotaalpie"/>
        </w:rPr>
        <w:footnoteRef/>
      </w:r>
      <w:r w:rsidRPr="00A01C7A">
        <w:t xml:space="preserve"> </w:t>
      </w:r>
      <w:r w:rsidRPr="00A01C7A">
        <w:rPr>
          <w:lang w:val="es-MX"/>
        </w:rPr>
        <w:t>CC. T-307 de 2015.</w:t>
      </w:r>
    </w:p>
  </w:footnote>
  <w:footnote w:id="11">
    <w:p w:rsidR="006E6B6C" w:rsidRPr="00A01C7A" w:rsidRDefault="006E6B6C" w:rsidP="00D31D9F">
      <w:pPr>
        <w:pStyle w:val="Textonotapie"/>
        <w:jc w:val="both"/>
      </w:pPr>
      <w:r w:rsidRPr="00A01C7A">
        <w:rPr>
          <w:vertAlign w:val="superscript"/>
        </w:rPr>
        <w:footnoteRef/>
      </w:r>
      <w:r w:rsidRPr="00A01C7A">
        <w:t xml:space="preserve"> ESCUELA JUDICIAL RODRIGO LARA BONILLA. </w:t>
      </w:r>
      <w:r w:rsidRPr="00A01C7A">
        <w:rPr>
          <w:lang w:val="es-CO"/>
        </w:rPr>
        <w:t>La acción de tutela en el ordenamiento constitucional colombiano, Universidad Nacional de Colombia, Catalina Botero Marino, Ediprime Ltda., 2006, p.61-75.</w:t>
      </w:r>
    </w:p>
  </w:footnote>
  <w:footnote w:id="12">
    <w:p w:rsidR="006E6B6C" w:rsidRPr="00A01C7A" w:rsidRDefault="006E6B6C" w:rsidP="00D31D9F">
      <w:pPr>
        <w:pStyle w:val="Textonotapie"/>
        <w:jc w:val="both"/>
      </w:pPr>
      <w:r w:rsidRPr="00A01C7A">
        <w:rPr>
          <w:rStyle w:val="Refdenotaalpie"/>
        </w:rPr>
        <w:footnoteRef/>
      </w:r>
      <w:r w:rsidRPr="00A01C7A">
        <w:t xml:space="preserve"> QUINCHE R., Manuel F. La acción de tutela, el amparo en Colombia, Bogotá DC, 2011, p.233-285.</w:t>
      </w:r>
    </w:p>
  </w:footnote>
  <w:footnote w:id="13">
    <w:p w:rsidR="006E6B6C" w:rsidRPr="00FE5CDD" w:rsidRDefault="006E6B6C" w:rsidP="00974833">
      <w:pPr>
        <w:pStyle w:val="Textonotapie"/>
        <w:jc w:val="both"/>
      </w:pPr>
      <w:r w:rsidRPr="00FE5CDD">
        <w:rPr>
          <w:rStyle w:val="Refdenotaalpie"/>
        </w:rPr>
        <w:footnoteRef/>
      </w:r>
      <w:r w:rsidRPr="00FE5CDD">
        <w:rPr>
          <w:lang w:val="es-MX"/>
        </w:rPr>
        <w:t xml:space="preserve"> CC. T-231 de 1994.</w:t>
      </w:r>
    </w:p>
  </w:footnote>
  <w:footnote w:id="14">
    <w:p w:rsidR="006E6B6C" w:rsidRPr="00FE5CDD" w:rsidRDefault="006E6B6C" w:rsidP="00974833">
      <w:pPr>
        <w:pStyle w:val="Textonotapie"/>
        <w:jc w:val="both"/>
      </w:pPr>
      <w:r w:rsidRPr="00FE5CDD">
        <w:rPr>
          <w:rStyle w:val="Refdenotaalpie"/>
        </w:rPr>
        <w:footnoteRef/>
      </w:r>
      <w:r w:rsidRPr="00FE5CDD">
        <w:t xml:space="preserve"> </w:t>
      </w:r>
      <w:r w:rsidRPr="00FE5CDD">
        <w:rPr>
          <w:lang w:val="es-MX"/>
        </w:rPr>
        <w:t>CC. T-831 de 2012.</w:t>
      </w:r>
    </w:p>
  </w:footnote>
  <w:footnote w:id="15">
    <w:p w:rsidR="006E6B6C" w:rsidRPr="00FE5CDD" w:rsidRDefault="006E6B6C" w:rsidP="00974833">
      <w:pPr>
        <w:pStyle w:val="Textonotapie"/>
        <w:jc w:val="both"/>
      </w:pPr>
      <w:r w:rsidRPr="00FE5CDD">
        <w:rPr>
          <w:rStyle w:val="Refdenotaalpie"/>
        </w:rPr>
        <w:footnoteRef/>
      </w:r>
      <w:r w:rsidRPr="00FE5CDD">
        <w:t xml:space="preserve"> QUINCHE RAMÍREZ, Manuel Fernando. La acción de tutela, el amparo en Colombia, Bogotá DC, 2011, p.268.</w:t>
      </w:r>
    </w:p>
  </w:footnote>
  <w:footnote w:id="16">
    <w:p w:rsidR="006E6B6C" w:rsidRPr="00FE5CDD" w:rsidRDefault="006E6B6C" w:rsidP="00974833">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T-573 de 1997.</w:t>
      </w:r>
    </w:p>
  </w:footnote>
  <w:footnote w:id="17">
    <w:p w:rsidR="006E6B6C" w:rsidRPr="00FE5CDD" w:rsidRDefault="006E6B6C" w:rsidP="00974833">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T-567 de 1998.</w:t>
      </w:r>
    </w:p>
  </w:footnote>
  <w:footnote w:id="18">
    <w:p w:rsidR="006E6B6C" w:rsidRPr="00FE5CDD" w:rsidRDefault="006E6B6C" w:rsidP="00974833">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T-001 de 1999.</w:t>
      </w:r>
    </w:p>
  </w:footnote>
  <w:footnote w:id="19">
    <w:p w:rsidR="006E6B6C" w:rsidRPr="00FE5CDD" w:rsidRDefault="006E6B6C" w:rsidP="00974833">
      <w:pPr>
        <w:pStyle w:val="Textonotapie"/>
      </w:pPr>
      <w:r w:rsidRPr="00FE5CDD">
        <w:rPr>
          <w:rStyle w:val="Refdenotaalpie"/>
        </w:rPr>
        <w:footnoteRef/>
      </w:r>
      <w:r w:rsidRPr="00FE5CDD">
        <w:t xml:space="preserve"> </w:t>
      </w:r>
      <w:r w:rsidRPr="00FE5CDD">
        <w:rPr>
          <w:lang w:val="es-MX"/>
        </w:rPr>
        <w:t>CC. SU-949 de 2014 y T-192 de 2015.</w:t>
      </w:r>
    </w:p>
  </w:footnote>
  <w:footnote w:id="20">
    <w:p w:rsidR="006E6B6C" w:rsidRPr="00FE5CDD" w:rsidRDefault="006E6B6C" w:rsidP="00974833">
      <w:pPr>
        <w:pStyle w:val="Textonotapie"/>
      </w:pPr>
      <w:r w:rsidRPr="00FE5CDD">
        <w:rPr>
          <w:rStyle w:val="Refdenotaalpie"/>
        </w:rPr>
        <w:footnoteRef/>
      </w:r>
      <w:r w:rsidRPr="00FE5CDD">
        <w:t xml:space="preserve"> </w:t>
      </w:r>
      <w:r w:rsidRPr="00FE5CDD">
        <w:rPr>
          <w:lang w:val="es-MX"/>
        </w:rPr>
        <w:t>CC. SU-949 de 2014.</w:t>
      </w:r>
      <w:r w:rsidRPr="00FE5CDD">
        <w:rPr>
          <w:lang w:val="es-CO"/>
        </w:rPr>
        <w:t xml:space="preserve"> </w:t>
      </w:r>
    </w:p>
  </w:footnote>
  <w:footnote w:id="21">
    <w:p w:rsidR="006E6B6C" w:rsidRPr="00FE5CDD" w:rsidRDefault="006E6B6C" w:rsidP="00974833">
      <w:pPr>
        <w:pStyle w:val="Textonotapie"/>
      </w:pPr>
      <w:r w:rsidRPr="00FE5CDD">
        <w:rPr>
          <w:rStyle w:val="Refdenotaalpie"/>
        </w:rPr>
        <w:footnoteRef/>
      </w:r>
      <w:r w:rsidRPr="00FE5CDD">
        <w:t xml:space="preserve"> CC. </w:t>
      </w:r>
      <w:r w:rsidRPr="00FE5CDD">
        <w:rPr>
          <w:bCs/>
          <w:lang w:val="es-MX"/>
        </w:rPr>
        <w:t>SU-050 de 2017, T-233 de 2017 y T-235 de 2017.</w:t>
      </w:r>
    </w:p>
  </w:footnote>
  <w:footnote w:id="22">
    <w:p w:rsidR="006E6B6C" w:rsidRPr="00A01C7A" w:rsidRDefault="006E6B6C" w:rsidP="00741970">
      <w:pPr>
        <w:pStyle w:val="Textonotapie"/>
        <w:jc w:val="both"/>
      </w:pPr>
      <w:r w:rsidRPr="00A01C7A">
        <w:rPr>
          <w:vertAlign w:val="superscript"/>
        </w:rPr>
        <w:footnoteRef/>
      </w:r>
      <w:r w:rsidRPr="00A01C7A">
        <w:t xml:space="preserve"> </w:t>
      </w:r>
      <w:r w:rsidRPr="00A01C7A">
        <w:rPr>
          <w:lang w:val="es-CO"/>
        </w:rPr>
        <w:t xml:space="preserve">Según el doctrinante Pierluigi Chiassoni en su libro “Desencanto para abogados realistas”, el precedente judicial puede ser entendido en cuatro acepciones; (i) precedente-sentencia, (ii) precedente-ratio, (iii) precedente-ratio autoritativo y (iv) precedente- ratio decidendi consolidada o precedente orientación. Este último hace referencia a </w:t>
      </w:r>
      <w:r w:rsidRPr="00A01C7A">
        <w:rPr>
          <w:i/>
          <w:lang w:val="es-CO"/>
        </w:rPr>
        <w:t>“es la ratio decidenci por hipótesis común  a –y repetida en- una serie (considerada) significativa de sentencias pronunciadas en un arco de tiempo anterior  (…) cuya ratio tienen que ver con la decisión sobre hechos y cuestiones del mismo, o similar tipo , con hechos y cuestiones sobre las cuales se trata decidir  ahora,(…)”.</w:t>
      </w:r>
      <w:r w:rsidRPr="00A01C7A">
        <w:rPr>
          <w:lang w:val="es-CO"/>
        </w:rPr>
        <w:t xml:space="preserve"> Esta acepción es el precedente entendido en el sentido más restringido según el autor. Las demás acepciones hacen referencia similar al concepto propuesto por </w:t>
      </w:r>
      <w:smartTag w:uri="urn:schemas-microsoft-com:office:smarttags" w:element="PersonName">
        <w:smartTagPr>
          <w:attr w:name="ProductID" w:val="la Corte Constitucional"/>
        </w:smartTagPr>
        <w:r w:rsidRPr="00A01C7A">
          <w:rPr>
            <w:lang w:val="es-CO"/>
          </w:rPr>
          <w:t>la Corte Constitucional</w:t>
        </w:r>
      </w:smartTag>
      <w:r w:rsidRPr="00A01C7A">
        <w:rPr>
          <w:lang w:val="es-CO"/>
        </w:rPr>
        <w:t xml:space="preserve"> en el sentido en que debe ser una sentencia anterior que trata de hechos cuestiones y elemento muy similares al caso que se pretende resolver.</w:t>
      </w:r>
    </w:p>
  </w:footnote>
  <w:footnote w:id="23">
    <w:p w:rsidR="006E6B6C" w:rsidRPr="00A01C7A" w:rsidRDefault="006E6B6C" w:rsidP="00741970">
      <w:pPr>
        <w:pStyle w:val="Textonotapie"/>
        <w:rPr>
          <w:lang w:val="es-CO"/>
        </w:rPr>
      </w:pPr>
      <w:r w:rsidRPr="00A01C7A">
        <w:rPr>
          <w:rStyle w:val="Refdenotaalpie"/>
        </w:rPr>
        <w:footnoteRef/>
      </w:r>
      <w:r w:rsidRPr="00A01C7A">
        <w:t xml:space="preserve"> </w:t>
      </w:r>
      <w:r w:rsidRPr="00A01C7A">
        <w:rPr>
          <w:lang w:val="es-CO"/>
        </w:rPr>
        <w:t>CC. T-737 de 2015.</w:t>
      </w:r>
    </w:p>
  </w:footnote>
  <w:footnote w:id="24">
    <w:p w:rsidR="006E6B6C" w:rsidRPr="00A01C7A" w:rsidRDefault="006E6B6C" w:rsidP="00741970">
      <w:pPr>
        <w:pStyle w:val="Textonotapie"/>
        <w:jc w:val="both"/>
      </w:pPr>
      <w:r w:rsidRPr="00A01C7A">
        <w:rPr>
          <w:rStyle w:val="Refdenotaalpie"/>
        </w:rPr>
        <w:footnoteRef/>
      </w:r>
      <w:r w:rsidRPr="00A01C7A">
        <w:t xml:space="preserve"> </w:t>
      </w:r>
      <w:r w:rsidRPr="00A01C7A">
        <w:rPr>
          <w:lang w:val="es-CO"/>
        </w:rPr>
        <w:t>LÓPEZ M., Diego E. El derecho de los jueces, 8ª reimpresión de la 2ª edición, Bogotá DC, editorial Legis y Universidad de Los Andes, 2009, p.83.</w:t>
      </w:r>
    </w:p>
  </w:footnote>
  <w:footnote w:id="25">
    <w:p w:rsidR="006E6B6C" w:rsidRPr="00A01C7A" w:rsidRDefault="006E6B6C" w:rsidP="00741970">
      <w:pPr>
        <w:pStyle w:val="Textonotapie"/>
        <w:jc w:val="both"/>
      </w:pPr>
      <w:r w:rsidRPr="00A01C7A">
        <w:rPr>
          <w:vertAlign w:val="superscript"/>
        </w:rPr>
        <w:footnoteRef/>
      </w:r>
      <w:r w:rsidRPr="00A01C7A">
        <w:t xml:space="preserve"> </w:t>
      </w:r>
      <w:r w:rsidRPr="00A01C7A">
        <w:rPr>
          <w:lang w:val="es-MX"/>
        </w:rPr>
        <w:t xml:space="preserve">CC. T-084 de 2017, T-038 de 2016, T-737 de 2015, </w:t>
      </w:r>
      <w:r w:rsidRPr="00A01C7A">
        <w:rPr>
          <w:lang w:val="es-CO"/>
        </w:rPr>
        <w:t>T-794 de 2011, T-082 de 2011, T-209 de 2011, entre otras.</w:t>
      </w:r>
    </w:p>
  </w:footnote>
  <w:footnote w:id="26">
    <w:p w:rsidR="006E6B6C" w:rsidRPr="00A01C7A" w:rsidRDefault="006E6B6C" w:rsidP="00741970">
      <w:pPr>
        <w:pStyle w:val="Textonotapie"/>
        <w:jc w:val="both"/>
      </w:pPr>
      <w:r w:rsidRPr="00A01C7A">
        <w:rPr>
          <w:rStyle w:val="Refdenotaalpie"/>
        </w:rPr>
        <w:footnoteRef/>
      </w:r>
      <w:r w:rsidRPr="00A01C7A">
        <w:t xml:space="preserve"> </w:t>
      </w:r>
      <w:r w:rsidRPr="00A01C7A">
        <w:rPr>
          <w:lang w:val="es-MX"/>
        </w:rPr>
        <w:t>CC. T-831 de 2012, ob. cit.</w:t>
      </w:r>
    </w:p>
  </w:footnote>
  <w:footnote w:id="27">
    <w:p w:rsidR="006E6B6C" w:rsidRPr="00A01C7A" w:rsidRDefault="006E6B6C" w:rsidP="00741970">
      <w:pPr>
        <w:pStyle w:val="Textonotapie"/>
        <w:jc w:val="both"/>
      </w:pPr>
      <w:r w:rsidRPr="00A01C7A">
        <w:rPr>
          <w:vertAlign w:val="superscript"/>
        </w:rPr>
        <w:footnoteRef/>
      </w:r>
      <w:r w:rsidRPr="00A01C7A">
        <w:t xml:space="preserve"> </w:t>
      </w:r>
      <w:r w:rsidRPr="00A01C7A">
        <w:rPr>
          <w:lang w:val="es-MX"/>
        </w:rPr>
        <w:t xml:space="preserve">CC. </w:t>
      </w:r>
      <w:r w:rsidRPr="00A01C7A">
        <w:t>T-123 de 1995, T-766 de 2008 y T-794 de 2011</w:t>
      </w:r>
      <w:r w:rsidRPr="00A01C7A">
        <w:rPr>
          <w:lang w:val="es-CO"/>
        </w:rPr>
        <w:t xml:space="preserve">. </w:t>
      </w:r>
    </w:p>
  </w:footnote>
  <w:footnote w:id="28">
    <w:p w:rsidR="006E6B6C" w:rsidRPr="00A01C7A" w:rsidRDefault="006E6B6C" w:rsidP="00741970">
      <w:pPr>
        <w:pStyle w:val="Textonotapie"/>
        <w:jc w:val="both"/>
      </w:pPr>
      <w:r w:rsidRPr="00A01C7A">
        <w:rPr>
          <w:vertAlign w:val="superscript"/>
        </w:rPr>
        <w:footnoteRef/>
      </w:r>
      <w:r w:rsidRPr="00A01C7A">
        <w:t xml:space="preserve"> </w:t>
      </w:r>
      <w:r w:rsidRPr="00A01C7A">
        <w:rPr>
          <w:lang w:val="es-MX"/>
        </w:rPr>
        <w:t xml:space="preserve">CC. </w:t>
      </w:r>
      <w:r w:rsidRPr="00A01C7A">
        <w:rPr>
          <w:lang w:val="es-CO"/>
        </w:rPr>
        <w:t>T-211 de 2008, T-161 de 2010 y T-082 de 2011.</w:t>
      </w:r>
    </w:p>
  </w:footnote>
  <w:footnote w:id="29">
    <w:p w:rsidR="006E6B6C" w:rsidRPr="00A01C7A" w:rsidRDefault="006E6B6C" w:rsidP="00741970">
      <w:pPr>
        <w:pStyle w:val="Textonotapie"/>
        <w:jc w:val="both"/>
      </w:pPr>
      <w:r w:rsidRPr="00A01C7A">
        <w:rPr>
          <w:rStyle w:val="Refdenotaalpie"/>
        </w:rPr>
        <w:footnoteRef/>
      </w:r>
      <w:r>
        <w:rPr>
          <w:lang w:val="es-MX"/>
        </w:rPr>
        <w:t xml:space="preserve"> </w:t>
      </w:r>
      <w:r w:rsidRPr="00A01C7A">
        <w:rPr>
          <w:lang w:val="es-MX"/>
        </w:rPr>
        <w:t>CC. C-836 de 2001.</w:t>
      </w:r>
    </w:p>
  </w:footnote>
  <w:footnote w:id="30">
    <w:p w:rsidR="006E6B6C" w:rsidRPr="00A01C7A" w:rsidRDefault="006E6B6C" w:rsidP="00741970">
      <w:pPr>
        <w:pStyle w:val="Textonotapie"/>
        <w:rPr>
          <w:lang w:val="es-CO"/>
        </w:rPr>
      </w:pPr>
      <w:r w:rsidRPr="00A01C7A">
        <w:rPr>
          <w:rStyle w:val="Refdenotaalpie"/>
        </w:rPr>
        <w:footnoteRef/>
      </w:r>
      <w:r w:rsidRPr="00A01C7A">
        <w:t xml:space="preserve"> </w:t>
      </w:r>
      <w:r w:rsidRPr="00A01C7A">
        <w:rPr>
          <w:lang w:val="es-MX"/>
        </w:rPr>
        <w:t>CC. T-1029 del 2012.</w:t>
      </w:r>
    </w:p>
  </w:footnote>
  <w:footnote w:id="31">
    <w:p w:rsidR="006E6B6C" w:rsidRPr="00A01C7A" w:rsidRDefault="006E6B6C" w:rsidP="00741970">
      <w:pPr>
        <w:pStyle w:val="Textonotapie"/>
        <w:rPr>
          <w:lang w:val="es-CO"/>
        </w:rPr>
      </w:pPr>
      <w:r w:rsidRPr="00A01C7A">
        <w:rPr>
          <w:rStyle w:val="Refdenotaalpie"/>
        </w:rPr>
        <w:footnoteRef/>
      </w:r>
      <w:r w:rsidRPr="00A01C7A">
        <w:t xml:space="preserve"> </w:t>
      </w:r>
      <w:r w:rsidRPr="00A01C7A">
        <w:rPr>
          <w:lang w:val="es-CO"/>
        </w:rPr>
        <w:t>CC. T-102 de 2014 y T-309 de 2015 (Referida en la C-0621 de 2015).</w:t>
      </w:r>
    </w:p>
  </w:footnote>
  <w:footnote w:id="32">
    <w:p w:rsidR="006E6B6C" w:rsidRPr="006C5B0C" w:rsidRDefault="006E6B6C" w:rsidP="00157FD9">
      <w:pPr>
        <w:pStyle w:val="Textonotapie"/>
        <w:jc w:val="both"/>
      </w:pPr>
      <w:r w:rsidRPr="006C5B0C">
        <w:rPr>
          <w:rStyle w:val="Refdenotaalpie"/>
        </w:rPr>
        <w:footnoteRef/>
      </w:r>
      <w:r w:rsidRPr="006C5B0C">
        <w:t xml:space="preserve"> ESCUELA JUDICIAL RODRIGO LARA BONILLA. </w:t>
      </w:r>
      <w:r w:rsidRPr="006C5B0C">
        <w:rPr>
          <w:lang w:val="es-CO"/>
        </w:rPr>
        <w:t xml:space="preserve">La acción de tutela en el ordenamiento constitucional colombiano, Universidad Nacional de Colombia, Catalina Botero Marino, Ediprime Ltda., 2006, p.64-65. </w:t>
      </w:r>
    </w:p>
  </w:footnote>
  <w:footnote w:id="33">
    <w:p w:rsidR="006E6B6C" w:rsidRPr="00F165B3" w:rsidRDefault="006E6B6C" w:rsidP="00157FD9">
      <w:pPr>
        <w:pStyle w:val="Textonotapie"/>
        <w:jc w:val="both"/>
        <w:rPr>
          <w:rFonts w:asciiTheme="minorHAnsi" w:hAnsiTheme="minorHAnsi"/>
        </w:rPr>
      </w:pPr>
      <w:r w:rsidRPr="006C5B0C">
        <w:rPr>
          <w:rStyle w:val="Refdenotaalpie"/>
        </w:rPr>
        <w:footnoteRef/>
      </w:r>
      <w:r w:rsidRPr="006C5B0C">
        <w:t xml:space="preserve"> </w:t>
      </w:r>
      <w:r w:rsidRPr="006C5B0C">
        <w:rPr>
          <w:lang w:val="es-MX"/>
        </w:rPr>
        <w:t>CC.  T-980 de 2011.</w:t>
      </w:r>
    </w:p>
  </w:footnote>
  <w:footnote w:id="34">
    <w:p w:rsidR="0012392C" w:rsidRPr="00706A6F" w:rsidRDefault="0012392C" w:rsidP="0012392C">
      <w:pPr>
        <w:pStyle w:val="Textonotapie"/>
        <w:rPr>
          <w:lang w:val="es-CO"/>
        </w:rPr>
      </w:pPr>
      <w:r>
        <w:rPr>
          <w:rStyle w:val="Refdenotaalpie"/>
        </w:rPr>
        <w:footnoteRef/>
      </w:r>
      <w:r>
        <w:t xml:space="preserve"> </w:t>
      </w:r>
      <w:r>
        <w:rPr>
          <w:lang w:val="es-CO"/>
        </w:rPr>
        <w:t>CSJ. STC8938-2017, reiterada en la STC7442-2018.</w:t>
      </w:r>
    </w:p>
  </w:footnote>
  <w:footnote w:id="35">
    <w:p w:rsidR="0012392C" w:rsidRPr="00FE5CDD" w:rsidRDefault="0012392C" w:rsidP="0012392C">
      <w:pPr>
        <w:pStyle w:val="Textonotapie"/>
        <w:jc w:val="both"/>
      </w:pPr>
      <w:r w:rsidRPr="00FE5CDD">
        <w:rPr>
          <w:vertAlign w:val="superscript"/>
        </w:rPr>
        <w:footnoteRef/>
      </w:r>
      <w:r w:rsidRPr="00FE5CDD">
        <w:rPr>
          <w:lang w:val="es-CO"/>
        </w:rPr>
        <w:t xml:space="preserve"> </w:t>
      </w:r>
      <w:r w:rsidRPr="00FE5CDD">
        <w:rPr>
          <w:lang w:val="es-MX"/>
        </w:rPr>
        <w:t>CC</w:t>
      </w:r>
      <w:r w:rsidRPr="00FE5CDD">
        <w:rPr>
          <w:lang w:val="es-CO"/>
        </w:rPr>
        <w:t>. T-573 de 1997.</w:t>
      </w:r>
    </w:p>
  </w:footnote>
  <w:footnote w:id="36">
    <w:p w:rsidR="00E432D9" w:rsidRPr="00E432D9" w:rsidRDefault="00E432D9">
      <w:pPr>
        <w:pStyle w:val="Textonotapie"/>
        <w:rPr>
          <w:lang w:val="es-CO"/>
        </w:rPr>
      </w:pPr>
      <w:r w:rsidRPr="00E432D9">
        <w:rPr>
          <w:rStyle w:val="Refdenotaalpie"/>
        </w:rPr>
        <w:footnoteRef/>
      </w:r>
      <w:r w:rsidRPr="00E432D9">
        <w:t xml:space="preserve"> </w:t>
      </w:r>
      <w:r w:rsidRPr="00E432D9">
        <w:rPr>
          <w:lang w:val="es-CO"/>
        </w:rPr>
        <w:t>CSJ. SC-10304-2014.</w:t>
      </w:r>
    </w:p>
  </w:footnote>
  <w:footnote w:id="37">
    <w:p w:rsidR="00D21978" w:rsidRPr="008335D4" w:rsidRDefault="00D21978" w:rsidP="00D21978">
      <w:pPr>
        <w:pStyle w:val="Textonotapie"/>
        <w:rPr>
          <w:rFonts w:ascii="Calibri" w:hAnsi="Calibri"/>
          <w:lang w:val="es-CO"/>
        </w:rPr>
      </w:pPr>
      <w:r w:rsidRPr="00E432D9">
        <w:rPr>
          <w:rStyle w:val="Refdenotaalpie"/>
        </w:rPr>
        <w:footnoteRef/>
      </w:r>
      <w:r w:rsidRPr="00E432D9">
        <w:t xml:space="preserve"> </w:t>
      </w:r>
      <w:r w:rsidRPr="00E432D9">
        <w:rPr>
          <w:lang w:val="es-CO"/>
        </w:rPr>
        <w:t xml:space="preserve">QUINCHE R., Manuel F. El precedente judicial y sus reglas, Bogotá DC, Legis y Universidad del Rosario, 2014, p.18. </w:t>
      </w:r>
      <w:r w:rsidRPr="00E432D9">
        <w:rPr>
          <w:i/>
          <w:lang w:val="es-CO"/>
        </w:rPr>
        <w:t>“(…) Son decisiones y reglas dispuestas por otros órganos y autoridades judiciales distintas a los órganos de cierre, que son criterio auxiliar de interpretación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6C" w:rsidRDefault="006E6B6C"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w:t>
    </w:r>
    <w:r>
      <w:rPr>
        <w:rStyle w:val="Nmerodepgina"/>
        <w:rFonts w:cs="Verdana"/>
      </w:rPr>
      <w:fldChar w:fldCharType="end"/>
    </w:r>
  </w:p>
  <w:p w:rsidR="006E6B6C" w:rsidRDefault="006E6B6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6C" w:rsidRPr="004F3CCA" w:rsidRDefault="006E6B6C">
    <w:pPr>
      <w:pStyle w:val="Encabezado"/>
      <w:pBdr>
        <w:bottom w:val="single" w:sz="4" w:space="1" w:color="D9D9D9"/>
      </w:pBdr>
      <w:jc w:val="right"/>
      <w:rPr>
        <w:rFonts w:ascii="Georgia" w:hAnsi="Georgia"/>
        <w:b/>
        <w:lang w:val="es-CO"/>
      </w:rPr>
    </w:pPr>
    <w:r w:rsidRPr="004F3CCA">
      <w:rPr>
        <w:rFonts w:ascii="Georgia" w:hAnsi="Georgia"/>
        <w:color w:val="7F7F7F"/>
        <w:spacing w:val="60"/>
        <w:sz w:val="22"/>
        <w:lang w:val="es-CO"/>
      </w:rPr>
      <w:t>Página</w:t>
    </w:r>
    <w:r w:rsidRPr="004F3CCA">
      <w:rPr>
        <w:rFonts w:ascii="Georgia" w:hAnsi="Georgia"/>
        <w:sz w:val="22"/>
        <w:lang w:val="es-CO"/>
      </w:rPr>
      <w:t xml:space="preserve"> | </w:t>
    </w:r>
    <w:r w:rsidRPr="004F3CCA">
      <w:rPr>
        <w:rFonts w:ascii="Georgia" w:hAnsi="Georgia"/>
        <w:sz w:val="22"/>
        <w:lang w:val="es-CO"/>
      </w:rPr>
      <w:fldChar w:fldCharType="begin"/>
    </w:r>
    <w:r w:rsidRPr="004F3CCA">
      <w:rPr>
        <w:rFonts w:ascii="Georgia" w:hAnsi="Georgia"/>
        <w:sz w:val="22"/>
        <w:lang w:val="es-CO"/>
      </w:rPr>
      <w:instrText xml:space="preserve"> PAGE   \* MERGEFORMAT </w:instrText>
    </w:r>
    <w:r w:rsidRPr="004F3CCA">
      <w:rPr>
        <w:rFonts w:ascii="Georgia" w:hAnsi="Georgia"/>
        <w:sz w:val="22"/>
        <w:lang w:val="es-CO"/>
      </w:rPr>
      <w:fldChar w:fldCharType="separate"/>
    </w:r>
    <w:r w:rsidR="00712F75">
      <w:rPr>
        <w:rFonts w:ascii="Georgia" w:hAnsi="Georgia"/>
        <w:noProof/>
        <w:sz w:val="22"/>
        <w:lang w:val="es-CO"/>
      </w:rPr>
      <w:t>11</w:t>
    </w:r>
    <w:r w:rsidRPr="004F3CCA">
      <w:rPr>
        <w:rFonts w:ascii="Georgia" w:hAnsi="Georgia"/>
        <w:sz w:val="22"/>
        <w:lang w:val="es-CO"/>
      </w:rPr>
      <w:fldChar w:fldCharType="end"/>
    </w:r>
  </w:p>
  <w:p w:rsidR="006E6B6C" w:rsidRPr="004F3CCA" w:rsidRDefault="006E6B6C" w:rsidP="006F562A">
    <w:pPr>
      <w:pStyle w:val="Encabezado"/>
      <w:ind w:right="360"/>
      <w:jc w:val="both"/>
      <w:rPr>
        <w:rFonts w:ascii="Georgia" w:hAnsi="Georgia" w:cs="Calibri"/>
        <w:i/>
        <w:sz w:val="20"/>
        <w:szCs w:val="20"/>
      </w:rPr>
    </w:pPr>
    <w:r w:rsidRPr="004F3CCA">
      <w:rPr>
        <w:rFonts w:ascii="Georgia" w:hAnsi="Georgia" w:cs="Calibri"/>
        <w:i/>
        <w:sz w:val="20"/>
        <w:szCs w:val="20"/>
      </w:rPr>
      <w:t>EXPEDIENTE No.</w:t>
    </w:r>
    <w:r>
      <w:rPr>
        <w:rFonts w:ascii="Georgia" w:hAnsi="Georgia" w:cs="Calibri"/>
        <w:i/>
        <w:sz w:val="20"/>
        <w:szCs w:val="20"/>
      </w:rPr>
      <w:t>2018-00564-01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6C" w:rsidRPr="0092089F" w:rsidRDefault="006E6B6C">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E6B6C" w:rsidRDefault="006E6B6C"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18DC6FDB"/>
    <w:multiLevelType w:val="hybridMultilevel"/>
    <w:tmpl w:val="09FC56C8"/>
    <w:lvl w:ilvl="0" w:tplc="0C0A000F">
      <w:start w:val="6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6519C6"/>
    <w:multiLevelType w:val="multilevel"/>
    <w:tmpl w:val="7C540DB2"/>
    <w:lvl w:ilvl="0">
      <w:start w:val="6"/>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7">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26F6A2F"/>
    <w:multiLevelType w:val="multilevel"/>
    <w:tmpl w:val="085C048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6C39EC"/>
    <w:multiLevelType w:val="multilevel"/>
    <w:tmpl w:val="A38E31FE"/>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6">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9">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nsid w:val="7B1A578A"/>
    <w:multiLevelType w:val="hybridMultilevel"/>
    <w:tmpl w:val="19B6A202"/>
    <w:lvl w:ilvl="0" w:tplc="C78CCC5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0"/>
  </w:num>
  <w:num w:numId="2">
    <w:abstractNumId w:val="32"/>
  </w:num>
  <w:num w:numId="3">
    <w:abstractNumId w:val="25"/>
  </w:num>
  <w:num w:numId="4">
    <w:abstractNumId w:val="21"/>
  </w:num>
  <w:num w:numId="5">
    <w:abstractNumId w:val="36"/>
  </w:num>
  <w:num w:numId="6">
    <w:abstractNumId w:val="23"/>
  </w:num>
  <w:num w:numId="7">
    <w:abstractNumId w:val="3"/>
  </w:num>
  <w:num w:numId="8">
    <w:abstractNumId w:val="16"/>
  </w:num>
  <w:num w:numId="9">
    <w:abstractNumId w:val="17"/>
  </w:num>
  <w:num w:numId="10">
    <w:abstractNumId w:val="2"/>
  </w:num>
  <w:num w:numId="11">
    <w:abstractNumId w:val="31"/>
  </w:num>
  <w:num w:numId="12">
    <w:abstractNumId w:val="13"/>
  </w:num>
  <w:num w:numId="13">
    <w:abstractNumId w:val="19"/>
  </w:num>
  <w:num w:numId="14">
    <w:abstractNumId w:val="39"/>
  </w:num>
  <w:num w:numId="15">
    <w:abstractNumId w:val="28"/>
  </w:num>
  <w:num w:numId="16">
    <w:abstractNumId w:val="1"/>
  </w:num>
  <w:num w:numId="17">
    <w:abstractNumId w:val="41"/>
  </w:num>
  <w:num w:numId="18">
    <w:abstractNumId w:val="29"/>
  </w:num>
  <w:num w:numId="19">
    <w:abstractNumId w:val="38"/>
  </w:num>
  <w:num w:numId="20">
    <w:abstractNumId w:val="37"/>
  </w:num>
  <w:num w:numId="21">
    <w:abstractNumId w:val="5"/>
  </w:num>
  <w:num w:numId="22">
    <w:abstractNumId w:val="0"/>
  </w:num>
  <w:num w:numId="23">
    <w:abstractNumId w:val="43"/>
  </w:num>
  <w:num w:numId="24">
    <w:abstractNumId w:val="26"/>
  </w:num>
  <w:num w:numId="25">
    <w:abstractNumId w:val="15"/>
  </w:num>
  <w:num w:numId="26">
    <w:abstractNumId w:val="18"/>
  </w:num>
  <w:num w:numId="27">
    <w:abstractNumId w:val="4"/>
  </w:num>
  <w:num w:numId="28">
    <w:abstractNumId w:val="35"/>
  </w:num>
  <w:num w:numId="29">
    <w:abstractNumId w:val="24"/>
  </w:num>
  <w:num w:numId="30">
    <w:abstractNumId w:val="14"/>
  </w:num>
  <w:num w:numId="31">
    <w:abstractNumId w:val="42"/>
  </w:num>
  <w:num w:numId="32">
    <w:abstractNumId w:val="30"/>
  </w:num>
  <w:num w:numId="33">
    <w:abstractNumId w:val="10"/>
  </w:num>
  <w:num w:numId="34">
    <w:abstractNumId w:val="34"/>
  </w:num>
  <w:num w:numId="35">
    <w:abstractNumId w:val="12"/>
  </w:num>
  <w:num w:numId="36">
    <w:abstractNumId w:val="33"/>
  </w:num>
  <w:num w:numId="37">
    <w:abstractNumId w:val="27"/>
  </w:num>
  <w:num w:numId="38">
    <w:abstractNumId w:val="2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22"/>
  </w:num>
  <w:num w:numId="43">
    <w:abstractNumId w:val="20"/>
  </w:num>
  <w:num w:numId="44">
    <w:abstractNumId w:val="7"/>
  </w:num>
  <w:num w:numId="45">
    <w:abstractNumId w:val="6"/>
  </w:num>
  <w:num w:numId="46">
    <w:abstractNumId w:val="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91C"/>
    <w:rsid w:val="0000299D"/>
    <w:rsid w:val="00002C84"/>
    <w:rsid w:val="00003111"/>
    <w:rsid w:val="00005281"/>
    <w:rsid w:val="00007912"/>
    <w:rsid w:val="000100E5"/>
    <w:rsid w:val="00011758"/>
    <w:rsid w:val="00011CF2"/>
    <w:rsid w:val="00011D52"/>
    <w:rsid w:val="00013530"/>
    <w:rsid w:val="00013BE8"/>
    <w:rsid w:val="0002042C"/>
    <w:rsid w:val="000215F0"/>
    <w:rsid w:val="00022DD0"/>
    <w:rsid w:val="00022F38"/>
    <w:rsid w:val="00023886"/>
    <w:rsid w:val="00023FAD"/>
    <w:rsid w:val="00024DCC"/>
    <w:rsid w:val="00024E51"/>
    <w:rsid w:val="0002535C"/>
    <w:rsid w:val="00025764"/>
    <w:rsid w:val="00025DB8"/>
    <w:rsid w:val="00025F5F"/>
    <w:rsid w:val="00026F32"/>
    <w:rsid w:val="00027251"/>
    <w:rsid w:val="00031D5D"/>
    <w:rsid w:val="000332E9"/>
    <w:rsid w:val="00033F1E"/>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2CFE"/>
    <w:rsid w:val="000634BA"/>
    <w:rsid w:val="00064271"/>
    <w:rsid w:val="00065500"/>
    <w:rsid w:val="00065A2F"/>
    <w:rsid w:val="000664A8"/>
    <w:rsid w:val="00066726"/>
    <w:rsid w:val="000679CA"/>
    <w:rsid w:val="00067A12"/>
    <w:rsid w:val="00067E4F"/>
    <w:rsid w:val="0007063B"/>
    <w:rsid w:val="00072310"/>
    <w:rsid w:val="00072763"/>
    <w:rsid w:val="00072B7F"/>
    <w:rsid w:val="00073265"/>
    <w:rsid w:val="00073F3B"/>
    <w:rsid w:val="0007503D"/>
    <w:rsid w:val="0007524F"/>
    <w:rsid w:val="00075C73"/>
    <w:rsid w:val="00076139"/>
    <w:rsid w:val="00076634"/>
    <w:rsid w:val="00076D55"/>
    <w:rsid w:val="00076F62"/>
    <w:rsid w:val="0007768D"/>
    <w:rsid w:val="0008009F"/>
    <w:rsid w:val="000818FB"/>
    <w:rsid w:val="000820F0"/>
    <w:rsid w:val="0008427C"/>
    <w:rsid w:val="00085FB4"/>
    <w:rsid w:val="00086D8F"/>
    <w:rsid w:val="00086DEB"/>
    <w:rsid w:val="000871E7"/>
    <w:rsid w:val="0008767C"/>
    <w:rsid w:val="000917C3"/>
    <w:rsid w:val="00092CB6"/>
    <w:rsid w:val="0009345E"/>
    <w:rsid w:val="000937F8"/>
    <w:rsid w:val="0009397A"/>
    <w:rsid w:val="00093AD0"/>
    <w:rsid w:val="00094C04"/>
    <w:rsid w:val="000956EB"/>
    <w:rsid w:val="000962B6"/>
    <w:rsid w:val="00096950"/>
    <w:rsid w:val="00096A69"/>
    <w:rsid w:val="00096F42"/>
    <w:rsid w:val="000975AD"/>
    <w:rsid w:val="000976A4"/>
    <w:rsid w:val="00097BAB"/>
    <w:rsid w:val="000A0EB7"/>
    <w:rsid w:val="000A1739"/>
    <w:rsid w:val="000A2533"/>
    <w:rsid w:val="000A4450"/>
    <w:rsid w:val="000A51FF"/>
    <w:rsid w:val="000A5B92"/>
    <w:rsid w:val="000A6C04"/>
    <w:rsid w:val="000B1B05"/>
    <w:rsid w:val="000B2CF6"/>
    <w:rsid w:val="000B372B"/>
    <w:rsid w:val="000B5D80"/>
    <w:rsid w:val="000B6A4A"/>
    <w:rsid w:val="000C0A5D"/>
    <w:rsid w:val="000C6658"/>
    <w:rsid w:val="000C6F60"/>
    <w:rsid w:val="000C7144"/>
    <w:rsid w:val="000C7176"/>
    <w:rsid w:val="000C7369"/>
    <w:rsid w:val="000C75AD"/>
    <w:rsid w:val="000C7C79"/>
    <w:rsid w:val="000D01DC"/>
    <w:rsid w:val="000D1818"/>
    <w:rsid w:val="000D2DAC"/>
    <w:rsid w:val="000D302F"/>
    <w:rsid w:val="000D352E"/>
    <w:rsid w:val="000D3AE1"/>
    <w:rsid w:val="000D3B20"/>
    <w:rsid w:val="000D4585"/>
    <w:rsid w:val="000D519A"/>
    <w:rsid w:val="000D5ECA"/>
    <w:rsid w:val="000E08F2"/>
    <w:rsid w:val="000E1A18"/>
    <w:rsid w:val="000E2262"/>
    <w:rsid w:val="000E324D"/>
    <w:rsid w:val="000E37D4"/>
    <w:rsid w:val="000E4B1F"/>
    <w:rsid w:val="000E52D7"/>
    <w:rsid w:val="000E65B0"/>
    <w:rsid w:val="000E7042"/>
    <w:rsid w:val="000E742B"/>
    <w:rsid w:val="000E7ABD"/>
    <w:rsid w:val="000F038D"/>
    <w:rsid w:val="000F1AC1"/>
    <w:rsid w:val="000F2CA2"/>
    <w:rsid w:val="000F3F07"/>
    <w:rsid w:val="000F3FF5"/>
    <w:rsid w:val="000F43C0"/>
    <w:rsid w:val="000F45EF"/>
    <w:rsid w:val="000F5F85"/>
    <w:rsid w:val="000F62E4"/>
    <w:rsid w:val="000F6C11"/>
    <w:rsid w:val="001012AD"/>
    <w:rsid w:val="001013B3"/>
    <w:rsid w:val="001017E7"/>
    <w:rsid w:val="001039FB"/>
    <w:rsid w:val="00103CD9"/>
    <w:rsid w:val="0010401B"/>
    <w:rsid w:val="001055E9"/>
    <w:rsid w:val="00105F37"/>
    <w:rsid w:val="00106142"/>
    <w:rsid w:val="001064AC"/>
    <w:rsid w:val="00107025"/>
    <w:rsid w:val="001127AE"/>
    <w:rsid w:val="00114609"/>
    <w:rsid w:val="0011555A"/>
    <w:rsid w:val="00115C96"/>
    <w:rsid w:val="00117015"/>
    <w:rsid w:val="0011727B"/>
    <w:rsid w:val="00117C99"/>
    <w:rsid w:val="00120933"/>
    <w:rsid w:val="00122E6D"/>
    <w:rsid w:val="0012392C"/>
    <w:rsid w:val="001240AF"/>
    <w:rsid w:val="00124DDA"/>
    <w:rsid w:val="00124F49"/>
    <w:rsid w:val="00125979"/>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678E"/>
    <w:rsid w:val="00147EF8"/>
    <w:rsid w:val="00150AF5"/>
    <w:rsid w:val="00152DAF"/>
    <w:rsid w:val="00152F46"/>
    <w:rsid w:val="00153B76"/>
    <w:rsid w:val="001545B7"/>
    <w:rsid w:val="00156283"/>
    <w:rsid w:val="00157FD9"/>
    <w:rsid w:val="00160A8B"/>
    <w:rsid w:val="00162BFC"/>
    <w:rsid w:val="00162DEF"/>
    <w:rsid w:val="00162EC9"/>
    <w:rsid w:val="00164342"/>
    <w:rsid w:val="00165382"/>
    <w:rsid w:val="001656E3"/>
    <w:rsid w:val="00165935"/>
    <w:rsid w:val="00166158"/>
    <w:rsid w:val="00167BBA"/>
    <w:rsid w:val="00170C5C"/>
    <w:rsid w:val="0017129C"/>
    <w:rsid w:val="00171C83"/>
    <w:rsid w:val="0017206C"/>
    <w:rsid w:val="00172487"/>
    <w:rsid w:val="00172643"/>
    <w:rsid w:val="00172F27"/>
    <w:rsid w:val="00173244"/>
    <w:rsid w:val="0017357D"/>
    <w:rsid w:val="00173EBC"/>
    <w:rsid w:val="0017543D"/>
    <w:rsid w:val="00175F65"/>
    <w:rsid w:val="00175F77"/>
    <w:rsid w:val="0017606A"/>
    <w:rsid w:val="00180F71"/>
    <w:rsid w:val="0018124A"/>
    <w:rsid w:val="00181871"/>
    <w:rsid w:val="00182E93"/>
    <w:rsid w:val="00184D93"/>
    <w:rsid w:val="00187410"/>
    <w:rsid w:val="00187605"/>
    <w:rsid w:val="001900A1"/>
    <w:rsid w:val="001900B9"/>
    <w:rsid w:val="001917D1"/>
    <w:rsid w:val="00192453"/>
    <w:rsid w:val="001929A7"/>
    <w:rsid w:val="00192CFD"/>
    <w:rsid w:val="0019307C"/>
    <w:rsid w:val="00193789"/>
    <w:rsid w:val="00193798"/>
    <w:rsid w:val="001952B7"/>
    <w:rsid w:val="00195627"/>
    <w:rsid w:val="001972AF"/>
    <w:rsid w:val="00197752"/>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7E"/>
    <w:rsid w:val="001B6B9C"/>
    <w:rsid w:val="001B78D2"/>
    <w:rsid w:val="001C1259"/>
    <w:rsid w:val="001C1611"/>
    <w:rsid w:val="001C2101"/>
    <w:rsid w:val="001C3246"/>
    <w:rsid w:val="001C5D56"/>
    <w:rsid w:val="001C687C"/>
    <w:rsid w:val="001C7AA1"/>
    <w:rsid w:val="001C7BEE"/>
    <w:rsid w:val="001D0A6A"/>
    <w:rsid w:val="001D14A5"/>
    <w:rsid w:val="001D2702"/>
    <w:rsid w:val="001D3D53"/>
    <w:rsid w:val="001D5B0F"/>
    <w:rsid w:val="001D5C92"/>
    <w:rsid w:val="001D6658"/>
    <w:rsid w:val="001D6840"/>
    <w:rsid w:val="001D76C4"/>
    <w:rsid w:val="001D7CF6"/>
    <w:rsid w:val="001E1104"/>
    <w:rsid w:val="001E1592"/>
    <w:rsid w:val="001E2DE4"/>
    <w:rsid w:val="001E2EA8"/>
    <w:rsid w:val="001E311C"/>
    <w:rsid w:val="001E6AB8"/>
    <w:rsid w:val="001E7EDB"/>
    <w:rsid w:val="001F08CF"/>
    <w:rsid w:val="001F0AC0"/>
    <w:rsid w:val="001F0F9B"/>
    <w:rsid w:val="001F1B56"/>
    <w:rsid w:val="001F1DC2"/>
    <w:rsid w:val="001F2983"/>
    <w:rsid w:val="001F29E2"/>
    <w:rsid w:val="001F3204"/>
    <w:rsid w:val="001F55DF"/>
    <w:rsid w:val="001F5AC4"/>
    <w:rsid w:val="001F6067"/>
    <w:rsid w:val="001F6B77"/>
    <w:rsid w:val="001F7D4F"/>
    <w:rsid w:val="0020003C"/>
    <w:rsid w:val="00202EB9"/>
    <w:rsid w:val="0020383C"/>
    <w:rsid w:val="00204694"/>
    <w:rsid w:val="00205091"/>
    <w:rsid w:val="00205B98"/>
    <w:rsid w:val="0020712D"/>
    <w:rsid w:val="00207906"/>
    <w:rsid w:val="00210A59"/>
    <w:rsid w:val="00213147"/>
    <w:rsid w:val="00214468"/>
    <w:rsid w:val="00214A4A"/>
    <w:rsid w:val="00217035"/>
    <w:rsid w:val="00220CE5"/>
    <w:rsid w:val="00221B21"/>
    <w:rsid w:val="00221B6D"/>
    <w:rsid w:val="00222AC9"/>
    <w:rsid w:val="00227BA7"/>
    <w:rsid w:val="00227D2E"/>
    <w:rsid w:val="00230A7F"/>
    <w:rsid w:val="00230D6E"/>
    <w:rsid w:val="00230F0D"/>
    <w:rsid w:val="00231A7F"/>
    <w:rsid w:val="00231EE7"/>
    <w:rsid w:val="00231EFB"/>
    <w:rsid w:val="002338DF"/>
    <w:rsid w:val="00235DC0"/>
    <w:rsid w:val="00241C17"/>
    <w:rsid w:val="00242E93"/>
    <w:rsid w:val="002431E8"/>
    <w:rsid w:val="00243973"/>
    <w:rsid w:val="00243BF8"/>
    <w:rsid w:val="002457CB"/>
    <w:rsid w:val="00245D96"/>
    <w:rsid w:val="00250401"/>
    <w:rsid w:val="00250FAB"/>
    <w:rsid w:val="00251903"/>
    <w:rsid w:val="002524D7"/>
    <w:rsid w:val="00252B94"/>
    <w:rsid w:val="00253BE8"/>
    <w:rsid w:val="00253DB2"/>
    <w:rsid w:val="00254C43"/>
    <w:rsid w:val="00254D05"/>
    <w:rsid w:val="00255A76"/>
    <w:rsid w:val="00255E29"/>
    <w:rsid w:val="00257A0E"/>
    <w:rsid w:val="00257C43"/>
    <w:rsid w:val="002617B1"/>
    <w:rsid w:val="00265452"/>
    <w:rsid w:val="002677AF"/>
    <w:rsid w:val="0027273C"/>
    <w:rsid w:val="0027495F"/>
    <w:rsid w:val="00275F4A"/>
    <w:rsid w:val="0028166B"/>
    <w:rsid w:val="00283803"/>
    <w:rsid w:val="00283D22"/>
    <w:rsid w:val="00283E88"/>
    <w:rsid w:val="00285DBA"/>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B0529"/>
    <w:rsid w:val="002B2E94"/>
    <w:rsid w:val="002B33C0"/>
    <w:rsid w:val="002B503F"/>
    <w:rsid w:val="002B6043"/>
    <w:rsid w:val="002B7A49"/>
    <w:rsid w:val="002C2796"/>
    <w:rsid w:val="002C3307"/>
    <w:rsid w:val="002C4CF9"/>
    <w:rsid w:val="002C5F7D"/>
    <w:rsid w:val="002C763E"/>
    <w:rsid w:val="002D1038"/>
    <w:rsid w:val="002D468B"/>
    <w:rsid w:val="002D5131"/>
    <w:rsid w:val="002D55BA"/>
    <w:rsid w:val="002D5DFB"/>
    <w:rsid w:val="002D619F"/>
    <w:rsid w:val="002D6785"/>
    <w:rsid w:val="002D688F"/>
    <w:rsid w:val="002E1A27"/>
    <w:rsid w:val="002E33DD"/>
    <w:rsid w:val="002E393C"/>
    <w:rsid w:val="002E64BE"/>
    <w:rsid w:val="002E71F1"/>
    <w:rsid w:val="002E7DC6"/>
    <w:rsid w:val="002F1F4A"/>
    <w:rsid w:val="002F20AB"/>
    <w:rsid w:val="002F2176"/>
    <w:rsid w:val="002F2BAB"/>
    <w:rsid w:val="002F330A"/>
    <w:rsid w:val="002F61D7"/>
    <w:rsid w:val="002F7BE7"/>
    <w:rsid w:val="0030058B"/>
    <w:rsid w:val="00300CF9"/>
    <w:rsid w:val="00300E36"/>
    <w:rsid w:val="00300FD9"/>
    <w:rsid w:val="00301D9F"/>
    <w:rsid w:val="00303127"/>
    <w:rsid w:val="00304138"/>
    <w:rsid w:val="0030690A"/>
    <w:rsid w:val="00306DE6"/>
    <w:rsid w:val="003071A1"/>
    <w:rsid w:val="00307530"/>
    <w:rsid w:val="003106C4"/>
    <w:rsid w:val="00311FCA"/>
    <w:rsid w:val="00312032"/>
    <w:rsid w:val="00312D1F"/>
    <w:rsid w:val="00314A7B"/>
    <w:rsid w:val="003158A3"/>
    <w:rsid w:val="00315CCD"/>
    <w:rsid w:val="0031633C"/>
    <w:rsid w:val="003169D9"/>
    <w:rsid w:val="00320A40"/>
    <w:rsid w:val="00322B43"/>
    <w:rsid w:val="0032385F"/>
    <w:rsid w:val="003278B1"/>
    <w:rsid w:val="0033236B"/>
    <w:rsid w:val="00332FAA"/>
    <w:rsid w:val="00333F8D"/>
    <w:rsid w:val="0033413E"/>
    <w:rsid w:val="003357EB"/>
    <w:rsid w:val="003377CA"/>
    <w:rsid w:val="00340212"/>
    <w:rsid w:val="0034319E"/>
    <w:rsid w:val="00344D24"/>
    <w:rsid w:val="00344FDF"/>
    <w:rsid w:val="00345261"/>
    <w:rsid w:val="003479C3"/>
    <w:rsid w:val="00350325"/>
    <w:rsid w:val="0035091C"/>
    <w:rsid w:val="003509ED"/>
    <w:rsid w:val="00351BE4"/>
    <w:rsid w:val="003530CC"/>
    <w:rsid w:val="00356574"/>
    <w:rsid w:val="00357346"/>
    <w:rsid w:val="003575CA"/>
    <w:rsid w:val="00363563"/>
    <w:rsid w:val="00364A1E"/>
    <w:rsid w:val="003708EF"/>
    <w:rsid w:val="00371F65"/>
    <w:rsid w:val="0037385E"/>
    <w:rsid w:val="00374FC2"/>
    <w:rsid w:val="003767EA"/>
    <w:rsid w:val="00377C39"/>
    <w:rsid w:val="003801D6"/>
    <w:rsid w:val="003832EC"/>
    <w:rsid w:val="00383C88"/>
    <w:rsid w:val="003847D9"/>
    <w:rsid w:val="003855C9"/>
    <w:rsid w:val="00386714"/>
    <w:rsid w:val="00386E98"/>
    <w:rsid w:val="003908F6"/>
    <w:rsid w:val="0039105A"/>
    <w:rsid w:val="003913E3"/>
    <w:rsid w:val="003929B3"/>
    <w:rsid w:val="00393460"/>
    <w:rsid w:val="00393A40"/>
    <w:rsid w:val="00393B3E"/>
    <w:rsid w:val="0039564A"/>
    <w:rsid w:val="00396F25"/>
    <w:rsid w:val="00397CA0"/>
    <w:rsid w:val="003A241C"/>
    <w:rsid w:val="003A29EA"/>
    <w:rsid w:val="003A3829"/>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E38"/>
    <w:rsid w:val="003C137A"/>
    <w:rsid w:val="003C2934"/>
    <w:rsid w:val="003C2C88"/>
    <w:rsid w:val="003C2CFD"/>
    <w:rsid w:val="003C2D90"/>
    <w:rsid w:val="003C2E51"/>
    <w:rsid w:val="003C396C"/>
    <w:rsid w:val="003C3E04"/>
    <w:rsid w:val="003C4A4A"/>
    <w:rsid w:val="003C620C"/>
    <w:rsid w:val="003C6992"/>
    <w:rsid w:val="003C710D"/>
    <w:rsid w:val="003C7446"/>
    <w:rsid w:val="003D0448"/>
    <w:rsid w:val="003D0BE1"/>
    <w:rsid w:val="003D0FBA"/>
    <w:rsid w:val="003D1702"/>
    <w:rsid w:val="003D3B31"/>
    <w:rsid w:val="003E18D8"/>
    <w:rsid w:val="003E6D15"/>
    <w:rsid w:val="003F0102"/>
    <w:rsid w:val="003F01EC"/>
    <w:rsid w:val="003F0C87"/>
    <w:rsid w:val="003F10B4"/>
    <w:rsid w:val="003F162E"/>
    <w:rsid w:val="003F298D"/>
    <w:rsid w:val="0040074A"/>
    <w:rsid w:val="004017E5"/>
    <w:rsid w:val="004046B5"/>
    <w:rsid w:val="00404829"/>
    <w:rsid w:val="00406F7C"/>
    <w:rsid w:val="0041105C"/>
    <w:rsid w:val="004134D8"/>
    <w:rsid w:val="0041414C"/>
    <w:rsid w:val="004163D7"/>
    <w:rsid w:val="0041757E"/>
    <w:rsid w:val="00417661"/>
    <w:rsid w:val="00417DA3"/>
    <w:rsid w:val="00421D69"/>
    <w:rsid w:val="00422105"/>
    <w:rsid w:val="0042362D"/>
    <w:rsid w:val="004259A6"/>
    <w:rsid w:val="00425FF8"/>
    <w:rsid w:val="00427D6B"/>
    <w:rsid w:val="00430378"/>
    <w:rsid w:val="00431AEE"/>
    <w:rsid w:val="004338D9"/>
    <w:rsid w:val="00433E65"/>
    <w:rsid w:val="004343C1"/>
    <w:rsid w:val="00434E57"/>
    <w:rsid w:val="00435CE5"/>
    <w:rsid w:val="00435E0C"/>
    <w:rsid w:val="00436117"/>
    <w:rsid w:val="00436ECB"/>
    <w:rsid w:val="00437C75"/>
    <w:rsid w:val="00437F21"/>
    <w:rsid w:val="00441CA9"/>
    <w:rsid w:val="004421F1"/>
    <w:rsid w:val="00443720"/>
    <w:rsid w:val="00444414"/>
    <w:rsid w:val="00444980"/>
    <w:rsid w:val="00444E8C"/>
    <w:rsid w:val="004466BF"/>
    <w:rsid w:val="004518F7"/>
    <w:rsid w:val="0045202E"/>
    <w:rsid w:val="0045279A"/>
    <w:rsid w:val="00452844"/>
    <w:rsid w:val="004543D9"/>
    <w:rsid w:val="00455284"/>
    <w:rsid w:val="00455651"/>
    <w:rsid w:val="00457C56"/>
    <w:rsid w:val="00457D03"/>
    <w:rsid w:val="004604D3"/>
    <w:rsid w:val="00461F7E"/>
    <w:rsid w:val="0046206E"/>
    <w:rsid w:val="00462195"/>
    <w:rsid w:val="00463482"/>
    <w:rsid w:val="00463583"/>
    <w:rsid w:val="00463D16"/>
    <w:rsid w:val="00464A72"/>
    <w:rsid w:val="00465B40"/>
    <w:rsid w:val="00467235"/>
    <w:rsid w:val="0046775F"/>
    <w:rsid w:val="00472CC5"/>
    <w:rsid w:val="00472E2D"/>
    <w:rsid w:val="00473CBD"/>
    <w:rsid w:val="00474092"/>
    <w:rsid w:val="00475C03"/>
    <w:rsid w:val="00476D6C"/>
    <w:rsid w:val="004775F3"/>
    <w:rsid w:val="00480688"/>
    <w:rsid w:val="00480FA5"/>
    <w:rsid w:val="0048142E"/>
    <w:rsid w:val="004820C7"/>
    <w:rsid w:val="004824D1"/>
    <w:rsid w:val="00483D25"/>
    <w:rsid w:val="00485811"/>
    <w:rsid w:val="004858D6"/>
    <w:rsid w:val="00486576"/>
    <w:rsid w:val="0049109E"/>
    <w:rsid w:val="004916BD"/>
    <w:rsid w:val="0049174B"/>
    <w:rsid w:val="004930CF"/>
    <w:rsid w:val="00493F5A"/>
    <w:rsid w:val="00494780"/>
    <w:rsid w:val="004975AA"/>
    <w:rsid w:val="004A05CD"/>
    <w:rsid w:val="004A0F23"/>
    <w:rsid w:val="004A0FE6"/>
    <w:rsid w:val="004A12F7"/>
    <w:rsid w:val="004A1E39"/>
    <w:rsid w:val="004A2227"/>
    <w:rsid w:val="004A2DDC"/>
    <w:rsid w:val="004A38E3"/>
    <w:rsid w:val="004A3ADA"/>
    <w:rsid w:val="004A43C7"/>
    <w:rsid w:val="004A6C7E"/>
    <w:rsid w:val="004A6E0A"/>
    <w:rsid w:val="004A7D32"/>
    <w:rsid w:val="004B0539"/>
    <w:rsid w:val="004B270A"/>
    <w:rsid w:val="004B2CC3"/>
    <w:rsid w:val="004B2DCC"/>
    <w:rsid w:val="004B3407"/>
    <w:rsid w:val="004B3751"/>
    <w:rsid w:val="004B47A3"/>
    <w:rsid w:val="004B5109"/>
    <w:rsid w:val="004B53D6"/>
    <w:rsid w:val="004B5E6C"/>
    <w:rsid w:val="004B638F"/>
    <w:rsid w:val="004C06C3"/>
    <w:rsid w:val="004C0806"/>
    <w:rsid w:val="004C249A"/>
    <w:rsid w:val="004C4256"/>
    <w:rsid w:val="004C5BDE"/>
    <w:rsid w:val="004C5D2C"/>
    <w:rsid w:val="004C6746"/>
    <w:rsid w:val="004C6E92"/>
    <w:rsid w:val="004C7D84"/>
    <w:rsid w:val="004D1CFD"/>
    <w:rsid w:val="004D4476"/>
    <w:rsid w:val="004D44A1"/>
    <w:rsid w:val="004D4912"/>
    <w:rsid w:val="004D49AC"/>
    <w:rsid w:val="004D564D"/>
    <w:rsid w:val="004D678C"/>
    <w:rsid w:val="004D7EC1"/>
    <w:rsid w:val="004E02D5"/>
    <w:rsid w:val="004E0F61"/>
    <w:rsid w:val="004E2B78"/>
    <w:rsid w:val="004E5FAE"/>
    <w:rsid w:val="004E6287"/>
    <w:rsid w:val="004E6DC4"/>
    <w:rsid w:val="004F1BDB"/>
    <w:rsid w:val="004F31F1"/>
    <w:rsid w:val="004F3CCA"/>
    <w:rsid w:val="004F448C"/>
    <w:rsid w:val="004F5D30"/>
    <w:rsid w:val="004F6583"/>
    <w:rsid w:val="004F6D6A"/>
    <w:rsid w:val="005005AF"/>
    <w:rsid w:val="00502776"/>
    <w:rsid w:val="00503BF5"/>
    <w:rsid w:val="005050E8"/>
    <w:rsid w:val="00505776"/>
    <w:rsid w:val="005069CE"/>
    <w:rsid w:val="0050752F"/>
    <w:rsid w:val="0051036C"/>
    <w:rsid w:val="0051162B"/>
    <w:rsid w:val="00512B8A"/>
    <w:rsid w:val="00513AD7"/>
    <w:rsid w:val="00514EA8"/>
    <w:rsid w:val="00515033"/>
    <w:rsid w:val="00515C3F"/>
    <w:rsid w:val="005174D0"/>
    <w:rsid w:val="00517B20"/>
    <w:rsid w:val="005206FB"/>
    <w:rsid w:val="00520BF9"/>
    <w:rsid w:val="0052222D"/>
    <w:rsid w:val="00522421"/>
    <w:rsid w:val="005227AC"/>
    <w:rsid w:val="00524424"/>
    <w:rsid w:val="00524A0F"/>
    <w:rsid w:val="005254BF"/>
    <w:rsid w:val="005254D4"/>
    <w:rsid w:val="00525EDC"/>
    <w:rsid w:val="005265D9"/>
    <w:rsid w:val="005266C2"/>
    <w:rsid w:val="00527AF8"/>
    <w:rsid w:val="00530623"/>
    <w:rsid w:val="00531544"/>
    <w:rsid w:val="00531C40"/>
    <w:rsid w:val="00532272"/>
    <w:rsid w:val="005322A7"/>
    <w:rsid w:val="00534323"/>
    <w:rsid w:val="00534B95"/>
    <w:rsid w:val="00534EE4"/>
    <w:rsid w:val="005353F5"/>
    <w:rsid w:val="00535F02"/>
    <w:rsid w:val="005363D6"/>
    <w:rsid w:val="0053721C"/>
    <w:rsid w:val="005378BD"/>
    <w:rsid w:val="0053790F"/>
    <w:rsid w:val="00541088"/>
    <w:rsid w:val="00541D99"/>
    <w:rsid w:val="005424E8"/>
    <w:rsid w:val="0054435F"/>
    <w:rsid w:val="0054570A"/>
    <w:rsid w:val="00546CA1"/>
    <w:rsid w:val="00546F0C"/>
    <w:rsid w:val="00547163"/>
    <w:rsid w:val="0054723D"/>
    <w:rsid w:val="00547436"/>
    <w:rsid w:val="00550989"/>
    <w:rsid w:val="00550D96"/>
    <w:rsid w:val="00551CB9"/>
    <w:rsid w:val="005548B0"/>
    <w:rsid w:val="005551E2"/>
    <w:rsid w:val="005565BB"/>
    <w:rsid w:val="00557BCF"/>
    <w:rsid w:val="00562995"/>
    <w:rsid w:val="00563DAB"/>
    <w:rsid w:val="00565175"/>
    <w:rsid w:val="00565450"/>
    <w:rsid w:val="00565776"/>
    <w:rsid w:val="005660B9"/>
    <w:rsid w:val="00567F1D"/>
    <w:rsid w:val="00570C27"/>
    <w:rsid w:val="00571181"/>
    <w:rsid w:val="005719BA"/>
    <w:rsid w:val="00571A04"/>
    <w:rsid w:val="00571FE4"/>
    <w:rsid w:val="00574FAA"/>
    <w:rsid w:val="0057530B"/>
    <w:rsid w:val="00577E6C"/>
    <w:rsid w:val="00580039"/>
    <w:rsid w:val="00581321"/>
    <w:rsid w:val="00582361"/>
    <w:rsid w:val="005829F3"/>
    <w:rsid w:val="00584B9D"/>
    <w:rsid w:val="00586A21"/>
    <w:rsid w:val="00587194"/>
    <w:rsid w:val="005872BC"/>
    <w:rsid w:val="00587698"/>
    <w:rsid w:val="00590CB5"/>
    <w:rsid w:val="00591294"/>
    <w:rsid w:val="0059311A"/>
    <w:rsid w:val="00593F33"/>
    <w:rsid w:val="005967FC"/>
    <w:rsid w:val="00597CED"/>
    <w:rsid w:val="005A2467"/>
    <w:rsid w:val="005A2595"/>
    <w:rsid w:val="005A3B1D"/>
    <w:rsid w:val="005A3C01"/>
    <w:rsid w:val="005A4153"/>
    <w:rsid w:val="005A461E"/>
    <w:rsid w:val="005A4F53"/>
    <w:rsid w:val="005A62A6"/>
    <w:rsid w:val="005A66FC"/>
    <w:rsid w:val="005A703D"/>
    <w:rsid w:val="005A7334"/>
    <w:rsid w:val="005A7BED"/>
    <w:rsid w:val="005B025A"/>
    <w:rsid w:val="005B248B"/>
    <w:rsid w:val="005B2BDE"/>
    <w:rsid w:val="005B2F92"/>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1620"/>
    <w:rsid w:val="005D1B2D"/>
    <w:rsid w:val="005D269F"/>
    <w:rsid w:val="005D29AD"/>
    <w:rsid w:val="005D3CD3"/>
    <w:rsid w:val="005D45CE"/>
    <w:rsid w:val="005D5B8A"/>
    <w:rsid w:val="005E0152"/>
    <w:rsid w:val="005E0DC3"/>
    <w:rsid w:val="005E14BE"/>
    <w:rsid w:val="005E25A0"/>
    <w:rsid w:val="005E3018"/>
    <w:rsid w:val="005E45DD"/>
    <w:rsid w:val="005E799C"/>
    <w:rsid w:val="005F1392"/>
    <w:rsid w:val="005F1D7B"/>
    <w:rsid w:val="005F288E"/>
    <w:rsid w:val="005F2B51"/>
    <w:rsid w:val="005F4CEA"/>
    <w:rsid w:val="005F6B42"/>
    <w:rsid w:val="005F70BE"/>
    <w:rsid w:val="005F7975"/>
    <w:rsid w:val="005F7E0A"/>
    <w:rsid w:val="00600602"/>
    <w:rsid w:val="00600676"/>
    <w:rsid w:val="00600AC6"/>
    <w:rsid w:val="006018EB"/>
    <w:rsid w:val="00601CD1"/>
    <w:rsid w:val="006027B0"/>
    <w:rsid w:val="00604455"/>
    <w:rsid w:val="00607FBD"/>
    <w:rsid w:val="00607FC8"/>
    <w:rsid w:val="006112D7"/>
    <w:rsid w:val="00614195"/>
    <w:rsid w:val="00614452"/>
    <w:rsid w:val="006145D8"/>
    <w:rsid w:val="00615133"/>
    <w:rsid w:val="00615E1E"/>
    <w:rsid w:val="00616259"/>
    <w:rsid w:val="00616841"/>
    <w:rsid w:val="00617636"/>
    <w:rsid w:val="00620C95"/>
    <w:rsid w:val="00622526"/>
    <w:rsid w:val="0062319B"/>
    <w:rsid w:val="0062698A"/>
    <w:rsid w:val="00630A34"/>
    <w:rsid w:val="00631D04"/>
    <w:rsid w:val="00634D8C"/>
    <w:rsid w:val="00634E55"/>
    <w:rsid w:val="006352B7"/>
    <w:rsid w:val="00635ED8"/>
    <w:rsid w:val="0063767B"/>
    <w:rsid w:val="00637AB3"/>
    <w:rsid w:val="00640CA5"/>
    <w:rsid w:val="00641308"/>
    <w:rsid w:val="0064234D"/>
    <w:rsid w:val="0064328A"/>
    <w:rsid w:val="00644360"/>
    <w:rsid w:val="00644F63"/>
    <w:rsid w:val="00645798"/>
    <w:rsid w:val="006472F2"/>
    <w:rsid w:val="006477F6"/>
    <w:rsid w:val="00650262"/>
    <w:rsid w:val="006507EA"/>
    <w:rsid w:val="0065133D"/>
    <w:rsid w:val="00651DDA"/>
    <w:rsid w:val="00652D2F"/>
    <w:rsid w:val="006535FE"/>
    <w:rsid w:val="00654759"/>
    <w:rsid w:val="006550DE"/>
    <w:rsid w:val="00655913"/>
    <w:rsid w:val="006562FD"/>
    <w:rsid w:val="006568AE"/>
    <w:rsid w:val="00656C54"/>
    <w:rsid w:val="00661297"/>
    <w:rsid w:val="0066130D"/>
    <w:rsid w:val="006615CB"/>
    <w:rsid w:val="006618F4"/>
    <w:rsid w:val="006627C2"/>
    <w:rsid w:val="00662B8C"/>
    <w:rsid w:val="006641CB"/>
    <w:rsid w:val="006642B1"/>
    <w:rsid w:val="0066436E"/>
    <w:rsid w:val="006663F5"/>
    <w:rsid w:val="006666B4"/>
    <w:rsid w:val="006668E1"/>
    <w:rsid w:val="006678FC"/>
    <w:rsid w:val="00667F0F"/>
    <w:rsid w:val="0067134B"/>
    <w:rsid w:val="006748FC"/>
    <w:rsid w:val="00676868"/>
    <w:rsid w:val="00676C54"/>
    <w:rsid w:val="0067757F"/>
    <w:rsid w:val="00680035"/>
    <w:rsid w:val="00681C24"/>
    <w:rsid w:val="00684673"/>
    <w:rsid w:val="0068471D"/>
    <w:rsid w:val="0068549C"/>
    <w:rsid w:val="0068783B"/>
    <w:rsid w:val="00690E0F"/>
    <w:rsid w:val="00692159"/>
    <w:rsid w:val="00692569"/>
    <w:rsid w:val="00693136"/>
    <w:rsid w:val="006938F5"/>
    <w:rsid w:val="00694281"/>
    <w:rsid w:val="0069471F"/>
    <w:rsid w:val="006950A1"/>
    <w:rsid w:val="00695732"/>
    <w:rsid w:val="00695FDF"/>
    <w:rsid w:val="0069656E"/>
    <w:rsid w:val="006975BD"/>
    <w:rsid w:val="006A04FE"/>
    <w:rsid w:val="006A141C"/>
    <w:rsid w:val="006A2AF7"/>
    <w:rsid w:val="006A309C"/>
    <w:rsid w:val="006A3A7B"/>
    <w:rsid w:val="006A5F1E"/>
    <w:rsid w:val="006A66EB"/>
    <w:rsid w:val="006A6C0A"/>
    <w:rsid w:val="006A6FA0"/>
    <w:rsid w:val="006A7035"/>
    <w:rsid w:val="006A78E4"/>
    <w:rsid w:val="006B0F10"/>
    <w:rsid w:val="006B1C39"/>
    <w:rsid w:val="006B28B3"/>
    <w:rsid w:val="006B5F12"/>
    <w:rsid w:val="006B61AE"/>
    <w:rsid w:val="006B6B2E"/>
    <w:rsid w:val="006B6D9B"/>
    <w:rsid w:val="006B77CB"/>
    <w:rsid w:val="006C0A90"/>
    <w:rsid w:val="006C11A5"/>
    <w:rsid w:val="006C1FB5"/>
    <w:rsid w:val="006C2AFC"/>
    <w:rsid w:val="006C2E4D"/>
    <w:rsid w:val="006D1B00"/>
    <w:rsid w:val="006D3B8F"/>
    <w:rsid w:val="006D5236"/>
    <w:rsid w:val="006D5F62"/>
    <w:rsid w:val="006D6BA1"/>
    <w:rsid w:val="006D7214"/>
    <w:rsid w:val="006E100D"/>
    <w:rsid w:val="006E1334"/>
    <w:rsid w:val="006E1629"/>
    <w:rsid w:val="006E1832"/>
    <w:rsid w:val="006E5690"/>
    <w:rsid w:val="006E6874"/>
    <w:rsid w:val="006E6B60"/>
    <w:rsid w:val="006E6B6C"/>
    <w:rsid w:val="006E6F53"/>
    <w:rsid w:val="006E71AC"/>
    <w:rsid w:val="006E766C"/>
    <w:rsid w:val="006E7776"/>
    <w:rsid w:val="006F01CE"/>
    <w:rsid w:val="006F03E2"/>
    <w:rsid w:val="006F07F5"/>
    <w:rsid w:val="006F1D71"/>
    <w:rsid w:val="006F1FC6"/>
    <w:rsid w:val="006F24DB"/>
    <w:rsid w:val="006F27A3"/>
    <w:rsid w:val="006F2808"/>
    <w:rsid w:val="006F4219"/>
    <w:rsid w:val="006F44E5"/>
    <w:rsid w:val="006F4A4C"/>
    <w:rsid w:val="006F52B4"/>
    <w:rsid w:val="006F562A"/>
    <w:rsid w:val="006F6160"/>
    <w:rsid w:val="006F695B"/>
    <w:rsid w:val="006F7014"/>
    <w:rsid w:val="00701835"/>
    <w:rsid w:val="00701A66"/>
    <w:rsid w:val="00707B4A"/>
    <w:rsid w:val="007117A0"/>
    <w:rsid w:val="00712F75"/>
    <w:rsid w:val="00716B70"/>
    <w:rsid w:val="007201D5"/>
    <w:rsid w:val="0072020C"/>
    <w:rsid w:val="00720478"/>
    <w:rsid w:val="00720D87"/>
    <w:rsid w:val="007211BA"/>
    <w:rsid w:val="0072250C"/>
    <w:rsid w:val="007239AD"/>
    <w:rsid w:val="00723F96"/>
    <w:rsid w:val="00725A38"/>
    <w:rsid w:val="00726989"/>
    <w:rsid w:val="0073192F"/>
    <w:rsid w:val="00731B65"/>
    <w:rsid w:val="00731CB2"/>
    <w:rsid w:val="00732403"/>
    <w:rsid w:val="007328DA"/>
    <w:rsid w:val="0073555B"/>
    <w:rsid w:val="00735CD2"/>
    <w:rsid w:val="007367DC"/>
    <w:rsid w:val="00740778"/>
    <w:rsid w:val="00741970"/>
    <w:rsid w:val="00742137"/>
    <w:rsid w:val="00743286"/>
    <w:rsid w:val="007460BC"/>
    <w:rsid w:val="007469AE"/>
    <w:rsid w:val="007470B5"/>
    <w:rsid w:val="00747531"/>
    <w:rsid w:val="00747ED4"/>
    <w:rsid w:val="00751924"/>
    <w:rsid w:val="00751EE2"/>
    <w:rsid w:val="007535D5"/>
    <w:rsid w:val="00753EFD"/>
    <w:rsid w:val="007552B7"/>
    <w:rsid w:val="00755DA9"/>
    <w:rsid w:val="0075694E"/>
    <w:rsid w:val="00757715"/>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0F06"/>
    <w:rsid w:val="00781457"/>
    <w:rsid w:val="00781B9C"/>
    <w:rsid w:val="007857F3"/>
    <w:rsid w:val="00785B30"/>
    <w:rsid w:val="007860C0"/>
    <w:rsid w:val="00786CF7"/>
    <w:rsid w:val="00790B5F"/>
    <w:rsid w:val="00791A42"/>
    <w:rsid w:val="00791E1D"/>
    <w:rsid w:val="00792E71"/>
    <w:rsid w:val="007937B6"/>
    <w:rsid w:val="00794635"/>
    <w:rsid w:val="007956E2"/>
    <w:rsid w:val="00795905"/>
    <w:rsid w:val="00795FFE"/>
    <w:rsid w:val="0079608D"/>
    <w:rsid w:val="007962BE"/>
    <w:rsid w:val="0079684A"/>
    <w:rsid w:val="007970C1"/>
    <w:rsid w:val="00797324"/>
    <w:rsid w:val="00797434"/>
    <w:rsid w:val="00797588"/>
    <w:rsid w:val="0079762C"/>
    <w:rsid w:val="007A08E9"/>
    <w:rsid w:val="007A1205"/>
    <w:rsid w:val="007A16DB"/>
    <w:rsid w:val="007A1A8D"/>
    <w:rsid w:val="007A21BD"/>
    <w:rsid w:val="007A2210"/>
    <w:rsid w:val="007A3420"/>
    <w:rsid w:val="007A3F55"/>
    <w:rsid w:val="007A421A"/>
    <w:rsid w:val="007A53D4"/>
    <w:rsid w:val="007A56E2"/>
    <w:rsid w:val="007A6355"/>
    <w:rsid w:val="007A6DAB"/>
    <w:rsid w:val="007A6EFF"/>
    <w:rsid w:val="007A7120"/>
    <w:rsid w:val="007A73BB"/>
    <w:rsid w:val="007B07CC"/>
    <w:rsid w:val="007B1C17"/>
    <w:rsid w:val="007B4249"/>
    <w:rsid w:val="007B4AD7"/>
    <w:rsid w:val="007B4FAE"/>
    <w:rsid w:val="007B6ACA"/>
    <w:rsid w:val="007B7624"/>
    <w:rsid w:val="007B7A36"/>
    <w:rsid w:val="007B7CB1"/>
    <w:rsid w:val="007C1154"/>
    <w:rsid w:val="007C1F0B"/>
    <w:rsid w:val="007C212B"/>
    <w:rsid w:val="007C3091"/>
    <w:rsid w:val="007C32C7"/>
    <w:rsid w:val="007C647C"/>
    <w:rsid w:val="007C68C1"/>
    <w:rsid w:val="007C6965"/>
    <w:rsid w:val="007D130E"/>
    <w:rsid w:val="007D1E22"/>
    <w:rsid w:val="007D3639"/>
    <w:rsid w:val="007D4737"/>
    <w:rsid w:val="007D6F7F"/>
    <w:rsid w:val="007E0CB2"/>
    <w:rsid w:val="007E269D"/>
    <w:rsid w:val="007E2FA0"/>
    <w:rsid w:val="007E3CDF"/>
    <w:rsid w:val="007E486B"/>
    <w:rsid w:val="007E4E84"/>
    <w:rsid w:val="007E53B0"/>
    <w:rsid w:val="007E5A5B"/>
    <w:rsid w:val="007E62ED"/>
    <w:rsid w:val="007E73A7"/>
    <w:rsid w:val="007E75FD"/>
    <w:rsid w:val="007E7710"/>
    <w:rsid w:val="007F2158"/>
    <w:rsid w:val="007F3A65"/>
    <w:rsid w:val="007F443B"/>
    <w:rsid w:val="007F6579"/>
    <w:rsid w:val="007F7D49"/>
    <w:rsid w:val="00800654"/>
    <w:rsid w:val="00800C57"/>
    <w:rsid w:val="00801122"/>
    <w:rsid w:val="008025E6"/>
    <w:rsid w:val="0080432D"/>
    <w:rsid w:val="008046AF"/>
    <w:rsid w:val="00804D3F"/>
    <w:rsid w:val="008070A2"/>
    <w:rsid w:val="008114E1"/>
    <w:rsid w:val="00812318"/>
    <w:rsid w:val="0081509A"/>
    <w:rsid w:val="0081536B"/>
    <w:rsid w:val="0081561D"/>
    <w:rsid w:val="00815BC3"/>
    <w:rsid w:val="00816246"/>
    <w:rsid w:val="0081669C"/>
    <w:rsid w:val="00821AC0"/>
    <w:rsid w:val="00821FFD"/>
    <w:rsid w:val="00823227"/>
    <w:rsid w:val="008241DE"/>
    <w:rsid w:val="008243BF"/>
    <w:rsid w:val="00825D8B"/>
    <w:rsid w:val="008260C7"/>
    <w:rsid w:val="00831A22"/>
    <w:rsid w:val="008333C1"/>
    <w:rsid w:val="008344D5"/>
    <w:rsid w:val="00836EE1"/>
    <w:rsid w:val="008404FB"/>
    <w:rsid w:val="00841CCA"/>
    <w:rsid w:val="00842EC9"/>
    <w:rsid w:val="00843062"/>
    <w:rsid w:val="00843342"/>
    <w:rsid w:val="00843668"/>
    <w:rsid w:val="00844928"/>
    <w:rsid w:val="00845D57"/>
    <w:rsid w:val="00846885"/>
    <w:rsid w:val="00846900"/>
    <w:rsid w:val="00846E0C"/>
    <w:rsid w:val="0084769F"/>
    <w:rsid w:val="00847A96"/>
    <w:rsid w:val="00847D64"/>
    <w:rsid w:val="00847F3F"/>
    <w:rsid w:val="00850FE8"/>
    <w:rsid w:val="0085152A"/>
    <w:rsid w:val="00851A70"/>
    <w:rsid w:val="008520B9"/>
    <w:rsid w:val="0085260A"/>
    <w:rsid w:val="00852D40"/>
    <w:rsid w:val="00853C31"/>
    <w:rsid w:val="00854008"/>
    <w:rsid w:val="00856A64"/>
    <w:rsid w:val="00857554"/>
    <w:rsid w:val="008577D9"/>
    <w:rsid w:val="00860841"/>
    <w:rsid w:val="00860B21"/>
    <w:rsid w:val="00860DAD"/>
    <w:rsid w:val="00860E07"/>
    <w:rsid w:val="008630A2"/>
    <w:rsid w:val="0086477E"/>
    <w:rsid w:val="0086565A"/>
    <w:rsid w:val="0086594C"/>
    <w:rsid w:val="0086606D"/>
    <w:rsid w:val="00866292"/>
    <w:rsid w:val="00866D83"/>
    <w:rsid w:val="00870B91"/>
    <w:rsid w:val="00872680"/>
    <w:rsid w:val="00875D4E"/>
    <w:rsid w:val="00877A45"/>
    <w:rsid w:val="008826F6"/>
    <w:rsid w:val="00882F38"/>
    <w:rsid w:val="008847CB"/>
    <w:rsid w:val="00884E76"/>
    <w:rsid w:val="0088572D"/>
    <w:rsid w:val="00885C5B"/>
    <w:rsid w:val="0088683E"/>
    <w:rsid w:val="00890320"/>
    <w:rsid w:val="008915EA"/>
    <w:rsid w:val="008924A4"/>
    <w:rsid w:val="00893FCA"/>
    <w:rsid w:val="008948DA"/>
    <w:rsid w:val="00896588"/>
    <w:rsid w:val="00896FA9"/>
    <w:rsid w:val="00897130"/>
    <w:rsid w:val="008A2077"/>
    <w:rsid w:val="008A2B57"/>
    <w:rsid w:val="008A49D7"/>
    <w:rsid w:val="008A4A7A"/>
    <w:rsid w:val="008B0BC9"/>
    <w:rsid w:val="008B0D88"/>
    <w:rsid w:val="008B2D04"/>
    <w:rsid w:val="008B3853"/>
    <w:rsid w:val="008B3C3E"/>
    <w:rsid w:val="008B615C"/>
    <w:rsid w:val="008B7331"/>
    <w:rsid w:val="008C043B"/>
    <w:rsid w:val="008C0916"/>
    <w:rsid w:val="008C0F06"/>
    <w:rsid w:val="008C3D59"/>
    <w:rsid w:val="008C42CD"/>
    <w:rsid w:val="008C4916"/>
    <w:rsid w:val="008C4B4E"/>
    <w:rsid w:val="008C50CD"/>
    <w:rsid w:val="008C7AF3"/>
    <w:rsid w:val="008D112B"/>
    <w:rsid w:val="008D2F69"/>
    <w:rsid w:val="008D391B"/>
    <w:rsid w:val="008D4EE1"/>
    <w:rsid w:val="008D5CC7"/>
    <w:rsid w:val="008D698B"/>
    <w:rsid w:val="008D767F"/>
    <w:rsid w:val="008D77CB"/>
    <w:rsid w:val="008E00BC"/>
    <w:rsid w:val="008E1D0B"/>
    <w:rsid w:val="008E33BF"/>
    <w:rsid w:val="008E43B9"/>
    <w:rsid w:val="008E4993"/>
    <w:rsid w:val="008E4DA9"/>
    <w:rsid w:val="008E50EF"/>
    <w:rsid w:val="008E641E"/>
    <w:rsid w:val="008E6C62"/>
    <w:rsid w:val="008E6FC1"/>
    <w:rsid w:val="008F04FE"/>
    <w:rsid w:val="008F05E9"/>
    <w:rsid w:val="008F1990"/>
    <w:rsid w:val="008F2A37"/>
    <w:rsid w:val="008F2DE9"/>
    <w:rsid w:val="008F2E47"/>
    <w:rsid w:val="008F3514"/>
    <w:rsid w:val="008F449D"/>
    <w:rsid w:val="008F533C"/>
    <w:rsid w:val="008F5B98"/>
    <w:rsid w:val="008F60D0"/>
    <w:rsid w:val="008F6566"/>
    <w:rsid w:val="008F6FC2"/>
    <w:rsid w:val="008F71EF"/>
    <w:rsid w:val="008F729E"/>
    <w:rsid w:val="008F7FE9"/>
    <w:rsid w:val="00901E1E"/>
    <w:rsid w:val="009026FC"/>
    <w:rsid w:val="00902B91"/>
    <w:rsid w:val="009038F9"/>
    <w:rsid w:val="00904E56"/>
    <w:rsid w:val="00905425"/>
    <w:rsid w:val="00905921"/>
    <w:rsid w:val="00905E36"/>
    <w:rsid w:val="00906C56"/>
    <w:rsid w:val="009076CC"/>
    <w:rsid w:val="009079F3"/>
    <w:rsid w:val="00907B47"/>
    <w:rsid w:val="00907CB8"/>
    <w:rsid w:val="00913716"/>
    <w:rsid w:val="0091375C"/>
    <w:rsid w:val="00913B35"/>
    <w:rsid w:val="0091426B"/>
    <w:rsid w:val="00916708"/>
    <w:rsid w:val="00916BD5"/>
    <w:rsid w:val="0091769E"/>
    <w:rsid w:val="00917999"/>
    <w:rsid w:val="00917BF8"/>
    <w:rsid w:val="0092089F"/>
    <w:rsid w:val="00922E55"/>
    <w:rsid w:val="0092352E"/>
    <w:rsid w:val="00926197"/>
    <w:rsid w:val="009262D5"/>
    <w:rsid w:val="00926E01"/>
    <w:rsid w:val="00927162"/>
    <w:rsid w:val="0092748E"/>
    <w:rsid w:val="00931691"/>
    <w:rsid w:val="0093403F"/>
    <w:rsid w:val="0094060D"/>
    <w:rsid w:val="00940B61"/>
    <w:rsid w:val="00940C53"/>
    <w:rsid w:val="00940FE3"/>
    <w:rsid w:val="009414D2"/>
    <w:rsid w:val="009422DF"/>
    <w:rsid w:val="009429E1"/>
    <w:rsid w:val="00942D80"/>
    <w:rsid w:val="00943BD1"/>
    <w:rsid w:val="0094583E"/>
    <w:rsid w:val="009500A6"/>
    <w:rsid w:val="0095183F"/>
    <w:rsid w:val="009520FD"/>
    <w:rsid w:val="00952290"/>
    <w:rsid w:val="0095291D"/>
    <w:rsid w:val="009551E8"/>
    <w:rsid w:val="00955F33"/>
    <w:rsid w:val="00956A70"/>
    <w:rsid w:val="00956CA2"/>
    <w:rsid w:val="00957870"/>
    <w:rsid w:val="00961436"/>
    <w:rsid w:val="00963416"/>
    <w:rsid w:val="0096734B"/>
    <w:rsid w:val="0096755F"/>
    <w:rsid w:val="00970BE6"/>
    <w:rsid w:val="00971C3A"/>
    <w:rsid w:val="00972E5F"/>
    <w:rsid w:val="00974030"/>
    <w:rsid w:val="00974833"/>
    <w:rsid w:val="00975546"/>
    <w:rsid w:val="009758F3"/>
    <w:rsid w:val="00977C42"/>
    <w:rsid w:val="00980038"/>
    <w:rsid w:val="00980916"/>
    <w:rsid w:val="00980C29"/>
    <w:rsid w:val="00983599"/>
    <w:rsid w:val="009840B2"/>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7604"/>
    <w:rsid w:val="009A7C3E"/>
    <w:rsid w:val="009B2801"/>
    <w:rsid w:val="009B4F92"/>
    <w:rsid w:val="009B5ADC"/>
    <w:rsid w:val="009B6DC4"/>
    <w:rsid w:val="009C00B3"/>
    <w:rsid w:val="009C1824"/>
    <w:rsid w:val="009C2DA9"/>
    <w:rsid w:val="009C2DAD"/>
    <w:rsid w:val="009C553D"/>
    <w:rsid w:val="009C56F5"/>
    <w:rsid w:val="009C635F"/>
    <w:rsid w:val="009C6E1A"/>
    <w:rsid w:val="009D0422"/>
    <w:rsid w:val="009D0D8E"/>
    <w:rsid w:val="009D1F76"/>
    <w:rsid w:val="009D2AA8"/>
    <w:rsid w:val="009D2AAF"/>
    <w:rsid w:val="009D2BC9"/>
    <w:rsid w:val="009D4D2B"/>
    <w:rsid w:val="009E17E9"/>
    <w:rsid w:val="009E3387"/>
    <w:rsid w:val="009E4769"/>
    <w:rsid w:val="009E524E"/>
    <w:rsid w:val="009E579C"/>
    <w:rsid w:val="009E5B4D"/>
    <w:rsid w:val="009E65C8"/>
    <w:rsid w:val="009E7210"/>
    <w:rsid w:val="009E7674"/>
    <w:rsid w:val="009F023C"/>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0480D"/>
    <w:rsid w:val="00A1019D"/>
    <w:rsid w:val="00A1098C"/>
    <w:rsid w:val="00A12315"/>
    <w:rsid w:val="00A13B23"/>
    <w:rsid w:val="00A14E56"/>
    <w:rsid w:val="00A16E76"/>
    <w:rsid w:val="00A21281"/>
    <w:rsid w:val="00A231EF"/>
    <w:rsid w:val="00A23B0E"/>
    <w:rsid w:val="00A23C49"/>
    <w:rsid w:val="00A24DF3"/>
    <w:rsid w:val="00A25327"/>
    <w:rsid w:val="00A25584"/>
    <w:rsid w:val="00A25EF0"/>
    <w:rsid w:val="00A26337"/>
    <w:rsid w:val="00A30C3F"/>
    <w:rsid w:val="00A31490"/>
    <w:rsid w:val="00A36DEC"/>
    <w:rsid w:val="00A37190"/>
    <w:rsid w:val="00A3754E"/>
    <w:rsid w:val="00A37571"/>
    <w:rsid w:val="00A376DA"/>
    <w:rsid w:val="00A40FDE"/>
    <w:rsid w:val="00A42755"/>
    <w:rsid w:val="00A4288C"/>
    <w:rsid w:val="00A4376B"/>
    <w:rsid w:val="00A4395D"/>
    <w:rsid w:val="00A43D42"/>
    <w:rsid w:val="00A45F3A"/>
    <w:rsid w:val="00A46722"/>
    <w:rsid w:val="00A51118"/>
    <w:rsid w:val="00A519A2"/>
    <w:rsid w:val="00A531E0"/>
    <w:rsid w:val="00A53CD6"/>
    <w:rsid w:val="00A554B2"/>
    <w:rsid w:val="00A55ED7"/>
    <w:rsid w:val="00A55F71"/>
    <w:rsid w:val="00A60A74"/>
    <w:rsid w:val="00A63601"/>
    <w:rsid w:val="00A63B87"/>
    <w:rsid w:val="00A643AF"/>
    <w:rsid w:val="00A66348"/>
    <w:rsid w:val="00A67268"/>
    <w:rsid w:val="00A67644"/>
    <w:rsid w:val="00A6794E"/>
    <w:rsid w:val="00A701ED"/>
    <w:rsid w:val="00A71300"/>
    <w:rsid w:val="00A717E8"/>
    <w:rsid w:val="00A726C4"/>
    <w:rsid w:val="00A72FCA"/>
    <w:rsid w:val="00A73DA4"/>
    <w:rsid w:val="00A74577"/>
    <w:rsid w:val="00A747D0"/>
    <w:rsid w:val="00A747DA"/>
    <w:rsid w:val="00A748C7"/>
    <w:rsid w:val="00A74958"/>
    <w:rsid w:val="00A74F01"/>
    <w:rsid w:val="00A755B7"/>
    <w:rsid w:val="00A75B1D"/>
    <w:rsid w:val="00A75DA8"/>
    <w:rsid w:val="00A763B0"/>
    <w:rsid w:val="00A77179"/>
    <w:rsid w:val="00A7752C"/>
    <w:rsid w:val="00A80F0C"/>
    <w:rsid w:val="00A8100F"/>
    <w:rsid w:val="00A8129C"/>
    <w:rsid w:val="00A82587"/>
    <w:rsid w:val="00A82ED3"/>
    <w:rsid w:val="00A84032"/>
    <w:rsid w:val="00A84CAF"/>
    <w:rsid w:val="00A853DA"/>
    <w:rsid w:val="00A867A7"/>
    <w:rsid w:val="00A9048D"/>
    <w:rsid w:val="00A92DD7"/>
    <w:rsid w:val="00A92EB1"/>
    <w:rsid w:val="00A93460"/>
    <w:rsid w:val="00A93B4F"/>
    <w:rsid w:val="00A94126"/>
    <w:rsid w:val="00A94AAE"/>
    <w:rsid w:val="00A94B67"/>
    <w:rsid w:val="00A9535D"/>
    <w:rsid w:val="00AA17BD"/>
    <w:rsid w:val="00AA1902"/>
    <w:rsid w:val="00AA1C1A"/>
    <w:rsid w:val="00AA25B6"/>
    <w:rsid w:val="00AA2AD9"/>
    <w:rsid w:val="00AA4CC9"/>
    <w:rsid w:val="00AA69EB"/>
    <w:rsid w:val="00AB0D7B"/>
    <w:rsid w:val="00AB190E"/>
    <w:rsid w:val="00AB2986"/>
    <w:rsid w:val="00AB2B91"/>
    <w:rsid w:val="00AB3059"/>
    <w:rsid w:val="00AB45FB"/>
    <w:rsid w:val="00AB498B"/>
    <w:rsid w:val="00AB4AAA"/>
    <w:rsid w:val="00AB54C2"/>
    <w:rsid w:val="00AB5D6F"/>
    <w:rsid w:val="00AB6246"/>
    <w:rsid w:val="00AB6C91"/>
    <w:rsid w:val="00AB7BF3"/>
    <w:rsid w:val="00AC01AE"/>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3D47"/>
    <w:rsid w:val="00AE45C6"/>
    <w:rsid w:val="00AE4964"/>
    <w:rsid w:val="00AE4CFE"/>
    <w:rsid w:val="00AE6C6B"/>
    <w:rsid w:val="00AE7D08"/>
    <w:rsid w:val="00AF0BF5"/>
    <w:rsid w:val="00AF0C41"/>
    <w:rsid w:val="00AF2401"/>
    <w:rsid w:val="00AF3435"/>
    <w:rsid w:val="00AF48A5"/>
    <w:rsid w:val="00AF577F"/>
    <w:rsid w:val="00AF6FE8"/>
    <w:rsid w:val="00B0031E"/>
    <w:rsid w:val="00B00453"/>
    <w:rsid w:val="00B00489"/>
    <w:rsid w:val="00B011DC"/>
    <w:rsid w:val="00B023D5"/>
    <w:rsid w:val="00B02529"/>
    <w:rsid w:val="00B033DB"/>
    <w:rsid w:val="00B03BF2"/>
    <w:rsid w:val="00B0409E"/>
    <w:rsid w:val="00B047F5"/>
    <w:rsid w:val="00B05CFA"/>
    <w:rsid w:val="00B06D42"/>
    <w:rsid w:val="00B06E09"/>
    <w:rsid w:val="00B072A5"/>
    <w:rsid w:val="00B07B81"/>
    <w:rsid w:val="00B07CB8"/>
    <w:rsid w:val="00B07FB9"/>
    <w:rsid w:val="00B11EA9"/>
    <w:rsid w:val="00B122EF"/>
    <w:rsid w:val="00B123B3"/>
    <w:rsid w:val="00B134EF"/>
    <w:rsid w:val="00B13D0F"/>
    <w:rsid w:val="00B14227"/>
    <w:rsid w:val="00B14311"/>
    <w:rsid w:val="00B15A63"/>
    <w:rsid w:val="00B16DD3"/>
    <w:rsid w:val="00B17799"/>
    <w:rsid w:val="00B202C3"/>
    <w:rsid w:val="00B2085E"/>
    <w:rsid w:val="00B21BCD"/>
    <w:rsid w:val="00B244E6"/>
    <w:rsid w:val="00B247D4"/>
    <w:rsid w:val="00B24E19"/>
    <w:rsid w:val="00B26BE9"/>
    <w:rsid w:val="00B30644"/>
    <w:rsid w:val="00B30689"/>
    <w:rsid w:val="00B317C5"/>
    <w:rsid w:val="00B32328"/>
    <w:rsid w:val="00B34E93"/>
    <w:rsid w:val="00B357FD"/>
    <w:rsid w:val="00B36A10"/>
    <w:rsid w:val="00B36DCA"/>
    <w:rsid w:val="00B406AE"/>
    <w:rsid w:val="00B40C21"/>
    <w:rsid w:val="00B41036"/>
    <w:rsid w:val="00B4190A"/>
    <w:rsid w:val="00B437AB"/>
    <w:rsid w:val="00B43D9D"/>
    <w:rsid w:val="00B440FD"/>
    <w:rsid w:val="00B44BA8"/>
    <w:rsid w:val="00B4624C"/>
    <w:rsid w:val="00B478FE"/>
    <w:rsid w:val="00B47F00"/>
    <w:rsid w:val="00B509BE"/>
    <w:rsid w:val="00B5195E"/>
    <w:rsid w:val="00B51A9E"/>
    <w:rsid w:val="00B52709"/>
    <w:rsid w:val="00B528C5"/>
    <w:rsid w:val="00B533C4"/>
    <w:rsid w:val="00B54BA9"/>
    <w:rsid w:val="00B552A6"/>
    <w:rsid w:val="00B5576A"/>
    <w:rsid w:val="00B558DB"/>
    <w:rsid w:val="00B55D36"/>
    <w:rsid w:val="00B5697D"/>
    <w:rsid w:val="00B56EC0"/>
    <w:rsid w:val="00B620F5"/>
    <w:rsid w:val="00B62341"/>
    <w:rsid w:val="00B62F4B"/>
    <w:rsid w:val="00B64C11"/>
    <w:rsid w:val="00B64CE8"/>
    <w:rsid w:val="00B64EF9"/>
    <w:rsid w:val="00B6731F"/>
    <w:rsid w:val="00B676CC"/>
    <w:rsid w:val="00B677AB"/>
    <w:rsid w:val="00B67935"/>
    <w:rsid w:val="00B67AF7"/>
    <w:rsid w:val="00B70072"/>
    <w:rsid w:val="00B70687"/>
    <w:rsid w:val="00B72130"/>
    <w:rsid w:val="00B73E96"/>
    <w:rsid w:val="00B74916"/>
    <w:rsid w:val="00B755A0"/>
    <w:rsid w:val="00B7667E"/>
    <w:rsid w:val="00B772B6"/>
    <w:rsid w:val="00B77DFA"/>
    <w:rsid w:val="00B807AB"/>
    <w:rsid w:val="00B80BD9"/>
    <w:rsid w:val="00B80F95"/>
    <w:rsid w:val="00B81415"/>
    <w:rsid w:val="00B81D1E"/>
    <w:rsid w:val="00B82C68"/>
    <w:rsid w:val="00B8424E"/>
    <w:rsid w:val="00B87F44"/>
    <w:rsid w:val="00B902FF"/>
    <w:rsid w:val="00B90B52"/>
    <w:rsid w:val="00B93142"/>
    <w:rsid w:val="00B931CB"/>
    <w:rsid w:val="00B9335F"/>
    <w:rsid w:val="00B942B6"/>
    <w:rsid w:val="00B9636E"/>
    <w:rsid w:val="00B964F2"/>
    <w:rsid w:val="00B978A7"/>
    <w:rsid w:val="00B978D1"/>
    <w:rsid w:val="00BA1780"/>
    <w:rsid w:val="00BA2498"/>
    <w:rsid w:val="00BA2ED5"/>
    <w:rsid w:val="00BA454B"/>
    <w:rsid w:val="00BA5744"/>
    <w:rsid w:val="00BA594C"/>
    <w:rsid w:val="00BA620B"/>
    <w:rsid w:val="00BA66CE"/>
    <w:rsid w:val="00BA67CE"/>
    <w:rsid w:val="00BA72A8"/>
    <w:rsid w:val="00BA7368"/>
    <w:rsid w:val="00BA7D97"/>
    <w:rsid w:val="00BB08B2"/>
    <w:rsid w:val="00BB0B08"/>
    <w:rsid w:val="00BB1D1D"/>
    <w:rsid w:val="00BB1DEC"/>
    <w:rsid w:val="00BB3FA6"/>
    <w:rsid w:val="00BB4D18"/>
    <w:rsid w:val="00BB51DC"/>
    <w:rsid w:val="00BB56D4"/>
    <w:rsid w:val="00BB6532"/>
    <w:rsid w:val="00BB74FF"/>
    <w:rsid w:val="00BC017D"/>
    <w:rsid w:val="00BC1C36"/>
    <w:rsid w:val="00BC1E92"/>
    <w:rsid w:val="00BD491A"/>
    <w:rsid w:val="00BD7D7B"/>
    <w:rsid w:val="00BE0BEF"/>
    <w:rsid w:val="00BE210F"/>
    <w:rsid w:val="00BE2865"/>
    <w:rsid w:val="00BE36BE"/>
    <w:rsid w:val="00BE4A3A"/>
    <w:rsid w:val="00BE78AE"/>
    <w:rsid w:val="00BF0265"/>
    <w:rsid w:val="00BF0BA5"/>
    <w:rsid w:val="00BF1B5B"/>
    <w:rsid w:val="00BF257E"/>
    <w:rsid w:val="00BF2953"/>
    <w:rsid w:val="00BF2AAB"/>
    <w:rsid w:val="00BF2D53"/>
    <w:rsid w:val="00BF3CE6"/>
    <w:rsid w:val="00BF40AF"/>
    <w:rsid w:val="00BF4B32"/>
    <w:rsid w:val="00C032BF"/>
    <w:rsid w:val="00C045A0"/>
    <w:rsid w:val="00C054CD"/>
    <w:rsid w:val="00C07092"/>
    <w:rsid w:val="00C0768E"/>
    <w:rsid w:val="00C1156E"/>
    <w:rsid w:val="00C12602"/>
    <w:rsid w:val="00C1385E"/>
    <w:rsid w:val="00C144F5"/>
    <w:rsid w:val="00C15706"/>
    <w:rsid w:val="00C17199"/>
    <w:rsid w:val="00C20670"/>
    <w:rsid w:val="00C2096E"/>
    <w:rsid w:val="00C21AB2"/>
    <w:rsid w:val="00C22AFB"/>
    <w:rsid w:val="00C23802"/>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5D94"/>
    <w:rsid w:val="00C36670"/>
    <w:rsid w:val="00C406A9"/>
    <w:rsid w:val="00C40CBF"/>
    <w:rsid w:val="00C43FC8"/>
    <w:rsid w:val="00C449C4"/>
    <w:rsid w:val="00C46338"/>
    <w:rsid w:val="00C46708"/>
    <w:rsid w:val="00C50767"/>
    <w:rsid w:val="00C51054"/>
    <w:rsid w:val="00C51AB9"/>
    <w:rsid w:val="00C52889"/>
    <w:rsid w:val="00C52D6B"/>
    <w:rsid w:val="00C52FD5"/>
    <w:rsid w:val="00C530B0"/>
    <w:rsid w:val="00C53548"/>
    <w:rsid w:val="00C53999"/>
    <w:rsid w:val="00C53DAB"/>
    <w:rsid w:val="00C54E6D"/>
    <w:rsid w:val="00C55802"/>
    <w:rsid w:val="00C568DD"/>
    <w:rsid w:val="00C576F9"/>
    <w:rsid w:val="00C60802"/>
    <w:rsid w:val="00C61834"/>
    <w:rsid w:val="00C64F29"/>
    <w:rsid w:val="00C65A0F"/>
    <w:rsid w:val="00C662C1"/>
    <w:rsid w:val="00C67CA2"/>
    <w:rsid w:val="00C70F24"/>
    <w:rsid w:val="00C7546E"/>
    <w:rsid w:val="00C76997"/>
    <w:rsid w:val="00C8203C"/>
    <w:rsid w:val="00C8302F"/>
    <w:rsid w:val="00C85FFF"/>
    <w:rsid w:val="00C862D7"/>
    <w:rsid w:val="00C873CC"/>
    <w:rsid w:val="00C90241"/>
    <w:rsid w:val="00C91BBB"/>
    <w:rsid w:val="00C93B2A"/>
    <w:rsid w:val="00C95350"/>
    <w:rsid w:val="00C959B4"/>
    <w:rsid w:val="00C961BD"/>
    <w:rsid w:val="00C96B2D"/>
    <w:rsid w:val="00C97DFA"/>
    <w:rsid w:val="00CA0962"/>
    <w:rsid w:val="00CA16FD"/>
    <w:rsid w:val="00CA23A1"/>
    <w:rsid w:val="00CA3EAD"/>
    <w:rsid w:val="00CA5580"/>
    <w:rsid w:val="00CA5F8D"/>
    <w:rsid w:val="00CA6647"/>
    <w:rsid w:val="00CA67C7"/>
    <w:rsid w:val="00CA7384"/>
    <w:rsid w:val="00CA7C0B"/>
    <w:rsid w:val="00CB150D"/>
    <w:rsid w:val="00CB1751"/>
    <w:rsid w:val="00CB3A58"/>
    <w:rsid w:val="00CB5041"/>
    <w:rsid w:val="00CB6E2C"/>
    <w:rsid w:val="00CB7701"/>
    <w:rsid w:val="00CC39CD"/>
    <w:rsid w:val="00CC3BCB"/>
    <w:rsid w:val="00CC42E9"/>
    <w:rsid w:val="00CC507B"/>
    <w:rsid w:val="00CC5BAC"/>
    <w:rsid w:val="00CC600D"/>
    <w:rsid w:val="00CC7DFC"/>
    <w:rsid w:val="00CD09F7"/>
    <w:rsid w:val="00CD0DCC"/>
    <w:rsid w:val="00CD1570"/>
    <w:rsid w:val="00CD2CB0"/>
    <w:rsid w:val="00CD354D"/>
    <w:rsid w:val="00CD3E8C"/>
    <w:rsid w:val="00CD43FC"/>
    <w:rsid w:val="00CD461C"/>
    <w:rsid w:val="00CD4C65"/>
    <w:rsid w:val="00CD50D6"/>
    <w:rsid w:val="00CD57FB"/>
    <w:rsid w:val="00CE2B49"/>
    <w:rsid w:val="00CE2F87"/>
    <w:rsid w:val="00CE3C23"/>
    <w:rsid w:val="00CE3DD8"/>
    <w:rsid w:val="00CF03D1"/>
    <w:rsid w:val="00CF0562"/>
    <w:rsid w:val="00CF0884"/>
    <w:rsid w:val="00CF3971"/>
    <w:rsid w:val="00CF3E07"/>
    <w:rsid w:val="00CF4D81"/>
    <w:rsid w:val="00CF5E40"/>
    <w:rsid w:val="00CF667A"/>
    <w:rsid w:val="00D0039D"/>
    <w:rsid w:val="00D04012"/>
    <w:rsid w:val="00D04380"/>
    <w:rsid w:val="00D067E0"/>
    <w:rsid w:val="00D0757E"/>
    <w:rsid w:val="00D108C2"/>
    <w:rsid w:val="00D11813"/>
    <w:rsid w:val="00D1259D"/>
    <w:rsid w:val="00D1298B"/>
    <w:rsid w:val="00D12F43"/>
    <w:rsid w:val="00D13B9F"/>
    <w:rsid w:val="00D171AD"/>
    <w:rsid w:val="00D1751E"/>
    <w:rsid w:val="00D2051D"/>
    <w:rsid w:val="00D2069B"/>
    <w:rsid w:val="00D210AD"/>
    <w:rsid w:val="00D21978"/>
    <w:rsid w:val="00D21EEA"/>
    <w:rsid w:val="00D22184"/>
    <w:rsid w:val="00D22801"/>
    <w:rsid w:val="00D2288E"/>
    <w:rsid w:val="00D22B4D"/>
    <w:rsid w:val="00D23191"/>
    <w:rsid w:val="00D2373A"/>
    <w:rsid w:val="00D254F9"/>
    <w:rsid w:val="00D2683E"/>
    <w:rsid w:val="00D31364"/>
    <w:rsid w:val="00D31D9F"/>
    <w:rsid w:val="00D32E88"/>
    <w:rsid w:val="00D33D3F"/>
    <w:rsid w:val="00D33D52"/>
    <w:rsid w:val="00D35921"/>
    <w:rsid w:val="00D37757"/>
    <w:rsid w:val="00D42F40"/>
    <w:rsid w:val="00D43C0E"/>
    <w:rsid w:val="00D44CED"/>
    <w:rsid w:val="00D460F2"/>
    <w:rsid w:val="00D47861"/>
    <w:rsid w:val="00D50671"/>
    <w:rsid w:val="00D5296C"/>
    <w:rsid w:val="00D52AFE"/>
    <w:rsid w:val="00D545E7"/>
    <w:rsid w:val="00D54BF8"/>
    <w:rsid w:val="00D55245"/>
    <w:rsid w:val="00D55820"/>
    <w:rsid w:val="00D573F9"/>
    <w:rsid w:val="00D6104D"/>
    <w:rsid w:val="00D64217"/>
    <w:rsid w:val="00D64321"/>
    <w:rsid w:val="00D648BB"/>
    <w:rsid w:val="00D64C08"/>
    <w:rsid w:val="00D66124"/>
    <w:rsid w:val="00D66C88"/>
    <w:rsid w:val="00D72BF0"/>
    <w:rsid w:val="00D73163"/>
    <w:rsid w:val="00D7492E"/>
    <w:rsid w:val="00D760F7"/>
    <w:rsid w:val="00D76EA3"/>
    <w:rsid w:val="00D7703E"/>
    <w:rsid w:val="00D80C4E"/>
    <w:rsid w:val="00D82363"/>
    <w:rsid w:val="00D82429"/>
    <w:rsid w:val="00D82505"/>
    <w:rsid w:val="00D8463B"/>
    <w:rsid w:val="00D847C2"/>
    <w:rsid w:val="00D864EE"/>
    <w:rsid w:val="00D87B7C"/>
    <w:rsid w:val="00D90022"/>
    <w:rsid w:val="00D90292"/>
    <w:rsid w:val="00D906C9"/>
    <w:rsid w:val="00D92150"/>
    <w:rsid w:val="00D92BE6"/>
    <w:rsid w:val="00D92E73"/>
    <w:rsid w:val="00D934B0"/>
    <w:rsid w:val="00D94E00"/>
    <w:rsid w:val="00D95583"/>
    <w:rsid w:val="00D96884"/>
    <w:rsid w:val="00D97226"/>
    <w:rsid w:val="00D97B22"/>
    <w:rsid w:val="00D97D1F"/>
    <w:rsid w:val="00D97F73"/>
    <w:rsid w:val="00DA0A7F"/>
    <w:rsid w:val="00DA136D"/>
    <w:rsid w:val="00DA15E0"/>
    <w:rsid w:val="00DA234C"/>
    <w:rsid w:val="00DA2877"/>
    <w:rsid w:val="00DA2E79"/>
    <w:rsid w:val="00DA3A99"/>
    <w:rsid w:val="00DA4D3C"/>
    <w:rsid w:val="00DA5A63"/>
    <w:rsid w:val="00DA60B1"/>
    <w:rsid w:val="00DA73AB"/>
    <w:rsid w:val="00DB0AD7"/>
    <w:rsid w:val="00DB0FF4"/>
    <w:rsid w:val="00DB3157"/>
    <w:rsid w:val="00DB36E5"/>
    <w:rsid w:val="00DB5D8F"/>
    <w:rsid w:val="00DB5D94"/>
    <w:rsid w:val="00DB6C55"/>
    <w:rsid w:val="00DB79F2"/>
    <w:rsid w:val="00DB7F28"/>
    <w:rsid w:val="00DC153D"/>
    <w:rsid w:val="00DC1800"/>
    <w:rsid w:val="00DC22B3"/>
    <w:rsid w:val="00DC3AD6"/>
    <w:rsid w:val="00DC5255"/>
    <w:rsid w:val="00DC5F9B"/>
    <w:rsid w:val="00DC624E"/>
    <w:rsid w:val="00DC761B"/>
    <w:rsid w:val="00DD196C"/>
    <w:rsid w:val="00DD20F9"/>
    <w:rsid w:val="00DD304F"/>
    <w:rsid w:val="00DD31EC"/>
    <w:rsid w:val="00DD3AF5"/>
    <w:rsid w:val="00DD3F4A"/>
    <w:rsid w:val="00DD47B6"/>
    <w:rsid w:val="00DE19F8"/>
    <w:rsid w:val="00DE1F32"/>
    <w:rsid w:val="00DE25BB"/>
    <w:rsid w:val="00DE43BE"/>
    <w:rsid w:val="00DE5F6A"/>
    <w:rsid w:val="00DE7DCD"/>
    <w:rsid w:val="00DF180B"/>
    <w:rsid w:val="00DF1FCC"/>
    <w:rsid w:val="00DF6FAD"/>
    <w:rsid w:val="00E01D7D"/>
    <w:rsid w:val="00E02766"/>
    <w:rsid w:val="00E02D9A"/>
    <w:rsid w:val="00E032CE"/>
    <w:rsid w:val="00E051DC"/>
    <w:rsid w:val="00E05640"/>
    <w:rsid w:val="00E0600F"/>
    <w:rsid w:val="00E1053F"/>
    <w:rsid w:val="00E1204F"/>
    <w:rsid w:val="00E130DB"/>
    <w:rsid w:val="00E14018"/>
    <w:rsid w:val="00E1458E"/>
    <w:rsid w:val="00E1494D"/>
    <w:rsid w:val="00E16357"/>
    <w:rsid w:val="00E17DF3"/>
    <w:rsid w:val="00E21530"/>
    <w:rsid w:val="00E21F2B"/>
    <w:rsid w:val="00E22306"/>
    <w:rsid w:val="00E22A58"/>
    <w:rsid w:val="00E23846"/>
    <w:rsid w:val="00E24161"/>
    <w:rsid w:val="00E24C10"/>
    <w:rsid w:val="00E26A5B"/>
    <w:rsid w:val="00E27F84"/>
    <w:rsid w:val="00E32841"/>
    <w:rsid w:val="00E333BA"/>
    <w:rsid w:val="00E339DE"/>
    <w:rsid w:val="00E34A00"/>
    <w:rsid w:val="00E357E0"/>
    <w:rsid w:val="00E367EB"/>
    <w:rsid w:val="00E36DB7"/>
    <w:rsid w:val="00E37FED"/>
    <w:rsid w:val="00E40D31"/>
    <w:rsid w:val="00E41443"/>
    <w:rsid w:val="00E4314D"/>
    <w:rsid w:val="00E432D9"/>
    <w:rsid w:val="00E4399D"/>
    <w:rsid w:val="00E46BAA"/>
    <w:rsid w:val="00E5080E"/>
    <w:rsid w:val="00E512B3"/>
    <w:rsid w:val="00E53A71"/>
    <w:rsid w:val="00E54491"/>
    <w:rsid w:val="00E55393"/>
    <w:rsid w:val="00E55471"/>
    <w:rsid w:val="00E55F7F"/>
    <w:rsid w:val="00E56AE7"/>
    <w:rsid w:val="00E56BC0"/>
    <w:rsid w:val="00E5717C"/>
    <w:rsid w:val="00E5762C"/>
    <w:rsid w:val="00E57C7E"/>
    <w:rsid w:val="00E61045"/>
    <w:rsid w:val="00E6111C"/>
    <w:rsid w:val="00E616F8"/>
    <w:rsid w:val="00E62EE0"/>
    <w:rsid w:val="00E631F7"/>
    <w:rsid w:val="00E654A0"/>
    <w:rsid w:val="00E66AB4"/>
    <w:rsid w:val="00E66BFB"/>
    <w:rsid w:val="00E67FC4"/>
    <w:rsid w:val="00E70A23"/>
    <w:rsid w:val="00E7157C"/>
    <w:rsid w:val="00E72A3A"/>
    <w:rsid w:val="00E74E63"/>
    <w:rsid w:val="00E75008"/>
    <w:rsid w:val="00E7584C"/>
    <w:rsid w:val="00E76350"/>
    <w:rsid w:val="00E76D99"/>
    <w:rsid w:val="00E77549"/>
    <w:rsid w:val="00E77D52"/>
    <w:rsid w:val="00E815F5"/>
    <w:rsid w:val="00E82C3B"/>
    <w:rsid w:val="00E82CE1"/>
    <w:rsid w:val="00E838E0"/>
    <w:rsid w:val="00E85616"/>
    <w:rsid w:val="00E85CD4"/>
    <w:rsid w:val="00E86D69"/>
    <w:rsid w:val="00E91010"/>
    <w:rsid w:val="00E91403"/>
    <w:rsid w:val="00E91D64"/>
    <w:rsid w:val="00E9207C"/>
    <w:rsid w:val="00E9348C"/>
    <w:rsid w:val="00E942CB"/>
    <w:rsid w:val="00E957A3"/>
    <w:rsid w:val="00E96EBF"/>
    <w:rsid w:val="00E975A9"/>
    <w:rsid w:val="00E97DCA"/>
    <w:rsid w:val="00EA1B5E"/>
    <w:rsid w:val="00EA1FB8"/>
    <w:rsid w:val="00EA3469"/>
    <w:rsid w:val="00EA4EC2"/>
    <w:rsid w:val="00EA4F49"/>
    <w:rsid w:val="00EA4FBC"/>
    <w:rsid w:val="00EA5A4B"/>
    <w:rsid w:val="00EA64B7"/>
    <w:rsid w:val="00EA7C10"/>
    <w:rsid w:val="00EB007E"/>
    <w:rsid w:val="00EB078F"/>
    <w:rsid w:val="00EB0C2A"/>
    <w:rsid w:val="00EB0C80"/>
    <w:rsid w:val="00EB44BF"/>
    <w:rsid w:val="00EB4D38"/>
    <w:rsid w:val="00EB7193"/>
    <w:rsid w:val="00EB7638"/>
    <w:rsid w:val="00EB7B5D"/>
    <w:rsid w:val="00EC0BBF"/>
    <w:rsid w:val="00EC12E0"/>
    <w:rsid w:val="00EC3E6B"/>
    <w:rsid w:val="00EC3EC0"/>
    <w:rsid w:val="00EC5C2E"/>
    <w:rsid w:val="00EC6711"/>
    <w:rsid w:val="00EC7665"/>
    <w:rsid w:val="00ED132D"/>
    <w:rsid w:val="00ED1A3B"/>
    <w:rsid w:val="00ED1C84"/>
    <w:rsid w:val="00ED1D80"/>
    <w:rsid w:val="00ED2012"/>
    <w:rsid w:val="00ED2D80"/>
    <w:rsid w:val="00ED3C9F"/>
    <w:rsid w:val="00ED435E"/>
    <w:rsid w:val="00EE0CB5"/>
    <w:rsid w:val="00EE1730"/>
    <w:rsid w:val="00EE1E28"/>
    <w:rsid w:val="00EE4205"/>
    <w:rsid w:val="00EE51EA"/>
    <w:rsid w:val="00EE562E"/>
    <w:rsid w:val="00EE58DB"/>
    <w:rsid w:val="00EE64B0"/>
    <w:rsid w:val="00EF0A28"/>
    <w:rsid w:val="00EF2151"/>
    <w:rsid w:val="00EF3C0E"/>
    <w:rsid w:val="00EF3FE1"/>
    <w:rsid w:val="00EF5408"/>
    <w:rsid w:val="00EF5765"/>
    <w:rsid w:val="00F01E2F"/>
    <w:rsid w:val="00F02D6F"/>
    <w:rsid w:val="00F02F49"/>
    <w:rsid w:val="00F036BE"/>
    <w:rsid w:val="00F051FB"/>
    <w:rsid w:val="00F05B49"/>
    <w:rsid w:val="00F07625"/>
    <w:rsid w:val="00F07649"/>
    <w:rsid w:val="00F1453B"/>
    <w:rsid w:val="00F14A50"/>
    <w:rsid w:val="00F15030"/>
    <w:rsid w:val="00F17B33"/>
    <w:rsid w:val="00F20799"/>
    <w:rsid w:val="00F21D34"/>
    <w:rsid w:val="00F2520B"/>
    <w:rsid w:val="00F25E55"/>
    <w:rsid w:val="00F26165"/>
    <w:rsid w:val="00F26514"/>
    <w:rsid w:val="00F26B05"/>
    <w:rsid w:val="00F307EC"/>
    <w:rsid w:val="00F30DDD"/>
    <w:rsid w:val="00F32EE7"/>
    <w:rsid w:val="00F34554"/>
    <w:rsid w:val="00F35167"/>
    <w:rsid w:val="00F35CF3"/>
    <w:rsid w:val="00F35D52"/>
    <w:rsid w:val="00F407F0"/>
    <w:rsid w:val="00F40905"/>
    <w:rsid w:val="00F42D77"/>
    <w:rsid w:val="00F44EDE"/>
    <w:rsid w:val="00F45C90"/>
    <w:rsid w:val="00F46B1C"/>
    <w:rsid w:val="00F46B42"/>
    <w:rsid w:val="00F50BAF"/>
    <w:rsid w:val="00F51A57"/>
    <w:rsid w:val="00F53813"/>
    <w:rsid w:val="00F54A62"/>
    <w:rsid w:val="00F54AD5"/>
    <w:rsid w:val="00F54BCF"/>
    <w:rsid w:val="00F54EF6"/>
    <w:rsid w:val="00F56F1B"/>
    <w:rsid w:val="00F57362"/>
    <w:rsid w:val="00F60161"/>
    <w:rsid w:val="00F60957"/>
    <w:rsid w:val="00F60D0B"/>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804BD"/>
    <w:rsid w:val="00F8254A"/>
    <w:rsid w:val="00F839CE"/>
    <w:rsid w:val="00F83E14"/>
    <w:rsid w:val="00F84342"/>
    <w:rsid w:val="00F85E3A"/>
    <w:rsid w:val="00F85F06"/>
    <w:rsid w:val="00F86A7A"/>
    <w:rsid w:val="00F86DCE"/>
    <w:rsid w:val="00F90658"/>
    <w:rsid w:val="00F917CC"/>
    <w:rsid w:val="00F91B1D"/>
    <w:rsid w:val="00F92D90"/>
    <w:rsid w:val="00F92E0E"/>
    <w:rsid w:val="00F94295"/>
    <w:rsid w:val="00F94A1B"/>
    <w:rsid w:val="00F95498"/>
    <w:rsid w:val="00F95AC6"/>
    <w:rsid w:val="00F96CF6"/>
    <w:rsid w:val="00F97CEA"/>
    <w:rsid w:val="00FA0874"/>
    <w:rsid w:val="00FA14A6"/>
    <w:rsid w:val="00FA1597"/>
    <w:rsid w:val="00FA23BA"/>
    <w:rsid w:val="00FA29FF"/>
    <w:rsid w:val="00FA36E1"/>
    <w:rsid w:val="00FA399C"/>
    <w:rsid w:val="00FA73CF"/>
    <w:rsid w:val="00FA74F1"/>
    <w:rsid w:val="00FB27AA"/>
    <w:rsid w:val="00FB4761"/>
    <w:rsid w:val="00FB5476"/>
    <w:rsid w:val="00FB559A"/>
    <w:rsid w:val="00FB6D67"/>
    <w:rsid w:val="00FB7AC6"/>
    <w:rsid w:val="00FC02EA"/>
    <w:rsid w:val="00FC0306"/>
    <w:rsid w:val="00FC071A"/>
    <w:rsid w:val="00FC31D9"/>
    <w:rsid w:val="00FC3E8F"/>
    <w:rsid w:val="00FC457A"/>
    <w:rsid w:val="00FC48F9"/>
    <w:rsid w:val="00FC5218"/>
    <w:rsid w:val="00FC623A"/>
    <w:rsid w:val="00FC632B"/>
    <w:rsid w:val="00FC6421"/>
    <w:rsid w:val="00FD0DFF"/>
    <w:rsid w:val="00FD0FB6"/>
    <w:rsid w:val="00FD197F"/>
    <w:rsid w:val="00FD3622"/>
    <w:rsid w:val="00FD5558"/>
    <w:rsid w:val="00FD58EF"/>
    <w:rsid w:val="00FD6068"/>
    <w:rsid w:val="00FD768F"/>
    <w:rsid w:val="00FD7D6B"/>
    <w:rsid w:val="00FE2934"/>
    <w:rsid w:val="00FE5669"/>
    <w:rsid w:val="00FE6928"/>
    <w:rsid w:val="00FF28A9"/>
    <w:rsid w:val="00FF3B7F"/>
    <w:rsid w:val="00FF4146"/>
    <w:rsid w:val="00FF680A"/>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destacada">
    <w:name w:val="Intense Quote"/>
    <w:basedOn w:val="Normal"/>
    <w:next w:val="Normal"/>
    <w:link w:val="Citadestacada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rsid w:val="006663F5"/>
    <w:rPr>
      <w:rFonts w:cs="Times New Roman"/>
      <w:b/>
      <w:bCs/>
      <w:i/>
      <w:iCs/>
      <w:color w:val="4F81BD"/>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3735">
      <w:bodyDiv w:val="1"/>
      <w:marLeft w:val="0"/>
      <w:marRight w:val="0"/>
      <w:marTop w:val="0"/>
      <w:marBottom w:val="0"/>
      <w:divBdr>
        <w:top w:val="none" w:sz="0" w:space="0" w:color="auto"/>
        <w:left w:val="none" w:sz="0" w:space="0" w:color="auto"/>
        <w:bottom w:val="none" w:sz="0" w:space="0" w:color="auto"/>
        <w:right w:val="none" w:sz="0" w:space="0" w:color="auto"/>
      </w:divBdr>
    </w:div>
    <w:div w:id="1279919559">
      <w:bodyDiv w:val="1"/>
      <w:marLeft w:val="0"/>
      <w:marRight w:val="0"/>
      <w:marTop w:val="0"/>
      <w:marBottom w:val="0"/>
      <w:divBdr>
        <w:top w:val="none" w:sz="0" w:space="0" w:color="auto"/>
        <w:left w:val="none" w:sz="0" w:space="0" w:color="auto"/>
        <w:bottom w:val="none" w:sz="0" w:space="0" w:color="auto"/>
        <w:right w:val="none" w:sz="0" w:space="0" w:color="auto"/>
      </w:divBdr>
    </w:div>
    <w:div w:id="131560040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57142369">
      <w:bodyDiv w:val="1"/>
      <w:marLeft w:val="0"/>
      <w:marRight w:val="0"/>
      <w:marTop w:val="0"/>
      <w:marBottom w:val="0"/>
      <w:divBdr>
        <w:top w:val="none" w:sz="0" w:space="0" w:color="auto"/>
        <w:left w:val="none" w:sz="0" w:space="0" w:color="auto"/>
        <w:bottom w:val="none" w:sz="0" w:space="0" w:color="auto"/>
        <w:right w:val="none" w:sz="0" w:space="0" w:color="auto"/>
      </w:divBdr>
    </w:div>
    <w:div w:id="2061204724">
      <w:bodyDiv w:val="1"/>
      <w:marLeft w:val="0"/>
      <w:marRight w:val="0"/>
      <w:marTop w:val="0"/>
      <w:marBottom w:val="0"/>
      <w:divBdr>
        <w:top w:val="none" w:sz="0" w:space="0" w:color="auto"/>
        <w:left w:val="none" w:sz="0" w:space="0" w:color="auto"/>
        <w:bottom w:val="none" w:sz="0" w:space="0" w:color="auto"/>
        <w:right w:val="none" w:sz="0" w:space="0" w:color="auto"/>
      </w:divBdr>
    </w:div>
    <w:div w:id="2137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8F63C-9A59-424E-935F-3CF87374E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11</Pages>
  <Words>3776</Words>
  <Characters>20773</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Luz Stella CorreaLondoño</cp:lastModifiedBy>
  <cp:revision>17</cp:revision>
  <cp:lastPrinted>2018-09-13T17:02:00Z</cp:lastPrinted>
  <dcterms:created xsi:type="dcterms:W3CDTF">2018-09-11T12:13:00Z</dcterms:created>
  <dcterms:modified xsi:type="dcterms:W3CDTF">2018-11-01T16:21:00Z</dcterms:modified>
</cp:coreProperties>
</file>