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31" w:rsidRDefault="00366A31" w:rsidP="00366A31">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366A31" w:rsidRPr="00BC6225" w:rsidRDefault="00366A31" w:rsidP="00366A31">
      <w:pPr>
        <w:spacing w:line="276" w:lineRule="auto"/>
        <w:jc w:val="both"/>
        <w:rPr>
          <w:rFonts w:ascii="Verdana" w:eastAsia="Calibri" w:hAnsi="Verdana"/>
          <w:szCs w:val="28"/>
        </w:rPr>
      </w:pPr>
    </w:p>
    <w:p w:rsidR="00366A31" w:rsidRPr="00366A31" w:rsidRDefault="00366A31" w:rsidP="00366A31">
      <w:pPr>
        <w:pStyle w:val="Textoindependiente"/>
        <w:spacing w:line="240" w:lineRule="auto"/>
        <w:ind w:left="708"/>
        <w:rPr>
          <w:rFonts w:ascii="Arial" w:hAnsi="Arial" w:cs="Arial"/>
          <w:sz w:val="20"/>
          <w:szCs w:val="22"/>
        </w:rPr>
      </w:pPr>
      <w:r w:rsidRPr="00366A31">
        <w:rPr>
          <w:rFonts w:ascii="Arial" w:hAnsi="Arial" w:cs="Arial"/>
          <w:sz w:val="20"/>
          <w:szCs w:val="22"/>
        </w:rPr>
        <w:tab/>
        <w:t>Asunto</w:t>
      </w:r>
      <w:r w:rsidRPr="00366A31">
        <w:rPr>
          <w:rFonts w:ascii="Arial" w:hAnsi="Arial" w:cs="Arial"/>
          <w:sz w:val="20"/>
          <w:szCs w:val="22"/>
        </w:rPr>
        <w:tab/>
      </w:r>
      <w:r w:rsidRPr="00366A31">
        <w:rPr>
          <w:rFonts w:ascii="Arial" w:hAnsi="Arial" w:cs="Arial"/>
          <w:sz w:val="20"/>
          <w:szCs w:val="22"/>
        </w:rPr>
        <w:tab/>
      </w:r>
      <w:r w:rsidRPr="00366A31">
        <w:rPr>
          <w:rFonts w:ascii="Arial" w:hAnsi="Arial" w:cs="Arial"/>
          <w:sz w:val="20"/>
          <w:szCs w:val="22"/>
        </w:rPr>
        <w:tab/>
        <w:t>: Apelación de auto interlocutorio</w:t>
      </w:r>
      <w:r w:rsidRPr="00366A31">
        <w:rPr>
          <w:rFonts w:ascii="Arial" w:hAnsi="Arial" w:cs="Arial"/>
          <w:sz w:val="20"/>
          <w:szCs w:val="22"/>
        </w:rPr>
        <w:tab/>
      </w:r>
    </w:p>
    <w:p w:rsidR="00366A31" w:rsidRPr="00366A31" w:rsidRDefault="00366A31" w:rsidP="00366A31">
      <w:pPr>
        <w:pStyle w:val="Textoindependiente"/>
        <w:spacing w:line="240" w:lineRule="auto"/>
        <w:ind w:left="708"/>
        <w:rPr>
          <w:rFonts w:ascii="Arial" w:hAnsi="Arial" w:cs="Arial"/>
          <w:sz w:val="20"/>
          <w:szCs w:val="22"/>
        </w:rPr>
      </w:pPr>
      <w:r w:rsidRPr="00366A31">
        <w:rPr>
          <w:rFonts w:ascii="Arial" w:hAnsi="Arial" w:cs="Arial"/>
          <w:sz w:val="20"/>
          <w:szCs w:val="22"/>
        </w:rPr>
        <w:tab/>
        <w:t>Tipo de proceso</w:t>
      </w:r>
      <w:r w:rsidRPr="00366A31">
        <w:rPr>
          <w:rFonts w:ascii="Arial" w:hAnsi="Arial" w:cs="Arial"/>
          <w:sz w:val="20"/>
          <w:szCs w:val="22"/>
        </w:rPr>
        <w:tab/>
      </w:r>
      <w:r>
        <w:rPr>
          <w:rFonts w:ascii="Arial" w:hAnsi="Arial" w:cs="Arial"/>
          <w:sz w:val="20"/>
          <w:szCs w:val="22"/>
        </w:rPr>
        <w:tab/>
      </w:r>
      <w:r w:rsidRPr="00366A31">
        <w:rPr>
          <w:rFonts w:ascii="Arial" w:hAnsi="Arial" w:cs="Arial"/>
          <w:sz w:val="20"/>
          <w:szCs w:val="22"/>
        </w:rPr>
        <w:t>: Ordinario – Responsabilidad extracontractual</w:t>
      </w:r>
    </w:p>
    <w:p w:rsidR="00366A31" w:rsidRPr="00366A31" w:rsidRDefault="00366A31" w:rsidP="00366A31">
      <w:pPr>
        <w:pStyle w:val="Textoindependiente"/>
        <w:spacing w:line="240" w:lineRule="auto"/>
        <w:ind w:left="708"/>
        <w:rPr>
          <w:rFonts w:ascii="Arial" w:hAnsi="Arial" w:cs="Arial"/>
          <w:sz w:val="20"/>
          <w:szCs w:val="22"/>
        </w:rPr>
      </w:pPr>
      <w:r w:rsidRPr="00366A31">
        <w:rPr>
          <w:rFonts w:ascii="Arial" w:hAnsi="Arial" w:cs="Arial"/>
          <w:sz w:val="20"/>
          <w:szCs w:val="22"/>
        </w:rPr>
        <w:tab/>
        <w:t xml:space="preserve">Demandante </w:t>
      </w:r>
      <w:r w:rsidRPr="00366A31">
        <w:rPr>
          <w:rFonts w:ascii="Arial" w:hAnsi="Arial" w:cs="Arial"/>
          <w:sz w:val="20"/>
          <w:szCs w:val="22"/>
        </w:rPr>
        <w:tab/>
      </w:r>
      <w:r w:rsidRPr="00366A31">
        <w:rPr>
          <w:rFonts w:ascii="Arial" w:hAnsi="Arial" w:cs="Arial"/>
          <w:sz w:val="20"/>
          <w:szCs w:val="22"/>
        </w:rPr>
        <w:tab/>
        <w:t>: Luz Marina Rengifo de Giraldo</w:t>
      </w:r>
    </w:p>
    <w:p w:rsidR="00366A31" w:rsidRPr="00366A31" w:rsidRDefault="00366A31" w:rsidP="00366A31">
      <w:pPr>
        <w:ind w:left="708" w:firstLine="708"/>
        <w:rPr>
          <w:rFonts w:ascii="Arial" w:hAnsi="Arial" w:cs="Arial"/>
          <w:szCs w:val="22"/>
        </w:rPr>
      </w:pPr>
      <w:r w:rsidRPr="00366A31">
        <w:rPr>
          <w:rFonts w:ascii="Arial" w:hAnsi="Arial" w:cs="Arial"/>
          <w:szCs w:val="22"/>
        </w:rPr>
        <w:t>Demandado</w:t>
      </w:r>
      <w:r w:rsidRPr="00366A31">
        <w:rPr>
          <w:rFonts w:ascii="Arial" w:hAnsi="Arial" w:cs="Arial"/>
          <w:szCs w:val="22"/>
        </w:rPr>
        <w:tab/>
      </w:r>
      <w:r w:rsidRPr="00366A31">
        <w:rPr>
          <w:rFonts w:ascii="Arial" w:hAnsi="Arial" w:cs="Arial"/>
          <w:szCs w:val="22"/>
        </w:rPr>
        <w:tab/>
        <w:t>: Sodimac Colombia SA</w:t>
      </w:r>
    </w:p>
    <w:p w:rsidR="00366A31" w:rsidRPr="00366A31" w:rsidRDefault="00366A31" w:rsidP="00366A31">
      <w:pPr>
        <w:ind w:left="708" w:firstLine="708"/>
        <w:rPr>
          <w:rFonts w:ascii="Arial" w:hAnsi="Arial" w:cs="Arial"/>
          <w:szCs w:val="22"/>
        </w:rPr>
      </w:pPr>
      <w:r w:rsidRPr="00366A31">
        <w:rPr>
          <w:rFonts w:ascii="Arial" w:hAnsi="Arial" w:cs="Arial"/>
          <w:szCs w:val="22"/>
        </w:rPr>
        <w:t xml:space="preserve">Procedencia </w:t>
      </w:r>
      <w:r w:rsidRPr="00366A31">
        <w:rPr>
          <w:rFonts w:ascii="Arial" w:hAnsi="Arial" w:cs="Arial"/>
          <w:szCs w:val="22"/>
        </w:rPr>
        <w:tab/>
      </w:r>
      <w:r w:rsidRPr="00366A31">
        <w:rPr>
          <w:rFonts w:ascii="Arial" w:hAnsi="Arial" w:cs="Arial"/>
          <w:szCs w:val="22"/>
        </w:rPr>
        <w:tab/>
        <w:t>: Juzgado Primero Civil del Circuito de Pereira</w:t>
      </w:r>
    </w:p>
    <w:p w:rsidR="00366A31" w:rsidRPr="00366A31" w:rsidRDefault="00366A31" w:rsidP="00366A31">
      <w:pPr>
        <w:ind w:left="708" w:firstLine="708"/>
        <w:rPr>
          <w:rFonts w:ascii="Arial" w:hAnsi="Arial" w:cs="Arial"/>
          <w:szCs w:val="22"/>
        </w:rPr>
      </w:pPr>
      <w:r w:rsidRPr="00366A31">
        <w:rPr>
          <w:rFonts w:ascii="Arial" w:hAnsi="Arial" w:cs="Arial"/>
          <w:szCs w:val="22"/>
        </w:rPr>
        <w:t>Radicación</w:t>
      </w:r>
      <w:r w:rsidRPr="00366A31">
        <w:rPr>
          <w:rFonts w:ascii="Arial" w:hAnsi="Arial" w:cs="Arial"/>
          <w:szCs w:val="22"/>
        </w:rPr>
        <w:tab/>
      </w:r>
      <w:r w:rsidRPr="00366A31">
        <w:rPr>
          <w:rFonts w:ascii="Arial" w:hAnsi="Arial" w:cs="Arial"/>
          <w:szCs w:val="22"/>
        </w:rPr>
        <w:tab/>
        <w:t>: 2014-00224-01</w:t>
      </w:r>
    </w:p>
    <w:p w:rsidR="00366A31" w:rsidRPr="00366A31" w:rsidRDefault="00366A31" w:rsidP="00366A31">
      <w:pPr>
        <w:ind w:left="708" w:firstLine="708"/>
        <w:rPr>
          <w:rFonts w:ascii="Arial" w:hAnsi="Arial" w:cs="Arial"/>
          <w:szCs w:val="22"/>
          <w:lang w:val="es-CO"/>
        </w:rPr>
      </w:pPr>
      <w:r w:rsidRPr="00366A31">
        <w:rPr>
          <w:rFonts w:ascii="Arial" w:hAnsi="Arial" w:cs="Arial"/>
          <w:szCs w:val="22"/>
          <w:lang w:val="es-CO"/>
        </w:rPr>
        <w:t>Mag.</w:t>
      </w:r>
      <w:r w:rsidR="004E7376">
        <w:rPr>
          <w:rFonts w:ascii="Arial" w:hAnsi="Arial" w:cs="Arial"/>
          <w:szCs w:val="22"/>
          <w:lang w:val="es-CO"/>
        </w:rPr>
        <w:t xml:space="preserve"> S</w:t>
      </w:r>
      <w:r w:rsidRPr="00366A31">
        <w:rPr>
          <w:rFonts w:ascii="Arial" w:hAnsi="Arial" w:cs="Arial"/>
          <w:szCs w:val="22"/>
          <w:lang w:val="es-CO"/>
        </w:rPr>
        <w:t>ustanciador</w:t>
      </w:r>
      <w:r w:rsidRPr="00366A31">
        <w:rPr>
          <w:rFonts w:ascii="Arial" w:hAnsi="Arial" w:cs="Arial"/>
          <w:szCs w:val="22"/>
          <w:lang w:val="es-CO"/>
        </w:rPr>
        <w:tab/>
        <w:t xml:space="preserve">: </w:t>
      </w:r>
      <w:r w:rsidRPr="00366A31">
        <w:rPr>
          <w:rFonts w:ascii="Arial" w:hAnsi="Arial" w:cs="Arial"/>
          <w:smallCaps/>
          <w:szCs w:val="22"/>
          <w:lang w:val="es-CO"/>
        </w:rPr>
        <w:t>Duberney Grisales Herrera</w:t>
      </w:r>
    </w:p>
    <w:p w:rsidR="00366A31" w:rsidRPr="00BC6225" w:rsidRDefault="00366A31" w:rsidP="00366A31">
      <w:pPr>
        <w:spacing w:line="276" w:lineRule="auto"/>
        <w:jc w:val="both"/>
        <w:rPr>
          <w:rFonts w:ascii="Verdana" w:eastAsia="Calibri" w:hAnsi="Verdana"/>
          <w:szCs w:val="28"/>
        </w:rPr>
      </w:pPr>
    </w:p>
    <w:p w:rsidR="00366A31" w:rsidRPr="00366A31" w:rsidRDefault="00366A31" w:rsidP="00366A31">
      <w:pPr>
        <w:pStyle w:val="Sinespaciado"/>
        <w:jc w:val="both"/>
        <w:rPr>
          <w:rFonts w:ascii="Arial" w:hAnsi="Arial" w:cs="Arial"/>
          <w:b/>
          <w:sz w:val="20"/>
          <w:szCs w:val="22"/>
        </w:rPr>
      </w:pPr>
      <w:r w:rsidRPr="00366A31">
        <w:rPr>
          <w:rFonts w:ascii="Arial" w:hAnsi="Arial" w:cs="Arial"/>
          <w:b/>
          <w:bCs/>
          <w:iCs/>
          <w:sz w:val="20"/>
          <w:szCs w:val="22"/>
          <w:lang w:eastAsia="fr-FR"/>
        </w:rPr>
        <w:t>TEMAS:</w:t>
      </w:r>
      <w:r w:rsidRPr="00366A31">
        <w:rPr>
          <w:rFonts w:ascii="Arial" w:hAnsi="Arial" w:cs="Arial"/>
          <w:b/>
          <w:bCs/>
          <w:iCs/>
          <w:sz w:val="20"/>
          <w:szCs w:val="22"/>
          <w:lang w:eastAsia="fr-FR"/>
        </w:rPr>
        <w:tab/>
      </w:r>
      <w:r w:rsidR="00273DC9">
        <w:rPr>
          <w:rFonts w:ascii="Arial" w:hAnsi="Arial" w:cs="Arial"/>
          <w:b/>
          <w:bCs/>
          <w:iCs/>
          <w:sz w:val="20"/>
          <w:szCs w:val="22"/>
          <w:lang w:eastAsia="fr-FR"/>
        </w:rPr>
        <w:t xml:space="preserve">NULIDAD PROCESAL / PRINCIPIOS / </w:t>
      </w:r>
      <w:r w:rsidRPr="00366A31">
        <w:rPr>
          <w:rFonts w:ascii="Arial" w:hAnsi="Arial" w:cs="Arial"/>
          <w:b/>
          <w:sz w:val="20"/>
          <w:szCs w:val="22"/>
        </w:rPr>
        <w:t xml:space="preserve">TAXATIVIDAD </w:t>
      </w:r>
      <w:r w:rsidR="00273DC9">
        <w:rPr>
          <w:rFonts w:ascii="Arial" w:hAnsi="Arial" w:cs="Arial"/>
          <w:b/>
          <w:sz w:val="20"/>
          <w:szCs w:val="22"/>
        </w:rPr>
        <w:t xml:space="preserve">/ REQUISITOS / </w:t>
      </w:r>
      <w:r w:rsidRPr="00366A31">
        <w:rPr>
          <w:rFonts w:ascii="Arial" w:hAnsi="Arial" w:cs="Arial"/>
          <w:b/>
          <w:sz w:val="20"/>
          <w:szCs w:val="22"/>
        </w:rPr>
        <w:t>PUBLICIDAD</w:t>
      </w:r>
      <w:r w:rsidR="00C114B8">
        <w:rPr>
          <w:rFonts w:ascii="Arial" w:hAnsi="Arial" w:cs="Arial"/>
          <w:b/>
          <w:sz w:val="20"/>
          <w:szCs w:val="22"/>
        </w:rPr>
        <w:t xml:space="preserve"> / AUTO QUE MODIFICA FECHA DE AUDIENCIA / NOTIFICACIÓN POR ESTADO.</w:t>
      </w:r>
    </w:p>
    <w:p w:rsidR="00366A31" w:rsidRDefault="00366A31" w:rsidP="00366A31">
      <w:pPr>
        <w:jc w:val="both"/>
        <w:rPr>
          <w:rFonts w:ascii="Arial" w:hAnsi="Arial" w:cs="Arial"/>
          <w:szCs w:val="22"/>
        </w:rPr>
      </w:pPr>
    </w:p>
    <w:p w:rsidR="00273DC9" w:rsidRPr="004E7376" w:rsidRDefault="00273DC9" w:rsidP="004E7376">
      <w:pPr>
        <w:jc w:val="both"/>
        <w:rPr>
          <w:rFonts w:ascii="Arial" w:hAnsi="Arial" w:cs="Arial"/>
          <w:szCs w:val="22"/>
        </w:rPr>
      </w:pPr>
      <w:r w:rsidRPr="004E7376">
        <w:rPr>
          <w:rFonts w:ascii="Arial" w:hAnsi="Arial" w:cs="Arial"/>
          <w:szCs w:val="22"/>
        </w:rPr>
        <w:t>El régimen de esta figura está informado por el principio de la taxatividad o especificidad, que puede consultarse en la doctrina, pacífica, de los profesores Canosa T., López B., Azula C., Rojas G. y Sanabria S. Otros principios de igual entidad, que permean la herramienta en comento, son el de preclusión, protección, convalidación y trascendencia, reconocidos por la jurisprudencia de la CSJ.</w:t>
      </w:r>
      <w:r w:rsidRPr="004E7376">
        <w:rPr>
          <w:rFonts w:ascii="Arial" w:hAnsi="Arial" w:cs="Arial"/>
          <w:szCs w:val="22"/>
        </w:rPr>
        <w:t xml:space="preserve"> (…)</w:t>
      </w:r>
    </w:p>
    <w:p w:rsidR="00273DC9" w:rsidRPr="004E7376" w:rsidRDefault="00273DC9" w:rsidP="004E7376">
      <w:pPr>
        <w:jc w:val="both"/>
        <w:rPr>
          <w:rFonts w:ascii="Arial" w:hAnsi="Arial" w:cs="Arial"/>
          <w:szCs w:val="22"/>
        </w:rPr>
      </w:pPr>
    </w:p>
    <w:p w:rsidR="00273DC9" w:rsidRPr="004E7376" w:rsidRDefault="00273DC9" w:rsidP="004E7376">
      <w:pPr>
        <w:jc w:val="both"/>
        <w:rPr>
          <w:rFonts w:ascii="Arial" w:hAnsi="Arial" w:cs="Arial"/>
          <w:szCs w:val="22"/>
        </w:rPr>
      </w:pPr>
      <w:r w:rsidRPr="004E7376">
        <w:rPr>
          <w:rFonts w:ascii="Arial" w:hAnsi="Arial" w:cs="Arial"/>
          <w:szCs w:val="22"/>
        </w:rPr>
        <w:t xml:space="preserve">Deben concurrir como presupuestos para que se configure una nulidad, la legitimación, la falta de saneamiento y la oportunidad para proponerlas (Artículos 134, 135 y 136, ibídem); verificado el cumplimiento de tales requisitos se abre paso el análisis de la respectiva causal. </w:t>
      </w:r>
    </w:p>
    <w:p w:rsidR="00366A31" w:rsidRDefault="00366A31" w:rsidP="00366A31">
      <w:pPr>
        <w:jc w:val="both"/>
        <w:rPr>
          <w:rFonts w:ascii="Arial" w:hAnsi="Arial" w:cs="Arial"/>
          <w:szCs w:val="22"/>
        </w:rPr>
      </w:pPr>
    </w:p>
    <w:p w:rsidR="00273DC9" w:rsidRPr="004E7376" w:rsidRDefault="00273DC9" w:rsidP="004E7376">
      <w:pPr>
        <w:jc w:val="both"/>
        <w:rPr>
          <w:rFonts w:ascii="Arial" w:hAnsi="Arial" w:cs="Arial"/>
          <w:szCs w:val="22"/>
        </w:rPr>
      </w:pPr>
      <w:r w:rsidRPr="004E7376">
        <w:rPr>
          <w:rFonts w:ascii="Arial" w:hAnsi="Arial" w:cs="Arial"/>
          <w:szCs w:val="22"/>
        </w:rPr>
        <w:t>Esta causal</w:t>
      </w:r>
      <w:r w:rsidRPr="004E7376">
        <w:rPr>
          <w:rFonts w:ascii="Arial" w:hAnsi="Arial" w:cs="Arial"/>
          <w:szCs w:val="22"/>
        </w:rPr>
        <w:t xml:space="preserve"> –indebida notificación– </w:t>
      </w:r>
      <w:r w:rsidRPr="004E7376">
        <w:rPr>
          <w:rFonts w:ascii="Arial" w:hAnsi="Arial" w:cs="Arial"/>
          <w:szCs w:val="22"/>
        </w:rPr>
        <w:t>se presenta cuando, no se practica en forma legal la notificación de la providencia que admite la demanda, o libra mandamiento ejecutivo, a “(…) personas determinadas, o el emplazamiento de las demás personas aunque sean indeterminadas, que deban ser citadas como partes (…)”. Y agrega la norma que también puede darse al advertirse que se ha dejado de notificar una decisión distinta del auto admisorio, defecto que se corregirá reali</w:t>
      </w:r>
      <w:r w:rsidR="00C114B8" w:rsidRPr="004E7376">
        <w:rPr>
          <w:rFonts w:ascii="Arial" w:hAnsi="Arial" w:cs="Arial"/>
          <w:szCs w:val="22"/>
        </w:rPr>
        <w:t>zando la notificación omitida. (…)</w:t>
      </w:r>
    </w:p>
    <w:p w:rsidR="00C114B8" w:rsidRPr="004E7376" w:rsidRDefault="00C114B8" w:rsidP="004E7376">
      <w:pPr>
        <w:jc w:val="both"/>
        <w:rPr>
          <w:rFonts w:ascii="Arial" w:hAnsi="Arial" w:cs="Arial"/>
          <w:szCs w:val="22"/>
        </w:rPr>
      </w:pPr>
    </w:p>
    <w:p w:rsidR="00C114B8" w:rsidRPr="004E7376" w:rsidRDefault="00C114B8" w:rsidP="004E7376">
      <w:pPr>
        <w:jc w:val="both"/>
        <w:rPr>
          <w:rFonts w:ascii="Arial" w:hAnsi="Arial" w:cs="Arial"/>
          <w:szCs w:val="22"/>
        </w:rPr>
      </w:pPr>
      <w:r w:rsidRPr="004E7376">
        <w:rPr>
          <w:rFonts w:ascii="Arial" w:hAnsi="Arial" w:cs="Arial"/>
          <w:szCs w:val="22"/>
        </w:rPr>
        <w:t xml:space="preserve">De otro lado, la segunda parte se refiere a la omisión en la notificación que se haga de cualquiera de los diferentes proveídos, posteriores a la del auto admisorio, y para los cuales, por regla general, se cumple acorde con el artículo 295 que señala: “(...) Las notificaciones de autos y sentencias que no deban hacerse de otra manera se cumplirán por medio de anotación en estados que elaborará el Secretario. La inserción en el estado se hará al día siguiente a la fecha de la providencia (…)”. </w:t>
      </w:r>
    </w:p>
    <w:p w:rsidR="00273DC9" w:rsidRDefault="00273DC9" w:rsidP="00366A31">
      <w:pPr>
        <w:jc w:val="both"/>
        <w:rPr>
          <w:rFonts w:ascii="Arial" w:hAnsi="Arial" w:cs="Arial"/>
          <w:szCs w:val="22"/>
        </w:rPr>
      </w:pPr>
    </w:p>
    <w:p w:rsidR="00273DC9" w:rsidRDefault="00273DC9" w:rsidP="00366A31">
      <w:pPr>
        <w:jc w:val="both"/>
        <w:rPr>
          <w:rFonts w:ascii="Arial" w:hAnsi="Arial" w:cs="Arial"/>
          <w:szCs w:val="22"/>
        </w:rPr>
      </w:pPr>
    </w:p>
    <w:p w:rsidR="008B7145" w:rsidRPr="00C419CF" w:rsidRDefault="00CD2257" w:rsidP="008B7145">
      <w:pPr>
        <w:pStyle w:val="Sinespaciado"/>
        <w:spacing w:line="360" w:lineRule="auto"/>
        <w:jc w:val="center"/>
        <w:rPr>
          <w:rFonts w:ascii="Georgia" w:hAnsi="Georgia" w:cs="Arial"/>
          <w:w w:val="140"/>
          <w:sz w:val="14"/>
          <w:szCs w:val="14"/>
        </w:rPr>
      </w:pPr>
      <w:r w:rsidRPr="00C419CF">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C419CF" w:rsidRDefault="008B7145" w:rsidP="008B7145">
      <w:pPr>
        <w:pStyle w:val="Sinespaciado"/>
        <w:spacing w:line="360" w:lineRule="auto"/>
        <w:jc w:val="center"/>
        <w:rPr>
          <w:rFonts w:ascii="Georgia" w:hAnsi="Georgia" w:cs="Arial"/>
          <w:w w:val="140"/>
          <w:sz w:val="14"/>
          <w:szCs w:val="14"/>
        </w:rPr>
      </w:pPr>
    </w:p>
    <w:p w:rsidR="008B7145" w:rsidRPr="00C419CF" w:rsidRDefault="008B7145" w:rsidP="0047502C">
      <w:pPr>
        <w:pStyle w:val="Sinespaciado"/>
        <w:spacing w:line="360" w:lineRule="auto"/>
        <w:jc w:val="center"/>
        <w:rPr>
          <w:rFonts w:ascii="Georgia" w:hAnsi="Georgia" w:cs="Arial"/>
          <w:w w:val="140"/>
          <w:sz w:val="14"/>
          <w:szCs w:val="14"/>
        </w:rPr>
      </w:pPr>
      <w:r w:rsidRPr="00C419CF">
        <w:rPr>
          <w:rFonts w:ascii="Georgia" w:hAnsi="Georgia" w:cs="Arial"/>
          <w:w w:val="140"/>
          <w:sz w:val="14"/>
          <w:szCs w:val="14"/>
        </w:rPr>
        <w:t>REPUBLICA DE COLOMBIA</w:t>
      </w:r>
    </w:p>
    <w:p w:rsidR="008B7145" w:rsidRPr="00C419CF" w:rsidRDefault="008B7145" w:rsidP="0047502C">
      <w:pPr>
        <w:pStyle w:val="Sinespaciado"/>
        <w:tabs>
          <w:tab w:val="center" w:pos="4987"/>
          <w:tab w:val="left" w:pos="8449"/>
        </w:tabs>
        <w:spacing w:line="360" w:lineRule="auto"/>
        <w:jc w:val="center"/>
        <w:rPr>
          <w:rFonts w:ascii="Georgia" w:hAnsi="Georgia" w:cs="Arial"/>
          <w:w w:val="140"/>
        </w:rPr>
      </w:pPr>
      <w:r w:rsidRPr="00C419CF">
        <w:rPr>
          <w:rFonts w:ascii="Georgia" w:hAnsi="Georgia" w:cs="Arial"/>
          <w:w w:val="140"/>
          <w:sz w:val="14"/>
          <w:szCs w:val="14"/>
        </w:rPr>
        <w:t>RAMA JUDICIAL DEL PODER PÚBLICO</w:t>
      </w:r>
    </w:p>
    <w:p w:rsidR="008B7145" w:rsidRPr="00C419CF" w:rsidRDefault="008B7145" w:rsidP="0047502C">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1E18FB" w:rsidRPr="00C419CF" w:rsidRDefault="001E18FB" w:rsidP="0047502C">
      <w:pPr>
        <w:pStyle w:val="Sinespaciado"/>
        <w:spacing w:line="360"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IVIL</w:t>
      </w:r>
      <w:r w:rsidR="009B54C5" w:rsidRPr="00C419CF">
        <w:rPr>
          <w:rFonts w:ascii="Georgia" w:hAnsi="Georgia" w:cs="Arial"/>
          <w:w w:val="140"/>
          <w:sz w:val="16"/>
          <w:szCs w:val="16"/>
        </w:rPr>
        <w:t xml:space="preserve">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AMILIA –</w:t>
      </w:r>
      <w:r w:rsidR="009B54C5" w:rsidRPr="00C419CF">
        <w:rPr>
          <w:rFonts w:ascii="Georgia" w:hAnsi="Georgia" w:cs="Arial"/>
          <w:w w:val="140"/>
          <w:sz w:val="16"/>
          <w:szCs w:val="16"/>
        </w:rPr>
        <w:t xml:space="preserve">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8B7145" w:rsidRPr="00C419CF" w:rsidRDefault="008B7145" w:rsidP="0047502C">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045CE3" w:rsidRPr="00C419CF" w:rsidRDefault="00045CE3" w:rsidP="00045CE3">
      <w:pPr>
        <w:spacing w:line="360" w:lineRule="auto"/>
        <w:jc w:val="center"/>
        <w:rPr>
          <w:rFonts w:ascii="Georgia" w:hAnsi="Georgia" w:cs="Arial"/>
          <w:b/>
          <w:bCs/>
          <w:sz w:val="24"/>
          <w:szCs w:val="22"/>
        </w:rPr>
      </w:pPr>
    </w:p>
    <w:p w:rsidR="00AD10DB" w:rsidRPr="00C419CF" w:rsidRDefault="00AD10DB" w:rsidP="00AD10DB">
      <w:pPr>
        <w:pBdr>
          <w:bottom w:val="double" w:sz="6" w:space="1" w:color="auto"/>
        </w:pBdr>
        <w:spacing w:line="360" w:lineRule="auto"/>
        <w:ind w:firstLine="708"/>
        <w:jc w:val="center"/>
        <w:rPr>
          <w:rFonts w:ascii="Georgia" w:hAnsi="Georgia" w:cs="Arial"/>
          <w:sz w:val="16"/>
          <w:szCs w:val="22"/>
        </w:rPr>
      </w:pPr>
    </w:p>
    <w:p w:rsidR="00AD10DB" w:rsidRPr="00C419CF" w:rsidRDefault="00AD10DB" w:rsidP="00AD10DB">
      <w:pPr>
        <w:spacing w:line="360" w:lineRule="auto"/>
        <w:jc w:val="center"/>
        <w:rPr>
          <w:rFonts w:ascii="Georgia" w:hAnsi="Georgia" w:cs="Arial"/>
          <w:sz w:val="12"/>
          <w:szCs w:val="24"/>
        </w:rPr>
      </w:pPr>
    </w:p>
    <w:p w:rsidR="00AD10DB" w:rsidRPr="00C419CF" w:rsidRDefault="00622F9C" w:rsidP="0047502C">
      <w:pPr>
        <w:spacing w:line="312" w:lineRule="auto"/>
        <w:jc w:val="center"/>
        <w:rPr>
          <w:rFonts w:ascii="Georgia" w:hAnsi="Georgia" w:cs="Arial"/>
          <w:smallCaps/>
          <w:sz w:val="28"/>
          <w:szCs w:val="24"/>
        </w:rPr>
      </w:pPr>
      <w:r>
        <w:rPr>
          <w:rFonts w:ascii="Georgia" w:hAnsi="Georgia" w:cs="Arial"/>
          <w:smallCaps/>
          <w:sz w:val="28"/>
          <w:szCs w:val="24"/>
        </w:rPr>
        <w:t xml:space="preserve">Once </w:t>
      </w:r>
      <w:r w:rsidR="00AD10DB" w:rsidRPr="00C419CF">
        <w:rPr>
          <w:rFonts w:ascii="Georgia" w:hAnsi="Georgia" w:cs="Arial"/>
          <w:smallCaps/>
          <w:sz w:val="28"/>
          <w:szCs w:val="24"/>
        </w:rPr>
        <w:t>(</w:t>
      </w:r>
      <w:r>
        <w:rPr>
          <w:rFonts w:ascii="Georgia" w:hAnsi="Georgia" w:cs="Arial"/>
          <w:smallCaps/>
          <w:sz w:val="28"/>
          <w:szCs w:val="24"/>
        </w:rPr>
        <w:t>11</w:t>
      </w:r>
      <w:r w:rsidR="00AD10DB" w:rsidRPr="00C419CF">
        <w:rPr>
          <w:rFonts w:ascii="Georgia" w:hAnsi="Georgia" w:cs="Arial"/>
          <w:smallCaps/>
          <w:sz w:val="28"/>
          <w:szCs w:val="24"/>
        </w:rPr>
        <w:t>) de</w:t>
      </w:r>
      <w:r w:rsidR="00357375" w:rsidRPr="00C419CF">
        <w:rPr>
          <w:rFonts w:ascii="Georgia" w:hAnsi="Georgia" w:cs="Arial"/>
          <w:smallCaps/>
          <w:sz w:val="28"/>
          <w:szCs w:val="24"/>
        </w:rPr>
        <w:t xml:space="preserve"> </w:t>
      </w:r>
      <w:r w:rsidR="0013059A" w:rsidRPr="00C419CF">
        <w:rPr>
          <w:rFonts w:ascii="Georgia" w:hAnsi="Georgia" w:cs="Arial"/>
          <w:smallCaps/>
          <w:sz w:val="28"/>
          <w:szCs w:val="24"/>
        </w:rPr>
        <w:t>octubre</w:t>
      </w:r>
      <w:r w:rsidR="00BB073A" w:rsidRPr="00C419CF">
        <w:rPr>
          <w:rFonts w:ascii="Georgia" w:hAnsi="Georgia" w:cs="Arial"/>
          <w:smallCaps/>
          <w:sz w:val="28"/>
          <w:szCs w:val="24"/>
        </w:rPr>
        <w:t xml:space="preserve"> </w:t>
      </w:r>
      <w:r w:rsidR="008F2418" w:rsidRPr="00C419CF">
        <w:rPr>
          <w:rFonts w:ascii="Georgia" w:hAnsi="Georgia" w:cs="Arial"/>
          <w:smallCaps/>
          <w:sz w:val="28"/>
          <w:szCs w:val="24"/>
        </w:rPr>
        <w:t>d</w:t>
      </w:r>
      <w:r w:rsidR="00AD10DB" w:rsidRPr="00C419CF">
        <w:rPr>
          <w:rFonts w:ascii="Georgia" w:hAnsi="Georgia" w:cs="Arial"/>
          <w:smallCaps/>
          <w:sz w:val="28"/>
          <w:szCs w:val="24"/>
        </w:rPr>
        <w:t xml:space="preserve">e dos mil </w:t>
      </w:r>
      <w:r w:rsidR="001C370F" w:rsidRPr="00C419CF">
        <w:rPr>
          <w:rFonts w:ascii="Georgia" w:hAnsi="Georgia" w:cs="Arial"/>
          <w:smallCaps/>
          <w:sz w:val="28"/>
          <w:szCs w:val="24"/>
        </w:rPr>
        <w:t>dieci</w:t>
      </w:r>
      <w:r w:rsidR="00161CA6" w:rsidRPr="00C419CF">
        <w:rPr>
          <w:rFonts w:ascii="Georgia" w:hAnsi="Georgia" w:cs="Arial"/>
          <w:smallCaps/>
          <w:sz w:val="28"/>
          <w:szCs w:val="24"/>
        </w:rPr>
        <w:t xml:space="preserve">ocho </w:t>
      </w:r>
      <w:r w:rsidR="00AD10DB" w:rsidRPr="00C419CF">
        <w:rPr>
          <w:rFonts w:ascii="Georgia" w:hAnsi="Georgia" w:cs="Arial"/>
          <w:smallCaps/>
          <w:sz w:val="28"/>
          <w:szCs w:val="24"/>
        </w:rPr>
        <w:t>(201</w:t>
      </w:r>
      <w:r w:rsidR="00161CA6" w:rsidRPr="00C419CF">
        <w:rPr>
          <w:rFonts w:ascii="Georgia" w:hAnsi="Georgia" w:cs="Arial"/>
          <w:smallCaps/>
          <w:sz w:val="28"/>
          <w:szCs w:val="24"/>
        </w:rPr>
        <w:t>8</w:t>
      </w:r>
      <w:r w:rsidR="00AD10DB" w:rsidRPr="00C419CF">
        <w:rPr>
          <w:rFonts w:ascii="Georgia" w:hAnsi="Georgia" w:cs="Arial"/>
          <w:smallCaps/>
          <w:sz w:val="28"/>
          <w:szCs w:val="24"/>
        </w:rPr>
        <w:t>).</w:t>
      </w:r>
    </w:p>
    <w:p w:rsidR="00AD10DB" w:rsidRPr="00C419CF" w:rsidRDefault="00AD10DB" w:rsidP="0047502C">
      <w:pPr>
        <w:spacing w:line="312" w:lineRule="auto"/>
        <w:jc w:val="both"/>
        <w:rPr>
          <w:rFonts w:ascii="Georgia" w:hAnsi="Georgia" w:cs="Arial"/>
          <w:sz w:val="24"/>
          <w:szCs w:val="24"/>
        </w:rPr>
      </w:pPr>
    </w:p>
    <w:p w:rsidR="00AD3DFF" w:rsidRPr="00C419CF" w:rsidRDefault="00AD3DFF" w:rsidP="0047502C">
      <w:pPr>
        <w:pStyle w:val="Sinespaciado"/>
        <w:widowControl/>
        <w:numPr>
          <w:ilvl w:val="0"/>
          <w:numId w:val="8"/>
        </w:numPr>
        <w:autoSpaceDE/>
        <w:autoSpaceDN/>
        <w:adjustRightInd/>
        <w:spacing w:line="312" w:lineRule="auto"/>
        <w:jc w:val="both"/>
        <w:rPr>
          <w:rFonts w:ascii="Georgia" w:hAnsi="Georgia" w:cs="Arial"/>
        </w:rPr>
      </w:pPr>
      <w:r w:rsidRPr="00C419CF">
        <w:rPr>
          <w:rFonts w:ascii="Georgia" w:hAnsi="Georgia" w:cs="Arial"/>
          <w:sz w:val="28"/>
        </w:rPr>
        <w:t>E</w:t>
      </w:r>
      <w:r w:rsidRPr="00C419CF">
        <w:rPr>
          <w:rFonts w:ascii="Georgia" w:hAnsi="Georgia" w:cs="Arial"/>
          <w:sz w:val="22"/>
        </w:rPr>
        <w:t>L ASUNTO POR DECIDIR</w:t>
      </w:r>
    </w:p>
    <w:p w:rsidR="00AD3DFF" w:rsidRPr="00C419CF" w:rsidRDefault="00AD3DFF" w:rsidP="0047502C">
      <w:pPr>
        <w:pStyle w:val="Puesto"/>
        <w:spacing w:line="312" w:lineRule="auto"/>
        <w:jc w:val="left"/>
        <w:rPr>
          <w:rFonts w:ascii="Georgia" w:hAnsi="Georgia" w:cs="Arial"/>
          <w:b w:val="0"/>
          <w:i w:val="0"/>
          <w:spacing w:val="-3"/>
          <w:szCs w:val="24"/>
          <w:lang w:val="es-ES_tradnl"/>
        </w:rPr>
      </w:pPr>
    </w:p>
    <w:p w:rsidR="003B01F0" w:rsidRPr="00C419CF" w:rsidRDefault="003B01F0" w:rsidP="0047502C">
      <w:pPr>
        <w:pStyle w:val="Sinespaciado"/>
        <w:spacing w:line="312" w:lineRule="auto"/>
        <w:jc w:val="both"/>
        <w:rPr>
          <w:rFonts w:ascii="Georgia" w:hAnsi="Georgia" w:cs="Arial"/>
          <w:sz w:val="28"/>
        </w:rPr>
      </w:pPr>
      <w:r w:rsidRPr="00C419CF">
        <w:rPr>
          <w:rFonts w:ascii="Georgia" w:hAnsi="Georgia" w:cs="Arial"/>
        </w:rPr>
        <w:t xml:space="preserve">La alzada que presentó, en el proceso referenciado, el apoderado judicial de la parte </w:t>
      </w:r>
      <w:r w:rsidR="00BB073A" w:rsidRPr="00C419CF">
        <w:rPr>
          <w:rFonts w:ascii="Georgia" w:hAnsi="Georgia" w:cs="Arial"/>
        </w:rPr>
        <w:t>actora</w:t>
      </w:r>
      <w:r w:rsidRPr="00C419CF">
        <w:rPr>
          <w:rFonts w:ascii="Georgia" w:hAnsi="Georgia" w:cs="Arial"/>
        </w:rPr>
        <w:t xml:space="preserve">, contra el auto que </w:t>
      </w:r>
      <w:r w:rsidR="00622F9C">
        <w:rPr>
          <w:rFonts w:ascii="Georgia" w:hAnsi="Georgia" w:cs="Arial"/>
        </w:rPr>
        <w:t xml:space="preserve">denegó </w:t>
      </w:r>
      <w:r w:rsidR="0013059A" w:rsidRPr="00C419CF">
        <w:rPr>
          <w:rFonts w:ascii="Georgia" w:hAnsi="Georgia" w:cs="Arial"/>
        </w:rPr>
        <w:t>la nulidad del proceso</w:t>
      </w:r>
      <w:r w:rsidRPr="00C419CF">
        <w:rPr>
          <w:rFonts w:ascii="Georgia" w:hAnsi="Georgia" w:cs="Arial"/>
        </w:rPr>
        <w:t>, de acuerdo con las apreciaciones jurídicas, que a continuación se expondrán.</w:t>
      </w:r>
    </w:p>
    <w:p w:rsidR="00AD3DFF" w:rsidRPr="00C419CF" w:rsidRDefault="00AD3DFF" w:rsidP="0047502C">
      <w:pPr>
        <w:pStyle w:val="Sinespaciado"/>
        <w:widowControl/>
        <w:autoSpaceDE/>
        <w:autoSpaceDN/>
        <w:adjustRightInd/>
        <w:spacing w:line="312" w:lineRule="auto"/>
        <w:jc w:val="both"/>
        <w:rPr>
          <w:rFonts w:ascii="Georgia" w:hAnsi="Georgia" w:cs="Arial"/>
        </w:rPr>
      </w:pPr>
    </w:p>
    <w:p w:rsidR="003B01F0" w:rsidRPr="00C419CF" w:rsidRDefault="003B01F0" w:rsidP="0047502C">
      <w:pPr>
        <w:pStyle w:val="Sinespaciado"/>
        <w:widowControl/>
        <w:numPr>
          <w:ilvl w:val="0"/>
          <w:numId w:val="8"/>
        </w:numPr>
        <w:autoSpaceDE/>
        <w:autoSpaceDN/>
        <w:adjustRightInd/>
        <w:spacing w:line="312" w:lineRule="auto"/>
        <w:jc w:val="both"/>
        <w:rPr>
          <w:rFonts w:ascii="Georgia" w:hAnsi="Georgia" w:cs="Arial"/>
        </w:rPr>
      </w:pPr>
      <w:r w:rsidRPr="00C419CF">
        <w:rPr>
          <w:rFonts w:ascii="Georgia" w:hAnsi="Georgia" w:cs="Arial"/>
          <w:sz w:val="28"/>
        </w:rPr>
        <w:t>L</w:t>
      </w:r>
      <w:r w:rsidRPr="00C419CF">
        <w:rPr>
          <w:rFonts w:ascii="Georgia" w:hAnsi="Georgia" w:cs="Arial"/>
          <w:sz w:val="22"/>
        </w:rPr>
        <w:t>A PROVIDENCIA RECURRIDA</w:t>
      </w:r>
    </w:p>
    <w:p w:rsidR="003B01F0" w:rsidRPr="00C419CF" w:rsidRDefault="003B01F0" w:rsidP="0047502C">
      <w:pPr>
        <w:pStyle w:val="Sinespaciado"/>
        <w:spacing w:line="312" w:lineRule="auto"/>
        <w:jc w:val="both"/>
        <w:rPr>
          <w:rFonts w:ascii="Georgia" w:hAnsi="Georgia" w:cs="Arial"/>
        </w:rPr>
      </w:pPr>
    </w:p>
    <w:p w:rsidR="003B01F0" w:rsidRPr="00C419CF" w:rsidRDefault="003B01F0" w:rsidP="0047502C">
      <w:pPr>
        <w:spacing w:line="312" w:lineRule="auto"/>
        <w:jc w:val="both"/>
        <w:rPr>
          <w:rFonts w:ascii="Georgia" w:hAnsi="Georgia" w:cs="Arial"/>
          <w:sz w:val="24"/>
          <w:szCs w:val="22"/>
        </w:rPr>
      </w:pPr>
      <w:r w:rsidRPr="00C419CF">
        <w:rPr>
          <w:rFonts w:ascii="Georgia" w:hAnsi="Georgia" w:cs="Arial"/>
          <w:sz w:val="24"/>
          <w:szCs w:val="22"/>
        </w:rPr>
        <w:lastRenderedPageBreak/>
        <w:t xml:space="preserve">Data del </w:t>
      </w:r>
      <w:r w:rsidR="0013059A" w:rsidRPr="00C419CF">
        <w:rPr>
          <w:rFonts w:ascii="Georgia" w:hAnsi="Georgia" w:cs="Arial"/>
          <w:sz w:val="24"/>
          <w:szCs w:val="22"/>
        </w:rPr>
        <w:t>17</w:t>
      </w:r>
      <w:r w:rsidRPr="00C419CF">
        <w:rPr>
          <w:rFonts w:ascii="Georgia" w:hAnsi="Georgia" w:cs="Arial"/>
          <w:sz w:val="24"/>
          <w:szCs w:val="22"/>
        </w:rPr>
        <w:t>-0</w:t>
      </w:r>
      <w:r w:rsidR="0013059A" w:rsidRPr="00C419CF">
        <w:rPr>
          <w:rFonts w:ascii="Georgia" w:hAnsi="Georgia" w:cs="Arial"/>
          <w:sz w:val="24"/>
          <w:szCs w:val="22"/>
        </w:rPr>
        <w:t>7</w:t>
      </w:r>
      <w:r w:rsidRPr="00C419CF">
        <w:rPr>
          <w:rFonts w:ascii="Georgia" w:hAnsi="Georgia" w:cs="Arial"/>
          <w:sz w:val="24"/>
          <w:szCs w:val="22"/>
        </w:rPr>
        <w:t>-2018 y</w:t>
      </w:r>
      <w:r w:rsidR="008E14A9" w:rsidRPr="00C419CF">
        <w:rPr>
          <w:rFonts w:ascii="Georgia" w:hAnsi="Georgia" w:cs="Arial"/>
          <w:sz w:val="24"/>
          <w:szCs w:val="22"/>
        </w:rPr>
        <w:t xml:space="preserve"> negó la </w:t>
      </w:r>
      <w:r w:rsidR="0013059A" w:rsidRPr="00C419CF">
        <w:rPr>
          <w:rFonts w:ascii="Georgia" w:hAnsi="Georgia" w:cs="Arial"/>
          <w:sz w:val="24"/>
          <w:szCs w:val="22"/>
        </w:rPr>
        <w:t>anulación, dirigida contra el auto que adelantó la fecha para realizar la audiencia del artículo 101, CPC</w:t>
      </w:r>
      <w:r w:rsidR="00622F9C">
        <w:rPr>
          <w:rFonts w:ascii="Georgia" w:hAnsi="Georgia" w:cs="Arial"/>
          <w:sz w:val="24"/>
          <w:szCs w:val="22"/>
        </w:rPr>
        <w:t xml:space="preserve"> (</w:t>
      </w:r>
      <w:r w:rsidR="00622F9C" w:rsidRPr="00FA66B0">
        <w:rPr>
          <w:rFonts w:ascii="Georgia" w:hAnsi="Georgia" w:cs="Arial"/>
          <w:sz w:val="22"/>
          <w:szCs w:val="22"/>
        </w:rPr>
        <w:t>Fechados 10-03-2017 y 23-03-2017</w:t>
      </w:r>
      <w:r w:rsidR="00622F9C">
        <w:rPr>
          <w:rFonts w:ascii="Georgia" w:hAnsi="Georgia" w:cs="Arial"/>
          <w:sz w:val="24"/>
          <w:szCs w:val="22"/>
        </w:rPr>
        <w:t>)</w:t>
      </w:r>
      <w:r w:rsidR="0013059A" w:rsidRPr="00C419CF">
        <w:rPr>
          <w:rFonts w:ascii="Georgia" w:hAnsi="Georgia" w:cs="Arial"/>
          <w:sz w:val="24"/>
          <w:szCs w:val="22"/>
        </w:rPr>
        <w:t xml:space="preserve">, </w:t>
      </w:r>
      <w:r w:rsidR="00CC7DA6" w:rsidRPr="00C419CF">
        <w:rPr>
          <w:rFonts w:ascii="Georgia" w:hAnsi="Georgia" w:cs="Arial"/>
          <w:sz w:val="24"/>
          <w:szCs w:val="22"/>
        </w:rPr>
        <w:t xml:space="preserve">porque, contrario al querer del solicitante, ese proveído no </w:t>
      </w:r>
      <w:r w:rsidR="00727B4F" w:rsidRPr="00C419CF">
        <w:rPr>
          <w:rFonts w:ascii="Georgia" w:hAnsi="Georgia" w:cs="Arial"/>
          <w:sz w:val="24"/>
          <w:szCs w:val="22"/>
        </w:rPr>
        <w:t xml:space="preserve">exige una notificación especial, menos </w:t>
      </w:r>
      <w:r w:rsidR="00CC7DA6" w:rsidRPr="00C419CF">
        <w:rPr>
          <w:rFonts w:ascii="Georgia" w:hAnsi="Georgia" w:cs="Arial"/>
          <w:sz w:val="24"/>
          <w:szCs w:val="22"/>
        </w:rPr>
        <w:t>personal</w:t>
      </w:r>
      <w:r w:rsidR="00727B4F" w:rsidRPr="00C419CF">
        <w:rPr>
          <w:rFonts w:ascii="Georgia" w:hAnsi="Georgia" w:cs="Arial"/>
          <w:sz w:val="24"/>
          <w:szCs w:val="22"/>
        </w:rPr>
        <w:t xml:space="preserve"> y </w:t>
      </w:r>
      <w:r w:rsidR="00CC7DA6" w:rsidRPr="00C419CF">
        <w:rPr>
          <w:rFonts w:ascii="Georgia" w:hAnsi="Georgia" w:cs="Arial"/>
          <w:sz w:val="24"/>
          <w:szCs w:val="22"/>
        </w:rPr>
        <w:t>su comunicación a las partes se hizo</w:t>
      </w:r>
      <w:r w:rsidR="00727B4F" w:rsidRPr="00C419CF">
        <w:rPr>
          <w:rFonts w:ascii="Georgia" w:hAnsi="Georgia" w:cs="Arial"/>
          <w:sz w:val="24"/>
          <w:szCs w:val="22"/>
        </w:rPr>
        <w:t>,</w:t>
      </w:r>
      <w:r w:rsidR="00CC7DA6" w:rsidRPr="00C419CF">
        <w:rPr>
          <w:rFonts w:ascii="Georgia" w:hAnsi="Georgia" w:cs="Arial"/>
          <w:sz w:val="24"/>
          <w:szCs w:val="22"/>
        </w:rPr>
        <w:t xml:space="preserve"> correctamente</w:t>
      </w:r>
      <w:r w:rsidR="00727B4F" w:rsidRPr="00C419CF">
        <w:rPr>
          <w:rFonts w:ascii="Georgia" w:hAnsi="Georgia" w:cs="Arial"/>
          <w:sz w:val="24"/>
          <w:szCs w:val="22"/>
        </w:rPr>
        <w:t>,</w:t>
      </w:r>
      <w:r w:rsidR="00CC7DA6" w:rsidRPr="00C419CF">
        <w:rPr>
          <w:rFonts w:ascii="Georgia" w:hAnsi="Georgia" w:cs="Arial"/>
          <w:sz w:val="24"/>
          <w:szCs w:val="22"/>
        </w:rPr>
        <w:t xml:space="preserve"> por estado. </w:t>
      </w:r>
      <w:r w:rsidR="00727B4F" w:rsidRPr="00C419CF">
        <w:rPr>
          <w:rFonts w:ascii="Georgia" w:hAnsi="Georgia" w:cs="Arial"/>
          <w:sz w:val="24"/>
          <w:szCs w:val="22"/>
        </w:rPr>
        <w:t>A</w:t>
      </w:r>
      <w:r w:rsidR="00DB7C30" w:rsidRPr="00C419CF">
        <w:rPr>
          <w:rFonts w:ascii="Georgia" w:hAnsi="Georgia" w:cs="Arial"/>
          <w:sz w:val="24"/>
          <w:szCs w:val="22"/>
        </w:rPr>
        <w:t xml:space="preserve">grega que </w:t>
      </w:r>
      <w:r w:rsidR="00C74D8C" w:rsidRPr="00C419CF">
        <w:rPr>
          <w:rFonts w:ascii="Georgia" w:hAnsi="Georgia" w:cs="Arial"/>
          <w:sz w:val="24"/>
          <w:szCs w:val="22"/>
        </w:rPr>
        <w:t xml:space="preserve">el adelantamiento se </w:t>
      </w:r>
      <w:r w:rsidR="00727B4F" w:rsidRPr="00C419CF">
        <w:rPr>
          <w:rFonts w:ascii="Georgia" w:hAnsi="Georgia" w:cs="Arial"/>
          <w:sz w:val="24"/>
          <w:szCs w:val="22"/>
        </w:rPr>
        <w:t xml:space="preserve">dio </w:t>
      </w:r>
      <w:r w:rsidR="00C74D8C" w:rsidRPr="00C419CF">
        <w:rPr>
          <w:rFonts w:ascii="Georgia" w:hAnsi="Georgia" w:cs="Arial"/>
          <w:sz w:val="24"/>
          <w:szCs w:val="22"/>
        </w:rPr>
        <w:t xml:space="preserve">en pro de </w:t>
      </w:r>
      <w:r w:rsidR="00727B4F" w:rsidRPr="00C419CF">
        <w:rPr>
          <w:rFonts w:ascii="Georgia" w:hAnsi="Georgia" w:cs="Arial"/>
          <w:sz w:val="24"/>
          <w:szCs w:val="22"/>
        </w:rPr>
        <w:t>un</w:t>
      </w:r>
      <w:r w:rsidR="00C74D8C" w:rsidRPr="00C419CF">
        <w:rPr>
          <w:rFonts w:ascii="Georgia" w:hAnsi="Georgia" w:cs="Arial"/>
          <w:sz w:val="24"/>
          <w:szCs w:val="22"/>
        </w:rPr>
        <w:t xml:space="preserve">a resolución pronta de la litis, buscando favorecer a ambos extremos. </w:t>
      </w:r>
      <w:r w:rsidR="00727B4F" w:rsidRPr="00C419CF">
        <w:rPr>
          <w:rFonts w:ascii="Georgia" w:hAnsi="Georgia" w:cs="Arial"/>
          <w:sz w:val="24"/>
          <w:szCs w:val="22"/>
        </w:rPr>
        <w:t xml:space="preserve">Es </w:t>
      </w:r>
      <w:r w:rsidR="00C74D8C" w:rsidRPr="00C419CF">
        <w:rPr>
          <w:rFonts w:ascii="Georgia" w:hAnsi="Georgia" w:cs="Arial"/>
          <w:sz w:val="24"/>
          <w:szCs w:val="22"/>
        </w:rPr>
        <w:t>inaceptable como excusa para desconocer las actuaciones del proceso o exigir una notificación personal</w:t>
      </w:r>
      <w:r w:rsidR="00727B4F" w:rsidRPr="00C419CF">
        <w:rPr>
          <w:rFonts w:ascii="Georgia" w:hAnsi="Georgia" w:cs="Arial"/>
          <w:sz w:val="24"/>
          <w:szCs w:val="22"/>
        </w:rPr>
        <w:t>, el que el litigante resida en un lugar diferente a la sede del despacho de conocimiento</w:t>
      </w:r>
      <w:r w:rsidR="00C74D8C" w:rsidRPr="00C419CF">
        <w:rPr>
          <w:rFonts w:ascii="Georgia" w:hAnsi="Georgia" w:cs="Arial"/>
          <w:sz w:val="24"/>
          <w:szCs w:val="22"/>
        </w:rPr>
        <w:t xml:space="preserve"> </w:t>
      </w:r>
      <w:r w:rsidRPr="00C419CF">
        <w:rPr>
          <w:rFonts w:ascii="Georgia" w:hAnsi="Georgia" w:cs="Arial"/>
          <w:sz w:val="24"/>
          <w:szCs w:val="22"/>
        </w:rPr>
        <w:t>(</w:t>
      </w:r>
      <w:r w:rsidRPr="00C419CF">
        <w:rPr>
          <w:rFonts w:ascii="Georgia" w:hAnsi="Georgia" w:cs="Arial"/>
          <w:sz w:val="22"/>
          <w:szCs w:val="22"/>
        </w:rPr>
        <w:t>Folio</w:t>
      </w:r>
      <w:r w:rsidR="007706A5" w:rsidRPr="00C419CF">
        <w:rPr>
          <w:rFonts w:ascii="Georgia" w:hAnsi="Georgia" w:cs="Arial"/>
          <w:sz w:val="22"/>
          <w:szCs w:val="22"/>
        </w:rPr>
        <w:t xml:space="preserve">s </w:t>
      </w:r>
      <w:r w:rsidR="00C74D8C" w:rsidRPr="00C419CF">
        <w:rPr>
          <w:rFonts w:ascii="Georgia" w:hAnsi="Georgia" w:cs="Arial"/>
          <w:sz w:val="22"/>
          <w:szCs w:val="22"/>
        </w:rPr>
        <w:t>47-49</w:t>
      </w:r>
      <w:r w:rsidRPr="00C419CF">
        <w:rPr>
          <w:rFonts w:ascii="Georgia" w:hAnsi="Georgia" w:cs="Arial"/>
          <w:sz w:val="22"/>
          <w:szCs w:val="22"/>
        </w:rPr>
        <w:t xml:space="preserve">, </w:t>
      </w:r>
      <w:r w:rsidR="00C74D8C" w:rsidRPr="00C419CF">
        <w:rPr>
          <w:rFonts w:ascii="Georgia" w:hAnsi="Georgia" w:cs="Arial"/>
          <w:sz w:val="22"/>
          <w:szCs w:val="22"/>
        </w:rPr>
        <w:t xml:space="preserve">copias </w:t>
      </w:r>
      <w:r w:rsidRPr="00C419CF">
        <w:rPr>
          <w:rFonts w:ascii="Georgia" w:hAnsi="Georgia" w:cs="Arial"/>
          <w:sz w:val="22"/>
          <w:szCs w:val="22"/>
        </w:rPr>
        <w:t>cuaderno</w:t>
      </w:r>
      <w:r w:rsidR="00C74D8C" w:rsidRPr="00C419CF">
        <w:rPr>
          <w:rFonts w:ascii="Georgia" w:hAnsi="Georgia" w:cs="Arial"/>
          <w:sz w:val="22"/>
          <w:szCs w:val="22"/>
        </w:rPr>
        <w:t xml:space="preserve"> de primera instancia</w:t>
      </w:r>
      <w:r w:rsidRPr="00C419CF">
        <w:rPr>
          <w:rFonts w:ascii="Georgia" w:hAnsi="Georgia" w:cs="Arial"/>
          <w:sz w:val="24"/>
          <w:szCs w:val="22"/>
        </w:rPr>
        <w:t xml:space="preserve">). </w:t>
      </w:r>
    </w:p>
    <w:p w:rsidR="003B01F0" w:rsidRPr="00C419CF" w:rsidRDefault="003B01F0" w:rsidP="0047502C">
      <w:pPr>
        <w:pStyle w:val="Sinespaciado"/>
        <w:widowControl/>
        <w:autoSpaceDE/>
        <w:autoSpaceDN/>
        <w:adjustRightInd/>
        <w:spacing w:line="312" w:lineRule="auto"/>
        <w:jc w:val="both"/>
        <w:rPr>
          <w:rFonts w:ascii="Georgia" w:hAnsi="Georgia" w:cs="Arial"/>
        </w:rPr>
      </w:pPr>
    </w:p>
    <w:p w:rsidR="007706A5" w:rsidRPr="00C419CF" w:rsidRDefault="007706A5" w:rsidP="0047502C">
      <w:pPr>
        <w:pStyle w:val="Sinespaciado"/>
        <w:widowControl/>
        <w:numPr>
          <w:ilvl w:val="0"/>
          <w:numId w:val="8"/>
        </w:numPr>
        <w:autoSpaceDE/>
        <w:autoSpaceDN/>
        <w:adjustRightInd/>
        <w:spacing w:line="312" w:lineRule="auto"/>
        <w:jc w:val="both"/>
        <w:rPr>
          <w:rFonts w:ascii="Georgia" w:hAnsi="Georgia" w:cs="Arial"/>
        </w:rPr>
      </w:pPr>
      <w:r w:rsidRPr="00C419CF">
        <w:rPr>
          <w:rFonts w:ascii="Georgia" w:hAnsi="Georgia" w:cs="Arial"/>
          <w:sz w:val="32"/>
        </w:rPr>
        <w:t>L</w:t>
      </w:r>
      <w:r w:rsidRPr="00C419CF">
        <w:rPr>
          <w:rFonts w:ascii="Georgia" w:hAnsi="Georgia" w:cs="Arial"/>
        </w:rPr>
        <w:t>A SÍNTESIS DE LA APELACIÓN</w:t>
      </w:r>
    </w:p>
    <w:p w:rsidR="00C74D8C" w:rsidRPr="00C419CF" w:rsidRDefault="00C74D8C" w:rsidP="0047502C">
      <w:pPr>
        <w:pStyle w:val="Sinespaciado"/>
        <w:spacing w:line="312" w:lineRule="auto"/>
        <w:jc w:val="both"/>
        <w:rPr>
          <w:rFonts w:ascii="Georgia" w:hAnsi="Georgia" w:cs="Arial"/>
        </w:rPr>
      </w:pPr>
    </w:p>
    <w:p w:rsidR="007706A5" w:rsidRPr="00C419CF" w:rsidRDefault="007706A5" w:rsidP="0047502C">
      <w:pPr>
        <w:pStyle w:val="Sinespaciado"/>
        <w:spacing w:line="312" w:lineRule="auto"/>
        <w:jc w:val="both"/>
        <w:rPr>
          <w:rFonts w:ascii="Georgia" w:hAnsi="Georgia" w:cs="Arial"/>
        </w:rPr>
      </w:pPr>
      <w:r w:rsidRPr="00C419CF">
        <w:rPr>
          <w:rFonts w:ascii="Georgia" w:hAnsi="Georgia" w:cs="Arial"/>
        </w:rPr>
        <w:t xml:space="preserve">El recurrente </w:t>
      </w:r>
      <w:r w:rsidR="000E7402" w:rsidRPr="00C419CF">
        <w:rPr>
          <w:rFonts w:ascii="Georgia" w:hAnsi="Georgia" w:cs="Arial"/>
        </w:rPr>
        <w:t xml:space="preserve">insistió en que </w:t>
      </w:r>
      <w:r w:rsidR="00727B4F" w:rsidRPr="00C419CF">
        <w:rPr>
          <w:rFonts w:ascii="Georgia" w:hAnsi="Georgia" w:cs="Arial"/>
        </w:rPr>
        <w:t>adelantar</w:t>
      </w:r>
      <w:r w:rsidR="00A01669">
        <w:rPr>
          <w:rFonts w:ascii="Georgia" w:hAnsi="Georgia" w:cs="Arial"/>
        </w:rPr>
        <w:t xml:space="preserve"> </w:t>
      </w:r>
      <w:r w:rsidR="00727B4F" w:rsidRPr="00C419CF">
        <w:rPr>
          <w:rFonts w:ascii="Georgia" w:hAnsi="Georgia" w:cs="Arial"/>
        </w:rPr>
        <w:t xml:space="preserve">la </w:t>
      </w:r>
      <w:r w:rsidR="00A01669">
        <w:rPr>
          <w:rFonts w:ascii="Georgia" w:hAnsi="Georgia" w:cs="Arial"/>
        </w:rPr>
        <w:t xml:space="preserve">fecha de la </w:t>
      </w:r>
      <w:r w:rsidR="00727B4F" w:rsidRPr="00C419CF">
        <w:rPr>
          <w:rFonts w:ascii="Georgia" w:hAnsi="Georgia" w:cs="Arial"/>
        </w:rPr>
        <w:t xml:space="preserve">diligencia, es una situación ajena al devenir normal del proceso, por lo </w:t>
      </w:r>
      <w:r w:rsidR="000E7402" w:rsidRPr="00C419CF">
        <w:rPr>
          <w:rFonts w:ascii="Georgia" w:hAnsi="Georgia" w:cs="Arial"/>
        </w:rPr>
        <w:t>deb</w:t>
      </w:r>
      <w:r w:rsidR="00727B4F" w:rsidRPr="00C419CF">
        <w:rPr>
          <w:rFonts w:ascii="Georgia" w:hAnsi="Georgia" w:cs="Arial"/>
        </w:rPr>
        <w:t>ió dársele una mayor publicidad, no limitarla a la notificación por estado</w:t>
      </w:r>
      <w:r w:rsidR="003935F0" w:rsidRPr="00C419CF">
        <w:rPr>
          <w:rFonts w:ascii="Georgia" w:hAnsi="Georgia" w:cs="Arial"/>
        </w:rPr>
        <w:t>. Cuestiona que pese al cúmulo de procesos recibidos, del sistema escritural y de los demás despachos de esta ciudad, el juzgado haya podido acomodar la audiencia para una fecha tan próxima e, incluso, programar su continuación, también, en una data tan cercana</w:t>
      </w:r>
      <w:r w:rsidR="00541949" w:rsidRPr="00C419CF">
        <w:rPr>
          <w:rFonts w:ascii="Georgia" w:hAnsi="Georgia" w:cs="Arial"/>
        </w:rPr>
        <w:t xml:space="preserve"> </w:t>
      </w:r>
      <w:r w:rsidR="00541949" w:rsidRPr="00C419CF">
        <w:rPr>
          <w:rFonts w:ascii="Georgia" w:hAnsi="Georgia" w:cs="Arial"/>
          <w:szCs w:val="22"/>
        </w:rPr>
        <w:t>(</w:t>
      </w:r>
      <w:r w:rsidR="00541949" w:rsidRPr="00C419CF">
        <w:rPr>
          <w:rFonts w:ascii="Georgia" w:hAnsi="Georgia" w:cs="Arial"/>
          <w:sz w:val="22"/>
          <w:szCs w:val="22"/>
        </w:rPr>
        <w:t xml:space="preserve">Folios </w:t>
      </w:r>
      <w:r w:rsidR="003935F0" w:rsidRPr="00C419CF">
        <w:rPr>
          <w:rFonts w:ascii="Georgia" w:hAnsi="Georgia" w:cs="Arial"/>
          <w:sz w:val="22"/>
          <w:szCs w:val="22"/>
        </w:rPr>
        <w:t>50-52</w:t>
      </w:r>
      <w:r w:rsidR="00541949" w:rsidRPr="00C419CF">
        <w:rPr>
          <w:rFonts w:ascii="Georgia" w:hAnsi="Georgia" w:cs="Arial"/>
          <w:sz w:val="22"/>
          <w:szCs w:val="22"/>
        </w:rPr>
        <w:t xml:space="preserve">, </w:t>
      </w:r>
      <w:r w:rsidR="003935F0" w:rsidRPr="00C419CF">
        <w:rPr>
          <w:rFonts w:ascii="Georgia" w:hAnsi="Georgia" w:cs="Arial"/>
          <w:sz w:val="22"/>
          <w:szCs w:val="22"/>
        </w:rPr>
        <w:t>copias cuaderno de primera instancia</w:t>
      </w:r>
      <w:r w:rsidR="00541949" w:rsidRPr="00C419CF">
        <w:rPr>
          <w:rFonts w:ascii="Georgia" w:hAnsi="Georgia" w:cs="Arial"/>
          <w:szCs w:val="22"/>
        </w:rPr>
        <w:t>).</w:t>
      </w:r>
    </w:p>
    <w:p w:rsidR="007706A5" w:rsidRDefault="007706A5" w:rsidP="0047502C">
      <w:pPr>
        <w:pStyle w:val="Sinespaciado"/>
        <w:widowControl/>
        <w:autoSpaceDE/>
        <w:autoSpaceDN/>
        <w:adjustRightInd/>
        <w:spacing w:line="312" w:lineRule="auto"/>
        <w:jc w:val="both"/>
        <w:rPr>
          <w:rFonts w:ascii="Georgia" w:hAnsi="Georgia" w:cs="Arial"/>
        </w:rPr>
      </w:pPr>
    </w:p>
    <w:p w:rsidR="00C8296D" w:rsidRPr="00C8296D" w:rsidRDefault="00C8296D" w:rsidP="0047502C">
      <w:pPr>
        <w:pStyle w:val="Sinespaciado"/>
        <w:widowControl/>
        <w:numPr>
          <w:ilvl w:val="0"/>
          <w:numId w:val="8"/>
        </w:numPr>
        <w:autoSpaceDE/>
        <w:autoSpaceDN/>
        <w:adjustRightInd/>
        <w:spacing w:line="312" w:lineRule="auto"/>
        <w:jc w:val="both"/>
        <w:rPr>
          <w:rFonts w:ascii="Georgia" w:hAnsi="Georgia" w:cs="Arial"/>
          <w:smallCaps/>
          <w:sz w:val="32"/>
        </w:rPr>
      </w:pPr>
      <w:r w:rsidRPr="00C8296D">
        <w:rPr>
          <w:rFonts w:ascii="Georgia" w:hAnsi="Georgia" w:cs="Arial"/>
          <w:smallCaps/>
          <w:sz w:val="28"/>
        </w:rPr>
        <w:t>L</w:t>
      </w:r>
      <w:r w:rsidRPr="00C8296D">
        <w:rPr>
          <w:rFonts w:ascii="Georgia" w:hAnsi="Georgia" w:cs="Arial"/>
          <w:smallCaps/>
        </w:rPr>
        <w:t>A POSICIÓN DE LA CONTRAPARTE</w:t>
      </w:r>
      <w:r w:rsidRPr="00C8296D">
        <w:rPr>
          <w:rFonts w:ascii="Georgia" w:hAnsi="Georgia" w:cs="Arial"/>
          <w:smallCaps/>
          <w:sz w:val="32"/>
        </w:rPr>
        <w:t xml:space="preserve"> </w:t>
      </w:r>
    </w:p>
    <w:p w:rsidR="00C8296D" w:rsidRDefault="00C8296D" w:rsidP="0047502C">
      <w:pPr>
        <w:pStyle w:val="Sinespaciado"/>
        <w:widowControl/>
        <w:autoSpaceDE/>
        <w:autoSpaceDN/>
        <w:adjustRightInd/>
        <w:spacing w:line="312" w:lineRule="auto"/>
        <w:jc w:val="both"/>
        <w:rPr>
          <w:rFonts w:ascii="Georgia" w:hAnsi="Georgia" w:cs="Arial"/>
        </w:rPr>
      </w:pPr>
    </w:p>
    <w:p w:rsidR="00C8296D" w:rsidRDefault="00C8296D" w:rsidP="0047502C">
      <w:pPr>
        <w:pStyle w:val="Sinespaciado"/>
        <w:widowControl/>
        <w:autoSpaceDE/>
        <w:autoSpaceDN/>
        <w:adjustRightInd/>
        <w:spacing w:line="312" w:lineRule="auto"/>
        <w:jc w:val="both"/>
        <w:rPr>
          <w:rFonts w:ascii="Georgia" w:hAnsi="Georgia" w:cs="Arial"/>
        </w:rPr>
      </w:pPr>
      <w:r>
        <w:rPr>
          <w:rFonts w:ascii="Georgia" w:hAnsi="Georgia" w:cs="Arial"/>
        </w:rPr>
        <w:t>Se opone a la prosperidad del recurso, pues considera que lo alegado no encu</w:t>
      </w:r>
      <w:r w:rsidR="00622F9C">
        <w:rPr>
          <w:rFonts w:ascii="Georgia" w:hAnsi="Georgia" w:cs="Arial"/>
        </w:rPr>
        <w:t xml:space="preserve">adra </w:t>
      </w:r>
      <w:r>
        <w:rPr>
          <w:rFonts w:ascii="Georgia" w:hAnsi="Georgia" w:cs="Arial"/>
        </w:rPr>
        <w:t>en la causal propuesta, la notificación</w:t>
      </w:r>
      <w:r>
        <w:rPr>
          <w:rFonts w:ascii="Georgia" w:hAnsi="Georgia" w:cs="Arial"/>
          <w:lang w:val="es-CO"/>
        </w:rPr>
        <w:t xml:space="preserve"> del proveído conforme a las reglas procesales que le eran aplicables</w:t>
      </w:r>
      <w:r w:rsidR="000A10DC">
        <w:rPr>
          <w:rFonts w:ascii="Georgia" w:hAnsi="Georgia" w:cs="Arial"/>
          <w:lang w:val="es-CO"/>
        </w:rPr>
        <w:t xml:space="preserve"> y</w:t>
      </w:r>
      <w:r w:rsidR="00622F9C">
        <w:rPr>
          <w:rFonts w:ascii="Georgia" w:hAnsi="Georgia" w:cs="Arial"/>
          <w:lang w:val="es-CO"/>
        </w:rPr>
        <w:t xml:space="preserve">, </w:t>
      </w:r>
      <w:r w:rsidR="000A10DC">
        <w:rPr>
          <w:rFonts w:ascii="Georgia" w:hAnsi="Georgia" w:cs="Arial"/>
          <w:lang w:val="es-CO"/>
        </w:rPr>
        <w:t>la parte actora</w:t>
      </w:r>
      <w:r w:rsidR="00622F9C">
        <w:rPr>
          <w:rFonts w:ascii="Georgia" w:hAnsi="Georgia" w:cs="Arial"/>
          <w:lang w:val="es-CO"/>
        </w:rPr>
        <w:t>,</w:t>
      </w:r>
      <w:r w:rsidR="000A10DC">
        <w:rPr>
          <w:rFonts w:ascii="Georgia" w:hAnsi="Georgia" w:cs="Arial"/>
          <w:lang w:val="es-CO"/>
        </w:rPr>
        <w:t xml:space="preserve"> contó con el tiempo suficiente para conocer el cambio de fecha. </w:t>
      </w:r>
      <w:r w:rsidR="00622F9C">
        <w:rPr>
          <w:rFonts w:ascii="Georgia" w:hAnsi="Georgia" w:cs="Arial"/>
          <w:lang w:val="es-CO"/>
        </w:rPr>
        <w:t xml:space="preserve">Relieva que </w:t>
      </w:r>
      <w:r w:rsidR="000A10DC">
        <w:rPr>
          <w:rFonts w:ascii="Georgia" w:hAnsi="Georgia" w:cs="Arial"/>
          <w:lang w:val="es-CO"/>
        </w:rPr>
        <w:t>el recurrente</w:t>
      </w:r>
      <w:r w:rsidR="00622F9C">
        <w:rPr>
          <w:rFonts w:ascii="Georgia" w:hAnsi="Georgia" w:cs="Arial"/>
          <w:lang w:val="es-CO"/>
        </w:rPr>
        <w:t xml:space="preserve"> podría </w:t>
      </w:r>
      <w:r w:rsidR="000A10DC">
        <w:rPr>
          <w:rFonts w:ascii="Georgia" w:hAnsi="Georgia" w:cs="Arial"/>
          <w:lang w:val="es-CO"/>
        </w:rPr>
        <w:t>ser sancionado, por el irrespeto que muestra frente a la funcionaria de conocimiento (</w:t>
      </w:r>
      <w:r w:rsidR="000A10DC" w:rsidRPr="000A10DC">
        <w:rPr>
          <w:rFonts w:ascii="Georgia" w:hAnsi="Georgia" w:cs="Arial"/>
          <w:sz w:val="22"/>
          <w:lang w:val="es-CO"/>
        </w:rPr>
        <w:t>Artículos 72 y 73, CPC</w:t>
      </w:r>
      <w:r w:rsidR="000A10DC">
        <w:rPr>
          <w:rFonts w:ascii="Georgia" w:hAnsi="Georgia" w:cs="Arial"/>
          <w:lang w:val="es-CO"/>
        </w:rPr>
        <w:t xml:space="preserve">) </w:t>
      </w:r>
      <w:r w:rsidR="000A10DC" w:rsidRPr="00C419CF">
        <w:rPr>
          <w:rFonts w:ascii="Georgia" w:hAnsi="Georgia" w:cs="Arial"/>
          <w:szCs w:val="22"/>
        </w:rPr>
        <w:t>(</w:t>
      </w:r>
      <w:r w:rsidR="000A10DC" w:rsidRPr="00C419CF">
        <w:rPr>
          <w:rFonts w:ascii="Georgia" w:hAnsi="Georgia" w:cs="Arial"/>
          <w:sz w:val="22"/>
          <w:szCs w:val="22"/>
        </w:rPr>
        <w:t>Folios 5</w:t>
      </w:r>
      <w:r w:rsidR="000A10DC">
        <w:rPr>
          <w:rFonts w:ascii="Georgia" w:hAnsi="Georgia" w:cs="Arial"/>
          <w:sz w:val="22"/>
          <w:szCs w:val="22"/>
        </w:rPr>
        <w:t>4</w:t>
      </w:r>
      <w:r w:rsidR="000A10DC" w:rsidRPr="00C419CF">
        <w:rPr>
          <w:rFonts w:ascii="Georgia" w:hAnsi="Georgia" w:cs="Arial"/>
          <w:sz w:val="22"/>
          <w:szCs w:val="22"/>
        </w:rPr>
        <w:t>-5</w:t>
      </w:r>
      <w:r w:rsidR="000A10DC">
        <w:rPr>
          <w:rFonts w:ascii="Georgia" w:hAnsi="Georgia" w:cs="Arial"/>
          <w:sz w:val="22"/>
          <w:szCs w:val="22"/>
        </w:rPr>
        <w:t>6</w:t>
      </w:r>
      <w:r w:rsidR="000A10DC" w:rsidRPr="00C419CF">
        <w:rPr>
          <w:rFonts w:ascii="Georgia" w:hAnsi="Georgia" w:cs="Arial"/>
          <w:sz w:val="22"/>
          <w:szCs w:val="22"/>
        </w:rPr>
        <w:t>, copias cuaderno de primera instancia</w:t>
      </w:r>
      <w:r w:rsidR="000A10DC" w:rsidRPr="00C419CF">
        <w:rPr>
          <w:rFonts w:ascii="Georgia" w:hAnsi="Georgia" w:cs="Arial"/>
          <w:szCs w:val="22"/>
        </w:rPr>
        <w:t>)</w:t>
      </w:r>
      <w:r w:rsidR="000A10DC">
        <w:rPr>
          <w:rFonts w:ascii="Georgia" w:hAnsi="Georgia" w:cs="Arial"/>
          <w:lang w:val="es-CO"/>
        </w:rPr>
        <w:t xml:space="preserve">. </w:t>
      </w:r>
    </w:p>
    <w:p w:rsidR="00C8296D" w:rsidRPr="00C419CF" w:rsidRDefault="00C8296D" w:rsidP="0047502C">
      <w:pPr>
        <w:pStyle w:val="Sinespaciado"/>
        <w:widowControl/>
        <w:autoSpaceDE/>
        <w:autoSpaceDN/>
        <w:adjustRightInd/>
        <w:spacing w:line="312" w:lineRule="auto"/>
        <w:jc w:val="both"/>
        <w:rPr>
          <w:rFonts w:ascii="Georgia" w:hAnsi="Georgia" w:cs="Arial"/>
        </w:rPr>
      </w:pPr>
    </w:p>
    <w:p w:rsidR="00517926" w:rsidRPr="00C419CF" w:rsidRDefault="00AD3DFF" w:rsidP="0047502C">
      <w:pPr>
        <w:pStyle w:val="Sinespaciado"/>
        <w:numPr>
          <w:ilvl w:val="0"/>
          <w:numId w:val="8"/>
        </w:numPr>
        <w:spacing w:line="312" w:lineRule="auto"/>
        <w:jc w:val="both"/>
        <w:rPr>
          <w:rFonts w:ascii="Georgia" w:hAnsi="Georgia" w:cs="Arial"/>
        </w:rPr>
      </w:pPr>
      <w:r w:rsidRPr="00C419CF">
        <w:rPr>
          <w:rFonts w:ascii="Georgia" w:hAnsi="Georgia" w:cs="Arial"/>
          <w:sz w:val="28"/>
        </w:rPr>
        <w:t>L</w:t>
      </w:r>
      <w:r w:rsidRPr="00C419CF">
        <w:rPr>
          <w:rFonts w:ascii="Georgia" w:hAnsi="Georgia" w:cs="Arial"/>
          <w:sz w:val="22"/>
        </w:rPr>
        <w:t>AS ESTIMACIONES JURÍDICAS PARA DECIDIR</w:t>
      </w:r>
    </w:p>
    <w:p w:rsidR="00517926" w:rsidRPr="00C419CF" w:rsidRDefault="00517926" w:rsidP="0047502C">
      <w:pPr>
        <w:pStyle w:val="Sinespaciado"/>
        <w:spacing w:line="312" w:lineRule="auto"/>
        <w:jc w:val="both"/>
        <w:rPr>
          <w:rFonts w:ascii="Georgia" w:hAnsi="Georgia" w:cs="Arial"/>
        </w:rPr>
      </w:pPr>
    </w:p>
    <w:p w:rsidR="000A10DC" w:rsidRPr="000A10DC" w:rsidRDefault="000A10DC" w:rsidP="0047502C">
      <w:pPr>
        <w:pStyle w:val="Prrafodelista"/>
        <w:numPr>
          <w:ilvl w:val="0"/>
          <w:numId w:val="13"/>
        </w:numPr>
        <w:overflowPunct w:val="0"/>
        <w:autoSpaceDE w:val="0"/>
        <w:autoSpaceDN w:val="0"/>
        <w:adjustRightInd w:val="0"/>
        <w:spacing w:line="312" w:lineRule="auto"/>
        <w:jc w:val="both"/>
        <w:textAlignment w:val="baseline"/>
        <w:rPr>
          <w:rFonts w:ascii="Georgia" w:hAnsi="Georgia" w:cs="Arial"/>
          <w:smallCaps/>
          <w:vanish/>
          <w:sz w:val="24"/>
        </w:rPr>
      </w:pPr>
    </w:p>
    <w:p w:rsidR="000A10DC" w:rsidRPr="000A10DC" w:rsidRDefault="000A10DC" w:rsidP="0047502C">
      <w:pPr>
        <w:pStyle w:val="Prrafodelista"/>
        <w:numPr>
          <w:ilvl w:val="0"/>
          <w:numId w:val="13"/>
        </w:numPr>
        <w:overflowPunct w:val="0"/>
        <w:autoSpaceDE w:val="0"/>
        <w:autoSpaceDN w:val="0"/>
        <w:adjustRightInd w:val="0"/>
        <w:spacing w:line="312" w:lineRule="auto"/>
        <w:jc w:val="both"/>
        <w:textAlignment w:val="baseline"/>
        <w:rPr>
          <w:rFonts w:ascii="Georgia" w:hAnsi="Georgia" w:cs="Arial"/>
          <w:smallCaps/>
          <w:vanish/>
          <w:sz w:val="24"/>
        </w:rPr>
      </w:pPr>
    </w:p>
    <w:p w:rsidR="00541949" w:rsidRPr="00C419CF" w:rsidRDefault="00541949" w:rsidP="0047502C">
      <w:pPr>
        <w:pStyle w:val="Textopredeterminado"/>
        <w:numPr>
          <w:ilvl w:val="1"/>
          <w:numId w:val="13"/>
        </w:numPr>
        <w:spacing w:line="312" w:lineRule="auto"/>
        <w:jc w:val="both"/>
        <w:textAlignment w:val="baseline"/>
        <w:rPr>
          <w:rFonts w:ascii="Georgia" w:hAnsi="Georgia" w:cs="Arial"/>
          <w:szCs w:val="22"/>
          <w:lang w:val="es-MX"/>
        </w:rPr>
      </w:pPr>
      <w:r w:rsidRPr="00C419CF">
        <w:rPr>
          <w:rFonts w:ascii="Georgia" w:hAnsi="Georgia" w:cs="Arial"/>
          <w:smallCaps/>
          <w:color w:val="auto"/>
        </w:rPr>
        <w:t>La competencia funcional</w:t>
      </w:r>
      <w:r w:rsidRPr="00C419CF">
        <w:rPr>
          <w:rFonts w:ascii="Georgia" w:hAnsi="Georgia" w:cs="Arial"/>
          <w:color w:val="auto"/>
        </w:rPr>
        <w:t xml:space="preserve">. </w:t>
      </w:r>
      <w:r w:rsidRPr="00C419CF">
        <w:rPr>
          <w:rFonts w:ascii="Georgia" w:hAnsi="Georgia" w:cs="Arial"/>
          <w:szCs w:val="22"/>
        </w:rPr>
        <w:t>La facultad jurídica para resolver esta controversia radica en esta Colegiatura por el factor funcional (</w:t>
      </w:r>
      <w:r w:rsidRPr="00C419CF">
        <w:rPr>
          <w:rFonts w:ascii="Georgia" w:hAnsi="Georgia" w:cs="Arial"/>
          <w:sz w:val="22"/>
          <w:szCs w:val="22"/>
        </w:rPr>
        <w:t xml:space="preserve">Artículos 31-1º y 35, </w:t>
      </w:r>
      <w:r w:rsidR="00710DCF" w:rsidRPr="00C419CF">
        <w:rPr>
          <w:rFonts w:ascii="Georgia" w:hAnsi="Georgia" w:cs="Arial"/>
          <w:sz w:val="22"/>
          <w:szCs w:val="22"/>
        </w:rPr>
        <w:t>CGP</w:t>
      </w:r>
      <w:r w:rsidRPr="00C419CF">
        <w:rPr>
          <w:rFonts w:ascii="Georgia" w:hAnsi="Georgia" w:cs="Arial"/>
          <w:szCs w:val="22"/>
        </w:rPr>
        <w:t xml:space="preserve">), dada su condición de </w:t>
      </w:r>
      <w:r w:rsidRPr="00C419CF">
        <w:rPr>
          <w:rFonts w:ascii="Georgia" w:hAnsi="Georgia" w:cs="Arial"/>
          <w:szCs w:val="22"/>
          <w:lang w:val="es-MX"/>
        </w:rPr>
        <w:t>superiora jerárquica del Juzgado</w:t>
      </w:r>
      <w:r w:rsidRPr="00C419CF">
        <w:rPr>
          <w:rFonts w:ascii="Georgia" w:hAnsi="Georgia" w:cs="Arial"/>
        </w:rPr>
        <w:t xml:space="preserve"> </w:t>
      </w:r>
      <w:r w:rsidRPr="00C419CF">
        <w:rPr>
          <w:rFonts w:ascii="Georgia" w:hAnsi="Georgia" w:cs="Arial"/>
          <w:szCs w:val="22"/>
          <w:lang w:val="es-MX"/>
        </w:rPr>
        <w:t>emisor de la decisión apelada.</w:t>
      </w:r>
    </w:p>
    <w:p w:rsidR="00541949" w:rsidRPr="00C419CF" w:rsidRDefault="00541949" w:rsidP="0047502C">
      <w:pPr>
        <w:pStyle w:val="Sinespaciado"/>
        <w:spacing w:line="312" w:lineRule="auto"/>
        <w:jc w:val="both"/>
        <w:rPr>
          <w:rFonts w:ascii="Georgia" w:hAnsi="Georgia" w:cs="Arial"/>
          <w:sz w:val="28"/>
        </w:rPr>
      </w:pPr>
    </w:p>
    <w:p w:rsidR="00D07E95" w:rsidRPr="00C419CF" w:rsidRDefault="00AD3DFF" w:rsidP="0047502C">
      <w:pPr>
        <w:pStyle w:val="Textopredeterminado"/>
        <w:numPr>
          <w:ilvl w:val="1"/>
          <w:numId w:val="13"/>
        </w:numPr>
        <w:spacing w:line="312" w:lineRule="auto"/>
        <w:jc w:val="both"/>
        <w:textAlignment w:val="baseline"/>
        <w:rPr>
          <w:rFonts w:ascii="Georgia" w:hAnsi="Georgia" w:cs="Arial"/>
          <w:szCs w:val="24"/>
        </w:rPr>
      </w:pPr>
      <w:r w:rsidRPr="00C419CF">
        <w:rPr>
          <w:rFonts w:ascii="Georgia" w:hAnsi="Georgia" w:cs="Arial"/>
          <w:smallCaps/>
        </w:rPr>
        <w:t>Los requisitos de viabilidad de un recurso</w:t>
      </w:r>
      <w:r w:rsidR="0061164D" w:rsidRPr="00C419CF">
        <w:rPr>
          <w:rFonts w:ascii="Georgia" w:hAnsi="Georgia" w:cs="Arial"/>
          <w:smallCaps/>
        </w:rPr>
        <w:t xml:space="preserve">. </w:t>
      </w:r>
      <w:r w:rsidR="00214296" w:rsidRPr="00C419CF">
        <w:rPr>
          <w:rFonts w:ascii="Georgia" w:hAnsi="Georgia" w:cs="Arial"/>
          <w:spacing w:val="-3"/>
        </w:rPr>
        <w:t>D</w:t>
      </w:r>
      <w:r w:rsidR="00214296" w:rsidRPr="00C419CF">
        <w:rPr>
          <w:rFonts w:ascii="Georgia" w:hAnsi="Georgia" w:cs="Arial"/>
          <w:szCs w:val="24"/>
        </w:rPr>
        <w:t xml:space="preserve">esde </w:t>
      </w:r>
      <w:r w:rsidR="00D07E95" w:rsidRPr="00C419CF">
        <w:rPr>
          <w:rFonts w:ascii="Georgia" w:hAnsi="Georgia" w:cs="Arial"/>
          <w:szCs w:val="24"/>
        </w:rPr>
        <w:t xml:space="preserve">la óptica procesal, en presencia de los recursos, deben siempre concurrir los llamados presupuestos de viabilidad o trámite o </w:t>
      </w:r>
      <w:r w:rsidR="00D07E95" w:rsidRPr="00C419CF">
        <w:rPr>
          <w:rFonts w:ascii="Georgia" w:hAnsi="Georgia" w:cs="Arial"/>
          <w:i/>
          <w:sz w:val="22"/>
          <w:szCs w:val="24"/>
        </w:rPr>
        <w:t>condiciones para tener la posibilidad de recurrir</w:t>
      </w:r>
      <w:r w:rsidR="00D07E95" w:rsidRPr="00C419CF">
        <w:rPr>
          <w:rStyle w:val="Refdenotaalpie"/>
          <w:rFonts w:ascii="Georgia" w:hAnsi="Georgia"/>
          <w:i/>
          <w:sz w:val="22"/>
          <w:szCs w:val="24"/>
        </w:rPr>
        <w:footnoteReference w:id="1"/>
      </w:r>
      <w:r w:rsidR="00D07E95" w:rsidRPr="00C419CF">
        <w:rPr>
          <w:rFonts w:ascii="Georgia" w:hAnsi="Georgia" w:cs="Arial"/>
          <w:szCs w:val="24"/>
        </w:rPr>
        <w:t>, al decir de la doctrina procesal nacional</w:t>
      </w:r>
      <w:r w:rsidR="00D07E95" w:rsidRPr="00C419CF">
        <w:rPr>
          <w:rFonts w:ascii="Georgia" w:hAnsi="Georgia" w:cs="Arial"/>
          <w:szCs w:val="24"/>
          <w:vertAlign w:val="superscript"/>
        </w:rPr>
        <w:footnoteReference w:id="2"/>
      </w:r>
      <w:r w:rsidR="00D07E95" w:rsidRPr="00C419CF">
        <w:rPr>
          <w:rFonts w:ascii="Georgia" w:hAnsi="Georgia" w:cs="Arial"/>
          <w:szCs w:val="24"/>
          <w:vertAlign w:val="superscript"/>
        </w:rPr>
        <w:t>-</w:t>
      </w:r>
      <w:r w:rsidR="00D07E95" w:rsidRPr="00C419CF">
        <w:rPr>
          <w:rFonts w:ascii="Georgia" w:hAnsi="Georgia" w:cs="Arial"/>
          <w:szCs w:val="24"/>
          <w:vertAlign w:val="superscript"/>
        </w:rPr>
        <w:footnoteReference w:id="3"/>
      </w:r>
      <w:r w:rsidR="00D07E95" w:rsidRPr="00C419CF">
        <w:rPr>
          <w:rFonts w:ascii="Georgia" w:hAnsi="Georgia" w:cs="Arial"/>
          <w:szCs w:val="24"/>
        </w:rPr>
        <w:t>, a efectos de examinar el tema de apelación.</w:t>
      </w:r>
    </w:p>
    <w:p w:rsidR="00D07E95" w:rsidRPr="00C419CF" w:rsidRDefault="00D07E95" w:rsidP="0047502C">
      <w:pPr>
        <w:pStyle w:val="Sinespaciado"/>
        <w:spacing w:line="312" w:lineRule="auto"/>
        <w:jc w:val="both"/>
        <w:rPr>
          <w:rFonts w:ascii="Georgia" w:hAnsi="Georgia" w:cs="Arial"/>
          <w:sz w:val="28"/>
        </w:rPr>
      </w:pPr>
    </w:p>
    <w:p w:rsidR="00D07E95" w:rsidRPr="00C419CF" w:rsidRDefault="00D07E95" w:rsidP="0047502C">
      <w:pPr>
        <w:pStyle w:val="Sinespaciado"/>
        <w:spacing w:line="312" w:lineRule="auto"/>
        <w:ind w:left="567"/>
        <w:jc w:val="both"/>
        <w:rPr>
          <w:rFonts w:ascii="Georgia" w:hAnsi="Georgia" w:cs="Arial"/>
        </w:rPr>
      </w:pPr>
      <w:r w:rsidRPr="00C419CF">
        <w:rPr>
          <w:rFonts w:ascii="Georgia" w:hAnsi="Georgia" w:cs="Arial"/>
        </w:rPr>
        <w:lastRenderedPageBreak/>
        <w:t xml:space="preserve">Se dice que los aludidos presupuestos son una serie de exigencias normativas formales que permiten su trámite y aseguran su decisión.  Así lo anota el profesor López B.: </w:t>
      </w:r>
      <w:r w:rsidRPr="00C419CF">
        <w:rPr>
          <w:rFonts w:ascii="Georgia" w:hAnsi="Georgia" w:cs="Arial"/>
          <w:sz w:val="22"/>
        </w:rPr>
        <w:t>“</w:t>
      </w:r>
      <w:r w:rsidRPr="00C419CF">
        <w:rPr>
          <w:rFonts w:ascii="Georgia" w:hAnsi="Georgia" w:cs="Arial"/>
          <w:i/>
          <w:sz w:val="22"/>
        </w:rPr>
        <w:t>En todo caso sin estar reunidos los requisitos de viabilidad del recurso jamás se podrá tener éxito en el mismo por constituir un precedente necesario para decidirlo.</w:t>
      </w:r>
      <w:r w:rsidRPr="00C419CF">
        <w:rPr>
          <w:rFonts w:ascii="Georgia" w:hAnsi="Georgia" w:cs="Arial"/>
          <w:sz w:val="22"/>
        </w:rPr>
        <w:t>”</w:t>
      </w:r>
      <w:r w:rsidRPr="00C419CF">
        <w:rPr>
          <w:rFonts w:ascii="Georgia" w:hAnsi="Georgia" w:cs="Arial"/>
          <w:sz w:val="22"/>
          <w:vertAlign w:val="superscript"/>
        </w:rPr>
        <w:footnoteReference w:id="4"/>
      </w:r>
      <w:r w:rsidRPr="00C419CF">
        <w:rPr>
          <w:rFonts w:ascii="Georgia" w:hAnsi="Georgia" w:cs="Arial"/>
        </w:rPr>
        <w:t>.  Y lo explica el profesor Rojas G. en su obra: “</w:t>
      </w:r>
      <w:r w:rsidRPr="00C419CF">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C419CF">
        <w:rPr>
          <w:rFonts w:ascii="Georgia" w:hAnsi="Georgia" w:cs="Arial"/>
        </w:rPr>
        <w:t>”</w:t>
      </w:r>
      <w:r w:rsidRPr="00C419CF">
        <w:rPr>
          <w:rStyle w:val="Refdenotaalpie"/>
          <w:rFonts w:ascii="Georgia" w:hAnsi="Georgia" w:cs="Arial"/>
        </w:rPr>
        <w:t xml:space="preserve"> </w:t>
      </w:r>
      <w:r w:rsidRPr="00C419CF">
        <w:rPr>
          <w:rStyle w:val="Refdenotaalpie"/>
          <w:rFonts w:ascii="Georgia" w:hAnsi="Georgia" w:cs="Arial"/>
        </w:rPr>
        <w:footnoteReference w:id="5"/>
      </w:r>
      <w:r w:rsidRPr="00C419CF">
        <w:rPr>
          <w:rFonts w:ascii="Georgia" w:hAnsi="Georgia" w:cs="Arial"/>
        </w:rPr>
        <w:t>.</w:t>
      </w:r>
    </w:p>
    <w:p w:rsidR="00D07E95" w:rsidRPr="00C419CF" w:rsidRDefault="00D07E95" w:rsidP="0047502C">
      <w:pPr>
        <w:pStyle w:val="Sinespaciado"/>
        <w:spacing w:line="312" w:lineRule="auto"/>
        <w:jc w:val="both"/>
        <w:rPr>
          <w:rFonts w:ascii="Georgia" w:hAnsi="Georgia" w:cs="Arial"/>
          <w:sz w:val="28"/>
        </w:rPr>
      </w:pPr>
    </w:p>
    <w:p w:rsidR="00D07E95" w:rsidRDefault="00D07E95" w:rsidP="0047502C">
      <w:pPr>
        <w:pStyle w:val="Sinespaciado"/>
        <w:spacing w:line="312" w:lineRule="auto"/>
        <w:ind w:left="567"/>
        <w:jc w:val="both"/>
        <w:rPr>
          <w:rFonts w:ascii="Georgia" w:hAnsi="Georgia" w:cs="Arial"/>
          <w:i/>
          <w:color w:val="2D2D2D"/>
          <w:sz w:val="22"/>
          <w:szCs w:val="22"/>
          <w:shd w:val="clear" w:color="auto" w:fill="FFFFFF"/>
        </w:rPr>
      </w:pPr>
      <w:r w:rsidRPr="00C419CF">
        <w:rPr>
          <w:rFonts w:ascii="Georgia" w:hAnsi="Georgia" w:cs="Arial"/>
        </w:rPr>
        <w:t>Los mencionados requisitos son concurrentes y necesarios, ausente uno se malogra el estudio de la impugnación. La misma CSJ así lo ha enseñado: “</w:t>
      </w:r>
      <w:r w:rsidRPr="00C419CF">
        <w:rPr>
          <w:rFonts w:ascii="Georgia" w:hAnsi="Georgia" w:cs="Arial"/>
          <w:i/>
          <w:sz w:val="22"/>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419CF">
        <w:rPr>
          <w:rFonts w:ascii="Georgia" w:hAnsi="Georgia" w:cs="Arial"/>
        </w:rPr>
        <w:t>”</w:t>
      </w:r>
      <w:r w:rsidRPr="00C419CF">
        <w:rPr>
          <w:rStyle w:val="Refdenotaalpie"/>
          <w:rFonts w:ascii="Georgia" w:hAnsi="Georgia"/>
        </w:rPr>
        <w:footnoteReference w:id="6"/>
      </w:r>
      <w:r w:rsidRPr="00C419CF">
        <w:rPr>
          <w:rFonts w:ascii="Georgia" w:hAnsi="Georgia" w:cs="Arial"/>
        </w:rPr>
        <w:t>. Y en decisión más próxima (</w:t>
      </w:r>
      <w:r w:rsidRPr="00C419CF">
        <w:rPr>
          <w:rFonts w:ascii="Georgia" w:hAnsi="Georgia" w:cs="Arial"/>
          <w:sz w:val="22"/>
        </w:rPr>
        <w:t>2017</w:t>
      </w:r>
      <w:r w:rsidRPr="00C419CF">
        <w:rPr>
          <w:rFonts w:ascii="Georgia" w:hAnsi="Georgia" w:cs="Arial"/>
        </w:rPr>
        <w:t>)</w:t>
      </w:r>
      <w:r w:rsidRPr="00C419CF">
        <w:rPr>
          <w:rStyle w:val="Refdenotaalpie"/>
          <w:rFonts w:ascii="Georgia" w:hAnsi="Georgia"/>
        </w:rPr>
        <w:footnoteReference w:id="7"/>
      </w:r>
      <w:r w:rsidRPr="00C419CF">
        <w:rPr>
          <w:rFonts w:ascii="Georgia" w:hAnsi="Georgia" w:cs="Arial"/>
        </w:rPr>
        <w:t xml:space="preserve"> recordó: </w:t>
      </w:r>
      <w:r w:rsidRPr="00C419CF">
        <w:rPr>
          <w:rFonts w:ascii="Georgia" w:hAnsi="Georgia" w:cs="Arial"/>
          <w:sz w:val="22"/>
          <w:szCs w:val="22"/>
        </w:rPr>
        <w:t xml:space="preserve">“(…) </w:t>
      </w:r>
      <w:r w:rsidRPr="00C419CF">
        <w:rPr>
          <w:rFonts w:ascii="Georgia" w:hAnsi="Georgia" w:cs="Arial"/>
          <w:i/>
          <w:spacing w:val="-4"/>
          <w:sz w:val="22"/>
          <w:szCs w:val="22"/>
        </w:rPr>
        <w:t>Por supuesto que, era facultad del superior realizar el análisis preliminar para la «admisión» de la alzada</w:t>
      </w:r>
      <w:r w:rsidR="00C34139" w:rsidRPr="00C419CF">
        <w:rPr>
          <w:rFonts w:ascii="Georgia" w:hAnsi="Georgia" w:cs="Arial"/>
          <w:i/>
          <w:spacing w:val="-4"/>
          <w:sz w:val="22"/>
          <w:szCs w:val="22"/>
        </w:rPr>
        <w:t>, y conforme a la regla cuarta del canon 325 del C.G.P.</w:t>
      </w:r>
      <w:r w:rsidR="00C34139" w:rsidRPr="00C419CF">
        <w:rPr>
          <w:rFonts w:ascii="Georgia" w:hAnsi="Georgia" w:cs="Arial"/>
          <w:spacing w:val="-4"/>
          <w:sz w:val="28"/>
          <w:szCs w:val="28"/>
        </w:rPr>
        <w:t xml:space="preserve"> </w:t>
      </w:r>
      <w:r w:rsidRPr="00C419CF">
        <w:rPr>
          <w:rFonts w:ascii="Georgia" w:hAnsi="Georgia" w:cs="Arial"/>
          <w:i/>
          <w:color w:val="2D2D2D"/>
          <w:sz w:val="22"/>
          <w:szCs w:val="22"/>
          <w:shd w:val="clear" w:color="auto" w:fill="FFFFFF"/>
        </w:rPr>
        <w:t xml:space="preserve"> (…)”.</w:t>
      </w:r>
    </w:p>
    <w:p w:rsidR="000A10DC" w:rsidRPr="00C419CF" w:rsidRDefault="000A10DC" w:rsidP="0047502C">
      <w:pPr>
        <w:pStyle w:val="Sinespaciado"/>
        <w:spacing w:line="312" w:lineRule="auto"/>
        <w:ind w:left="567"/>
        <w:jc w:val="both"/>
        <w:rPr>
          <w:rFonts w:ascii="Georgia" w:hAnsi="Georgia"/>
          <w:i/>
          <w:color w:val="2D2D2D"/>
          <w:shd w:val="clear" w:color="auto" w:fill="FFFFFF"/>
        </w:rPr>
      </w:pPr>
    </w:p>
    <w:p w:rsidR="00710DCF" w:rsidRPr="00C419CF" w:rsidRDefault="00D07E95" w:rsidP="0047502C">
      <w:pPr>
        <w:pStyle w:val="Sinespaciado"/>
        <w:spacing w:line="312" w:lineRule="auto"/>
        <w:ind w:left="567"/>
        <w:jc w:val="both"/>
        <w:rPr>
          <w:rFonts w:ascii="Georgia" w:hAnsi="Georgia" w:cs="Arial"/>
        </w:rPr>
      </w:pPr>
      <w:r w:rsidRPr="00C419CF">
        <w:rPr>
          <w:rFonts w:ascii="Georgia" w:hAnsi="Georgia" w:cs="Arial"/>
        </w:rPr>
        <w:t>Esos supuestos son legitimación, oportunidad, procedencia y cargas procesales (</w:t>
      </w:r>
      <w:r w:rsidRPr="00C419CF">
        <w:rPr>
          <w:rFonts w:ascii="Georgia" w:hAnsi="Georgia" w:cs="Arial"/>
          <w:sz w:val="22"/>
        </w:rPr>
        <w:t xml:space="preserve">Sustentación, expedición de copias, </w:t>
      </w:r>
      <w:r w:rsidR="00B0003E" w:rsidRPr="00C419CF">
        <w:rPr>
          <w:rFonts w:ascii="Georgia" w:hAnsi="Georgia" w:cs="Arial"/>
          <w:sz w:val="22"/>
        </w:rPr>
        <w:t>etc.</w:t>
      </w:r>
      <w:r w:rsidRPr="00C419CF">
        <w:rPr>
          <w:rFonts w:ascii="Georgia" w:hAnsi="Georgia" w:cs="Arial"/>
        </w:rPr>
        <w:t>), es necesario precisar desde ya que, los tres primeros implican la inadmisibilidad del recurso mientras que, el cuarto, provoca la deserción del mismo, tal como lo acota la doctrina patria</w:t>
      </w:r>
      <w:r w:rsidRPr="00C419CF">
        <w:rPr>
          <w:rStyle w:val="Refdenotaalpie"/>
          <w:rFonts w:ascii="Georgia" w:hAnsi="Georgia"/>
        </w:rPr>
        <w:footnoteReference w:id="8"/>
      </w:r>
      <w:r w:rsidRPr="00C419CF">
        <w:rPr>
          <w:rFonts w:ascii="Georgia" w:hAnsi="Georgia" w:cs="Arial"/>
          <w:vertAlign w:val="superscript"/>
        </w:rPr>
        <w:t>-</w:t>
      </w:r>
      <w:r w:rsidRPr="00C419CF">
        <w:rPr>
          <w:rStyle w:val="Refdenotaalpie"/>
          <w:rFonts w:ascii="Georgia" w:hAnsi="Georgia"/>
        </w:rPr>
        <w:footnoteReference w:id="9"/>
      </w:r>
      <w:r w:rsidRPr="00C419CF">
        <w:rPr>
          <w:rFonts w:ascii="Georgia" w:hAnsi="Georgia" w:cs="Arial"/>
        </w:rPr>
        <w:t xml:space="preserve">. </w:t>
      </w:r>
      <w:r w:rsidR="00710DCF" w:rsidRPr="00C419CF">
        <w:rPr>
          <w:rFonts w:ascii="Georgia" w:hAnsi="Georgia" w:cs="Arial"/>
        </w:rPr>
        <w:t>Para este caso se encuentran cumplidos, hay legitimación en la parte que recurre porque hay mengua de sus intereses con la decisión atacada, el recurso es tempestivo, la aludida providencia es susceptible de apelación (</w:t>
      </w:r>
      <w:r w:rsidR="0065120A" w:rsidRPr="00C419CF">
        <w:rPr>
          <w:rFonts w:ascii="Georgia" w:hAnsi="Georgia" w:cs="Arial"/>
          <w:sz w:val="22"/>
        </w:rPr>
        <w:t>Artículo 321-6º,CGP</w:t>
      </w:r>
      <w:r w:rsidR="00710DCF" w:rsidRPr="00C419CF">
        <w:rPr>
          <w:rFonts w:ascii="Georgia" w:hAnsi="Georgia" w:cs="Arial"/>
        </w:rPr>
        <w:t>) y está cumplida la carga procesal de la sustentación (</w:t>
      </w:r>
      <w:r w:rsidR="00710DCF" w:rsidRPr="003C7D75">
        <w:rPr>
          <w:rFonts w:ascii="Georgia" w:hAnsi="Georgia" w:cs="Arial"/>
          <w:sz w:val="22"/>
          <w:szCs w:val="22"/>
        </w:rPr>
        <w:t>Artículo 322-3º, ibídem</w:t>
      </w:r>
      <w:r w:rsidR="00710DCF" w:rsidRPr="00C419CF">
        <w:rPr>
          <w:rFonts w:ascii="Georgia" w:hAnsi="Georgia" w:cs="Arial"/>
        </w:rPr>
        <w:t>).</w:t>
      </w:r>
    </w:p>
    <w:p w:rsidR="00710DCF" w:rsidRPr="00C419CF" w:rsidRDefault="00710DCF" w:rsidP="0047502C">
      <w:pPr>
        <w:pStyle w:val="Sinespaciado"/>
        <w:spacing w:line="312" w:lineRule="auto"/>
        <w:jc w:val="both"/>
        <w:rPr>
          <w:rFonts w:ascii="Georgia" w:hAnsi="Georgia" w:cs="Arial"/>
        </w:rPr>
      </w:pPr>
    </w:p>
    <w:p w:rsidR="003D30AA" w:rsidRPr="00C419CF" w:rsidRDefault="003D30AA" w:rsidP="0047502C">
      <w:pPr>
        <w:pStyle w:val="Textopredeterminado"/>
        <w:numPr>
          <w:ilvl w:val="1"/>
          <w:numId w:val="13"/>
        </w:numPr>
        <w:spacing w:line="312" w:lineRule="auto"/>
        <w:jc w:val="both"/>
        <w:textAlignment w:val="baseline"/>
        <w:rPr>
          <w:rFonts w:ascii="Georgia" w:hAnsi="Georgia" w:cs="Arial"/>
          <w:szCs w:val="24"/>
        </w:rPr>
      </w:pPr>
      <w:r w:rsidRPr="00C419CF">
        <w:rPr>
          <w:rFonts w:ascii="Georgia" w:hAnsi="Georgia" w:cs="Arial"/>
          <w:smallCaps/>
          <w:sz w:val="25"/>
          <w:szCs w:val="25"/>
          <w:lang w:val="es-CO"/>
        </w:rPr>
        <w:t>El problema jurídico para resolver</w:t>
      </w:r>
      <w:r w:rsidRPr="00C419CF">
        <w:rPr>
          <w:rFonts w:ascii="Georgia" w:hAnsi="Georgia" w:cs="Arial"/>
          <w:lang w:val="es-CO"/>
        </w:rPr>
        <w:t xml:space="preserve">. </w:t>
      </w:r>
      <w:r w:rsidRPr="00C419CF">
        <w:rPr>
          <w:rFonts w:ascii="Georgia" w:hAnsi="Georgia" w:cs="Arial"/>
          <w:szCs w:val="24"/>
        </w:rPr>
        <w:t xml:space="preserve">¿Debe modificarse, confirmarse o revocarse el auto del </w:t>
      </w:r>
      <w:r w:rsidRPr="00C419CF">
        <w:rPr>
          <w:rFonts w:ascii="Georgia" w:hAnsi="Georgia" w:cs="Arial"/>
          <w:lang w:val="es-MX"/>
        </w:rPr>
        <w:t xml:space="preserve">Juzgado </w:t>
      </w:r>
      <w:r w:rsidR="003935F0" w:rsidRPr="00C419CF">
        <w:rPr>
          <w:rFonts w:ascii="Georgia" w:hAnsi="Georgia" w:cs="Arial"/>
          <w:lang w:val="es-MX"/>
        </w:rPr>
        <w:t>Primero</w:t>
      </w:r>
      <w:r w:rsidRPr="00C419CF">
        <w:rPr>
          <w:rFonts w:ascii="Georgia" w:hAnsi="Georgia" w:cs="Arial"/>
          <w:lang w:val="es-MX"/>
        </w:rPr>
        <w:t xml:space="preserve"> Civil del Circuito de Pereira, Risaralda</w:t>
      </w:r>
      <w:r w:rsidRPr="00C419CF">
        <w:rPr>
          <w:rFonts w:ascii="Georgia" w:hAnsi="Georgia" w:cs="Arial"/>
          <w:szCs w:val="24"/>
        </w:rPr>
        <w:t>, que de</w:t>
      </w:r>
      <w:r w:rsidR="003935F0" w:rsidRPr="00C419CF">
        <w:rPr>
          <w:rFonts w:ascii="Georgia" w:hAnsi="Georgia" w:cs="Arial"/>
          <w:szCs w:val="24"/>
        </w:rPr>
        <w:t>negó la nulidad del auto citatorio a la audiencia de conciliación</w:t>
      </w:r>
      <w:r w:rsidRPr="00C419CF">
        <w:rPr>
          <w:rFonts w:ascii="Georgia" w:hAnsi="Georgia" w:cs="Arial"/>
          <w:szCs w:val="24"/>
        </w:rPr>
        <w:t>, según lo argüido por la parte actora?</w:t>
      </w:r>
    </w:p>
    <w:p w:rsidR="003D30AA" w:rsidRPr="00C419CF" w:rsidRDefault="003D30AA" w:rsidP="0047502C">
      <w:pPr>
        <w:pStyle w:val="Sinespaciado"/>
        <w:spacing w:line="312" w:lineRule="auto"/>
        <w:jc w:val="both"/>
        <w:rPr>
          <w:rFonts w:ascii="Georgia" w:hAnsi="Georgia" w:cs="Arial"/>
        </w:rPr>
      </w:pPr>
    </w:p>
    <w:p w:rsidR="003D30AA" w:rsidRPr="00C419CF" w:rsidRDefault="003D30AA" w:rsidP="0047502C">
      <w:pPr>
        <w:pStyle w:val="Sinespaciado"/>
        <w:numPr>
          <w:ilvl w:val="0"/>
          <w:numId w:val="8"/>
        </w:numPr>
        <w:spacing w:line="312" w:lineRule="auto"/>
        <w:jc w:val="both"/>
        <w:rPr>
          <w:rFonts w:ascii="Georgia" w:hAnsi="Georgia" w:cs="Arial"/>
        </w:rPr>
      </w:pPr>
      <w:r w:rsidRPr="00C419CF">
        <w:rPr>
          <w:rFonts w:ascii="Georgia" w:hAnsi="Georgia" w:cs="Arial"/>
          <w:sz w:val="28"/>
        </w:rPr>
        <w:t>L</w:t>
      </w:r>
      <w:r w:rsidRPr="00C419CF">
        <w:rPr>
          <w:rFonts w:ascii="Georgia" w:hAnsi="Georgia" w:cs="Arial"/>
        </w:rPr>
        <w:t>A RESOLUCIÓN DEL PROBLEMA JURÍDICO</w:t>
      </w:r>
    </w:p>
    <w:p w:rsidR="003D30AA" w:rsidRPr="00C419CF" w:rsidRDefault="003D30AA" w:rsidP="0047502C">
      <w:pPr>
        <w:pStyle w:val="Textopredeterminado"/>
        <w:spacing w:line="312" w:lineRule="auto"/>
        <w:ind w:left="360"/>
        <w:jc w:val="both"/>
        <w:rPr>
          <w:rFonts w:ascii="Georgia" w:hAnsi="Georgia" w:cs="Arial"/>
          <w:color w:val="auto"/>
          <w:sz w:val="20"/>
        </w:rPr>
      </w:pPr>
    </w:p>
    <w:p w:rsidR="00A86408" w:rsidRPr="00C419CF" w:rsidRDefault="00A86408" w:rsidP="0047502C">
      <w:pPr>
        <w:widowControl w:val="0"/>
        <w:overflowPunct w:val="0"/>
        <w:autoSpaceDE w:val="0"/>
        <w:autoSpaceDN w:val="0"/>
        <w:adjustRightInd w:val="0"/>
        <w:spacing w:line="312" w:lineRule="auto"/>
        <w:jc w:val="both"/>
        <w:rPr>
          <w:rFonts w:ascii="Georgia" w:hAnsi="Georgia" w:cs="Arial"/>
          <w:sz w:val="24"/>
          <w:szCs w:val="24"/>
        </w:rPr>
      </w:pPr>
      <w:r w:rsidRPr="00C419CF">
        <w:rPr>
          <w:rFonts w:ascii="Georgia" w:hAnsi="Georgia" w:cs="Arial"/>
          <w:sz w:val="24"/>
          <w:szCs w:val="24"/>
        </w:rPr>
        <w:t xml:space="preserve">Delimitados por el marco argumental formulado en la alzada, en acatamiento del artículo 328, </w:t>
      </w:r>
      <w:r w:rsidR="0065120A" w:rsidRPr="00C419CF">
        <w:rPr>
          <w:rFonts w:ascii="Georgia" w:hAnsi="Georgia" w:cs="Arial"/>
          <w:i/>
          <w:sz w:val="22"/>
          <w:szCs w:val="24"/>
        </w:rPr>
        <w:t>ibídem</w:t>
      </w:r>
      <w:r w:rsidRPr="00C419CF">
        <w:rPr>
          <w:rFonts w:ascii="Georgia" w:hAnsi="Georgia" w:cs="Arial"/>
          <w:sz w:val="24"/>
          <w:szCs w:val="24"/>
        </w:rPr>
        <w:t>, se examinará el asunto litigioso, con desarrollo de los precisos aspectos cuestionados.</w:t>
      </w:r>
    </w:p>
    <w:p w:rsidR="00A86408" w:rsidRPr="00C419CF" w:rsidRDefault="00A86408" w:rsidP="0047502C">
      <w:pPr>
        <w:pStyle w:val="Textopredeterminado"/>
        <w:spacing w:line="312" w:lineRule="auto"/>
        <w:ind w:left="360"/>
        <w:jc w:val="both"/>
        <w:rPr>
          <w:rFonts w:ascii="Georgia" w:hAnsi="Georgia" w:cs="Arial"/>
          <w:color w:val="auto"/>
          <w:sz w:val="20"/>
        </w:rPr>
      </w:pPr>
    </w:p>
    <w:p w:rsidR="000A10DC" w:rsidRPr="000A10DC" w:rsidRDefault="000A10DC" w:rsidP="0047502C">
      <w:pPr>
        <w:pStyle w:val="Prrafodelista"/>
        <w:numPr>
          <w:ilvl w:val="0"/>
          <w:numId w:val="10"/>
        </w:numPr>
        <w:overflowPunct w:val="0"/>
        <w:autoSpaceDE w:val="0"/>
        <w:autoSpaceDN w:val="0"/>
        <w:adjustRightInd w:val="0"/>
        <w:spacing w:line="312" w:lineRule="auto"/>
        <w:jc w:val="both"/>
        <w:textAlignment w:val="baseline"/>
        <w:rPr>
          <w:rFonts w:ascii="Georgia" w:hAnsi="Georgia" w:cs="Arial"/>
          <w:smallCaps/>
          <w:vanish/>
          <w:color w:val="000000"/>
          <w:sz w:val="25"/>
          <w:szCs w:val="25"/>
        </w:rPr>
      </w:pPr>
    </w:p>
    <w:p w:rsidR="000A10DC" w:rsidRPr="000A10DC" w:rsidRDefault="000A10DC" w:rsidP="0047502C">
      <w:pPr>
        <w:pStyle w:val="Prrafodelista"/>
        <w:numPr>
          <w:ilvl w:val="0"/>
          <w:numId w:val="10"/>
        </w:numPr>
        <w:overflowPunct w:val="0"/>
        <w:autoSpaceDE w:val="0"/>
        <w:autoSpaceDN w:val="0"/>
        <w:adjustRightInd w:val="0"/>
        <w:spacing w:line="312" w:lineRule="auto"/>
        <w:jc w:val="both"/>
        <w:textAlignment w:val="baseline"/>
        <w:rPr>
          <w:rFonts w:ascii="Georgia" w:hAnsi="Georgia" w:cs="Arial"/>
          <w:smallCaps/>
          <w:vanish/>
          <w:color w:val="000000"/>
          <w:sz w:val="25"/>
          <w:szCs w:val="25"/>
        </w:rPr>
      </w:pPr>
    </w:p>
    <w:p w:rsidR="000A10DC" w:rsidRPr="000A10DC" w:rsidRDefault="000A10DC" w:rsidP="0047502C">
      <w:pPr>
        <w:pStyle w:val="Prrafodelista"/>
        <w:numPr>
          <w:ilvl w:val="0"/>
          <w:numId w:val="10"/>
        </w:numPr>
        <w:overflowPunct w:val="0"/>
        <w:autoSpaceDE w:val="0"/>
        <w:autoSpaceDN w:val="0"/>
        <w:adjustRightInd w:val="0"/>
        <w:spacing w:line="312" w:lineRule="auto"/>
        <w:jc w:val="both"/>
        <w:textAlignment w:val="baseline"/>
        <w:rPr>
          <w:rFonts w:ascii="Georgia" w:hAnsi="Georgia" w:cs="Arial"/>
          <w:smallCaps/>
          <w:vanish/>
          <w:color w:val="000000"/>
          <w:sz w:val="25"/>
          <w:szCs w:val="25"/>
        </w:rPr>
      </w:pPr>
    </w:p>
    <w:p w:rsidR="000A10DC" w:rsidRPr="000A10DC" w:rsidRDefault="000A10DC" w:rsidP="0047502C">
      <w:pPr>
        <w:pStyle w:val="Prrafodelista"/>
        <w:numPr>
          <w:ilvl w:val="0"/>
          <w:numId w:val="10"/>
        </w:numPr>
        <w:overflowPunct w:val="0"/>
        <w:autoSpaceDE w:val="0"/>
        <w:autoSpaceDN w:val="0"/>
        <w:adjustRightInd w:val="0"/>
        <w:spacing w:line="312" w:lineRule="auto"/>
        <w:jc w:val="both"/>
        <w:textAlignment w:val="baseline"/>
        <w:rPr>
          <w:rFonts w:ascii="Georgia" w:hAnsi="Georgia" w:cs="Arial"/>
          <w:smallCaps/>
          <w:vanish/>
          <w:color w:val="000000"/>
          <w:sz w:val="25"/>
          <w:szCs w:val="25"/>
        </w:rPr>
      </w:pPr>
    </w:p>
    <w:p w:rsidR="000A10DC" w:rsidRPr="000A10DC" w:rsidRDefault="000A10DC" w:rsidP="0047502C">
      <w:pPr>
        <w:pStyle w:val="Prrafodelista"/>
        <w:numPr>
          <w:ilvl w:val="0"/>
          <w:numId w:val="10"/>
        </w:numPr>
        <w:overflowPunct w:val="0"/>
        <w:autoSpaceDE w:val="0"/>
        <w:autoSpaceDN w:val="0"/>
        <w:adjustRightInd w:val="0"/>
        <w:spacing w:line="312" w:lineRule="auto"/>
        <w:jc w:val="both"/>
        <w:textAlignment w:val="baseline"/>
        <w:rPr>
          <w:rFonts w:ascii="Georgia" w:hAnsi="Georgia" w:cs="Arial"/>
          <w:smallCaps/>
          <w:vanish/>
          <w:color w:val="000000"/>
          <w:sz w:val="25"/>
          <w:szCs w:val="25"/>
        </w:rPr>
      </w:pPr>
    </w:p>
    <w:p w:rsidR="000A10DC" w:rsidRPr="000A10DC" w:rsidRDefault="000A10DC" w:rsidP="0047502C">
      <w:pPr>
        <w:pStyle w:val="Prrafodelista"/>
        <w:numPr>
          <w:ilvl w:val="0"/>
          <w:numId w:val="10"/>
        </w:numPr>
        <w:overflowPunct w:val="0"/>
        <w:autoSpaceDE w:val="0"/>
        <w:autoSpaceDN w:val="0"/>
        <w:adjustRightInd w:val="0"/>
        <w:spacing w:line="312" w:lineRule="auto"/>
        <w:jc w:val="both"/>
        <w:textAlignment w:val="baseline"/>
        <w:rPr>
          <w:rFonts w:ascii="Georgia" w:hAnsi="Georgia" w:cs="Arial"/>
          <w:smallCaps/>
          <w:vanish/>
          <w:color w:val="000000"/>
          <w:sz w:val="25"/>
          <w:szCs w:val="25"/>
        </w:rPr>
      </w:pPr>
    </w:p>
    <w:p w:rsidR="00FB3C6F" w:rsidRPr="00C419CF" w:rsidRDefault="00FB3C6F" w:rsidP="0047502C">
      <w:pPr>
        <w:pStyle w:val="Textopredeterminado"/>
        <w:numPr>
          <w:ilvl w:val="1"/>
          <w:numId w:val="10"/>
        </w:numPr>
        <w:spacing w:line="312" w:lineRule="auto"/>
        <w:jc w:val="both"/>
        <w:textAlignment w:val="baseline"/>
        <w:rPr>
          <w:rFonts w:ascii="Georgia" w:hAnsi="Georgia" w:cs="Arial"/>
          <w:smallCaps/>
          <w:color w:val="auto"/>
          <w:sz w:val="25"/>
          <w:szCs w:val="25"/>
        </w:rPr>
      </w:pPr>
      <w:r w:rsidRPr="00C419CF">
        <w:rPr>
          <w:rFonts w:ascii="Georgia" w:hAnsi="Georgia" w:cs="Arial"/>
          <w:smallCaps/>
          <w:sz w:val="25"/>
          <w:szCs w:val="25"/>
        </w:rPr>
        <w:t>El régimen de las nulidades procesales</w:t>
      </w:r>
      <w:r w:rsidRPr="00C419CF">
        <w:rPr>
          <w:rFonts w:ascii="Georgia" w:hAnsi="Georgia" w:cs="Arial"/>
          <w:szCs w:val="24"/>
        </w:rPr>
        <w:t xml:space="preserve"> </w:t>
      </w:r>
      <w:r w:rsidR="00B53D39" w:rsidRPr="00C419CF">
        <w:rPr>
          <w:rFonts w:ascii="Georgia" w:hAnsi="Georgia" w:cs="Arial"/>
          <w:smallCaps/>
          <w:sz w:val="25"/>
          <w:szCs w:val="25"/>
        </w:rPr>
        <w:t>y sus presupuestos</w:t>
      </w:r>
    </w:p>
    <w:p w:rsidR="00FB3C6F" w:rsidRPr="00C419CF" w:rsidRDefault="00FB3C6F" w:rsidP="0047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12" w:lineRule="auto"/>
        <w:jc w:val="both"/>
        <w:rPr>
          <w:rFonts w:ascii="Georgia" w:hAnsi="Georgia" w:cs="Arial"/>
          <w:szCs w:val="22"/>
        </w:rPr>
      </w:pPr>
    </w:p>
    <w:p w:rsidR="00B53D39" w:rsidRDefault="00B53D39" w:rsidP="0047502C">
      <w:pPr>
        <w:tabs>
          <w:tab w:val="left" w:pos="-720"/>
        </w:tabs>
        <w:suppressAutoHyphens/>
        <w:spacing w:line="312" w:lineRule="auto"/>
        <w:jc w:val="both"/>
        <w:rPr>
          <w:rFonts w:ascii="Georgia" w:hAnsi="Georgia" w:cs="Arial"/>
          <w:sz w:val="24"/>
          <w:szCs w:val="24"/>
        </w:rPr>
      </w:pPr>
      <w:r w:rsidRPr="00C419CF">
        <w:rPr>
          <w:rFonts w:ascii="Georgia" w:hAnsi="Georgia" w:cs="Arial"/>
          <w:sz w:val="24"/>
          <w:szCs w:val="24"/>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rsidR="005D0104" w:rsidRPr="00C419CF" w:rsidRDefault="005D0104" w:rsidP="0047502C">
      <w:pPr>
        <w:tabs>
          <w:tab w:val="left" w:pos="-720"/>
        </w:tabs>
        <w:suppressAutoHyphens/>
        <w:spacing w:line="312" w:lineRule="auto"/>
        <w:jc w:val="both"/>
        <w:rPr>
          <w:rFonts w:ascii="Georgia" w:hAnsi="Georgia" w:cs="Arial"/>
          <w:sz w:val="24"/>
          <w:szCs w:val="24"/>
        </w:rPr>
      </w:pPr>
    </w:p>
    <w:p w:rsidR="00B53D39" w:rsidRPr="003C7D75" w:rsidRDefault="00B53D39" w:rsidP="0047502C">
      <w:pPr>
        <w:spacing w:line="312" w:lineRule="auto"/>
        <w:jc w:val="both"/>
        <w:rPr>
          <w:rFonts w:ascii="Georgia" w:hAnsi="Georgia" w:cs="Arial"/>
          <w:i/>
          <w:sz w:val="24"/>
          <w:szCs w:val="24"/>
        </w:rPr>
      </w:pPr>
      <w:r w:rsidRPr="00C419CF">
        <w:rPr>
          <w:rFonts w:ascii="Georgia" w:hAnsi="Georgia"/>
          <w:sz w:val="24"/>
          <w:szCs w:val="24"/>
        </w:rPr>
        <w:t>Es preciso advertir que este instrumento, reglamentado en el artículo 133 del CGP, no tuvo cambios sustanciales respecto a lo regulado en el CPC (</w:t>
      </w:r>
      <w:r w:rsidRPr="00C419CF">
        <w:rPr>
          <w:rFonts w:ascii="Georgia" w:hAnsi="Georgia"/>
          <w:sz w:val="22"/>
          <w:szCs w:val="24"/>
        </w:rPr>
        <w:t>Artículos 140 y 141</w:t>
      </w:r>
      <w:r w:rsidRPr="00C419CF">
        <w:rPr>
          <w:rFonts w:ascii="Georgia" w:hAnsi="Georgia"/>
          <w:sz w:val="24"/>
          <w:szCs w:val="24"/>
        </w:rPr>
        <w:t>), salvo que desapareció la causal del artículo 141-1º y se erigieron otras especiales (</w:t>
      </w:r>
      <w:r w:rsidRPr="00C419CF">
        <w:rPr>
          <w:rFonts w:ascii="Georgia" w:hAnsi="Georgia"/>
          <w:sz w:val="22"/>
          <w:szCs w:val="24"/>
        </w:rPr>
        <w:t xml:space="preserve">Artículos 14, 36, 38, </w:t>
      </w:r>
      <w:r w:rsidRPr="003C7D75">
        <w:rPr>
          <w:rFonts w:ascii="Georgia" w:hAnsi="Georgia"/>
          <w:sz w:val="22"/>
          <w:szCs w:val="24"/>
        </w:rPr>
        <w:t>107, 164 y 121, CGP</w:t>
      </w:r>
      <w:r w:rsidRPr="003C7D75">
        <w:rPr>
          <w:rFonts w:ascii="Georgia" w:hAnsi="Georgia"/>
          <w:sz w:val="24"/>
          <w:szCs w:val="24"/>
        </w:rPr>
        <w:t>). De tal suerte que la jurisprudencia y doctrina que se han encargado de estudiar el tema con arreglo al CPC</w:t>
      </w:r>
      <w:r w:rsidRPr="003C7D75">
        <w:rPr>
          <w:rFonts w:ascii="Georgia" w:hAnsi="Georgia" w:cs="Arial"/>
          <w:sz w:val="24"/>
          <w:szCs w:val="24"/>
        </w:rPr>
        <w:t>, es aplicable para el nuevo estatuto.</w:t>
      </w:r>
    </w:p>
    <w:p w:rsidR="00B53D39" w:rsidRPr="00C419CF" w:rsidRDefault="00B53D39" w:rsidP="0047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12" w:lineRule="auto"/>
        <w:jc w:val="both"/>
        <w:rPr>
          <w:rFonts w:ascii="Georgia" w:hAnsi="Georgia" w:cs="Arial"/>
          <w:i/>
          <w:sz w:val="24"/>
          <w:szCs w:val="24"/>
        </w:rPr>
      </w:pPr>
    </w:p>
    <w:p w:rsidR="00B53D39" w:rsidRDefault="00B53D39" w:rsidP="0047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12" w:lineRule="auto"/>
        <w:jc w:val="both"/>
        <w:rPr>
          <w:rFonts w:ascii="Georgia" w:hAnsi="Georgia" w:cs="Arial"/>
          <w:sz w:val="24"/>
        </w:rPr>
      </w:pPr>
      <w:r w:rsidRPr="00C419CF">
        <w:rPr>
          <w:rFonts w:ascii="Georgia" w:hAnsi="Georgia" w:cs="Arial"/>
          <w:sz w:val="24"/>
          <w:szCs w:val="22"/>
        </w:rPr>
        <w:t xml:space="preserve">El régimen de esta figura, está informado por el principio de la </w:t>
      </w:r>
      <w:r w:rsidRPr="00C419CF">
        <w:rPr>
          <w:rFonts w:ascii="Georgia" w:hAnsi="Georgia" w:cs="Arial"/>
          <w:sz w:val="24"/>
          <w:szCs w:val="22"/>
          <w:u w:val="single"/>
        </w:rPr>
        <w:t>taxatividad o especificidad</w:t>
      </w:r>
      <w:r w:rsidRPr="00C419CF">
        <w:rPr>
          <w:rFonts w:ascii="Georgia" w:hAnsi="Georgia" w:cs="Arial"/>
          <w:sz w:val="24"/>
          <w:szCs w:val="22"/>
        </w:rPr>
        <w:t xml:space="preserve">, que puede </w:t>
      </w:r>
      <w:r w:rsidRPr="00C419CF">
        <w:rPr>
          <w:rFonts w:ascii="Georgia" w:hAnsi="Georgia" w:cs="Arial"/>
          <w:sz w:val="24"/>
          <w:szCs w:val="24"/>
        </w:rPr>
        <w:t>consultarse en la doctrina, pacífica,</w:t>
      </w:r>
      <w:r w:rsidRPr="00C419CF">
        <w:rPr>
          <w:rFonts w:ascii="Georgia" w:hAnsi="Georgia" w:cs="Arial"/>
          <w:sz w:val="24"/>
        </w:rPr>
        <w:t xml:space="preserve"> de los profesores Canosa T.</w:t>
      </w:r>
      <w:r w:rsidRPr="00C419CF">
        <w:rPr>
          <w:rStyle w:val="Refdenotaalpie"/>
          <w:rFonts w:ascii="Georgia" w:hAnsi="Georgia" w:cs="Arial"/>
          <w:sz w:val="24"/>
        </w:rPr>
        <w:footnoteReference w:id="10"/>
      </w:r>
      <w:r w:rsidRPr="00C419CF">
        <w:rPr>
          <w:rFonts w:ascii="Georgia" w:hAnsi="Georgia" w:cs="Arial"/>
          <w:sz w:val="24"/>
        </w:rPr>
        <w:t>, López B.</w:t>
      </w:r>
      <w:r w:rsidRPr="00C419CF">
        <w:rPr>
          <w:rStyle w:val="Refdenotaalpie"/>
          <w:rFonts w:ascii="Georgia" w:hAnsi="Georgia" w:cs="Arial"/>
          <w:sz w:val="24"/>
        </w:rPr>
        <w:footnoteReference w:id="11"/>
      </w:r>
      <w:r w:rsidRPr="00C419CF">
        <w:rPr>
          <w:rFonts w:ascii="Georgia" w:hAnsi="Georgia" w:cs="Arial"/>
          <w:sz w:val="24"/>
        </w:rPr>
        <w:t>, Azula C.</w:t>
      </w:r>
      <w:r w:rsidRPr="00C419CF">
        <w:rPr>
          <w:rStyle w:val="Refdenotaalpie"/>
          <w:rFonts w:ascii="Georgia" w:hAnsi="Georgia" w:cs="Arial"/>
          <w:sz w:val="24"/>
        </w:rPr>
        <w:footnoteReference w:id="12"/>
      </w:r>
      <w:r w:rsidRPr="00C419CF">
        <w:rPr>
          <w:rFonts w:ascii="Georgia" w:hAnsi="Georgia" w:cs="Arial"/>
          <w:sz w:val="24"/>
        </w:rPr>
        <w:t>, Rojas G.</w:t>
      </w:r>
      <w:r w:rsidRPr="00C419CF">
        <w:rPr>
          <w:rStyle w:val="Refdenotaalpie"/>
          <w:rFonts w:ascii="Georgia" w:hAnsi="Georgia" w:cs="Arial"/>
          <w:sz w:val="24"/>
        </w:rPr>
        <w:footnoteReference w:id="13"/>
      </w:r>
      <w:r w:rsidRPr="00C419CF">
        <w:rPr>
          <w:rFonts w:ascii="Georgia" w:hAnsi="Georgia" w:cs="Arial"/>
          <w:sz w:val="24"/>
        </w:rPr>
        <w:t xml:space="preserve"> y Sanabria S.</w:t>
      </w:r>
      <w:r w:rsidRPr="00C419CF">
        <w:rPr>
          <w:rStyle w:val="Refdenotaalpie"/>
          <w:rFonts w:ascii="Georgia" w:hAnsi="Georgia" w:cs="Arial"/>
          <w:sz w:val="24"/>
        </w:rPr>
        <w:footnoteReference w:id="14"/>
      </w:r>
      <w:r w:rsidRPr="00C419CF">
        <w:rPr>
          <w:rFonts w:ascii="Georgia" w:hAnsi="Georgia" w:cs="Arial"/>
          <w:sz w:val="24"/>
        </w:rPr>
        <w:t xml:space="preserve">. </w:t>
      </w:r>
      <w:r w:rsidRPr="00C419CF">
        <w:rPr>
          <w:rFonts w:ascii="Georgia" w:hAnsi="Georgia" w:cs="Arial"/>
          <w:sz w:val="24"/>
          <w:szCs w:val="22"/>
        </w:rPr>
        <w:t>Otros principios</w:t>
      </w:r>
      <w:r w:rsidRPr="00C419CF">
        <w:rPr>
          <w:rStyle w:val="Refdenotaalpie"/>
          <w:rFonts w:ascii="Georgia" w:hAnsi="Georgia" w:cs="Arial"/>
          <w:sz w:val="24"/>
          <w:szCs w:val="22"/>
        </w:rPr>
        <w:footnoteReference w:id="15"/>
      </w:r>
      <w:r w:rsidRPr="00C419CF">
        <w:rPr>
          <w:rFonts w:ascii="Georgia" w:hAnsi="Georgia" w:cs="Arial"/>
          <w:sz w:val="24"/>
          <w:szCs w:val="22"/>
        </w:rPr>
        <w:t xml:space="preserve"> de igual entidad, que permean la herramienta en comento, </w:t>
      </w:r>
      <w:r w:rsidRPr="00C419CF">
        <w:rPr>
          <w:rFonts w:ascii="Georgia" w:hAnsi="Georgia" w:cs="Arial"/>
          <w:sz w:val="24"/>
        </w:rPr>
        <w:t>son el de preclusión, protección, convalidación y trascendencia, reconocidos por la jurisprudencia de la CSJ</w:t>
      </w:r>
      <w:r w:rsidRPr="00C419CF">
        <w:rPr>
          <w:rStyle w:val="Refdenotaalpie"/>
          <w:rFonts w:ascii="Georgia" w:hAnsi="Georgia"/>
          <w:sz w:val="24"/>
        </w:rPr>
        <w:footnoteReference w:id="16"/>
      </w:r>
      <w:r w:rsidR="003C7D75">
        <w:rPr>
          <w:rFonts w:ascii="Georgia" w:hAnsi="Georgia" w:cs="Arial"/>
          <w:sz w:val="24"/>
        </w:rPr>
        <w:t>.</w:t>
      </w:r>
    </w:p>
    <w:p w:rsidR="003C7D75" w:rsidRPr="00C419CF" w:rsidRDefault="003C7D75" w:rsidP="0047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12" w:lineRule="auto"/>
        <w:jc w:val="both"/>
        <w:rPr>
          <w:rFonts w:ascii="Georgia" w:hAnsi="Georgia" w:cs="Arial"/>
        </w:rPr>
      </w:pPr>
    </w:p>
    <w:p w:rsidR="003C7D75" w:rsidRDefault="00B53D39" w:rsidP="00475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12" w:lineRule="auto"/>
        <w:jc w:val="both"/>
        <w:rPr>
          <w:rFonts w:ascii="Georgia" w:hAnsi="Georgia" w:cs="Arial"/>
        </w:rPr>
      </w:pPr>
      <w:r w:rsidRPr="00C419CF">
        <w:rPr>
          <w:rFonts w:ascii="Georgia" w:hAnsi="Georgia" w:cs="Arial"/>
          <w:sz w:val="24"/>
        </w:rPr>
        <w:t>Las sentencias C-491 de 1995 y C-217 de 1996, agregaron otra causal, en los siguientes términos:</w:t>
      </w:r>
      <w:r w:rsidRPr="00C419CF">
        <w:rPr>
          <w:rFonts w:ascii="Georgia" w:hAnsi="Georgia" w:cs="Arial"/>
        </w:rPr>
        <w:t xml:space="preserve"> </w:t>
      </w:r>
      <w:r w:rsidRPr="00C419CF">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Pr="00C419CF">
        <w:rPr>
          <w:rFonts w:ascii="Georgia" w:hAnsi="Georgia" w:cs="Arial"/>
          <w:sz w:val="22"/>
        </w:rPr>
        <w:t xml:space="preserve"> </w:t>
      </w:r>
      <w:r w:rsidRPr="00C419CF">
        <w:rPr>
          <w:rFonts w:ascii="Georgia" w:hAnsi="Georgia" w:cs="Arial"/>
          <w:sz w:val="24"/>
          <w:szCs w:val="24"/>
        </w:rPr>
        <w:t>Hoy reconocidas en el CGP (</w:t>
      </w:r>
      <w:r w:rsidRPr="00C419CF">
        <w:rPr>
          <w:rFonts w:ascii="Georgia" w:hAnsi="Georgia" w:cs="Arial"/>
          <w:sz w:val="22"/>
          <w:szCs w:val="24"/>
        </w:rPr>
        <w:t>Artículos 14, 164 y 168</w:t>
      </w:r>
      <w:r w:rsidRPr="00C419CF">
        <w:rPr>
          <w:rFonts w:ascii="Georgia" w:hAnsi="Georgia" w:cs="Arial"/>
          <w:sz w:val="24"/>
          <w:szCs w:val="24"/>
        </w:rPr>
        <w:t>)</w:t>
      </w:r>
      <w:r w:rsidR="003C7D75" w:rsidRPr="003C7D75">
        <w:rPr>
          <w:rFonts w:ascii="Georgia" w:hAnsi="Georgia" w:cs="Arial"/>
          <w:sz w:val="24"/>
        </w:rPr>
        <w:t>; y, revalidada para el CGP con la C-537 de 2016, que declaró exequible, entre otros, al mentado artículo 133, y que es distinta de la prevista en su numeral 5º.</w:t>
      </w:r>
    </w:p>
    <w:p w:rsidR="00B53D39" w:rsidRPr="00C419CF" w:rsidRDefault="00B53D39" w:rsidP="0047502C">
      <w:pPr>
        <w:pStyle w:val="Sinespaciado"/>
        <w:spacing w:line="312" w:lineRule="auto"/>
        <w:jc w:val="both"/>
        <w:rPr>
          <w:rFonts w:ascii="Georgia" w:hAnsi="Georgia" w:cs="Arial"/>
        </w:rPr>
      </w:pPr>
    </w:p>
    <w:p w:rsidR="00B53D39" w:rsidRPr="00C419CF" w:rsidRDefault="00B53D39" w:rsidP="0047502C">
      <w:pPr>
        <w:tabs>
          <w:tab w:val="left" w:pos="-720"/>
        </w:tabs>
        <w:suppressAutoHyphens/>
        <w:spacing w:line="312" w:lineRule="auto"/>
        <w:jc w:val="both"/>
        <w:rPr>
          <w:rFonts w:ascii="Georgia" w:hAnsi="Georgia" w:cs="Arial"/>
          <w:sz w:val="24"/>
          <w:szCs w:val="24"/>
          <w:lang w:val="es-MX"/>
        </w:rPr>
      </w:pPr>
      <w:r w:rsidRPr="00C419CF">
        <w:rPr>
          <w:rFonts w:ascii="Georgia" w:hAnsi="Georgia" w:cs="Arial"/>
          <w:sz w:val="24"/>
        </w:rPr>
        <w:t xml:space="preserve">Deben concurrir como presupuestos para que se configure una nulidad, la legitimación, la falta de saneamiento y la </w:t>
      </w:r>
      <w:r w:rsidRPr="003C7D75">
        <w:rPr>
          <w:rFonts w:ascii="Georgia" w:hAnsi="Georgia" w:cs="Arial"/>
          <w:sz w:val="24"/>
        </w:rPr>
        <w:t>oportunidad</w:t>
      </w:r>
      <w:r w:rsidRPr="00C419CF">
        <w:rPr>
          <w:rFonts w:ascii="Georgia" w:hAnsi="Georgia" w:cs="Arial"/>
          <w:sz w:val="24"/>
        </w:rPr>
        <w:t xml:space="preserve"> para proponerlas (</w:t>
      </w:r>
      <w:r w:rsidRPr="00C419CF">
        <w:rPr>
          <w:rFonts w:ascii="Georgia" w:hAnsi="Georgia" w:cs="Arial"/>
          <w:sz w:val="22"/>
        </w:rPr>
        <w:t>Artículos 134, 135 y 136, ibídem</w:t>
      </w:r>
      <w:r w:rsidRPr="00C419CF">
        <w:rPr>
          <w:rFonts w:ascii="Georgia" w:hAnsi="Georgia" w:cs="Arial"/>
          <w:sz w:val="24"/>
        </w:rPr>
        <w:t xml:space="preserve">); verificado el cumplimiento de tales requisitos se abre paso el análisis de la respectiva causal. </w:t>
      </w:r>
    </w:p>
    <w:p w:rsidR="00FB3C6F" w:rsidRPr="00C419CF" w:rsidRDefault="00FB3C6F" w:rsidP="0047502C">
      <w:pPr>
        <w:pStyle w:val="Textopredeterminado"/>
        <w:spacing w:line="312" w:lineRule="auto"/>
        <w:jc w:val="both"/>
        <w:rPr>
          <w:rFonts w:ascii="Georgia" w:hAnsi="Georgia" w:cs="Arial"/>
        </w:rPr>
      </w:pPr>
    </w:p>
    <w:p w:rsidR="00FB3C6F" w:rsidRPr="00C419CF" w:rsidRDefault="00FB3C6F" w:rsidP="0047502C">
      <w:pPr>
        <w:pStyle w:val="Sinespaciado"/>
        <w:widowControl/>
        <w:numPr>
          <w:ilvl w:val="1"/>
          <w:numId w:val="10"/>
        </w:numPr>
        <w:autoSpaceDE/>
        <w:autoSpaceDN/>
        <w:adjustRightInd/>
        <w:spacing w:line="312" w:lineRule="auto"/>
        <w:jc w:val="both"/>
        <w:rPr>
          <w:rFonts w:ascii="Georgia" w:hAnsi="Georgia" w:cs="Arial"/>
          <w:smallCaps/>
          <w:sz w:val="25"/>
          <w:szCs w:val="25"/>
        </w:rPr>
      </w:pPr>
      <w:r w:rsidRPr="00C419CF">
        <w:rPr>
          <w:rFonts w:ascii="Georgia" w:hAnsi="Georgia" w:cs="Arial"/>
          <w:smallCaps/>
          <w:sz w:val="25"/>
          <w:szCs w:val="25"/>
        </w:rPr>
        <w:t xml:space="preserve">La nulidad por indebida notificación </w:t>
      </w:r>
    </w:p>
    <w:p w:rsidR="007D6174" w:rsidRPr="00C419CF" w:rsidRDefault="007D6174" w:rsidP="0047502C">
      <w:pPr>
        <w:pStyle w:val="Textopredeterminado"/>
        <w:spacing w:line="312" w:lineRule="auto"/>
        <w:jc w:val="both"/>
        <w:rPr>
          <w:rFonts w:ascii="Georgia" w:hAnsi="Georgia" w:cs="Arial"/>
          <w:szCs w:val="24"/>
        </w:rPr>
      </w:pPr>
    </w:p>
    <w:p w:rsidR="007D6174" w:rsidRPr="00C419CF" w:rsidRDefault="007D6174" w:rsidP="0047502C">
      <w:pPr>
        <w:pStyle w:val="Textopredeterminado"/>
        <w:spacing w:line="312" w:lineRule="auto"/>
        <w:jc w:val="both"/>
        <w:rPr>
          <w:rFonts w:ascii="Georgia" w:hAnsi="Georgia" w:cs="Arial"/>
          <w:szCs w:val="24"/>
        </w:rPr>
      </w:pPr>
      <w:r w:rsidRPr="00C419CF">
        <w:rPr>
          <w:rFonts w:ascii="Georgia" w:hAnsi="Georgia" w:cs="Arial"/>
          <w:szCs w:val="24"/>
        </w:rPr>
        <w:t xml:space="preserve">Como atrás se dijera, la figura de la nulidad en el nuevo estatuto fue creada </w:t>
      </w:r>
      <w:r w:rsidR="00622F9C">
        <w:rPr>
          <w:rFonts w:ascii="Georgia" w:hAnsi="Georgia" w:cs="Arial"/>
          <w:szCs w:val="24"/>
        </w:rPr>
        <w:t xml:space="preserve">con </w:t>
      </w:r>
      <w:r w:rsidRPr="00C419CF">
        <w:rPr>
          <w:rFonts w:ascii="Georgia" w:hAnsi="Georgia" w:cs="Arial"/>
          <w:szCs w:val="24"/>
        </w:rPr>
        <w:t>l</w:t>
      </w:r>
      <w:r w:rsidR="00AE3824" w:rsidRPr="00C419CF">
        <w:rPr>
          <w:rFonts w:ascii="Georgia" w:hAnsi="Georgia" w:cs="Arial"/>
          <w:szCs w:val="24"/>
        </w:rPr>
        <w:t xml:space="preserve">as mismas bases en que estaba instituida en el CPC y, específicamente, en lo que refiere a la invalidez por una incorrecta notificación se concretó en el numeral 8º, la que antes </w:t>
      </w:r>
      <w:r w:rsidR="00AE3824" w:rsidRPr="00C419CF">
        <w:rPr>
          <w:rFonts w:ascii="Georgia" w:hAnsi="Georgia" w:cs="Arial"/>
          <w:szCs w:val="24"/>
        </w:rPr>
        <w:lastRenderedPageBreak/>
        <w:t>estaba dividida dependiendo del afectado (Numeral</w:t>
      </w:r>
      <w:r w:rsidR="003C7D75">
        <w:rPr>
          <w:rFonts w:ascii="Georgia" w:hAnsi="Georgia" w:cs="Arial"/>
          <w:szCs w:val="24"/>
        </w:rPr>
        <w:t>es</w:t>
      </w:r>
      <w:r w:rsidR="00AE3824" w:rsidRPr="00C419CF">
        <w:rPr>
          <w:rFonts w:ascii="Georgia" w:hAnsi="Georgia" w:cs="Arial"/>
          <w:szCs w:val="24"/>
        </w:rPr>
        <w:t xml:space="preserve"> 8º respecto al demandado y 9º frente a los terceros que debían ser citados como partes).</w:t>
      </w:r>
      <w:r w:rsidRPr="00C419CF">
        <w:rPr>
          <w:rFonts w:ascii="Georgia" w:hAnsi="Georgia" w:cs="Arial"/>
          <w:szCs w:val="24"/>
        </w:rPr>
        <w:t xml:space="preserve"> </w:t>
      </w:r>
    </w:p>
    <w:p w:rsidR="00AE3824" w:rsidRPr="00C419CF" w:rsidRDefault="00AE3824" w:rsidP="0047502C">
      <w:pPr>
        <w:pStyle w:val="Textopredeterminado"/>
        <w:spacing w:line="312" w:lineRule="auto"/>
        <w:jc w:val="both"/>
        <w:rPr>
          <w:rFonts w:ascii="Georgia" w:hAnsi="Georgia" w:cs="Arial"/>
          <w:sz w:val="20"/>
          <w:szCs w:val="24"/>
        </w:rPr>
      </w:pPr>
    </w:p>
    <w:p w:rsidR="00AE3824" w:rsidRPr="00C419CF" w:rsidRDefault="00AE3824" w:rsidP="0047502C">
      <w:pPr>
        <w:tabs>
          <w:tab w:val="left" w:pos="-720"/>
        </w:tabs>
        <w:suppressAutoHyphens/>
        <w:spacing w:line="312" w:lineRule="auto"/>
        <w:jc w:val="both"/>
        <w:rPr>
          <w:rFonts w:ascii="Georgia" w:hAnsi="Georgia" w:cs="Tahoma"/>
          <w:sz w:val="24"/>
          <w:szCs w:val="24"/>
        </w:rPr>
      </w:pPr>
      <w:r w:rsidRPr="00C419CF">
        <w:rPr>
          <w:rFonts w:ascii="Georgia" w:hAnsi="Georgia" w:cs="Arial"/>
          <w:spacing w:val="-3"/>
          <w:sz w:val="24"/>
        </w:rPr>
        <w:t>Esta causal</w:t>
      </w:r>
      <w:r w:rsidR="00FB3C6F" w:rsidRPr="00C419CF">
        <w:rPr>
          <w:rFonts w:ascii="Georgia" w:hAnsi="Georgia" w:cs="Arial"/>
          <w:spacing w:val="-3"/>
          <w:sz w:val="24"/>
        </w:rPr>
        <w:t xml:space="preserve"> </w:t>
      </w:r>
      <w:r w:rsidR="00F674AA">
        <w:rPr>
          <w:rFonts w:ascii="Georgia" w:hAnsi="Georgia" w:cs="Arial"/>
          <w:spacing w:val="-3"/>
          <w:sz w:val="24"/>
        </w:rPr>
        <w:t xml:space="preserve">se presenta </w:t>
      </w:r>
      <w:r w:rsidR="00FB3C6F" w:rsidRPr="00C419CF">
        <w:rPr>
          <w:rFonts w:ascii="Georgia" w:hAnsi="Georgia" w:cs="Arial"/>
          <w:spacing w:val="-3"/>
          <w:sz w:val="24"/>
        </w:rPr>
        <w:t>cuando</w:t>
      </w:r>
      <w:r w:rsidR="00F674AA">
        <w:rPr>
          <w:rFonts w:ascii="Georgia" w:hAnsi="Georgia" w:cs="Arial"/>
          <w:spacing w:val="-3"/>
          <w:sz w:val="24"/>
        </w:rPr>
        <w:t>,</w:t>
      </w:r>
      <w:r w:rsidR="00FB3C6F" w:rsidRPr="00C419CF">
        <w:rPr>
          <w:rFonts w:ascii="Georgia" w:hAnsi="Georgia" w:cs="Arial"/>
          <w:spacing w:val="-3"/>
          <w:sz w:val="24"/>
        </w:rPr>
        <w:t xml:space="preserve"> no se practica en forma leg</w:t>
      </w:r>
      <w:r w:rsidR="00F674AA">
        <w:rPr>
          <w:rFonts w:ascii="Georgia" w:hAnsi="Georgia" w:cs="Arial"/>
          <w:spacing w:val="-3"/>
          <w:sz w:val="24"/>
        </w:rPr>
        <w:t xml:space="preserve">al </w:t>
      </w:r>
      <w:r w:rsidR="00FB3C6F" w:rsidRPr="00C419CF">
        <w:rPr>
          <w:rFonts w:ascii="Georgia" w:hAnsi="Georgia" w:cs="Arial"/>
          <w:spacing w:val="-3"/>
          <w:sz w:val="24"/>
        </w:rPr>
        <w:t xml:space="preserve">la notificación </w:t>
      </w:r>
      <w:r w:rsidR="00FB3C6F" w:rsidRPr="00C419CF">
        <w:rPr>
          <w:rFonts w:ascii="Georgia" w:hAnsi="Georgia" w:cs="Arial"/>
          <w:spacing w:val="-3"/>
          <w:sz w:val="24"/>
          <w:u w:val="single"/>
        </w:rPr>
        <w:t xml:space="preserve">de la </w:t>
      </w:r>
      <w:r w:rsidR="00FB3C6F" w:rsidRPr="00C419CF">
        <w:rPr>
          <w:rFonts w:ascii="Georgia" w:hAnsi="Georgia" w:cs="Arial"/>
          <w:spacing w:val="-3"/>
          <w:sz w:val="24"/>
          <w:szCs w:val="24"/>
          <w:u w:val="single"/>
        </w:rPr>
        <w:t>providencia que admite la demanda</w:t>
      </w:r>
      <w:r w:rsidR="0013450B" w:rsidRPr="00C419CF">
        <w:rPr>
          <w:rFonts w:ascii="Georgia" w:hAnsi="Georgia" w:cs="Arial"/>
          <w:spacing w:val="-3"/>
          <w:sz w:val="24"/>
          <w:szCs w:val="24"/>
          <w:u w:val="single"/>
        </w:rPr>
        <w:t xml:space="preserve">, </w:t>
      </w:r>
      <w:r w:rsidR="0013450B" w:rsidRPr="00C419CF">
        <w:rPr>
          <w:rFonts w:ascii="Georgia" w:hAnsi="Georgia" w:cs="Arial"/>
          <w:spacing w:val="-3"/>
          <w:sz w:val="24"/>
          <w:szCs w:val="24"/>
        </w:rPr>
        <w:t>o libra mandamiento ejecutivo, a</w:t>
      </w:r>
      <w:r w:rsidR="0013450B" w:rsidRPr="00C419CF">
        <w:rPr>
          <w:rFonts w:ascii="Georgia" w:hAnsi="Georgia" w:cs="Arial"/>
          <w:spacing w:val="-3"/>
          <w:sz w:val="24"/>
        </w:rPr>
        <w:t xml:space="preserve"> </w:t>
      </w:r>
      <w:r w:rsidR="0013450B" w:rsidRPr="00C419CF">
        <w:rPr>
          <w:rFonts w:ascii="Georgia" w:hAnsi="Georgia" w:cs="Arial"/>
          <w:i/>
          <w:spacing w:val="-3"/>
          <w:sz w:val="22"/>
          <w:szCs w:val="22"/>
        </w:rPr>
        <w:t xml:space="preserve">“(…) </w:t>
      </w:r>
      <w:r w:rsidRPr="00C419CF">
        <w:rPr>
          <w:rFonts w:ascii="Georgia" w:hAnsi="Georgia" w:cs="Tahoma"/>
          <w:i/>
          <w:sz w:val="22"/>
          <w:szCs w:val="22"/>
        </w:rPr>
        <w:t xml:space="preserve">personas determinadas, </w:t>
      </w:r>
      <w:r w:rsidR="0013450B" w:rsidRPr="00C419CF">
        <w:rPr>
          <w:rFonts w:ascii="Georgia" w:hAnsi="Georgia" w:cs="Tahoma"/>
          <w:i/>
          <w:sz w:val="22"/>
          <w:szCs w:val="22"/>
        </w:rPr>
        <w:t xml:space="preserve">o </w:t>
      </w:r>
      <w:r w:rsidRPr="00C419CF">
        <w:rPr>
          <w:rFonts w:ascii="Georgia" w:hAnsi="Georgia" w:cs="Tahoma"/>
          <w:i/>
          <w:sz w:val="22"/>
          <w:szCs w:val="22"/>
        </w:rPr>
        <w:t>el emplazamiento de las demás personas aunque sean indeterminadas</w:t>
      </w:r>
      <w:r w:rsidR="0013450B" w:rsidRPr="00C419CF">
        <w:rPr>
          <w:rFonts w:ascii="Georgia" w:hAnsi="Georgia" w:cs="Tahoma"/>
          <w:i/>
          <w:sz w:val="22"/>
          <w:szCs w:val="22"/>
        </w:rPr>
        <w:t>,</w:t>
      </w:r>
      <w:r w:rsidRPr="00C419CF">
        <w:rPr>
          <w:rFonts w:ascii="Georgia" w:hAnsi="Georgia" w:cs="Tahoma"/>
          <w:i/>
          <w:sz w:val="22"/>
          <w:szCs w:val="22"/>
        </w:rPr>
        <w:t xml:space="preserve"> que deban ser citadas como partes, o de aquéllas que deban suceder en el proceso a cualquiera de las partes, cuando la ley así lo ordena, o no se cita en debida forma al Ministerio Público o a cualquier otra persona o entidad que de acuerdo con la ley debió ser citado</w:t>
      </w:r>
      <w:r w:rsidR="0013450B" w:rsidRPr="00C419CF">
        <w:rPr>
          <w:rFonts w:ascii="Georgia" w:hAnsi="Georgia" w:cs="Tahoma"/>
          <w:i/>
          <w:sz w:val="22"/>
          <w:szCs w:val="22"/>
        </w:rPr>
        <w:t xml:space="preserve"> (…)”</w:t>
      </w:r>
      <w:r w:rsidR="0013450B" w:rsidRPr="00C419CF">
        <w:rPr>
          <w:rFonts w:ascii="Georgia" w:hAnsi="Georgia" w:cs="Tahoma"/>
          <w:sz w:val="22"/>
          <w:szCs w:val="22"/>
        </w:rPr>
        <w:t>.</w:t>
      </w:r>
      <w:r w:rsidR="0013450B" w:rsidRPr="00C419CF">
        <w:rPr>
          <w:rFonts w:ascii="Georgia" w:hAnsi="Georgia" w:cs="Tahoma"/>
          <w:sz w:val="24"/>
          <w:szCs w:val="24"/>
        </w:rPr>
        <w:t xml:space="preserve"> Y agrega</w:t>
      </w:r>
      <w:r w:rsidR="00F674AA">
        <w:rPr>
          <w:rFonts w:ascii="Georgia" w:hAnsi="Georgia" w:cs="Tahoma"/>
          <w:sz w:val="24"/>
          <w:szCs w:val="24"/>
        </w:rPr>
        <w:t xml:space="preserve"> la norma</w:t>
      </w:r>
      <w:r w:rsidR="0013450B" w:rsidRPr="00C419CF">
        <w:rPr>
          <w:rFonts w:ascii="Georgia" w:hAnsi="Georgia" w:cs="Tahoma"/>
          <w:sz w:val="24"/>
          <w:szCs w:val="24"/>
        </w:rPr>
        <w:t xml:space="preserve"> que</w:t>
      </w:r>
      <w:r w:rsidR="00416265" w:rsidRPr="00C419CF">
        <w:rPr>
          <w:rFonts w:ascii="Georgia" w:hAnsi="Georgia" w:cs="Tahoma"/>
          <w:sz w:val="24"/>
          <w:szCs w:val="24"/>
        </w:rPr>
        <w:t>,</w:t>
      </w:r>
      <w:r w:rsidR="0013450B" w:rsidRPr="00C419CF">
        <w:rPr>
          <w:rFonts w:ascii="Georgia" w:hAnsi="Georgia" w:cs="Tahoma"/>
          <w:sz w:val="24"/>
          <w:szCs w:val="24"/>
        </w:rPr>
        <w:t xml:space="preserve"> </w:t>
      </w:r>
      <w:r w:rsidR="00F674AA">
        <w:rPr>
          <w:rFonts w:ascii="Georgia" w:hAnsi="Georgia" w:cs="Tahoma"/>
          <w:sz w:val="24"/>
          <w:szCs w:val="24"/>
        </w:rPr>
        <w:t xml:space="preserve">también puede darse </w:t>
      </w:r>
      <w:r w:rsidR="0013450B" w:rsidRPr="00C419CF">
        <w:rPr>
          <w:rFonts w:ascii="Georgia" w:hAnsi="Georgia" w:cs="Tahoma"/>
          <w:sz w:val="24"/>
          <w:szCs w:val="24"/>
        </w:rPr>
        <w:t>al advertirse que</w:t>
      </w:r>
      <w:r w:rsidR="00F674AA">
        <w:rPr>
          <w:rFonts w:ascii="Georgia" w:hAnsi="Georgia" w:cs="Tahoma"/>
          <w:sz w:val="24"/>
          <w:szCs w:val="24"/>
        </w:rPr>
        <w:t>,</w:t>
      </w:r>
      <w:r w:rsidR="0013450B" w:rsidRPr="00C419CF">
        <w:rPr>
          <w:rFonts w:ascii="Georgia" w:hAnsi="Georgia" w:cs="Tahoma"/>
          <w:sz w:val="24"/>
          <w:szCs w:val="24"/>
        </w:rPr>
        <w:t xml:space="preserve"> se ha dejado de notificar una decisión distinta del auto admisorio, defecto </w:t>
      </w:r>
      <w:r w:rsidR="00171EDA">
        <w:rPr>
          <w:rFonts w:ascii="Georgia" w:hAnsi="Georgia" w:cs="Tahoma"/>
          <w:sz w:val="24"/>
          <w:szCs w:val="24"/>
        </w:rPr>
        <w:t xml:space="preserve">que </w:t>
      </w:r>
      <w:r w:rsidR="0013450B" w:rsidRPr="00C419CF">
        <w:rPr>
          <w:rFonts w:ascii="Georgia" w:hAnsi="Georgia" w:cs="Tahoma"/>
          <w:sz w:val="24"/>
          <w:szCs w:val="24"/>
        </w:rPr>
        <w:t xml:space="preserve">se corregirá realizando la notificación omitida.  </w:t>
      </w:r>
    </w:p>
    <w:p w:rsidR="00AE3824" w:rsidRPr="00C419CF" w:rsidRDefault="00AE3824" w:rsidP="0047502C">
      <w:pPr>
        <w:tabs>
          <w:tab w:val="left" w:pos="-720"/>
        </w:tabs>
        <w:suppressAutoHyphens/>
        <w:spacing w:line="312" w:lineRule="auto"/>
        <w:jc w:val="both"/>
        <w:rPr>
          <w:rFonts w:ascii="Georgia" w:hAnsi="Georgia" w:cs="Tahoma"/>
          <w:sz w:val="22"/>
          <w:szCs w:val="22"/>
        </w:rPr>
      </w:pPr>
    </w:p>
    <w:p w:rsidR="001D49AF" w:rsidRPr="00C419CF" w:rsidRDefault="00416265" w:rsidP="0047502C">
      <w:pPr>
        <w:tabs>
          <w:tab w:val="left" w:pos="-720"/>
        </w:tabs>
        <w:suppressAutoHyphens/>
        <w:spacing w:line="312" w:lineRule="auto"/>
        <w:jc w:val="both"/>
        <w:rPr>
          <w:rFonts w:ascii="Georgia" w:hAnsi="Georgia" w:cs="Arial"/>
          <w:sz w:val="24"/>
          <w:szCs w:val="24"/>
        </w:rPr>
      </w:pPr>
      <w:r w:rsidRPr="00C419CF">
        <w:rPr>
          <w:rFonts w:ascii="Georgia" w:hAnsi="Georgia" w:cs="Arial"/>
          <w:spacing w:val="-3"/>
          <w:sz w:val="24"/>
        </w:rPr>
        <w:t xml:space="preserve">De </w:t>
      </w:r>
      <w:r w:rsidR="00F674AA">
        <w:rPr>
          <w:rFonts w:ascii="Georgia" w:hAnsi="Georgia" w:cs="Arial"/>
          <w:spacing w:val="-3"/>
          <w:sz w:val="24"/>
        </w:rPr>
        <w:t xml:space="preserve">lo anterior, </w:t>
      </w:r>
      <w:r w:rsidRPr="00C419CF">
        <w:rPr>
          <w:rFonts w:ascii="Georgia" w:hAnsi="Georgia" w:cs="Arial"/>
          <w:spacing w:val="-3"/>
          <w:sz w:val="24"/>
        </w:rPr>
        <w:t xml:space="preserve">debe destacarse, que la primera </w:t>
      </w:r>
      <w:r w:rsidR="007D51D7" w:rsidRPr="00C419CF">
        <w:rPr>
          <w:rFonts w:ascii="Georgia" w:hAnsi="Georgia" w:cs="Arial"/>
          <w:spacing w:val="-3"/>
          <w:sz w:val="24"/>
        </w:rPr>
        <w:t xml:space="preserve">parte </w:t>
      </w:r>
      <w:r w:rsidRPr="00C419CF">
        <w:rPr>
          <w:rFonts w:ascii="Georgia" w:hAnsi="Georgia" w:cs="Arial"/>
          <w:spacing w:val="-3"/>
          <w:sz w:val="24"/>
        </w:rPr>
        <w:t xml:space="preserve">alude al </w:t>
      </w:r>
      <w:r w:rsidR="00FB3C6F" w:rsidRPr="00C419CF">
        <w:rPr>
          <w:rFonts w:ascii="Georgia" w:hAnsi="Georgia" w:cs="Arial"/>
          <w:spacing w:val="-3"/>
          <w:sz w:val="24"/>
        </w:rPr>
        <w:t>acto procesal</w:t>
      </w:r>
      <w:r w:rsidRPr="00C419CF">
        <w:rPr>
          <w:rFonts w:ascii="Georgia" w:hAnsi="Georgia" w:cs="Arial"/>
          <w:spacing w:val="-3"/>
          <w:sz w:val="24"/>
        </w:rPr>
        <w:t xml:space="preserve"> que </w:t>
      </w:r>
      <w:r w:rsidR="00FB3C6F" w:rsidRPr="00C419CF">
        <w:rPr>
          <w:rFonts w:ascii="Georgia" w:hAnsi="Georgia" w:cs="Arial"/>
          <w:spacing w:val="-3"/>
          <w:sz w:val="24"/>
        </w:rPr>
        <w:t>tiene el carácter de principal, dado que pretende asegurar la debida vinculación de la parte pasiva</w:t>
      </w:r>
      <w:r w:rsidR="007D51D7" w:rsidRPr="00C419CF">
        <w:rPr>
          <w:rFonts w:ascii="Georgia" w:hAnsi="Georgia" w:cs="Arial"/>
          <w:spacing w:val="-3"/>
          <w:sz w:val="24"/>
        </w:rPr>
        <w:t xml:space="preserve"> y que</w:t>
      </w:r>
      <w:r w:rsidR="00F674AA">
        <w:rPr>
          <w:rFonts w:ascii="Georgia" w:hAnsi="Georgia" w:cs="Arial"/>
          <w:spacing w:val="-3"/>
          <w:sz w:val="24"/>
        </w:rPr>
        <w:t>,</w:t>
      </w:r>
      <w:r w:rsidR="007D51D7" w:rsidRPr="00C419CF">
        <w:rPr>
          <w:rFonts w:ascii="Georgia" w:hAnsi="Georgia" w:cs="Arial"/>
          <w:spacing w:val="-3"/>
          <w:sz w:val="24"/>
        </w:rPr>
        <w:t xml:space="preserve"> en la generalidad de los casos</w:t>
      </w:r>
      <w:r w:rsidR="00F674AA">
        <w:rPr>
          <w:rFonts w:ascii="Georgia" w:hAnsi="Georgia" w:cs="Arial"/>
          <w:spacing w:val="-3"/>
          <w:sz w:val="24"/>
        </w:rPr>
        <w:t>,</w:t>
      </w:r>
      <w:r w:rsidR="007D51D7" w:rsidRPr="00C419CF">
        <w:rPr>
          <w:rFonts w:ascii="Georgia" w:hAnsi="Georgia" w:cs="Arial"/>
          <w:spacing w:val="-3"/>
          <w:sz w:val="24"/>
        </w:rPr>
        <w:t xml:space="preserve"> se cumple bajo las reglas de la notificación personal (</w:t>
      </w:r>
      <w:r w:rsidR="007D51D7" w:rsidRPr="00C419CF">
        <w:rPr>
          <w:rFonts w:ascii="Georgia" w:hAnsi="Georgia" w:cs="Arial"/>
          <w:spacing w:val="-3"/>
          <w:sz w:val="22"/>
        </w:rPr>
        <w:t>Artículos 290 y 291, ib.</w:t>
      </w:r>
      <w:r w:rsidR="007D51D7" w:rsidRPr="00C419CF">
        <w:rPr>
          <w:rFonts w:ascii="Georgia" w:hAnsi="Georgia" w:cs="Arial"/>
          <w:spacing w:val="-3"/>
          <w:sz w:val="24"/>
        </w:rPr>
        <w:t>), por aviso (</w:t>
      </w:r>
      <w:r w:rsidR="001D49AF" w:rsidRPr="00C419CF">
        <w:rPr>
          <w:rFonts w:ascii="Georgia" w:hAnsi="Georgia" w:cs="Arial"/>
          <w:spacing w:val="-3"/>
          <w:sz w:val="22"/>
        </w:rPr>
        <w:t>Artículo 292</w:t>
      </w:r>
      <w:r w:rsidR="001D49AF" w:rsidRPr="00C419CF">
        <w:rPr>
          <w:rFonts w:ascii="Georgia" w:hAnsi="Georgia" w:cs="Arial"/>
          <w:spacing w:val="-3"/>
          <w:sz w:val="24"/>
        </w:rPr>
        <w:t xml:space="preserve">) </w:t>
      </w:r>
      <w:r w:rsidR="007D51D7" w:rsidRPr="00C419CF">
        <w:rPr>
          <w:rFonts w:ascii="Georgia" w:hAnsi="Georgia" w:cs="Arial"/>
          <w:spacing w:val="-3"/>
          <w:sz w:val="24"/>
        </w:rPr>
        <w:t>o,  subsidiariamente, por emplazamiento (</w:t>
      </w:r>
      <w:r w:rsidR="007D51D7" w:rsidRPr="00C419CF">
        <w:rPr>
          <w:rFonts w:ascii="Georgia" w:hAnsi="Georgia" w:cs="Arial"/>
          <w:spacing w:val="-3"/>
          <w:sz w:val="22"/>
        </w:rPr>
        <w:t>Artículos 293 en concordancia con el artículo 108, ib.</w:t>
      </w:r>
      <w:r w:rsidR="001D49AF" w:rsidRPr="00C419CF">
        <w:rPr>
          <w:rFonts w:ascii="Georgia" w:hAnsi="Georgia" w:cs="Arial"/>
          <w:spacing w:val="-3"/>
          <w:sz w:val="24"/>
        </w:rPr>
        <w:t xml:space="preserve">); todo ello </w:t>
      </w:r>
      <w:r w:rsidR="00FB3C6F" w:rsidRPr="00C419CF">
        <w:rPr>
          <w:rFonts w:ascii="Georgia" w:hAnsi="Georgia" w:cs="Arial"/>
          <w:spacing w:val="-3"/>
          <w:sz w:val="24"/>
        </w:rPr>
        <w:t>con miras a que</w:t>
      </w:r>
      <w:r w:rsidR="001D49AF" w:rsidRPr="00C419CF">
        <w:rPr>
          <w:rFonts w:ascii="Georgia" w:hAnsi="Georgia" w:cs="Arial"/>
          <w:spacing w:val="-3"/>
          <w:sz w:val="24"/>
        </w:rPr>
        <w:t xml:space="preserve"> el demandado, </w:t>
      </w:r>
      <w:r w:rsidR="00FB3C6F" w:rsidRPr="00C419CF">
        <w:rPr>
          <w:rFonts w:ascii="Georgia" w:hAnsi="Georgia" w:cs="Arial"/>
          <w:spacing w:val="-3"/>
          <w:sz w:val="24"/>
        </w:rPr>
        <w:t>pueda ejercer su derecho de defensa, así lo ha sostenido la jurisprudencia de la CSJ</w:t>
      </w:r>
      <w:r w:rsidR="00FB3C6F" w:rsidRPr="00C419CF">
        <w:rPr>
          <w:rStyle w:val="Refdenotaalpie"/>
          <w:rFonts w:ascii="Georgia" w:hAnsi="Georgia"/>
          <w:spacing w:val="-3"/>
          <w:sz w:val="24"/>
        </w:rPr>
        <w:footnoteReference w:id="17"/>
      </w:r>
      <w:r w:rsidR="007D51D7" w:rsidRPr="00C419CF">
        <w:rPr>
          <w:rFonts w:ascii="Georgia" w:hAnsi="Georgia" w:cs="Arial"/>
          <w:spacing w:val="-3"/>
          <w:sz w:val="24"/>
        </w:rPr>
        <w:t xml:space="preserve"> y razona la doctrina patria</w:t>
      </w:r>
      <w:r w:rsidR="00FB3C6F" w:rsidRPr="00C419CF">
        <w:rPr>
          <w:rStyle w:val="Refdenotaalpie"/>
          <w:rFonts w:ascii="Georgia" w:hAnsi="Georgia" w:cs="Arial"/>
          <w:sz w:val="24"/>
        </w:rPr>
        <w:footnoteReference w:id="18"/>
      </w:r>
      <w:r w:rsidR="007D51D7" w:rsidRPr="00C419CF">
        <w:rPr>
          <w:rFonts w:ascii="Georgia" w:hAnsi="Georgia" w:cs="Arial"/>
          <w:spacing w:val="-3"/>
          <w:sz w:val="24"/>
          <w:vertAlign w:val="superscript"/>
        </w:rPr>
        <w:t>-</w:t>
      </w:r>
      <w:r w:rsidR="007D51D7" w:rsidRPr="00C419CF">
        <w:rPr>
          <w:rStyle w:val="Refdenotaalpie"/>
          <w:rFonts w:ascii="Georgia" w:hAnsi="Georgia"/>
          <w:spacing w:val="-3"/>
          <w:sz w:val="24"/>
        </w:rPr>
        <w:footnoteReference w:id="19"/>
      </w:r>
      <w:r w:rsidR="00FB3C6F" w:rsidRPr="00C419CF">
        <w:rPr>
          <w:rFonts w:ascii="Georgia" w:hAnsi="Georgia" w:cs="Arial"/>
        </w:rPr>
        <w:t>.</w:t>
      </w:r>
      <w:r w:rsidRPr="00C419CF">
        <w:rPr>
          <w:rFonts w:ascii="Georgia" w:hAnsi="Georgia" w:cs="Arial"/>
        </w:rPr>
        <w:t xml:space="preserve"> </w:t>
      </w:r>
      <w:r w:rsidR="001D49AF" w:rsidRPr="00C419CF">
        <w:rPr>
          <w:rFonts w:ascii="Georgia" w:hAnsi="Georgia" w:cs="Arial"/>
          <w:sz w:val="24"/>
        </w:rPr>
        <w:t xml:space="preserve">Siempre debe tenerse presente que la mejor forma de vinculación procesal es </w:t>
      </w:r>
      <w:r w:rsidR="001D49AF" w:rsidRPr="00C419CF">
        <w:rPr>
          <w:rFonts w:ascii="Georgia" w:hAnsi="Georgia" w:cs="Arial"/>
          <w:sz w:val="24"/>
          <w:szCs w:val="24"/>
        </w:rPr>
        <w:t xml:space="preserve">la personal, y que para acudir a las demás, la fase previa debe cumplirse con la estrictez debida, pues su teleología es lograr certeza sobre la imposibilidad de ubicar a la parte. </w:t>
      </w:r>
    </w:p>
    <w:p w:rsidR="007D51D7" w:rsidRPr="00C419CF" w:rsidRDefault="007D51D7" w:rsidP="0047502C">
      <w:pPr>
        <w:tabs>
          <w:tab w:val="left" w:pos="-720"/>
        </w:tabs>
        <w:suppressAutoHyphens/>
        <w:spacing w:line="312" w:lineRule="auto"/>
        <w:jc w:val="both"/>
        <w:rPr>
          <w:rFonts w:ascii="Georgia" w:hAnsi="Georgia" w:cs="Arial"/>
          <w:sz w:val="24"/>
          <w:szCs w:val="24"/>
        </w:rPr>
      </w:pPr>
    </w:p>
    <w:p w:rsidR="00FB3C6F" w:rsidRPr="00C419CF" w:rsidRDefault="007D51D7" w:rsidP="0047502C">
      <w:pPr>
        <w:tabs>
          <w:tab w:val="left" w:pos="-720"/>
        </w:tabs>
        <w:suppressAutoHyphens/>
        <w:spacing w:line="312" w:lineRule="auto"/>
        <w:jc w:val="both"/>
        <w:rPr>
          <w:rFonts w:ascii="Georgia" w:hAnsi="Georgia" w:cs="Arial"/>
          <w:sz w:val="24"/>
          <w:szCs w:val="24"/>
        </w:rPr>
      </w:pPr>
      <w:r w:rsidRPr="00C419CF">
        <w:rPr>
          <w:rFonts w:ascii="Georgia" w:hAnsi="Georgia" w:cs="Arial"/>
          <w:sz w:val="24"/>
          <w:szCs w:val="24"/>
        </w:rPr>
        <w:t>De otro lado, la segunda parte</w:t>
      </w:r>
      <w:r w:rsidR="00B53D39" w:rsidRPr="00C419CF">
        <w:rPr>
          <w:rFonts w:ascii="Georgia" w:hAnsi="Georgia" w:cs="Arial"/>
          <w:sz w:val="24"/>
          <w:szCs w:val="24"/>
        </w:rPr>
        <w:t>,</w:t>
      </w:r>
      <w:r w:rsidRPr="00C419CF">
        <w:rPr>
          <w:rFonts w:ascii="Georgia" w:hAnsi="Georgia" w:cs="Arial"/>
          <w:sz w:val="24"/>
          <w:szCs w:val="24"/>
        </w:rPr>
        <w:t xml:space="preserve"> </w:t>
      </w:r>
      <w:r w:rsidR="00731326" w:rsidRPr="00C419CF">
        <w:rPr>
          <w:rFonts w:ascii="Georgia" w:hAnsi="Georgia" w:cs="Arial"/>
          <w:sz w:val="24"/>
          <w:szCs w:val="24"/>
        </w:rPr>
        <w:t xml:space="preserve">se </w:t>
      </w:r>
      <w:r w:rsidR="001D49AF" w:rsidRPr="00C419CF">
        <w:rPr>
          <w:rFonts w:ascii="Georgia" w:hAnsi="Georgia" w:cs="Arial"/>
          <w:sz w:val="24"/>
          <w:szCs w:val="24"/>
        </w:rPr>
        <w:t xml:space="preserve">refiere a la </w:t>
      </w:r>
      <w:r w:rsidR="001D49AF" w:rsidRPr="00C419CF">
        <w:rPr>
          <w:rFonts w:ascii="Georgia" w:hAnsi="Georgia" w:cs="Arial"/>
          <w:sz w:val="24"/>
          <w:szCs w:val="24"/>
          <w:u w:val="single"/>
        </w:rPr>
        <w:t>omisión</w:t>
      </w:r>
      <w:r w:rsidR="001D49AF" w:rsidRPr="00C419CF">
        <w:rPr>
          <w:rFonts w:ascii="Georgia" w:hAnsi="Georgia" w:cs="Arial"/>
          <w:sz w:val="24"/>
          <w:szCs w:val="24"/>
        </w:rPr>
        <w:t xml:space="preserve"> en la notificación, que se haga de cualquiera de l</w:t>
      </w:r>
      <w:r w:rsidR="00F511A0" w:rsidRPr="00C419CF">
        <w:rPr>
          <w:rFonts w:ascii="Georgia" w:hAnsi="Georgia" w:cs="Arial"/>
          <w:sz w:val="24"/>
          <w:szCs w:val="24"/>
        </w:rPr>
        <w:t>o</w:t>
      </w:r>
      <w:r w:rsidR="001D49AF" w:rsidRPr="00C419CF">
        <w:rPr>
          <w:rFonts w:ascii="Georgia" w:hAnsi="Georgia" w:cs="Arial"/>
          <w:sz w:val="24"/>
          <w:szCs w:val="24"/>
        </w:rPr>
        <w:t>s diferentes prov</w:t>
      </w:r>
      <w:r w:rsidR="00F511A0" w:rsidRPr="00C419CF">
        <w:rPr>
          <w:rFonts w:ascii="Georgia" w:hAnsi="Georgia" w:cs="Arial"/>
          <w:sz w:val="24"/>
          <w:szCs w:val="24"/>
        </w:rPr>
        <w:t>eídos</w:t>
      </w:r>
      <w:r w:rsidR="001D49AF" w:rsidRPr="00C419CF">
        <w:rPr>
          <w:rFonts w:ascii="Georgia" w:hAnsi="Georgia" w:cs="Arial"/>
          <w:sz w:val="24"/>
          <w:szCs w:val="24"/>
        </w:rPr>
        <w:t>, posteriores a la del au</w:t>
      </w:r>
      <w:r w:rsidR="00B53D39" w:rsidRPr="00C419CF">
        <w:rPr>
          <w:rFonts w:ascii="Georgia" w:hAnsi="Georgia" w:cs="Arial"/>
          <w:sz w:val="24"/>
          <w:szCs w:val="24"/>
        </w:rPr>
        <w:t xml:space="preserve">to admisorio, y para los cuales, por </w:t>
      </w:r>
      <w:r w:rsidR="001D49AF" w:rsidRPr="00C419CF">
        <w:rPr>
          <w:rFonts w:ascii="Georgia" w:hAnsi="Georgia" w:cs="Arial"/>
          <w:sz w:val="24"/>
          <w:szCs w:val="24"/>
        </w:rPr>
        <w:t>regla general</w:t>
      </w:r>
      <w:r w:rsidR="00B53D39" w:rsidRPr="00C419CF">
        <w:rPr>
          <w:rFonts w:ascii="Georgia" w:hAnsi="Georgia" w:cs="Arial"/>
          <w:sz w:val="24"/>
          <w:szCs w:val="24"/>
        </w:rPr>
        <w:t xml:space="preserve">, se </w:t>
      </w:r>
      <w:r w:rsidR="00171EDA">
        <w:rPr>
          <w:rFonts w:ascii="Georgia" w:hAnsi="Georgia" w:cs="Arial"/>
          <w:sz w:val="24"/>
          <w:szCs w:val="24"/>
        </w:rPr>
        <w:t xml:space="preserve">cumple </w:t>
      </w:r>
      <w:r w:rsidR="00B53D39" w:rsidRPr="00C419CF">
        <w:rPr>
          <w:rFonts w:ascii="Georgia" w:hAnsi="Georgia" w:cs="Arial"/>
          <w:sz w:val="24"/>
          <w:szCs w:val="24"/>
        </w:rPr>
        <w:t xml:space="preserve">acorde con </w:t>
      </w:r>
      <w:r w:rsidR="001D49AF" w:rsidRPr="00C419CF">
        <w:rPr>
          <w:rFonts w:ascii="Georgia" w:hAnsi="Georgia" w:cs="Arial"/>
          <w:sz w:val="24"/>
          <w:szCs w:val="24"/>
        </w:rPr>
        <w:t xml:space="preserve">el artículo 295 que </w:t>
      </w:r>
      <w:r w:rsidR="001D49AF" w:rsidRPr="00C419CF">
        <w:rPr>
          <w:rFonts w:ascii="Georgia" w:hAnsi="Georgia"/>
          <w:color w:val="000000"/>
          <w:sz w:val="24"/>
          <w:szCs w:val="24"/>
          <w:shd w:val="clear" w:color="auto" w:fill="FFFFFF"/>
          <w:lang w:val="es-CO" w:eastAsia="es-CO"/>
        </w:rPr>
        <w:t>señala:</w:t>
      </w:r>
      <w:r w:rsidR="001D49AF" w:rsidRPr="00C419CF">
        <w:rPr>
          <w:rFonts w:ascii="Georgia" w:hAnsi="Georgia"/>
          <w:i/>
          <w:sz w:val="24"/>
          <w:szCs w:val="24"/>
          <w:shd w:val="clear" w:color="auto" w:fill="FFFFFF"/>
          <w:lang w:val="es-CO" w:eastAsia="es-CO"/>
        </w:rPr>
        <w:t xml:space="preserve"> </w:t>
      </w:r>
      <w:r w:rsidR="00514E15" w:rsidRPr="00C419CF">
        <w:rPr>
          <w:rFonts w:ascii="Georgia" w:hAnsi="Georgia"/>
          <w:i/>
          <w:sz w:val="22"/>
          <w:szCs w:val="24"/>
          <w:shd w:val="clear" w:color="auto" w:fill="FFFFFF"/>
          <w:lang w:val="es-CO" w:eastAsia="es-CO"/>
        </w:rPr>
        <w:t xml:space="preserve">“(...) </w:t>
      </w:r>
      <w:r w:rsidR="001D49AF" w:rsidRPr="00C419CF">
        <w:rPr>
          <w:rFonts w:ascii="Georgia" w:hAnsi="Georgia" w:cs="Arial"/>
          <w:i/>
          <w:sz w:val="22"/>
          <w:szCs w:val="24"/>
          <w:lang w:val="es-CO" w:eastAsia="es-CO"/>
        </w:rPr>
        <w:t xml:space="preserve">Las notificaciones de autos y sentencias </w:t>
      </w:r>
      <w:r w:rsidR="001D49AF" w:rsidRPr="00C419CF">
        <w:rPr>
          <w:rFonts w:ascii="Georgia" w:hAnsi="Georgia" w:cs="Arial"/>
          <w:i/>
          <w:sz w:val="22"/>
          <w:szCs w:val="24"/>
          <w:u w:val="single"/>
          <w:lang w:val="es-CO" w:eastAsia="es-CO"/>
        </w:rPr>
        <w:t>que no deban hacerse de otra manera</w:t>
      </w:r>
      <w:r w:rsidR="001D49AF" w:rsidRPr="00C419CF">
        <w:rPr>
          <w:rFonts w:ascii="Georgia" w:hAnsi="Georgia" w:cs="Arial"/>
          <w:i/>
          <w:sz w:val="22"/>
          <w:szCs w:val="24"/>
          <w:lang w:val="es-CO" w:eastAsia="es-CO"/>
        </w:rPr>
        <w:t xml:space="preserve"> se cumplirán por medio de anotación en estados que elaborará el Secretario. La inserción en el estado se hará al día siguiente a la fecha de la providencia</w:t>
      </w:r>
      <w:r w:rsidR="00514E15" w:rsidRPr="00C419CF">
        <w:rPr>
          <w:rFonts w:ascii="Georgia" w:hAnsi="Georgia" w:cs="Arial"/>
          <w:i/>
          <w:sz w:val="22"/>
          <w:szCs w:val="24"/>
          <w:lang w:val="es-CO" w:eastAsia="es-CO"/>
        </w:rPr>
        <w:t xml:space="preserve"> (</w:t>
      </w:r>
      <w:r w:rsidR="001D49AF" w:rsidRPr="00C419CF">
        <w:rPr>
          <w:rFonts w:ascii="Georgia" w:hAnsi="Georgia" w:cs="Arial"/>
          <w:i/>
          <w:sz w:val="22"/>
          <w:szCs w:val="24"/>
          <w:lang w:val="es-CO" w:eastAsia="es-CO"/>
        </w:rPr>
        <w:t>…</w:t>
      </w:r>
      <w:r w:rsidR="00514E15" w:rsidRPr="00C419CF">
        <w:rPr>
          <w:rFonts w:ascii="Georgia" w:hAnsi="Georgia" w:cs="Arial"/>
          <w:i/>
          <w:sz w:val="22"/>
          <w:szCs w:val="24"/>
          <w:lang w:val="es-CO" w:eastAsia="es-CO"/>
        </w:rPr>
        <w:t>)</w:t>
      </w:r>
      <w:r w:rsidR="00731326" w:rsidRPr="00C419CF">
        <w:rPr>
          <w:rFonts w:ascii="Georgia" w:hAnsi="Georgia" w:cs="Arial"/>
          <w:i/>
          <w:sz w:val="22"/>
          <w:szCs w:val="24"/>
          <w:lang w:val="es-CO" w:eastAsia="es-CO"/>
        </w:rPr>
        <w:t>”</w:t>
      </w:r>
      <w:r w:rsidR="00731326" w:rsidRPr="00C419CF">
        <w:rPr>
          <w:rFonts w:ascii="Georgia" w:hAnsi="Georgia" w:cs="Arial"/>
          <w:i/>
          <w:sz w:val="24"/>
          <w:szCs w:val="24"/>
          <w:lang w:val="es-CO" w:eastAsia="es-CO"/>
        </w:rPr>
        <w:t xml:space="preserve">. </w:t>
      </w:r>
    </w:p>
    <w:p w:rsidR="00F674AA" w:rsidRDefault="00F674AA" w:rsidP="0047502C">
      <w:pPr>
        <w:tabs>
          <w:tab w:val="left" w:pos="-720"/>
        </w:tabs>
        <w:suppressAutoHyphens/>
        <w:spacing w:line="312" w:lineRule="auto"/>
        <w:ind w:right="567"/>
        <w:jc w:val="both"/>
        <w:rPr>
          <w:rFonts w:ascii="Georgia" w:hAnsi="Georgia" w:cs="Arial"/>
        </w:rPr>
      </w:pPr>
    </w:p>
    <w:p w:rsidR="00FB3C6F" w:rsidRPr="00F674AA" w:rsidRDefault="00F674AA" w:rsidP="0047502C">
      <w:pPr>
        <w:tabs>
          <w:tab w:val="left" w:pos="-720"/>
        </w:tabs>
        <w:suppressAutoHyphens/>
        <w:spacing w:line="312" w:lineRule="auto"/>
        <w:jc w:val="both"/>
        <w:rPr>
          <w:rFonts w:ascii="Georgia" w:hAnsi="Georgia" w:cs="Arial"/>
          <w:sz w:val="24"/>
        </w:rPr>
      </w:pPr>
      <w:r w:rsidRPr="00F674AA">
        <w:rPr>
          <w:rFonts w:ascii="Georgia" w:hAnsi="Georgia" w:cs="Arial"/>
          <w:sz w:val="24"/>
        </w:rPr>
        <w:t xml:space="preserve">Sin embargo, frente a esa a esa generalidad, están las excepciones </w:t>
      </w:r>
      <w:r w:rsidR="00BB2267">
        <w:rPr>
          <w:rFonts w:ascii="Georgia" w:hAnsi="Georgia" w:cs="Arial"/>
          <w:sz w:val="24"/>
        </w:rPr>
        <w:t xml:space="preserve">de </w:t>
      </w:r>
      <w:r w:rsidRPr="00F674AA">
        <w:rPr>
          <w:rFonts w:ascii="Georgia" w:hAnsi="Georgia" w:cs="Arial"/>
          <w:sz w:val="24"/>
        </w:rPr>
        <w:t xml:space="preserve">los artículos 290 y 294, ib. que imponen, en su orden, notificar: (i) </w:t>
      </w:r>
      <w:r w:rsidRPr="00F674AA">
        <w:rPr>
          <w:rFonts w:ascii="Georgia" w:hAnsi="Georgia" w:cs="Arial"/>
          <w:sz w:val="24"/>
          <w:u w:val="single"/>
        </w:rPr>
        <w:t>Personalmente</w:t>
      </w:r>
      <w:r w:rsidRPr="00F674AA">
        <w:rPr>
          <w:rFonts w:ascii="Georgia" w:hAnsi="Georgia" w:cs="Arial"/>
          <w:sz w:val="24"/>
        </w:rPr>
        <w:t xml:space="preserve"> al demandado el auto admisorio, a los terceros </w:t>
      </w:r>
      <w:r w:rsidR="00622F9C">
        <w:rPr>
          <w:rFonts w:ascii="Georgia" w:hAnsi="Georgia" w:cs="Arial"/>
          <w:sz w:val="24"/>
        </w:rPr>
        <w:t>(</w:t>
      </w:r>
      <w:r w:rsidR="00622F9C" w:rsidRPr="00622F9C">
        <w:rPr>
          <w:rFonts w:ascii="Georgia" w:hAnsi="Georgia" w:cs="Arial"/>
          <w:sz w:val="22"/>
        </w:rPr>
        <w:t xml:space="preserve">En sentido amplio: artículos 63, 64, 67, 71 y 72, </w:t>
      </w:r>
      <w:r w:rsidR="00622F9C">
        <w:rPr>
          <w:rFonts w:ascii="Georgia" w:hAnsi="Georgia" w:cs="Arial"/>
          <w:sz w:val="22"/>
        </w:rPr>
        <w:t>ib.</w:t>
      </w:r>
      <w:r w:rsidR="00622F9C">
        <w:rPr>
          <w:rFonts w:ascii="Georgia" w:hAnsi="Georgia" w:cs="Arial"/>
          <w:sz w:val="24"/>
        </w:rPr>
        <w:t xml:space="preserve">) </w:t>
      </w:r>
      <w:r w:rsidRPr="00F674AA">
        <w:rPr>
          <w:rFonts w:ascii="Georgia" w:hAnsi="Georgia" w:cs="Arial"/>
          <w:sz w:val="24"/>
        </w:rPr>
        <w:t>el que dispone su citación y en los casos especiales que le ley señale</w:t>
      </w:r>
      <w:r w:rsidR="00622F9C">
        <w:rPr>
          <w:rFonts w:ascii="Georgia" w:hAnsi="Georgia" w:cs="Arial"/>
          <w:sz w:val="24"/>
        </w:rPr>
        <w:t xml:space="preserve"> (</w:t>
      </w:r>
      <w:r w:rsidR="00622F9C" w:rsidRPr="00622F9C">
        <w:rPr>
          <w:rFonts w:ascii="Georgia" w:hAnsi="Georgia" w:cs="Arial"/>
          <w:sz w:val="22"/>
        </w:rPr>
        <w:t>Artículos 183-2, 417-3 y 418, ib.</w:t>
      </w:r>
      <w:r w:rsidR="00622F9C">
        <w:rPr>
          <w:rFonts w:ascii="Georgia" w:hAnsi="Georgia" w:cs="Arial"/>
          <w:sz w:val="24"/>
        </w:rPr>
        <w:t xml:space="preserve">) </w:t>
      </w:r>
      <w:r w:rsidRPr="00F674AA">
        <w:rPr>
          <w:rFonts w:ascii="Georgia" w:hAnsi="Georgia" w:cs="Arial"/>
          <w:sz w:val="24"/>
        </w:rPr>
        <w:t xml:space="preserve">; y, (ii) </w:t>
      </w:r>
      <w:r w:rsidRPr="00F674AA">
        <w:rPr>
          <w:rFonts w:ascii="Georgia" w:hAnsi="Georgia" w:cs="Arial"/>
          <w:sz w:val="24"/>
          <w:u w:val="single"/>
        </w:rPr>
        <w:t>En estrados</w:t>
      </w:r>
      <w:r w:rsidRPr="00F674AA">
        <w:rPr>
          <w:rFonts w:ascii="Georgia" w:hAnsi="Georgia" w:cs="Arial"/>
          <w:sz w:val="24"/>
        </w:rPr>
        <w:t xml:space="preserve"> las decisiones adoptadas en audiencia.   </w:t>
      </w:r>
    </w:p>
    <w:p w:rsidR="00F674AA" w:rsidRPr="00C419CF" w:rsidRDefault="00F674AA" w:rsidP="0047502C">
      <w:pPr>
        <w:tabs>
          <w:tab w:val="left" w:pos="-720"/>
        </w:tabs>
        <w:suppressAutoHyphens/>
        <w:spacing w:line="312" w:lineRule="auto"/>
        <w:ind w:right="567"/>
        <w:jc w:val="both"/>
        <w:rPr>
          <w:rFonts w:ascii="Georgia" w:hAnsi="Georgia" w:cs="Arial"/>
          <w:sz w:val="24"/>
        </w:rPr>
      </w:pPr>
    </w:p>
    <w:p w:rsidR="00B53D39" w:rsidRPr="00C419CF" w:rsidRDefault="00B53D39" w:rsidP="0047502C">
      <w:pPr>
        <w:pStyle w:val="Sinespaciado"/>
        <w:numPr>
          <w:ilvl w:val="0"/>
          <w:numId w:val="8"/>
        </w:numPr>
        <w:spacing w:line="312" w:lineRule="auto"/>
        <w:jc w:val="both"/>
        <w:rPr>
          <w:rFonts w:ascii="Georgia" w:hAnsi="Georgia" w:cs="Arial"/>
          <w:szCs w:val="22"/>
        </w:rPr>
      </w:pPr>
      <w:r w:rsidRPr="00C419CF">
        <w:rPr>
          <w:rFonts w:ascii="Georgia" w:hAnsi="Georgia" w:cs="Arial"/>
          <w:szCs w:val="22"/>
        </w:rPr>
        <w:t>EL CASO CONCRETO ANALIZADO</w:t>
      </w:r>
    </w:p>
    <w:p w:rsidR="00B53D39" w:rsidRPr="00BB2267" w:rsidRDefault="00B53D39" w:rsidP="0047502C">
      <w:pPr>
        <w:tabs>
          <w:tab w:val="left" w:pos="-720"/>
        </w:tabs>
        <w:suppressAutoHyphens/>
        <w:spacing w:line="312" w:lineRule="auto"/>
        <w:ind w:right="567"/>
        <w:jc w:val="both"/>
        <w:rPr>
          <w:rFonts w:ascii="Georgia" w:hAnsi="Georgia" w:cs="Arial"/>
          <w:sz w:val="24"/>
        </w:rPr>
      </w:pPr>
    </w:p>
    <w:p w:rsidR="0059526E" w:rsidRPr="00C419CF" w:rsidRDefault="00F674AA" w:rsidP="0047502C">
      <w:pPr>
        <w:pStyle w:val="Sinespaciado"/>
        <w:tabs>
          <w:tab w:val="left" w:pos="3975"/>
        </w:tabs>
        <w:spacing w:line="312" w:lineRule="auto"/>
        <w:jc w:val="both"/>
        <w:rPr>
          <w:rFonts w:ascii="Georgia" w:hAnsi="Georgia" w:cs="Arial"/>
        </w:rPr>
      </w:pPr>
      <w:r>
        <w:rPr>
          <w:rFonts w:ascii="Georgia" w:hAnsi="Georgia" w:cs="Arial"/>
        </w:rPr>
        <w:t xml:space="preserve">A partir de lo dicho y </w:t>
      </w:r>
      <w:r w:rsidRPr="00C419CF">
        <w:rPr>
          <w:rFonts w:ascii="Georgia" w:hAnsi="Georgia" w:cs="Arial"/>
        </w:rPr>
        <w:t>luego</w:t>
      </w:r>
      <w:r w:rsidR="00A16A92" w:rsidRPr="00C419CF">
        <w:rPr>
          <w:rFonts w:ascii="Georgia" w:hAnsi="Georgia" w:cs="Arial"/>
        </w:rPr>
        <w:t>,</w:t>
      </w:r>
      <w:r>
        <w:rPr>
          <w:rFonts w:ascii="Georgia" w:hAnsi="Georgia" w:cs="Arial"/>
        </w:rPr>
        <w:t xml:space="preserve"> de</w:t>
      </w:r>
      <w:r w:rsidR="00A16A92" w:rsidRPr="00C419CF">
        <w:rPr>
          <w:rFonts w:ascii="Georgia" w:hAnsi="Georgia" w:cs="Arial"/>
        </w:rPr>
        <w:t xml:space="preserve"> una lectura detallada del artículo 101, CPC, que citaba a la audiencia de conciliación, saneamiento, decisión de excepciones y fijación de litigio; </w:t>
      </w:r>
      <w:r w:rsidR="00A16A92" w:rsidRPr="00C419CF">
        <w:rPr>
          <w:rFonts w:ascii="Georgia" w:hAnsi="Georgia" w:cs="Arial"/>
        </w:rPr>
        <w:lastRenderedPageBreak/>
        <w:t xml:space="preserve">de ningún modo, </w:t>
      </w:r>
      <w:r w:rsidR="003F6BF3">
        <w:rPr>
          <w:rFonts w:ascii="Georgia" w:hAnsi="Georgia" w:cs="Arial"/>
        </w:rPr>
        <w:t>se encuentra q</w:t>
      </w:r>
      <w:r w:rsidR="00A16A92" w:rsidRPr="00C419CF">
        <w:rPr>
          <w:rFonts w:ascii="Georgia" w:hAnsi="Georgia" w:cs="Arial"/>
        </w:rPr>
        <w:t xml:space="preserve">ue su </w:t>
      </w:r>
      <w:r w:rsidR="0059526E" w:rsidRPr="00C419CF">
        <w:rPr>
          <w:rFonts w:ascii="Georgia" w:hAnsi="Georgia" w:cs="Arial"/>
        </w:rPr>
        <w:t xml:space="preserve">notificación, se exceptúe de </w:t>
      </w:r>
      <w:r w:rsidR="003F6BF3">
        <w:rPr>
          <w:rFonts w:ascii="Georgia" w:hAnsi="Georgia" w:cs="Arial"/>
        </w:rPr>
        <w:t>l</w:t>
      </w:r>
      <w:r w:rsidR="0059526E" w:rsidRPr="00C419CF">
        <w:rPr>
          <w:rFonts w:ascii="Georgia" w:hAnsi="Georgia" w:cs="Arial"/>
        </w:rPr>
        <w:t xml:space="preserve">a </w:t>
      </w:r>
      <w:r w:rsidR="00622F9C">
        <w:rPr>
          <w:rFonts w:ascii="Georgia" w:hAnsi="Georgia" w:cs="Arial"/>
        </w:rPr>
        <w:t xml:space="preserve">regla </w:t>
      </w:r>
      <w:r w:rsidR="0059526E" w:rsidRPr="00C419CF">
        <w:rPr>
          <w:rFonts w:ascii="Georgia" w:hAnsi="Georgia" w:cs="Arial"/>
        </w:rPr>
        <w:t>general</w:t>
      </w:r>
      <w:r w:rsidR="003F6BF3">
        <w:rPr>
          <w:rFonts w:ascii="Georgia" w:hAnsi="Georgia" w:cs="Arial"/>
        </w:rPr>
        <w:t xml:space="preserve">, </w:t>
      </w:r>
      <w:r w:rsidR="00BB2267">
        <w:rPr>
          <w:rFonts w:ascii="Georgia" w:hAnsi="Georgia" w:cs="Arial"/>
        </w:rPr>
        <w:t xml:space="preserve">tampoco </w:t>
      </w:r>
      <w:r w:rsidR="003F6BF3" w:rsidRPr="00C419CF">
        <w:rPr>
          <w:rFonts w:ascii="Georgia" w:hAnsi="Georgia" w:cs="Arial"/>
        </w:rPr>
        <w:t>la ley impon</w:t>
      </w:r>
      <w:r w:rsidR="00BB2267">
        <w:rPr>
          <w:rFonts w:ascii="Georgia" w:hAnsi="Georgia" w:cs="Arial"/>
        </w:rPr>
        <w:t>e</w:t>
      </w:r>
      <w:r w:rsidR="003F6BF3" w:rsidRPr="00C419CF">
        <w:rPr>
          <w:rFonts w:ascii="Georgia" w:hAnsi="Georgia" w:cs="Arial"/>
        </w:rPr>
        <w:t xml:space="preserve"> una forma diferente </w:t>
      </w:r>
      <w:r w:rsidR="00BB2267">
        <w:rPr>
          <w:rFonts w:ascii="Georgia" w:hAnsi="Georgia" w:cs="Arial"/>
        </w:rPr>
        <w:t xml:space="preserve">o adicional </w:t>
      </w:r>
      <w:r w:rsidR="003F6BF3" w:rsidRPr="00C419CF">
        <w:rPr>
          <w:rFonts w:ascii="Georgia" w:hAnsi="Georgia" w:cs="Arial"/>
        </w:rPr>
        <w:t>de comunicación a las partes</w:t>
      </w:r>
      <w:r w:rsidR="003F6BF3">
        <w:rPr>
          <w:rFonts w:ascii="Georgia" w:hAnsi="Georgia" w:cs="Arial"/>
        </w:rPr>
        <w:t xml:space="preserve">; por lo tanto, no </w:t>
      </w:r>
      <w:r w:rsidR="0059526E" w:rsidRPr="00C419CF">
        <w:rPr>
          <w:rFonts w:ascii="Georgia" w:hAnsi="Georgia" w:cs="Arial"/>
        </w:rPr>
        <w:t>se incurrió en la causal de nulidad invocada, pues en estas diligencias, se acataron los preceptos descritos</w:t>
      </w:r>
      <w:r w:rsidR="003F6BF3">
        <w:rPr>
          <w:rFonts w:ascii="Georgia" w:hAnsi="Georgia" w:cs="Arial"/>
        </w:rPr>
        <w:t xml:space="preserve"> para hacer </w:t>
      </w:r>
      <w:r w:rsidR="0059526E" w:rsidRPr="00C419CF">
        <w:rPr>
          <w:rFonts w:ascii="Georgia" w:hAnsi="Georgia" w:cs="Arial"/>
        </w:rPr>
        <w:t>la notificación de</w:t>
      </w:r>
      <w:r w:rsidR="003F6BF3">
        <w:rPr>
          <w:rFonts w:ascii="Georgia" w:hAnsi="Georgia" w:cs="Arial"/>
        </w:rPr>
        <w:t xml:space="preserve"> ese </w:t>
      </w:r>
      <w:r w:rsidR="0059526E" w:rsidRPr="00C419CF">
        <w:rPr>
          <w:rFonts w:ascii="Georgia" w:hAnsi="Georgia" w:cs="Arial"/>
        </w:rPr>
        <w:t>auto</w:t>
      </w:r>
      <w:r w:rsidR="00171EDA" w:rsidRPr="00171EDA">
        <w:rPr>
          <w:rFonts w:ascii="Georgia" w:hAnsi="Georgia" w:cs="Arial"/>
        </w:rPr>
        <w:t xml:space="preserve"> </w:t>
      </w:r>
      <w:r w:rsidR="00171EDA" w:rsidRPr="00C419CF">
        <w:rPr>
          <w:rFonts w:ascii="Georgia" w:hAnsi="Georgia" w:cs="Arial"/>
        </w:rPr>
        <w:t>por estado</w:t>
      </w:r>
      <w:r w:rsidR="003F6BF3">
        <w:rPr>
          <w:rFonts w:ascii="Georgia" w:hAnsi="Georgia" w:cs="Arial"/>
        </w:rPr>
        <w:t>.</w:t>
      </w:r>
    </w:p>
    <w:p w:rsidR="0059526E" w:rsidRPr="00C419CF" w:rsidRDefault="0059526E" w:rsidP="0047502C">
      <w:pPr>
        <w:pStyle w:val="Sinespaciado"/>
        <w:tabs>
          <w:tab w:val="left" w:pos="3975"/>
        </w:tabs>
        <w:spacing w:line="312" w:lineRule="auto"/>
        <w:jc w:val="both"/>
        <w:rPr>
          <w:rFonts w:ascii="Georgia" w:hAnsi="Georgia" w:cs="Arial"/>
        </w:rPr>
      </w:pPr>
    </w:p>
    <w:p w:rsidR="00755E13" w:rsidRPr="00755E13" w:rsidRDefault="00C42090" w:rsidP="0047502C">
      <w:pPr>
        <w:pStyle w:val="Sinespaciado"/>
        <w:spacing w:line="312" w:lineRule="auto"/>
        <w:jc w:val="both"/>
        <w:rPr>
          <w:rFonts w:ascii="Georgia" w:hAnsi="Georgia" w:cs="Arial"/>
        </w:rPr>
      </w:pPr>
      <w:r>
        <w:rPr>
          <w:rFonts w:ascii="Georgia" w:hAnsi="Georgia" w:cs="Arial"/>
        </w:rPr>
        <w:t xml:space="preserve">Obsérvese </w:t>
      </w:r>
      <w:r w:rsidR="009343D6" w:rsidRPr="00C419CF">
        <w:rPr>
          <w:rFonts w:ascii="Georgia" w:hAnsi="Georgia" w:cs="Arial"/>
        </w:rPr>
        <w:t xml:space="preserve">que </w:t>
      </w:r>
      <w:r w:rsidR="00684845">
        <w:rPr>
          <w:rFonts w:ascii="Georgia" w:hAnsi="Georgia" w:cs="Arial"/>
        </w:rPr>
        <w:t>en aplicación del principio de la taxatividad, de ninguna manera, es válido interpretar extensiva o analógica</w:t>
      </w:r>
      <w:r w:rsidR="00622F9C">
        <w:rPr>
          <w:rFonts w:ascii="Georgia" w:hAnsi="Georgia" w:cs="Arial"/>
        </w:rPr>
        <w:t>mente</w:t>
      </w:r>
      <w:r w:rsidR="00684845">
        <w:rPr>
          <w:rFonts w:ascii="Georgia" w:hAnsi="Georgia" w:cs="Arial"/>
        </w:rPr>
        <w:t xml:space="preserve"> </w:t>
      </w:r>
      <w:r>
        <w:rPr>
          <w:rFonts w:ascii="Georgia" w:hAnsi="Georgia" w:cs="Arial"/>
        </w:rPr>
        <w:t>la causal invocada (</w:t>
      </w:r>
      <w:r w:rsidRPr="00FA66B0">
        <w:rPr>
          <w:rFonts w:ascii="Georgia" w:hAnsi="Georgia" w:cs="Arial"/>
          <w:sz w:val="22"/>
        </w:rPr>
        <w:t>Artículo 133-8º, CGP antes artículo 140-9º, CPC</w:t>
      </w:r>
      <w:r>
        <w:rPr>
          <w:rFonts w:ascii="Georgia" w:hAnsi="Georgia" w:cs="Arial"/>
        </w:rPr>
        <w:t xml:space="preserve">), </w:t>
      </w:r>
      <w:r w:rsidR="00BB2267">
        <w:rPr>
          <w:rFonts w:ascii="Georgia" w:hAnsi="Georgia" w:cs="Arial"/>
        </w:rPr>
        <w:t xml:space="preserve">es que tal como </w:t>
      </w:r>
      <w:r w:rsidR="00622F9C">
        <w:rPr>
          <w:rFonts w:ascii="Georgia" w:hAnsi="Georgia" w:cs="Arial"/>
        </w:rPr>
        <w:t xml:space="preserve">entiende </w:t>
      </w:r>
      <w:r w:rsidR="00BB2267">
        <w:rPr>
          <w:rFonts w:ascii="Georgia" w:hAnsi="Georgia" w:cs="Arial"/>
        </w:rPr>
        <w:t>el profesor Sanabria S.</w:t>
      </w:r>
      <w:r w:rsidR="00C8296D">
        <w:rPr>
          <w:rStyle w:val="Refdenotaalpie"/>
          <w:rFonts w:ascii="Georgia" w:hAnsi="Georgia"/>
        </w:rPr>
        <w:footnoteReference w:id="20"/>
      </w:r>
      <w:r w:rsidR="00BB2267">
        <w:rPr>
          <w:rFonts w:ascii="Georgia" w:hAnsi="Georgia" w:cs="Arial"/>
        </w:rPr>
        <w:t xml:space="preserve">: </w:t>
      </w:r>
      <w:r w:rsidR="00755E13" w:rsidRPr="00755E13">
        <w:rPr>
          <w:rFonts w:ascii="Georgia" w:hAnsi="Georgia" w:cs="Arial"/>
          <w:i/>
        </w:rPr>
        <w:t xml:space="preserve">“(…) podrá decretarse la nulidad de los actos procesales </w:t>
      </w:r>
      <w:r w:rsidR="00755E13" w:rsidRPr="00755E13">
        <w:rPr>
          <w:rFonts w:ascii="Georgia" w:hAnsi="Georgia" w:cs="Arial"/>
          <w:i/>
          <w:u w:val="single"/>
        </w:rPr>
        <w:t xml:space="preserve">únicamente por las causales expresa y claramente </w:t>
      </w:r>
      <w:r w:rsidR="00755E13" w:rsidRPr="00755E13">
        <w:rPr>
          <w:rFonts w:ascii="Georgia" w:hAnsi="Georgia" w:cs="Arial"/>
          <w:i/>
        </w:rPr>
        <w:t xml:space="preserve"> consagradas con tal fin por el legislador, es decir, sólo se consideran motivos generadores de invalidez los que de antemano han sido normativamente elevados a tal categoría (…)”</w:t>
      </w:r>
      <w:r w:rsidR="00171EDA">
        <w:rPr>
          <w:rFonts w:ascii="Georgia" w:hAnsi="Georgia" w:cs="Arial"/>
          <w:i/>
        </w:rPr>
        <w:t xml:space="preserve"> </w:t>
      </w:r>
      <w:r w:rsidR="00171EDA" w:rsidRPr="00171EDA">
        <w:rPr>
          <w:rFonts w:ascii="Georgia" w:hAnsi="Georgia" w:cs="Arial"/>
        </w:rPr>
        <w:t>(Sublínea fuera de texto)</w:t>
      </w:r>
      <w:r w:rsidR="00755E13">
        <w:rPr>
          <w:rFonts w:ascii="Georgia" w:hAnsi="Georgia" w:cs="Arial"/>
        </w:rPr>
        <w:t>; por ende, no es dable exigir una notificación personal a un proveído para el que la ley ninguna distinción consagró</w:t>
      </w:r>
      <w:r w:rsidR="00C8296D">
        <w:rPr>
          <w:rFonts w:ascii="Georgia" w:hAnsi="Georgia" w:cs="Arial"/>
        </w:rPr>
        <w:t>.</w:t>
      </w:r>
    </w:p>
    <w:p w:rsidR="00684845" w:rsidRDefault="00684845" w:rsidP="0047502C">
      <w:pPr>
        <w:pStyle w:val="Sinespaciado"/>
        <w:spacing w:line="312" w:lineRule="auto"/>
        <w:jc w:val="both"/>
        <w:rPr>
          <w:rFonts w:ascii="Georgia" w:hAnsi="Georgia" w:cs="Arial"/>
        </w:rPr>
      </w:pPr>
    </w:p>
    <w:p w:rsidR="00F511A0" w:rsidRPr="00171EDA" w:rsidRDefault="00C42090" w:rsidP="0047502C">
      <w:pPr>
        <w:pStyle w:val="Sinespaciado"/>
        <w:spacing w:line="312" w:lineRule="auto"/>
        <w:jc w:val="both"/>
        <w:rPr>
          <w:rFonts w:ascii="Georgia" w:hAnsi="Georgia" w:cs="Arial"/>
        </w:rPr>
      </w:pPr>
      <w:r w:rsidRPr="00171EDA">
        <w:rPr>
          <w:rFonts w:ascii="Georgia" w:hAnsi="Georgia" w:cs="Arial"/>
        </w:rPr>
        <w:t xml:space="preserve">Agréguese a ello, que </w:t>
      </w:r>
      <w:r w:rsidR="008C38EB" w:rsidRPr="00171EDA">
        <w:rPr>
          <w:rFonts w:ascii="Georgia" w:hAnsi="Georgia" w:cs="Arial"/>
        </w:rPr>
        <w:t xml:space="preserve">pese a que el recurrente estima echado de menos el principio de publicidad, se advierte que haciendo uso de </w:t>
      </w:r>
      <w:r w:rsidR="009343D6" w:rsidRPr="00171EDA">
        <w:rPr>
          <w:rFonts w:ascii="Georgia" w:hAnsi="Georgia" w:cs="Arial"/>
        </w:rPr>
        <w:t>lo dispu</w:t>
      </w:r>
      <w:r w:rsidR="00C8296D" w:rsidRPr="00171EDA">
        <w:rPr>
          <w:rFonts w:ascii="Georgia" w:hAnsi="Georgia" w:cs="Arial"/>
        </w:rPr>
        <w:t xml:space="preserve">esto </w:t>
      </w:r>
      <w:r w:rsidR="002A418F" w:rsidRPr="00171EDA">
        <w:rPr>
          <w:rFonts w:ascii="Georgia" w:hAnsi="Georgia" w:cs="Arial"/>
        </w:rPr>
        <w:t>por el CSJ (</w:t>
      </w:r>
      <w:r w:rsidR="002A418F" w:rsidRPr="00171EDA">
        <w:rPr>
          <w:rFonts w:ascii="Georgia" w:hAnsi="Georgia" w:cs="Arial"/>
          <w:sz w:val="22"/>
        </w:rPr>
        <w:t>Acuerdos Nos.1591 de 2002 y PSAA06-3334 de 2006</w:t>
      </w:r>
      <w:r w:rsidR="002A418F" w:rsidRPr="00171EDA">
        <w:rPr>
          <w:rFonts w:ascii="Georgia" w:hAnsi="Georgia" w:cs="Arial"/>
        </w:rPr>
        <w:t>), los estrados judiciales</w:t>
      </w:r>
      <w:r w:rsidR="008C38EB" w:rsidRPr="00171EDA">
        <w:rPr>
          <w:rFonts w:ascii="Georgia" w:hAnsi="Georgia" w:cs="Arial"/>
        </w:rPr>
        <w:t xml:space="preserve"> cuentan con </w:t>
      </w:r>
      <w:r w:rsidR="00F511A0" w:rsidRPr="00171EDA">
        <w:rPr>
          <w:rFonts w:ascii="Georgia" w:hAnsi="Georgia" w:cs="Arial"/>
        </w:rPr>
        <w:t>el sistema “Siglo XXI”</w:t>
      </w:r>
      <w:r w:rsidR="008C38EB" w:rsidRPr="00171EDA">
        <w:rPr>
          <w:rFonts w:ascii="Georgia" w:hAnsi="Georgia" w:cs="Arial"/>
        </w:rPr>
        <w:t xml:space="preserve">, que si bien no constituye un medio de notificación, sirve </w:t>
      </w:r>
      <w:r w:rsidR="004A19D9" w:rsidRPr="00171EDA">
        <w:rPr>
          <w:rFonts w:ascii="Georgia" w:hAnsi="Georgia" w:cs="Arial"/>
        </w:rPr>
        <w:t>para efectivizar la divulgación de l</w:t>
      </w:r>
      <w:r w:rsidR="00171EDA" w:rsidRPr="00171EDA">
        <w:rPr>
          <w:rFonts w:ascii="Georgia" w:hAnsi="Georgia" w:cs="Arial"/>
        </w:rPr>
        <w:t xml:space="preserve">as actuaciones surtidas </w:t>
      </w:r>
      <w:r w:rsidR="00622F9C">
        <w:rPr>
          <w:rFonts w:ascii="Georgia" w:hAnsi="Georgia" w:cs="Arial"/>
        </w:rPr>
        <w:t xml:space="preserve">en </w:t>
      </w:r>
      <w:r w:rsidR="00171EDA" w:rsidRPr="00171EDA">
        <w:rPr>
          <w:rFonts w:ascii="Georgia" w:hAnsi="Georgia" w:cs="Arial"/>
        </w:rPr>
        <w:t>el proceso</w:t>
      </w:r>
      <w:r w:rsidR="00F511A0" w:rsidRPr="00171EDA">
        <w:rPr>
          <w:rFonts w:ascii="Georgia" w:hAnsi="Georgia" w:cs="Arial"/>
        </w:rPr>
        <w:t xml:space="preserve"> </w:t>
      </w:r>
      <w:r w:rsidR="008C38EB" w:rsidRPr="00171EDA">
        <w:rPr>
          <w:rFonts w:ascii="Georgia" w:hAnsi="Georgia" w:cs="Arial"/>
        </w:rPr>
        <w:t>(</w:t>
      </w:r>
      <w:r w:rsidR="008C38EB" w:rsidRPr="00171EDA">
        <w:rPr>
          <w:rFonts w:ascii="Georgia" w:hAnsi="Georgia" w:cs="Arial"/>
          <w:sz w:val="22"/>
        </w:rPr>
        <w:t>Tal como lo ha recordado pacíficamente la jurisprudencia del órgano de cierre de la especialidad –CSJ</w:t>
      </w:r>
      <w:r w:rsidR="008C38EB" w:rsidRPr="00171EDA">
        <w:rPr>
          <w:rStyle w:val="Refdenotaalpie"/>
          <w:rFonts w:ascii="Georgia" w:hAnsi="Georgia"/>
          <w:sz w:val="22"/>
        </w:rPr>
        <w:footnoteReference w:id="21"/>
      </w:r>
      <w:r w:rsidR="008C38EB" w:rsidRPr="00171EDA">
        <w:rPr>
          <w:rStyle w:val="Refdenotaalpie"/>
          <w:rFonts w:ascii="Georgia" w:hAnsi="Georgia"/>
          <w:sz w:val="22"/>
          <w:vertAlign w:val="baseline"/>
        </w:rPr>
        <w:t>-</w:t>
      </w:r>
      <w:r w:rsidR="008C38EB" w:rsidRPr="00171EDA">
        <w:rPr>
          <w:rFonts w:ascii="Georgia" w:hAnsi="Georgia" w:cs="Arial"/>
          <w:sz w:val="22"/>
        </w:rPr>
        <w:t xml:space="preserve"> en tesis acogida por esta Corporación</w:t>
      </w:r>
      <w:r w:rsidR="008C38EB" w:rsidRPr="00171EDA">
        <w:rPr>
          <w:rStyle w:val="Refdenotaalpie"/>
          <w:rFonts w:ascii="Georgia" w:hAnsi="Georgia"/>
          <w:sz w:val="22"/>
        </w:rPr>
        <w:footnoteReference w:id="22"/>
      </w:r>
      <w:r w:rsidR="008C38EB" w:rsidRPr="00171EDA">
        <w:rPr>
          <w:rFonts w:ascii="Georgia" w:hAnsi="Georgia" w:cs="Arial"/>
        </w:rPr>
        <w:t xml:space="preserve">);  </w:t>
      </w:r>
      <w:r w:rsidR="004A19D9" w:rsidRPr="00171EDA">
        <w:rPr>
          <w:rFonts w:ascii="Georgia" w:hAnsi="Georgia" w:cs="Arial"/>
        </w:rPr>
        <w:t>y debió servirle como herramienta</w:t>
      </w:r>
      <w:r w:rsidR="00171EDA" w:rsidRPr="00171EDA">
        <w:rPr>
          <w:rFonts w:ascii="Georgia" w:hAnsi="Georgia" w:cs="Arial"/>
        </w:rPr>
        <w:t xml:space="preserve">, al impugnante, </w:t>
      </w:r>
      <w:r w:rsidR="004A19D9" w:rsidRPr="00171EDA">
        <w:rPr>
          <w:rFonts w:ascii="Georgia" w:hAnsi="Georgia" w:cs="Arial"/>
        </w:rPr>
        <w:t xml:space="preserve">para estar al tanto de lo ocurrido en el </w:t>
      </w:r>
      <w:r w:rsidR="00171EDA" w:rsidRPr="00171EDA">
        <w:rPr>
          <w:rFonts w:ascii="Georgia" w:hAnsi="Georgia" w:cs="Arial"/>
        </w:rPr>
        <w:t>asunto</w:t>
      </w:r>
      <w:r w:rsidR="00622F9C">
        <w:rPr>
          <w:rFonts w:ascii="Georgia" w:hAnsi="Georgia" w:cs="Arial"/>
        </w:rPr>
        <w:t>, amén de lo dicho por la jueza de la causa sobre la carga de vigilancia del proceso (</w:t>
      </w:r>
      <w:r w:rsidR="00622F9C" w:rsidRPr="00622F9C">
        <w:rPr>
          <w:rFonts w:ascii="Georgia" w:hAnsi="Georgia" w:cs="Arial"/>
          <w:sz w:val="22"/>
        </w:rPr>
        <w:t>Artículo 78-7º,8º y 11º, ib.</w:t>
      </w:r>
      <w:r w:rsidR="00622F9C">
        <w:rPr>
          <w:rFonts w:ascii="Georgia" w:hAnsi="Georgia" w:cs="Arial"/>
        </w:rPr>
        <w:t>).</w:t>
      </w:r>
    </w:p>
    <w:p w:rsidR="004A19D9" w:rsidRPr="00171EDA" w:rsidRDefault="004A19D9" w:rsidP="0047502C">
      <w:pPr>
        <w:pStyle w:val="Sinespaciado"/>
        <w:spacing w:line="312" w:lineRule="auto"/>
        <w:jc w:val="both"/>
        <w:rPr>
          <w:rFonts w:ascii="Georgia" w:hAnsi="Georgia" w:cs="Arial"/>
          <w:u w:val="single"/>
        </w:rPr>
      </w:pPr>
    </w:p>
    <w:p w:rsidR="00C419CF" w:rsidRPr="00171EDA" w:rsidRDefault="00622F9C" w:rsidP="0047502C">
      <w:pPr>
        <w:pStyle w:val="Sinespaciado"/>
        <w:spacing w:line="312" w:lineRule="auto"/>
        <w:jc w:val="both"/>
        <w:rPr>
          <w:rFonts w:ascii="Georgia" w:hAnsi="Georgia" w:cs="Arial"/>
        </w:rPr>
      </w:pPr>
      <w:r>
        <w:rPr>
          <w:rFonts w:ascii="Georgia" w:hAnsi="Georgia" w:cs="Arial"/>
        </w:rPr>
        <w:t>E</w:t>
      </w:r>
      <w:r w:rsidR="004A19D9" w:rsidRPr="00171EDA">
        <w:rPr>
          <w:rFonts w:ascii="Georgia" w:hAnsi="Georgia" w:cs="Arial"/>
        </w:rPr>
        <w:t>n lo que respecta a l</w:t>
      </w:r>
      <w:r w:rsidR="00C419CF" w:rsidRPr="00171EDA">
        <w:rPr>
          <w:rFonts w:ascii="Georgia" w:hAnsi="Georgia" w:cs="Arial"/>
        </w:rPr>
        <w:t>a</w:t>
      </w:r>
      <w:r w:rsidR="004A19D9" w:rsidRPr="00171EDA">
        <w:rPr>
          <w:rFonts w:ascii="Georgia" w:hAnsi="Georgia" w:cs="Arial"/>
        </w:rPr>
        <w:t>s posibles conductas favorecedoras</w:t>
      </w:r>
      <w:r w:rsidR="00C419CF" w:rsidRPr="00171EDA">
        <w:rPr>
          <w:rFonts w:ascii="Georgia" w:hAnsi="Georgia" w:cs="Arial"/>
        </w:rPr>
        <w:t xml:space="preserve"> de </w:t>
      </w:r>
      <w:r w:rsidR="004A19D9" w:rsidRPr="00171EDA">
        <w:rPr>
          <w:rFonts w:ascii="Georgia" w:hAnsi="Georgia" w:cs="Arial"/>
        </w:rPr>
        <w:t xml:space="preserve">la titular del juzgado de conocimiento, </w:t>
      </w:r>
      <w:r w:rsidR="00C419CF" w:rsidRPr="00171EDA">
        <w:rPr>
          <w:rFonts w:ascii="Georgia" w:hAnsi="Georgia" w:cs="Arial"/>
        </w:rPr>
        <w:t xml:space="preserve">a la parte demandada, no se aprecia circunstancia alguna que permita hacer tal inferencia; ello sin perjuicio de que la parte interesada, considere pertinente ponerlo en conocimiento </w:t>
      </w:r>
      <w:r>
        <w:rPr>
          <w:rFonts w:ascii="Georgia" w:hAnsi="Georgia" w:cs="Arial"/>
        </w:rPr>
        <w:t>d</w:t>
      </w:r>
      <w:r w:rsidR="00C419CF" w:rsidRPr="00171EDA">
        <w:rPr>
          <w:rFonts w:ascii="Georgia" w:hAnsi="Georgia" w:cs="Arial"/>
        </w:rPr>
        <w:t>e las respectivas autoridades.</w:t>
      </w:r>
      <w:r w:rsidR="00171EDA">
        <w:rPr>
          <w:rFonts w:ascii="Georgia" w:hAnsi="Georgia" w:cs="Arial"/>
        </w:rPr>
        <w:t xml:space="preserve"> Idéntica conclusión se llega en lo a</w:t>
      </w:r>
      <w:r>
        <w:rPr>
          <w:rFonts w:ascii="Georgia" w:hAnsi="Georgia" w:cs="Arial"/>
        </w:rPr>
        <w:t xml:space="preserve">tinente a la posible </w:t>
      </w:r>
      <w:r w:rsidR="00171EDA">
        <w:rPr>
          <w:rFonts w:ascii="Georgia" w:hAnsi="Georgia" w:cs="Arial"/>
        </w:rPr>
        <w:t xml:space="preserve">sanción para el demandante, </w:t>
      </w:r>
      <w:r>
        <w:rPr>
          <w:rFonts w:ascii="Georgia" w:hAnsi="Georgia" w:cs="Arial"/>
        </w:rPr>
        <w:t>deja</w:t>
      </w:r>
      <w:r w:rsidR="00411DA4">
        <w:rPr>
          <w:rFonts w:ascii="Georgia" w:hAnsi="Georgia" w:cs="Arial"/>
        </w:rPr>
        <w:t>do</w:t>
      </w:r>
      <w:r>
        <w:rPr>
          <w:rFonts w:ascii="Georgia" w:hAnsi="Georgia" w:cs="Arial"/>
        </w:rPr>
        <w:t xml:space="preserve"> a consideración </w:t>
      </w:r>
      <w:r w:rsidR="00411DA4">
        <w:rPr>
          <w:rFonts w:ascii="Georgia" w:hAnsi="Georgia" w:cs="Arial"/>
        </w:rPr>
        <w:t xml:space="preserve">por </w:t>
      </w:r>
      <w:r w:rsidR="00171EDA">
        <w:rPr>
          <w:rFonts w:ascii="Georgia" w:hAnsi="Georgia" w:cs="Arial"/>
        </w:rPr>
        <w:t>la parte pasiva</w:t>
      </w:r>
      <w:r w:rsidR="00FA66B0">
        <w:rPr>
          <w:rFonts w:ascii="Georgia" w:hAnsi="Georgia" w:cs="Arial"/>
        </w:rPr>
        <w:t>; n</w:t>
      </w:r>
      <w:r w:rsidR="00411DA4">
        <w:rPr>
          <w:rFonts w:ascii="Georgia" w:hAnsi="Georgia" w:cs="Arial"/>
        </w:rPr>
        <w:t>o obstante</w:t>
      </w:r>
      <w:r>
        <w:rPr>
          <w:rFonts w:ascii="Georgia" w:hAnsi="Georgia" w:cs="Arial"/>
        </w:rPr>
        <w:t>, es válido llamar la atención del mandatario judicial de la parte actora, para que evite comentarios l</w:t>
      </w:r>
      <w:r w:rsidR="00411DA4">
        <w:rPr>
          <w:rFonts w:ascii="Georgia" w:hAnsi="Georgia" w:cs="Arial"/>
        </w:rPr>
        <w:t>igeros, sin fundamento alguno, cuando se refiere a la contraparte o a la funcionaria de primera instancia, y más bien actúe cautelosamente en ese sentido</w:t>
      </w:r>
      <w:r w:rsidR="00171EDA">
        <w:rPr>
          <w:rFonts w:ascii="Georgia" w:hAnsi="Georgia" w:cs="Arial"/>
        </w:rPr>
        <w:t xml:space="preserve">. </w:t>
      </w:r>
    </w:p>
    <w:p w:rsidR="00A950F6" w:rsidRPr="00C419CF" w:rsidRDefault="00A950F6" w:rsidP="0047502C">
      <w:pPr>
        <w:spacing w:line="312" w:lineRule="auto"/>
        <w:jc w:val="both"/>
        <w:rPr>
          <w:rFonts w:ascii="Georgia" w:hAnsi="Georgia" w:cs="Arial"/>
          <w:sz w:val="24"/>
          <w:szCs w:val="24"/>
        </w:rPr>
      </w:pPr>
    </w:p>
    <w:p w:rsidR="007E6F5F" w:rsidRPr="00C419CF" w:rsidRDefault="007E6F5F" w:rsidP="0047502C">
      <w:pPr>
        <w:pStyle w:val="Sinespaciado"/>
        <w:widowControl/>
        <w:numPr>
          <w:ilvl w:val="0"/>
          <w:numId w:val="8"/>
        </w:numPr>
        <w:autoSpaceDE/>
        <w:autoSpaceDN/>
        <w:adjustRightInd/>
        <w:spacing w:line="312" w:lineRule="auto"/>
        <w:jc w:val="both"/>
        <w:rPr>
          <w:rFonts w:ascii="Georgia" w:hAnsi="Georgia" w:cs="Arial"/>
        </w:rPr>
      </w:pPr>
      <w:r w:rsidRPr="00C419CF">
        <w:rPr>
          <w:rFonts w:ascii="Georgia" w:hAnsi="Georgia" w:cs="Arial"/>
        </w:rPr>
        <w:t xml:space="preserve">LAS DECISIONES </w:t>
      </w:r>
    </w:p>
    <w:p w:rsidR="007E6F5F" w:rsidRPr="00C419CF" w:rsidRDefault="007E6F5F" w:rsidP="0047502C">
      <w:pPr>
        <w:tabs>
          <w:tab w:val="left" w:pos="-720"/>
        </w:tabs>
        <w:suppressAutoHyphens/>
        <w:spacing w:line="312" w:lineRule="auto"/>
        <w:jc w:val="both"/>
        <w:rPr>
          <w:rFonts w:ascii="Georgia" w:hAnsi="Georgia" w:cs="Arial"/>
          <w:lang w:val="es-CO"/>
        </w:rPr>
      </w:pPr>
    </w:p>
    <w:p w:rsidR="00C419CF" w:rsidRDefault="00C419CF" w:rsidP="0047502C">
      <w:pPr>
        <w:spacing w:line="312" w:lineRule="auto"/>
        <w:jc w:val="both"/>
        <w:rPr>
          <w:rFonts w:ascii="Georgia" w:hAnsi="Georgia" w:cs="Arial"/>
          <w:sz w:val="24"/>
        </w:rPr>
      </w:pPr>
      <w:r w:rsidRPr="007E6F5F">
        <w:rPr>
          <w:rFonts w:ascii="Georgia" w:hAnsi="Georgia" w:cs="Arial"/>
          <w:sz w:val="24"/>
        </w:rPr>
        <w:t xml:space="preserve">En atención a lo </w:t>
      </w:r>
      <w:r>
        <w:rPr>
          <w:rFonts w:ascii="Georgia" w:hAnsi="Georgia" w:cs="Arial"/>
          <w:sz w:val="24"/>
        </w:rPr>
        <w:t>discurrido</w:t>
      </w:r>
      <w:r w:rsidRPr="007E6F5F">
        <w:rPr>
          <w:rFonts w:ascii="Georgia" w:hAnsi="Georgia" w:cs="Arial"/>
          <w:sz w:val="24"/>
        </w:rPr>
        <w:t xml:space="preserve"> (i) Se confirmará la decisión apelada; y, (ii) Se condenará en costas, en esta instancia, al recurrente. </w:t>
      </w:r>
    </w:p>
    <w:p w:rsidR="00171EDA" w:rsidRPr="007E6F5F" w:rsidRDefault="00171EDA" w:rsidP="0047502C">
      <w:pPr>
        <w:spacing w:line="312" w:lineRule="auto"/>
        <w:jc w:val="both"/>
        <w:rPr>
          <w:rFonts w:ascii="Georgia" w:hAnsi="Georgia" w:cs="Arial"/>
          <w:sz w:val="24"/>
        </w:rPr>
      </w:pPr>
    </w:p>
    <w:p w:rsidR="00C419CF" w:rsidRPr="007E6F5F" w:rsidRDefault="00C419CF" w:rsidP="0047502C">
      <w:pPr>
        <w:spacing w:line="312" w:lineRule="auto"/>
        <w:jc w:val="both"/>
        <w:rPr>
          <w:rFonts w:ascii="Georgia" w:hAnsi="Georgia" w:cs="Arial"/>
          <w:sz w:val="24"/>
          <w:lang w:val="es-CO"/>
        </w:rPr>
      </w:pPr>
      <w:r w:rsidRPr="007E6F5F">
        <w:rPr>
          <w:rFonts w:ascii="Georgia" w:hAnsi="Georgia" w:cs="Arial"/>
          <w:sz w:val="24"/>
          <w:lang w:val="es-CO"/>
        </w:rPr>
        <w:lastRenderedPageBreak/>
        <w:t>Las agencias se fijarán en auto posterior, en seguimiento de la variación hecha por esta Sala</w:t>
      </w:r>
      <w:r w:rsidRPr="007E6F5F">
        <w:rPr>
          <w:rStyle w:val="Refdenotaalpie"/>
          <w:rFonts w:ascii="Georgia" w:hAnsi="Georgia"/>
          <w:sz w:val="24"/>
          <w:lang w:val="es-CO"/>
        </w:rPr>
        <w:footnoteReference w:id="23"/>
      </w:r>
      <w:r w:rsidRPr="007E6F5F">
        <w:rPr>
          <w:rFonts w:ascii="Georgia" w:hAnsi="Georgia" w:cs="Arial"/>
          <w:sz w:val="24"/>
          <w:lang w:val="es-CO"/>
        </w:rPr>
        <w:t>, fundada en criterio de la CSJ, en reciente providencia</w:t>
      </w:r>
      <w:r w:rsidRPr="007E6F5F">
        <w:rPr>
          <w:rStyle w:val="Refdenotaalpie"/>
          <w:rFonts w:ascii="Georgia" w:hAnsi="Georgia"/>
          <w:sz w:val="24"/>
        </w:rPr>
        <w:footnoteReference w:id="24"/>
      </w:r>
      <w:r w:rsidRPr="007E6F5F">
        <w:rPr>
          <w:rFonts w:ascii="Georgia" w:hAnsi="Georgia" w:cs="Arial"/>
          <w:sz w:val="24"/>
          <w:lang w:val="es-CO"/>
        </w:rPr>
        <w:t xml:space="preserve"> de tutela (2017). Se comprende que se hace en auto y no en la decisión misma, porque esa expresa modificación, introducida como novedad por la Ley 1395 de 2010, desapareció en la nueva redacción del ordinal 2º del artículo 365, </w:t>
      </w:r>
      <w:r>
        <w:rPr>
          <w:rFonts w:ascii="Georgia" w:hAnsi="Georgia" w:cs="Arial"/>
          <w:sz w:val="24"/>
          <w:lang w:val="es-CO"/>
        </w:rPr>
        <w:t>ib.</w:t>
      </w:r>
    </w:p>
    <w:p w:rsidR="00C419CF" w:rsidRPr="007E6F5F" w:rsidRDefault="00C419CF" w:rsidP="0047502C">
      <w:pPr>
        <w:spacing w:line="312" w:lineRule="auto"/>
        <w:jc w:val="both"/>
        <w:rPr>
          <w:rFonts w:ascii="Georgia" w:hAnsi="Georgia" w:cs="Arial"/>
          <w:sz w:val="24"/>
          <w:lang w:val="es-CO"/>
        </w:rPr>
      </w:pPr>
    </w:p>
    <w:p w:rsidR="00C419CF" w:rsidRPr="007E6F5F" w:rsidRDefault="00C419CF" w:rsidP="0047502C">
      <w:pPr>
        <w:tabs>
          <w:tab w:val="left" w:pos="-720"/>
        </w:tabs>
        <w:suppressAutoHyphens/>
        <w:spacing w:line="312" w:lineRule="auto"/>
        <w:jc w:val="both"/>
        <w:rPr>
          <w:rFonts w:ascii="Georgia" w:hAnsi="Georgia" w:cs="Arial"/>
          <w:sz w:val="24"/>
        </w:rPr>
      </w:pPr>
      <w:r w:rsidRPr="007E6F5F">
        <w:rPr>
          <w:rFonts w:ascii="Georgia" w:hAnsi="Georgia" w:cs="Arial"/>
          <w:sz w:val="24"/>
        </w:rPr>
        <w:t xml:space="preserve">En mérito de lo discurrido en los acápites precedentes, el </w:t>
      </w:r>
      <w:r w:rsidRPr="007E6F5F">
        <w:rPr>
          <w:rFonts w:ascii="Georgia" w:hAnsi="Georgia" w:cs="Arial"/>
          <w:smallCaps/>
          <w:sz w:val="24"/>
        </w:rPr>
        <w:t>Tribunal Superior del Distrito Judicial de Pereira, Sala Unitaria de Decisión</w:t>
      </w:r>
      <w:r w:rsidRPr="007E6F5F">
        <w:rPr>
          <w:rFonts w:ascii="Georgia" w:hAnsi="Georgia" w:cs="Arial"/>
          <w:sz w:val="24"/>
        </w:rPr>
        <w:t>,</w:t>
      </w:r>
    </w:p>
    <w:p w:rsidR="00C419CF" w:rsidRPr="00DC190F" w:rsidRDefault="00C419CF" w:rsidP="0047502C">
      <w:pPr>
        <w:tabs>
          <w:tab w:val="left" w:pos="-720"/>
        </w:tabs>
        <w:suppressAutoHyphens/>
        <w:spacing w:line="312" w:lineRule="auto"/>
        <w:jc w:val="both"/>
        <w:rPr>
          <w:rFonts w:ascii="Georgia" w:hAnsi="Georgia" w:cs="Arial"/>
          <w:spacing w:val="-3"/>
          <w:sz w:val="24"/>
        </w:rPr>
      </w:pPr>
    </w:p>
    <w:p w:rsidR="00C419CF" w:rsidRPr="00840AAA" w:rsidRDefault="00C419CF" w:rsidP="0047502C">
      <w:pPr>
        <w:pStyle w:val="Sinespaciado"/>
        <w:spacing w:line="312"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C419CF" w:rsidRPr="00DC190F" w:rsidRDefault="00C419CF" w:rsidP="0047502C">
      <w:pPr>
        <w:pStyle w:val="Sinespaciado"/>
        <w:spacing w:line="312" w:lineRule="auto"/>
        <w:jc w:val="center"/>
        <w:rPr>
          <w:rFonts w:ascii="Georgia" w:hAnsi="Georgia" w:cs="Arial"/>
        </w:rPr>
      </w:pPr>
    </w:p>
    <w:p w:rsidR="00C419CF" w:rsidRDefault="00C419CF" w:rsidP="0047502C">
      <w:pPr>
        <w:pStyle w:val="Textopredeterminado"/>
        <w:numPr>
          <w:ilvl w:val="0"/>
          <w:numId w:val="14"/>
        </w:numPr>
        <w:spacing w:line="312" w:lineRule="auto"/>
        <w:jc w:val="both"/>
        <w:textAlignment w:val="baseline"/>
        <w:rPr>
          <w:rFonts w:ascii="Georgia" w:hAnsi="Georgia" w:cs="Arial"/>
          <w:szCs w:val="24"/>
        </w:rPr>
      </w:pPr>
      <w:r w:rsidRPr="00840AAA">
        <w:rPr>
          <w:rFonts w:ascii="Georgia" w:hAnsi="Georgia" w:cs="Arial"/>
          <w:szCs w:val="24"/>
        </w:rPr>
        <w:t>CONFIRMAR el auto apelado, por lo razonado en la parte motiva de esta providencia.</w:t>
      </w:r>
    </w:p>
    <w:p w:rsidR="00C8296D" w:rsidRPr="00840AAA" w:rsidRDefault="00C8296D" w:rsidP="0047502C">
      <w:pPr>
        <w:pStyle w:val="Textopredeterminado"/>
        <w:spacing w:line="312" w:lineRule="auto"/>
        <w:ind w:left="360"/>
        <w:jc w:val="both"/>
        <w:textAlignment w:val="baseline"/>
        <w:rPr>
          <w:rFonts w:ascii="Georgia" w:hAnsi="Georgia" w:cs="Arial"/>
          <w:szCs w:val="24"/>
        </w:rPr>
      </w:pPr>
    </w:p>
    <w:p w:rsidR="00C419CF" w:rsidRPr="00DC190F" w:rsidRDefault="00C419CF" w:rsidP="0047502C">
      <w:pPr>
        <w:pStyle w:val="Textopredeterminado"/>
        <w:numPr>
          <w:ilvl w:val="0"/>
          <w:numId w:val="14"/>
        </w:numPr>
        <w:tabs>
          <w:tab w:val="left" w:pos="544"/>
        </w:tabs>
        <w:spacing w:line="312" w:lineRule="auto"/>
        <w:jc w:val="both"/>
        <w:textAlignment w:val="baseline"/>
        <w:rPr>
          <w:rFonts w:ascii="Georgia" w:hAnsi="Georgia" w:cs="Arial"/>
          <w:color w:val="auto"/>
          <w:szCs w:val="24"/>
        </w:rPr>
      </w:pPr>
      <w:r w:rsidRPr="00DC190F">
        <w:rPr>
          <w:rFonts w:ascii="Georgia" w:hAnsi="Georgia" w:cs="Arial"/>
          <w:color w:val="auto"/>
          <w:szCs w:val="24"/>
        </w:rPr>
        <w:t>CONDENAR  en  costas  a la parte</w:t>
      </w:r>
      <w:r>
        <w:rPr>
          <w:rFonts w:ascii="Georgia" w:hAnsi="Georgia" w:cs="Arial"/>
          <w:color w:val="auto"/>
          <w:szCs w:val="24"/>
        </w:rPr>
        <w:t xml:space="preserve"> actora</w:t>
      </w:r>
      <w:r w:rsidRPr="00DC190F">
        <w:rPr>
          <w:rFonts w:ascii="Georgia" w:hAnsi="Georgia" w:cs="Arial"/>
          <w:color w:val="auto"/>
          <w:szCs w:val="24"/>
        </w:rPr>
        <w:t xml:space="preserve">, y en favor de la parte </w:t>
      </w:r>
      <w:r>
        <w:rPr>
          <w:rFonts w:ascii="Georgia" w:hAnsi="Georgia" w:cs="Arial"/>
          <w:color w:val="auto"/>
          <w:szCs w:val="24"/>
        </w:rPr>
        <w:t>demandada</w:t>
      </w:r>
      <w:r w:rsidRPr="00DC190F">
        <w:rPr>
          <w:rFonts w:ascii="Georgia" w:hAnsi="Georgia" w:cs="Arial"/>
          <w:color w:val="auto"/>
          <w:szCs w:val="24"/>
        </w:rPr>
        <w:t xml:space="preserve">. Las agencias en derecho se fijarán por esta Corporación, una vez quede ejecutoriada esta providencia. </w:t>
      </w:r>
    </w:p>
    <w:p w:rsidR="00C419CF" w:rsidRPr="00DC190F" w:rsidRDefault="00C419CF" w:rsidP="0047502C">
      <w:pPr>
        <w:pStyle w:val="Textopredeterminado"/>
        <w:tabs>
          <w:tab w:val="left" w:pos="544"/>
        </w:tabs>
        <w:spacing w:line="312" w:lineRule="auto"/>
        <w:jc w:val="both"/>
        <w:rPr>
          <w:rFonts w:ascii="Georgia" w:hAnsi="Georgia" w:cs="Arial"/>
          <w:color w:val="auto"/>
          <w:szCs w:val="24"/>
        </w:rPr>
      </w:pPr>
    </w:p>
    <w:p w:rsidR="00C419CF" w:rsidRPr="00DC190F" w:rsidRDefault="00C419CF" w:rsidP="0047502C">
      <w:pPr>
        <w:pStyle w:val="Textopredeterminado"/>
        <w:numPr>
          <w:ilvl w:val="0"/>
          <w:numId w:val="14"/>
        </w:numPr>
        <w:tabs>
          <w:tab w:val="left" w:pos="544"/>
        </w:tabs>
        <w:spacing w:line="312" w:lineRule="auto"/>
        <w:jc w:val="both"/>
        <w:textAlignment w:val="baseline"/>
        <w:rPr>
          <w:rFonts w:ascii="Georgia" w:hAnsi="Georgia" w:cs="Arial"/>
          <w:color w:val="auto"/>
          <w:szCs w:val="24"/>
        </w:rPr>
      </w:pPr>
      <w:r w:rsidRPr="00DC190F">
        <w:rPr>
          <w:rFonts w:ascii="Georgia" w:hAnsi="Georgia" w:cs="Arial"/>
          <w:color w:val="auto"/>
          <w:szCs w:val="24"/>
        </w:rPr>
        <w:t>ADVERTIR que esta decisión es irrecurrible.</w:t>
      </w:r>
    </w:p>
    <w:p w:rsidR="00C419CF" w:rsidRPr="00DC190F" w:rsidRDefault="00C419CF" w:rsidP="0047502C">
      <w:pPr>
        <w:pStyle w:val="Prrafodelista"/>
        <w:spacing w:line="312" w:lineRule="auto"/>
        <w:rPr>
          <w:rFonts w:ascii="Georgia" w:hAnsi="Georgia" w:cs="Arial"/>
          <w:sz w:val="24"/>
          <w:szCs w:val="24"/>
        </w:rPr>
      </w:pPr>
    </w:p>
    <w:p w:rsidR="00C419CF" w:rsidRPr="00DC190F" w:rsidRDefault="00C419CF" w:rsidP="0047502C">
      <w:pPr>
        <w:pStyle w:val="Textopredeterminado"/>
        <w:numPr>
          <w:ilvl w:val="0"/>
          <w:numId w:val="14"/>
        </w:numPr>
        <w:tabs>
          <w:tab w:val="left" w:pos="544"/>
        </w:tabs>
        <w:spacing w:line="312" w:lineRule="auto"/>
        <w:jc w:val="both"/>
        <w:textAlignment w:val="baseline"/>
        <w:rPr>
          <w:rFonts w:ascii="Georgia" w:hAnsi="Georgia" w:cs="Arial"/>
          <w:color w:val="auto"/>
          <w:szCs w:val="24"/>
        </w:rPr>
      </w:pPr>
      <w:r w:rsidRPr="00DC190F">
        <w:rPr>
          <w:rFonts w:ascii="Georgia" w:hAnsi="Georgia" w:cs="Arial"/>
          <w:color w:val="auto"/>
          <w:szCs w:val="24"/>
        </w:rPr>
        <w:t>DEVOLVER el expediente al Despacho de origen, por conducto de la Secretaría de esta Corporación.</w:t>
      </w:r>
    </w:p>
    <w:p w:rsidR="007E6F5F" w:rsidRPr="00C419CF" w:rsidRDefault="007E6F5F" w:rsidP="0047502C">
      <w:pPr>
        <w:pStyle w:val="Textopredeterminado"/>
        <w:tabs>
          <w:tab w:val="left" w:pos="544"/>
        </w:tabs>
        <w:spacing w:line="312" w:lineRule="auto"/>
        <w:ind w:left="360"/>
        <w:jc w:val="both"/>
        <w:textAlignment w:val="baseline"/>
        <w:rPr>
          <w:rFonts w:ascii="Georgia" w:hAnsi="Georgia" w:cs="Arial"/>
          <w:color w:val="auto"/>
          <w:szCs w:val="24"/>
        </w:rPr>
      </w:pPr>
    </w:p>
    <w:p w:rsidR="00AD10DB" w:rsidRPr="00C419CF" w:rsidRDefault="00AD10DB" w:rsidP="0047502C">
      <w:pPr>
        <w:spacing w:line="312" w:lineRule="auto"/>
        <w:jc w:val="center"/>
        <w:rPr>
          <w:rFonts w:ascii="Georgia" w:hAnsi="Georgia" w:cs="Arial"/>
          <w:smallCaps/>
          <w:sz w:val="24"/>
          <w:szCs w:val="24"/>
        </w:rPr>
      </w:pPr>
      <w:r w:rsidRPr="00C419CF">
        <w:rPr>
          <w:rFonts w:ascii="Georgia" w:hAnsi="Georgia" w:cs="Arial"/>
          <w:smallCaps/>
          <w:sz w:val="24"/>
          <w:szCs w:val="24"/>
        </w:rPr>
        <w:t>Notifíquese,</w:t>
      </w:r>
    </w:p>
    <w:p w:rsidR="00226B37" w:rsidRPr="00C419CF" w:rsidRDefault="00226B37" w:rsidP="0047502C">
      <w:pPr>
        <w:spacing w:line="312" w:lineRule="auto"/>
        <w:jc w:val="both"/>
        <w:rPr>
          <w:rFonts w:ascii="Georgia" w:hAnsi="Georgia" w:cs="Arial"/>
          <w:sz w:val="24"/>
          <w:szCs w:val="24"/>
        </w:rPr>
      </w:pPr>
    </w:p>
    <w:p w:rsidR="007062C4" w:rsidRDefault="007062C4" w:rsidP="0047502C">
      <w:pPr>
        <w:spacing w:line="312" w:lineRule="auto"/>
        <w:jc w:val="both"/>
        <w:rPr>
          <w:rFonts w:ascii="Georgia" w:hAnsi="Georgia" w:cs="Arial"/>
          <w:sz w:val="24"/>
          <w:szCs w:val="24"/>
        </w:rPr>
      </w:pPr>
    </w:p>
    <w:p w:rsidR="0047502C" w:rsidRDefault="0047502C" w:rsidP="0047502C">
      <w:pPr>
        <w:spacing w:line="312" w:lineRule="auto"/>
        <w:jc w:val="both"/>
        <w:rPr>
          <w:rFonts w:ascii="Georgia" w:hAnsi="Georgia" w:cs="Arial"/>
          <w:sz w:val="24"/>
          <w:szCs w:val="24"/>
        </w:rPr>
      </w:pPr>
    </w:p>
    <w:p w:rsidR="0047502C" w:rsidRPr="00C419CF" w:rsidRDefault="0047502C" w:rsidP="0047502C">
      <w:pPr>
        <w:spacing w:line="312" w:lineRule="auto"/>
        <w:jc w:val="both"/>
        <w:rPr>
          <w:rFonts w:ascii="Georgia" w:hAnsi="Georgia" w:cs="Arial"/>
          <w:sz w:val="24"/>
          <w:szCs w:val="24"/>
        </w:rPr>
      </w:pPr>
    </w:p>
    <w:p w:rsidR="00AD10DB" w:rsidRPr="00C419CF" w:rsidRDefault="00AD10DB" w:rsidP="0047502C">
      <w:pPr>
        <w:pStyle w:val="Textopredeterminado"/>
        <w:spacing w:line="312" w:lineRule="auto"/>
        <w:jc w:val="center"/>
        <w:rPr>
          <w:rFonts w:ascii="Georgia" w:hAnsi="Georgia" w:cs="Arial"/>
          <w:caps/>
          <w:spacing w:val="20"/>
          <w:w w:val="150"/>
          <w:lang w:val="es-MX"/>
        </w:rPr>
      </w:pPr>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AA60EF" w:rsidRPr="00C419CF" w:rsidRDefault="00AD10DB" w:rsidP="0047502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12"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szCs w:val="24"/>
        </w:rPr>
        <w:t>M</w:t>
      </w:r>
      <w:r w:rsidRPr="00C419CF">
        <w:rPr>
          <w:rFonts w:ascii="Georgia" w:hAnsi="Georgia" w:cs="Arial"/>
          <w:caps/>
          <w:spacing w:val="20"/>
          <w:w w:val="150"/>
          <w:sz w:val="18"/>
        </w:rPr>
        <w:t>agistrado</w:t>
      </w:r>
      <w:r w:rsidR="0033124D" w:rsidRPr="00C419CF">
        <w:rPr>
          <w:rFonts w:ascii="Georgia" w:hAnsi="Georgia" w:cs="Arial"/>
          <w:spacing w:val="20"/>
          <w:w w:val="150"/>
          <w:sz w:val="18"/>
          <w:szCs w:val="22"/>
          <w:lang w:val="en-US"/>
        </w:rPr>
        <w:t xml:space="preserve"> </w:t>
      </w:r>
    </w:p>
    <w:p w:rsidR="00C419CF" w:rsidRPr="0047502C" w:rsidRDefault="00C419CF" w:rsidP="0047502C">
      <w:pPr>
        <w:spacing w:line="312" w:lineRule="auto"/>
        <w:jc w:val="right"/>
        <w:rPr>
          <w:rFonts w:ascii="Georgia" w:hAnsi="Georgia" w:cs="Arial"/>
          <w:sz w:val="32"/>
          <w:szCs w:val="24"/>
        </w:rPr>
      </w:pPr>
      <w:r w:rsidRPr="0047502C">
        <w:rPr>
          <w:rFonts w:ascii="Georgia" w:hAnsi="Georgia" w:cs="Arial"/>
          <w:i/>
          <w:spacing w:val="20"/>
          <w:w w:val="150"/>
          <w:sz w:val="10"/>
          <w:szCs w:val="22"/>
          <w:lang w:val="en-US"/>
        </w:rPr>
        <w:t>DGH/DGD / 2018</w:t>
      </w:r>
    </w:p>
    <w:p w:rsidR="00C419CF" w:rsidRDefault="00C419CF" w:rsidP="0047502C">
      <w:pPr>
        <w:spacing w:after="200" w:line="312" w:lineRule="auto"/>
        <w:rPr>
          <w:rFonts w:ascii="Georgia" w:hAnsi="Georgia" w:cs="Arial"/>
          <w:spacing w:val="20"/>
          <w:w w:val="150"/>
          <w:sz w:val="18"/>
          <w:szCs w:val="22"/>
          <w:lang w:val="en-US"/>
        </w:rPr>
      </w:pPr>
    </w:p>
    <w:p w:rsidR="00F54190" w:rsidRPr="00C419CF" w:rsidRDefault="00F54190" w:rsidP="0047502C">
      <w:pPr>
        <w:spacing w:after="200" w:line="312" w:lineRule="auto"/>
        <w:rPr>
          <w:rFonts w:ascii="Georgia" w:hAnsi="Georgia" w:cs="Arial"/>
          <w:spacing w:val="20"/>
          <w:w w:val="150"/>
          <w:sz w:val="18"/>
          <w:szCs w:val="22"/>
          <w:lang w:val="en-US"/>
        </w:rPr>
      </w:pPr>
    </w:p>
    <w:sectPr w:rsidR="00F54190" w:rsidRPr="00C419CF" w:rsidSect="00366A31">
      <w:headerReference w:type="default" r:id="rId9"/>
      <w:footerReference w:type="default" r:id="rId10"/>
      <w:pgSz w:w="12240" w:h="18720"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8F" w:rsidRDefault="00B5548F" w:rsidP="009A1240">
      <w:r>
        <w:separator/>
      </w:r>
    </w:p>
  </w:endnote>
  <w:endnote w:type="continuationSeparator" w:id="0">
    <w:p w:rsidR="00B5548F" w:rsidRDefault="00B5548F"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8F" w:rsidRDefault="00B5548F" w:rsidP="009A1240">
      <w:r>
        <w:separator/>
      </w:r>
    </w:p>
  </w:footnote>
  <w:footnote w:type="continuationSeparator" w:id="0">
    <w:p w:rsidR="00B5548F" w:rsidRDefault="00B5548F" w:rsidP="009A1240">
      <w:r>
        <w:continuationSeparator/>
      </w:r>
    </w:p>
  </w:footnote>
  <w:footnote w:id="1">
    <w:p w:rsidR="00D07E95" w:rsidRPr="00366A31" w:rsidRDefault="00D07E95"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ESCOBAR V. Édgar G. Los recursos en el Código General del Proceso. Librería jurídica Sánchez R. Ltda. 2015, p.37.</w:t>
      </w:r>
    </w:p>
  </w:footnote>
  <w:footnote w:id="2">
    <w:p w:rsidR="00D07E95" w:rsidRPr="00366A31" w:rsidRDefault="00D07E95" w:rsidP="003C7D75">
      <w:pPr>
        <w:pStyle w:val="Textonotapie"/>
        <w:jc w:val="both"/>
        <w:rPr>
          <w:rFonts w:ascii="Georgia" w:hAnsi="Georgia" w:cs="Arial"/>
          <w:sz w:val="18"/>
        </w:rPr>
      </w:pPr>
      <w:r w:rsidRPr="00366A31">
        <w:rPr>
          <w:rFonts w:ascii="Georgia" w:hAnsi="Georgia" w:cs="Arial"/>
          <w:sz w:val="18"/>
          <w:vertAlign w:val="superscript"/>
        </w:rPr>
        <w:footnoteRef/>
      </w:r>
      <w:r w:rsidRPr="00366A31">
        <w:rPr>
          <w:rFonts w:ascii="Georgia" w:hAnsi="Georgia" w:cs="Arial"/>
          <w:sz w:val="18"/>
        </w:rPr>
        <w:t xml:space="preserve"> </w:t>
      </w:r>
      <w:r w:rsidRPr="00366A31">
        <w:rPr>
          <w:rFonts w:ascii="Georgia" w:hAnsi="Georgia" w:cs="Arial"/>
          <w:sz w:val="18"/>
          <w:lang w:val="es-CO"/>
        </w:rPr>
        <w:t>LÓPEZ B., Hernán F. Código General del Proceso, parte general, Bogotá DC, Dupre editores, 2016, p.769-776</w:t>
      </w:r>
      <w:r w:rsidRPr="00366A31">
        <w:rPr>
          <w:rFonts w:ascii="Georgia" w:hAnsi="Georgia" w:cs="Arial"/>
          <w:sz w:val="18"/>
        </w:rPr>
        <w:t>.</w:t>
      </w:r>
    </w:p>
  </w:footnote>
  <w:footnote w:id="3">
    <w:p w:rsidR="00D07E95" w:rsidRPr="00366A31" w:rsidRDefault="00D07E95" w:rsidP="003C7D75">
      <w:pPr>
        <w:pStyle w:val="Textonotapie"/>
        <w:jc w:val="both"/>
        <w:rPr>
          <w:rFonts w:ascii="Georgia" w:hAnsi="Georgia" w:cs="Arial"/>
          <w:sz w:val="18"/>
        </w:rPr>
      </w:pPr>
      <w:r w:rsidRPr="00366A31">
        <w:rPr>
          <w:rFonts w:ascii="Georgia" w:hAnsi="Georgia" w:cs="Arial"/>
          <w:sz w:val="18"/>
          <w:vertAlign w:val="superscript"/>
        </w:rPr>
        <w:footnoteRef/>
      </w:r>
      <w:r w:rsidRPr="00366A31">
        <w:rPr>
          <w:rFonts w:ascii="Georgia" w:hAnsi="Georgia" w:cs="Arial"/>
          <w:sz w:val="18"/>
        </w:rPr>
        <w:t xml:space="preserve"> PARRA Q., Jairo. Derecho procesal civil, tomo I, Santafé de Bogotá D.C., Temis, 1992, p.276.</w:t>
      </w:r>
    </w:p>
  </w:footnote>
  <w:footnote w:id="4">
    <w:p w:rsidR="00D07E95" w:rsidRPr="00366A31" w:rsidRDefault="00D07E95" w:rsidP="003C7D75">
      <w:pPr>
        <w:pStyle w:val="Sinespaciado"/>
        <w:jc w:val="both"/>
        <w:rPr>
          <w:rFonts w:ascii="Georgia" w:hAnsi="Georgia" w:cs="Arial"/>
          <w:sz w:val="18"/>
          <w:szCs w:val="20"/>
        </w:rPr>
      </w:pPr>
      <w:r w:rsidRPr="00366A31">
        <w:rPr>
          <w:rFonts w:ascii="Georgia" w:hAnsi="Georgia" w:cs="Arial"/>
          <w:sz w:val="18"/>
          <w:szCs w:val="20"/>
          <w:vertAlign w:val="superscript"/>
        </w:rPr>
        <w:footnoteRef/>
      </w:r>
      <w:r w:rsidRPr="00366A31">
        <w:rPr>
          <w:rFonts w:ascii="Georgia" w:hAnsi="Georgia" w:cs="Arial"/>
          <w:sz w:val="18"/>
          <w:szCs w:val="20"/>
        </w:rPr>
        <w:t xml:space="preserve"> </w:t>
      </w:r>
      <w:r w:rsidRPr="00366A31">
        <w:rPr>
          <w:rFonts w:ascii="Georgia" w:hAnsi="Georgia" w:cs="Arial"/>
          <w:sz w:val="18"/>
          <w:szCs w:val="20"/>
          <w:lang w:val="es-CO"/>
        </w:rPr>
        <w:t xml:space="preserve">LÓPEZ B., Hernán F. </w:t>
      </w:r>
      <w:r w:rsidRPr="00366A31">
        <w:rPr>
          <w:rFonts w:ascii="Georgia" w:hAnsi="Georgia" w:cs="Arial"/>
          <w:sz w:val="18"/>
          <w:szCs w:val="20"/>
        </w:rPr>
        <w:t>Ob. cit., p.769.</w:t>
      </w:r>
    </w:p>
  </w:footnote>
  <w:footnote w:id="5">
    <w:p w:rsidR="00D07E95" w:rsidRPr="00366A31" w:rsidRDefault="00D07E95"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 xml:space="preserve">ROJAS G., </w:t>
      </w:r>
      <w:r w:rsidR="00C72B29" w:rsidRPr="00366A31">
        <w:rPr>
          <w:rFonts w:ascii="Georgia" w:hAnsi="Georgia" w:cs="Arial"/>
          <w:sz w:val="18"/>
          <w:lang w:val="es-CO"/>
        </w:rPr>
        <w:t>Miguel E. Lecciones de derecho procesal, procedimiento civil, tomo II, ESAJU, 2017, 6ª edición, Bogotá, p.429</w:t>
      </w:r>
      <w:r w:rsidRPr="00366A31">
        <w:rPr>
          <w:rFonts w:ascii="Georgia" w:hAnsi="Georgia" w:cs="Arial"/>
          <w:sz w:val="18"/>
          <w:lang w:val="es-CO"/>
        </w:rPr>
        <w:t>.</w:t>
      </w:r>
    </w:p>
  </w:footnote>
  <w:footnote w:id="6">
    <w:p w:rsidR="00D07E95" w:rsidRPr="00366A31" w:rsidRDefault="00D07E95"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CSJ. Sala Civil. Sentencia del 17-09-1992; MP: Ospina B.</w:t>
      </w:r>
    </w:p>
  </w:footnote>
  <w:footnote w:id="7">
    <w:p w:rsidR="00D07E95" w:rsidRPr="00366A31" w:rsidRDefault="00D07E95"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CSJ. STC12737-2017.</w:t>
      </w:r>
    </w:p>
  </w:footnote>
  <w:footnote w:id="8">
    <w:p w:rsidR="00D07E95" w:rsidRPr="00366A31" w:rsidRDefault="00D07E95"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LÓPEZ B., Hernán F.</w:t>
      </w:r>
      <w:r w:rsidRPr="00366A31">
        <w:rPr>
          <w:rFonts w:ascii="Georgia" w:hAnsi="Georgia" w:cs="Arial"/>
          <w:sz w:val="18"/>
        </w:rPr>
        <w:t xml:space="preserve"> Ob. cit., p.776</w:t>
      </w:r>
      <w:r w:rsidR="007D51D7" w:rsidRPr="00366A31">
        <w:rPr>
          <w:rFonts w:ascii="Georgia" w:hAnsi="Georgia" w:cs="Arial"/>
          <w:sz w:val="18"/>
        </w:rPr>
        <w:t>.</w:t>
      </w:r>
    </w:p>
  </w:footnote>
  <w:footnote w:id="9">
    <w:p w:rsidR="00D07E95" w:rsidRPr="00366A31" w:rsidRDefault="00D07E95"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ROJAS G., Miguel E. Código General del Proceso comentado, ESAJU, 2017, Bogotá DC, p.511.</w:t>
      </w:r>
    </w:p>
  </w:footnote>
  <w:footnote w:id="10">
    <w:p w:rsidR="00B53D39" w:rsidRPr="00366A31" w:rsidRDefault="00B53D39" w:rsidP="003C7D75">
      <w:pPr>
        <w:pStyle w:val="Textonotapie"/>
        <w:jc w:val="both"/>
        <w:rPr>
          <w:rFonts w:ascii="Georgia" w:hAnsi="Georgia" w:cs="Arial"/>
          <w:sz w:val="18"/>
        </w:rPr>
      </w:pPr>
      <w:r w:rsidRPr="00366A31">
        <w:rPr>
          <w:rStyle w:val="Refdenotaalpie"/>
          <w:rFonts w:ascii="Georgia" w:hAnsi="Georgia" w:cs="Arial"/>
          <w:sz w:val="18"/>
          <w:lang w:val="es-CO"/>
        </w:rPr>
        <w:footnoteRef/>
      </w:r>
      <w:r w:rsidRPr="00366A31">
        <w:rPr>
          <w:rFonts w:ascii="Georgia" w:hAnsi="Georgia" w:cs="Arial"/>
          <w:sz w:val="18"/>
          <w:lang w:val="es-CO"/>
        </w:rPr>
        <w:t xml:space="preserve"> CANOSA T., Fernando. Las nulidades en el Código General del Proceso, 7ª edición, Ediciones Doctrina y ley, 2017, p.17.</w:t>
      </w:r>
    </w:p>
  </w:footnote>
  <w:footnote w:id="11">
    <w:p w:rsidR="00B53D39" w:rsidRPr="00366A31" w:rsidRDefault="00B53D39" w:rsidP="003C7D75">
      <w:pPr>
        <w:pStyle w:val="Textonotapie"/>
        <w:jc w:val="both"/>
        <w:rPr>
          <w:rFonts w:ascii="Georgia" w:hAnsi="Georgia" w:cs="Arial"/>
          <w:sz w:val="18"/>
        </w:rPr>
      </w:pPr>
      <w:r w:rsidRPr="00366A31">
        <w:rPr>
          <w:rStyle w:val="Refdenotaalpie"/>
          <w:rFonts w:ascii="Georgia" w:hAnsi="Georgia" w:cs="Arial"/>
          <w:sz w:val="18"/>
          <w:lang w:val="es-CO"/>
        </w:rPr>
        <w:footnoteRef/>
      </w:r>
      <w:r w:rsidRPr="00366A31">
        <w:rPr>
          <w:rFonts w:ascii="Georgia" w:hAnsi="Georgia" w:cs="Arial"/>
          <w:sz w:val="18"/>
          <w:lang w:val="es-CO"/>
        </w:rPr>
        <w:t xml:space="preserve"> </w:t>
      </w:r>
      <w:r w:rsidRPr="00366A31">
        <w:rPr>
          <w:rFonts w:ascii="Georgia" w:hAnsi="Georgia" w:cs="Arial"/>
          <w:sz w:val="18"/>
        </w:rPr>
        <w:t>LÓPEZ B., Hernán F. Ob. cit., p.</w:t>
      </w:r>
      <w:r w:rsidRPr="00366A31">
        <w:rPr>
          <w:rFonts w:ascii="Georgia" w:hAnsi="Georgia" w:cs="Arial"/>
          <w:sz w:val="18"/>
          <w:lang w:val="es-CO"/>
        </w:rPr>
        <w:t>909 ss.</w:t>
      </w:r>
    </w:p>
  </w:footnote>
  <w:footnote w:id="12">
    <w:p w:rsidR="00B53D39" w:rsidRPr="00366A31" w:rsidRDefault="00B53D39" w:rsidP="003C7D75">
      <w:pPr>
        <w:pStyle w:val="Textonotapie"/>
        <w:jc w:val="both"/>
        <w:rPr>
          <w:rFonts w:ascii="Georgia" w:hAnsi="Georgia" w:cs="Arial"/>
          <w:sz w:val="18"/>
        </w:rPr>
      </w:pPr>
      <w:r w:rsidRPr="00366A31">
        <w:rPr>
          <w:rStyle w:val="Refdenotaalpie"/>
          <w:rFonts w:ascii="Georgia" w:hAnsi="Georgia" w:cs="Arial"/>
          <w:sz w:val="18"/>
          <w:lang w:val="es-CO"/>
        </w:rPr>
        <w:footnoteRef/>
      </w:r>
      <w:r w:rsidRPr="00366A31">
        <w:rPr>
          <w:rFonts w:ascii="Georgia" w:hAnsi="Georgia" w:cs="Arial"/>
          <w:sz w:val="18"/>
          <w:lang w:val="es-CO"/>
        </w:rPr>
        <w:t xml:space="preserve"> AZULA C., Jaime. Manual de derecho procesal civil, tomo II, 4ª edición, editorial Temis, Bogotá, 1994, p.303.</w:t>
      </w:r>
    </w:p>
  </w:footnote>
  <w:footnote w:id="13">
    <w:p w:rsidR="00B53D39" w:rsidRPr="00366A31" w:rsidRDefault="00B53D39" w:rsidP="003C7D75">
      <w:pPr>
        <w:pStyle w:val="Textonotapie"/>
        <w:jc w:val="both"/>
        <w:rPr>
          <w:rFonts w:ascii="Georgia" w:hAnsi="Georgia" w:cs="Arial"/>
          <w:sz w:val="18"/>
        </w:rPr>
      </w:pPr>
      <w:r w:rsidRPr="00366A31">
        <w:rPr>
          <w:rStyle w:val="Refdenotaalpie"/>
          <w:rFonts w:ascii="Georgia" w:hAnsi="Georgia" w:cs="Arial"/>
          <w:sz w:val="18"/>
          <w:lang w:val="es-CO"/>
        </w:rPr>
        <w:footnoteRef/>
      </w:r>
      <w:r w:rsidRPr="00366A31">
        <w:rPr>
          <w:rFonts w:ascii="Georgia" w:hAnsi="Georgia" w:cs="Arial"/>
          <w:sz w:val="18"/>
          <w:lang w:val="es-CO"/>
        </w:rPr>
        <w:t xml:space="preserve"> ROJAS G., Miguel E. Ob. cit., p.459 a 462.</w:t>
      </w:r>
    </w:p>
  </w:footnote>
  <w:footnote w:id="14">
    <w:p w:rsidR="00B53D39" w:rsidRPr="00366A31" w:rsidRDefault="00B53D39" w:rsidP="003C7D75">
      <w:pPr>
        <w:pStyle w:val="Textonotapie"/>
        <w:jc w:val="both"/>
        <w:rPr>
          <w:rFonts w:ascii="Georgia" w:hAnsi="Georgia" w:cs="Arial"/>
          <w:sz w:val="18"/>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SANABRIA S., Henry. Nulidades en el proceso civil, Universidad Externado de Colombia, 2ª edición, Bogotá, 2011, p.124.</w:t>
      </w:r>
    </w:p>
  </w:footnote>
  <w:footnote w:id="15">
    <w:p w:rsidR="00B53D39" w:rsidRPr="00366A31" w:rsidRDefault="00B53D39" w:rsidP="003C7D75">
      <w:pPr>
        <w:pStyle w:val="Textonotapie"/>
        <w:jc w:val="both"/>
        <w:rPr>
          <w:rFonts w:ascii="Georgia" w:hAnsi="Georgia" w:cs="Arial"/>
          <w:sz w:val="18"/>
        </w:rPr>
      </w:pPr>
      <w:r w:rsidRPr="00366A31">
        <w:rPr>
          <w:rStyle w:val="Refdenotaalpie"/>
          <w:rFonts w:ascii="Georgia" w:hAnsi="Georgia" w:cs="Arial"/>
          <w:sz w:val="18"/>
          <w:lang w:val="es-CO"/>
        </w:rPr>
        <w:footnoteRef/>
      </w:r>
      <w:r w:rsidRPr="00366A31">
        <w:rPr>
          <w:rFonts w:ascii="Georgia" w:hAnsi="Georgia" w:cs="Arial"/>
          <w:sz w:val="18"/>
          <w:lang w:val="es-CO"/>
        </w:rPr>
        <w:t xml:space="preserve"> CANOSA T., Fernando. Ob. cit., p.19 y ss.</w:t>
      </w:r>
    </w:p>
  </w:footnote>
  <w:footnote w:id="16">
    <w:p w:rsidR="00B53D39" w:rsidRPr="00366A31" w:rsidRDefault="00B53D39"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 xml:space="preserve">CSJ. SC15413-2014. </w:t>
      </w:r>
    </w:p>
  </w:footnote>
  <w:footnote w:id="17">
    <w:p w:rsidR="00FB3C6F" w:rsidRPr="00366A31" w:rsidRDefault="00FB3C6F"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 xml:space="preserve">CSJ. AC8665-2017, también pueden consultarse las sentencias del 11-10-1999, MP: Nicolás Bechara S., No.6398,  y la </w:t>
      </w:r>
      <w:r w:rsidRPr="00366A31">
        <w:rPr>
          <w:rFonts w:ascii="Georgia" w:hAnsi="Georgia" w:cs="Arial"/>
          <w:sz w:val="18"/>
        </w:rPr>
        <w:t>STC4610-2014.</w:t>
      </w:r>
    </w:p>
  </w:footnote>
  <w:footnote w:id="18">
    <w:p w:rsidR="00FB3C6F" w:rsidRPr="00366A31" w:rsidRDefault="00FB3C6F" w:rsidP="003C7D75">
      <w:pPr>
        <w:pStyle w:val="Textonotapie"/>
        <w:jc w:val="both"/>
        <w:rPr>
          <w:rFonts w:ascii="Georgia" w:hAnsi="Georgia" w:cs="Arial"/>
          <w:sz w:val="18"/>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SANABRIA S., Henry. Ob. cit., p.335.</w:t>
      </w:r>
    </w:p>
  </w:footnote>
  <w:footnote w:id="19">
    <w:p w:rsidR="007D51D7" w:rsidRPr="00366A31" w:rsidRDefault="007D51D7"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LÓPEZ B., Hernán F.</w:t>
      </w:r>
      <w:r w:rsidRPr="00366A31">
        <w:rPr>
          <w:rFonts w:ascii="Georgia" w:hAnsi="Georgia" w:cs="Arial"/>
          <w:sz w:val="18"/>
        </w:rPr>
        <w:t xml:space="preserve"> Ob. cit., p.935-938. </w:t>
      </w:r>
    </w:p>
  </w:footnote>
  <w:footnote w:id="20">
    <w:p w:rsidR="00C8296D" w:rsidRPr="00366A31" w:rsidRDefault="00C8296D">
      <w:pPr>
        <w:pStyle w:val="Textonotapie"/>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SANABRIA S., Henry. Ob. cit., p.124.</w:t>
      </w:r>
    </w:p>
  </w:footnote>
  <w:footnote w:id="21">
    <w:p w:rsidR="008C38EB" w:rsidRPr="00366A31" w:rsidRDefault="008C38EB"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CSJ. Civil. Sentencia 11-06-2015, No.2015-01174-00, reiterado entre otras en STC11124-2015 y STC8909-2017.</w:t>
      </w:r>
    </w:p>
  </w:footnote>
  <w:footnote w:id="22">
    <w:p w:rsidR="008C38EB" w:rsidRPr="00366A31" w:rsidRDefault="008C38EB"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w:t>
      </w:r>
      <w:r w:rsidRPr="00366A31">
        <w:rPr>
          <w:rFonts w:ascii="Georgia" w:hAnsi="Georgia" w:cs="Arial"/>
          <w:sz w:val="18"/>
          <w:lang w:val="es-CO"/>
        </w:rPr>
        <w:t>TSP, Sala Civil – Familia. Providencias del (i)</w:t>
      </w:r>
      <w:r w:rsidRPr="00366A31">
        <w:rPr>
          <w:rFonts w:ascii="Georgia" w:hAnsi="Georgia" w:cs="Arial"/>
          <w:sz w:val="18"/>
        </w:rPr>
        <w:t xml:space="preserve"> 09-12-2015; MP: Grisales H., No.2015-00225-01; y, (ii) 19-09-2016, MP: Saraza N., No.2016-00028-02</w:t>
      </w:r>
    </w:p>
  </w:footnote>
  <w:footnote w:id="23">
    <w:p w:rsidR="00C419CF" w:rsidRPr="00366A31" w:rsidRDefault="00C419CF" w:rsidP="003C7D75">
      <w:pPr>
        <w:pStyle w:val="Textonotapie"/>
        <w:jc w:val="both"/>
        <w:rPr>
          <w:rFonts w:ascii="Georgia" w:hAnsi="Georgia" w:cs="Arial"/>
          <w:sz w:val="18"/>
        </w:rPr>
      </w:pPr>
      <w:r w:rsidRPr="00366A31">
        <w:rPr>
          <w:rStyle w:val="Refdenotaalpie"/>
          <w:rFonts w:ascii="Georgia" w:hAnsi="Georgia" w:cs="Arial"/>
          <w:sz w:val="18"/>
        </w:rPr>
        <w:footnoteRef/>
      </w:r>
      <w:r w:rsidRPr="00366A31">
        <w:rPr>
          <w:rFonts w:ascii="Georgia" w:hAnsi="Georgia" w:cs="Arial"/>
          <w:sz w:val="18"/>
        </w:rPr>
        <w:t xml:space="preserve"> TS, PEREIRA, Civil-Familia. Sentencia del 23-06-2017, MP: Grisales H., No.</w:t>
      </w:r>
      <w:r w:rsidRPr="00366A31">
        <w:rPr>
          <w:rFonts w:ascii="Georgia" w:hAnsi="Georgia" w:cs="Arial"/>
          <w:sz w:val="18"/>
          <w:lang w:val="es-CO"/>
        </w:rPr>
        <w:t>2012-00118-01.</w:t>
      </w:r>
    </w:p>
  </w:footnote>
  <w:footnote w:id="24">
    <w:p w:rsidR="00C419CF" w:rsidRPr="00366A31" w:rsidRDefault="00C419CF" w:rsidP="003C7D75">
      <w:pPr>
        <w:pStyle w:val="Textonotapie"/>
        <w:jc w:val="both"/>
        <w:rPr>
          <w:rFonts w:ascii="Georgia" w:hAnsi="Georgia" w:cs="Arial"/>
          <w:sz w:val="18"/>
          <w:lang w:val="es-CO"/>
        </w:rPr>
      </w:pPr>
      <w:r w:rsidRPr="00366A31">
        <w:rPr>
          <w:rStyle w:val="Refdenotaalpie"/>
          <w:rFonts w:ascii="Georgia" w:hAnsi="Georgia" w:cs="Arial"/>
          <w:sz w:val="18"/>
        </w:rPr>
        <w:footnoteRef/>
      </w:r>
      <w:r w:rsidRPr="00366A31">
        <w:rPr>
          <w:rFonts w:ascii="Georgia" w:hAnsi="Georgia" w:cs="Arial"/>
          <w:sz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47502C" w:rsidRPr="0047502C">
      <w:rPr>
        <w:rFonts w:asciiTheme="minorHAnsi" w:hAnsiTheme="minorHAnsi" w:cs="Calibri"/>
        <w:bCs/>
        <w:noProof/>
      </w:rPr>
      <w:t>1</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sidR="008F2418">
      <w:rPr>
        <w:rFonts w:asciiTheme="majorHAnsi" w:hAnsiTheme="majorHAnsi" w:cs="Iskoola Pota"/>
        <w:i/>
        <w:sz w:val="16"/>
        <w:lang w:val="es-CO"/>
      </w:rPr>
      <w:t>1</w:t>
    </w:r>
    <w:r w:rsidR="0013059A">
      <w:rPr>
        <w:rFonts w:asciiTheme="majorHAnsi" w:hAnsiTheme="majorHAnsi" w:cs="Iskoola Pota"/>
        <w:i/>
        <w:sz w:val="16"/>
        <w:lang w:val="es-CO"/>
      </w:rPr>
      <w:t>4</w:t>
    </w:r>
    <w:r w:rsidRPr="00C303BC">
      <w:rPr>
        <w:rFonts w:asciiTheme="majorHAnsi" w:hAnsiTheme="majorHAnsi" w:cs="Iskoola Pota"/>
        <w:i/>
        <w:sz w:val="16"/>
        <w:lang w:val="es-CO"/>
      </w:rPr>
      <w:t>-0</w:t>
    </w:r>
    <w:r w:rsidR="00BB073A">
      <w:rPr>
        <w:rFonts w:asciiTheme="majorHAnsi" w:hAnsiTheme="majorHAnsi" w:cs="Iskoola Pota"/>
        <w:i/>
        <w:sz w:val="16"/>
        <w:lang w:val="es-CO"/>
      </w:rPr>
      <w:t>0</w:t>
    </w:r>
    <w:r w:rsidR="0013059A">
      <w:rPr>
        <w:rFonts w:asciiTheme="majorHAnsi" w:hAnsiTheme="majorHAnsi" w:cs="Iskoola Pota"/>
        <w:i/>
        <w:sz w:val="16"/>
        <w:lang w:val="es-CO"/>
      </w:rPr>
      <w:t>224</w:t>
    </w:r>
    <w:r w:rsidRPr="00C303BC">
      <w:rPr>
        <w:rFonts w:asciiTheme="majorHAnsi" w:hAnsiTheme="majorHAnsi" w:cs="Iskoola Pota"/>
        <w:i/>
        <w:sz w:val="16"/>
        <w:lang w:val="es-CO"/>
      </w:rPr>
      <w:t>-0</w:t>
    </w:r>
    <w:r w:rsidR="008B7145" w:rsidRPr="00C303BC">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3">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0"/>
  </w:num>
  <w:num w:numId="2">
    <w:abstractNumId w:val="6"/>
  </w:num>
  <w:num w:numId="3">
    <w:abstractNumId w:val="14"/>
  </w:num>
  <w:num w:numId="4">
    <w:abstractNumId w:val="12"/>
  </w:num>
  <w:num w:numId="5">
    <w:abstractNumId w:val="5"/>
  </w:num>
  <w:num w:numId="6">
    <w:abstractNumId w:val="1"/>
  </w:num>
  <w:num w:numId="7">
    <w:abstractNumId w:val="9"/>
  </w:num>
  <w:num w:numId="8">
    <w:abstractNumId w:val="2"/>
  </w:num>
  <w:num w:numId="9">
    <w:abstractNumId w:val="0"/>
  </w:num>
  <w:num w:numId="10">
    <w:abstractNumId w:val="8"/>
  </w:num>
  <w:num w:numId="11">
    <w:abstractNumId w:val="4"/>
  </w:num>
  <w:num w:numId="12">
    <w:abstractNumId w:val="13"/>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13C1B"/>
    <w:rsid w:val="00014611"/>
    <w:rsid w:val="00017215"/>
    <w:rsid w:val="00026DAD"/>
    <w:rsid w:val="00026FAD"/>
    <w:rsid w:val="00030AD0"/>
    <w:rsid w:val="00032991"/>
    <w:rsid w:val="00034CD7"/>
    <w:rsid w:val="00045CE3"/>
    <w:rsid w:val="00050E52"/>
    <w:rsid w:val="000521D3"/>
    <w:rsid w:val="00055A86"/>
    <w:rsid w:val="00057617"/>
    <w:rsid w:val="00057B5C"/>
    <w:rsid w:val="000604E5"/>
    <w:rsid w:val="00060A66"/>
    <w:rsid w:val="00061786"/>
    <w:rsid w:val="00063444"/>
    <w:rsid w:val="00063E12"/>
    <w:rsid w:val="00070311"/>
    <w:rsid w:val="00076B8B"/>
    <w:rsid w:val="00084FC7"/>
    <w:rsid w:val="00094BEA"/>
    <w:rsid w:val="0009521A"/>
    <w:rsid w:val="000979F2"/>
    <w:rsid w:val="000A0646"/>
    <w:rsid w:val="000A10DC"/>
    <w:rsid w:val="000A3198"/>
    <w:rsid w:val="000A7E78"/>
    <w:rsid w:val="000B2246"/>
    <w:rsid w:val="000B2C44"/>
    <w:rsid w:val="000B2E19"/>
    <w:rsid w:val="000B4877"/>
    <w:rsid w:val="000D03C3"/>
    <w:rsid w:val="000D106C"/>
    <w:rsid w:val="000D1C67"/>
    <w:rsid w:val="000D4106"/>
    <w:rsid w:val="000D51C5"/>
    <w:rsid w:val="000D579D"/>
    <w:rsid w:val="000D70EB"/>
    <w:rsid w:val="000E1102"/>
    <w:rsid w:val="000E7402"/>
    <w:rsid w:val="000F08E0"/>
    <w:rsid w:val="000F16E3"/>
    <w:rsid w:val="000F1B66"/>
    <w:rsid w:val="000F3C01"/>
    <w:rsid w:val="000F6932"/>
    <w:rsid w:val="000F6F29"/>
    <w:rsid w:val="00107E1A"/>
    <w:rsid w:val="00112D32"/>
    <w:rsid w:val="001130D4"/>
    <w:rsid w:val="00113B1A"/>
    <w:rsid w:val="00114608"/>
    <w:rsid w:val="00114FEE"/>
    <w:rsid w:val="0011731C"/>
    <w:rsid w:val="00117C9A"/>
    <w:rsid w:val="0012018F"/>
    <w:rsid w:val="00121881"/>
    <w:rsid w:val="00122CE4"/>
    <w:rsid w:val="00123729"/>
    <w:rsid w:val="0013059A"/>
    <w:rsid w:val="00132BE5"/>
    <w:rsid w:val="0013450B"/>
    <w:rsid w:val="001403D4"/>
    <w:rsid w:val="00141432"/>
    <w:rsid w:val="001442F9"/>
    <w:rsid w:val="001446B1"/>
    <w:rsid w:val="001452E0"/>
    <w:rsid w:val="00146542"/>
    <w:rsid w:val="001518CF"/>
    <w:rsid w:val="00157865"/>
    <w:rsid w:val="00161CA6"/>
    <w:rsid w:val="0017105E"/>
    <w:rsid w:val="00171EDA"/>
    <w:rsid w:val="0017274F"/>
    <w:rsid w:val="00185218"/>
    <w:rsid w:val="00190036"/>
    <w:rsid w:val="00190944"/>
    <w:rsid w:val="001A0479"/>
    <w:rsid w:val="001A46C4"/>
    <w:rsid w:val="001A565D"/>
    <w:rsid w:val="001A688F"/>
    <w:rsid w:val="001B2496"/>
    <w:rsid w:val="001B3230"/>
    <w:rsid w:val="001B4583"/>
    <w:rsid w:val="001B4B9B"/>
    <w:rsid w:val="001C1E37"/>
    <w:rsid w:val="001C36DF"/>
    <w:rsid w:val="001C370F"/>
    <w:rsid w:val="001C3F97"/>
    <w:rsid w:val="001C51D4"/>
    <w:rsid w:val="001C5578"/>
    <w:rsid w:val="001C5598"/>
    <w:rsid w:val="001D0AA3"/>
    <w:rsid w:val="001D49AF"/>
    <w:rsid w:val="001D60DE"/>
    <w:rsid w:val="001D7953"/>
    <w:rsid w:val="001D7E85"/>
    <w:rsid w:val="001E18FB"/>
    <w:rsid w:val="001E57DE"/>
    <w:rsid w:val="001F53B6"/>
    <w:rsid w:val="00201848"/>
    <w:rsid w:val="00202312"/>
    <w:rsid w:val="00207C51"/>
    <w:rsid w:val="0021075B"/>
    <w:rsid w:val="00214296"/>
    <w:rsid w:val="00216AE8"/>
    <w:rsid w:val="00226B37"/>
    <w:rsid w:val="00227FA6"/>
    <w:rsid w:val="00230208"/>
    <w:rsid w:val="00231A7F"/>
    <w:rsid w:val="0023428A"/>
    <w:rsid w:val="00234D99"/>
    <w:rsid w:val="0023681D"/>
    <w:rsid w:val="00236A9B"/>
    <w:rsid w:val="0023704F"/>
    <w:rsid w:val="00237B2C"/>
    <w:rsid w:val="00237BF5"/>
    <w:rsid w:val="002419D4"/>
    <w:rsid w:val="00243379"/>
    <w:rsid w:val="0024455A"/>
    <w:rsid w:val="0024636A"/>
    <w:rsid w:val="00257943"/>
    <w:rsid w:val="002579E7"/>
    <w:rsid w:val="00257B1F"/>
    <w:rsid w:val="002711FB"/>
    <w:rsid w:val="00273325"/>
    <w:rsid w:val="00273DC9"/>
    <w:rsid w:val="0027637D"/>
    <w:rsid w:val="00280589"/>
    <w:rsid w:val="002825A8"/>
    <w:rsid w:val="002860D6"/>
    <w:rsid w:val="002873EC"/>
    <w:rsid w:val="00290F75"/>
    <w:rsid w:val="002912F2"/>
    <w:rsid w:val="002937E5"/>
    <w:rsid w:val="00297096"/>
    <w:rsid w:val="00297626"/>
    <w:rsid w:val="002A0A88"/>
    <w:rsid w:val="002A18D8"/>
    <w:rsid w:val="002A418F"/>
    <w:rsid w:val="002B513B"/>
    <w:rsid w:val="002B5E55"/>
    <w:rsid w:val="002C4195"/>
    <w:rsid w:val="002C48D7"/>
    <w:rsid w:val="002C5DDF"/>
    <w:rsid w:val="002C7A37"/>
    <w:rsid w:val="002D4917"/>
    <w:rsid w:val="002D605B"/>
    <w:rsid w:val="002E0BA3"/>
    <w:rsid w:val="002E21FB"/>
    <w:rsid w:val="002E5263"/>
    <w:rsid w:val="002E562C"/>
    <w:rsid w:val="002F355D"/>
    <w:rsid w:val="002F4DF5"/>
    <w:rsid w:val="002F7410"/>
    <w:rsid w:val="002F7906"/>
    <w:rsid w:val="00300104"/>
    <w:rsid w:val="003013A2"/>
    <w:rsid w:val="00301E59"/>
    <w:rsid w:val="00305C99"/>
    <w:rsid w:val="00310EAB"/>
    <w:rsid w:val="0031276D"/>
    <w:rsid w:val="00323447"/>
    <w:rsid w:val="0033124D"/>
    <w:rsid w:val="003319C7"/>
    <w:rsid w:val="003336C3"/>
    <w:rsid w:val="00342E88"/>
    <w:rsid w:val="00344BF2"/>
    <w:rsid w:val="003458B9"/>
    <w:rsid w:val="00352931"/>
    <w:rsid w:val="00357375"/>
    <w:rsid w:val="00360576"/>
    <w:rsid w:val="00360BE3"/>
    <w:rsid w:val="00363D70"/>
    <w:rsid w:val="00364A05"/>
    <w:rsid w:val="00366A31"/>
    <w:rsid w:val="00370D1D"/>
    <w:rsid w:val="003757A4"/>
    <w:rsid w:val="00376E02"/>
    <w:rsid w:val="0038158A"/>
    <w:rsid w:val="0038242E"/>
    <w:rsid w:val="00384791"/>
    <w:rsid w:val="00386111"/>
    <w:rsid w:val="00392869"/>
    <w:rsid w:val="00392F07"/>
    <w:rsid w:val="003935F0"/>
    <w:rsid w:val="00393DD3"/>
    <w:rsid w:val="00394524"/>
    <w:rsid w:val="00394C48"/>
    <w:rsid w:val="00395855"/>
    <w:rsid w:val="003972DC"/>
    <w:rsid w:val="003A1A5B"/>
    <w:rsid w:val="003B01F0"/>
    <w:rsid w:val="003B19D8"/>
    <w:rsid w:val="003B445E"/>
    <w:rsid w:val="003C4DE5"/>
    <w:rsid w:val="003C5098"/>
    <w:rsid w:val="003C77D5"/>
    <w:rsid w:val="003C7D75"/>
    <w:rsid w:val="003D081D"/>
    <w:rsid w:val="003D30AA"/>
    <w:rsid w:val="003D67D8"/>
    <w:rsid w:val="003D6C3D"/>
    <w:rsid w:val="003E236C"/>
    <w:rsid w:val="003E3CF7"/>
    <w:rsid w:val="003E4533"/>
    <w:rsid w:val="003E5ED3"/>
    <w:rsid w:val="003E6F58"/>
    <w:rsid w:val="003F3AD2"/>
    <w:rsid w:val="003F6BF3"/>
    <w:rsid w:val="00400B90"/>
    <w:rsid w:val="00400D9E"/>
    <w:rsid w:val="00402132"/>
    <w:rsid w:val="00403F27"/>
    <w:rsid w:val="00411AC5"/>
    <w:rsid w:val="00411DA4"/>
    <w:rsid w:val="00414421"/>
    <w:rsid w:val="00414A53"/>
    <w:rsid w:val="00416265"/>
    <w:rsid w:val="00427BE4"/>
    <w:rsid w:val="0043286F"/>
    <w:rsid w:val="004335C7"/>
    <w:rsid w:val="004365B3"/>
    <w:rsid w:val="00436669"/>
    <w:rsid w:val="00455DE9"/>
    <w:rsid w:val="004614E4"/>
    <w:rsid w:val="00461F2C"/>
    <w:rsid w:val="00465107"/>
    <w:rsid w:val="00471F25"/>
    <w:rsid w:val="0047502C"/>
    <w:rsid w:val="00477C1F"/>
    <w:rsid w:val="00481A0C"/>
    <w:rsid w:val="00482924"/>
    <w:rsid w:val="004848E7"/>
    <w:rsid w:val="0048492D"/>
    <w:rsid w:val="004A19D9"/>
    <w:rsid w:val="004A7C24"/>
    <w:rsid w:val="004B1B87"/>
    <w:rsid w:val="004B3A0D"/>
    <w:rsid w:val="004B6BF7"/>
    <w:rsid w:val="004C319B"/>
    <w:rsid w:val="004C44F7"/>
    <w:rsid w:val="004C5B74"/>
    <w:rsid w:val="004D6759"/>
    <w:rsid w:val="004E1CAC"/>
    <w:rsid w:val="004E1EF9"/>
    <w:rsid w:val="004E2173"/>
    <w:rsid w:val="004E2924"/>
    <w:rsid w:val="004E6336"/>
    <w:rsid w:val="004E6A80"/>
    <w:rsid w:val="004E7376"/>
    <w:rsid w:val="004F229E"/>
    <w:rsid w:val="004F537C"/>
    <w:rsid w:val="004F5C02"/>
    <w:rsid w:val="004F7160"/>
    <w:rsid w:val="00500A43"/>
    <w:rsid w:val="00500DC5"/>
    <w:rsid w:val="0050122C"/>
    <w:rsid w:val="005022A7"/>
    <w:rsid w:val="005035D2"/>
    <w:rsid w:val="00514E15"/>
    <w:rsid w:val="00515B6B"/>
    <w:rsid w:val="00517926"/>
    <w:rsid w:val="0052398B"/>
    <w:rsid w:val="0053073B"/>
    <w:rsid w:val="005326A7"/>
    <w:rsid w:val="00541949"/>
    <w:rsid w:val="00542182"/>
    <w:rsid w:val="00542703"/>
    <w:rsid w:val="0054427C"/>
    <w:rsid w:val="0055115B"/>
    <w:rsid w:val="00552F47"/>
    <w:rsid w:val="005567DA"/>
    <w:rsid w:val="00560562"/>
    <w:rsid w:val="00564C16"/>
    <w:rsid w:val="0056570B"/>
    <w:rsid w:val="00570A9B"/>
    <w:rsid w:val="00570C60"/>
    <w:rsid w:val="00570EA4"/>
    <w:rsid w:val="00572804"/>
    <w:rsid w:val="005768FC"/>
    <w:rsid w:val="00582F12"/>
    <w:rsid w:val="0058709F"/>
    <w:rsid w:val="00587231"/>
    <w:rsid w:val="005877A0"/>
    <w:rsid w:val="005938D9"/>
    <w:rsid w:val="0059526E"/>
    <w:rsid w:val="00597D74"/>
    <w:rsid w:val="005A533B"/>
    <w:rsid w:val="005B781D"/>
    <w:rsid w:val="005C3D57"/>
    <w:rsid w:val="005C4919"/>
    <w:rsid w:val="005D0104"/>
    <w:rsid w:val="005D0B8F"/>
    <w:rsid w:val="005D0C4E"/>
    <w:rsid w:val="005D39F3"/>
    <w:rsid w:val="005D49DF"/>
    <w:rsid w:val="005D7A70"/>
    <w:rsid w:val="005E03C6"/>
    <w:rsid w:val="005E604E"/>
    <w:rsid w:val="005F1FB2"/>
    <w:rsid w:val="005F2177"/>
    <w:rsid w:val="005F32BD"/>
    <w:rsid w:val="0060427D"/>
    <w:rsid w:val="00607310"/>
    <w:rsid w:val="0061164D"/>
    <w:rsid w:val="00611CB0"/>
    <w:rsid w:val="006144B3"/>
    <w:rsid w:val="00616883"/>
    <w:rsid w:val="00617D63"/>
    <w:rsid w:val="00622F9C"/>
    <w:rsid w:val="00623497"/>
    <w:rsid w:val="006235A9"/>
    <w:rsid w:val="00623A6D"/>
    <w:rsid w:val="006240BC"/>
    <w:rsid w:val="006266DA"/>
    <w:rsid w:val="00631466"/>
    <w:rsid w:val="00632D67"/>
    <w:rsid w:val="0065120A"/>
    <w:rsid w:val="00651C7E"/>
    <w:rsid w:val="006527BF"/>
    <w:rsid w:val="00660E7E"/>
    <w:rsid w:val="00663341"/>
    <w:rsid w:val="00671033"/>
    <w:rsid w:val="00672632"/>
    <w:rsid w:val="0067785B"/>
    <w:rsid w:val="00681A45"/>
    <w:rsid w:val="00682BBB"/>
    <w:rsid w:val="006837D2"/>
    <w:rsid w:val="00684845"/>
    <w:rsid w:val="00686B69"/>
    <w:rsid w:val="006950C1"/>
    <w:rsid w:val="00695536"/>
    <w:rsid w:val="0069596C"/>
    <w:rsid w:val="006A11EF"/>
    <w:rsid w:val="006A30E2"/>
    <w:rsid w:val="006A6085"/>
    <w:rsid w:val="006B2386"/>
    <w:rsid w:val="006B5DE9"/>
    <w:rsid w:val="006B768E"/>
    <w:rsid w:val="006B7EB8"/>
    <w:rsid w:val="006C408D"/>
    <w:rsid w:val="006C572F"/>
    <w:rsid w:val="006D4872"/>
    <w:rsid w:val="006E0CEC"/>
    <w:rsid w:val="006E1121"/>
    <w:rsid w:val="006E221E"/>
    <w:rsid w:val="006E61A9"/>
    <w:rsid w:val="006F310C"/>
    <w:rsid w:val="006F58F9"/>
    <w:rsid w:val="006F61F6"/>
    <w:rsid w:val="007031D1"/>
    <w:rsid w:val="007062C4"/>
    <w:rsid w:val="00707F42"/>
    <w:rsid w:val="00710DCF"/>
    <w:rsid w:val="00715013"/>
    <w:rsid w:val="007151FB"/>
    <w:rsid w:val="00716390"/>
    <w:rsid w:val="00725DA4"/>
    <w:rsid w:val="00726D6E"/>
    <w:rsid w:val="00726DE3"/>
    <w:rsid w:val="00727833"/>
    <w:rsid w:val="00727B4F"/>
    <w:rsid w:val="0073036C"/>
    <w:rsid w:val="00731326"/>
    <w:rsid w:val="007326D4"/>
    <w:rsid w:val="007330E3"/>
    <w:rsid w:val="00734860"/>
    <w:rsid w:val="00737026"/>
    <w:rsid w:val="00740B86"/>
    <w:rsid w:val="007515DF"/>
    <w:rsid w:val="00755E13"/>
    <w:rsid w:val="0076163D"/>
    <w:rsid w:val="0076534A"/>
    <w:rsid w:val="007668A2"/>
    <w:rsid w:val="007706A5"/>
    <w:rsid w:val="00774AD2"/>
    <w:rsid w:val="00776C17"/>
    <w:rsid w:val="00780839"/>
    <w:rsid w:val="00781593"/>
    <w:rsid w:val="00781928"/>
    <w:rsid w:val="007824E5"/>
    <w:rsid w:val="007841FC"/>
    <w:rsid w:val="007853A8"/>
    <w:rsid w:val="00785DF2"/>
    <w:rsid w:val="007860C0"/>
    <w:rsid w:val="00787C00"/>
    <w:rsid w:val="007A1804"/>
    <w:rsid w:val="007A476E"/>
    <w:rsid w:val="007B7D82"/>
    <w:rsid w:val="007C03DB"/>
    <w:rsid w:val="007C66B8"/>
    <w:rsid w:val="007D102F"/>
    <w:rsid w:val="007D341B"/>
    <w:rsid w:val="007D51D7"/>
    <w:rsid w:val="007D6174"/>
    <w:rsid w:val="007D7466"/>
    <w:rsid w:val="007E1E71"/>
    <w:rsid w:val="007E6F5F"/>
    <w:rsid w:val="007F105A"/>
    <w:rsid w:val="007F2975"/>
    <w:rsid w:val="007F3A25"/>
    <w:rsid w:val="007F6081"/>
    <w:rsid w:val="008056A2"/>
    <w:rsid w:val="00810D50"/>
    <w:rsid w:val="0081363A"/>
    <w:rsid w:val="00817AFC"/>
    <w:rsid w:val="00820BF6"/>
    <w:rsid w:val="00821D31"/>
    <w:rsid w:val="0082292F"/>
    <w:rsid w:val="008237E7"/>
    <w:rsid w:val="00827A6D"/>
    <w:rsid w:val="0083050E"/>
    <w:rsid w:val="00832731"/>
    <w:rsid w:val="00834347"/>
    <w:rsid w:val="00834976"/>
    <w:rsid w:val="00842101"/>
    <w:rsid w:val="008557A4"/>
    <w:rsid w:val="0086284C"/>
    <w:rsid w:val="00863948"/>
    <w:rsid w:val="00876E0A"/>
    <w:rsid w:val="0088236E"/>
    <w:rsid w:val="00884D74"/>
    <w:rsid w:val="008872A2"/>
    <w:rsid w:val="00890627"/>
    <w:rsid w:val="008920B4"/>
    <w:rsid w:val="008930E1"/>
    <w:rsid w:val="0089651E"/>
    <w:rsid w:val="008A0C15"/>
    <w:rsid w:val="008A3253"/>
    <w:rsid w:val="008B14AB"/>
    <w:rsid w:val="008B18E2"/>
    <w:rsid w:val="008B2AF1"/>
    <w:rsid w:val="008B3E9A"/>
    <w:rsid w:val="008B500B"/>
    <w:rsid w:val="008B7145"/>
    <w:rsid w:val="008C38EB"/>
    <w:rsid w:val="008D0A3A"/>
    <w:rsid w:val="008D321B"/>
    <w:rsid w:val="008E0505"/>
    <w:rsid w:val="008E0D48"/>
    <w:rsid w:val="008E1174"/>
    <w:rsid w:val="008E14A9"/>
    <w:rsid w:val="008E653E"/>
    <w:rsid w:val="008F2418"/>
    <w:rsid w:val="008F65B4"/>
    <w:rsid w:val="009016BD"/>
    <w:rsid w:val="00903782"/>
    <w:rsid w:val="00910B1E"/>
    <w:rsid w:val="00911C83"/>
    <w:rsid w:val="009147CB"/>
    <w:rsid w:val="00914BF8"/>
    <w:rsid w:val="00921C1B"/>
    <w:rsid w:val="00927358"/>
    <w:rsid w:val="009343D6"/>
    <w:rsid w:val="0093651C"/>
    <w:rsid w:val="00941279"/>
    <w:rsid w:val="00941E40"/>
    <w:rsid w:val="00944538"/>
    <w:rsid w:val="0094614E"/>
    <w:rsid w:val="00952E5E"/>
    <w:rsid w:val="00953227"/>
    <w:rsid w:val="00953B22"/>
    <w:rsid w:val="00956A70"/>
    <w:rsid w:val="0095728D"/>
    <w:rsid w:val="00957B91"/>
    <w:rsid w:val="00963ECB"/>
    <w:rsid w:val="00967D6F"/>
    <w:rsid w:val="0097570C"/>
    <w:rsid w:val="009759B2"/>
    <w:rsid w:val="009815C8"/>
    <w:rsid w:val="00981E1E"/>
    <w:rsid w:val="00983977"/>
    <w:rsid w:val="00985FD1"/>
    <w:rsid w:val="0099309B"/>
    <w:rsid w:val="009969C3"/>
    <w:rsid w:val="009A1240"/>
    <w:rsid w:val="009A6C1F"/>
    <w:rsid w:val="009A7A02"/>
    <w:rsid w:val="009B54C5"/>
    <w:rsid w:val="009C1975"/>
    <w:rsid w:val="009C207D"/>
    <w:rsid w:val="009C2E1F"/>
    <w:rsid w:val="009D0940"/>
    <w:rsid w:val="009E1072"/>
    <w:rsid w:val="009E26F6"/>
    <w:rsid w:val="009E2D5A"/>
    <w:rsid w:val="009E3076"/>
    <w:rsid w:val="009E3110"/>
    <w:rsid w:val="009F0E61"/>
    <w:rsid w:val="009F1A31"/>
    <w:rsid w:val="009F2506"/>
    <w:rsid w:val="009F2972"/>
    <w:rsid w:val="00A01669"/>
    <w:rsid w:val="00A11F60"/>
    <w:rsid w:val="00A12284"/>
    <w:rsid w:val="00A1383A"/>
    <w:rsid w:val="00A138AD"/>
    <w:rsid w:val="00A16A92"/>
    <w:rsid w:val="00A177CC"/>
    <w:rsid w:val="00A22745"/>
    <w:rsid w:val="00A230D3"/>
    <w:rsid w:val="00A2585D"/>
    <w:rsid w:val="00A3039E"/>
    <w:rsid w:val="00A34283"/>
    <w:rsid w:val="00A35365"/>
    <w:rsid w:val="00A42742"/>
    <w:rsid w:val="00A46131"/>
    <w:rsid w:val="00A5021A"/>
    <w:rsid w:val="00A50721"/>
    <w:rsid w:val="00A51E08"/>
    <w:rsid w:val="00A52E19"/>
    <w:rsid w:val="00A54431"/>
    <w:rsid w:val="00A5572D"/>
    <w:rsid w:val="00A56277"/>
    <w:rsid w:val="00A57455"/>
    <w:rsid w:val="00A62541"/>
    <w:rsid w:val="00A62787"/>
    <w:rsid w:val="00A63699"/>
    <w:rsid w:val="00A644D6"/>
    <w:rsid w:val="00A71B9B"/>
    <w:rsid w:val="00A71D99"/>
    <w:rsid w:val="00A7420C"/>
    <w:rsid w:val="00A748DF"/>
    <w:rsid w:val="00A81263"/>
    <w:rsid w:val="00A837CE"/>
    <w:rsid w:val="00A86408"/>
    <w:rsid w:val="00A909D6"/>
    <w:rsid w:val="00A950F6"/>
    <w:rsid w:val="00A96BBB"/>
    <w:rsid w:val="00A97BC3"/>
    <w:rsid w:val="00A97E41"/>
    <w:rsid w:val="00AA0D85"/>
    <w:rsid w:val="00AA60EF"/>
    <w:rsid w:val="00AB2B2B"/>
    <w:rsid w:val="00AB2D84"/>
    <w:rsid w:val="00AB6D90"/>
    <w:rsid w:val="00AC0533"/>
    <w:rsid w:val="00AC51E2"/>
    <w:rsid w:val="00AC71B8"/>
    <w:rsid w:val="00AC72E5"/>
    <w:rsid w:val="00AD10DB"/>
    <w:rsid w:val="00AD1A3F"/>
    <w:rsid w:val="00AD3DFF"/>
    <w:rsid w:val="00AD410B"/>
    <w:rsid w:val="00AD4469"/>
    <w:rsid w:val="00AD6D47"/>
    <w:rsid w:val="00AE0641"/>
    <w:rsid w:val="00AE3824"/>
    <w:rsid w:val="00AE38B2"/>
    <w:rsid w:val="00AF09DF"/>
    <w:rsid w:val="00AF4B72"/>
    <w:rsid w:val="00AF69AF"/>
    <w:rsid w:val="00AF7A6F"/>
    <w:rsid w:val="00B0003E"/>
    <w:rsid w:val="00B01A99"/>
    <w:rsid w:val="00B050A0"/>
    <w:rsid w:val="00B05E13"/>
    <w:rsid w:val="00B07E4B"/>
    <w:rsid w:val="00B10E9B"/>
    <w:rsid w:val="00B1330D"/>
    <w:rsid w:val="00B21163"/>
    <w:rsid w:val="00B214D7"/>
    <w:rsid w:val="00B21610"/>
    <w:rsid w:val="00B25249"/>
    <w:rsid w:val="00B27D74"/>
    <w:rsid w:val="00B307B1"/>
    <w:rsid w:val="00B37678"/>
    <w:rsid w:val="00B439FC"/>
    <w:rsid w:val="00B50C23"/>
    <w:rsid w:val="00B52EC6"/>
    <w:rsid w:val="00B53D39"/>
    <w:rsid w:val="00B5548F"/>
    <w:rsid w:val="00B55A68"/>
    <w:rsid w:val="00B57CA8"/>
    <w:rsid w:val="00B60061"/>
    <w:rsid w:val="00B62758"/>
    <w:rsid w:val="00B6380C"/>
    <w:rsid w:val="00B66B61"/>
    <w:rsid w:val="00B675CB"/>
    <w:rsid w:val="00B717EA"/>
    <w:rsid w:val="00B71EBD"/>
    <w:rsid w:val="00B724CE"/>
    <w:rsid w:val="00B74B6B"/>
    <w:rsid w:val="00B75A6A"/>
    <w:rsid w:val="00B849B9"/>
    <w:rsid w:val="00B87206"/>
    <w:rsid w:val="00B960FD"/>
    <w:rsid w:val="00B97B2B"/>
    <w:rsid w:val="00BA0A2F"/>
    <w:rsid w:val="00BA457F"/>
    <w:rsid w:val="00BB073A"/>
    <w:rsid w:val="00BB2267"/>
    <w:rsid w:val="00BB455A"/>
    <w:rsid w:val="00BC1A36"/>
    <w:rsid w:val="00BC2578"/>
    <w:rsid w:val="00BC32AF"/>
    <w:rsid w:val="00BC3D53"/>
    <w:rsid w:val="00BC3EC8"/>
    <w:rsid w:val="00BC589D"/>
    <w:rsid w:val="00BC77B9"/>
    <w:rsid w:val="00BC79B8"/>
    <w:rsid w:val="00BD1343"/>
    <w:rsid w:val="00BD744D"/>
    <w:rsid w:val="00BE0E76"/>
    <w:rsid w:val="00BE137F"/>
    <w:rsid w:val="00BE16DB"/>
    <w:rsid w:val="00BE2F2A"/>
    <w:rsid w:val="00BE49F3"/>
    <w:rsid w:val="00BE5728"/>
    <w:rsid w:val="00BE7170"/>
    <w:rsid w:val="00BF0045"/>
    <w:rsid w:val="00BF3B08"/>
    <w:rsid w:val="00BF4FC1"/>
    <w:rsid w:val="00BF73F6"/>
    <w:rsid w:val="00C022C2"/>
    <w:rsid w:val="00C02A44"/>
    <w:rsid w:val="00C04D9E"/>
    <w:rsid w:val="00C04E40"/>
    <w:rsid w:val="00C0547C"/>
    <w:rsid w:val="00C0586F"/>
    <w:rsid w:val="00C05C86"/>
    <w:rsid w:val="00C114B8"/>
    <w:rsid w:val="00C12E58"/>
    <w:rsid w:val="00C15ED5"/>
    <w:rsid w:val="00C20FB2"/>
    <w:rsid w:val="00C23440"/>
    <w:rsid w:val="00C303BC"/>
    <w:rsid w:val="00C31D4B"/>
    <w:rsid w:val="00C32B52"/>
    <w:rsid w:val="00C34139"/>
    <w:rsid w:val="00C34DDA"/>
    <w:rsid w:val="00C363C4"/>
    <w:rsid w:val="00C363D3"/>
    <w:rsid w:val="00C36400"/>
    <w:rsid w:val="00C36F80"/>
    <w:rsid w:val="00C37303"/>
    <w:rsid w:val="00C40CD0"/>
    <w:rsid w:val="00C419CF"/>
    <w:rsid w:val="00C42090"/>
    <w:rsid w:val="00C47ADD"/>
    <w:rsid w:val="00C54211"/>
    <w:rsid w:val="00C54FE1"/>
    <w:rsid w:val="00C55430"/>
    <w:rsid w:val="00C57636"/>
    <w:rsid w:val="00C647E5"/>
    <w:rsid w:val="00C65DA3"/>
    <w:rsid w:val="00C6659E"/>
    <w:rsid w:val="00C72B29"/>
    <w:rsid w:val="00C741D5"/>
    <w:rsid w:val="00C74D8C"/>
    <w:rsid w:val="00C76A98"/>
    <w:rsid w:val="00C80C29"/>
    <w:rsid w:val="00C820E9"/>
    <w:rsid w:val="00C82245"/>
    <w:rsid w:val="00C8296D"/>
    <w:rsid w:val="00C832B8"/>
    <w:rsid w:val="00C903AF"/>
    <w:rsid w:val="00C91199"/>
    <w:rsid w:val="00C9127E"/>
    <w:rsid w:val="00C93ED2"/>
    <w:rsid w:val="00C9534A"/>
    <w:rsid w:val="00CA0F66"/>
    <w:rsid w:val="00CA6C0B"/>
    <w:rsid w:val="00CB6B9A"/>
    <w:rsid w:val="00CC1093"/>
    <w:rsid w:val="00CC15CC"/>
    <w:rsid w:val="00CC75F4"/>
    <w:rsid w:val="00CC7DA6"/>
    <w:rsid w:val="00CD2257"/>
    <w:rsid w:val="00CD2287"/>
    <w:rsid w:val="00CD75BB"/>
    <w:rsid w:val="00CD7AAA"/>
    <w:rsid w:val="00CE25BA"/>
    <w:rsid w:val="00CF0EBE"/>
    <w:rsid w:val="00CF14F7"/>
    <w:rsid w:val="00CF2F62"/>
    <w:rsid w:val="00CF3CF5"/>
    <w:rsid w:val="00CF5EAF"/>
    <w:rsid w:val="00CF6850"/>
    <w:rsid w:val="00CF7AA1"/>
    <w:rsid w:val="00D02CB4"/>
    <w:rsid w:val="00D06465"/>
    <w:rsid w:val="00D07E95"/>
    <w:rsid w:val="00D112E2"/>
    <w:rsid w:val="00D1698E"/>
    <w:rsid w:val="00D2108D"/>
    <w:rsid w:val="00D2440A"/>
    <w:rsid w:val="00D245A5"/>
    <w:rsid w:val="00D26844"/>
    <w:rsid w:val="00D3775C"/>
    <w:rsid w:val="00D4141F"/>
    <w:rsid w:val="00D4441E"/>
    <w:rsid w:val="00D46DD8"/>
    <w:rsid w:val="00D47ACB"/>
    <w:rsid w:val="00D51EAD"/>
    <w:rsid w:val="00D5369D"/>
    <w:rsid w:val="00D55BF4"/>
    <w:rsid w:val="00D619AE"/>
    <w:rsid w:val="00D70FD2"/>
    <w:rsid w:val="00D71B92"/>
    <w:rsid w:val="00D73D69"/>
    <w:rsid w:val="00D83E5D"/>
    <w:rsid w:val="00D84F31"/>
    <w:rsid w:val="00D851DA"/>
    <w:rsid w:val="00D860E9"/>
    <w:rsid w:val="00D9154D"/>
    <w:rsid w:val="00D915F4"/>
    <w:rsid w:val="00D9311C"/>
    <w:rsid w:val="00D93167"/>
    <w:rsid w:val="00D94D58"/>
    <w:rsid w:val="00D95F08"/>
    <w:rsid w:val="00D97527"/>
    <w:rsid w:val="00D97B75"/>
    <w:rsid w:val="00DA03C0"/>
    <w:rsid w:val="00DA079E"/>
    <w:rsid w:val="00DA1E67"/>
    <w:rsid w:val="00DA2418"/>
    <w:rsid w:val="00DA5858"/>
    <w:rsid w:val="00DB0458"/>
    <w:rsid w:val="00DB222B"/>
    <w:rsid w:val="00DB2868"/>
    <w:rsid w:val="00DB7635"/>
    <w:rsid w:val="00DB7C30"/>
    <w:rsid w:val="00DC031D"/>
    <w:rsid w:val="00DC190F"/>
    <w:rsid w:val="00DC21CE"/>
    <w:rsid w:val="00DC3415"/>
    <w:rsid w:val="00DC3B05"/>
    <w:rsid w:val="00DC4E67"/>
    <w:rsid w:val="00DD00F5"/>
    <w:rsid w:val="00DD2ADD"/>
    <w:rsid w:val="00DD366D"/>
    <w:rsid w:val="00DD6A57"/>
    <w:rsid w:val="00DE078F"/>
    <w:rsid w:val="00DE19D9"/>
    <w:rsid w:val="00DE29A3"/>
    <w:rsid w:val="00DE429A"/>
    <w:rsid w:val="00DE6399"/>
    <w:rsid w:val="00DF2E12"/>
    <w:rsid w:val="00DF5461"/>
    <w:rsid w:val="00DF581C"/>
    <w:rsid w:val="00DF7353"/>
    <w:rsid w:val="00DF73EF"/>
    <w:rsid w:val="00E036C8"/>
    <w:rsid w:val="00E04CE6"/>
    <w:rsid w:val="00E073B7"/>
    <w:rsid w:val="00E10297"/>
    <w:rsid w:val="00E118E0"/>
    <w:rsid w:val="00E13879"/>
    <w:rsid w:val="00E14DB5"/>
    <w:rsid w:val="00E16943"/>
    <w:rsid w:val="00E20C87"/>
    <w:rsid w:val="00E23B32"/>
    <w:rsid w:val="00E253EE"/>
    <w:rsid w:val="00E2686D"/>
    <w:rsid w:val="00E3148C"/>
    <w:rsid w:val="00E316D9"/>
    <w:rsid w:val="00E34EB6"/>
    <w:rsid w:val="00E42B6A"/>
    <w:rsid w:val="00E4399D"/>
    <w:rsid w:val="00E44741"/>
    <w:rsid w:val="00E45AE0"/>
    <w:rsid w:val="00E47994"/>
    <w:rsid w:val="00E54E75"/>
    <w:rsid w:val="00E55393"/>
    <w:rsid w:val="00E5643E"/>
    <w:rsid w:val="00E5720B"/>
    <w:rsid w:val="00E642EC"/>
    <w:rsid w:val="00E657C7"/>
    <w:rsid w:val="00E705A1"/>
    <w:rsid w:val="00E7400E"/>
    <w:rsid w:val="00E7698F"/>
    <w:rsid w:val="00E8141D"/>
    <w:rsid w:val="00E8515F"/>
    <w:rsid w:val="00E856DA"/>
    <w:rsid w:val="00E86F07"/>
    <w:rsid w:val="00E87119"/>
    <w:rsid w:val="00E87611"/>
    <w:rsid w:val="00E92773"/>
    <w:rsid w:val="00E9418E"/>
    <w:rsid w:val="00E96913"/>
    <w:rsid w:val="00EA00D7"/>
    <w:rsid w:val="00EA12F0"/>
    <w:rsid w:val="00EA40EA"/>
    <w:rsid w:val="00EA6EB2"/>
    <w:rsid w:val="00EB1F06"/>
    <w:rsid w:val="00EB2A8A"/>
    <w:rsid w:val="00EB7E37"/>
    <w:rsid w:val="00EC25DF"/>
    <w:rsid w:val="00EC3FF2"/>
    <w:rsid w:val="00ED0720"/>
    <w:rsid w:val="00ED4984"/>
    <w:rsid w:val="00ED7DD1"/>
    <w:rsid w:val="00EE0413"/>
    <w:rsid w:val="00EE0973"/>
    <w:rsid w:val="00EF4827"/>
    <w:rsid w:val="00F0240A"/>
    <w:rsid w:val="00F121C1"/>
    <w:rsid w:val="00F20247"/>
    <w:rsid w:val="00F25594"/>
    <w:rsid w:val="00F31008"/>
    <w:rsid w:val="00F31348"/>
    <w:rsid w:val="00F32BA7"/>
    <w:rsid w:val="00F4005C"/>
    <w:rsid w:val="00F404F9"/>
    <w:rsid w:val="00F511A0"/>
    <w:rsid w:val="00F54190"/>
    <w:rsid w:val="00F6163C"/>
    <w:rsid w:val="00F6458D"/>
    <w:rsid w:val="00F64A1B"/>
    <w:rsid w:val="00F65EC8"/>
    <w:rsid w:val="00F674AA"/>
    <w:rsid w:val="00F72723"/>
    <w:rsid w:val="00F91A2C"/>
    <w:rsid w:val="00F94637"/>
    <w:rsid w:val="00F96938"/>
    <w:rsid w:val="00F97CD6"/>
    <w:rsid w:val="00FA09AA"/>
    <w:rsid w:val="00FA35FE"/>
    <w:rsid w:val="00FA6424"/>
    <w:rsid w:val="00FA66B0"/>
    <w:rsid w:val="00FB30C6"/>
    <w:rsid w:val="00FB3C6F"/>
    <w:rsid w:val="00FC0A1B"/>
    <w:rsid w:val="00FC0DD8"/>
    <w:rsid w:val="00FC5390"/>
    <w:rsid w:val="00FC5EB6"/>
    <w:rsid w:val="00FC7BF7"/>
    <w:rsid w:val="00FD4F9F"/>
    <w:rsid w:val="00FD58E5"/>
    <w:rsid w:val="00FD7D84"/>
    <w:rsid w:val="00FD7EDC"/>
    <w:rsid w:val="00FE41FD"/>
    <w:rsid w:val="00FE74F1"/>
    <w:rsid w:val="00FF132F"/>
    <w:rsid w:val="00FF54D4"/>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99"/>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951F-0F6D-49C6-9EB5-84082D65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24</cp:revision>
  <cp:lastPrinted>2018-10-11T18:17:00Z</cp:lastPrinted>
  <dcterms:created xsi:type="dcterms:W3CDTF">2018-10-08T18:06:00Z</dcterms:created>
  <dcterms:modified xsi:type="dcterms:W3CDTF">2018-11-26T19:29:00Z</dcterms:modified>
</cp:coreProperties>
</file>