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BB" w:rsidRDefault="001764BB" w:rsidP="001764BB">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1764BB" w:rsidRPr="00CC0B5F" w:rsidRDefault="001764BB" w:rsidP="001764BB">
      <w:pPr>
        <w:jc w:val="both"/>
        <w:rPr>
          <w:rFonts w:ascii="Arial" w:hAnsi="Arial" w:cs="Arial"/>
          <w:szCs w:val="22"/>
        </w:rPr>
      </w:pPr>
    </w:p>
    <w:p w:rsidR="001764BB" w:rsidRPr="00C017F6" w:rsidRDefault="001764BB" w:rsidP="001764BB">
      <w:pPr>
        <w:jc w:val="both"/>
        <w:rPr>
          <w:rFonts w:ascii="Arial" w:hAnsi="Arial" w:cs="Arial"/>
          <w:szCs w:val="22"/>
        </w:rPr>
      </w:pPr>
      <w:r w:rsidRPr="00C017F6">
        <w:rPr>
          <w:rFonts w:ascii="Arial" w:hAnsi="Arial" w:cs="Arial"/>
          <w:szCs w:val="22"/>
        </w:rPr>
        <w:t>Asunto</w:t>
      </w:r>
      <w:r w:rsidRPr="00C017F6">
        <w:rPr>
          <w:rFonts w:ascii="Arial" w:hAnsi="Arial" w:cs="Arial"/>
          <w:szCs w:val="22"/>
        </w:rPr>
        <w:tab/>
      </w:r>
      <w:r w:rsidRPr="00C017F6">
        <w:rPr>
          <w:rFonts w:ascii="Arial" w:hAnsi="Arial" w:cs="Arial"/>
          <w:szCs w:val="22"/>
        </w:rPr>
        <w:tab/>
      </w:r>
      <w:r w:rsidRPr="00C017F6">
        <w:rPr>
          <w:rFonts w:ascii="Arial" w:hAnsi="Arial" w:cs="Arial"/>
          <w:szCs w:val="22"/>
        </w:rPr>
        <w:tab/>
        <w:t>: Apelación de auto interlocutorio</w:t>
      </w:r>
      <w:r w:rsidRPr="00C017F6">
        <w:rPr>
          <w:rFonts w:ascii="Arial" w:hAnsi="Arial" w:cs="Arial"/>
          <w:szCs w:val="22"/>
        </w:rPr>
        <w:tab/>
      </w:r>
    </w:p>
    <w:p w:rsidR="001764BB" w:rsidRPr="00C017F6" w:rsidRDefault="001764BB" w:rsidP="001764BB">
      <w:pPr>
        <w:jc w:val="both"/>
        <w:rPr>
          <w:rFonts w:ascii="Arial" w:hAnsi="Arial" w:cs="Arial"/>
          <w:szCs w:val="22"/>
        </w:rPr>
      </w:pPr>
      <w:r>
        <w:rPr>
          <w:rFonts w:ascii="Arial" w:hAnsi="Arial" w:cs="Arial"/>
          <w:szCs w:val="22"/>
        </w:rPr>
        <w:t>Tipo de proceso</w:t>
      </w:r>
      <w:r>
        <w:rPr>
          <w:rFonts w:ascii="Arial" w:hAnsi="Arial" w:cs="Arial"/>
          <w:szCs w:val="22"/>
        </w:rPr>
        <w:tab/>
        <w:t xml:space="preserve">: </w:t>
      </w:r>
      <w:r w:rsidRPr="00C017F6">
        <w:rPr>
          <w:rFonts w:ascii="Arial" w:hAnsi="Arial" w:cs="Arial"/>
          <w:szCs w:val="22"/>
        </w:rPr>
        <w:t>Divisorio</w:t>
      </w:r>
    </w:p>
    <w:p w:rsidR="001764BB" w:rsidRPr="00C017F6" w:rsidRDefault="001764BB" w:rsidP="001764BB">
      <w:pPr>
        <w:jc w:val="both"/>
        <w:rPr>
          <w:rFonts w:ascii="Arial" w:hAnsi="Arial" w:cs="Arial"/>
          <w:szCs w:val="22"/>
        </w:rPr>
      </w:pPr>
      <w:r w:rsidRPr="00C017F6">
        <w:rPr>
          <w:rFonts w:ascii="Arial" w:hAnsi="Arial" w:cs="Arial"/>
          <w:szCs w:val="22"/>
        </w:rPr>
        <w:t xml:space="preserve">Demandante </w:t>
      </w:r>
      <w:r w:rsidRPr="00C017F6">
        <w:rPr>
          <w:rFonts w:ascii="Arial" w:hAnsi="Arial" w:cs="Arial"/>
          <w:szCs w:val="22"/>
        </w:rPr>
        <w:tab/>
      </w:r>
      <w:r w:rsidRPr="00C017F6">
        <w:rPr>
          <w:rFonts w:ascii="Arial" w:hAnsi="Arial" w:cs="Arial"/>
          <w:szCs w:val="22"/>
        </w:rPr>
        <w:tab/>
        <w:t>: Adriana Millán Hernández</w:t>
      </w:r>
    </w:p>
    <w:p w:rsidR="001764BB" w:rsidRPr="00C017F6" w:rsidRDefault="001764BB" w:rsidP="001764BB">
      <w:pPr>
        <w:jc w:val="both"/>
        <w:rPr>
          <w:rFonts w:ascii="Arial" w:hAnsi="Arial" w:cs="Arial"/>
          <w:szCs w:val="22"/>
        </w:rPr>
      </w:pPr>
      <w:r w:rsidRPr="00C017F6">
        <w:rPr>
          <w:rFonts w:ascii="Arial" w:hAnsi="Arial" w:cs="Arial"/>
          <w:szCs w:val="22"/>
        </w:rPr>
        <w:t>Demandado</w:t>
      </w:r>
      <w:r w:rsidRPr="00C017F6">
        <w:rPr>
          <w:rFonts w:ascii="Arial" w:hAnsi="Arial" w:cs="Arial"/>
          <w:szCs w:val="22"/>
        </w:rPr>
        <w:tab/>
      </w:r>
      <w:r w:rsidRPr="00C017F6">
        <w:rPr>
          <w:rFonts w:ascii="Arial" w:hAnsi="Arial" w:cs="Arial"/>
          <w:szCs w:val="22"/>
        </w:rPr>
        <w:tab/>
        <w:t>: Alexander Arnoldo Acosta Arboleda</w:t>
      </w:r>
    </w:p>
    <w:p w:rsidR="001764BB" w:rsidRPr="00C017F6" w:rsidRDefault="001764BB" w:rsidP="001764BB">
      <w:pPr>
        <w:jc w:val="both"/>
        <w:rPr>
          <w:rFonts w:ascii="Arial" w:hAnsi="Arial" w:cs="Arial"/>
          <w:szCs w:val="22"/>
        </w:rPr>
      </w:pPr>
      <w:r w:rsidRPr="00C017F6">
        <w:rPr>
          <w:rFonts w:ascii="Arial" w:hAnsi="Arial" w:cs="Arial"/>
          <w:szCs w:val="22"/>
        </w:rPr>
        <w:t xml:space="preserve">Procedencia </w:t>
      </w:r>
      <w:r w:rsidRPr="00C017F6">
        <w:rPr>
          <w:rFonts w:ascii="Arial" w:hAnsi="Arial" w:cs="Arial"/>
          <w:szCs w:val="22"/>
        </w:rPr>
        <w:tab/>
      </w:r>
      <w:r w:rsidRPr="00C017F6">
        <w:rPr>
          <w:rFonts w:ascii="Arial" w:hAnsi="Arial" w:cs="Arial"/>
          <w:szCs w:val="22"/>
        </w:rPr>
        <w:tab/>
        <w:t>: Juzgado Segundo Circuito del Circuito de Pereira</w:t>
      </w:r>
    </w:p>
    <w:p w:rsidR="001764BB" w:rsidRPr="00C017F6" w:rsidRDefault="001764BB" w:rsidP="001764BB">
      <w:pPr>
        <w:jc w:val="both"/>
        <w:rPr>
          <w:rFonts w:ascii="Arial" w:hAnsi="Arial" w:cs="Arial"/>
          <w:szCs w:val="22"/>
        </w:rPr>
      </w:pPr>
      <w:r w:rsidRPr="00C017F6">
        <w:rPr>
          <w:rFonts w:ascii="Arial" w:hAnsi="Arial" w:cs="Arial"/>
          <w:szCs w:val="22"/>
        </w:rPr>
        <w:t>Radicación</w:t>
      </w:r>
      <w:r w:rsidRPr="00C017F6">
        <w:rPr>
          <w:rFonts w:ascii="Arial" w:hAnsi="Arial" w:cs="Arial"/>
          <w:szCs w:val="22"/>
        </w:rPr>
        <w:tab/>
      </w:r>
      <w:r w:rsidRPr="00C017F6">
        <w:rPr>
          <w:rFonts w:ascii="Arial" w:hAnsi="Arial" w:cs="Arial"/>
          <w:szCs w:val="22"/>
        </w:rPr>
        <w:tab/>
        <w:t>: 2017-00377-01</w:t>
      </w:r>
    </w:p>
    <w:p w:rsidR="001764BB" w:rsidRPr="00CC0B5F" w:rsidRDefault="001764BB" w:rsidP="001764BB">
      <w:pPr>
        <w:jc w:val="both"/>
        <w:rPr>
          <w:rFonts w:ascii="Arial" w:hAnsi="Arial" w:cs="Arial"/>
          <w:szCs w:val="22"/>
        </w:rPr>
      </w:pPr>
      <w:r w:rsidRPr="00C017F6">
        <w:rPr>
          <w:rFonts w:ascii="Arial" w:hAnsi="Arial" w:cs="Arial"/>
          <w:szCs w:val="22"/>
        </w:rPr>
        <w:t>Temas</w:t>
      </w:r>
      <w:r w:rsidRPr="00C017F6">
        <w:rPr>
          <w:rFonts w:ascii="Arial" w:hAnsi="Arial" w:cs="Arial"/>
          <w:szCs w:val="22"/>
        </w:rPr>
        <w:tab/>
      </w:r>
      <w:r w:rsidRPr="00C017F6">
        <w:rPr>
          <w:rFonts w:ascii="Arial" w:hAnsi="Arial" w:cs="Arial"/>
          <w:szCs w:val="22"/>
        </w:rPr>
        <w:tab/>
      </w:r>
      <w:r w:rsidRPr="00C017F6">
        <w:rPr>
          <w:rFonts w:ascii="Arial" w:hAnsi="Arial" w:cs="Arial"/>
          <w:szCs w:val="22"/>
        </w:rPr>
        <w:tab/>
        <w:t>: Inexistencia de pacto de indivisibilidad</w:t>
      </w:r>
      <w:r>
        <w:rPr>
          <w:rFonts w:ascii="Arial" w:hAnsi="Arial" w:cs="Arial"/>
          <w:szCs w:val="22"/>
        </w:rPr>
        <w:t xml:space="preserve"> –</w:t>
      </w:r>
      <w:r w:rsidRPr="00C017F6">
        <w:rPr>
          <w:rFonts w:ascii="Arial" w:hAnsi="Arial" w:cs="Arial"/>
          <w:szCs w:val="22"/>
        </w:rPr>
        <w:t xml:space="preserve"> Mejoras</w:t>
      </w:r>
    </w:p>
    <w:p w:rsidR="001764BB" w:rsidRPr="00CC0B5F" w:rsidRDefault="001764BB" w:rsidP="001764BB">
      <w:pPr>
        <w:jc w:val="both"/>
        <w:rPr>
          <w:rFonts w:ascii="Arial" w:hAnsi="Arial" w:cs="Arial"/>
          <w:szCs w:val="22"/>
        </w:rPr>
      </w:pPr>
      <w:proofErr w:type="spellStart"/>
      <w:r w:rsidRPr="00CC0B5F">
        <w:rPr>
          <w:rFonts w:ascii="Arial" w:hAnsi="Arial" w:cs="Arial"/>
          <w:szCs w:val="22"/>
        </w:rPr>
        <w:t>Mag</w:t>
      </w:r>
      <w:proofErr w:type="spellEnd"/>
      <w:r w:rsidRPr="00CC0B5F">
        <w:rPr>
          <w:rFonts w:ascii="Arial" w:hAnsi="Arial" w:cs="Arial"/>
          <w:szCs w:val="22"/>
        </w:rPr>
        <w:t>. Sustanciador</w:t>
      </w:r>
      <w:r w:rsidRPr="00CC0B5F">
        <w:rPr>
          <w:rFonts w:ascii="Arial" w:hAnsi="Arial" w:cs="Arial"/>
          <w:szCs w:val="22"/>
        </w:rPr>
        <w:tab/>
        <w:t xml:space="preserve">: </w:t>
      </w:r>
      <w:proofErr w:type="spellStart"/>
      <w:r w:rsidRPr="00CC0B5F">
        <w:rPr>
          <w:rFonts w:ascii="Arial" w:hAnsi="Arial" w:cs="Arial"/>
          <w:szCs w:val="22"/>
        </w:rPr>
        <w:t>Duberney</w:t>
      </w:r>
      <w:proofErr w:type="spellEnd"/>
      <w:r w:rsidRPr="00CC0B5F">
        <w:rPr>
          <w:rFonts w:ascii="Arial" w:hAnsi="Arial" w:cs="Arial"/>
          <w:szCs w:val="22"/>
        </w:rPr>
        <w:t xml:space="preserve"> Grisales Herrera</w:t>
      </w:r>
    </w:p>
    <w:p w:rsidR="001764BB" w:rsidRPr="00CC0B5F" w:rsidRDefault="001764BB" w:rsidP="001764BB">
      <w:pPr>
        <w:jc w:val="both"/>
        <w:rPr>
          <w:rFonts w:ascii="Arial" w:hAnsi="Arial" w:cs="Arial"/>
          <w:szCs w:val="22"/>
        </w:rPr>
      </w:pPr>
    </w:p>
    <w:p w:rsidR="001764BB" w:rsidRPr="00366A31" w:rsidRDefault="001764BB" w:rsidP="001764BB">
      <w:pPr>
        <w:pStyle w:val="Sinespaciado"/>
        <w:jc w:val="both"/>
        <w:rPr>
          <w:rFonts w:ascii="Arial" w:hAnsi="Arial" w:cs="Arial"/>
          <w:b/>
          <w:sz w:val="20"/>
          <w:szCs w:val="22"/>
        </w:rPr>
      </w:pPr>
      <w:r w:rsidRPr="00366A31">
        <w:rPr>
          <w:rFonts w:ascii="Arial" w:hAnsi="Arial" w:cs="Arial"/>
          <w:b/>
          <w:bCs/>
          <w:iCs/>
          <w:sz w:val="20"/>
          <w:szCs w:val="22"/>
          <w:lang w:eastAsia="fr-FR"/>
        </w:rPr>
        <w:t>TEMAS:</w:t>
      </w:r>
      <w:r w:rsidRPr="00366A31">
        <w:rPr>
          <w:rFonts w:ascii="Arial" w:hAnsi="Arial" w:cs="Arial"/>
          <w:b/>
          <w:bCs/>
          <w:iCs/>
          <w:sz w:val="20"/>
          <w:szCs w:val="22"/>
          <w:lang w:eastAsia="fr-FR"/>
        </w:rPr>
        <w:tab/>
      </w:r>
      <w:r w:rsidR="00A8155F">
        <w:rPr>
          <w:rFonts w:ascii="Arial" w:hAnsi="Arial" w:cs="Arial"/>
          <w:b/>
          <w:bCs/>
          <w:iCs/>
          <w:sz w:val="20"/>
          <w:szCs w:val="22"/>
          <w:lang w:eastAsia="fr-FR"/>
        </w:rPr>
        <w:t xml:space="preserve">PROCESO DIVISORIO POR VENTA / COMUNIDAD: CARACTERÍSTICAS / </w:t>
      </w:r>
      <w:r w:rsidR="00C11715">
        <w:rPr>
          <w:rFonts w:ascii="Arial" w:hAnsi="Arial" w:cs="Arial"/>
          <w:b/>
          <w:bCs/>
          <w:iCs/>
          <w:sz w:val="20"/>
          <w:szCs w:val="22"/>
          <w:lang w:eastAsia="fr-FR"/>
        </w:rPr>
        <w:t>PROMESA DE COMPRAVENTA ENTRE COMUNEROS: NO INCIDE EN EL DERECHO DE DOMINIO NI EN EL DERECHO A PEDIR SU DIVISIÓN.</w:t>
      </w:r>
    </w:p>
    <w:p w:rsidR="001764BB" w:rsidRDefault="001764BB" w:rsidP="001764BB">
      <w:pPr>
        <w:jc w:val="both"/>
        <w:rPr>
          <w:rFonts w:ascii="Arial" w:hAnsi="Arial" w:cs="Arial"/>
          <w:szCs w:val="22"/>
        </w:rPr>
      </w:pPr>
    </w:p>
    <w:p w:rsidR="00A8155F" w:rsidRPr="00C11715" w:rsidRDefault="00C11715" w:rsidP="00C11715">
      <w:pPr>
        <w:jc w:val="both"/>
        <w:rPr>
          <w:rFonts w:ascii="Arial" w:hAnsi="Arial" w:cs="Arial"/>
          <w:szCs w:val="22"/>
        </w:rPr>
      </w:pPr>
      <w:r>
        <w:rPr>
          <w:rFonts w:ascii="Arial" w:hAnsi="Arial" w:cs="Arial"/>
          <w:szCs w:val="22"/>
        </w:rPr>
        <w:t xml:space="preserve">… </w:t>
      </w:r>
      <w:r w:rsidR="00A8155F" w:rsidRPr="00C11715">
        <w:rPr>
          <w:rFonts w:ascii="Arial" w:hAnsi="Arial" w:cs="Arial"/>
          <w:szCs w:val="22"/>
        </w:rPr>
        <w:t>las características propias de una copropiedad son: (i) Los copropietarios no tiene un derecho exclusivo sobre el objeto común; (ii) La cuota es ideal y no se puede representar materialmente mientras exista la indivisión; (iii) Existen tantos derechos de dominio, cuantos propietarios hubiere, que pueden ser enajenados o gravados, pero nunca como parte física o material, pues la cuota es ideal; y, (iv) El uso y goce del bien únicamente puede ejercerse con el acuerdo de todos los comuneros. Según enseña el tratadista Luis G. Velásquez J.</w:t>
      </w:r>
      <w:r>
        <w:rPr>
          <w:rFonts w:ascii="Arial" w:hAnsi="Arial" w:cs="Arial"/>
          <w:szCs w:val="22"/>
        </w:rPr>
        <w:t xml:space="preserve"> (…)</w:t>
      </w:r>
    </w:p>
    <w:p w:rsidR="00A8155F" w:rsidRDefault="00A8155F" w:rsidP="001764BB">
      <w:pPr>
        <w:jc w:val="both"/>
        <w:rPr>
          <w:rFonts w:ascii="Arial" w:hAnsi="Arial" w:cs="Arial"/>
          <w:szCs w:val="22"/>
        </w:rPr>
      </w:pPr>
    </w:p>
    <w:p w:rsidR="00C11715" w:rsidRPr="00C11715" w:rsidRDefault="00C11715" w:rsidP="00C11715">
      <w:pPr>
        <w:jc w:val="both"/>
        <w:rPr>
          <w:rFonts w:ascii="Arial" w:hAnsi="Arial" w:cs="Arial"/>
          <w:szCs w:val="22"/>
        </w:rPr>
      </w:pPr>
      <w:r w:rsidRPr="00C11715">
        <w:rPr>
          <w:rFonts w:ascii="Arial" w:hAnsi="Arial" w:cs="Arial"/>
          <w:szCs w:val="22"/>
        </w:rPr>
        <w:t xml:space="preserve">La demandante no está obligada a permanecer en la indivisión, pues es inexistente un pacto de tal naturaleza (Artículos 1374, CC y 470, </w:t>
      </w:r>
      <w:proofErr w:type="spellStart"/>
      <w:r w:rsidRPr="00C11715">
        <w:rPr>
          <w:rFonts w:ascii="Arial" w:hAnsi="Arial" w:cs="Arial"/>
          <w:szCs w:val="22"/>
        </w:rPr>
        <w:t>CPC</w:t>
      </w:r>
      <w:proofErr w:type="spellEnd"/>
      <w:r w:rsidRPr="00C11715">
        <w:rPr>
          <w:rFonts w:ascii="Arial" w:hAnsi="Arial" w:cs="Arial"/>
          <w:szCs w:val="22"/>
        </w:rPr>
        <w:t>) y acorde con lo informado, no ha sido posible ponerle fin a la comunidad extrajudicialmente, de allí que solicitara la venta en pública subasta. El señor Acosta Arboleda, por su parte, al contestar la demanda se opuso, parcialmente, por estar en desacuerdo con el avalúo propuesto y porque, entre los extremos, se había celebrado un contrato de promesa de compraventa, del que él ya había pagado la suma de $120.000.00; también reclamó mejoras</w:t>
      </w:r>
      <w:r>
        <w:rPr>
          <w:rFonts w:ascii="Arial" w:hAnsi="Arial" w:cs="Arial"/>
          <w:szCs w:val="22"/>
        </w:rPr>
        <w:t xml:space="preserve">. </w:t>
      </w:r>
    </w:p>
    <w:p w:rsidR="00C11715" w:rsidRPr="00C11715" w:rsidRDefault="00C11715" w:rsidP="00C11715">
      <w:pPr>
        <w:jc w:val="both"/>
        <w:rPr>
          <w:rFonts w:ascii="Arial" w:hAnsi="Arial" w:cs="Arial"/>
          <w:szCs w:val="22"/>
        </w:rPr>
      </w:pPr>
    </w:p>
    <w:p w:rsidR="00C11715" w:rsidRPr="00C11715" w:rsidRDefault="00C11715" w:rsidP="00C11715">
      <w:pPr>
        <w:jc w:val="both"/>
        <w:rPr>
          <w:rFonts w:ascii="Arial" w:hAnsi="Arial" w:cs="Arial"/>
          <w:szCs w:val="22"/>
        </w:rPr>
      </w:pPr>
      <w:r w:rsidRPr="00C11715">
        <w:rPr>
          <w:rFonts w:ascii="Arial" w:hAnsi="Arial" w:cs="Arial"/>
          <w:szCs w:val="22"/>
        </w:rPr>
        <w:t xml:space="preserve">Como viene de verse, no se trata de una oposición a la venta, sino de la petición de reconocimiento de unos montos, por diversos conceptos, y por lo tanto, debía salir avante la aspiración de venta común del predio, sin embargo, la decisión reprochada se abstuvo de así resolverlo, porque consideró que el mencionado convenio, que es ley para las partes (Artículo 1602, CC) y que está vigente porque no ha sido invalidado, modifica las condiciones de la comunidad; pero para esta Sala, esa hipótesis se aleja de la realidad jurídica del predio. </w:t>
      </w:r>
    </w:p>
    <w:p w:rsidR="00C11715" w:rsidRPr="00C11715" w:rsidRDefault="00C11715" w:rsidP="00C11715">
      <w:pPr>
        <w:jc w:val="both"/>
        <w:rPr>
          <w:rFonts w:ascii="Arial" w:hAnsi="Arial" w:cs="Arial"/>
          <w:szCs w:val="22"/>
        </w:rPr>
      </w:pPr>
    </w:p>
    <w:p w:rsidR="00C11715" w:rsidRDefault="00C11715" w:rsidP="00C11715">
      <w:pPr>
        <w:jc w:val="both"/>
        <w:rPr>
          <w:rFonts w:ascii="Arial" w:hAnsi="Arial" w:cs="Arial"/>
          <w:szCs w:val="22"/>
        </w:rPr>
      </w:pPr>
      <w:r w:rsidRPr="00C11715">
        <w:rPr>
          <w:rFonts w:ascii="Arial" w:hAnsi="Arial" w:cs="Arial"/>
          <w:szCs w:val="22"/>
        </w:rPr>
        <w:t>Lo anterior por cuanto el contrato suscrito es una promesa de compraventa, definido por la jurisprudencia, sin idoneidad para transferir derecho alguno (Artículo 765, CC), en palabras de la CSJ: “(…) la simple promesa de contrato no es un acto de enajenación, y por lo mismo su objeto es la perfección del contrato prometido que es necesario no confundir con el objeto del contrato de venta, que es la cosa vendida (…)”</w:t>
      </w:r>
    </w:p>
    <w:p w:rsidR="001764BB" w:rsidRDefault="001764BB" w:rsidP="001764BB">
      <w:pPr>
        <w:jc w:val="both"/>
        <w:rPr>
          <w:rFonts w:ascii="Arial" w:hAnsi="Arial" w:cs="Arial"/>
          <w:szCs w:val="22"/>
        </w:rPr>
      </w:pPr>
    </w:p>
    <w:p w:rsidR="001764BB" w:rsidRPr="004E7376" w:rsidRDefault="001764BB" w:rsidP="001764BB">
      <w:pPr>
        <w:jc w:val="both"/>
        <w:rPr>
          <w:rFonts w:ascii="Arial" w:hAnsi="Arial" w:cs="Arial"/>
          <w:szCs w:val="22"/>
        </w:rPr>
      </w:pPr>
    </w:p>
    <w:p w:rsidR="001764BB" w:rsidRPr="004E7376" w:rsidRDefault="001764BB" w:rsidP="001764BB">
      <w:pPr>
        <w:jc w:val="both"/>
        <w:rPr>
          <w:rFonts w:ascii="Arial" w:hAnsi="Arial" w:cs="Arial"/>
          <w:szCs w:val="22"/>
        </w:rPr>
      </w:pPr>
    </w:p>
    <w:p w:rsidR="001764BB" w:rsidRDefault="001764BB" w:rsidP="001764BB">
      <w:pPr>
        <w:pStyle w:val="Sinespaciado"/>
        <w:spacing w:line="288" w:lineRule="auto"/>
        <w:jc w:val="center"/>
        <w:rPr>
          <w:rFonts w:ascii="Georgia" w:hAnsi="Georgia" w:cs="Arial"/>
          <w:w w:val="140"/>
          <w:sz w:val="14"/>
          <w:szCs w:val="14"/>
        </w:rPr>
      </w:pPr>
    </w:p>
    <w:p w:rsidR="001764BB" w:rsidRPr="00C419CF" w:rsidRDefault="001764BB" w:rsidP="001764BB">
      <w:pPr>
        <w:pStyle w:val="Sinespaciado"/>
        <w:spacing w:line="288" w:lineRule="auto"/>
        <w:jc w:val="center"/>
        <w:rPr>
          <w:rFonts w:ascii="Georgia" w:hAnsi="Georgia" w:cs="Arial"/>
          <w:w w:val="140"/>
          <w:sz w:val="14"/>
          <w:szCs w:val="14"/>
        </w:rPr>
      </w:pPr>
      <w:r w:rsidRPr="00C419CF">
        <w:rPr>
          <w:rFonts w:ascii="Georgia" w:hAnsi="Georgia"/>
          <w:noProof/>
        </w:rPr>
        <w:drawing>
          <wp:anchor distT="0" distB="0" distL="114300" distR="114300" simplePos="0" relativeHeight="251659264" behindDoc="0" locked="0" layoutInCell="1" allowOverlap="1" wp14:anchorId="274DF5F3" wp14:editId="74E145DD">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4BB" w:rsidRDefault="001764BB" w:rsidP="001764BB">
      <w:pPr>
        <w:pStyle w:val="Sinespaciado"/>
        <w:spacing w:line="288" w:lineRule="auto"/>
        <w:jc w:val="center"/>
        <w:rPr>
          <w:rFonts w:ascii="Georgia" w:hAnsi="Georgia" w:cs="Arial"/>
          <w:w w:val="140"/>
          <w:sz w:val="14"/>
          <w:szCs w:val="14"/>
        </w:rPr>
      </w:pPr>
    </w:p>
    <w:p w:rsidR="001764BB" w:rsidRPr="00C419CF" w:rsidRDefault="001764BB" w:rsidP="001764BB">
      <w:pPr>
        <w:pStyle w:val="Sinespaciado"/>
        <w:spacing w:line="288" w:lineRule="auto"/>
        <w:jc w:val="center"/>
        <w:rPr>
          <w:rFonts w:ascii="Georgia" w:hAnsi="Georgia" w:cs="Arial"/>
          <w:w w:val="140"/>
          <w:sz w:val="14"/>
          <w:szCs w:val="14"/>
        </w:rPr>
      </w:pPr>
    </w:p>
    <w:p w:rsidR="001764BB" w:rsidRPr="00C419CF" w:rsidRDefault="001764BB" w:rsidP="001764BB">
      <w:pPr>
        <w:pStyle w:val="Sinespaciado"/>
        <w:spacing w:line="288" w:lineRule="auto"/>
        <w:jc w:val="center"/>
        <w:rPr>
          <w:rFonts w:ascii="Georgia" w:hAnsi="Georgia" w:cs="Arial"/>
          <w:w w:val="140"/>
          <w:sz w:val="14"/>
          <w:szCs w:val="14"/>
        </w:rPr>
      </w:pPr>
      <w:r w:rsidRPr="00C419CF">
        <w:rPr>
          <w:rFonts w:ascii="Georgia" w:hAnsi="Georgia" w:cs="Arial"/>
          <w:w w:val="140"/>
          <w:sz w:val="14"/>
          <w:szCs w:val="14"/>
        </w:rPr>
        <w:t>REPUBLICA DE COLOMBIA</w:t>
      </w:r>
    </w:p>
    <w:p w:rsidR="001764BB" w:rsidRPr="00C419CF" w:rsidRDefault="001764BB" w:rsidP="001764BB">
      <w:pPr>
        <w:pStyle w:val="Sinespaciado"/>
        <w:tabs>
          <w:tab w:val="center" w:pos="4987"/>
          <w:tab w:val="left" w:pos="8449"/>
        </w:tabs>
        <w:spacing w:line="288" w:lineRule="auto"/>
        <w:jc w:val="center"/>
        <w:rPr>
          <w:rFonts w:ascii="Georgia" w:hAnsi="Georgia" w:cs="Arial"/>
          <w:w w:val="140"/>
        </w:rPr>
      </w:pPr>
      <w:r w:rsidRPr="00C419CF">
        <w:rPr>
          <w:rFonts w:ascii="Georgia" w:hAnsi="Georgia" w:cs="Arial"/>
          <w:w w:val="140"/>
          <w:sz w:val="14"/>
          <w:szCs w:val="14"/>
        </w:rPr>
        <w:t>RAMA JUDICIAL DEL PODER PÚBLICO</w:t>
      </w:r>
    </w:p>
    <w:p w:rsidR="001764BB" w:rsidRPr="00C419CF" w:rsidRDefault="001764BB" w:rsidP="001764BB">
      <w:pPr>
        <w:pStyle w:val="Sinespaciado"/>
        <w:spacing w:line="288" w:lineRule="auto"/>
        <w:jc w:val="center"/>
        <w:rPr>
          <w:rFonts w:ascii="Georgia" w:hAnsi="Georgia" w:cs="Arial"/>
          <w:w w:val="140"/>
          <w:sz w:val="16"/>
          <w:szCs w:val="16"/>
        </w:rPr>
      </w:pPr>
      <w:r w:rsidRPr="00C419CF">
        <w:rPr>
          <w:rFonts w:ascii="Georgia" w:hAnsi="Georgia" w:cs="Arial"/>
          <w:w w:val="140"/>
          <w:sz w:val="18"/>
          <w:szCs w:val="18"/>
        </w:rPr>
        <w:t>T</w:t>
      </w:r>
      <w:r w:rsidRPr="00C419CF">
        <w:rPr>
          <w:rFonts w:ascii="Georgia" w:hAnsi="Georgia" w:cs="Arial"/>
          <w:w w:val="140"/>
          <w:sz w:val="16"/>
          <w:szCs w:val="16"/>
        </w:rPr>
        <w:t>RIBUNAL</w:t>
      </w:r>
      <w:r w:rsidRPr="00C419CF">
        <w:rPr>
          <w:rFonts w:ascii="Georgia" w:hAnsi="Georgia" w:cs="Arial"/>
          <w:w w:val="140"/>
          <w:sz w:val="18"/>
          <w:szCs w:val="18"/>
        </w:rPr>
        <w:t xml:space="preserve"> S</w:t>
      </w:r>
      <w:r w:rsidRPr="00C419CF">
        <w:rPr>
          <w:rFonts w:ascii="Georgia" w:hAnsi="Georgia" w:cs="Arial"/>
          <w:w w:val="140"/>
          <w:sz w:val="16"/>
          <w:szCs w:val="16"/>
        </w:rPr>
        <w:t xml:space="preserve">UPERIOR DEL </w:t>
      </w:r>
      <w:r w:rsidRPr="00C419CF">
        <w:rPr>
          <w:rFonts w:ascii="Georgia" w:hAnsi="Georgia" w:cs="Arial"/>
          <w:w w:val="140"/>
          <w:sz w:val="18"/>
          <w:szCs w:val="18"/>
        </w:rPr>
        <w:t>D</w:t>
      </w:r>
      <w:r w:rsidRPr="00C419CF">
        <w:rPr>
          <w:rFonts w:ascii="Georgia" w:hAnsi="Georgia" w:cs="Arial"/>
          <w:w w:val="140"/>
          <w:sz w:val="16"/>
          <w:szCs w:val="16"/>
        </w:rPr>
        <w:t>ISTRITO</w:t>
      </w:r>
      <w:r w:rsidRPr="00C419CF">
        <w:rPr>
          <w:rFonts w:ascii="Georgia" w:hAnsi="Georgia" w:cs="Arial"/>
          <w:w w:val="140"/>
          <w:sz w:val="18"/>
          <w:szCs w:val="18"/>
        </w:rPr>
        <w:t xml:space="preserve"> J</w:t>
      </w:r>
      <w:r w:rsidRPr="00C419CF">
        <w:rPr>
          <w:rFonts w:ascii="Georgia" w:hAnsi="Georgia" w:cs="Arial"/>
          <w:w w:val="140"/>
          <w:sz w:val="16"/>
          <w:szCs w:val="16"/>
        </w:rPr>
        <w:t xml:space="preserve">UDICIAL </w:t>
      </w:r>
    </w:p>
    <w:p w:rsidR="001764BB" w:rsidRPr="00C419CF" w:rsidRDefault="001764BB" w:rsidP="001764BB">
      <w:pPr>
        <w:pStyle w:val="Sinespaciado"/>
        <w:spacing w:line="288" w:lineRule="auto"/>
        <w:jc w:val="center"/>
        <w:rPr>
          <w:rFonts w:ascii="Georgia" w:hAnsi="Georgia" w:cs="Arial"/>
          <w:w w:val="140"/>
          <w:sz w:val="16"/>
          <w:szCs w:val="16"/>
        </w:rPr>
      </w:pPr>
      <w:r w:rsidRPr="00C419CF">
        <w:rPr>
          <w:rFonts w:ascii="Georgia" w:hAnsi="Georgia" w:cs="Arial"/>
          <w:w w:val="140"/>
          <w:sz w:val="18"/>
          <w:szCs w:val="16"/>
        </w:rPr>
        <w:t>S</w:t>
      </w:r>
      <w:r w:rsidRPr="00C419CF">
        <w:rPr>
          <w:rFonts w:ascii="Georgia" w:hAnsi="Georgia" w:cs="Arial"/>
          <w:w w:val="140"/>
          <w:sz w:val="16"/>
          <w:szCs w:val="14"/>
        </w:rPr>
        <w:t xml:space="preserve">ALA </w:t>
      </w:r>
      <w:r w:rsidRPr="00C419CF">
        <w:rPr>
          <w:rFonts w:ascii="Georgia" w:hAnsi="Georgia" w:cs="Arial"/>
          <w:w w:val="140"/>
          <w:sz w:val="18"/>
          <w:szCs w:val="16"/>
        </w:rPr>
        <w:t>U</w:t>
      </w:r>
      <w:r w:rsidRPr="00C419CF">
        <w:rPr>
          <w:rFonts w:ascii="Georgia" w:hAnsi="Georgia" w:cs="Arial"/>
          <w:w w:val="140"/>
          <w:sz w:val="16"/>
          <w:szCs w:val="16"/>
        </w:rPr>
        <w:t xml:space="preserve">NITARIA </w:t>
      </w:r>
      <w:r w:rsidRPr="00C419CF">
        <w:rPr>
          <w:rFonts w:ascii="Georgia" w:hAnsi="Georgia" w:cs="Arial"/>
          <w:w w:val="140"/>
          <w:sz w:val="18"/>
          <w:szCs w:val="16"/>
        </w:rPr>
        <w:t>C</w:t>
      </w:r>
      <w:r w:rsidRPr="00C419CF">
        <w:rPr>
          <w:rFonts w:ascii="Georgia" w:hAnsi="Georgia" w:cs="Arial"/>
          <w:w w:val="140"/>
          <w:sz w:val="16"/>
          <w:szCs w:val="16"/>
        </w:rPr>
        <w:t xml:space="preserve">IVIL </w:t>
      </w:r>
      <w:r w:rsidRPr="00C419CF">
        <w:rPr>
          <w:rFonts w:ascii="Georgia" w:hAnsi="Georgia" w:cs="Arial"/>
          <w:w w:val="140"/>
          <w:sz w:val="14"/>
          <w:szCs w:val="14"/>
        </w:rPr>
        <w:t xml:space="preserve">– </w:t>
      </w:r>
      <w:r w:rsidRPr="00C419CF">
        <w:rPr>
          <w:rFonts w:ascii="Georgia" w:hAnsi="Georgia" w:cs="Arial"/>
          <w:w w:val="140"/>
          <w:sz w:val="18"/>
          <w:szCs w:val="16"/>
        </w:rPr>
        <w:t>F</w:t>
      </w:r>
      <w:r w:rsidRPr="00C419CF">
        <w:rPr>
          <w:rFonts w:ascii="Georgia" w:hAnsi="Georgia" w:cs="Arial"/>
          <w:w w:val="140"/>
          <w:sz w:val="16"/>
          <w:szCs w:val="16"/>
        </w:rPr>
        <w:t xml:space="preserve">AMILIA – </w:t>
      </w:r>
      <w:r w:rsidRPr="00C419CF">
        <w:rPr>
          <w:rFonts w:ascii="Georgia" w:hAnsi="Georgia" w:cs="Arial"/>
          <w:w w:val="140"/>
          <w:sz w:val="18"/>
          <w:szCs w:val="16"/>
        </w:rPr>
        <w:t>D</w:t>
      </w:r>
      <w:r w:rsidRPr="00C419CF">
        <w:rPr>
          <w:rFonts w:ascii="Georgia" w:hAnsi="Georgia" w:cs="Arial"/>
          <w:w w:val="140"/>
          <w:sz w:val="16"/>
          <w:szCs w:val="16"/>
        </w:rPr>
        <w:t xml:space="preserve">ISTRITO DE </w:t>
      </w:r>
      <w:r w:rsidRPr="00C419CF">
        <w:rPr>
          <w:rFonts w:ascii="Georgia" w:hAnsi="Georgia" w:cs="Arial"/>
          <w:w w:val="140"/>
          <w:sz w:val="18"/>
          <w:szCs w:val="16"/>
        </w:rPr>
        <w:t>P</w:t>
      </w:r>
      <w:r w:rsidRPr="00C419CF">
        <w:rPr>
          <w:rFonts w:ascii="Georgia" w:hAnsi="Georgia" w:cs="Arial"/>
          <w:w w:val="140"/>
          <w:sz w:val="16"/>
          <w:szCs w:val="16"/>
        </w:rPr>
        <w:t>EREIRA</w:t>
      </w:r>
    </w:p>
    <w:p w:rsidR="001764BB" w:rsidRPr="00C419CF" w:rsidRDefault="001764BB" w:rsidP="001764BB">
      <w:pPr>
        <w:pStyle w:val="Sinespaciado"/>
        <w:spacing w:line="288" w:lineRule="auto"/>
        <w:jc w:val="center"/>
        <w:rPr>
          <w:rFonts w:ascii="Georgia" w:hAnsi="Georgia" w:cs="Arial"/>
          <w:w w:val="140"/>
          <w:sz w:val="16"/>
          <w:szCs w:val="16"/>
        </w:rPr>
      </w:pPr>
      <w:r w:rsidRPr="00C419CF">
        <w:rPr>
          <w:rFonts w:ascii="Georgia" w:hAnsi="Georgia" w:cs="Arial"/>
          <w:w w:val="140"/>
          <w:sz w:val="18"/>
          <w:szCs w:val="18"/>
        </w:rPr>
        <w:t>D</w:t>
      </w:r>
      <w:r w:rsidRPr="00C419CF">
        <w:rPr>
          <w:rFonts w:ascii="Georgia" w:hAnsi="Georgia" w:cs="Arial"/>
          <w:w w:val="140"/>
          <w:sz w:val="16"/>
          <w:szCs w:val="16"/>
        </w:rPr>
        <w:t xml:space="preserve">EPARTAMENTO </w:t>
      </w:r>
      <w:r w:rsidRPr="00C419CF">
        <w:rPr>
          <w:rFonts w:ascii="Georgia" w:hAnsi="Georgia" w:cs="Arial"/>
          <w:w w:val="140"/>
          <w:sz w:val="18"/>
          <w:szCs w:val="18"/>
        </w:rPr>
        <w:t>D</w:t>
      </w:r>
      <w:r w:rsidRPr="00C419CF">
        <w:rPr>
          <w:rFonts w:ascii="Georgia" w:hAnsi="Georgia" w:cs="Arial"/>
          <w:w w:val="140"/>
          <w:sz w:val="16"/>
          <w:szCs w:val="16"/>
        </w:rPr>
        <w:t xml:space="preserve">EL </w:t>
      </w:r>
      <w:r w:rsidRPr="00C419CF">
        <w:rPr>
          <w:rFonts w:ascii="Georgia" w:hAnsi="Georgia" w:cs="Arial"/>
          <w:w w:val="140"/>
          <w:sz w:val="18"/>
          <w:szCs w:val="18"/>
        </w:rPr>
        <w:t>R</w:t>
      </w:r>
      <w:r w:rsidRPr="00C419CF">
        <w:rPr>
          <w:rFonts w:ascii="Georgia" w:hAnsi="Georgia" w:cs="Arial"/>
          <w:w w:val="140"/>
          <w:sz w:val="16"/>
          <w:szCs w:val="16"/>
        </w:rPr>
        <w:t>ISARALDA</w:t>
      </w:r>
    </w:p>
    <w:p w:rsidR="001764BB" w:rsidRDefault="001764BB" w:rsidP="001764BB">
      <w:pPr>
        <w:pBdr>
          <w:bottom w:val="double" w:sz="6" w:space="1" w:color="auto"/>
        </w:pBdr>
        <w:spacing w:line="288" w:lineRule="auto"/>
        <w:rPr>
          <w:rFonts w:ascii="Georgia" w:hAnsi="Georgia" w:cs="Arial"/>
          <w:spacing w:val="-3"/>
          <w:sz w:val="24"/>
          <w:szCs w:val="24"/>
          <w:lang w:val="es-ES_tradnl"/>
        </w:rPr>
      </w:pPr>
    </w:p>
    <w:p w:rsidR="001764BB" w:rsidRPr="00C419CF" w:rsidRDefault="001764BB" w:rsidP="001764BB">
      <w:pPr>
        <w:pBdr>
          <w:bottom w:val="double" w:sz="6" w:space="1" w:color="auto"/>
        </w:pBdr>
        <w:spacing w:line="288" w:lineRule="auto"/>
        <w:rPr>
          <w:rFonts w:ascii="Georgia" w:hAnsi="Georgia" w:cs="Arial"/>
          <w:sz w:val="16"/>
          <w:szCs w:val="22"/>
        </w:rPr>
      </w:pPr>
    </w:p>
    <w:p w:rsidR="001764BB" w:rsidRPr="00B12072" w:rsidRDefault="001764BB" w:rsidP="001764BB">
      <w:pPr>
        <w:spacing w:line="288" w:lineRule="auto"/>
        <w:jc w:val="center"/>
        <w:rPr>
          <w:rFonts w:ascii="Georgia" w:hAnsi="Georgia" w:cs="Arial"/>
          <w:sz w:val="24"/>
          <w:szCs w:val="24"/>
        </w:rPr>
      </w:pPr>
    </w:p>
    <w:p w:rsidR="001764BB" w:rsidRPr="00B12072" w:rsidRDefault="001764BB" w:rsidP="001764BB">
      <w:pPr>
        <w:spacing w:line="288" w:lineRule="auto"/>
        <w:jc w:val="center"/>
        <w:rPr>
          <w:rFonts w:ascii="Georgia" w:hAnsi="Georgia" w:cs="Arial"/>
          <w:sz w:val="24"/>
          <w:szCs w:val="24"/>
        </w:rPr>
      </w:pPr>
    </w:p>
    <w:p w:rsidR="001764BB" w:rsidRPr="00B12072" w:rsidRDefault="001764BB" w:rsidP="001764BB">
      <w:pPr>
        <w:spacing w:line="288" w:lineRule="auto"/>
        <w:jc w:val="center"/>
        <w:rPr>
          <w:rFonts w:ascii="Georgia" w:hAnsi="Georgia" w:cs="Arial"/>
          <w:smallCaps/>
          <w:sz w:val="24"/>
          <w:szCs w:val="24"/>
        </w:rPr>
      </w:pPr>
      <w:r w:rsidRPr="00B12072">
        <w:rPr>
          <w:rFonts w:ascii="Georgia" w:hAnsi="Georgia" w:cs="Arial"/>
          <w:smallCaps/>
          <w:sz w:val="24"/>
          <w:szCs w:val="24"/>
        </w:rPr>
        <w:t>Veintiséis (26) de noviembre de dos mil dieciocho (2018).</w:t>
      </w:r>
    </w:p>
    <w:p w:rsidR="001764BB" w:rsidRPr="00B12072" w:rsidRDefault="001764BB" w:rsidP="001764BB">
      <w:pPr>
        <w:spacing w:line="288" w:lineRule="auto"/>
        <w:jc w:val="both"/>
        <w:rPr>
          <w:rFonts w:ascii="Georgia" w:hAnsi="Georgia" w:cs="Arial"/>
          <w:sz w:val="24"/>
          <w:szCs w:val="24"/>
        </w:rPr>
      </w:pPr>
    </w:p>
    <w:p w:rsidR="001764BB" w:rsidRPr="00B12072" w:rsidRDefault="001764BB" w:rsidP="001764BB">
      <w:pPr>
        <w:pStyle w:val="Sinespaciado"/>
        <w:widowControl/>
        <w:numPr>
          <w:ilvl w:val="0"/>
          <w:numId w:val="1"/>
        </w:numPr>
        <w:autoSpaceDE/>
        <w:autoSpaceDN/>
        <w:adjustRightInd/>
        <w:spacing w:line="288" w:lineRule="auto"/>
        <w:jc w:val="both"/>
        <w:rPr>
          <w:rFonts w:ascii="Georgia" w:hAnsi="Georgia" w:cs="Arial"/>
        </w:rPr>
      </w:pPr>
      <w:r w:rsidRPr="00B12072">
        <w:rPr>
          <w:rFonts w:ascii="Georgia" w:hAnsi="Georgia" w:cs="Arial"/>
        </w:rPr>
        <w:t>EL ASUNTO POR DECIDIR</w:t>
      </w:r>
    </w:p>
    <w:p w:rsidR="001764BB" w:rsidRPr="00B12072" w:rsidRDefault="001764BB" w:rsidP="001764BB">
      <w:pPr>
        <w:pStyle w:val="Ttulo"/>
        <w:spacing w:line="288" w:lineRule="auto"/>
        <w:jc w:val="left"/>
        <w:rPr>
          <w:rFonts w:ascii="Georgia" w:hAnsi="Georgia" w:cs="Arial"/>
          <w:b w:val="0"/>
          <w:i w:val="0"/>
          <w:spacing w:val="-3"/>
          <w:szCs w:val="24"/>
          <w:lang w:val="es-ES_tradnl"/>
        </w:rPr>
      </w:pPr>
    </w:p>
    <w:p w:rsidR="001764BB" w:rsidRPr="00B12072" w:rsidRDefault="001764BB" w:rsidP="001764BB">
      <w:pPr>
        <w:pStyle w:val="Sinespaciado"/>
        <w:spacing w:line="288" w:lineRule="auto"/>
        <w:jc w:val="both"/>
        <w:rPr>
          <w:rFonts w:ascii="Georgia" w:hAnsi="Georgia" w:cs="Arial"/>
        </w:rPr>
      </w:pPr>
      <w:r w:rsidRPr="00B12072">
        <w:rPr>
          <w:rFonts w:ascii="Georgia" w:hAnsi="Georgia" w:cs="Arial"/>
        </w:rPr>
        <w:t xml:space="preserve">La alzada que presentó, en el proceso referenciado, el apoderado judicial de la parte actora, contra el auto que denegó la venta en pública subasta del inmueble, de </w:t>
      </w:r>
      <w:r w:rsidRPr="00B12072">
        <w:rPr>
          <w:rFonts w:ascii="Georgia" w:hAnsi="Georgia" w:cs="Arial"/>
        </w:rPr>
        <w:lastRenderedPageBreak/>
        <w:t>acuerdo con las apreciaciones jurídicas, que enseguida se plantean.</w:t>
      </w:r>
    </w:p>
    <w:p w:rsidR="001764BB" w:rsidRPr="00B12072" w:rsidRDefault="001764BB" w:rsidP="001764BB">
      <w:pPr>
        <w:pStyle w:val="Sinespaciado"/>
        <w:widowControl/>
        <w:autoSpaceDE/>
        <w:autoSpaceDN/>
        <w:adjustRightInd/>
        <w:spacing w:line="288" w:lineRule="auto"/>
        <w:jc w:val="both"/>
        <w:rPr>
          <w:rFonts w:ascii="Georgia" w:hAnsi="Georgia" w:cs="Arial"/>
        </w:rPr>
      </w:pPr>
    </w:p>
    <w:p w:rsidR="001764BB" w:rsidRPr="00B12072" w:rsidRDefault="001764BB" w:rsidP="001764BB">
      <w:pPr>
        <w:pStyle w:val="Sinespaciado"/>
        <w:widowControl/>
        <w:numPr>
          <w:ilvl w:val="0"/>
          <w:numId w:val="1"/>
        </w:numPr>
        <w:autoSpaceDE/>
        <w:autoSpaceDN/>
        <w:adjustRightInd/>
        <w:spacing w:line="288" w:lineRule="auto"/>
        <w:jc w:val="both"/>
        <w:rPr>
          <w:rFonts w:ascii="Georgia" w:hAnsi="Georgia" w:cs="Arial"/>
        </w:rPr>
      </w:pPr>
      <w:r w:rsidRPr="00B12072">
        <w:rPr>
          <w:rFonts w:ascii="Georgia" w:hAnsi="Georgia" w:cs="Arial"/>
        </w:rPr>
        <w:t>LA PROVIDENCIA RECURRIDA</w:t>
      </w:r>
    </w:p>
    <w:p w:rsidR="001764BB" w:rsidRPr="00B12072" w:rsidRDefault="001764BB" w:rsidP="001764BB">
      <w:pPr>
        <w:pStyle w:val="Sinespaciado"/>
        <w:spacing w:line="288" w:lineRule="auto"/>
        <w:jc w:val="both"/>
        <w:rPr>
          <w:rFonts w:ascii="Georgia" w:hAnsi="Georgia" w:cs="Arial"/>
        </w:rPr>
      </w:pPr>
    </w:p>
    <w:p w:rsidR="001764BB" w:rsidRPr="00B12072" w:rsidRDefault="001764BB" w:rsidP="001764BB">
      <w:pPr>
        <w:spacing w:line="288" w:lineRule="auto"/>
        <w:jc w:val="both"/>
        <w:rPr>
          <w:rFonts w:ascii="Georgia" w:hAnsi="Georgia" w:cs="Arial"/>
          <w:sz w:val="24"/>
          <w:szCs w:val="24"/>
        </w:rPr>
      </w:pPr>
      <w:r w:rsidRPr="00B12072">
        <w:rPr>
          <w:rFonts w:ascii="Georgia" w:hAnsi="Georgia" w:cs="Arial"/>
          <w:sz w:val="24"/>
          <w:szCs w:val="24"/>
        </w:rPr>
        <w:t xml:space="preserve">Data del 21-08-2018 y negó la división por venta; consideró, en aplicación de lo dispuesto en el artículo 282, </w:t>
      </w:r>
      <w:proofErr w:type="spellStart"/>
      <w:r w:rsidRPr="00B12072">
        <w:rPr>
          <w:rFonts w:ascii="Georgia" w:hAnsi="Georgia" w:cs="Arial"/>
          <w:sz w:val="24"/>
          <w:szCs w:val="24"/>
        </w:rPr>
        <w:t>CGP</w:t>
      </w:r>
      <w:proofErr w:type="spellEnd"/>
      <w:r w:rsidRPr="00B12072">
        <w:rPr>
          <w:rFonts w:ascii="Georgia" w:hAnsi="Georgia" w:cs="Arial"/>
          <w:sz w:val="24"/>
          <w:szCs w:val="24"/>
        </w:rPr>
        <w:t xml:space="preserve">, que en este caso el contrato de promesa de compraventa, habido entre las partes, es modificatorio de las condiciones preexistentes en la comunidad. Se trata de un convenio que es ley para aquellas (Artículo 1602, CC), que solo podrá ser invalidado por su propia voluntad o por una decisión judicial. Concluyó que, en tales circunstancias, la pretensión divisoria solo puede decidirse una vez se resuelva lo pertinente a ese contrato (Tiempo 01:02:07 a 01:15:52, audiencia de artículo 409, </w:t>
      </w:r>
      <w:proofErr w:type="spellStart"/>
      <w:r w:rsidRPr="00B12072">
        <w:rPr>
          <w:rFonts w:ascii="Georgia" w:hAnsi="Georgia" w:cs="Arial"/>
          <w:sz w:val="24"/>
          <w:szCs w:val="24"/>
        </w:rPr>
        <w:t>CGP</w:t>
      </w:r>
      <w:proofErr w:type="spellEnd"/>
      <w:r w:rsidRPr="00B12072">
        <w:rPr>
          <w:rFonts w:ascii="Georgia" w:hAnsi="Georgia" w:cs="Arial"/>
          <w:sz w:val="24"/>
          <w:szCs w:val="24"/>
          <w:lang w:val="es-CO"/>
        </w:rPr>
        <w:t xml:space="preserve">, folios 143-146, </w:t>
      </w:r>
      <w:r w:rsidRPr="00B12072">
        <w:rPr>
          <w:rFonts w:ascii="Georgia" w:hAnsi="Georgia" w:cs="Arial"/>
          <w:sz w:val="24"/>
          <w:szCs w:val="24"/>
        </w:rPr>
        <w:t xml:space="preserve">cuaderno copias de primera instancia). </w:t>
      </w:r>
    </w:p>
    <w:p w:rsidR="001764BB" w:rsidRPr="00B12072" w:rsidRDefault="001764BB" w:rsidP="001764BB">
      <w:pPr>
        <w:pStyle w:val="Sinespaciado"/>
        <w:widowControl/>
        <w:autoSpaceDE/>
        <w:autoSpaceDN/>
        <w:adjustRightInd/>
        <w:spacing w:line="288" w:lineRule="auto"/>
        <w:jc w:val="both"/>
        <w:rPr>
          <w:rFonts w:ascii="Georgia" w:hAnsi="Georgia" w:cs="Arial"/>
        </w:rPr>
      </w:pPr>
    </w:p>
    <w:p w:rsidR="001764BB" w:rsidRPr="00B12072" w:rsidRDefault="001764BB" w:rsidP="001764BB">
      <w:pPr>
        <w:pStyle w:val="Sinespaciado"/>
        <w:widowControl/>
        <w:numPr>
          <w:ilvl w:val="0"/>
          <w:numId w:val="1"/>
        </w:numPr>
        <w:autoSpaceDE/>
        <w:autoSpaceDN/>
        <w:adjustRightInd/>
        <w:spacing w:line="288" w:lineRule="auto"/>
        <w:jc w:val="both"/>
        <w:rPr>
          <w:rFonts w:ascii="Georgia" w:hAnsi="Georgia" w:cs="Arial"/>
        </w:rPr>
      </w:pPr>
      <w:r w:rsidRPr="00B12072">
        <w:rPr>
          <w:rFonts w:ascii="Georgia" w:hAnsi="Georgia" w:cs="Arial"/>
        </w:rPr>
        <w:t>LA SÍNTESIS DE LA APELACIÓN</w:t>
      </w:r>
    </w:p>
    <w:p w:rsidR="001764BB" w:rsidRPr="002D240D" w:rsidRDefault="001764BB" w:rsidP="001764BB">
      <w:pPr>
        <w:spacing w:line="288" w:lineRule="auto"/>
        <w:jc w:val="both"/>
        <w:rPr>
          <w:rFonts w:ascii="Georgia" w:hAnsi="Georgia" w:cs="Arial"/>
          <w:sz w:val="24"/>
          <w:szCs w:val="24"/>
        </w:rPr>
      </w:pPr>
    </w:p>
    <w:p w:rsidR="001764BB" w:rsidRPr="002D240D" w:rsidRDefault="001764BB" w:rsidP="001764BB">
      <w:pPr>
        <w:pStyle w:val="Sinespaciado"/>
        <w:spacing w:line="288" w:lineRule="auto"/>
        <w:jc w:val="both"/>
        <w:rPr>
          <w:rFonts w:ascii="Georgia" w:hAnsi="Georgia" w:cs="Arial"/>
        </w:rPr>
      </w:pPr>
      <w:r w:rsidRPr="002D240D">
        <w:rPr>
          <w:rFonts w:ascii="Georgia" w:hAnsi="Georgia" w:cs="Arial"/>
        </w:rPr>
        <w:t xml:space="preserve">El recurrente recordó que el proceso divisorio fue instituido para que los ciudadanos no se vean sometidos a permanecer en la indivisión, y a través de él puede optarse por la partición material o por la venta en pública subasta, siendo esta última la posible en este caso. </w:t>
      </w:r>
    </w:p>
    <w:p w:rsidR="001764BB" w:rsidRPr="002D240D" w:rsidRDefault="001764BB" w:rsidP="001764BB">
      <w:pPr>
        <w:pStyle w:val="Sinespaciado"/>
        <w:spacing w:line="288" w:lineRule="auto"/>
        <w:jc w:val="both"/>
        <w:rPr>
          <w:rFonts w:ascii="Georgia" w:hAnsi="Georgia" w:cs="Arial"/>
        </w:rPr>
      </w:pPr>
    </w:p>
    <w:p w:rsidR="001764BB" w:rsidRPr="002D240D" w:rsidRDefault="001764BB" w:rsidP="001764BB">
      <w:pPr>
        <w:pStyle w:val="Sinespaciado"/>
        <w:spacing w:line="288" w:lineRule="auto"/>
        <w:jc w:val="both"/>
        <w:rPr>
          <w:rFonts w:ascii="Georgia" w:hAnsi="Georgia" w:cs="Arial"/>
        </w:rPr>
      </w:pPr>
      <w:r w:rsidRPr="002D240D">
        <w:rPr>
          <w:rFonts w:ascii="Georgia" w:hAnsi="Georgia" w:cs="Arial"/>
        </w:rPr>
        <w:t>Citó precedente de esta misma Sala Unitaria</w:t>
      </w:r>
      <w:r w:rsidRPr="002D240D">
        <w:rPr>
          <w:rFonts w:ascii="Georgia" w:hAnsi="Georgia" w:cs="Arial"/>
        </w:rPr>
        <w:footnoteReference w:id="1"/>
      </w:r>
      <w:r w:rsidRPr="002D240D">
        <w:rPr>
          <w:rFonts w:ascii="Georgia" w:hAnsi="Georgia" w:cs="Arial"/>
        </w:rPr>
        <w:t xml:space="preserve">, a partir del cual examinó la posición adoptada por el demandado, de la que infirió que nunca hubo oposición a la venta, solo se reclamó el reconocimiento de unas mejoras y un abono realizado por aquel a la actora, suscitado por el contrato de promesa de compraventa, que en otrora habían suscrito; y por ende, cumplidos como se encuentran los presupuestos para la venta, a ella debió accederse. </w:t>
      </w:r>
    </w:p>
    <w:p w:rsidR="001764BB" w:rsidRPr="002D240D" w:rsidRDefault="001764BB" w:rsidP="001764BB">
      <w:pPr>
        <w:pStyle w:val="Sinespaciado"/>
        <w:spacing w:line="288" w:lineRule="auto"/>
        <w:jc w:val="both"/>
        <w:rPr>
          <w:rFonts w:ascii="Georgia" w:hAnsi="Georgia" w:cs="Arial"/>
        </w:rPr>
      </w:pPr>
    </w:p>
    <w:p w:rsidR="001764BB" w:rsidRPr="002D240D" w:rsidRDefault="001764BB" w:rsidP="001764BB">
      <w:pPr>
        <w:spacing w:line="288" w:lineRule="auto"/>
        <w:jc w:val="both"/>
        <w:rPr>
          <w:rFonts w:ascii="Georgia" w:hAnsi="Georgia" w:cs="Arial"/>
          <w:sz w:val="24"/>
          <w:szCs w:val="24"/>
        </w:rPr>
      </w:pPr>
      <w:r w:rsidRPr="002D240D">
        <w:rPr>
          <w:rFonts w:ascii="Georgia" w:hAnsi="Georgia" w:cs="Arial"/>
          <w:sz w:val="24"/>
          <w:szCs w:val="24"/>
        </w:rPr>
        <w:t>Afirmó que la decisión reparada, es equívoca, pues rebasó las facultades oficiosas del juez, máxime cuando el citado convenio no limita el derecho a la propiedad, ni saca el bien del comercio, menos tiene estipulado pacto de indivisión. Finalmente, agregó que igual frente a ese negocio operó el mutuo disenso y explicó las razones que tiene para aseverarlo (Folios 147-155, copias cuaderno de primera instancia).</w:t>
      </w:r>
    </w:p>
    <w:p w:rsidR="001764BB" w:rsidRPr="002D240D" w:rsidRDefault="001764BB" w:rsidP="001764BB">
      <w:pPr>
        <w:spacing w:line="288" w:lineRule="auto"/>
        <w:jc w:val="both"/>
        <w:rPr>
          <w:rFonts w:ascii="Georgia" w:hAnsi="Georgia" w:cs="Arial"/>
          <w:sz w:val="24"/>
          <w:szCs w:val="24"/>
        </w:rPr>
      </w:pPr>
    </w:p>
    <w:p w:rsidR="001764BB" w:rsidRPr="00B12072" w:rsidRDefault="001764BB" w:rsidP="001764BB">
      <w:pPr>
        <w:pStyle w:val="Sinespaciado"/>
        <w:widowControl/>
        <w:numPr>
          <w:ilvl w:val="0"/>
          <w:numId w:val="1"/>
        </w:numPr>
        <w:autoSpaceDE/>
        <w:autoSpaceDN/>
        <w:adjustRightInd/>
        <w:spacing w:line="288" w:lineRule="auto"/>
        <w:jc w:val="both"/>
        <w:rPr>
          <w:rFonts w:ascii="Georgia" w:hAnsi="Georgia" w:cs="Arial"/>
          <w:smallCaps/>
        </w:rPr>
      </w:pPr>
      <w:r w:rsidRPr="00B12072">
        <w:rPr>
          <w:rFonts w:ascii="Georgia" w:hAnsi="Georgia" w:cs="Arial"/>
          <w:smallCaps/>
        </w:rPr>
        <w:t xml:space="preserve">LA POSICIÓN DE LA CONTRAPARTE </w:t>
      </w:r>
    </w:p>
    <w:p w:rsidR="001764BB" w:rsidRPr="00B12072" w:rsidRDefault="001764BB" w:rsidP="001764BB">
      <w:pPr>
        <w:pStyle w:val="Sinespaciado"/>
        <w:widowControl/>
        <w:autoSpaceDE/>
        <w:autoSpaceDN/>
        <w:adjustRightInd/>
        <w:spacing w:line="288" w:lineRule="auto"/>
        <w:jc w:val="both"/>
        <w:rPr>
          <w:rFonts w:ascii="Georgia" w:hAnsi="Georgia" w:cs="Arial"/>
        </w:rPr>
      </w:pPr>
    </w:p>
    <w:p w:rsidR="001764BB" w:rsidRPr="00B12072" w:rsidRDefault="001764BB" w:rsidP="001764BB">
      <w:pPr>
        <w:pStyle w:val="Sinespaciado"/>
        <w:widowControl/>
        <w:autoSpaceDE/>
        <w:autoSpaceDN/>
        <w:adjustRightInd/>
        <w:spacing w:line="288" w:lineRule="auto"/>
        <w:jc w:val="both"/>
        <w:rPr>
          <w:rFonts w:ascii="Georgia" w:hAnsi="Georgia" w:cs="Arial"/>
        </w:rPr>
      </w:pPr>
      <w:r w:rsidRPr="00B12072">
        <w:rPr>
          <w:rFonts w:ascii="Georgia" w:hAnsi="Georgia" w:cs="Arial"/>
        </w:rPr>
        <w:t>Reclamó la confirmación de la decisión, dado que considera que el contrato suscrito por las partes sí impide la prosperidad de la división, lo acordado es ley para las partes y sigue teniendo vigencia. Expuso que, en efecto, no se opuso a la división porque esperaba se le compensará el abono de $120.000.000, entregado a la actora. Solicitó que, de llegar a accederse a la pretensión divisoria, se reconozcan las mejoras hechas, al ser de tipología útiles</w:t>
      </w:r>
      <w:r w:rsidRPr="00B12072">
        <w:rPr>
          <w:rFonts w:ascii="Georgia" w:hAnsi="Georgia" w:cs="Arial"/>
          <w:lang w:val="es-CO"/>
        </w:rPr>
        <w:t xml:space="preserve"> </w:t>
      </w:r>
      <w:r w:rsidRPr="00B12072">
        <w:rPr>
          <w:rFonts w:ascii="Georgia" w:hAnsi="Georgia" w:cs="Arial"/>
        </w:rPr>
        <w:t>(Folios 159-160, copias cuaderno de primera instancia)</w:t>
      </w:r>
      <w:r w:rsidRPr="00B12072">
        <w:rPr>
          <w:rFonts w:ascii="Georgia" w:hAnsi="Georgia" w:cs="Arial"/>
          <w:lang w:val="es-CO"/>
        </w:rPr>
        <w:t xml:space="preserve">. </w:t>
      </w:r>
    </w:p>
    <w:p w:rsidR="001764BB" w:rsidRPr="00B12072" w:rsidRDefault="001764BB" w:rsidP="001764BB">
      <w:pPr>
        <w:pStyle w:val="Sinespaciado"/>
        <w:widowControl/>
        <w:autoSpaceDE/>
        <w:autoSpaceDN/>
        <w:adjustRightInd/>
        <w:spacing w:line="288" w:lineRule="auto"/>
        <w:jc w:val="both"/>
        <w:rPr>
          <w:rFonts w:ascii="Georgia" w:hAnsi="Georgia" w:cs="Arial"/>
        </w:rPr>
      </w:pPr>
    </w:p>
    <w:p w:rsidR="001764BB" w:rsidRPr="00B12072" w:rsidRDefault="001764BB" w:rsidP="001764BB">
      <w:pPr>
        <w:pStyle w:val="Sinespaciado"/>
        <w:numPr>
          <w:ilvl w:val="0"/>
          <w:numId w:val="1"/>
        </w:numPr>
        <w:spacing w:line="288" w:lineRule="auto"/>
        <w:jc w:val="both"/>
        <w:rPr>
          <w:rFonts w:ascii="Georgia" w:hAnsi="Georgia" w:cs="Arial"/>
        </w:rPr>
      </w:pPr>
      <w:r w:rsidRPr="00B12072">
        <w:rPr>
          <w:rFonts w:ascii="Georgia" w:hAnsi="Georgia" w:cs="Arial"/>
        </w:rPr>
        <w:t>LAS ESTIMACIONES JURÍDICAS PARA DECIDIR</w:t>
      </w:r>
    </w:p>
    <w:p w:rsidR="001764BB" w:rsidRPr="00B12072" w:rsidRDefault="001764BB" w:rsidP="001764BB">
      <w:pPr>
        <w:pStyle w:val="Sinespaciado"/>
        <w:spacing w:line="288" w:lineRule="auto"/>
        <w:jc w:val="both"/>
        <w:rPr>
          <w:rFonts w:ascii="Georgia" w:hAnsi="Georgia" w:cs="Arial"/>
        </w:rPr>
      </w:pPr>
    </w:p>
    <w:p w:rsidR="001764BB" w:rsidRPr="00B12072" w:rsidRDefault="001764BB" w:rsidP="001764BB">
      <w:pPr>
        <w:pStyle w:val="Prrafodelista"/>
        <w:numPr>
          <w:ilvl w:val="0"/>
          <w:numId w:val="3"/>
        </w:numPr>
        <w:overflowPunct w:val="0"/>
        <w:autoSpaceDE w:val="0"/>
        <w:autoSpaceDN w:val="0"/>
        <w:adjustRightInd w:val="0"/>
        <w:spacing w:line="288" w:lineRule="auto"/>
        <w:jc w:val="both"/>
        <w:textAlignment w:val="baseline"/>
        <w:rPr>
          <w:rFonts w:ascii="Georgia" w:hAnsi="Georgia" w:cs="Arial"/>
          <w:smallCaps/>
          <w:vanish/>
          <w:sz w:val="24"/>
          <w:szCs w:val="24"/>
        </w:rPr>
      </w:pPr>
    </w:p>
    <w:p w:rsidR="001764BB" w:rsidRPr="00B12072" w:rsidRDefault="001764BB" w:rsidP="001764BB">
      <w:pPr>
        <w:pStyle w:val="Prrafodelista"/>
        <w:numPr>
          <w:ilvl w:val="0"/>
          <w:numId w:val="3"/>
        </w:numPr>
        <w:overflowPunct w:val="0"/>
        <w:autoSpaceDE w:val="0"/>
        <w:autoSpaceDN w:val="0"/>
        <w:adjustRightInd w:val="0"/>
        <w:spacing w:line="288" w:lineRule="auto"/>
        <w:jc w:val="both"/>
        <w:textAlignment w:val="baseline"/>
        <w:rPr>
          <w:rFonts w:ascii="Georgia" w:hAnsi="Georgia" w:cs="Arial"/>
          <w:smallCaps/>
          <w:vanish/>
          <w:sz w:val="24"/>
          <w:szCs w:val="24"/>
        </w:rPr>
      </w:pPr>
    </w:p>
    <w:p w:rsidR="001764BB" w:rsidRPr="00B12072" w:rsidRDefault="001764BB" w:rsidP="001764BB">
      <w:pPr>
        <w:pStyle w:val="Textopredeterminado"/>
        <w:numPr>
          <w:ilvl w:val="1"/>
          <w:numId w:val="3"/>
        </w:numPr>
        <w:spacing w:line="288" w:lineRule="auto"/>
        <w:jc w:val="both"/>
        <w:textAlignment w:val="baseline"/>
        <w:rPr>
          <w:rFonts w:ascii="Georgia" w:hAnsi="Georgia" w:cs="Arial"/>
          <w:szCs w:val="24"/>
          <w:lang w:val="es-MX"/>
        </w:rPr>
      </w:pPr>
      <w:r w:rsidRPr="00B12072">
        <w:rPr>
          <w:rFonts w:ascii="Georgia" w:hAnsi="Georgia" w:cs="Arial"/>
          <w:smallCaps/>
          <w:color w:val="auto"/>
          <w:szCs w:val="24"/>
        </w:rPr>
        <w:t>La competencia funcional</w:t>
      </w:r>
      <w:r w:rsidRPr="00B12072">
        <w:rPr>
          <w:rFonts w:ascii="Georgia" w:hAnsi="Georgia" w:cs="Arial"/>
          <w:color w:val="auto"/>
          <w:szCs w:val="24"/>
        </w:rPr>
        <w:t xml:space="preserve">. </w:t>
      </w:r>
      <w:r w:rsidRPr="00B12072">
        <w:rPr>
          <w:rFonts w:ascii="Georgia" w:hAnsi="Georgia" w:cs="Arial"/>
          <w:szCs w:val="24"/>
        </w:rPr>
        <w:t xml:space="preserve">La facultad jurídica para resolver esta controversia radica en esta Colegiatura por el factor funcional (Artículos 31-1º y 35, </w:t>
      </w:r>
      <w:proofErr w:type="spellStart"/>
      <w:r w:rsidRPr="00B12072">
        <w:rPr>
          <w:rFonts w:ascii="Georgia" w:hAnsi="Georgia" w:cs="Arial"/>
          <w:szCs w:val="24"/>
        </w:rPr>
        <w:t>CGP</w:t>
      </w:r>
      <w:proofErr w:type="spellEnd"/>
      <w:r w:rsidRPr="00B12072">
        <w:rPr>
          <w:rFonts w:ascii="Georgia" w:hAnsi="Georgia" w:cs="Arial"/>
          <w:szCs w:val="24"/>
        </w:rPr>
        <w:t xml:space="preserve">), dada su condición de </w:t>
      </w:r>
      <w:r w:rsidRPr="00B12072">
        <w:rPr>
          <w:rFonts w:ascii="Georgia" w:hAnsi="Georgia" w:cs="Arial"/>
          <w:szCs w:val="24"/>
          <w:lang w:val="es-MX"/>
        </w:rPr>
        <w:t>superiora jerárquica del Juzgado</w:t>
      </w:r>
      <w:r w:rsidRPr="00B12072">
        <w:rPr>
          <w:rFonts w:ascii="Georgia" w:hAnsi="Georgia" w:cs="Arial"/>
          <w:szCs w:val="24"/>
        </w:rPr>
        <w:t xml:space="preserve"> </w:t>
      </w:r>
      <w:r w:rsidRPr="00B12072">
        <w:rPr>
          <w:rFonts w:ascii="Georgia" w:hAnsi="Georgia" w:cs="Arial"/>
          <w:szCs w:val="24"/>
          <w:lang w:val="es-MX"/>
        </w:rPr>
        <w:t>emisor de la decisión apelada.</w:t>
      </w:r>
    </w:p>
    <w:p w:rsidR="001764BB" w:rsidRPr="00B12072" w:rsidRDefault="001764BB" w:rsidP="001764BB">
      <w:pPr>
        <w:pStyle w:val="Sinespaciado"/>
        <w:spacing w:line="288" w:lineRule="auto"/>
        <w:jc w:val="both"/>
        <w:rPr>
          <w:rFonts w:ascii="Georgia" w:hAnsi="Georgia" w:cs="Arial"/>
        </w:rPr>
      </w:pPr>
    </w:p>
    <w:p w:rsidR="001764BB" w:rsidRDefault="001764BB" w:rsidP="001764BB">
      <w:pPr>
        <w:pStyle w:val="Textopredeterminado"/>
        <w:numPr>
          <w:ilvl w:val="1"/>
          <w:numId w:val="3"/>
        </w:numPr>
        <w:spacing w:line="288" w:lineRule="auto"/>
        <w:jc w:val="both"/>
        <w:textAlignment w:val="baseline"/>
        <w:rPr>
          <w:rFonts w:ascii="Georgia" w:hAnsi="Georgia" w:cs="Arial"/>
          <w:szCs w:val="24"/>
        </w:rPr>
      </w:pPr>
      <w:r w:rsidRPr="00B12072">
        <w:rPr>
          <w:rFonts w:ascii="Georgia" w:hAnsi="Georgia" w:cs="Arial"/>
          <w:smallCaps/>
          <w:szCs w:val="24"/>
        </w:rPr>
        <w:t xml:space="preserve">Los requisitos de viabilidad de un recurso. </w:t>
      </w:r>
      <w:r w:rsidRPr="00B12072">
        <w:rPr>
          <w:rFonts w:ascii="Georgia" w:hAnsi="Georgia" w:cs="Arial"/>
          <w:spacing w:val="-3"/>
          <w:szCs w:val="24"/>
        </w:rPr>
        <w:t>D</w:t>
      </w:r>
      <w:r w:rsidRPr="00B12072">
        <w:rPr>
          <w:rFonts w:ascii="Georgia" w:hAnsi="Georgia" w:cs="Arial"/>
          <w:szCs w:val="24"/>
        </w:rPr>
        <w:t xml:space="preserve">esde la óptica procesal, en presencia de los recursos, deben siempre concurrir los llamados presupuestos de viabilidad o trámite o </w:t>
      </w:r>
      <w:r w:rsidRPr="00B12072">
        <w:rPr>
          <w:rFonts w:ascii="Georgia" w:hAnsi="Georgia" w:cs="Arial"/>
          <w:i/>
          <w:szCs w:val="24"/>
        </w:rPr>
        <w:t>condiciones para tener la posibilidad de recurrir</w:t>
      </w:r>
      <w:r w:rsidRPr="00B12072">
        <w:rPr>
          <w:rStyle w:val="Refdenotaalpie"/>
          <w:rFonts w:ascii="Georgia" w:hAnsi="Georgia"/>
          <w:i/>
          <w:szCs w:val="24"/>
        </w:rPr>
        <w:footnoteReference w:id="2"/>
      </w:r>
      <w:r w:rsidRPr="00B12072">
        <w:rPr>
          <w:rFonts w:ascii="Georgia" w:hAnsi="Georgia" w:cs="Arial"/>
          <w:szCs w:val="24"/>
        </w:rPr>
        <w:t>, al decir de la doctrina procesal nacional</w:t>
      </w:r>
      <w:r w:rsidRPr="00B12072">
        <w:rPr>
          <w:rFonts w:ascii="Georgia" w:hAnsi="Georgia" w:cs="Arial"/>
          <w:szCs w:val="24"/>
          <w:vertAlign w:val="superscript"/>
        </w:rPr>
        <w:footnoteReference w:id="3"/>
      </w:r>
      <w:r w:rsidRPr="00B12072">
        <w:rPr>
          <w:rFonts w:ascii="Georgia" w:hAnsi="Georgia" w:cs="Arial"/>
          <w:szCs w:val="24"/>
          <w:vertAlign w:val="superscript"/>
        </w:rPr>
        <w:t>-</w:t>
      </w:r>
      <w:r w:rsidRPr="00B12072">
        <w:rPr>
          <w:rFonts w:ascii="Georgia" w:hAnsi="Georgia" w:cs="Arial"/>
          <w:szCs w:val="24"/>
          <w:vertAlign w:val="superscript"/>
        </w:rPr>
        <w:footnoteReference w:id="4"/>
      </w:r>
      <w:r w:rsidRPr="00B12072">
        <w:rPr>
          <w:rFonts w:ascii="Georgia" w:hAnsi="Georgia" w:cs="Arial"/>
          <w:szCs w:val="24"/>
        </w:rPr>
        <w:t>, a efectos de examinar el tema de apelación.</w:t>
      </w:r>
    </w:p>
    <w:p w:rsidR="00A8155F" w:rsidRPr="00B12072" w:rsidRDefault="00A8155F" w:rsidP="00A8155F">
      <w:pPr>
        <w:pStyle w:val="Textopredeterminado"/>
        <w:spacing w:line="288" w:lineRule="auto"/>
        <w:jc w:val="both"/>
        <w:textAlignment w:val="baseline"/>
        <w:rPr>
          <w:rFonts w:ascii="Georgia" w:hAnsi="Georgia" w:cs="Arial"/>
          <w:szCs w:val="24"/>
        </w:rPr>
      </w:pPr>
    </w:p>
    <w:p w:rsidR="001764BB" w:rsidRPr="00B12072" w:rsidRDefault="001764BB" w:rsidP="001764BB">
      <w:pPr>
        <w:pStyle w:val="Sinespaciado"/>
        <w:spacing w:line="288" w:lineRule="auto"/>
        <w:ind w:left="567"/>
        <w:jc w:val="both"/>
        <w:rPr>
          <w:rFonts w:ascii="Georgia" w:hAnsi="Georgia" w:cs="Arial"/>
        </w:rPr>
      </w:pPr>
      <w:r w:rsidRPr="00B12072">
        <w:rPr>
          <w:rFonts w:ascii="Georgia" w:hAnsi="Georgia" w:cs="Arial"/>
        </w:rPr>
        <w:t>Se dice que los aludidos presupuestos son una serie de exigencias normativas formales que permiten su trámite y aseguran su decisión.  Así lo anota el profesor López B.: “</w:t>
      </w:r>
      <w:r w:rsidRPr="00B12072">
        <w:rPr>
          <w:rFonts w:ascii="Georgia" w:hAnsi="Georgia" w:cs="Arial"/>
          <w:i/>
        </w:rPr>
        <w:t>En todo caso sin estar reunidos los requisitos de viabilidad del recurso jamás se podrá tener éxito en el mismo por constituir un precedente necesario para decidirlo.</w:t>
      </w:r>
      <w:r w:rsidRPr="00B12072">
        <w:rPr>
          <w:rFonts w:ascii="Georgia" w:hAnsi="Georgia" w:cs="Arial"/>
        </w:rPr>
        <w:t>”</w:t>
      </w:r>
      <w:r w:rsidRPr="00B12072">
        <w:rPr>
          <w:rFonts w:ascii="Georgia" w:hAnsi="Georgia" w:cs="Arial"/>
          <w:vertAlign w:val="superscript"/>
        </w:rPr>
        <w:footnoteReference w:id="5"/>
      </w:r>
      <w:r w:rsidRPr="00B12072">
        <w:rPr>
          <w:rFonts w:ascii="Georgia" w:hAnsi="Georgia" w:cs="Arial"/>
        </w:rPr>
        <w:t>.  Y lo explica el profesor Rojas G. en su obra: “</w:t>
      </w:r>
      <w:r w:rsidRPr="00B12072">
        <w:rPr>
          <w:rFonts w:ascii="Georgia" w:hAnsi="Georgia" w:cs="Arial"/>
          <w:i/>
        </w:rPr>
        <w:t>(…) para que la impugnación pueda ser tramitada hasta establecer si debe prosperar han de cumplirse unos precisos requisitos.  En ausencia de ellos no debe dársele curso a la impugnación, o el trámite queda trunco, si ya se inició.</w:t>
      </w:r>
      <w:r w:rsidRPr="00B12072">
        <w:rPr>
          <w:rFonts w:ascii="Georgia" w:hAnsi="Georgia" w:cs="Arial"/>
        </w:rPr>
        <w:t>”</w:t>
      </w:r>
      <w:r w:rsidRPr="00B12072">
        <w:rPr>
          <w:rStyle w:val="Refdenotaalpie"/>
          <w:rFonts w:ascii="Georgia" w:hAnsi="Georgia" w:cs="Arial"/>
        </w:rPr>
        <w:t xml:space="preserve"> </w:t>
      </w:r>
      <w:r w:rsidRPr="00B12072">
        <w:rPr>
          <w:rStyle w:val="Refdenotaalpie"/>
          <w:rFonts w:ascii="Georgia" w:hAnsi="Georgia" w:cs="Arial"/>
        </w:rPr>
        <w:footnoteReference w:id="6"/>
      </w:r>
      <w:r w:rsidRPr="00B12072">
        <w:rPr>
          <w:rFonts w:ascii="Georgia" w:hAnsi="Georgia" w:cs="Arial"/>
        </w:rPr>
        <w:t>.</w:t>
      </w:r>
    </w:p>
    <w:p w:rsidR="001764BB" w:rsidRPr="00B12072" w:rsidRDefault="001764BB" w:rsidP="001764BB">
      <w:pPr>
        <w:pStyle w:val="Sinespaciado"/>
        <w:spacing w:line="288" w:lineRule="auto"/>
        <w:jc w:val="both"/>
        <w:rPr>
          <w:rFonts w:ascii="Georgia" w:hAnsi="Georgia" w:cs="Arial"/>
        </w:rPr>
      </w:pPr>
    </w:p>
    <w:p w:rsidR="001764BB" w:rsidRPr="00B12072" w:rsidRDefault="001764BB" w:rsidP="001764BB">
      <w:pPr>
        <w:pStyle w:val="Sinespaciado"/>
        <w:spacing w:line="288" w:lineRule="auto"/>
        <w:ind w:left="567"/>
        <w:jc w:val="both"/>
        <w:rPr>
          <w:rFonts w:ascii="Georgia" w:hAnsi="Georgia" w:cs="Arial"/>
          <w:i/>
          <w:color w:val="2D2D2D"/>
          <w:shd w:val="clear" w:color="auto" w:fill="FFFFFF"/>
        </w:rPr>
      </w:pPr>
      <w:r w:rsidRPr="00B12072">
        <w:rPr>
          <w:rFonts w:ascii="Georgia" w:hAnsi="Georgia" w:cs="Arial"/>
        </w:rPr>
        <w:t>Los mencionados requisitos son concurrentes y necesarios, ausente uno se malogra el estudio de la impugnación. La misma CSJ así lo ha enseñado: “</w:t>
      </w:r>
      <w:r w:rsidRPr="00B12072">
        <w:rPr>
          <w:rFonts w:ascii="Georgia" w:hAnsi="Georgia" w:cs="Arial"/>
          <w:i/>
        </w:rPr>
        <w:t xml:space="preserve">(…) al recibir el expediente, dentro del examen preliminar que le corresponde hacer (C. de </w:t>
      </w:r>
      <w:proofErr w:type="spellStart"/>
      <w:r w:rsidRPr="00B12072">
        <w:rPr>
          <w:rFonts w:ascii="Georgia" w:hAnsi="Georgia" w:cs="Arial"/>
          <w:i/>
        </w:rPr>
        <w:t>P.C</w:t>
      </w:r>
      <w:proofErr w:type="spellEnd"/>
      <w:r w:rsidRPr="00B12072">
        <w:rPr>
          <w:rFonts w:ascii="Georgia" w:hAnsi="Georgia" w:cs="Arial"/>
          <w:i/>
        </w:rPr>
        <w:t xml:space="preserve">., </w:t>
      </w:r>
      <w:proofErr w:type="spellStart"/>
      <w:r w:rsidRPr="00B12072">
        <w:rPr>
          <w:rFonts w:ascii="Georgia" w:hAnsi="Georgia" w:cs="Arial"/>
          <w:i/>
        </w:rPr>
        <w:t>art.358</w:t>
      </w:r>
      <w:proofErr w:type="spellEnd"/>
      <w:r w:rsidRPr="00B12072">
        <w:rPr>
          <w:rFonts w:ascii="Georgia" w:hAnsi="Georgia" w:cs="Arial"/>
          <w:i/>
        </w:rPr>
        <w:t>),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B12072">
        <w:rPr>
          <w:rFonts w:ascii="Georgia" w:hAnsi="Georgia" w:cs="Arial"/>
        </w:rPr>
        <w:t>”</w:t>
      </w:r>
      <w:r w:rsidRPr="00B12072">
        <w:rPr>
          <w:rStyle w:val="Refdenotaalpie"/>
          <w:rFonts w:ascii="Georgia" w:hAnsi="Georgia"/>
        </w:rPr>
        <w:footnoteReference w:id="7"/>
      </w:r>
      <w:r w:rsidRPr="00B12072">
        <w:rPr>
          <w:rFonts w:ascii="Georgia" w:hAnsi="Georgia" w:cs="Arial"/>
        </w:rPr>
        <w:t>. Y en decisión más próxima (2017)</w:t>
      </w:r>
      <w:r w:rsidRPr="00B12072">
        <w:rPr>
          <w:rStyle w:val="Refdenotaalpie"/>
          <w:rFonts w:ascii="Georgia" w:hAnsi="Georgia"/>
        </w:rPr>
        <w:footnoteReference w:id="8"/>
      </w:r>
      <w:r w:rsidRPr="00B12072">
        <w:rPr>
          <w:rFonts w:ascii="Georgia" w:hAnsi="Georgia" w:cs="Arial"/>
        </w:rPr>
        <w:t xml:space="preserve"> recordó: “(…) </w:t>
      </w:r>
      <w:r w:rsidRPr="00B12072">
        <w:rPr>
          <w:rFonts w:ascii="Georgia" w:hAnsi="Georgia" w:cs="Arial"/>
          <w:i/>
          <w:spacing w:val="-4"/>
        </w:rPr>
        <w:t xml:space="preserve">Por supuesto que, era facultad del superior realizar el análisis preliminar para la «admisión» de la alzada, y conforme a la regla cuarta del canon 325 del </w:t>
      </w:r>
      <w:proofErr w:type="spellStart"/>
      <w:r w:rsidRPr="00B12072">
        <w:rPr>
          <w:rFonts w:ascii="Georgia" w:hAnsi="Georgia" w:cs="Arial"/>
          <w:i/>
          <w:spacing w:val="-4"/>
        </w:rPr>
        <w:t>C.G.P</w:t>
      </w:r>
      <w:proofErr w:type="spellEnd"/>
      <w:r w:rsidRPr="00B12072">
        <w:rPr>
          <w:rFonts w:ascii="Georgia" w:hAnsi="Georgia" w:cs="Arial"/>
          <w:i/>
          <w:spacing w:val="-4"/>
        </w:rPr>
        <w:t>.</w:t>
      </w:r>
      <w:r w:rsidRPr="00B12072">
        <w:rPr>
          <w:rFonts w:ascii="Georgia" w:hAnsi="Georgia" w:cs="Arial"/>
          <w:spacing w:val="-4"/>
        </w:rPr>
        <w:t xml:space="preserve"> </w:t>
      </w:r>
      <w:r w:rsidRPr="00B12072">
        <w:rPr>
          <w:rFonts w:ascii="Georgia" w:hAnsi="Georgia" w:cs="Arial"/>
          <w:i/>
          <w:color w:val="2D2D2D"/>
          <w:shd w:val="clear" w:color="auto" w:fill="FFFFFF"/>
        </w:rPr>
        <w:t xml:space="preserve"> (…)”.</w:t>
      </w:r>
    </w:p>
    <w:p w:rsidR="001764BB" w:rsidRPr="00B12072" w:rsidRDefault="001764BB" w:rsidP="001764BB">
      <w:pPr>
        <w:pStyle w:val="Sinespaciado"/>
        <w:spacing w:line="288" w:lineRule="auto"/>
        <w:ind w:left="567"/>
        <w:jc w:val="both"/>
        <w:rPr>
          <w:rFonts w:ascii="Georgia" w:hAnsi="Georgia"/>
          <w:i/>
          <w:color w:val="2D2D2D"/>
          <w:shd w:val="clear" w:color="auto" w:fill="FFFFFF"/>
        </w:rPr>
      </w:pPr>
    </w:p>
    <w:p w:rsidR="001764BB" w:rsidRPr="00B12072" w:rsidRDefault="001764BB" w:rsidP="001764BB">
      <w:pPr>
        <w:pStyle w:val="Sinespaciado"/>
        <w:spacing w:line="288" w:lineRule="auto"/>
        <w:ind w:left="567"/>
        <w:jc w:val="both"/>
        <w:rPr>
          <w:rFonts w:ascii="Georgia" w:hAnsi="Georgia" w:cs="Arial"/>
        </w:rPr>
      </w:pPr>
      <w:r w:rsidRPr="00B12072">
        <w:rPr>
          <w:rFonts w:ascii="Georgia" w:hAnsi="Georgia" w:cs="Arial"/>
        </w:rPr>
        <w:t>Esos supuestos son legitimación, oportunidad, procedencia y cargas procesales (Sustentación, expedición de copias, etc.), es necesario precisar desde ya que, los tres primeros implican la inadmisibilidad del recurso mientras que, el cuarto, provoca la deserción del mismo, tal como lo acota la doctrina patria</w:t>
      </w:r>
      <w:r w:rsidRPr="00B12072">
        <w:rPr>
          <w:rStyle w:val="Refdenotaalpie"/>
          <w:rFonts w:ascii="Georgia" w:hAnsi="Georgia"/>
        </w:rPr>
        <w:footnoteReference w:id="9"/>
      </w:r>
      <w:r w:rsidRPr="00B12072">
        <w:rPr>
          <w:rFonts w:ascii="Georgia" w:hAnsi="Georgia" w:cs="Arial"/>
          <w:vertAlign w:val="superscript"/>
        </w:rPr>
        <w:t>-</w:t>
      </w:r>
      <w:r w:rsidRPr="00B12072">
        <w:rPr>
          <w:rStyle w:val="Refdenotaalpie"/>
          <w:rFonts w:ascii="Georgia" w:hAnsi="Georgia"/>
        </w:rPr>
        <w:footnoteReference w:id="10"/>
      </w:r>
      <w:r w:rsidRPr="00B12072">
        <w:rPr>
          <w:rFonts w:ascii="Georgia" w:hAnsi="Georgia" w:cs="Arial"/>
        </w:rPr>
        <w:t xml:space="preserve">. Para este caso se encuentran cumplidos, hay legitimación en la parte que </w:t>
      </w:r>
      <w:r w:rsidRPr="00B12072">
        <w:rPr>
          <w:rFonts w:ascii="Georgia" w:hAnsi="Georgia" w:cs="Arial"/>
        </w:rPr>
        <w:lastRenderedPageBreak/>
        <w:t xml:space="preserve">recurre porque hay mengua de sus intereses con la decisión atacada, el recurso es tempestivo, la aludida providencia es susceptible de apelación (Artículo </w:t>
      </w:r>
      <w:proofErr w:type="spellStart"/>
      <w:r w:rsidRPr="00B12072">
        <w:rPr>
          <w:rFonts w:ascii="Georgia" w:hAnsi="Georgia" w:cs="Arial"/>
        </w:rPr>
        <w:t>409,CGP</w:t>
      </w:r>
      <w:proofErr w:type="spellEnd"/>
      <w:r w:rsidRPr="00B12072">
        <w:rPr>
          <w:rFonts w:ascii="Georgia" w:hAnsi="Georgia" w:cs="Arial"/>
        </w:rPr>
        <w:t>) y está cumplida la carga procesal de la sustentación (Artículo 322-3º, ibídem).</w:t>
      </w:r>
    </w:p>
    <w:p w:rsidR="001764BB" w:rsidRPr="00B12072" w:rsidRDefault="001764BB" w:rsidP="001764BB">
      <w:pPr>
        <w:pStyle w:val="Sinespaciado"/>
        <w:spacing w:line="288" w:lineRule="auto"/>
        <w:jc w:val="both"/>
        <w:rPr>
          <w:rFonts w:ascii="Georgia" w:hAnsi="Georgia" w:cs="Arial"/>
        </w:rPr>
      </w:pPr>
    </w:p>
    <w:p w:rsidR="001764BB" w:rsidRPr="00B12072" w:rsidRDefault="001764BB" w:rsidP="001764BB">
      <w:pPr>
        <w:pStyle w:val="Textopredeterminado"/>
        <w:numPr>
          <w:ilvl w:val="1"/>
          <w:numId w:val="3"/>
        </w:numPr>
        <w:spacing w:line="288" w:lineRule="auto"/>
        <w:jc w:val="both"/>
        <w:textAlignment w:val="baseline"/>
        <w:rPr>
          <w:rFonts w:ascii="Georgia" w:hAnsi="Georgia" w:cs="Arial"/>
          <w:szCs w:val="24"/>
        </w:rPr>
      </w:pPr>
      <w:r w:rsidRPr="00B12072">
        <w:rPr>
          <w:rFonts w:ascii="Georgia" w:hAnsi="Georgia" w:cs="Arial"/>
          <w:smallCaps/>
          <w:szCs w:val="24"/>
          <w:lang w:val="es-CO"/>
        </w:rPr>
        <w:t>El problema jurídico para resolver</w:t>
      </w:r>
      <w:r w:rsidRPr="00B12072">
        <w:rPr>
          <w:rFonts w:ascii="Georgia" w:hAnsi="Georgia" w:cs="Arial"/>
          <w:szCs w:val="24"/>
          <w:lang w:val="es-CO"/>
        </w:rPr>
        <w:t xml:space="preserve">. </w:t>
      </w:r>
      <w:r w:rsidRPr="00B12072">
        <w:rPr>
          <w:rFonts w:ascii="Georgia" w:hAnsi="Georgia" w:cs="Arial"/>
          <w:szCs w:val="24"/>
        </w:rPr>
        <w:t xml:space="preserve">¿Debe modificarse, confirmarse o revocarse el auto del </w:t>
      </w:r>
      <w:r w:rsidRPr="00B12072">
        <w:rPr>
          <w:rFonts w:ascii="Georgia" w:hAnsi="Georgia" w:cs="Arial"/>
          <w:szCs w:val="24"/>
          <w:lang w:val="es-MX"/>
        </w:rPr>
        <w:t>Juzgado Segundo Civil del Circuito de Pereira, Risaralda</w:t>
      </w:r>
      <w:r w:rsidRPr="00B12072">
        <w:rPr>
          <w:rFonts w:ascii="Georgia" w:hAnsi="Georgia" w:cs="Arial"/>
          <w:szCs w:val="24"/>
        </w:rPr>
        <w:t>, que denegó la división por venta en pública subasta del predio, según lo argüido por la parte actora?</w:t>
      </w:r>
    </w:p>
    <w:p w:rsidR="001764BB" w:rsidRPr="00B12072" w:rsidRDefault="001764BB" w:rsidP="001764BB">
      <w:pPr>
        <w:pStyle w:val="Sinespaciado"/>
        <w:spacing w:line="288" w:lineRule="auto"/>
        <w:jc w:val="both"/>
        <w:rPr>
          <w:rFonts w:ascii="Georgia" w:hAnsi="Georgia" w:cs="Arial"/>
        </w:rPr>
      </w:pPr>
    </w:p>
    <w:p w:rsidR="001764BB" w:rsidRPr="00B12072" w:rsidRDefault="001764BB" w:rsidP="001764BB">
      <w:pPr>
        <w:pStyle w:val="Sinespaciado"/>
        <w:numPr>
          <w:ilvl w:val="0"/>
          <w:numId w:val="1"/>
        </w:numPr>
        <w:spacing w:line="288" w:lineRule="auto"/>
        <w:jc w:val="both"/>
        <w:rPr>
          <w:rFonts w:ascii="Georgia" w:hAnsi="Georgia" w:cs="Arial"/>
          <w:smallCaps/>
        </w:rPr>
      </w:pPr>
      <w:r w:rsidRPr="00B12072">
        <w:rPr>
          <w:rFonts w:ascii="Georgia" w:hAnsi="Georgia" w:cs="Arial"/>
          <w:smallCaps/>
        </w:rPr>
        <w:t>LA RESOLUCIÓN DEL PROBLEMA JURÍDICO</w:t>
      </w:r>
    </w:p>
    <w:p w:rsidR="001764BB" w:rsidRPr="00B12072" w:rsidRDefault="001764BB" w:rsidP="001764BB">
      <w:pPr>
        <w:pStyle w:val="Textopredeterminado"/>
        <w:spacing w:line="288" w:lineRule="auto"/>
        <w:ind w:left="360"/>
        <w:jc w:val="both"/>
        <w:rPr>
          <w:rFonts w:ascii="Georgia" w:hAnsi="Georgia" w:cs="Arial"/>
          <w:color w:val="auto"/>
          <w:szCs w:val="24"/>
        </w:rPr>
      </w:pPr>
    </w:p>
    <w:p w:rsidR="001764BB" w:rsidRPr="00B12072" w:rsidRDefault="001764BB" w:rsidP="001764BB">
      <w:pPr>
        <w:widowControl w:val="0"/>
        <w:overflowPunct w:val="0"/>
        <w:autoSpaceDE w:val="0"/>
        <w:autoSpaceDN w:val="0"/>
        <w:adjustRightInd w:val="0"/>
        <w:spacing w:line="288" w:lineRule="auto"/>
        <w:jc w:val="both"/>
        <w:rPr>
          <w:rFonts w:ascii="Georgia" w:hAnsi="Georgia" w:cs="Arial"/>
          <w:sz w:val="24"/>
          <w:szCs w:val="24"/>
        </w:rPr>
      </w:pPr>
      <w:r w:rsidRPr="00B12072">
        <w:rPr>
          <w:rFonts w:ascii="Georgia" w:hAnsi="Georgia" w:cs="Arial"/>
          <w:sz w:val="24"/>
          <w:szCs w:val="24"/>
        </w:rPr>
        <w:t xml:space="preserve">Delimitados por el marco argumental formulado en la alzada, en acatamiento del artículo 328, </w:t>
      </w:r>
      <w:r w:rsidRPr="00B12072">
        <w:rPr>
          <w:rFonts w:ascii="Georgia" w:hAnsi="Georgia" w:cs="Arial"/>
          <w:i/>
          <w:sz w:val="24"/>
          <w:szCs w:val="24"/>
        </w:rPr>
        <w:t>ibídem</w:t>
      </w:r>
      <w:r w:rsidRPr="00B12072">
        <w:rPr>
          <w:rFonts w:ascii="Georgia" w:hAnsi="Georgia" w:cs="Arial"/>
          <w:sz w:val="24"/>
          <w:szCs w:val="24"/>
        </w:rPr>
        <w:t>, se examinará el asunto litigioso, con desarrollo de los precisos aspectos cuestionados.</w:t>
      </w:r>
    </w:p>
    <w:p w:rsidR="001764BB" w:rsidRPr="00B12072" w:rsidRDefault="001764BB" w:rsidP="001764BB">
      <w:pPr>
        <w:pStyle w:val="Textopredeterminado"/>
        <w:spacing w:line="288" w:lineRule="auto"/>
        <w:ind w:left="360"/>
        <w:jc w:val="both"/>
        <w:rPr>
          <w:rFonts w:ascii="Georgia" w:hAnsi="Georgia" w:cs="Arial"/>
          <w:color w:val="auto"/>
          <w:szCs w:val="24"/>
        </w:rPr>
      </w:pPr>
    </w:p>
    <w:p w:rsidR="001764BB" w:rsidRPr="00B12072" w:rsidRDefault="001764BB" w:rsidP="001764BB">
      <w:pPr>
        <w:pStyle w:val="Prrafodelista"/>
        <w:numPr>
          <w:ilvl w:val="0"/>
          <w:numId w:val="2"/>
        </w:numPr>
        <w:overflowPunct w:val="0"/>
        <w:autoSpaceDE w:val="0"/>
        <w:autoSpaceDN w:val="0"/>
        <w:adjustRightInd w:val="0"/>
        <w:spacing w:line="288" w:lineRule="auto"/>
        <w:jc w:val="both"/>
        <w:textAlignment w:val="baseline"/>
        <w:rPr>
          <w:rFonts w:ascii="Georgia" w:hAnsi="Georgia" w:cs="Arial"/>
          <w:smallCaps/>
          <w:vanish/>
          <w:color w:val="000000"/>
          <w:sz w:val="24"/>
          <w:szCs w:val="24"/>
        </w:rPr>
      </w:pPr>
    </w:p>
    <w:p w:rsidR="001764BB" w:rsidRPr="00B12072" w:rsidRDefault="001764BB" w:rsidP="001764BB">
      <w:pPr>
        <w:pStyle w:val="Prrafodelista"/>
        <w:numPr>
          <w:ilvl w:val="0"/>
          <w:numId w:val="2"/>
        </w:numPr>
        <w:overflowPunct w:val="0"/>
        <w:autoSpaceDE w:val="0"/>
        <w:autoSpaceDN w:val="0"/>
        <w:adjustRightInd w:val="0"/>
        <w:spacing w:line="288" w:lineRule="auto"/>
        <w:jc w:val="both"/>
        <w:textAlignment w:val="baseline"/>
        <w:rPr>
          <w:rFonts w:ascii="Georgia" w:hAnsi="Georgia" w:cs="Arial"/>
          <w:smallCaps/>
          <w:vanish/>
          <w:color w:val="000000"/>
          <w:sz w:val="24"/>
          <w:szCs w:val="24"/>
        </w:rPr>
      </w:pPr>
    </w:p>
    <w:p w:rsidR="001764BB" w:rsidRPr="00B12072" w:rsidRDefault="001764BB" w:rsidP="001764BB">
      <w:pPr>
        <w:pStyle w:val="Prrafodelista"/>
        <w:numPr>
          <w:ilvl w:val="0"/>
          <w:numId w:val="2"/>
        </w:numPr>
        <w:overflowPunct w:val="0"/>
        <w:autoSpaceDE w:val="0"/>
        <w:autoSpaceDN w:val="0"/>
        <w:adjustRightInd w:val="0"/>
        <w:spacing w:line="288" w:lineRule="auto"/>
        <w:jc w:val="both"/>
        <w:textAlignment w:val="baseline"/>
        <w:rPr>
          <w:rFonts w:ascii="Georgia" w:hAnsi="Georgia" w:cs="Arial"/>
          <w:smallCaps/>
          <w:vanish/>
          <w:color w:val="000000"/>
          <w:sz w:val="24"/>
          <w:szCs w:val="24"/>
        </w:rPr>
      </w:pPr>
    </w:p>
    <w:p w:rsidR="001764BB" w:rsidRPr="00B12072" w:rsidRDefault="001764BB" w:rsidP="001764BB">
      <w:pPr>
        <w:pStyle w:val="Prrafodelista"/>
        <w:numPr>
          <w:ilvl w:val="0"/>
          <w:numId w:val="2"/>
        </w:numPr>
        <w:overflowPunct w:val="0"/>
        <w:autoSpaceDE w:val="0"/>
        <w:autoSpaceDN w:val="0"/>
        <w:adjustRightInd w:val="0"/>
        <w:spacing w:line="288" w:lineRule="auto"/>
        <w:jc w:val="both"/>
        <w:textAlignment w:val="baseline"/>
        <w:rPr>
          <w:rFonts w:ascii="Georgia" w:hAnsi="Georgia" w:cs="Arial"/>
          <w:smallCaps/>
          <w:vanish/>
          <w:color w:val="000000"/>
          <w:sz w:val="24"/>
          <w:szCs w:val="24"/>
        </w:rPr>
      </w:pPr>
    </w:p>
    <w:p w:rsidR="001764BB" w:rsidRPr="00B12072" w:rsidRDefault="001764BB" w:rsidP="001764BB">
      <w:pPr>
        <w:pStyle w:val="Prrafodelista"/>
        <w:numPr>
          <w:ilvl w:val="0"/>
          <w:numId w:val="2"/>
        </w:numPr>
        <w:overflowPunct w:val="0"/>
        <w:autoSpaceDE w:val="0"/>
        <w:autoSpaceDN w:val="0"/>
        <w:adjustRightInd w:val="0"/>
        <w:spacing w:line="288" w:lineRule="auto"/>
        <w:jc w:val="both"/>
        <w:textAlignment w:val="baseline"/>
        <w:rPr>
          <w:rFonts w:ascii="Georgia" w:hAnsi="Georgia" w:cs="Arial"/>
          <w:smallCaps/>
          <w:vanish/>
          <w:color w:val="000000"/>
          <w:sz w:val="24"/>
          <w:szCs w:val="24"/>
        </w:rPr>
      </w:pPr>
    </w:p>
    <w:p w:rsidR="001764BB" w:rsidRPr="00B12072" w:rsidRDefault="001764BB" w:rsidP="001764BB">
      <w:pPr>
        <w:pStyle w:val="Prrafodelista"/>
        <w:numPr>
          <w:ilvl w:val="0"/>
          <w:numId w:val="2"/>
        </w:numPr>
        <w:overflowPunct w:val="0"/>
        <w:autoSpaceDE w:val="0"/>
        <w:autoSpaceDN w:val="0"/>
        <w:adjustRightInd w:val="0"/>
        <w:spacing w:line="288" w:lineRule="auto"/>
        <w:jc w:val="both"/>
        <w:textAlignment w:val="baseline"/>
        <w:rPr>
          <w:rFonts w:ascii="Georgia" w:hAnsi="Georgia" w:cs="Arial"/>
          <w:smallCaps/>
          <w:vanish/>
          <w:color w:val="000000"/>
          <w:sz w:val="24"/>
          <w:szCs w:val="24"/>
        </w:rPr>
      </w:pPr>
    </w:p>
    <w:p w:rsidR="001764BB" w:rsidRPr="00B12072" w:rsidRDefault="001764BB" w:rsidP="001764BB">
      <w:pPr>
        <w:pStyle w:val="Prrafodelista"/>
        <w:numPr>
          <w:ilvl w:val="1"/>
          <w:numId w:val="2"/>
        </w:numPr>
        <w:overflowPunct w:val="0"/>
        <w:autoSpaceDE w:val="0"/>
        <w:autoSpaceDN w:val="0"/>
        <w:adjustRightInd w:val="0"/>
        <w:spacing w:line="288" w:lineRule="auto"/>
        <w:contextualSpacing/>
        <w:jc w:val="both"/>
        <w:textAlignment w:val="baseline"/>
        <w:rPr>
          <w:rFonts w:ascii="Georgia" w:hAnsi="Georgia" w:cs="Arial"/>
          <w:smallCaps/>
          <w:sz w:val="24"/>
          <w:szCs w:val="24"/>
        </w:rPr>
      </w:pPr>
      <w:r w:rsidRPr="00B12072">
        <w:rPr>
          <w:rFonts w:ascii="Georgia" w:hAnsi="Georgia" w:cs="Arial"/>
          <w:smallCaps/>
          <w:sz w:val="24"/>
          <w:szCs w:val="24"/>
        </w:rPr>
        <w:t xml:space="preserve">El proceso divisorio </w:t>
      </w:r>
    </w:p>
    <w:p w:rsidR="001764BB" w:rsidRPr="00B12072" w:rsidRDefault="001764BB" w:rsidP="001764BB">
      <w:pPr>
        <w:spacing w:line="288" w:lineRule="auto"/>
        <w:jc w:val="both"/>
        <w:rPr>
          <w:rFonts w:ascii="Georgia" w:hAnsi="Georgia" w:cs="Arial"/>
          <w:sz w:val="24"/>
          <w:szCs w:val="24"/>
        </w:rPr>
      </w:pPr>
    </w:p>
    <w:p w:rsidR="001764BB" w:rsidRPr="00B12072" w:rsidRDefault="001764BB" w:rsidP="001764BB">
      <w:pPr>
        <w:spacing w:line="288" w:lineRule="auto"/>
        <w:jc w:val="both"/>
        <w:rPr>
          <w:rFonts w:ascii="Georgia" w:hAnsi="Georgia" w:cs="Arial"/>
          <w:sz w:val="24"/>
          <w:szCs w:val="24"/>
        </w:rPr>
      </w:pPr>
      <w:r w:rsidRPr="00B12072">
        <w:rPr>
          <w:rFonts w:ascii="Georgia" w:hAnsi="Georgia" w:cs="Arial"/>
          <w:sz w:val="24"/>
          <w:szCs w:val="24"/>
        </w:rPr>
        <w:t>La titularidad del derecho patrimonial sobre un bien recae, en la mayoría de los casos, en cabeza de una sola persona, pero algunas veces corresponde a dos o más, lo que traduce que entre ellos existe una comunidad</w:t>
      </w:r>
      <w:r w:rsidRPr="00B12072">
        <w:rPr>
          <w:rStyle w:val="Refdenotaalpie"/>
          <w:rFonts w:ascii="Georgia" w:hAnsi="Georgia"/>
          <w:sz w:val="24"/>
          <w:szCs w:val="24"/>
        </w:rPr>
        <w:footnoteReference w:id="11"/>
      </w:r>
      <w:r w:rsidRPr="00B12072">
        <w:rPr>
          <w:rFonts w:ascii="Georgia" w:hAnsi="Georgia" w:cs="Arial"/>
          <w:sz w:val="24"/>
          <w:szCs w:val="24"/>
        </w:rPr>
        <w:t xml:space="preserve">, que bien puede haber surgido de un acto jurídico voluntario o por circunstancias ajenas al arbitrio de la persona. En cualquiera de los casos, cada comunero, tendrá un derecho relativo respecto al bien, pues hasta que no se divida es complejo identificar la cuota que le corresponde. </w:t>
      </w:r>
    </w:p>
    <w:p w:rsidR="001764BB" w:rsidRPr="00B12072" w:rsidRDefault="001764BB" w:rsidP="001764BB">
      <w:pPr>
        <w:spacing w:line="288" w:lineRule="auto"/>
        <w:jc w:val="both"/>
        <w:rPr>
          <w:rFonts w:ascii="Georgia" w:hAnsi="Georgia" w:cs="Arial"/>
          <w:sz w:val="24"/>
          <w:szCs w:val="24"/>
        </w:rPr>
      </w:pPr>
    </w:p>
    <w:p w:rsidR="001764BB" w:rsidRPr="00B12072" w:rsidRDefault="001764BB" w:rsidP="001764BB">
      <w:pPr>
        <w:spacing w:line="288" w:lineRule="auto"/>
        <w:jc w:val="both"/>
        <w:rPr>
          <w:rFonts w:ascii="Georgia" w:hAnsi="Georgia" w:cs="Arial"/>
          <w:sz w:val="24"/>
          <w:szCs w:val="24"/>
        </w:rPr>
      </w:pPr>
      <w:r w:rsidRPr="00B12072">
        <w:rPr>
          <w:rFonts w:ascii="Georgia" w:hAnsi="Georgia" w:cs="Arial"/>
          <w:sz w:val="24"/>
          <w:szCs w:val="24"/>
        </w:rPr>
        <w:t xml:space="preserve">Tal como lo apuntara el recurrente, la división puede presentarse, bien por: (i) Destrucción de la cosa; o, (ii) Consenso o desacuerdo entre comuneros, pues debe atenderse la máxima que “nadie está obligado a permanecer en indivisión” (Artículo 1374-1º, CC).  </w:t>
      </w:r>
    </w:p>
    <w:p w:rsidR="001764BB" w:rsidRPr="00B12072" w:rsidRDefault="001764BB" w:rsidP="001764BB">
      <w:pPr>
        <w:spacing w:line="288" w:lineRule="auto"/>
        <w:jc w:val="both"/>
        <w:rPr>
          <w:rFonts w:ascii="Georgia" w:hAnsi="Georgia" w:cs="Arial"/>
          <w:sz w:val="24"/>
          <w:szCs w:val="24"/>
        </w:rPr>
      </w:pPr>
    </w:p>
    <w:p w:rsidR="001764BB" w:rsidRPr="00B12072" w:rsidRDefault="001764BB" w:rsidP="001764BB">
      <w:pPr>
        <w:spacing w:line="288" w:lineRule="auto"/>
        <w:jc w:val="both"/>
        <w:rPr>
          <w:rFonts w:ascii="Georgia" w:hAnsi="Georgia" w:cs="Arial"/>
          <w:sz w:val="24"/>
          <w:szCs w:val="24"/>
        </w:rPr>
      </w:pPr>
      <w:r w:rsidRPr="00B12072">
        <w:rPr>
          <w:rFonts w:ascii="Georgia" w:hAnsi="Georgia" w:cs="Arial"/>
          <w:sz w:val="24"/>
          <w:szCs w:val="24"/>
        </w:rPr>
        <w:t xml:space="preserve">Ante esta especialidad se acude, generalmente, porque hay desacuerdo y bajo la premisa de acreditar la existencia de la comunidad, puede optarse por una partición material siempre que sea susceptible, tanto física como jurídicamente, o por la venta del bien en pública subasta. </w:t>
      </w:r>
    </w:p>
    <w:p w:rsidR="001764BB" w:rsidRPr="00B12072" w:rsidRDefault="001764BB" w:rsidP="001764BB">
      <w:pPr>
        <w:spacing w:line="288" w:lineRule="auto"/>
        <w:jc w:val="both"/>
        <w:rPr>
          <w:rFonts w:ascii="Georgia" w:hAnsi="Georgia" w:cs="Arial"/>
          <w:sz w:val="24"/>
          <w:szCs w:val="24"/>
        </w:rPr>
      </w:pPr>
    </w:p>
    <w:p w:rsidR="001764BB" w:rsidRPr="00B12072" w:rsidRDefault="001764BB" w:rsidP="001764BB">
      <w:pPr>
        <w:spacing w:line="288" w:lineRule="auto"/>
        <w:jc w:val="both"/>
        <w:rPr>
          <w:rFonts w:ascii="Georgia" w:hAnsi="Georgia" w:cs="Arial"/>
          <w:sz w:val="24"/>
          <w:szCs w:val="24"/>
        </w:rPr>
      </w:pPr>
      <w:r w:rsidRPr="00B12072">
        <w:rPr>
          <w:rFonts w:ascii="Georgia" w:hAnsi="Georgia" w:cs="Arial"/>
          <w:sz w:val="24"/>
          <w:szCs w:val="24"/>
        </w:rPr>
        <w:t xml:space="preserve">Aunque el sentido literal del artículo 409-1º, </w:t>
      </w:r>
      <w:proofErr w:type="spellStart"/>
      <w:r w:rsidRPr="00B12072">
        <w:rPr>
          <w:rFonts w:ascii="Georgia" w:hAnsi="Georgia" w:cs="Arial"/>
          <w:sz w:val="24"/>
          <w:szCs w:val="24"/>
        </w:rPr>
        <w:t>CGP</w:t>
      </w:r>
      <w:proofErr w:type="spellEnd"/>
      <w:r w:rsidRPr="00B12072">
        <w:rPr>
          <w:rFonts w:ascii="Georgia" w:hAnsi="Georgia" w:cs="Arial"/>
          <w:sz w:val="24"/>
          <w:szCs w:val="24"/>
        </w:rPr>
        <w:t>, pareciera sugerir que, indefectiblemente, si la oposición no consiste en alegar la existencia de pacto de indivisión (</w:t>
      </w:r>
      <w:r w:rsidR="00A8155F" w:rsidRPr="00B12072">
        <w:rPr>
          <w:rFonts w:ascii="Georgia" w:hAnsi="Georgia" w:cs="Arial"/>
          <w:sz w:val="24"/>
          <w:szCs w:val="24"/>
        </w:rPr>
        <w:t xml:space="preserve">cuya </w:t>
      </w:r>
      <w:r w:rsidRPr="00B12072">
        <w:rPr>
          <w:rFonts w:ascii="Georgia" w:hAnsi="Georgia" w:cs="Arial"/>
          <w:sz w:val="24"/>
          <w:szCs w:val="24"/>
        </w:rPr>
        <w:t>vigencia no puede ser superior a cinco (5) años, artículo 1374-2º, CC), el juez deberá decretar la división o la venta solicitada, según razona la doctrina patria</w:t>
      </w:r>
      <w:r w:rsidRPr="00B12072">
        <w:rPr>
          <w:rStyle w:val="Refdenotaalpie"/>
          <w:rFonts w:ascii="Georgia" w:hAnsi="Georgia"/>
          <w:sz w:val="24"/>
          <w:szCs w:val="24"/>
        </w:rPr>
        <w:footnoteReference w:id="12"/>
      </w:r>
      <w:r w:rsidRPr="00B12072">
        <w:rPr>
          <w:rFonts w:ascii="Georgia" w:hAnsi="Georgia" w:cs="Arial"/>
          <w:sz w:val="24"/>
          <w:szCs w:val="24"/>
          <w:vertAlign w:val="superscript"/>
        </w:rPr>
        <w:t>-</w:t>
      </w:r>
      <w:r w:rsidRPr="00B12072">
        <w:rPr>
          <w:rStyle w:val="Refdenotaalpie"/>
          <w:rFonts w:ascii="Georgia" w:hAnsi="Georgia"/>
          <w:sz w:val="24"/>
          <w:szCs w:val="24"/>
        </w:rPr>
        <w:footnoteReference w:id="13"/>
      </w:r>
      <w:r w:rsidRPr="00B12072">
        <w:rPr>
          <w:rFonts w:ascii="Georgia" w:hAnsi="Georgia" w:cs="Arial"/>
          <w:sz w:val="24"/>
          <w:szCs w:val="24"/>
          <w:vertAlign w:val="superscript"/>
        </w:rPr>
        <w:t>-</w:t>
      </w:r>
      <w:r w:rsidRPr="00B12072">
        <w:rPr>
          <w:rStyle w:val="Refdenotaalpie"/>
          <w:rFonts w:ascii="Georgia" w:hAnsi="Georgia"/>
          <w:sz w:val="24"/>
          <w:szCs w:val="24"/>
        </w:rPr>
        <w:footnoteReference w:id="14"/>
      </w:r>
      <w:r w:rsidRPr="00B12072">
        <w:rPr>
          <w:rFonts w:ascii="Georgia" w:hAnsi="Georgia" w:cs="Arial"/>
          <w:sz w:val="24"/>
          <w:szCs w:val="24"/>
        </w:rPr>
        <w:t>, debe considerarse que la parte pasiva, también puede: (i) Cuestionar la existencia de la comunidad; (ii) Pedir prescripción adquisitiva respecto de la cuota del demandante (Artículo 375-</w:t>
      </w:r>
      <w:proofErr w:type="spellStart"/>
      <w:r w:rsidRPr="00B12072">
        <w:rPr>
          <w:rFonts w:ascii="Georgia" w:hAnsi="Georgia" w:cs="Arial"/>
          <w:sz w:val="24"/>
          <w:szCs w:val="24"/>
        </w:rPr>
        <w:t>3º,CGP</w:t>
      </w:r>
      <w:proofErr w:type="spellEnd"/>
      <w:r w:rsidRPr="00B12072">
        <w:rPr>
          <w:rFonts w:ascii="Georgia" w:hAnsi="Georgia" w:cs="Arial"/>
          <w:sz w:val="24"/>
          <w:szCs w:val="24"/>
        </w:rPr>
        <w:t xml:space="preserve">); (iii) Invocar existencia de una comunidad </w:t>
      </w:r>
      <w:r w:rsidRPr="00B12072">
        <w:rPr>
          <w:rFonts w:ascii="Georgia" w:hAnsi="Georgia" w:cs="Arial"/>
          <w:sz w:val="24"/>
          <w:szCs w:val="24"/>
        </w:rPr>
        <w:lastRenderedPageBreak/>
        <w:t>forzosa</w:t>
      </w:r>
      <w:r w:rsidRPr="00B12072">
        <w:rPr>
          <w:rStyle w:val="Refdenotaalpie"/>
          <w:rFonts w:ascii="Georgia" w:hAnsi="Georgia"/>
          <w:sz w:val="24"/>
          <w:szCs w:val="24"/>
        </w:rPr>
        <w:footnoteReference w:id="15"/>
      </w:r>
      <w:r w:rsidRPr="00B12072">
        <w:rPr>
          <w:rFonts w:ascii="Georgia" w:hAnsi="Georgia" w:cs="Arial"/>
          <w:sz w:val="24"/>
          <w:szCs w:val="24"/>
        </w:rPr>
        <w:t>; o, (v) Plantear un desacuerdo con el dictamen pericial (Artículos 228 y 409-</w:t>
      </w:r>
      <w:proofErr w:type="spellStart"/>
      <w:r w:rsidRPr="00B12072">
        <w:rPr>
          <w:rFonts w:ascii="Georgia" w:hAnsi="Georgia" w:cs="Arial"/>
          <w:sz w:val="24"/>
          <w:szCs w:val="24"/>
        </w:rPr>
        <w:t>1º,CGP</w:t>
      </w:r>
      <w:proofErr w:type="spellEnd"/>
      <w:r w:rsidRPr="00B12072">
        <w:rPr>
          <w:rFonts w:ascii="Georgia" w:hAnsi="Georgia" w:cs="Arial"/>
          <w:sz w:val="24"/>
          <w:szCs w:val="24"/>
        </w:rPr>
        <w:t>)</w:t>
      </w:r>
      <w:r w:rsidRPr="00B12072">
        <w:rPr>
          <w:rStyle w:val="Refdenotaalpie"/>
          <w:rFonts w:ascii="Georgia" w:hAnsi="Georgia"/>
          <w:sz w:val="24"/>
          <w:szCs w:val="24"/>
        </w:rPr>
        <w:footnoteReference w:id="16"/>
      </w:r>
      <w:r w:rsidRPr="00B12072">
        <w:rPr>
          <w:rFonts w:ascii="Georgia" w:hAnsi="Georgia" w:cs="Arial"/>
          <w:sz w:val="24"/>
          <w:szCs w:val="24"/>
        </w:rPr>
        <w:t xml:space="preserve">. En cualquier caso, la carga de la prueba recae en el opositor (Artículo 167, </w:t>
      </w:r>
      <w:proofErr w:type="spellStart"/>
      <w:r w:rsidRPr="00B12072">
        <w:rPr>
          <w:rFonts w:ascii="Georgia" w:hAnsi="Georgia" w:cs="Arial"/>
          <w:sz w:val="24"/>
          <w:szCs w:val="24"/>
        </w:rPr>
        <w:t>CGP</w:t>
      </w:r>
      <w:proofErr w:type="spellEnd"/>
      <w:r w:rsidRPr="00B12072">
        <w:rPr>
          <w:rFonts w:ascii="Georgia" w:hAnsi="Georgia" w:cs="Arial"/>
          <w:sz w:val="24"/>
          <w:szCs w:val="24"/>
        </w:rPr>
        <w:t>).</w:t>
      </w:r>
    </w:p>
    <w:p w:rsidR="001764BB" w:rsidRPr="00B12072" w:rsidRDefault="001764BB" w:rsidP="001764BB">
      <w:pPr>
        <w:spacing w:line="288" w:lineRule="auto"/>
        <w:jc w:val="both"/>
        <w:rPr>
          <w:rFonts w:ascii="Georgia" w:hAnsi="Georgia" w:cs="Arial"/>
          <w:sz w:val="24"/>
          <w:szCs w:val="24"/>
        </w:rPr>
      </w:pPr>
    </w:p>
    <w:p w:rsidR="001764BB" w:rsidRPr="00B12072" w:rsidRDefault="001764BB" w:rsidP="001764BB">
      <w:pPr>
        <w:spacing w:line="288" w:lineRule="auto"/>
        <w:jc w:val="both"/>
        <w:rPr>
          <w:rFonts w:ascii="Georgia" w:hAnsi="Georgia" w:cs="Arial"/>
          <w:sz w:val="24"/>
          <w:szCs w:val="24"/>
        </w:rPr>
      </w:pPr>
      <w:r w:rsidRPr="00B12072">
        <w:rPr>
          <w:rFonts w:ascii="Georgia" w:hAnsi="Georgia" w:cs="Arial"/>
          <w:sz w:val="24"/>
          <w:szCs w:val="24"/>
        </w:rPr>
        <w:t xml:space="preserve">También podrían formularse excepciones previas (Artículo 409-2º, </w:t>
      </w:r>
      <w:proofErr w:type="spellStart"/>
      <w:r w:rsidRPr="00B12072">
        <w:rPr>
          <w:rFonts w:ascii="Georgia" w:hAnsi="Georgia" w:cs="Arial"/>
          <w:sz w:val="24"/>
          <w:szCs w:val="24"/>
        </w:rPr>
        <w:t>CGP</w:t>
      </w:r>
      <w:proofErr w:type="spellEnd"/>
      <w:r w:rsidRPr="00B12072">
        <w:rPr>
          <w:rFonts w:ascii="Georgia" w:hAnsi="Georgia" w:cs="Arial"/>
          <w:sz w:val="24"/>
          <w:szCs w:val="24"/>
        </w:rPr>
        <w:t>) o llegar a la declaratoria de cosa juzgada, según lo referencia el profesor López B.</w:t>
      </w:r>
      <w:r w:rsidRPr="00B12072">
        <w:rPr>
          <w:rStyle w:val="Refdenotaalpie"/>
          <w:rFonts w:ascii="Georgia" w:hAnsi="Georgia"/>
          <w:sz w:val="24"/>
          <w:szCs w:val="24"/>
        </w:rPr>
        <w:footnoteReference w:id="17"/>
      </w:r>
      <w:r w:rsidRPr="00B12072">
        <w:rPr>
          <w:rFonts w:ascii="Georgia" w:hAnsi="Georgia" w:cs="Arial"/>
          <w:sz w:val="24"/>
          <w:szCs w:val="24"/>
        </w:rPr>
        <w:t xml:space="preserve">. </w:t>
      </w:r>
    </w:p>
    <w:p w:rsidR="001764BB" w:rsidRPr="00B12072" w:rsidRDefault="001764BB" w:rsidP="001764BB">
      <w:pPr>
        <w:spacing w:line="288" w:lineRule="auto"/>
        <w:jc w:val="both"/>
        <w:rPr>
          <w:rFonts w:ascii="Georgia" w:hAnsi="Georgia" w:cs="Arial"/>
          <w:sz w:val="24"/>
          <w:szCs w:val="24"/>
        </w:rPr>
      </w:pPr>
    </w:p>
    <w:p w:rsidR="001764BB" w:rsidRPr="00B12072" w:rsidRDefault="001764BB" w:rsidP="001764BB">
      <w:pPr>
        <w:spacing w:line="288" w:lineRule="auto"/>
        <w:jc w:val="both"/>
        <w:rPr>
          <w:rFonts w:ascii="Georgia" w:hAnsi="Georgia" w:cs="Arial"/>
          <w:sz w:val="24"/>
          <w:szCs w:val="24"/>
        </w:rPr>
      </w:pPr>
      <w:r w:rsidRPr="00B12072">
        <w:rPr>
          <w:rFonts w:ascii="Georgia" w:hAnsi="Georgia" w:cs="Arial"/>
          <w:sz w:val="24"/>
          <w:szCs w:val="24"/>
        </w:rPr>
        <w:t>Es menester recordar que las características propias de una copropiedad son: (i) Los copropietarios no tiene un derecho exclusivo sobre el objeto común; (ii) La cuota es ideal y no se puede representar materialmente mientras exista la indivisión; (iii) Existen tantos derechos de dominio, cuantos propietarios hubiere, que pueden ser enajenados o gravados, pero nunca como parte física o material, pues la cuota es ideal; y, (iv) El uso y goce del bien únicamente puede ejercerse con el acuerdo de todos los comuneros. Según enseña el tratadista Luis G. Velásquez J</w:t>
      </w:r>
      <w:r w:rsidRPr="00B12072">
        <w:rPr>
          <w:rStyle w:val="Refdenotaalpie"/>
          <w:rFonts w:ascii="Georgia" w:hAnsi="Georgia"/>
          <w:sz w:val="24"/>
          <w:szCs w:val="24"/>
        </w:rPr>
        <w:footnoteReference w:id="18"/>
      </w:r>
      <w:r w:rsidRPr="00B12072">
        <w:rPr>
          <w:rFonts w:ascii="Georgia" w:hAnsi="Georgia" w:cs="Arial"/>
          <w:sz w:val="24"/>
          <w:szCs w:val="24"/>
        </w:rPr>
        <w:t>.</w:t>
      </w:r>
    </w:p>
    <w:p w:rsidR="001764BB" w:rsidRPr="00B12072" w:rsidRDefault="001764BB" w:rsidP="001764BB">
      <w:pPr>
        <w:spacing w:line="288" w:lineRule="auto"/>
        <w:jc w:val="both"/>
        <w:rPr>
          <w:rFonts w:ascii="Georgia" w:hAnsi="Georgia" w:cs="Arial"/>
          <w:sz w:val="24"/>
          <w:szCs w:val="24"/>
        </w:rPr>
      </w:pPr>
    </w:p>
    <w:p w:rsidR="001764BB" w:rsidRPr="00B12072" w:rsidRDefault="001764BB" w:rsidP="001764BB">
      <w:pPr>
        <w:spacing w:line="288" w:lineRule="auto"/>
        <w:jc w:val="both"/>
        <w:rPr>
          <w:rFonts w:ascii="Georgia" w:hAnsi="Georgia" w:cs="Arial"/>
          <w:sz w:val="24"/>
          <w:szCs w:val="24"/>
        </w:rPr>
      </w:pPr>
      <w:r w:rsidRPr="00B12072">
        <w:rPr>
          <w:rFonts w:ascii="Georgia" w:hAnsi="Georgia" w:cs="Arial"/>
          <w:sz w:val="24"/>
          <w:szCs w:val="24"/>
        </w:rPr>
        <w:t xml:space="preserve">Descendiendo en autos, los señores Adriana Millán Hernández y </w:t>
      </w:r>
      <w:proofErr w:type="spellStart"/>
      <w:r w:rsidRPr="00B12072">
        <w:rPr>
          <w:rFonts w:ascii="Georgia" w:hAnsi="Georgia" w:cs="Arial"/>
          <w:sz w:val="24"/>
          <w:szCs w:val="24"/>
        </w:rPr>
        <w:t>Alexánder</w:t>
      </w:r>
      <w:proofErr w:type="spellEnd"/>
      <w:r w:rsidRPr="00B12072">
        <w:rPr>
          <w:rFonts w:ascii="Georgia" w:hAnsi="Georgia" w:cs="Arial"/>
          <w:sz w:val="24"/>
          <w:szCs w:val="24"/>
        </w:rPr>
        <w:t xml:space="preserve"> Aroldo Acosta Arboleda, son copropietarios en común y pro indiviso del inmueble identificado con MI No.</w:t>
      </w:r>
      <w:r w:rsidR="00A8155F">
        <w:rPr>
          <w:rFonts w:ascii="Georgia" w:hAnsi="Georgia" w:cs="Arial"/>
          <w:sz w:val="24"/>
          <w:szCs w:val="24"/>
        </w:rPr>
        <w:t xml:space="preserve"> </w:t>
      </w:r>
      <w:r w:rsidRPr="00B12072">
        <w:rPr>
          <w:rFonts w:ascii="Georgia" w:hAnsi="Georgia" w:cs="Arial"/>
          <w:sz w:val="24"/>
          <w:szCs w:val="24"/>
        </w:rPr>
        <w:t xml:space="preserve">290-206208 (Folios 3-7, ib.), cada uno con un 43,626% y un 56%, respectivamente, ambos por compraventa que hicieron a Olivares </w:t>
      </w:r>
      <w:proofErr w:type="spellStart"/>
      <w:r w:rsidRPr="00B12072">
        <w:rPr>
          <w:rFonts w:ascii="Georgia" w:hAnsi="Georgia" w:cs="Arial"/>
          <w:sz w:val="24"/>
          <w:szCs w:val="24"/>
        </w:rPr>
        <w:t>SAS</w:t>
      </w:r>
      <w:proofErr w:type="spellEnd"/>
      <w:r w:rsidRPr="00B12072">
        <w:rPr>
          <w:rFonts w:ascii="Georgia" w:hAnsi="Georgia" w:cs="Arial"/>
          <w:sz w:val="24"/>
          <w:szCs w:val="24"/>
        </w:rPr>
        <w:t>, a través de la escritura pública No.</w:t>
      </w:r>
      <w:r w:rsidR="00A8155F">
        <w:rPr>
          <w:rFonts w:ascii="Georgia" w:hAnsi="Georgia" w:cs="Arial"/>
          <w:sz w:val="24"/>
          <w:szCs w:val="24"/>
        </w:rPr>
        <w:t xml:space="preserve"> </w:t>
      </w:r>
      <w:r w:rsidRPr="00B12072">
        <w:rPr>
          <w:rFonts w:ascii="Georgia" w:hAnsi="Georgia" w:cs="Arial"/>
          <w:sz w:val="24"/>
          <w:szCs w:val="24"/>
        </w:rPr>
        <w:t xml:space="preserve">9098 del 21-01-2016, y adjudicación en la liquidación de la sociedad patrimonial de hecho (Folios 8-12, ib.). </w:t>
      </w:r>
    </w:p>
    <w:p w:rsidR="001764BB" w:rsidRPr="00B12072" w:rsidRDefault="001764BB" w:rsidP="001764BB">
      <w:pPr>
        <w:spacing w:line="288" w:lineRule="auto"/>
        <w:jc w:val="both"/>
        <w:rPr>
          <w:rFonts w:ascii="Georgia" w:hAnsi="Georgia" w:cs="Arial"/>
          <w:sz w:val="24"/>
          <w:szCs w:val="24"/>
        </w:rPr>
      </w:pPr>
    </w:p>
    <w:p w:rsidR="001764BB" w:rsidRPr="00B12072" w:rsidRDefault="001764BB" w:rsidP="001764BB">
      <w:pPr>
        <w:widowControl w:val="0"/>
        <w:tabs>
          <w:tab w:val="left" w:pos="-720"/>
        </w:tabs>
        <w:suppressAutoHyphens/>
        <w:spacing w:line="288" w:lineRule="auto"/>
        <w:jc w:val="both"/>
        <w:rPr>
          <w:rFonts w:ascii="Georgia" w:hAnsi="Georgia" w:cs="Arial"/>
          <w:spacing w:val="-3"/>
          <w:sz w:val="24"/>
          <w:szCs w:val="24"/>
          <w:lang w:val="es-ES_tradnl"/>
        </w:rPr>
      </w:pPr>
      <w:r w:rsidRPr="00B12072">
        <w:rPr>
          <w:rFonts w:ascii="Georgia" w:hAnsi="Georgia" w:cs="Arial"/>
          <w:sz w:val="24"/>
          <w:szCs w:val="24"/>
        </w:rPr>
        <w:t xml:space="preserve">La demandante </w:t>
      </w:r>
      <w:r w:rsidRPr="00B12072">
        <w:rPr>
          <w:rFonts w:ascii="Georgia" w:hAnsi="Georgia" w:cs="Arial"/>
          <w:spacing w:val="-3"/>
          <w:sz w:val="24"/>
          <w:szCs w:val="24"/>
          <w:lang w:val="es-ES_tradnl"/>
        </w:rPr>
        <w:t xml:space="preserve">no está obligada a permanecer en la indivisión, pues es inexistente un pacto de tal naturaleza (Artículos 1374, CC y 470, </w:t>
      </w:r>
      <w:proofErr w:type="spellStart"/>
      <w:r w:rsidRPr="00B12072">
        <w:rPr>
          <w:rFonts w:ascii="Georgia" w:hAnsi="Georgia" w:cs="Arial"/>
          <w:spacing w:val="-3"/>
          <w:sz w:val="24"/>
          <w:szCs w:val="24"/>
          <w:lang w:val="es-ES_tradnl"/>
        </w:rPr>
        <w:t>CPC</w:t>
      </w:r>
      <w:proofErr w:type="spellEnd"/>
      <w:r w:rsidRPr="00B12072">
        <w:rPr>
          <w:rFonts w:ascii="Georgia" w:hAnsi="Georgia" w:cs="Arial"/>
          <w:spacing w:val="-3"/>
          <w:sz w:val="24"/>
          <w:szCs w:val="24"/>
          <w:lang w:val="es-ES_tradnl"/>
        </w:rPr>
        <w:t>) y acorde con lo informado, no ha sido posible ponerle fin a la comunidad extrajudicialmente, de allí que solicitara la venta en pública subasta. El señor Acosta Arboleda, por su parte, al contestar la demanda se opuso, parcialmente, por estar en desacuerdo con el avalúo propuesto y porque, entre los extremos, se había celebrado un contrato de promesa de compraventa, del que él ya había pagado la suma de $120.000.00; también reclamó mejoras.</w:t>
      </w:r>
    </w:p>
    <w:p w:rsidR="001764BB" w:rsidRPr="00B12072" w:rsidRDefault="001764BB" w:rsidP="001764BB">
      <w:pPr>
        <w:tabs>
          <w:tab w:val="left" w:pos="-720"/>
        </w:tabs>
        <w:suppressAutoHyphens/>
        <w:spacing w:line="288" w:lineRule="auto"/>
        <w:jc w:val="both"/>
        <w:rPr>
          <w:rFonts w:ascii="Georgia" w:hAnsi="Georgia" w:cs="Arial"/>
          <w:spacing w:val="-3"/>
          <w:sz w:val="24"/>
          <w:szCs w:val="24"/>
          <w:lang w:val="es-ES_tradnl"/>
        </w:rPr>
      </w:pPr>
    </w:p>
    <w:p w:rsidR="001764BB" w:rsidRPr="00B12072" w:rsidRDefault="001764BB" w:rsidP="001764BB">
      <w:pPr>
        <w:tabs>
          <w:tab w:val="left" w:pos="-720"/>
        </w:tabs>
        <w:suppressAutoHyphens/>
        <w:spacing w:line="288" w:lineRule="auto"/>
        <w:jc w:val="both"/>
        <w:rPr>
          <w:rFonts w:ascii="Georgia" w:hAnsi="Georgia" w:cs="Arial"/>
          <w:spacing w:val="-3"/>
          <w:sz w:val="24"/>
          <w:szCs w:val="24"/>
          <w:lang w:val="es-ES_tradnl"/>
        </w:rPr>
      </w:pPr>
      <w:r w:rsidRPr="00B12072">
        <w:rPr>
          <w:rFonts w:ascii="Georgia" w:hAnsi="Georgia" w:cs="Arial"/>
          <w:spacing w:val="-3"/>
          <w:sz w:val="24"/>
          <w:szCs w:val="24"/>
          <w:lang w:val="es-ES_tradnl"/>
        </w:rPr>
        <w:t xml:space="preserve">Como viene de verse, no se trata de una oposición a la venta, sino de la petición de reconocimiento de unos montos, por diversos conceptos, y por lo tanto, debía salir avante la aspiración de venta común del predio, sin embargo, la decisión reprochada se abstuvo de así resolverlo, porque consideró que el mencionado convenio, que es ley para las partes (Artículo 1602, CC) y que está vigente porque no ha sido invalidado, modifica las condiciones de la comunidad; pero para esta Sala, esa hipótesis se aleja de la realidad jurídica del predio. </w:t>
      </w:r>
    </w:p>
    <w:p w:rsidR="001764BB" w:rsidRPr="00B12072" w:rsidRDefault="001764BB" w:rsidP="001764BB">
      <w:pPr>
        <w:tabs>
          <w:tab w:val="left" w:pos="-720"/>
        </w:tabs>
        <w:suppressAutoHyphens/>
        <w:spacing w:line="288" w:lineRule="auto"/>
        <w:jc w:val="both"/>
        <w:rPr>
          <w:rFonts w:ascii="Georgia" w:hAnsi="Georgia" w:cs="Arial"/>
          <w:spacing w:val="-3"/>
          <w:sz w:val="24"/>
          <w:szCs w:val="24"/>
          <w:lang w:val="es-ES_tradnl"/>
        </w:rPr>
      </w:pPr>
    </w:p>
    <w:p w:rsidR="001764BB" w:rsidRPr="00B12072" w:rsidRDefault="001764BB" w:rsidP="001764BB">
      <w:pPr>
        <w:tabs>
          <w:tab w:val="left" w:pos="-720"/>
        </w:tabs>
        <w:suppressAutoHyphens/>
        <w:spacing w:line="288" w:lineRule="auto"/>
        <w:jc w:val="both"/>
        <w:rPr>
          <w:rFonts w:ascii="Georgia" w:hAnsi="Georgia"/>
          <w:sz w:val="24"/>
          <w:szCs w:val="24"/>
        </w:rPr>
      </w:pPr>
      <w:r w:rsidRPr="00B12072">
        <w:rPr>
          <w:rFonts w:ascii="Georgia" w:hAnsi="Georgia" w:cs="Arial"/>
          <w:spacing w:val="-3"/>
          <w:sz w:val="24"/>
          <w:szCs w:val="24"/>
          <w:lang w:val="es-ES_tradnl"/>
        </w:rPr>
        <w:t xml:space="preserve">Lo anterior por cuanto el contrato suscrito es una </w:t>
      </w:r>
      <w:r w:rsidRPr="00B12072">
        <w:rPr>
          <w:rFonts w:ascii="Georgia" w:hAnsi="Georgia" w:cs="Arial"/>
          <w:sz w:val="24"/>
          <w:szCs w:val="24"/>
          <w:lang w:val="es-CO"/>
        </w:rPr>
        <w:t>promesa de compraventa</w:t>
      </w:r>
      <w:r w:rsidRPr="00B12072">
        <w:rPr>
          <w:rFonts w:ascii="Georgia" w:hAnsi="Georgia" w:cs="Arial"/>
          <w:spacing w:val="-3"/>
          <w:sz w:val="24"/>
          <w:szCs w:val="24"/>
          <w:lang w:val="es-ES_tradnl"/>
        </w:rPr>
        <w:t xml:space="preserve">, </w:t>
      </w:r>
      <w:r w:rsidRPr="00B12072">
        <w:rPr>
          <w:rFonts w:ascii="Georgia" w:hAnsi="Georgia" w:cs="Arial"/>
          <w:sz w:val="24"/>
          <w:szCs w:val="24"/>
          <w:lang w:val="es-CO"/>
        </w:rPr>
        <w:t>definido por la jurisprudencia</w:t>
      </w:r>
      <w:r w:rsidRPr="00B12072">
        <w:rPr>
          <w:rStyle w:val="Refdenotaalpie"/>
          <w:rFonts w:ascii="Georgia" w:hAnsi="Georgia"/>
          <w:sz w:val="24"/>
          <w:szCs w:val="24"/>
          <w:lang w:val="es-CO"/>
        </w:rPr>
        <w:footnoteReference w:id="19"/>
      </w:r>
      <w:r w:rsidRPr="00B12072">
        <w:rPr>
          <w:rFonts w:ascii="Georgia" w:hAnsi="Georgia" w:cs="Arial"/>
          <w:sz w:val="24"/>
          <w:szCs w:val="24"/>
          <w:lang w:val="es-CO"/>
        </w:rPr>
        <w:t xml:space="preserve">, </w:t>
      </w:r>
      <w:r w:rsidRPr="00B12072">
        <w:rPr>
          <w:rFonts w:ascii="Georgia" w:hAnsi="Georgia" w:cs="Arial"/>
          <w:sz w:val="24"/>
          <w:szCs w:val="24"/>
          <w:u w:val="single"/>
          <w:lang w:val="es-CO"/>
        </w:rPr>
        <w:t>sin idoneidad para transferir derecho alguno</w:t>
      </w:r>
      <w:r w:rsidRPr="00B12072">
        <w:rPr>
          <w:rFonts w:ascii="Georgia" w:hAnsi="Georgia" w:cs="Arial"/>
          <w:sz w:val="24"/>
          <w:szCs w:val="24"/>
          <w:lang w:val="es-CO"/>
        </w:rPr>
        <w:t xml:space="preserve"> (Artículo 765, CC), en palabras de la CSJ: “</w:t>
      </w:r>
      <w:r w:rsidRPr="00B12072">
        <w:rPr>
          <w:rFonts w:ascii="Georgia" w:hAnsi="Georgia" w:cs="Arial"/>
          <w:i/>
          <w:sz w:val="24"/>
          <w:szCs w:val="24"/>
          <w:lang w:val="es-CO"/>
        </w:rPr>
        <w:t xml:space="preserve">(…) </w:t>
      </w:r>
      <w:r w:rsidRPr="00B12072">
        <w:rPr>
          <w:rFonts w:ascii="Georgia" w:hAnsi="Georgia"/>
          <w:i/>
          <w:sz w:val="24"/>
          <w:szCs w:val="24"/>
        </w:rPr>
        <w:t xml:space="preserve">la simple promesa de contrato no es un acto de enajenación, y por lo mismo su objeto es la perfección del contrato prometido que es </w:t>
      </w:r>
      <w:r w:rsidRPr="00B12072">
        <w:rPr>
          <w:rFonts w:ascii="Georgia" w:hAnsi="Georgia"/>
          <w:i/>
          <w:sz w:val="24"/>
          <w:szCs w:val="24"/>
        </w:rPr>
        <w:lastRenderedPageBreak/>
        <w:t>necesario no confundir con el objeto del contrato de venta, que es la cosa vendida (…)”</w:t>
      </w:r>
      <w:r w:rsidRPr="00B12072">
        <w:rPr>
          <w:rStyle w:val="Refdenotaalpie"/>
          <w:rFonts w:ascii="Georgia" w:hAnsi="Georgia"/>
          <w:i/>
          <w:sz w:val="24"/>
          <w:szCs w:val="24"/>
        </w:rPr>
        <w:footnoteReference w:id="20"/>
      </w:r>
      <w:r w:rsidRPr="00B12072">
        <w:rPr>
          <w:rFonts w:ascii="Georgia" w:hAnsi="Georgia"/>
          <w:i/>
          <w:sz w:val="24"/>
          <w:szCs w:val="24"/>
        </w:rPr>
        <w:t xml:space="preserve">. </w:t>
      </w:r>
      <w:r w:rsidRPr="00B12072">
        <w:rPr>
          <w:rFonts w:ascii="Georgia" w:hAnsi="Georgia"/>
          <w:sz w:val="24"/>
          <w:szCs w:val="24"/>
        </w:rPr>
        <w:t xml:space="preserve"> Y adiciona esa misma doctrina judicial</w:t>
      </w:r>
      <w:r w:rsidRPr="00B12072">
        <w:rPr>
          <w:rStyle w:val="Refdenotaalpie"/>
          <w:rFonts w:ascii="Georgia" w:hAnsi="Georgia"/>
          <w:sz w:val="24"/>
          <w:szCs w:val="24"/>
        </w:rPr>
        <w:footnoteReference w:id="21"/>
      </w:r>
      <w:r w:rsidRPr="00B12072">
        <w:rPr>
          <w:rFonts w:ascii="Georgia" w:hAnsi="Georgia"/>
          <w:sz w:val="24"/>
          <w:szCs w:val="24"/>
        </w:rPr>
        <w:t xml:space="preserve">: </w:t>
      </w:r>
    </w:p>
    <w:p w:rsidR="001764BB" w:rsidRPr="00B12072" w:rsidRDefault="001764BB" w:rsidP="001764BB">
      <w:pPr>
        <w:tabs>
          <w:tab w:val="left" w:pos="-720"/>
        </w:tabs>
        <w:suppressAutoHyphens/>
        <w:spacing w:line="288" w:lineRule="auto"/>
        <w:jc w:val="both"/>
        <w:rPr>
          <w:rFonts w:ascii="Georgia" w:hAnsi="Georgia"/>
          <w:sz w:val="24"/>
          <w:szCs w:val="24"/>
        </w:rPr>
      </w:pPr>
    </w:p>
    <w:p w:rsidR="001764BB" w:rsidRPr="00A7483A" w:rsidRDefault="001764BB" w:rsidP="00A7483A">
      <w:pPr>
        <w:pStyle w:val="Textoindependiente"/>
        <w:spacing w:line="288" w:lineRule="auto"/>
        <w:ind w:left="567" w:right="567"/>
        <w:rPr>
          <w:rFonts w:ascii="Georgia" w:hAnsi="Georgia" w:cs="Arial"/>
          <w:szCs w:val="24"/>
        </w:rPr>
      </w:pPr>
      <w:r w:rsidRPr="00A7483A">
        <w:rPr>
          <w:rFonts w:ascii="Georgia" w:hAnsi="Georgia" w:cs="Arial"/>
          <w:szCs w:val="24"/>
        </w:rPr>
        <w:t xml:space="preserve">… </w:t>
      </w:r>
      <w:r w:rsidRPr="00A7483A">
        <w:rPr>
          <w:rFonts w:ascii="Georgia" w:hAnsi="Georgia" w:cs="Arial"/>
          <w:szCs w:val="24"/>
          <w:u w:val="single"/>
        </w:rPr>
        <w:t xml:space="preserve">si lo que en casos tales se averigua es por la eventual transmisión del dominio de una cosa inmueble, no podrá fungir como justo título </w:t>
      </w:r>
      <w:r w:rsidRPr="00A7483A">
        <w:rPr>
          <w:rFonts w:ascii="Georgia" w:hAnsi="Georgia" w:cs="Arial"/>
          <w:smallCaps/>
          <w:szCs w:val="24"/>
          <w:u w:val="single"/>
        </w:rPr>
        <w:t>sino la escritura pública correspondiente</w:t>
      </w:r>
      <w:r w:rsidRPr="00A7483A">
        <w:rPr>
          <w:rFonts w:ascii="Georgia" w:hAnsi="Georgia" w:cs="Arial"/>
          <w:szCs w:val="24"/>
          <w:u w:val="single"/>
        </w:rPr>
        <w:t>, manera única para que el adquirente de buena fe pueda anidar la creencia de que el antecesor se obliga a transmitir la propiedad</w:t>
      </w:r>
      <w:r w:rsidRPr="00A7483A">
        <w:rPr>
          <w:rFonts w:ascii="Georgia" w:hAnsi="Georgia" w:cs="Arial"/>
          <w:szCs w:val="24"/>
        </w:rPr>
        <w:t xml:space="preserve">. Con criterio de contraste, no servirá a dichos propósitos un documento cualquiera, ni en línea de principio, la misma promesa de contrato; no aquél, porque un documento cualquiera no puede hacer creer, fundadamente desde luego, a nadie que es apto para transmitir el dominio en inmuebles; tampoco éste, pero ya por otra razón, porque no tiene siquiera vocación de trasladar el dominio, pues apenas es un convenio preparatorio que impone la obligación de hacer el contrato en otro tiempo. (La </w:t>
      </w:r>
      <w:proofErr w:type="spellStart"/>
      <w:r w:rsidRPr="00A7483A">
        <w:rPr>
          <w:rFonts w:ascii="Georgia" w:hAnsi="Georgia" w:cs="Arial"/>
          <w:szCs w:val="24"/>
        </w:rPr>
        <w:t>sublínea</w:t>
      </w:r>
      <w:proofErr w:type="spellEnd"/>
      <w:r w:rsidRPr="00A7483A">
        <w:rPr>
          <w:rFonts w:ascii="Georgia" w:hAnsi="Georgia" w:cs="Arial"/>
          <w:szCs w:val="24"/>
        </w:rPr>
        <w:t xml:space="preserve"> y las versalitas son ajenas al texto original).</w:t>
      </w:r>
    </w:p>
    <w:p w:rsidR="001764BB" w:rsidRPr="00B12072" w:rsidRDefault="001764BB" w:rsidP="001764BB">
      <w:pPr>
        <w:tabs>
          <w:tab w:val="left" w:pos="-720"/>
        </w:tabs>
        <w:suppressAutoHyphens/>
        <w:spacing w:line="288" w:lineRule="auto"/>
        <w:jc w:val="both"/>
        <w:rPr>
          <w:rFonts w:ascii="Georgia" w:hAnsi="Georgia"/>
          <w:sz w:val="24"/>
          <w:szCs w:val="24"/>
        </w:rPr>
      </w:pPr>
    </w:p>
    <w:p w:rsidR="001764BB" w:rsidRPr="00B12072" w:rsidRDefault="001764BB" w:rsidP="001764BB">
      <w:pPr>
        <w:tabs>
          <w:tab w:val="left" w:pos="-720"/>
        </w:tabs>
        <w:suppressAutoHyphens/>
        <w:spacing w:line="288" w:lineRule="auto"/>
        <w:jc w:val="both"/>
        <w:rPr>
          <w:rFonts w:ascii="Georgia" w:hAnsi="Georgia"/>
          <w:sz w:val="24"/>
          <w:szCs w:val="24"/>
        </w:rPr>
      </w:pPr>
      <w:r w:rsidRPr="00B12072">
        <w:rPr>
          <w:rFonts w:ascii="Georgia" w:hAnsi="Georgia"/>
          <w:sz w:val="24"/>
          <w:szCs w:val="24"/>
        </w:rPr>
        <w:t>En suma, la promesa por sí misma implica el reconocimiento de la propiedad en otra persona</w:t>
      </w:r>
      <w:r w:rsidRPr="00B12072">
        <w:rPr>
          <w:rStyle w:val="Refdenotaalpie"/>
          <w:rFonts w:ascii="Georgia" w:hAnsi="Georgia"/>
          <w:bCs/>
          <w:sz w:val="24"/>
          <w:szCs w:val="24"/>
          <w:lang w:val="es-CO"/>
        </w:rPr>
        <w:footnoteReference w:id="22"/>
      </w:r>
      <w:r w:rsidRPr="00B12072">
        <w:rPr>
          <w:rFonts w:ascii="Georgia" w:hAnsi="Georgia"/>
          <w:sz w:val="24"/>
          <w:szCs w:val="24"/>
        </w:rPr>
        <w:t xml:space="preserve">, por ende, ninguna modificación pudo causar a la comunidad que se pretende disolver en este trámite y debe accederse a la pretensión divisoria </w:t>
      </w:r>
      <w:r w:rsidRPr="00B12072">
        <w:rPr>
          <w:rFonts w:ascii="Georgia" w:hAnsi="Georgia"/>
          <w:i/>
          <w:sz w:val="24"/>
          <w:szCs w:val="24"/>
        </w:rPr>
        <w:t xml:space="preserve">ad </w:t>
      </w:r>
      <w:proofErr w:type="spellStart"/>
      <w:r w:rsidRPr="00B12072">
        <w:rPr>
          <w:rFonts w:ascii="Georgia" w:hAnsi="Georgia"/>
          <w:i/>
          <w:sz w:val="24"/>
          <w:szCs w:val="24"/>
        </w:rPr>
        <w:t>valorem</w:t>
      </w:r>
      <w:proofErr w:type="spellEnd"/>
      <w:r w:rsidRPr="00B12072">
        <w:rPr>
          <w:rFonts w:ascii="Georgia" w:hAnsi="Georgia"/>
          <w:sz w:val="24"/>
          <w:szCs w:val="24"/>
        </w:rPr>
        <w:t>.</w:t>
      </w:r>
    </w:p>
    <w:p w:rsidR="001764BB" w:rsidRPr="00B12072" w:rsidRDefault="001764BB" w:rsidP="001764BB">
      <w:pPr>
        <w:tabs>
          <w:tab w:val="left" w:pos="-720"/>
        </w:tabs>
        <w:suppressAutoHyphens/>
        <w:spacing w:line="288" w:lineRule="auto"/>
        <w:jc w:val="both"/>
        <w:rPr>
          <w:rFonts w:ascii="Georgia" w:hAnsi="Georgia" w:cs="Arial"/>
          <w:spacing w:val="-3"/>
          <w:sz w:val="24"/>
          <w:szCs w:val="24"/>
          <w:lang w:val="es-ES_tradnl"/>
        </w:rPr>
      </w:pPr>
    </w:p>
    <w:p w:rsidR="001764BB" w:rsidRPr="00B12072" w:rsidRDefault="001764BB" w:rsidP="001764BB">
      <w:pPr>
        <w:tabs>
          <w:tab w:val="left" w:pos="-720"/>
        </w:tabs>
        <w:suppressAutoHyphens/>
        <w:spacing w:line="288" w:lineRule="auto"/>
        <w:jc w:val="both"/>
        <w:rPr>
          <w:rFonts w:ascii="Georgia" w:hAnsi="Georgia" w:cs="Arial"/>
          <w:sz w:val="24"/>
          <w:szCs w:val="24"/>
        </w:rPr>
      </w:pPr>
      <w:r w:rsidRPr="00B12072">
        <w:rPr>
          <w:rFonts w:ascii="Georgia" w:hAnsi="Georgia" w:cs="Arial"/>
          <w:spacing w:val="-3"/>
          <w:sz w:val="24"/>
          <w:szCs w:val="24"/>
          <w:lang w:val="es-ES_tradnl"/>
        </w:rPr>
        <w:t xml:space="preserve">Ahora, de ninguna manera puede desconocerse que, en efecto, el demandado pagó a la demandante la suma de $120.000.000, como parte del cumplimiento de ese convenio, y esta, en su interrogatorio </w:t>
      </w:r>
      <w:r w:rsidRPr="00B12072">
        <w:rPr>
          <w:rFonts w:ascii="Georgia" w:hAnsi="Georgia" w:cs="Arial"/>
          <w:spacing w:val="-3"/>
          <w:sz w:val="24"/>
          <w:szCs w:val="24"/>
          <w:u w:val="single"/>
          <w:lang w:val="es-ES_tradnl"/>
        </w:rPr>
        <w:t>confesó</w:t>
      </w:r>
      <w:r w:rsidRPr="00B12072">
        <w:rPr>
          <w:rFonts w:ascii="Georgia" w:hAnsi="Georgia" w:cs="Arial"/>
          <w:spacing w:val="-3"/>
          <w:sz w:val="24"/>
          <w:szCs w:val="24"/>
          <w:lang w:val="es-ES_tradnl"/>
        </w:rPr>
        <w:t xml:space="preserve"> (Cumple los presupuestos del artículo 191, </w:t>
      </w:r>
      <w:proofErr w:type="spellStart"/>
      <w:r w:rsidRPr="00B12072">
        <w:rPr>
          <w:rFonts w:ascii="Georgia" w:hAnsi="Georgia" w:cs="Arial"/>
          <w:spacing w:val="-3"/>
          <w:sz w:val="24"/>
          <w:szCs w:val="24"/>
          <w:lang w:val="es-ES_tradnl"/>
        </w:rPr>
        <w:t>CGP</w:t>
      </w:r>
      <w:proofErr w:type="spellEnd"/>
      <w:r w:rsidRPr="00B12072">
        <w:rPr>
          <w:rFonts w:ascii="Georgia" w:hAnsi="Georgia" w:cs="Arial"/>
          <w:spacing w:val="-3"/>
          <w:sz w:val="24"/>
          <w:szCs w:val="24"/>
          <w:lang w:val="es-ES_tradnl"/>
        </w:rPr>
        <w:t>), haberlos recibido (</w:t>
      </w:r>
      <w:r w:rsidRPr="00B12072">
        <w:rPr>
          <w:rFonts w:ascii="Georgia" w:hAnsi="Georgia" w:cs="Arial"/>
          <w:sz w:val="24"/>
          <w:szCs w:val="24"/>
        </w:rPr>
        <w:t xml:space="preserve">Tiempo 39:19 a 47:05, audiencia de artículo 409, </w:t>
      </w:r>
      <w:proofErr w:type="spellStart"/>
      <w:r w:rsidRPr="00B12072">
        <w:rPr>
          <w:rFonts w:ascii="Georgia" w:hAnsi="Georgia" w:cs="Arial"/>
          <w:sz w:val="24"/>
          <w:szCs w:val="24"/>
        </w:rPr>
        <w:t>CGP</w:t>
      </w:r>
      <w:proofErr w:type="spellEnd"/>
      <w:r w:rsidRPr="00B12072">
        <w:rPr>
          <w:rFonts w:ascii="Georgia" w:hAnsi="Georgia" w:cs="Arial"/>
          <w:sz w:val="24"/>
          <w:szCs w:val="24"/>
          <w:lang w:val="es-CO"/>
        </w:rPr>
        <w:t xml:space="preserve">, folios 143-146, </w:t>
      </w:r>
      <w:r w:rsidRPr="00B12072">
        <w:rPr>
          <w:rFonts w:ascii="Georgia" w:hAnsi="Georgia" w:cs="Arial"/>
          <w:sz w:val="24"/>
          <w:szCs w:val="24"/>
        </w:rPr>
        <w:t xml:space="preserve">cuaderno copias de primera instancia); sin embargo, son situaciones que rebasan lo aquí debatido, en modo alguno, pueden considerarse o llegar a reconocerse con el fin de precaver un futuro litigio, debe ser otro escenario en el que se resuelva sobre el cumplimiento de ese contrato. </w:t>
      </w:r>
    </w:p>
    <w:p w:rsidR="001764BB" w:rsidRPr="00B12072" w:rsidRDefault="001764BB" w:rsidP="001764BB">
      <w:pPr>
        <w:spacing w:line="288" w:lineRule="auto"/>
        <w:jc w:val="both"/>
        <w:rPr>
          <w:rFonts w:ascii="Georgia" w:hAnsi="Georgia" w:cs="Arial"/>
          <w:sz w:val="24"/>
          <w:szCs w:val="24"/>
        </w:rPr>
      </w:pPr>
    </w:p>
    <w:p w:rsidR="001764BB" w:rsidRPr="00B12072" w:rsidRDefault="001764BB" w:rsidP="001764BB">
      <w:pPr>
        <w:pStyle w:val="Prrafodelista"/>
        <w:numPr>
          <w:ilvl w:val="1"/>
          <w:numId w:val="2"/>
        </w:numPr>
        <w:overflowPunct w:val="0"/>
        <w:autoSpaceDE w:val="0"/>
        <w:autoSpaceDN w:val="0"/>
        <w:adjustRightInd w:val="0"/>
        <w:spacing w:line="288" w:lineRule="auto"/>
        <w:contextualSpacing/>
        <w:jc w:val="both"/>
        <w:textAlignment w:val="baseline"/>
        <w:rPr>
          <w:rFonts w:ascii="Georgia" w:hAnsi="Georgia" w:cs="Arial"/>
          <w:smallCaps/>
          <w:sz w:val="24"/>
          <w:szCs w:val="24"/>
        </w:rPr>
      </w:pPr>
      <w:r w:rsidRPr="00B12072">
        <w:rPr>
          <w:rFonts w:ascii="Georgia" w:hAnsi="Georgia" w:cs="Arial"/>
          <w:smallCaps/>
          <w:sz w:val="24"/>
          <w:szCs w:val="24"/>
        </w:rPr>
        <w:t>Las mejoras</w:t>
      </w:r>
    </w:p>
    <w:p w:rsidR="001764BB" w:rsidRPr="00B12072" w:rsidRDefault="001764BB" w:rsidP="001764BB">
      <w:pPr>
        <w:spacing w:line="288" w:lineRule="auto"/>
        <w:jc w:val="both"/>
        <w:rPr>
          <w:rFonts w:ascii="Georgia" w:hAnsi="Georgia" w:cs="Arial"/>
          <w:sz w:val="24"/>
          <w:szCs w:val="24"/>
        </w:rPr>
      </w:pPr>
    </w:p>
    <w:p w:rsidR="001764BB" w:rsidRPr="00B12072" w:rsidRDefault="001764BB" w:rsidP="001764BB">
      <w:pPr>
        <w:spacing w:line="288" w:lineRule="auto"/>
        <w:jc w:val="both"/>
        <w:rPr>
          <w:rFonts w:ascii="Georgia" w:hAnsi="Georgia" w:cs="Arial"/>
          <w:sz w:val="24"/>
          <w:szCs w:val="24"/>
        </w:rPr>
      </w:pPr>
      <w:r w:rsidRPr="00B12072">
        <w:rPr>
          <w:rFonts w:ascii="Georgia" w:hAnsi="Georgia" w:cs="Arial"/>
          <w:sz w:val="24"/>
          <w:szCs w:val="24"/>
        </w:rPr>
        <w:t xml:space="preserve">En este tipo de asuntos, tanto el actor como el sujeto pasivo, puede alegar mejoras a su favor (Artículo 412, </w:t>
      </w:r>
      <w:proofErr w:type="spellStart"/>
      <w:r w:rsidRPr="00B12072">
        <w:rPr>
          <w:rFonts w:ascii="Georgia" w:hAnsi="Georgia" w:cs="Arial"/>
          <w:sz w:val="24"/>
          <w:szCs w:val="24"/>
        </w:rPr>
        <w:t>CGP</w:t>
      </w:r>
      <w:proofErr w:type="spellEnd"/>
      <w:r w:rsidRPr="00B12072">
        <w:rPr>
          <w:rFonts w:ascii="Georgia" w:hAnsi="Georgia" w:cs="Arial"/>
          <w:sz w:val="24"/>
          <w:szCs w:val="24"/>
        </w:rPr>
        <w:t xml:space="preserve">), por lo que deberán pedir su reconocimiento en la oportunidad pertinente (Demanda o contestación) y, si a ello hay lugar, así se dispondrá al decidir sobre la partición o venta. </w:t>
      </w:r>
    </w:p>
    <w:p w:rsidR="001764BB" w:rsidRPr="00B12072" w:rsidRDefault="001764BB" w:rsidP="001764BB">
      <w:pPr>
        <w:spacing w:line="288" w:lineRule="auto"/>
        <w:jc w:val="both"/>
        <w:rPr>
          <w:rFonts w:ascii="Georgia" w:hAnsi="Georgia" w:cs="Arial"/>
          <w:sz w:val="24"/>
          <w:szCs w:val="24"/>
        </w:rPr>
      </w:pPr>
    </w:p>
    <w:p w:rsidR="001764BB" w:rsidRPr="00B12072" w:rsidRDefault="001764BB" w:rsidP="001764BB">
      <w:pPr>
        <w:spacing w:line="288" w:lineRule="auto"/>
        <w:jc w:val="both"/>
        <w:rPr>
          <w:rFonts w:ascii="Georgia" w:hAnsi="Georgia" w:cs="Arial"/>
          <w:spacing w:val="-3"/>
          <w:sz w:val="24"/>
          <w:szCs w:val="24"/>
          <w:lang w:val="es-CO"/>
        </w:rPr>
      </w:pPr>
      <w:r w:rsidRPr="00B12072">
        <w:rPr>
          <w:rFonts w:ascii="Georgia" w:hAnsi="Georgia" w:cs="Arial"/>
          <w:spacing w:val="-3"/>
          <w:sz w:val="24"/>
          <w:szCs w:val="24"/>
          <w:lang w:val="es-CO"/>
        </w:rPr>
        <w:t xml:space="preserve">La citada norma, establece que su reclamación, se hará: </w:t>
      </w:r>
      <w:r w:rsidRPr="00B12072">
        <w:rPr>
          <w:rFonts w:ascii="Georgia" w:hAnsi="Georgia" w:cs="Arial"/>
          <w:i/>
          <w:spacing w:val="-3"/>
          <w:sz w:val="24"/>
          <w:szCs w:val="24"/>
          <w:lang w:val="es-CO"/>
        </w:rPr>
        <w:t>“(…) especificándolas y estimándolas bajo juramento de conformidad con el artículo 206, y acompañara dictamen pericial sobre su valor (…)”</w:t>
      </w:r>
      <w:r w:rsidRPr="00B12072">
        <w:rPr>
          <w:rFonts w:ascii="Georgia" w:hAnsi="Georgia" w:cs="Arial"/>
          <w:spacing w:val="-3"/>
          <w:sz w:val="24"/>
          <w:szCs w:val="24"/>
          <w:lang w:val="es-CO"/>
        </w:rPr>
        <w:t>, sin embargo, para esta Sala, presentado el primero es innecesario allegar el segundo, puesto que tal como lo señala el maestro López B.</w:t>
      </w:r>
      <w:r w:rsidRPr="00B12072">
        <w:rPr>
          <w:rStyle w:val="Refdenotaalpie"/>
          <w:rFonts w:ascii="Georgia" w:hAnsi="Georgia"/>
          <w:spacing w:val="-3"/>
          <w:sz w:val="24"/>
          <w:szCs w:val="24"/>
          <w:lang w:val="es-CO"/>
        </w:rPr>
        <w:footnoteReference w:id="23"/>
      </w:r>
      <w:r w:rsidRPr="00B12072">
        <w:rPr>
          <w:rFonts w:ascii="Georgia" w:hAnsi="Georgia" w:cs="Arial"/>
          <w:spacing w:val="-3"/>
          <w:sz w:val="24"/>
          <w:szCs w:val="24"/>
          <w:lang w:val="es-CO"/>
        </w:rPr>
        <w:t xml:space="preserve">: </w:t>
      </w:r>
      <w:r w:rsidRPr="00B12072">
        <w:rPr>
          <w:rFonts w:ascii="Georgia" w:hAnsi="Georgia" w:cs="Arial"/>
          <w:i/>
          <w:spacing w:val="-3"/>
          <w:sz w:val="24"/>
          <w:szCs w:val="24"/>
          <w:lang w:val="es-CO"/>
        </w:rPr>
        <w:t xml:space="preserve">“(…) es un contrasentido exigir el juramento estimatorio y además que se acompañe “un dictamen pericial sobre su valor”, pues para establecer el valor está el </w:t>
      </w:r>
      <w:r w:rsidRPr="00B12072">
        <w:rPr>
          <w:rFonts w:ascii="Georgia" w:hAnsi="Georgia" w:cs="Arial"/>
          <w:i/>
          <w:spacing w:val="-3"/>
          <w:sz w:val="24"/>
          <w:szCs w:val="24"/>
          <w:lang w:val="es-CO"/>
        </w:rPr>
        <w:lastRenderedPageBreak/>
        <w:t xml:space="preserve">medio de prueba denominado juramento estimatorio y es del </w:t>
      </w:r>
      <w:proofErr w:type="spellStart"/>
      <w:r w:rsidRPr="00B12072">
        <w:rPr>
          <w:rFonts w:ascii="Georgia" w:hAnsi="Georgia" w:cs="Arial"/>
          <w:i/>
          <w:spacing w:val="-3"/>
          <w:sz w:val="24"/>
          <w:szCs w:val="24"/>
          <w:lang w:val="es-CO"/>
        </w:rPr>
        <w:t>abc</w:t>
      </w:r>
      <w:proofErr w:type="spellEnd"/>
      <w:r w:rsidRPr="00B12072">
        <w:rPr>
          <w:rFonts w:ascii="Georgia" w:hAnsi="Georgia" w:cs="Arial"/>
          <w:i/>
          <w:spacing w:val="-3"/>
          <w:sz w:val="24"/>
          <w:szCs w:val="24"/>
          <w:lang w:val="es-CO"/>
        </w:rPr>
        <w:t xml:space="preserve"> del campo probatorio el viejo aforismo atinente a que la prueba no se prueba, tal como en este acontece.”. </w:t>
      </w:r>
      <w:r w:rsidRPr="00B12072">
        <w:rPr>
          <w:rFonts w:ascii="Georgia" w:hAnsi="Georgia" w:cs="Arial"/>
          <w:spacing w:val="-3"/>
          <w:sz w:val="24"/>
          <w:szCs w:val="24"/>
          <w:lang w:val="es-CO"/>
        </w:rPr>
        <w:t>Tesis que acompaña el profesor Bejarano G.</w:t>
      </w:r>
      <w:r w:rsidRPr="00B12072">
        <w:rPr>
          <w:rStyle w:val="Refdenotaalpie"/>
          <w:rFonts w:ascii="Georgia" w:hAnsi="Georgia"/>
          <w:spacing w:val="-3"/>
          <w:sz w:val="24"/>
          <w:szCs w:val="24"/>
          <w:lang w:val="es-CO"/>
        </w:rPr>
        <w:footnoteReference w:id="24"/>
      </w:r>
      <w:r w:rsidRPr="00B12072">
        <w:rPr>
          <w:rFonts w:ascii="Georgia" w:hAnsi="Georgia" w:cs="Arial"/>
          <w:spacing w:val="-3"/>
          <w:sz w:val="24"/>
          <w:szCs w:val="24"/>
          <w:lang w:val="es-CO"/>
        </w:rPr>
        <w:t>; y otros autores, simplemente, citan lo dicho por ese canon, como Rojas G.</w:t>
      </w:r>
      <w:r w:rsidRPr="00B12072">
        <w:rPr>
          <w:rStyle w:val="Refdenotaalpie"/>
          <w:rFonts w:ascii="Georgia" w:hAnsi="Georgia"/>
          <w:spacing w:val="-3"/>
          <w:sz w:val="24"/>
          <w:szCs w:val="24"/>
          <w:lang w:val="es-CO"/>
        </w:rPr>
        <w:footnoteReference w:id="25"/>
      </w:r>
      <w:r w:rsidRPr="00B12072">
        <w:rPr>
          <w:rFonts w:ascii="Georgia" w:hAnsi="Georgia" w:cs="Arial"/>
          <w:spacing w:val="-3"/>
          <w:sz w:val="24"/>
          <w:szCs w:val="24"/>
          <w:lang w:val="es-CO"/>
        </w:rPr>
        <w:t>, Azula C.</w:t>
      </w:r>
      <w:r w:rsidRPr="00B12072">
        <w:rPr>
          <w:rStyle w:val="Refdenotaalpie"/>
          <w:rFonts w:ascii="Georgia" w:hAnsi="Georgia"/>
          <w:spacing w:val="-3"/>
          <w:sz w:val="24"/>
          <w:szCs w:val="24"/>
          <w:lang w:val="es-CO"/>
        </w:rPr>
        <w:footnoteReference w:id="26"/>
      </w:r>
      <w:r w:rsidRPr="00B12072">
        <w:rPr>
          <w:rFonts w:ascii="Georgia" w:hAnsi="Georgia" w:cs="Arial"/>
          <w:spacing w:val="-3"/>
          <w:sz w:val="24"/>
          <w:szCs w:val="24"/>
          <w:lang w:val="es-CO"/>
        </w:rPr>
        <w:t xml:space="preserve"> y Álvarez G.</w:t>
      </w:r>
      <w:r w:rsidRPr="00B12072">
        <w:rPr>
          <w:rStyle w:val="Refdenotaalpie"/>
          <w:rFonts w:ascii="Georgia" w:hAnsi="Georgia"/>
          <w:spacing w:val="-3"/>
          <w:sz w:val="24"/>
          <w:szCs w:val="24"/>
          <w:lang w:val="es-CO"/>
        </w:rPr>
        <w:footnoteReference w:id="27"/>
      </w:r>
      <w:r w:rsidRPr="00B12072">
        <w:rPr>
          <w:rFonts w:ascii="Georgia" w:hAnsi="Georgia" w:cs="Arial"/>
          <w:spacing w:val="-3"/>
          <w:sz w:val="24"/>
          <w:szCs w:val="24"/>
          <w:lang w:val="es-CO"/>
        </w:rPr>
        <w:t>, sin postular criterio alguno.</w:t>
      </w:r>
    </w:p>
    <w:p w:rsidR="001764BB" w:rsidRPr="00B12072" w:rsidRDefault="001764BB" w:rsidP="001764BB">
      <w:pPr>
        <w:spacing w:line="288" w:lineRule="auto"/>
        <w:jc w:val="both"/>
        <w:rPr>
          <w:rFonts w:ascii="Georgia" w:hAnsi="Georgia" w:cs="Arial"/>
          <w:spacing w:val="-3"/>
          <w:sz w:val="24"/>
          <w:szCs w:val="24"/>
          <w:lang w:val="es-CO"/>
        </w:rPr>
      </w:pPr>
    </w:p>
    <w:p w:rsidR="001764BB" w:rsidRPr="00B12072" w:rsidRDefault="001764BB" w:rsidP="001764BB">
      <w:pPr>
        <w:spacing w:line="288" w:lineRule="auto"/>
        <w:jc w:val="both"/>
        <w:rPr>
          <w:rFonts w:ascii="Georgia" w:hAnsi="Georgia" w:cs="Arial"/>
          <w:spacing w:val="-3"/>
          <w:sz w:val="24"/>
          <w:szCs w:val="24"/>
          <w:lang w:val="es-CO"/>
        </w:rPr>
      </w:pPr>
      <w:r w:rsidRPr="00B12072">
        <w:rPr>
          <w:rFonts w:ascii="Georgia" w:hAnsi="Georgia" w:cs="Arial"/>
          <w:spacing w:val="-3"/>
          <w:sz w:val="24"/>
          <w:szCs w:val="24"/>
          <w:lang w:val="es-CO"/>
        </w:rPr>
        <w:t xml:space="preserve">Y es que debe recordarse que el artículo 206, consagra que ese </w:t>
      </w:r>
      <w:r w:rsidRPr="00B12072">
        <w:rPr>
          <w:rFonts w:ascii="Georgia" w:hAnsi="Georgia" w:cs="Arial"/>
          <w:spacing w:val="-3"/>
          <w:sz w:val="24"/>
          <w:szCs w:val="24"/>
        </w:rPr>
        <w:t xml:space="preserve">reconocimiento de </w:t>
      </w:r>
      <w:r w:rsidRPr="00B12072">
        <w:rPr>
          <w:rFonts w:ascii="Georgia" w:hAnsi="Georgia" w:cs="Arial"/>
          <w:spacing w:val="-3"/>
          <w:sz w:val="24"/>
          <w:szCs w:val="24"/>
          <w:u w:val="single"/>
        </w:rPr>
        <w:t>mejoras</w:t>
      </w:r>
      <w:r w:rsidRPr="00B12072">
        <w:rPr>
          <w:rFonts w:ascii="Georgia" w:hAnsi="Georgia" w:cs="Arial"/>
          <w:spacing w:val="-3"/>
          <w:sz w:val="24"/>
          <w:szCs w:val="24"/>
        </w:rPr>
        <w:t xml:space="preserve"> deberá estimarse bajo juramento, de forma razonada y separada por conceptos, en el respectivo escrito (Se itera, demanda, contestación, incidente, entre otros)</w:t>
      </w:r>
      <w:r w:rsidRPr="00B12072">
        <w:rPr>
          <w:rFonts w:ascii="Georgia" w:hAnsi="Georgia" w:cs="Arial"/>
          <w:spacing w:val="-3"/>
          <w:sz w:val="24"/>
          <w:szCs w:val="24"/>
          <w:lang w:val="es-CO"/>
        </w:rPr>
        <w:t xml:space="preserve">; </w:t>
      </w:r>
      <w:r w:rsidRPr="00B12072">
        <w:rPr>
          <w:rFonts w:ascii="Georgia" w:hAnsi="Georgia" w:cs="Arial"/>
          <w:spacing w:val="-3"/>
          <w:sz w:val="24"/>
          <w:szCs w:val="24"/>
          <w:u w:val="single"/>
          <w:lang w:val="es-CO"/>
        </w:rPr>
        <w:t>lo cual hará prueba de su monto</w:t>
      </w:r>
      <w:r w:rsidRPr="00B12072">
        <w:rPr>
          <w:rFonts w:ascii="Georgia" w:hAnsi="Georgia" w:cs="Arial"/>
          <w:spacing w:val="-3"/>
          <w:sz w:val="24"/>
          <w:szCs w:val="24"/>
          <w:lang w:val="es-CO"/>
        </w:rPr>
        <w:t>, mientras su cuantía no sea objetada, oposición que solo se considerará tal, cuando se especifique razonadamente la inexactitud que se le atribuye a aquella estimación, o cuando el juez advierta que el monto fijado es notoriamente injusto. Así razonó la CC</w:t>
      </w:r>
      <w:r w:rsidRPr="00B12072">
        <w:rPr>
          <w:rStyle w:val="Refdenotaalpie"/>
          <w:rFonts w:ascii="Georgia" w:hAnsi="Georgia"/>
          <w:spacing w:val="-3"/>
          <w:sz w:val="24"/>
          <w:szCs w:val="24"/>
          <w:lang w:val="es-CO"/>
        </w:rPr>
        <w:footnoteReference w:id="28"/>
      </w:r>
      <w:r w:rsidRPr="00B12072">
        <w:rPr>
          <w:rFonts w:ascii="Georgia" w:hAnsi="Georgia" w:cs="Arial"/>
          <w:spacing w:val="-3"/>
          <w:sz w:val="24"/>
          <w:szCs w:val="24"/>
          <w:lang w:val="es-CO"/>
        </w:rPr>
        <w:t>.</w:t>
      </w:r>
    </w:p>
    <w:p w:rsidR="001764BB" w:rsidRPr="00B12072" w:rsidRDefault="001764BB" w:rsidP="001764BB">
      <w:pPr>
        <w:spacing w:line="288" w:lineRule="auto"/>
        <w:jc w:val="both"/>
        <w:rPr>
          <w:rFonts w:ascii="Georgia" w:hAnsi="Georgia" w:cs="Arial"/>
          <w:spacing w:val="-3"/>
          <w:sz w:val="24"/>
          <w:szCs w:val="24"/>
          <w:lang w:val="es-CO"/>
        </w:rPr>
      </w:pPr>
    </w:p>
    <w:p w:rsidR="001764BB" w:rsidRPr="00B12072" w:rsidRDefault="001764BB" w:rsidP="001764BB">
      <w:pPr>
        <w:spacing w:line="288" w:lineRule="auto"/>
        <w:jc w:val="both"/>
        <w:rPr>
          <w:rFonts w:ascii="Georgia" w:hAnsi="Georgia" w:cs="Arial"/>
          <w:sz w:val="24"/>
          <w:szCs w:val="24"/>
        </w:rPr>
      </w:pPr>
      <w:r w:rsidRPr="00B12072">
        <w:rPr>
          <w:rFonts w:ascii="Georgia" w:hAnsi="Georgia" w:cs="Arial"/>
          <w:spacing w:val="-3"/>
          <w:sz w:val="24"/>
          <w:szCs w:val="24"/>
          <w:lang w:val="es-CO"/>
        </w:rPr>
        <w:t xml:space="preserve">Necesario precisar que las mejoras han sido, </w:t>
      </w:r>
      <w:r w:rsidRPr="00B12072">
        <w:rPr>
          <w:rFonts w:ascii="Georgia" w:hAnsi="Georgia" w:cs="Arial"/>
          <w:sz w:val="24"/>
          <w:szCs w:val="24"/>
        </w:rPr>
        <w:t xml:space="preserve">tradicionalmente, clasificadas por la doctrina nacional en: (i) Necesarias; (ii) Útiles; y (iii) </w:t>
      </w:r>
      <w:proofErr w:type="spellStart"/>
      <w:r w:rsidRPr="00B12072">
        <w:rPr>
          <w:rFonts w:ascii="Georgia" w:hAnsi="Georgia" w:cs="Arial"/>
          <w:sz w:val="24"/>
          <w:szCs w:val="24"/>
        </w:rPr>
        <w:t>Voluptuarias</w:t>
      </w:r>
      <w:proofErr w:type="spellEnd"/>
      <w:r w:rsidRPr="00B12072">
        <w:rPr>
          <w:rFonts w:ascii="Georgia" w:hAnsi="Georgia" w:cs="Arial"/>
          <w:sz w:val="24"/>
          <w:szCs w:val="24"/>
        </w:rPr>
        <w:t>. Y por disposición legal, solo se reconocen aquellas hechas durante el tiempo que se ha ejercido poder sobre el bien (Artículo 964, CC). Diferenciadas por el doctor Velásquez J.</w:t>
      </w:r>
      <w:r w:rsidRPr="00B12072">
        <w:rPr>
          <w:rStyle w:val="Refdenotaalpie"/>
          <w:rFonts w:ascii="Georgia" w:hAnsi="Georgia"/>
          <w:sz w:val="24"/>
          <w:szCs w:val="24"/>
        </w:rPr>
        <w:footnoteReference w:id="29"/>
      </w:r>
      <w:r w:rsidRPr="00B12072">
        <w:rPr>
          <w:rFonts w:ascii="Georgia" w:hAnsi="Georgia" w:cs="Arial"/>
          <w:sz w:val="24"/>
          <w:szCs w:val="24"/>
        </w:rPr>
        <w:t xml:space="preserve"> así: las mejoras </w:t>
      </w:r>
      <w:r w:rsidRPr="00B12072">
        <w:rPr>
          <w:rFonts w:ascii="Georgia" w:hAnsi="Georgia" w:cs="Arial"/>
          <w:i/>
          <w:sz w:val="24"/>
          <w:szCs w:val="24"/>
        </w:rPr>
        <w:t>necesarias</w:t>
      </w:r>
      <w:r w:rsidRPr="00B12072">
        <w:rPr>
          <w:rFonts w:ascii="Georgia" w:hAnsi="Georgia" w:cs="Arial"/>
          <w:sz w:val="24"/>
          <w:szCs w:val="24"/>
        </w:rPr>
        <w:t xml:space="preserve">, son aquellas encaminadas a conservar el bien común, pues de no efectuarse, ocasionaría su deterioro o pérdida (Artículo 965, CC), en el momento de su reconocimiento se valorarán según el estado en que se encuentren o el provecho haya producido al bien. Por su parte, las </w:t>
      </w:r>
      <w:r w:rsidRPr="00B12072">
        <w:rPr>
          <w:rFonts w:ascii="Georgia" w:hAnsi="Georgia" w:cs="Arial"/>
          <w:i/>
          <w:sz w:val="24"/>
          <w:szCs w:val="24"/>
        </w:rPr>
        <w:t>útiles</w:t>
      </w:r>
      <w:r w:rsidRPr="00B12072">
        <w:rPr>
          <w:rFonts w:ascii="Georgia" w:hAnsi="Georgia" w:cs="Arial"/>
          <w:sz w:val="24"/>
          <w:szCs w:val="24"/>
        </w:rPr>
        <w:t xml:space="preserve"> son aquellas que buscan aumentar el valor del inmueble (Artículo 966, CC); y las </w:t>
      </w:r>
      <w:proofErr w:type="spellStart"/>
      <w:r w:rsidRPr="00B12072">
        <w:rPr>
          <w:rFonts w:ascii="Georgia" w:hAnsi="Georgia" w:cs="Arial"/>
          <w:i/>
          <w:sz w:val="24"/>
          <w:szCs w:val="24"/>
        </w:rPr>
        <w:t>voluptuarias</w:t>
      </w:r>
      <w:proofErr w:type="spellEnd"/>
      <w:r w:rsidRPr="00B12072">
        <w:rPr>
          <w:rFonts w:ascii="Georgia" w:hAnsi="Georgia" w:cs="Arial"/>
          <w:i/>
          <w:sz w:val="24"/>
          <w:szCs w:val="24"/>
        </w:rPr>
        <w:t xml:space="preserve">, </w:t>
      </w:r>
      <w:r w:rsidRPr="00B12072">
        <w:rPr>
          <w:rFonts w:ascii="Georgia" w:hAnsi="Georgia" w:cs="Arial"/>
          <w:sz w:val="24"/>
          <w:szCs w:val="24"/>
        </w:rPr>
        <w:t>corresponden a aquellas que introducen lujo al bien, por lo que no puede obligarse a su reconocimiento (Artículo 967, CC).</w:t>
      </w:r>
    </w:p>
    <w:p w:rsidR="001764BB" w:rsidRPr="00B12072" w:rsidRDefault="001764BB" w:rsidP="001764BB">
      <w:pPr>
        <w:widowControl w:val="0"/>
        <w:tabs>
          <w:tab w:val="left" w:pos="-720"/>
        </w:tabs>
        <w:suppressAutoHyphens/>
        <w:spacing w:line="288" w:lineRule="auto"/>
        <w:jc w:val="both"/>
        <w:rPr>
          <w:rFonts w:ascii="Georgia" w:hAnsi="Georgia" w:cs="Arial"/>
          <w:spacing w:val="-3"/>
          <w:sz w:val="24"/>
          <w:szCs w:val="24"/>
          <w:lang w:val="es-CO"/>
        </w:rPr>
      </w:pPr>
    </w:p>
    <w:p w:rsidR="001764BB" w:rsidRPr="00B12072" w:rsidRDefault="001764BB" w:rsidP="001764BB">
      <w:pPr>
        <w:widowControl w:val="0"/>
        <w:tabs>
          <w:tab w:val="left" w:pos="-720"/>
        </w:tabs>
        <w:suppressAutoHyphens/>
        <w:spacing w:line="288" w:lineRule="auto"/>
        <w:jc w:val="both"/>
        <w:rPr>
          <w:rFonts w:ascii="Georgia" w:hAnsi="Georgia" w:cs="Arial"/>
          <w:sz w:val="24"/>
          <w:szCs w:val="24"/>
        </w:rPr>
      </w:pPr>
      <w:r w:rsidRPr="00B12072">
        <w:rPr>
          <w:rFonts w:ascii="Georgia" w:hAnsi="Georgia" w:cs="Arial"/>
          <w:spacing w:val="-3"/>
          <w:sz w:val="24"/>
          <w:szCs w:val="24"/>
          <w:lang w:val="es-CO"/>
        </w:rPr>
        <w:t xml:space="preserve">Con antelación ya se mencionó que la parte demandada reclamó mejoras estimadas bajo juramento en la suma de $10.500.000 y fueron objetadas por la parte actora (Folios 89-95, </w:t>
      </w:r>
      <w:r w:rsidRPr="00B12072">
        <w:rPr>
          <w:rFonts w:ascii="Georgia" w:hAnsi="Georgia" w:cs="Arial"/>
          <w:sz w:val="24"/>
          <w:szCs w:val="24"/>
        </w:rPr>
        <w:t xml:space="preserve">cuaderno copias de primera instancia), empero, verificados los argumentos propuestos, en estricto sentido, no pueden considerarse una objeción, pues lo dicho escapa de lo que pueda considerarse inexactitudes de esa estimación, la queja únicamente está centrada en señalar que se omitió aportar prueba siquiera sumaria de los valores, acreditación que acorde con las premisas que anteceden, devenía innecesaria. </w:t>
      </w:r>
    </w:p>
    <w:p w:rsidR="001764BB" w:rsidRPr="00B12072" w:rsidRDefault="001764BB" w:rsidP="001764BB">
      <w:pPr>
        <w:widowControl w:val="0"/>
        <w:tabs>
          <w:tab w:val="left" w:pos="-720"/>
        </w:tabs>
        <w:suppressAutoHyphens/>
        <w:spacing w:line="288" w:lineRule="auto"/>
        <w:jc w:val="both"/>
        <w:rPr>
          <w:rFonts w:ascii="Georgia" w:hAnsi="Georgia" w:cs="Arial"/>
          <w:sz w:val="24"/>
          <w:szCs w:val="24"/>
        </w:rPr>
      </w:pPr>
    </w:p>
    <w:p w:rsidR="001764BB" w:rsidRPr="00B12072" w:rsidRDefault="001764BB" w:rsidP="001764BB">
      <w:pPr>
        <w:widowControl w:val="0"/>
        <w:tabs>
          <w:tab w:val="left" w:pos="-720"/>
        </w:tabs>
        <w:suppressAutoHyphens/>
        <w:spacing w:line="288" w:lineRule="auto"/>
        <w:jc w:val="both"/>
        <w:rPr>
          <w:rFonts w:ascii="Georgia" w:hAnsi="Georgia" w:cs="Arial"/>
          <w:spacing w:val="-3"/>
          <w:sz w:val="24"/>
          <w:szCs w:val="24"/>
          <w:lang w:val="es-CO"/>
        </w:rPr>
      </w:pPr>
      <w:r w:rsidRPr="00B12072">
        <w:rPr>
          <w:rFonts w:ascii="Georgia" w:hAnsi="Georgia" w:cs="Arial"/>
          <w:sz w:val="24"/>
          <w:szCs w:val="24"/>
        </w:rPr>
        <w:t xml:space="preserve">No obstante, antes de seguir adelante, conviene aclarar que el demandado al reclamar las mejoras, solicitó plazo para presentar un avalúo pericial (Inciso 4, folio 85, ib.) y al replicar la objeción allegó unos documentos (Folios 97-105, ib.) y dentro del trámite, el juzgado pretermitió resolver sobre aquel término, pero al constatarlo, incorporó aquellos como medios probatorios (Folios 135-136, ib.) y descorrido el traslado, la parte actora guardó silencio.  </w:t>
      </w:r>
    </w:p>
    <w:p w:rsidR="001764BB" w:rsidRPr="00B12072" w:rsidRDefault="001764BB" w:rsidP="001764BB">
      <w:pPr>
        <w:widowControl w:val="0"/>
        <w:tabs>
          <w:tab w:val="left" w:pos="-720"/>
        </w:tabs>
        <w:suppressAutoHyphens/>
        <w:spacing w:line="288" w:lineRule="auto"/>
        <w:jc w:val="both"/>
        <w:rPr>
          <w:rFonts w:ascii="Georgia" w:hAnsi="Georgia" w:cs="Arial"/>
          <w:spacing w:val="-3"/>
          <w:sz w:val="24"/>
          <w:szCs w:val="24"/>
          <w:lang w:val="es-ES_tradnl"/>
        </w:rPr>
      </w:pPr>
    </w:p>
    <w:p w:rsidR="001764BB" w:rsidRPr="00B12072" w:rsidRDefault="001764BB" w:rsidP="001764BB">
      <w:pPr>
        <w:widowControl w:val="0"/>
        <w:tabs>
          <w:tab w:val="left" w:pos="-720"/>
        </w:tabs>
        <w:suppressAutoHyphens/>
        <w:spacing w:line="288" w:lineRule="auto"/>
        <w:jc w:val="both"/>
        <w:rPr>
          <w:rFonts w:ascii="Georgia" w:hAnsi="Georgia" w:cs="Arial"/>
          <w:spacing w:val="-3"/>
          <w:sz w:val="24"/>
          <w:szCs w:val="24"/>
          <w:lang w:val="es-ES_tradnl"/>
        </w:rPr>
      </w:pPr>
      <w:r w:rsidRPr="00B12072">
        <w:rPr>
          <w:rFonts w:ascii="Georgia" w:hAnsi="Georgia" w:cs="Arial"/>
          <w:spacing w:val="-3"/>
          <w:sz w:val="24"/>
          <w:szCs w:val="24"/>
          <w:lang w:val="es-ES_tradnl"/>
        </w:rPr>
        <w:lastRenderedPageBreak/>
        <w:t xml:space="preserve">De regreso al análisis de las mejoras, el demandado pidió que se le reconocieran como tales: (i) Siembra y arreglo de prado, con inclusión de triturado; y, (ii) Puertas de fachada, de las que presentó las certificaciones expedidas por quienes las realizaron y el testimonio del señor José Leonardo Trullo Benavides. En tal documentación se puede constatar su existencia y a expensas de quién se realizaron, y confrontadas con la clasificación que precede, se advierte, tal como lo alega, que se trata de aquellas estimadas como útiles, ninguna refutación se hizo en ese sentido, por lo que habrán de reconocerse. </w:t>
      </w:r>
    </w:p>
    <w:p w:rsidR="001764BB" w:rsidRPr="00B12072" w:rsidRDefault="001764BB" w:rsidP="001764BB">
      <w:pPr>
        <w:widowControl w:val="0"/>
        <w:tabs>
          <w:tab w:val="left" w:pos="-720"/>
        </w:tabs>
        <w:suppressAutoHyphens/>
        <w:spacing w:line="288" w:lineRule="auto"/>
        <w:jc w:val="both"/>
        <w:rPr>
          <w:rFonts w:ascii="Georgia" w:hAnsi="Georgia" w:cs="Arial"/>
          <w:spacing w:val="-3"/>
          <w:sz w:val="24"/>
          <w:szCs w:val="24"/>
          <w:lang w:val="es-ES_tradnl"/>
        </w:rPr>
      </w:pPr>
    </w:p>
    <w:p w:rsidR="001764BB" w:rsidRPr="00B12072" w:rsidRDefault="001764BB" w:rsidP="001764BB">
      <w:pPr>
        <w:spacing w:line="288" w:lineRule="auto"/>
        <w:jc w:val="both"/>
        <w:rPr>
          <w:rFonts w:ascii="Georgia" w:hAnsi="Georgia" w:cs="Arial"/>
          <w:sz w:val="24"/>
          <w:szCs w:val="24"/>
        </w:rPr>
      </w:pPr>
      <w:r w:rsidRPr="00B12072">
        <w:rPr>
          <w:rFonts w:ascii="Georgia" w:hAnsi="Georgia" w:cs="Arial"/>
          <w:sz w:val="24"/>
          <w:szCs w:val="24"/>
        </w:rPr>
        <w:t xml:space="preserve">Corolario de lo anterior, se revocará el auto venido en apelación, se dispondrá su división </w:t>
      </w:r>
      <w:r w:rsidRPr="00B12072">
        <w:rPr>
          <w:rFonts w:ascii="Georgia" w:hAnsi="Georgia" w:cs="Arial"/>
          <w:i/>
          <w:sz w:val="24"/>
          <w:szCs w:val="24"/>
        </w:rPr>
        <w:t xml:space="preserve">ad </w:t>
      </w:r>
      <w:proofErr w:type="spellStart"/>
      <w:r w:rsidRPr="00B12072">
        <w:rPr>
          <w:rFonts w:ascii="Georgia" w:hAnsi="Georgia" w:cs="Arial"/>
          <w:i/>
          <w:sz w:val="24"/>
          <w:szCs w:val="24"/>
        </w:rPr>
        <w:t>valorem</w:t>
      </w:r>
      <w:proofErr w:type="spellEnd"/>
      <w:r w:rsidRPr="00B12072">
        <w:rPr>
          <w:rFonts w:ascii="Georgia" w:hAnsi="Georgia" w:cs="Arial"/>
          <w:sz w:val="24"/>
          <w:szCs w:val="24"/>
        </w:rPr>
        <w:t xml:space="preserve">, se reconocerán las mejoras a favor del demandado, se ordenará el secuestro del bien, luego del cual, el trámite continuará conforme lo señala el artículo 411, </w:t>
      </w:r>
      <w:proofErr w:type="spellStart"/>
      <w:r w:rsidRPr="00B12072">
        <w:rPr>
          <w:rFonts w:ascii="Georgia" w:hAnsi="Georgia" w:cs="Arial"/>
          <w:sz w:val="24"/>
          <w:szCs w:val="24"/>
        </w:rPr>
        <w:t>CGP</w:t>
      </w:r>
      <w:proofErr w:type="spellEnd"/>
      <w:r w:rsidRPr="00B12072">
        <w:rPr>
          <w:rFonts w:ascii="Georgia" w:hAnsi="Georgia" w:cs="Arial"/>
          <w:sz w:val="24"/>
          <w:szCs w:val="24"/>
        </w:rPr>
        <w:t>.</w:t>
      </w:r>
    </w:p>
    <w:p w:rsidR="001764BB" w:rsidRPr="00B12072" w:rsidRDefault="001764BB" w:rsidP="001764BB">
      <w:pPr>
        <w:widowControl w:val="0"/>
        <w:tabs>
          <w:tab w:val="left" w:pos="-720"/>
        </w:tabs>
        <w:suppressAutoHyphens/>
        <w:spacing w:line="288" w:lineRule="auto"/>
        <w:jc w:val="both"/>
        <w:rPr>
          <w:rFonts w:ascii="Georgia" w:hAnsi="Georgia" w:cs="Arial"/>
          <w:spacing w:val="-3"/>
          <w:sz w:val="24"/>
          <w:szCs w:val="24"/>
          <w:lang w:val="es-ES_tradnl"/>
        </w:rPr>
      </w:pPr>
    </w:p>
    <w:p w:rsidR="001764BB" w:rsidRPr="00B12072" w:rsidRDefault="001764BB" w:rsidP="001764BB">
      <w:pPr>
        <w:pStyle w:val="Sinespaciado"/>
        <w:widowControl/>
        <w:numPr>
          <w:ilvl w:val="0"/>
          <w:numId w:val="1"/>
        </w:numPr>
        <w:autoSpaceDE/>
        <w:autoSpaceDN/>
        <w:adjustRightInd/>
        <w:spacing w:line="288" w:lineRule="auto"/>
        <w:jc w:val="both"/>
        <w:rPr>
          <w:rFonts w:ascii="Georgia" w:hAnsi="Georgia" w:cs="Arial"/>
        </w:rPr>
      </w:pPr>
      <w:r w:rsidRPr="00B12072">
        <w:rPr>
          <w:rFonts w:ascii="Georgia" w:hAnsi="Georgia" w:cs="Arial"/>
        </w:rPr>
        <w:t xml:space="preserve">LAS DECISIONES </w:t>
      </w:r>
    </w:p>
    <w:p w:rsidR="001764BB" w:rsidRPr="00B12072" w:rsidRDefault="001764BB" w:rsidP="001764BB">
      <w:pPr>
        <w:tabs>
          <w:tab w:val="left" w:pos="-720"/>
        </w:tabs>
        <w:suppressAutoHyphens/>
        <w:spacing w:line="288" w:lineRule="auto"/>
        <w:jc w:val="both"/>
        <w:rPr>
          <w:rFonts w:ascii="Georgia" w:hAnsi="Georgia" w:cs="Arial"/>
          <w:sz w:val="24"/>
          <w:szCs w:val="24"/>
          <w:lang w:val="es-CO"/>
        </w:rPr>
      </w:pPr>
    </w:p>
    <w:p w:rsidR="001764BB" w:rsidRPr="00B12072" w:rsidRDefault="001764BB" w:rsidP="001764BB">
      <w:pPr>
        <w:spacing w:line="288" w:lineRule="auto"/>
        <w:jc w:val="both"/>
        <w:rPr>
          <w:rFonts w:ascii="Georgia" w:hAnsi="Georgia" w:cs="Arial"/>
          <w:sz w:val="24"/>
          <w:szCs w:val="24"/>
        </w:rPr>
      </w:pPr>
      <w:r w:rsidRPr="00B12072">
        <w:rPr>
          <w:rFonts w:ascii="Georgia" w:hAnsi="Georgia" w:cs="Arial"/>
          <w:sz w:val="24"/>
          <w:szCs w:val="24"/>
        </w:rPr>
        <w:t>A tono con las premisas jurídicas plasmadas líneas atrás, subsigue: (i) Revocar íntegramente el auto venido en alzada, según el razonamiento expuesto; (ii) Decretar la venta en pública subasta; (iii) Ordenar el secuestro del bien; (iv) Reconocer a favor del demandado la suma de $10.500.000 por concepto de mejoras. No se condenará en costas, pues la alzada salió avante.</w:t>
      </w:r>
      <w:r w:rsidRPr="00B12072">
        <w:rPr>
          <w:rFonts w:ascii="Georgia" w:hAnsi="Georgia" w:cs="Arial"/>
          <w:color w:val="000000"/>
          <w:sz w:val="24"/>
          <w:szCs w:val="24"/>
          <w:shd w:val="clear" w:color="auto" w:fill="FFFFFF"/>
        </w:rPr>
        <w:t xml:space="preserve"> </w:t>
      </w:r>
      <w:r w:rsidRPr="00B12072">
        <w:rPr>
          <w:rFonts w:ascii="Georgia" w:hAnsi="Georgia" w:cs="Arial"/>
          <w:sz w:val="24"/>
          <w:szCs w:val="24"/>
        </w:rPr>
        <w:t xml:space="preserve">Se advertirá que esta decisión es irrecurrible (Artículo 35, </w:t>
      </w:r>
      <w:proofErr w:type="spellStart"/>
      <w:r w:rsidRPr="00B12072">
        <w:rPr>
          <w:rFonts w:ascii="Georgia" w:hAnsi="Georgia" w:cs="Arial"/>
          <w:sz w:val="24"/>
          <w:szCs w:val="24"/>
        </w:rPr>
        <w:t>CGP</w:t>
      </w:r>
      <w:proofErr w:type="spellEnd"/>
      <w:r w:rsidRPr="00B12072">
        <w:rPr>
          <w:rFonts w:ascii="Georgia" w:hAnsi="Georgia" w:cs="Arial"/>
          <w:sz w:val="24"/>
          <w:szCs w:val="24"/>
        </w:rPr>
        <w:t>).</w:t>
      </w:r>
    </w:p>
    <w:p w:rsidR="001764BB" w:rsidRPr="00B12072" w:rsidRDefault="001764BB" w:rsidP="001764BB">
      <w:pPr>
        <w:spacing w:line="288" w:lineRule="auto"/>
        <w:jc w:val="both"/>
        <w:rPr>
          <w:rFonts w:ascii="Georgia" w:hAnsi="Georgia" w:cs="Arial"/>
          <w:sz w:val="24"/>
          <w:szCs w:val="24"/>
        </w:rPr>
      </w:pPr>
    </w:p>
    <w:p w:rsidR="001764BB" w:rsidRPr="00B12072" w:rsidRDefault="001764BB" w:rsidP="001764BB">
      <w:pPr>
        <w:tabs>
          <w:tab w:val="left" w:pos="-720"/>
        </w:tabs>
        <w:suppressAutoHyphens/>
        <w:spacing w:line="288" w:lineRule="auto"/>
        <w:jc w:val="both"/>
        <w:rPr>
          <w:rFonts w:ascii="Georgia" w:hAnsi="Georgia" w:cs="Arial"/>
          <w:spacing w:val="-3"/>
          <w:sz w:val="24"/>
          <w:szCs w:val="24"/>
        </w:rPr>
      </w:pPr>
      <w:r w:rsidRPr="00B12072">
        <w:rPr>
          <w:rFonts w:ascii="Georgia" w:hAnsi="Georgia" w:cs="Arial"/>
          <w:sz w:val="24"/>
          <w:szCs w:val="24"/>
        </w:rPr>
        <w:t xml:space="preserve">En mérito de lo discurrido en los acápites precedentes, el </w:t>
      </w:r>
      <w:r w:rsidRPr="00B12072">
        <w:rPr>
          <w:rFonts w:ascii="Georgia" w:hAnsi="Georgia" w:cs="Arial"/>
          <w:smallCaps/>
          <w:sz w:val="24"/>
          <w:szCs w:val="24"/>
        </w:rPr>
        <w:t>Tribunal Superior del Distrito Judicial de Pereira, Sala Unitaria de Decisión</w:t>
      </w:r>
      <w:r w:rsidRPr="00B12072">
        <w:rPr>
          <w:rFonts w:ascii="Georgia" w:hAnsi="Georgia" w:cs="Arial"/>
          <w:sz w:val="24"/>
          <w:szCs w:val="24"/>
        </w:rPr>
        <w:t>,</w:t>
      </w:r>
    </w:p>
    <w:p w:rsidR="001764BB" w:rsidRPr="00B12072" w:rsidRDefault="001764BB" w:rsidP="001764BB">
      <w:pPr>
        <w:pStyle w:val="Sinespaciado"/>
        <w:spacing w:line="288" w:lineRule="auto"/>
        <w:jc w:val="center"/>
        <w:rPr>
          <w:rFonts w:ascii="Georgia" w:hAnsi="Georgia" w:cs="Arial"/>
        </w:rPr>
      </w:pPr>
    </w:p>
    <w:p w:rsidR="001764BB" w:rsidRPr="00B12072" w:rsidRDefault="001764BB" w:rsidP="001764BB">
      <w:pPr>
        <w:pStyle w:val="Sinespaciado"/>
        <w:spacing w:line="288" w:lineRule="auto"/>
        <w:jc w:val="center"/>
        <w:rPr>
          <w:rFonts w:ascii="Georgia" w:hAnsi="Georgia" w:cs="Arial"/>
        </w:rPr>
      </w:pPr>
      <w:r w:rsidRPr="00B12072">
        <w:rPr>
          <w:rFonts w:ascii="Georgia" w:hAnsi="Georgia" w:cs="Arial"/>
        </w:rPr>
        <w:t>R E S U E L V E,</w:t>
      </w:r>
    </w:p>
    <w:p w:rsidR="001764BB" w:rsidRPr="00B12072" w:rsidRDefault="001764BB" w:rsidP="001764BB">
      <w:pPr>
        <w:pStyle w:val="Sinespaciado"/>
        <w:spacing w:line="288" w:lineRule="auto"/>
        <w:jc w:val="center"/>
        <w:rPr>
          <w:rFonts w:ascii="Georgia" w:hAnsi="Georgia" w:cs="Arial"/>
        </w:rPr>
      </w:pPr>
    </w:p>
    <w:p w:rsidR="001764BB" w:rsidRPr="00B12072" w:rsidRDefault="001764BB" w:rsidP="001764BB">
      <w:pPr>
        <w:pStyle w:val="Textopredeterminado"/>
        <w:numPr>
          <w:ilvl w:val="0"/>
          <w:numId w:val="5"/>
        </w:numPr>
        <w:spacing w:line="288" w:lineRule="auto"/>
        <w:jc w:val="both"/>
        <w:rPr>
          <w:rFonts w:ascii="Georgia" w:hAnsi="Georgia" w:cs="Arial"/>
          <w:szCs w:val="24"/>
        </w:rPr>
      </w:pPr>
      <w:r w:rsidRPr="00B12072">
        <w:rPr>
          <w:rFonts w:ascii="Georgia" w:hAnsi="Georgia" w:cs="Arial"/>
          <w:szCs w:val="24"/>
        </w:rPr>
        <w:t xml:space="preserve">REVOCAR el auto apelado de fecha 21-08-2018, proferido por el Juzgado Segundo </w:t>
      </w:r>
      <w:r w:rsidRPr="00B12072">
        <w:rPr>
          <w:rFonts w:ascii="Georgia" w:hAnsi="Georgia" w:cs="Arial"/>
          <w:szCs w:val="24"/>
          <w:lang w:val="es-MX"/>
        </w:rPr>
        <w:t>Civil del Circuito de Pereira</w:t>
      </w:r>
      <w:r w:rsidRPr="00B12072">
        <w:rPr>
          <w:rFonts w:ascii="Georgia" w:hAnsi="Georgia" w:cs="Arial"/>
          <w:szCs w:val="24"/>
        </w:rPr>
        <w:t>, que denegó las pretensiones de la demanda.</w:t>
      </w:r>
    </w:p>
    <w:p w:rsidR="001764BB" w:rsidRPr="00B12072" w:rsidRDefault="001764BB" w:rsidP="001764BB">
      <w:pPr>
        <w:pStyle w:val="Textopredeterminado"/>
        <w:spacing w:line="288" w:lineRule="auto"/>
        <w:ind w:left="360"/>
        <w:jc w:val="both"/>
        <w:rPr>
          <w:rFonts w:ascii="Georgia" w:hAnsi="Georgia" w:cs="Arial"/>
          <w:szCs w:val="24"/>
        </w:rPr>
      </w:pPr>
    </w:p>
    <w:p w:rsidR="001764BB" w:rsidRPr="00B12072" w:rsidRDefault="001764BB" w:rsidP="001764BB">
      <w:pPr>
        <w:pStyle w:val="Textopredeterminado"/>
        <w:numPr>
          <w:ilvl w:val="0"/>
          <w:numId w:val="4"/>
        </w:numPr>
        <w:spacing w:line="288" w:lineRule="auto"/>
        <w:jc w:val="both"/>
        <w:textAlignment w:val="baseline"/>
        <w:rPr>
          <w:rFonts w:ascii="Georgia" w:hAnsi="Georgia" w:cs="Arial"/>
          <w:szCs w:val="24"/>
        </w:rPr>
      </w:pPr>
      <w:r w:rsidRPr="00B12072">
        <w:rPr>
          <w:rFonts w:ascii="Georgia" w:hAnsi="Georgia" w:cs="Arial"/>
          <w:spacing w:val="-3"/>
          <w:szCs w:val="24"/>
          <w:lang w:val="es-ES_tradnl"/>
        </w:rPr>
        <w:t xml:space="preserve">DECRETAR la venta en pública subasta del inmueble identificado y alinderado en este proceso divisorio, iniciado por la señora Adriana Millán Hernández en contra del señor </w:t>
      </w:r>
      <w:proofErr w:type="spellStart"/>
      <w:r w:rsidRPr="00B12072">
        <w:rPr>
          <w:rFonts w:ascii="Georgia" w:hAnsi="Georgia" w:cs="Arial"/>
          <w:spacing w:val="-3"/>
          <w:szCs w:val="24"/>
          <w:lang w:val="es-ES_tradnl"/>
        </w:rPr>
        <w:t>Alexánder</w:t>
      </w:r>
      <w:proofErr w:type="spellEnd"/>
      <w:r w:rsidRPr="00B12072">
        <w:rPr>
          <w:rFonts w:ascii="Georgia" w:hAnsi="Georgia" w:cs="Arial"/>
          <w:spacing w:val="-3"/>
          <w:szCs w:val="24"/>
          <w:lang w:val="es-ES_tradnl"/>
        </w:rPr>
        <w:t xml:space="preserve"> Aroldo Acosta Arboleda</w:t>
      </w:r>
      <w:r w:rsidRPr="00B12072">
        <w:rPr>
          <w:rFonts w:ascii="Georgia" w:hAnsi="Georgia" w:cs="Arial"/>
          <w:szCs w:val="24"/>
        </w:rPr>
        <w:t>.</w:t>
      </w:r>
    </w:p>
    <w:p w:rsidR="001764BB" w:rsidRPr="00B12072" w:rsidRDefault="001764BB" w:rsidP="001764BB">
      <w:pPr>
        <w:pStyle w:val="Textopredeterminado"/>
        <w:spacing w:line="288" w:lineRule="auto"/>
        <w:ind w:left="360"/>
        <w:jc w:val="both"/>
        <w:textAlignment w:val="baseline"/>
        <w:rPr>
          <w:rFonts w:ascii="Georgia" w:hAnsi="Georgia" w:cs="Arial"/>
          <w:szCs w:val="24"/>
        </w:rPr>
      </w:pPr>
    </w:p>
    <w:p w:rsidR="001764BB" w:rsidRPr="00B12072" w:rsidRDefault="001764BB" w:rsidP="001764BB">
      <w:pPr>
        <w:pStyle w:val="Textopredeterminado"/>
        <w:numPr>
          <w:ilvl w:val="0"/>
          <w:numId w:val="4"/>
        </w:numPr>
        <w:spacing w:line="288" w:lineRule="auto"/>
        <w:jc w:val="both"/>
        <w:textAlignment w:val="baseline"/>
        <w:rPr>
          <w:rFonts w:ascii="Georgia" w:hAnsi="Georgia" w:cs="Arial"/>
          <w:spacing w:val="-3"/>
          <w:szCs w:val="24"/>
          <w:lang w:val="es-ES_tradnl"/>
        </w:rPr>
      </w:pPr>
      <w:r w:rsidRPr="00B12072">
        <w:rPr>
          <w:rFonts w:ascii="Georgia" w:hAnsi="Georgia" w:cs="Arial"/>
          <w:spacing w:val="-3"/>
          <w:szCs w:val="24"/>
          <w:lang w:val="es-ES_tradnl"/>
        </w:rPr>
        <w:t xml:space="preserve">RECONOCER a favor del demandado, por concepto de mejoras, la suma de $10.500.000 pagaderos con el producto de la venta forzosa del inmueble. </w:t>
      </w:r>
    </w:p>
    <w:p w:rsidR="001764BB" w:rsidRPr="00B12072" w:rsidRDefault="001764BB" w:rsidP="001764BB">
      <w:pPr>
        <w:pStyle w:val="Prrafodelista"/>
        <w:spacing w:line="288" w:lineRule="auto"/>
        <w:rPr>
          <w:rFonts w:ascii="Georgia" w:hAnsi="Georgia" w:cs="Arial"/>
          <w:spacing w:val="-3"/>
          <w:sz w:val="24"/>
          <w:szCs w:val="24"/>
          <w:lang w:val="es-ES_tradnl"/>
        </w:rPr>
      </w:pPr>
    </w:p>
    <w:p w:rsidR="001764BB" w:rsidRPr="00B12072" w:rsidRDefault="001764BB" w:rsidP="001764BB">
      <w:pPr>
        <w:pStyle w:val="Textopredeterminado"/>
        <w:numPr>
          <w:ilvl w:val="0"/>
          <w:numId w:val="4"/>
        </w:numPr>
        <w:spacing w:line="288" w:lineRule="auto"/>
        <w:jc w:val="both"/>
        <w:textAlignment w:val="baseline"/>
        <w:rPr>
          <w:rFonts w:ascii="Georgia" w:hAnsi="Georgia" w:cs="Arial"/>
          <w:spacing w:val="-3"/>
          <w:szCs w:val="24"/>
          <w:lang w:val="es-ES_tradnl"/>
        </w:rPr>
      </w:pPr>
      <w:r w:rsidRPr="00B12072">
        <w:rPr>
          <w:rFonts w:ascii="Georgia" w:hAnsi="Georgia" w:cs="Arial"/>
          <w:spacing w:val="-3"/>
          <w:szCs w:val="24"/>
          <w:lang w:val="es-ES_tradnl"/>
        </w:rPr>
        <w:t xml:space="preserve">ORDENAR el secuestro del bien del bien inmueble objeto del proceso. El juzgado de conocimiento en </w:t>
      </w:r>
      <w:r w:rsidRPr="00B12072">
        <w:rPr>
          <w:rFonts w:ascii="Georgia" w:hAnsi="Georgia" w:cs="Arial"/>
          <w:szCs w:val="24"/>
        </w:rPr>
        <w:t>el auto de “</w:t>
      </w:r>
      <w:r w:rsidRPr="00B12072">
        <w:rPr>
          <w:rFonts w:ascii="Georgia" w:hAnsi="Georgia" w:cs="Arial"/>
          <w:i/>
          <w:szCs w:val="24"/>
        </w:rPr>
        <w:t>estarse a lo resuelto por este Tribunal</w:t>
      </w:r>
      <w:r w:rsidRPr="00B12072">
        <w:rPr>
          <w:rFonts w:ascii="Georgia" w:hAnsi="Georgia" w:cs="Arial"/>
          <w:szCs w:val="24"/>
        </w:rPr>
        <w:t>”, dispondrá los detalles para la ejecución de esta orden (Comisión, designación de secuestre, entre otros)</w:t>
      </w:r>
      <w:r w:rsidRPr="00B12072">
        <w:rPr>
          <w:rFonts w:ascii="Georgia" w:hAnsi="Georgia" w:cs="Arial"/>
          <w:spacing w:val="-3"/>
          <w:szCs w:val="24"/>
          <w:lang w:val="es-ES_tradnl"/>
        </w:rPr>
        <w:t xml:space="preserve">. Cumplido este el trámite se sujetará a lo dispuesto en el artículo 411, </w:t>
      </w:r>
      <w:proofErr w:type="spellStart"/>
      <w:r w:rsidRPr="00B12072">
        <w:rPr>
          <w:rFonts w:ascii="Georgia" w:hAnsi="Georgia" w:cs="Arial"/>
          <w:spacing w:val="-3"/>
          <w:szCs w:val="24"/>
          <w:lang w:val="es-ES_tradnl"/>
        </w:rPr>
        <w:t>CGP</w:t>
      </w:r>
      <w:proofErr w:type="spellEnd"/>
      <w:r w:rsidRPr="00B12072">
        <w:rPr>
          <w:rFonts w:ascii="Georgia" w:hAnsi="Georgia" w:cs="Arial"/>
          <w:spacing w:val="-3"/>
          <w:szCs w:val="24"/>
          <w:lang w:val="es-ES_tradnl"/>
        </w:rPr>
        <w:t>.</w:t>
      </w:r>
    </w:p>
    <w:p w:rsidR="001764BB" w:rsidRPr="00B12072" w:rsidRDefault="001764BB" w:rsidP="001764BB">
      <w:pPr>
        <w:pStyle w:val="Prrafodelista"/>
        <w:spacing w:line="288" w:lineRule="auto"/>
        <w:rPr>
          <w:rFonts w:ascii="Georgia" w:hAnsi="Georgia" w:cs="Arial"/>
          <w:spacing w:val="-3"/>
          <w:sz w:val="24"/>
          <w:szCs w:val="24"/>
          <w:lang w:val="es-ES_tradnl"/>
        </w:rPr>
      </w:pPr>
    </w:p>
    <w:p w:rsidR="001764BB" w:rsidRPr="00B12072" w:rsidRDefault="001764BB" w:rsidP="001764BB">
      <w:pPr>
        <w:pStyle w:val="Textopredeterminado"/>
        <w:numPr>
          <w:ilvl w:val="0"/>
          <w:numId w:val="4"/>
        </w:numPr>
        <w:spacing w:line="288" w:lineRule="auto"/>
        <w:jc w:val="both"/>
        <w:textAlignment w:val="baseline"/>
        <w:rPr>
          <w:rFonts w:ascii="Georgia" w:hAnsi="Georgia" w:cs="Arial"/>
          <w:spacing w:val="-3"/>
          <w:szCs w:val="24"/>
          <w:lang w:val="es-ES_tradnl"/>
        </w:rPr>
      </w:pPr>
      <w:r w:rsidRPr="00B12072">
        <w:rPr>
          <w:rFonts w:ascii="Georgia" w:hAnsi="Georgia" w:cs="Arial"/>
          <w:spacing w:val="-3"/>
          <w:szCs w:val="24"/>
          <w:lang w:val="es-ES_tradnl"/>
        </w:rPr>
        <w:t>NO CONDENAR en costas en esta instancia.</w:t>
      </w:r>
    </w:p>
    <w:p w:rsidR="001764BB" w:rsidRPr="00B12072" w:rsidRDefault="001764BB" w:rsidP="001764BB">
      <w:pPr>
        <w:pStyle w:val="Prrafodelista"/>
        <w:spacing w:line="288" w:lineRule="auto"/>
        <w:rPr>
          <w:rFonts w:ascii="Georgia" w:hAnsi="Georgia" w:cs="Arial"/>
          <w:spacing w:val="-3"/>
          <w:sz w:val="24"/>
          <w:szCs w:val="24"/>
          <w:lang w:val="es-ES_tradnl"/>
        </w:rPr>
      </w:pPr>
    </w:p>
    <w:p w:rsidR="001764BB" w:rsidRPr="00B12072" w:rsidRDefault="001764BB" w:rsidP="001764BB">
      <w:pPr>
        <w:pStyle w:val="Textopredeterminado"/>
        <w:numPr>
          <w:ilvl w:val="0"/>
          <w:numId w:val="4"/>
        </w:numPr>
        <w:spacing w:line="288" w:lineRule="auto"/>
        <w:jc w:val="both"/>
        <w:textAlignment w:val="baseline"/>
        <w:rPr>
          <w:rFonts w:ascii="Georgia" w:hAnsi="Georgia" w:cs="Arial"/>
          <w:spacing w:val="-3"/>
          <w:szCs w:val="24"/>
          <w:lang w:val="es-ES_tradnl"/>
        </w:rPr>
      </w:pPr>
      <w:r w:rsidRPr="00B12072">
        <w:rPr>
          <w:rFonts w:ascii="Georgia" w:hAnsi="Georgia" w:cs="Arial"/>
          <w:spacing w:val="-3"/>
          <w:szCs w:val="24"/>
          <w:lang w:val="es-ES_tradnl"/>
        </w:rPr>
        <w:t>ADVERTIR que esta decisión es irrecurrible.</w:t>
      </w:r>
    </w:p>
    <w:p w:rsidR="001764BB" w:rsidRPr="00B12072" w:rsidRDefault="001764BB" w:rsidP="001764BB">
      <w:pPr>
        <w:pStyle w:val="Textopredeterminado"/>
        <w:spacing w:line="288" w:lineRule="auto"/>
        <w:ind w:left="360"/>
        <w:jc w:val="both"/>
        <w:rPr>
          <w:rFonts w:ascii="Georgia" w:hAnsi="Georgia" w:cs="Arial"/>
          <w:spacing w:val="-3"/>
          <w:szCs w:val="24"/>
          <w:lang w:val="es-ES_tradnl"/>
        </w:rPr>
      </w:pPr>
    </w:p>
    <w:p w:rsidR="001764BB" w:rsidRPr="00B12072" w:rsidRDefault="001764BB" w:rsidP="001764BB">
      <w:pPr>
        <w:pStyle w:val="Textopredeterminado"/>
        <w:numPr>
          <w:ilvl w:val="0"/>
          <w:numId w:val="4"/>
        </w:numPr>
        <w:spacing w:line="288" w:lineRule="auto"/>
        <w:jc w:val="both"/>
        <w:textAlignment w:val="baseline"/>
        <w:rPr>
          <w:rFonts w:ascii="Georgia" w:hAnsi="Georgia" w:cs="Arial"/>
          <w:spacing w:val="-3"/>
          <w:szCs w:val="24"/>
          <w:lang w:val="es-ES_tradnl"/>
        </w:rPr>
      </w:pPr>
      <w:r w:rsidRPr="00B12072">
        <w:rPr>
          <w:rFonts w:ascii="Georgia" w:hAnsi="Georgia" w:cs="Arial"/>
          <w:spacing w:val="-3"/>
          <w:szCs w:val="24"/>
          <w:lang w:val="es-ES_tradnl"/>
        </w:rPr>
        <w:lastRenderedPageBreak/>
        <w:t>DEVOLVER el expediente al juzgado de origen.</w:t>
      </w:r>
    </w:p>
    <w:p w:rsidR="001764BB" w:rsidRPr="00B12072" w:rsidRDefault="001764BB" w:rsidP="001764BB">
      <w:pPr>
        <w:pStyle w:val="Textopredeterminado"/>
        <w:tabs>
          <w:tab w:val="left" w:pos="544"/>
        </w:tabs>
        <w:spacing w:line="288" w:lineRule="auto"/>
        <w:ind w:left="360"/>
        <w:jc w:val="both"/>
        <w:textAlignment w:val="baseline"/>
        <w:rPr>
          <w:rFonts w:ascii="Georgia" w:hAnsi="Georgia" w:cs="Arial"/>
          <w:color w:val="auto"/>
          <w:szCs w:val="24"/>
        </w:rPr>
      </w:pPr>
    </w:p>
    <w:p w:rsidR="001764BB" w:rsidRPr="00B12072" w:rsidRDefault="001764BB" w:rsidP="001764BB">
      <w:pPr>
        <w:spacing w:line="288" w:lineRule="auto"/>
        <w:jc w:val="center"/>
        <w:rPr>
          <w:rFonts w:ascii="Georgia" w:hAnsi="Georgia" w:cs="Arial"/>
          <w:smallCaps/>
          <w:sz w:val="24"/>
          <w:szCs w:val="24"/>
        </w:rPr>
      </w:pPr>
      <w:r>
        <w:rPr>
          <w:rFonts w:ascii="Georgia" w:hAnsi="Georgia" w:cs="Arial"/>
          <w:smallCaps/>
          <w:sz w:val="24"/>
          <w:szCs w:val="24"/>
        </w:rPr>
        <w:t>Notifíquese</w:t>
      </w:r>
    </w:p>
    <w:p w:rsidR="001764BB" w:rsidRDefault="001764BB" w:rsidP="001764BB">
      <w:pPr>
        <w:spacing w:line="288" w:lineRule="auto"/>
        <w:jc w:val="both"/>
        <w:rPr>
          <w:rFonts w:ascii="Georgia" w:hAnsi="Georgia" w:cs="Arial"/>
          <w:sz w:val="24"/>
          <w:szCs w:val="24"/>
        </w:rPr>
      </w:pPr>
    </w:p>
    <w:p w:rsidR="00A7483A" w:rsidRPr="00B12072" w:rsidRDefault="00A7483A" w:rsidP="001764BB">
      <w:pPr>
        <w:spacing w:line="288" w:lineRule="auto"/>
        <w:jc w:val="both"/>
        <w:rPr>
          <w:rFonts w:ascii="Georgia" w:hAnsi="Georgia" w:cs="Arial"/>
          <w:sz w:val="24"/>
          <w:szCs w:val="24"/>
        </w:rPr>
      </w:pPr>
      <w:bookmarkStart w:id="0" w:name="_GoBack"/>
      <w:bookmarkEnd w:id="0"/>
    </w:p>
    <w:p w:rsidR="001764BB" w:rsidRPr="00B12072" w:rsidRDefault="001764BB" w:rsidP="001764BB">
      <w:pPr>
        <w:spacing w:line="288" w:lineRule="auto"/>
        <w:jc w:val="both"/>
        <w:rPr>
          <w:rFonts w:ascii="Georgia" w:hAnsi="Georgia" w:cs="Arial"/>
          <w:sz w:val="24"/>
          <w:szCs w:val="24"/>
        </w:rPr>
      </w:pPr>
    </w:p>
    <w:p w:rsidR="001764BB" w:rsidRPr="00C419CF" w:rsidRDefault="001764BB" w:rsidP="001764BB">
      <w:pPr>
        <w:pStyle w:val="Textopredeterminado"/>
        <w:spacing w:line="288" w:lineRule="auto"/>
        <w:jc w:val="center"/>
        <w:rPr>
          <w:rFonts w:ascii="Georgia" w:hAnsi="Georgia" w:cs="Arial"/>
          <w:caps/>
          <w:spacing w:val="20"/>
          <w:w w:val="150"/>
          <w:lang w:val="es-MX"/>
        </w:rPr>
      </w:pPr>
      <w:proofErr w:type="spellStart"/>
      <w:r w:rsidRPr="00C419CF">
        <w:rPr>
          <w:rFonts w:ascii="Georgia" w:hAnsi="Georgia" w:cs="Arial"/>
          <w:caps/>
          <w:spacing w:val="20"/>
          <w:w w:val="150"/>
          <w:sz w:val="28"/>
          <w:lang w:val="es-MX"/>
        </w:rPr>
        <w:t>D</w:t>
      </w:r>
      <w:r w:rsidRPr="00C419CF">
        <w:rPr>
          <w:rFonts w:ascii="Georgia" w:hAnsi="Georgia" w:cs="Arial"/>
          <w:caps/>
          <w:spacing w:val="20"/>
          <w:w w:val="150"/>
          <w:sz w:val="18"/>
          <w:lang w:val="es-MX"/>
        </w:rPr>
        <w:t>UBERNEY</w:t>
      </w:r>
      <w:proofErr w:type="spellEnd"/>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G</w:t>
      </w:r>
      <w:r w:rsidRPr="00C419CF">
        <w:rPr>
          <w:rFonts w:ascii="Georgia" w:hAnsi="Georgia" w:cs="Arial"/>
          <w:caps/>
          <w:spacing w:val="20"/>
          <w:w w:val="150"/>
          <w:sz w:val="18"/>
          <w:lang w:val="es-MX"/>
        </w:rPr>
        <w:t>RISALES</w:t>
      </w:r>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H</w:t>
      </w:r>
      <w:r w:rsidRPr="00C419CF">
        <w:rPr>
          <w:rFonts w:ascii="Georgia" w:hAnsi="Georgia" w:cs="Arial"/>
          <w:caps/>
          <w:spacing w:val="20"/>
          <w:w w:val="150"/>
          <w:sz w:val="18"/>
          <w:lang w:val="es-MX"/>
        </w:rPr>
        <w:t>ERRERA</w:t>
      </w:r>
    </w:p>
    <w:p w:rsidR="00F32819" w:rsidRPr="000F1676" w:rsidRDefault="001764BB" w:rsidP="000F167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spacing w:val="20"/>
          <w:w w:val="150"/>
          <w:sz w:val="18"/>
          <w:szCs w:val="22"/>
          <w:lang w:val="en-US"/>
        </w:rPr>
      </w:pPr>
      <w:r w:rsidRPr="00C419CF">
        <w:rPr>
          <w:rFonts w:ascii="Georgia" w:hAnsi="Georgia" w:cs="Arial"/>
          <w:caps/>
          <w:spacing w:val="20"/>
          <w:w w:val="150"/>
          <w:sz w:val="28"/>
          <w:szCs w:val="24"/>
        </w:rPr>
        <w:t>M</w:t>
      </w:r>
      <w:r w:rsidRPr="00C419CF">
        <w:rPr>
          <w:rFonts w:ascii="Georgia" w:hAnsi="Georgia" w:cs="Arial"/>
          <w:caps/>
          <w:spacing w:val="20"/>
          <w:w w:val="150"/>
          <w:sz w:val="18"/>
        </w:rPr>
        <w:t>agistrado</w:t>
      </w:r>
    </w:p>
    <w:sectPr w:rsidR="00F32819" w:rsidRPr="000F1676" w:rsidSect="00C017F6">
      <w:headerReference w:type="default" r:id="rId9"/>
      <w:footerReference w:type="default" r:id="rId10"/>
      <w:pgSz w:w="12240" w:h="18720" w:code="14"/>
      <w:pgMar w:top="1814" w:right="1361" w:bottom="1361" w:left="181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54" w:rsidRDefault="00365054" w:rsidP="001764BB">
      <w:r>
        <w:separator/>
      </w:r>
    </w:p>
  </w:endnote>
  <w:endnote w:type="continuationSeparator" w:id="0">
    <w:p w:rsidR="00365054" w:rsidRDefault="00365054" w:rsidP="0017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Default="004B3998" w:rsidP="000137EF">
    <w:pPr>
      <w:pStyle w:val="Piedepgina"/>
      <w:pBdr>
        <w:bottom w:val="double" w:sz="6" w:space="1" w:color="auto"/>
      </w:pBdr>
      <w:tabs>
        <w:tab w:val="left" w:pos="3919"/>
      </w:tabs>
      <w:spacing w:line="360" w:lineRule="auto"/>
      <w:rPr>
        <w:rFonts w:ascii="Arial" w:hAnsi="Arial" w:cs="Arial"/>
        <w:spacing w:val="20"/>
        <w:w w:val="200"/>
        <w:sz w:val="14"/>
        <w:szCs w:val="10"/>
        <w:lang w:val="es-CO"/>
      </w:rPr>
    </w:pPr>
    <w:r>
      <w:rPr>
        <w:rFonts w:ascii="Arial" w:hAnsi="Arial" w:cs="Arial"/>
        <w:spacing w:val="20"/>
        <w:w w:val="200"/>
        <w:sz w:val="14"/>
        <w:szCs w:val="10"/>
        <w:lang w:val="es-CO"/>
      </w:rPr>
      <w:tab/>
    </w:r>
    <w:r>
      <w:rPr>
        <w:rFonts w:ascii="Arial" w:hAnsi="Arial" w:cs="Arial"/>
        <w:spacing w:val="20"/>
        <w:w w:val="200"/>
        <w:sz w:val="14"/>
        <w:szCs w:val="10"/>
        <w:lang w:val="es-CO"/>
      </w:rPr>
      <w:tab/>
    </w:r>
    <w:r>
      <w:rPr>
        <w:rFonts w:ascii="Arial" w:hAnsi="Arial" w:cs="Arial"/>
        <w:spacing w:val="20"/>
        <w:w w:val="200"/>
        <w:sz w:val="14"/>
        <w:szCs w:val="10"/>
        <w:lang w:val="es-CO"/>
      </w:rPr>
      <w:tab/>
    </w:r>
  </w:p>
  <w:p w:rsidR="00045CE3" w:rsidRDefault="00365054" w:rsidP="00045CE3">
    <w:pPr>
      <w:pStyle w:val="Piedepgina"/>
      <w:spacing w:line="360" w:lineRule="auto"/>
      <w:jc w:val="right"/>
      <w:rPr>
        <w:rFonts w:ascii="Arial" w:hAnsi="Arial" w:cs="Arial"/>
        <w:spacing w:val="20"/>
        <w:w w:val="200"/>
        <w:sz w:val="14"/>
        <w:szCs w:val="10"/>
        <w:lang w:val="es-CO"/>
      </w:rPr>
    </w:pPr>
  </w:p>
  <w:p w:rsidR="003C5098" w:rsidRPr="003E18D8" w:rsidRDefault="004B39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4B3998" w:rsidP="00045CE3">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proofErr w:type="spellStart"/>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proofErr w:type="spellEnd"/>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54" w:rsidRDefault="00365054" w:rsidP="001764BB">
      <w:r>
        <w:separator/>
      </w:r>
    </w:p>
  </w:footnote>
  <w:footnote w:type="continuationSeparator" w:id="0">
    <w:p w:rsidR="00365054" w:rsidRDefault="00365054" w:rsidP="001764BB">
      <w:r>
        <w:continuationSeparator/>
      </w:r>
    </w:p>
  </w:footnote>
  <w:footnote w:id="1">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proofErr w:type="spellStart"/>
      <w:r w:rsidRPr="00A8155F">
        <w:rPr>
          <w:rFonts w:ascii="Arial" w:hAnsi="Arial" w:cs="Arial"/>
          <w:sz w:val="18"/>
          <w:szCs w:val="22"/>
        </w:rPr>
        <w:t>TSP</w:t>
      </w:r>
      <w:proofErr w:type="spellEnd"/>
      <w:r w:rsidRPr="00A8155F">
        <w:rPr>
          <w:rFonts w:ascii="Arial" w:hAnsi="Arial" w:cs="Arial"/>
          <w:sz w:val="18"/>
          <w:szCs w:val="22"/>
        </w:rPr>
        <w:t>, Civil-Familia. Proveído de 11-10-2016; MS: Grisales H., No. 2015-00086-02.</w:t>
      </w:r>
    </w:p>
  </w:footnote>
  <w:footnote w:id="2">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ESCOBAR V. Édgar G. Los recursos en el Código General del Proceso. Librería jurídica Sánchez R. Ltda. 2015, p. 37.</w:t>
      </w:r>
    </w:p>
  </w:footnote>
  <w:footnote w:id="3">
    <w:p w:rsidR="001764BB" w:rsidRPr="00A8155F" w:rsidRDefault="001764BB" w:rsidP="001764BB">
      <w:pPr>
        <w:pStyle w:val="Textonotapie"/>
        <w:jc w:val="both"/>
        <w:rPr>
          <w:rFonts w:ascii="Arial" w:hAnsi="Arial" w:cs="Arial"/>
          <w:sz w:val="18"/>
          <w:szCs w:val="22"/>
        </w:rPr>
      </w:pPr>
      <w:r w:rsidRPr="00A8155F">
        <w:rPr>
          <w:rFonts w:ascii="Arial" w:hAnsi="Arial" w:cs="Arial"/>
          <w:sz w:val="18"/>
          <w:szCs w:val="22"/>
          <w:vertAlign w:val="superscript"/>
        </w:rPr>
        <w:footnoteRef/>
      </w:r>
      <w:r w:rsidRPr="00A8155F">
        <w:rPr>
          <w:rFonts w:ascii="Arial" w:hAnsi="Arial" w:cs="Arial"/>
          <w:sz w:val="18"/>
          <w:szCs w:val="22"/>
        </w:rPr>
        <w:t xml:space="preserve"> </w:t>
      </w:r>
      <w:r w:rsidRPr="00A8155F">
        <w:rPr>
          <w:rFonts w:ascii="Arial" w:hAnsi="Arial" w:cs="Arial"/>
          <w:sz w:val="18"/>
          <w:szCs w:val="22"/>
          <w:lang w:val="es-CO"/>
        </w:rPr>
        <w:t xml:space="preserve">LÓPEZ B., Hernán F. Código General del Proceso, parte general, Bogotá DC, </w:t>
      </w:r>
      <w:proofErr w:type="spellStart"/>
      <w:r w:rsidRPr="00A8155F">
        <w:rPr>
          <w:rFonts w:ascii="Arial" w:hAnsi="Arial" w:cs="Arial"/>
          <w:sz w:val="18"/>
          <w:szCs w:val="22"/>
          <w:lang w:val="es-CO"/>
        </w:rPr>
        <w:t>Dupre</w:t>
      </w:r>
      <w:proofErr w:type="spellEnd"/>
      <w:r w:rsidRPr="00A8155F">
        <w:rPr>
          <w:rFonts w:ascii="Arial" w:hAnsi="Arial" w:cs="Arial"/>
          <w:sz w:val="18"/>
          <w:szCs w:val="22"/>
          <w:lang w:val="es-CO"/>
        </w:rPr>
        <w:t xml:space="preserve"> editores, 2016, p. 769-776</w:t>
      </w:r>
      <w:r w:rsidRPr="00A8155F">
        <w:rPr>
          <w:rFonts w:ascii="Arial" w:hAnsi="Arial" w:cs="Arial"/>
          <w:sz w:val="18"/>
          <w:szCs w:val="22"/>
        </w:rPr>
        <w:t>.</w:t>
      </w:r>
    </w:p>
  </w:footnote>
  <w:footnote w:id="4">
    <w:p w:rsidR="001764BB" w:rsidRPr="00A8155F" w:rsidRDefault="001764BB" w:rsidP="001764BB">
      <w:pPr>
        <w:pStyle w:val="Textonotapie"/>
        <w:jc w:val="both"/>
        <w:rPr>
          <w:rFonts w:ascii="Arial" w:hAnsi="Arial" w:cs="Arial"/>
          <w:sz w:val="18"/>
          <w:szCs w:val="22"/>
        </w:rPr>
      </w:pPr>
      <w:r w:rsidRPr="00A8155F">
        <w:rPr>
          <w:rFonts w:ascii="Arial" w:hAnsi="Arial" w:cs="Arial"/>
          <w:sz w:val="18"/>
          <w:szCs w:val="22"/>
          <w:vertAlign w:val="superscript"/>
        </w:rPr>
        <w:footnoteRef/>
      </w:r>
      <w:r w:rsidRPr="00A8155F">
        <w:rPr>
          <w:rFonts w:ascii="Arial" w:hAnsi="Arial" w:cs="Arial"/>
          <w:sz w:val="18"/>
          <w:szCs w:val="22"/>
        </w:rPr>
        <w:t xml:space="preserve"> PARRA Q., Jairo. Derecho procesal civil, tomo I, Santafé de Bogotá D.C., Temis, 1992, p. 276.</w:t>
      </w:r>
    </w:p>
  </w:footnote>
  <w:footnote w:id="5">
    <w:p w:rsidR="001764BB" w:rsidRPr="00A8155F" w:rsidRDefault="001764BB" w:rsidP="001764BB">
      <w:pPr>
        <w:pStyle w:val="Sinespaciado"/>
        <w:jc w:val="both"/>
        <w:rPr>
          <w:rFonts w:ascii="Arial" w:hAnsi="Arial" w:cs="Arial"/>
          <w:sz w:val="18"/>
          <w:szCs w:val="22"/>
        </w:rPr>
      </w:pPr>
      <w:r w:rsidRPr="00A8155F">
        <w:rPr>
          <w:rFonts w:ascii="Arial" w:hAnsi="Arial" w:cs="Arial"/>
          <w:sz w:val="18"/>
          <w:szCs w:val="22"/>
          <w:vertAlign w:val="superscript"/>
        </w:rPr>
        <w:footnoteRef/>
      </w:r>
      <w:r w:rsidRPr="00A8155F">
        <w:rPr>
          <w:rFonts w:ascii="Arial" w:hAnsi="Arial" w:cs="Arial"/>
          <w:sz w:val="18"/>
          <w:szCs w:val="22"/>
        </w:rPr>
        <w:t xml:space="preserve"> </w:t>
      </w:r>
      <w:r w:rsidRPr="00A8155F">
        <w:rPr>
          <w:rFonts w:ascii="Arial" w:hAnsi="Arial" w:cs="Arial"/>
          <w:sz w:val="18"/>
          <w:szCs w:val="22"/>
          <w:lang w:val="es-CO"/>
        </w:rPr>
        <w:t xml:space="preserve">LÓPEZ B., Hernán F. </w:t>
      </w:r>
      <w:r w:rsidRPr="00A8155F">
        <w:rPr>
          <w:rFonts w:ascii="Arial" w:hAnsi="Arial" w:cs="Arial"/>
          <w:sz w:val="18"/>
          <w:szCs w:val="22"/>
        </w:rPr>
        <w:t>Ob. cit., p. 769.</w:t>
      </w:r>
    </w:p>
  </w:footnote>
  <w:footnote w:id="6">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 xml:space="preserve">ROJAS G., Miguel E. Lecciones de derecho procesal, procedimiento civil, tomo II, </w:t>
      </w:r>
      <w:proofErr w:type="spellStart"/>
      <w:r w:rsidRPr="00A8155F">
        <w:rPr>
          <w:rFonts w:ascii="Arial" w:hAnsi="Arial" w:cs="Arial"/>
          <w:sz w:val="18"/>
          <w:szCs w:val="22"/>
          <w:lang w:val="es-CO"/>
        </w:rPr>
        <w:t>ESAJU</w:t>
      </w:r>
      <w:proofErr w:type="spellEnd"/>
      <w:r w:rsidRPr="00A8155F">
        <w:rPr>
          <w:rFonts w:ascii="Arial" w:hAnsi="Arial" w:cs="Arial"/>
          <w:sz w:val="18"/>
          <w:szCs w:val="22"/>
          <w:lang w:val="es-CO"/>
        </w:rPr>
        <w:t>, 2017, 6ª edición, Bogotá, p. 429.</w:t>
      </w:r>
    </w:p>
  </w:footnote>
  <w:footnote w:id="7">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 xml:space="preserve">CSJ. Sala Civil. Sentencia del 17-09-1992; </w:t>
      </w:r>
      <w:proofErr w:type="spellStart"/>
      <w:r w:rsidRPr="00A8155F">
        <w:rPr>
          <w:rFonts w:ascii="Arial" w:hAnsi="Arial" w:cs="Arial"/>
          <w:sz w:val="18"/>
          <w:szCs w:val="22"/>
          <w:lang w:val="es-CO"/>
        </w:rPr>
        <w:t>MP</w:t>
      </w:r>
      <w:proofErr w:type="spellEnd"/>
      <w:r w:rsidRPr="00A8155F">
        <w:rPr>
          <w:rFonts w:ascii="Arial" w:hAnsi="Arial" w:cs="Arial"/>
          <w:sz w:val="18"/>
          <w:szCs w:val="22"/>
          <w:lang w:val="es-CO"/>
        </w:rPr>
        <w:t>: Ospina B.</w:t>
      </w:r>
    </w:p>
  </w:footnote>
  <w:footnote w:id="8">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 xml:space="preserve">CSJ. </w:t>
      </w:r>
      <w:proofErr w:type="spellStart"/>
      <w:r w:rsidRPr="00A8155F">
        <w:rPr>
          <w:rFonts w:ascii="Arial" w:hAnsi="Arial" w:cs="Arial"/>
          <w:sz w:val="18"/>
          <w:szCs w:val="22"/>
          <w:lang w:val="es-CO"/>
        </w:rPr>
        <w:t>STC</w:t>
      </w:r>
      <w:proofErr w:type="spellEnd"/>
      <w:r w:rsidRPr="00A8155F">
        <w:rPr>
          <w:rFonts w:ascii="Arial" w:hAnsi="Arial" w:cs="Arial"/>
          <w:sz w:val="18"/>
          <w:szCs w:val="22"/>
          <w:lang w:val="es-CO"/>
        </w:rPr>
        <w:t xml:space="preserve"> 12737-2017.</w:t>
      </w:r>
    </w:p>
  </w:footnote>
  <w:footnote w:id="9">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LÓPEZ B., Hernán F.</w:t>
      </w:r>
      <w:r w:rsidRPr="00A8155F">
        <w:rPr>
          <w:rFonts w:ascii="Arial" w:hAnsi="Arial" w:cs="Arial"/>
          <w:sz w:val="18"/>
          <w:szCs w:val="22"/>
        </w:rPr>
        <w:t xml:space="preserve"> Ob. cit., p. 776.</w:t>
      </w:r>
    </w:p>
  </w:footnote>
  <w:footnote w:id="10">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 xml:space="preserve">ROJAS G., Miguel E. Código General del Proceso comentado, </w:t>
      </w:r>
      <w:proofErr w:type="spellStart"/>
      <w:r w:rsidRPr="00A8155F">
        <w:rPr>
          <w:rFonts w:ascii="Arial" w:hAnsi="Arial" w:cs="Arial"/>
          <w:sz w:val="18"/>
          <w:szCs w:val="22"/>
          <w:lang w:val="es-CO"/>
        </w:rPr>
        <w:t>ESAJU</w:t>
      </w:r>
      <w:proofErr w:type="spellEnd"/>
      <w:r w:rsidRPr="00A8155F">
        <w:rPr>
          <w:rFonts w:ascii="Arial" w:hAnsi="Arial" w:cs="Arial"/>
          <w:sz w:val="18"/>
          <w:szCs w:val="22"/>
          <w:lang w:val="es-CO"/>
        </w:rPr>
        <w:t>, 2017, Bogotá DC, p. 511.</w:t>
      </w:r>
    </w:p>
  </w:footnote>
  <w:footnote w:id="11">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CSJ, Sala Civil. Sentencia del 29-11-1996, </w:t>
      </w:r>
      <w:proofErr w:type="spellStart"/>
      <w:r w:rsidRPr="00A8155F">
        <w:rPr>
          <w:rFonts w:ascii="Arial" w:hAnsi="Arial" w:cs="Arial"/>
          <w:sz w:val="18"/>
          <w:szCs w:val="22"/>
        </w:rPr>
        <w:t>MP</w:t>
      </w:r>
      <w:proofErr w:type="spellEnd"/>
      <w:r w:rsidRPr="00A8155F">
        <w:rPr>
          <w:rFonts w:ascii="Arial" w:hAnsi="Arial" w:cs="Arial"/>
          <w:sz w:val="18"/>
          <w:szCs w:val="22"/>
        </w:rPr>
        <w:t xml:space="preserve">: </w:t>
      </w:r>
      <w:proofErr w:type="spellStart"/>
      <w:r w:rsidRPr="00A8155F">
        <w:rPr>
          <w:rFonts w:ascii="Arial" w:hAnsi="Arial" w:cs="Arial"/>
          <w:sz w:val="18"/>
          <w:szCs w:val="22"/>
        </w:rPr>
        <w:t>Bechara</w:t>
      </w:r>
      <w:proofErr w:type="spellEnd"/>
      <w:r w:rsidRPr="00A8155F">
        <w:rPr>
          <w:rFonts w:ascii="Arial" w:hAnsi="Arial" w:cs="Arial"/>
          <w:sz w:val="18"/>
          <w:szCs w:val="22"/>
        </w:rPr>
        <w:t xml:space="preserve"> S., No. 4721.</w:t>
      </w:r>
    </w:p>
  </w:footnote>
  <w:footnote w:id="12">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 xml:space="preserve">ROJAS G., Miguel E. Lecciones de derecho procesal, tomo 4, procesos de conocimiento. </w:t>
      </w:r>
      <w:proofErr w:type="spellStart"/>
      <w:r w:rsidRPr="00A8155F">
        <w:rPr>
          <w:rFonts w:ascii="Arial" w:hAnsi="Arial" w:cs="Arial"/>
          <w:sz w:val="18"/>
          <w:szCs w:val="22"/>
          <w:lang w:val="es-CO"/>
        </w:rPr>
        <w:t>ESAJU</w:t>
      </w:r>
      <w:proofErr w:type="spellEnd"/>
      <w:r w:rsidRPr="00A8155F">
        <w:rPr>
          <w:rFonts w:ascii="Arial" w:hAnsi="Arial" w:cs="Arial"/>
          <w:sz w:val="18"/>
          <w:szCs w:val="22"/>
          <w:lang w:val="es-CO"/>
        </w:rPr>
        <w:t>, 2016, Bogotá DC, p. 466.</w:t>
      </w:r>
    </w:p>
  </w:footnote>
  <w:footnote w:id="13">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BEJARANO G., Ramiro. Procesos declarativos, arbitrales y ejecutivos, 6ª edición, Temis, 2016, Bogotá DC., p. 368.</w:t>
      </w:r>
    </w:p>
  </w:footnote>
  <w:footnote w:id="14">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 xml:space="preserve">AZULA  C. Jaime. Procesos declarativos especiales, 6ª edición, Temis, 2016, Bogotá DC., p. 338. </w:t>
      </w:r>
    </w:p>
  </w:footnote>
  <w:footnote w:id="15">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CANOSA T.</w:t>
      </w:r>
      <w:r w:rsidRPr="00A8155F">
        <w:rPr>
          <w:rFonts w:ascii="Arial" w:hAnsi="Arial" w:cs="Arial"/>
          <w:sz w:val="18"/>
          <w:szCs w:val="22"/>
          <w:lang w:val="es-CO"/>
        </w:rPr>
        <w:t>, Juan C. El proceso divisorio, Bogotá DC, Ediciones Doctrina y ley, 1991, p. 62.</w:t>
      </w:r>
    </w:p>
  </w:footnote>
  <w:footnote w:id="16">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ROJAS G., Miguel E. Ob. Cit., p. 465.</w:t>
      </w:r>
    </w:p>
  </w:footnote>
  <w:footnote w:id="17">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LÓPEZ B., Hernán F. Código General del Proceso, parte especial, Bogotá DC, </w:t>
      </w:r>
      <w:proofErr w:type="spellStart"/>
      <w:r w:rsidRPr="00A8155F">
        <w:rPr>
          <w:rFonts w:ascii="Arial" w:hAnsi="Arial" w:cs="Arial"/>
          <w:sz w:val="18"/>
          <w:szCs w:val="22"/>
        </w:rPr>
        <w:t>Dupre</w:t>
      </w:r>
      <w:proofErr w:type="spellEnd"/>
      <w:r w:rsidRPr="00A8155F">
        <w:rPr>
          <w:rFonts w:ascii="Arial" w:hAnsi="Arial" w:cs="Arial"/>
          <w:sz w:val="18"/>
          <w:szCs w:val="22"/>
        </w:rPr>
        <w:t xml:space="preserve"> editores, 2017, p. 408.</w:t>
      </w:r>
    </w:p>
  </w:footnote>
  <w:footnote w:id="18">
    <w:p w:rsidR="001764BB" w:rsidRPr="00A8155F" w:rsidRDefault="001764BB" w:rsidP="001764BB">
      <w:pPr>
        <w:pStyle w:val="Textonotapie"/>
        <w:jc w:val="both"/>
        <w:rPr>
          <w:rFonts w:ascii="Arial" w:hAnsi="Arial" w:cs="Arial"/>
          <w:sz w:val="18"/>
          <w:szCs w:val="22"/>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 xml:space="preserve">VELÁSQUEZ J., Luis G. Bienes, 13ª edición, Bogotá DC, </w:t>
      </w:r>
      <w:proofErr w:type="spellStart"/>
      <w:r w:rsidRPr="00A8155F">
        <w:rPr>
          <w:rFonts w:ascii="Arial" w:hAnsi="Arial" w:cs="Arial"/>
          <w:sz w:val="18"/>
          <w:szCs w:val="22"/>
          <w:lang w:val="es-CO"/>
        </w:rPr>
        <w:t>Comlibros</w:t>
      </w:r>
      <w:proofErr w:type="spellEnd"/>
      <w:r w:rsidRPr="00A8155F">
        <w:rPr>
          <w:rFonts w:ascii="Arial" w:hAnsi="Arial" w:cs="Arial"/>
          <w:sz w:val="18"/>
          <w:szCs w:val="22"/>
          <w:lang w:val="es-CO"/>
        </w:rPr>
        <w:t>, 2014, p. 229-230</w:t>
      </w:r>
      <w:r w:rsidRPr="00A8155F">
        <w:rPr>
          <w:rFonts w:ascii="Arial" w:hAnsi="Arial" w:cs="Arial"/>
          <w:sz w:val="18"/>
          <w:szCs w:val="22"/>
        </w:rPr>
        <w:t>.</w:t>
      </w:r>
    </w:p>
  </w:footnote>
  <w:footnote w:id="19">
    <w:p w:rsidR="001764BB" w:rsidRPr="00A8155F" w:rsidRDefault="001764BB" w:rsidP="001764BB">
      <w:pPr>
        <w:pStyle w:val="Textonotapie"/>
        <w:jc w:val="both"/>
        <w:rPr>
          <w:rFonts w:ascii="Arial" w:hAnsi="Arial" w:cs="Arial"/>
          <w:sz w:val="18"/>
          <w:szCs w:val="22"/>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 xml:space="preserve">CSJ, Sala Civil. Sentencia del 07-05-2002; </w:t>
      </w:r>
      <w:proofErr w:type="spellStart"/>
      <w:r w:rsidRPr="00A8155F">
        <w:rPr>
          <w:rFonts w:ascii="Arial" w:hAnsi="Arial" w:cs="Arial"/>
          <w:sz w:val="18"/>
          <w:szCs w:val="22"/>
          <w:lang w:val="es-CO"/>
        </w:rPr>
        <w:t>MP</w:t>
      </w:r>
      <w:proofErr w:type="spellEnd"/>
      <w:r w:rsidRPr="00A8155F">
        <w:rPr>
          <w:rFonts w:ascii="Arial" w:hAnsi="Arial" w:cs="Arial"/>
          <w:sz w:val="18"/>
          <w:szCs w:val="22"/>
          <w:lang w:val="es-CO"/>
        </w:rPr>
        <w:t>: Jaramillo J., No. 6763.  Reiterativa de fallos del 22-03-1979 y el 22-03-1988, de la misma Corte.</w:t>
      </w:r>
    </w:p>
  </w:footnote>
  <w:footnote w:id="20">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 xml:space="preserve">CSJ, Sala Civil. Sentencia publicada en </w:t>
      </w:r>
      <w:proofErr w:type="spellStart"/>
      <w:r w:rsidRPr="00A8155F">
        <w:rPr>
          <w:rFonts w:ascii="Arial" w:hAnsi="Arial" w:cs="Arial"/>
          <w:sz w:val="18"/>
          <w:szCs w:val="22"/>
        </w:rPr>
        <w:t>G.J</w:t>
      </w:r>
      <w:proofErr w:type="spellEnd"/>
      <w:r w:rsidRPr="00A8155F">
        <w:rPr>
          <w:rFonts w:ascii="Arial" w:hAnsi="Arial" w:cs="Arial"/>
          <w:sz w:val="18"/>
          <w:szCs w:val="22"/>
        </w:rPr>
        <w:t xml:space="preserve">. t. CLIX, pág. 89. Reiterada en decisiones de: (i) 26-03-1999, No. 5149; (ii) 07-02-2008, No. 2001-06915-01; y, recientemente en </w:t>
      </w:r>
      <w:proofErr w:type="spellStart"/>
      <w:r w:rsidRPr="00A8155F">
        <w:rPr>
          <w:rFonts w:ascii="Arial" w:hAnsi="Arial" w:cs="Arial"/>
          <w:sz w:val="18"/>
          <w:szCs w:val="22"/>
        </w:rPr>
        <w:t>STC</w:t>
      </w:r>
      <w:proofErr w:type="spellEnd"/>
      <w:r w:rsidRPr="00A8155F">
        <w:rPr>
          <w:rFonts w:ascii="Arial" w:hAnsi="Arial" w:cs="Arial"/>
          <w:sz w:val="18"/>
          <w:szCs w:val="22"/>
        </w:rPr>
        <w:t xml:space="preserve"> 8879-2017.</w:t>
      </w:r>
    </w:p>
  </w:footnote>
  <w:footnote w:id="21">
    <w:p w:rsidR="001764BB" w:rsidRPr="00A8155F" w:rsidRDefault="001764BB" w:rsidP="001764BB">
      <w:pPr>
        <w:pStyle w:val="Textonotapie"/>
        <w:rPr>
          <w:rFonts w:ascii="Arial" w:hAnsi="Arial" w:cs="Arial"/>
          <w:sz w:val="18"/>
          <w:lang w:val="es-CO"/>
        </w:rPr>
      </w:pPr>
      <w:r w:rsidRPr="00A8155F">
        <w:rPr>
          <w:rStyle w:val="Refdenotaalpie"/>
          <w:rFonts w:ascii="Arial" w:hAnsi="Arial" w:cs="Arial"/>
          <w:sz w:val="18"/>
        </w:rPr>
        <w:footnoteRef/>
      </w:r>
      <w:r w:rsidRPr="00A8155F">
        <w:rPr>
          <w:rFonts w:ascii="Arial" w:hAnsi="Arial" w:cs="Arial"/>
          <w:sz w:val="18"/>
        </w:rPr>
        <w:t xml:space="preserve"> </w:t>
      </w:r>
      <w:r w:rsidRPr="00A8155F">
        <w:rPr>
          <w:rFonts w:ascii="Arial" w:hAnsi="Arial" w:cs="Arial"/>
          <w:sz w:val="18"/>
          <w:szCs w:val="22"/>
          <w:lang w:val="es-CO"/>
        </w:rPr>
        <w:t xml:space="preserve">CSJ, Sala Civil. Sentencia del </w:t>
      </w:r>
      <w:r w:rsidRPr="00A8155F">
        <w:rPr>
          <w:rFonts w:ascii="Arial" w:hAnsi="Arial" w:cs="Arial"/>
          <w:sz w:val="18"/>
          <w:lang w:val="es-CO"/>
        </w:rPr>
        <w:t xml:space="preserve">05-07-2007; </w:t>
      </w:r>
      <w:proofErr w:type="spellStart"/>
      <w:r w:rsidRPr="00A8155F">
        <w:rPr>
          <w:rFonts w:ascii="Arial" w:hAnsi="Arial" w:cs="Arial"/>
          <w:sz w:val="18"/>
          <w:lang w:val="es-CO"/>
        </w:rPr>
        <w:t>MP</w:t>
      </w:r>
      <w:proofErr w:type="spellEnd"/>
      <w:r w:rsidRPr="00A8155F">
        <w:rPr>
          <w:rFonts w:ascii="Arial" w:hAnsi="Arial" w:cs="Arial"/>
          <w:sz w:val="18"/>
          <w:lang w:val="es-CO"/>
        </w:rPr>
        <w:t>: Ardila V., No. 1998-00358-01</w:t>
      </w:r>
    </w:p>
  </w:footnote>
  <w:footnote w:id="22">
    <w:p w:rsidR="001764BB" w:rsidRPr="00A8155F" w:rsidRDefault="001764BB" w:rsidP="001764BB">
      <w:pPr>
        <w:pStyle w:val="Textonotapie"/>
        <w:jc w:val="both"/>
        <w:rPr>
          <w:rFonts w:ascii="Arial" w:hAnsi="Arial" w:cs="Arial"/>
          <w:sz w:val="18"/>
          <w:szCs w:val="22"/>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 xml:space="preserve">CSJ, Sala Civil. Sentencia del 30-07-2010; </w:t>
      </w:r>
      <w:proofErr w:type="spellStart"/>
      <w:r w:rsidRPr="00A8155F">
        <w:rPr>
          <w:rFonts w:ascii="Arial" w:hAnsi="Arial" w:cs="Arial"/>
          <w:sz w:val="18"/>
          <w:szCs w:val="22"/>
          <w:lang w:val="es-CO"/>
        </w:rPr>
        <w:t>MP</w:t>
      </w:r>
      <w:proofErr w:type="spellEnd"/>
      <w:r w:rsidRPr="00A8155F">
        <w:rPr>
          <w:rFonts w:ascii="Arial" w:hAnsi="Arial" w:cs="Arial"/>
          <w:sz w:val="18"/>
          <w:szCs w:val="22"/>
          <w:lang w:val="es-CO"/>
        </w:rPr>
        <w:t xml:space="preserve">: </w:t>
      </w:r>
      <w:proofErr w:type="spellStart"/>
      <w:r w:rsidRPr="00A8155F">
        <w:rPr>
          <w:rFonts w:ascii="Arial" w:hAnsi="Arial" w:cs="Arial"/>
          <w:sz w:val="18"/>
          <w:szCs w:val="22"/>
          <w:lang w:val="es-CO"/>
        </w:rPr>
        <w:t>Namén</w:t>
      </w:r>
      <w:proofErr w:type="spellEnd"/>
      <w:r w:rsidRPr="00A8155F">
        <w:rPr>
          <w:rFonts w:ascii="Arial" w:hAnsi="Arial" w:cs="Arial"/>
          <w:sz w:val="18"/>
          <w:szCs w:val="22"/>
          <w:lang w:val="es-CO"/>
        </w:rPr>
        <w:t xml:space="preserve"> V., No. 2005-00154-01.</w:t>
      </w:r>
    </w:p>
  </w:footnote>
  <w:footnote w:id="23">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LÓPEZ B., Hernán F. Ob. Cit. p. 420. </w:t>
      </w:r>
    </w:p>
  </w:footnote>
  <w:footnote w:id="24">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BEJARANO G., Ramiro. Ob. Cit. p. 376.</w:t>
      </w:r>
    </w:p>
  </w:footnote>
  <w:footnote w:id="25">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 xml:space="preserve">ROJAS G., Miguel E. </w:t>
      </w:r>
      <w:r w:rsidRPr="00A8155F">
        <w:rPr>
          <w:rFonts w:ascii="Arial" w:hAnsi="Arial" w:cs="Arial"/>
          <w:sz w:val="18"/>
          <w:szCs w:val="22"/>
        </w:rPr>
        <w:t>Ob. Cit.</w:t>
      </w:r>
      <w:r w:rsidRPr="00A8155F">
        <w:rPr>
          <w:rFonts w:ascii="Arial" w:hAnsi="Arial" w:cs="Arial"/>
          <w:sz w:val="18"/>
          <w:szCs w:val="22"/>
          <w:lang w:val="es-CO"/>
        </w:rPr>
        <w:t xml:space="preserve"> p. 466</w:t>
      </w:r>
    </w:p>
  </w:footnote>
  <w:footnote w:id="26">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 xml:space="preserve">AZULA  C. Jaime. </w:t>
      </w:r>
      <w:r w:rsidRPr="00A8155F">
        <w:rPr>
          <w:rFonts w:ascii="Arial" w:hAnsi="Arial" w:cs="Arial"/>
          <w:sz w:val="18"/>
          <w:szCs w:val="22"/>
        </w:rPr>
        <w:t>Ob. Cit. p. 338.</w:t>
      </w:r>
    </w:p>
  </w:footnote>
  <w:footnote w:id="27">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ÁLVAREZ G. Marco A. Ensayos sobre el Código General del Proceso. Bogotá DC, Temis, 2017, p. 335.</w:t>
      </w:r>
    </w:p>
  </w:footnote>
  <w:footnote w:id="28">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C-157  de 2013.</w:t>
      </w:r>
    </w:p>
  </w:footnote>
  <w:footnote w:id="29">
    <w:p w:rsidR="001764BB" w:rsidRPr="00A8155F" w:rsidRDefault="001764BB" w:rsidP="001764BB">
      <w:pPr>
        <w:pStyle w:val="Textonotapie"/>
        <w:jc w:val="both"/>
        <w:rPr>
          <w:rFonts w:ascii="Arial" w:hAnsi="Arial" w:cs="Arial"/>
          <w:sz w:val="18"/>
          <w:szCs w:val="22"/>
          <w:lang w:val="es-CO"/>
        </w:rPr>
      </w:pPr>
      <w:r w:rsidRPr="00A8155F">
        <w:rPr>
          <w:rStyle w:val="Refdenotaalpie"/>
          <w:rFonts w:ascii="Arial" w:hAnsi="Arial" w:cs="Arial"/>
          <w:sz w:val="18"/>
          <w:szCs w:val="22"/>
        </w:rPr>
        <w:footnoteRef/>
      </w:r>
      <w:r w:rsidRPr="00A8155F">
        <w:rPr>
          <w:rFonts w:ascii="Arial" w:hAnsi="Arial" w:cs="Arial"/>
          <w:sz w:val="18"/>
          <w:szCs w:val="22"/>
        </w:rPr>
        <w:t xml:space="preserve"> </w:t>
      </w:r>
      <w:r w:rsidRPr="00A8155F">
        <w:rPr>
          <w:rFonts w:ascii="Arial" w:hAnsi="Arial" w:cs="Arial"/>
          <w:sz w:val="18"/>
          <w:szCs w:val="22"/>
          <w:lang w:val="es-CO"/>
        </w:rPr>
        <w:t>VELÁSQUEZ J., Luis G. Ob. cit., p. 511-515.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Pr="00B62758" w:rsidRDefault="004B3998"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A7483A" w:rsidRPr="00A7483A">
      <w:rPr>
        <w:rFonts w:asciiTheme="minorHAnsi" w:hAnsiTheme="minorHAnsi" w:cs="Calibri"/>
        <w:bCs/>
        <w:noProof/>
      </w:rPr>
      <w:t>9</w:t>
    </w:r>
    <w:r w:rsidRPr="00B62758">
      <w:rPr>
        <w:rFonts w:asciiTheme="minorHAnsi" w:hAnsiTheme="minorHAnsi" w:cs="Calibri"/>
      </w:rPr>
      <w:fldChar w:fldCharType="end"/>
    </w:r>
  </w:p>
  <w:p w:rsidR="00045CE3" w:rsidRPr="00323447" w:rsidRDefault="004B3998" w:rsidP="00045CE3">
    <w:pPr>
      <w:pStyle w:val="Encabezado"/>
      <w:rPr>
        <w:rFonts w:asciiTheme="majorHAnsi" w:hAnsiTheme="majorHAnsi" w:cs="Iskoola Pota"/>
        <w:i/>
        <w:sz w:val="18"/>
        <w:lang w:val="es-CO"/>
      </w:rPr>
    </w:pPr>
    <w:r w:rsidRPr="00C303BC">
      <w:rPr>
        <w:rFonts w:asciiTheme="majorHAnsi" w:hAnsiTheme="majorHAnsi" w:cs="Iskoola Pota"/>
        <w:i/>
        <w:lang w:val="es-CO"/>
      </w:rPr>
      <w:t>E</w:t>
    </w:r>
    <w:r w:rsidRPr="00C303BC">
      <w:rPr>
        <w:rFonts w:asciiTheme="majorHAnsi" w:hAnsiTheme="majorHAnsi" w:cs="Iskoola Pota"/>
        <w:i/>
        <w:sz w:val="16"/>
        <w:lang w:val="es-CO"/>
      </w:rPr>
      <w:t xml:space="preserve">XPEDIENTE </w:t>
    </w:r>
    <w:proofErr w:type="spellStart"/>
    <w:r w:rsidRPr="00C303BC">
      <w:rPr>
        <w:rFonts w:asciiTheme="majorHAnsi" w:hAnsiTheme="majorHAnsi" w:cs="Iskoola Pota"/>
        <w:i/>
        <w:sz w:val="16"/>
        <w:lang w:val="es-CO"/>
      </w:rPr>
      <w:t>No.20</w:t>
    </w:r>
    <w:r>
      <w:rPr>
        <w:rFonts w:asciiTheme="majorHAnsi" w:hAnsiTheme="majorHAnsi" w:cs="Iskoola Pota"/>
        <w:i/>
        <w:sz w:val="16"/>
        <w:lang w:val="es-CO"/>
      </w:rPr>
      <w:t>17</w:t>
    </w:r>
    <w:proofErr w:type="spellEnd"/>
    <w:r w:rsidRPr="00C303BC">
      <w:rPr>
        <w:rFonts w:asciiTheme="majorHAnsi" w:hAnsiTheme="majorHAnsi" w:cs="Iskoola Pota"/>
        <w:i/>
        <w:sz w:val="16"/>
        <w:lang w:val="es-CO"/>
      </w:rPr>
      <w:t>-0</w:t>
    </w:r>
    <w:r>
      <w:rPr>
        <w:rFonts w:asciiTheme="majorHAnsi" w:hAnsiTheme="majorHAnsi" w:cs="Iskoola Pota"/>
        <w:i/>
        <w:sz w:val="16"/>
        <w:lang w:val="es-CO"/>
      </w:rPr>
      <w:t>0377</w:t>
    </w:r>
    <w:r w:rsidRPr="00C303BC">
      <w:rPr>
        <w:rFonts w:asciiTheme="majorHAnsi" w:hAnsiTheme="majorHAnsi" w:cs="Iskoola Pota"/>
        <w:i/>
        <w:sz w:val="16"/>
        <w:lang w:val="es-CO"/>
      </w:rPr>
      <w:t>-01</w:t>
    </w:r>
  </w:p>
  <w:p w:rsidR="008D321B" w:rsidRPr="00045CE3" w:rsidRDefault="00365054"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BB"/>
    <w:rsid w:val="00083062"/>
    <w:rsid w:val="000F1676"/>
    <w:rsid w:val="001764BB"/>
    <w:rsid w:val="00365054"/>
    <w:rsid w:val="004B3998"/>
    <w:rsid w:val="00A305D2"/>
    <w:rsid w:val="00A7483A"/>
    <w:rsid w:val="00A8155F"/>
    <w:rsid w:val="00C11715"/>
    <w:rsid w:val="00E5441F"/>
    <w:rsid w:val="00F32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B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4BB"/>
    <w:pPr>
      <w:tabs>
        <w:tab w:val="center" w:pos="4419"/>
        <w:tab w:val="right" w:pos="8838"/>
      </w:tabs>
    </w:pPr>
  </w:style>
  <w:style w:type="character" w:customStyle="1" w:styleId="EncabezadoCar">
    <w:name w:val="Encabezado Car"/>
    <w:basedOn w:val="Fuentedeprrafopredeter"/>
    <w:link w:val="Encabezado"/>
    <w:uiPriority w:val="99"/>
    <w:rsid w:val="001764BB"/>
    <w:rPr>
      <w:rFonts w:ascii="Times New Roman" w:eastAsia="Times New Roman" w:hAnsi="Times New Roman" w:cs="Times New Roman"/>
      <w:sz w:val="20"/>
      <w:szCs w:val="20"/>
      <w:lang w:eastAsia="es-ES"/>
    </w:rPr>
  </w:style>
  <w:style w:type="paragraph" w:styleId="Ttulo">
    <w:name w:val="Title"/>
    <w:basedOn w:val="Normal"/>
    <w:link w:val="TtuloCar"/>
    <w:uiPriority w:val="99"/>
    <w:qFormat/>
    <w:rsid w:val="001764BB"/>
    <w:pPr>
      <w:jc w:val="center"/>
    </w:pPr>
    <w:rPr>
      <w:rFonts w:ascii="Arial" w:hAnsi="Arial"/>
      <w:b/>
      <w:i/>
      <w:sz w:val="24"/>
    </w:rPr>
  </w:style>
  <w:style w:type="character" w:customStyle="1" w:styleId="TtuloCar">
    <w:name w:val="Título Car"/>
    <w:basedOn w:val="Fuentedeprrafopredeter"/>
    <w:link w:val="Ttulo"/>
    <w:uiPriority w:val="99"/>
    <w:rsid w:val="001764BB"/>
    <w:rPr>
      <w:rFonts w:ascii="Arial" w:eastAsia="Times New Roman" w:hAnsi="Arial" w:cs="Times New Roman"/>
      <w:b/>
      <w:i/>
      <w:sz w:val="24"/>
      <w:szCs w:val="20"/>
      <w:lang w:eastAsia="es-ES"/>
    </w:rPr>
  </w:style>
  <w:style w:type="paragraph" w:styleId="Sinespaciado">
    <w:name w:val="No Spacing"/>
    <w:link w:val="SinespaciadoCar"/>
    <w:qFormat/>
    <w:rsid w:val="001764BB"/>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styleId="Textoindependiente">
    <w:name w:val="Body Text"/>
    <w:aliases w:val="Car"/>
    <w:basedOn w:val="Normal"/>
    <w:link w:val="TextoindependienteCar"/>
    <w:uiPriority w:val="99"/>
    <w:rsid w:val="00176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1764BB"/>
    <w:rPr>
      <w:rFonts w:ascii="Verdana" w:eastAsia="Times New Roman" w:hAnsi="Verdana" w:cs="Times New Roman"/>
      <w:spacing w:val="-3"/>
      <w:sz w:val="24"/>
      <w:szCs w:val="20"/>
      <w:lang w:val="es-ES_tradnl" w:eastAsia="es-ES"/>
    </w:rPr>
  </w:style>
  <w:style w:type="paragraph" w:styleId="Prrafodelista">
    <w:name w:val="List Paragraph"/>
    <w:basedOn w:val="Normal"/>
    <w:uiPriority w:val="34"/>
    <w:qFormat/>
    <w:rsid w:val="001764BB"/>
    <w:pPr>
      <w:ind w:left="708"/>
    </w:pPr>
  </w:style>
  <w:style w:type="paragraph" w:styleId="Piedepgina">
    <w:name w:val="footer"/>
    <w:aliases w:val="Pie de página Car Car"/>
    <w:basedOn w:val="Normal"/>
    <w:link w:val="PiedepginaCar"/>
    <w:uiPriority w:val="99"/>
    <w:unhideWhenUsed/>
    <w:rsid w:val="001764BB"/>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rsid w:val="001764BB"/>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1764BB"/>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1764BB"/>
    <w:rPr>
      <w:rFonts w:ascii="Times New Roman" w:eastAsia="Times New Roman" w:hAnsi="Times New Roman" w:cs="Times New Roman"/>
      <w:sz w:val="20"/>
      <w:szCs w:val="20"/>
      <w:lang w:eastAsia="es-ES"/>
    </w:rPr>
  </w:style>
  <w:style w:type="paragraph" w:customStyle="1" w:styleId="Textopredeterminado">
    <w:name w:val="Texto predeterminado"/>
    <w:basedOn w:val="Normal"/>
    <w:rsid w:val="001764BB"/>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1764BB"/>
    <w:rPr>
      <w:rFonts w:cs="Times New Roman"/>
      <w:vertAlign w:val="superscript"/>
    </w:rPr>
  </w:style>
  <w:style w:type="character" w:customStyle="1" w:styleId="SinespaciadoCar">
    <w:name w:val="Sin espaciado Car"/>
    <w:link w:val="Sinespaciado"/>
    <w:locked/>
    <w:rsid w:val="001764BB"/>
    <w:rPr>
      <w:rFonts w:ascii="Courier New" w:eastAsia="Times New Roman" w:hAnsi="Courier New" w:cs="Courier New"/>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B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4BB"/>
    <w:pPr>
      <w:tabs>
        <w:tab w:val="center" w:pos="4419"/>
        <w:tab w:val="right" w:pos="8838"/>
      </w:tabs>
    </w:pPr>
  </w:style>
  <w:style w:type="character" w:customStyle="1" w:styleId="EncabezadoCar">
    <w:name w:val="Encabezado Car"/>
    <w:basedOn w:val="Fuentedeprrafopredeter"/>
    <w:link w:val="Encabezado"/>
    <w:uiPriority w:val="99"/>
    <w:rsid w:val="001764BB"/>
    <w:rPr>
      <w:rFonts w:ascii="Times New Roman" w:eastAsia="Times New Roman" w:hAnsi="Times New Roman" w:cs="Times New Roman"/>
      <w:sz w:val="20"/>
      <w:szCs w:val="20"/>
      <w:lang w:eastAsia="es-ES"/>
    </w:rPr>
  </w:style>
  <w:style w:type="paragraph" w:styleId="Ttulo">
    <w:name w:val="Title"/>
    <w:basedOn w:val="Normal"/>
    <w:link w:val="TtuloCar"/>
    <w:uiPriority w:val="99"/>
    <w:qFormat/>
    <w:rsid w:val="001764BB"/>
    <w:pPr>
      <w:jc w:val="center"/>
    </w:pPr>
    <w:rPr>
      <w:rFonts w:ascii="Arial" w:hAnsi="Arial"/>
      <w:b/>
      <w:i/>
      <w:sz w:val="24"/>
    </w:rPr>
  </w:style>
  <w:style w:type="character" w:customStyle="1" w:styleId="TtuloCar">
    <w:name w:val="Título Car"/>
    <w:basedOn w:val="Fuentedeprrafopredeter"/>
    <w:link w:val="Ttulo"/>
    <w:uiPriority w:val="99"/>
    <w:rsid w:val="001764BB"/>
    <w:rPr>
      <w:rFonts w:ascii="Arial" w:eastAsia="Times New Roman" w:hAnsi="Arial" w:cs="Times New Roman"/>
      <w:b/>
      <w:i/>
      <w:sz w:val="24"/>
      <w:szCs w:val="20"/>
      <w:lang w:eastAsia="es-ES"/>
    </w:rPr>
  </w:style>
  <w:style w:type="paragraph" w:styleId="Sinespaciado">
    <w:name w:val="No Spacing"/>
    <w:link w:val="SinespaciadoCar"/>
    <w:qFormat/>
    <w:rsid w:val="001764BB"/>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styleId="Textoindependiente">
    <w:name w:val="Body Text"/>
    <w:aliases w:val="Car"/>
    <w:basedOn w:val="Normal"/>
    <w:link w:val="TextoindependienteCar"/>
    <w:uiPriority w:val="99"/>
    <w:rsid w:val="001764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1764BB"/>
    <w:rPr>
      <w:rFonts w:ascii="Verdana" w:eastAsia="Times New Roman" w:hAnsi="Verdana" w:cs="Times New Roman"/>
      <w:spacing w:val="-3"/>
      <w:sz w:val="24"/>
      <w:szCs w:val="20"/>
      <w:lang w:val="es-ES_tradnl" w:eastAsia="es-ES"/>
    </w:rPr>
  </w:style>
  <w:style w:type="paragraph" w:styleId="Prrafodelista">
    <w:name w:val="List Paragraph"/>
    <w:basedOn w:val="Normal"/>
    <w:uiPriority w:val="34"/>
    <w:qFormat/>
    <w:rsid w:val="001764BB"/>
    <w:pPr>
      <w:ind w:left="708"/>
    </w:pPr>
  </w:style>
  <w:style w:type="paragraph" w:styleId="Piedepgina">
    <w:name w:val="footer"/>
    <w:aliases w:val="Pie de página Car Car"/>
    <w:basedOn w:val="Normal"/>
    <w:link w:val="PiedepginaCar"/>
    <w:uiPriority w:val="99"/>
    <w:unhideWhenUsed/>
    <w:rsid w:val="001764BB"/>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rsid w:val="001764BB"/>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1764BB"/>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1764BB"/>
    <w:rPr>
      <w:rFonts w:ascii="Times New Roman" w:eastAsia="Times New Roman" w:hAnsi="Times New Roman" w:cs="Times New Roman"/>
      <w:sz w:val="20"/>
      <w:szCs w:val="20"/>
      <w:lang w:eastAsia="es-ES"/>
    </w:rPr>
  </w:style>
  <w:style w:type="paragraph" w:customStyle="1" w:styleId="Textopredeterminado">
    <w:name w:val="Texto predeterminado"/>
    <w:basedOn w:val="Normal"/>
    <w:rsid w:val="001764BB"/>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1764BB"/>
    <w:rPr>
      <w:rFonts w:cs="Times New Roman"/>
      <w:vertAlign w:val="superscript"/>
    </w:rPr>
  </w:style>
  <w:style w:type="character" w:customStyle="1" w:styleId="SinespaciadoCar">
    <w:name w:val="Sin espaciado Car"/>
    <w:link w:val="Sinespaciado"/>
    <w:locked/>
    <w:rsid w:val="001764BB"/>
    <w:rPr>
      <w:rFonts w:ascii="Courier New" w:eastAsia="Times New Roman" w:hAnsi="Courier New" w:cs="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3286</Words>
  <Characters>18077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5</cp:revision>
  <dcterms:created xsi:type="dcterms:W3CDTF">2019-01-09T15:12:00Z</dcterms:created>
  <dcterms:modified xsi:type="dcterms:W3CDTF">2019-01-10T16:01:00Z</dcterms:modified>
</cp:coreProperties>
</file>