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B69" w:rsidRPr="00FC6B69" w:rsidRDefault="00FC6B69" w:rsidP="00FC6B69">
      <w:pPr>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rPr>
          <w:rFonts w:ascii="Calibri" w:eastAsia="Calibri" w:hAnsi="Calibri" w:cs="Calibri"/>
          <w:color w:val="FF0000"/>
          <w:spacing w:val="-8"/>
          <w:sz w:val="16"/>
          <w:szCs w:val="16"/>
          <w:lang w:val="es-CO" w:eastAsia="fr-FR"/>
        </w:rPr>
      </w:pPr>
      <w:bookmarkStart w:id="0" w:name="_GoBack"/>
      <w:bookmarkEnd w:id="0"/>
      <w:r w:rsidRPr="00FC6B69">
        <w:rPr>
          <w:rFonts w:ascii="Calibri" w:eastAsia="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FC6B69" w:rsidRPr="00FC6B69" w:rsidRDefault="00FC6B69" w:rsidP="00FC6B69">
      <w:pPr>
        <w:pBdr>
          <w:top w:val="single" w:sz="4" w:space="1" w:color="auto"/>
          <w:left w:val="single" w:sz="4" w:space="4" w:color="auto"/>
          <w:bottom w:val="single" w:sz="4" w:space="1" w:color="auto"/>
          <w:right w:val="single" w:sz="4" w:space="4" w:color="auto"/>
        </w:pBdr>
        <w:shd w:val="clear" w:color="auto" w:fill="FFFFFF"/>
        <w:overflowPunct/>
        <w:autoSpaceDE/>
        <w:autoSpaceDN/>
        <w:adjustRightInd/>
        <w:spacing w:after="200"/>
        <w:jc w:val="center"/>
        <w:textAlignment w:val="auto"/>
        <w:rPr>
          <w:rFonts w:ascii="Calibri" w:eastAsia="Calibri" w:hAnsi="Calibri" w:cs="Calibri"/>
          <w:color w:val="222222"/>
          <w:sz w:val="18"/>
          <w:szCs w:val="18"/>
          <w:lang w:val="es-CO" w:eastAsia="fr-FR"/>
        </w:rPr>
      </w:pPr>
      <w:r w:rsidRPr="00FC6B69">
        <w:rPr>
          <w:rFonts w:ascii="Calibri" w:eastAsia="Calibri" w:hAnsi="Calibri" w:cs="Calibri"/>
          <w:color w:val="FF0000"/>
          <w:sz w:val="16"/>
          <w:szCs w:val="16"/>
          <w:lang w:val="es-CO" w:eastAsia="fr-FR"/>
        </w:rPr>
        <w:t>El contenido total y fiel de la decisión debe ser verificado en la Secretaría de esta Sala.</w:t>
      </w:r>
    </w:p>
    <w:p w:rsidR="00FC6B69" w:rsidRPr="00FC6B69" w:rsidRDefault="00FC6B69" w:rsidP="00FC6B69">
      <w:pPr>
        <w:shd w:val="clear" w:color="auto" w:fill="FFFFFF"/>
        <w:overflowPunct/>
        <w:autoSpaceDE/>
        <w:autoSpaceDN/>
        <w:adjustRightInd/>
        <w:ind w:left="1843" w:hanging="1843"/>
        <w:jc w:val="both"/>
        <w:textAlignment w:val="auto"/>
        <w:rPr>
          <w:rFonts w:ascii="Calibri" w:hAnsi="Calibri" w:cs="Calibri"/>
          <w:color w:val="222222"/>
          <w:sz w:val="18"/>
          <w:szCs w:val="18"/>
          <w:lang w:val="es-CO" w:eastAsia="fr-FR"/>
        </w:rPr>
      </w:pPr>
      <w:r w:rsidRPr="00FC6B69">
        <w:rPr>
          <w:rFonts w:ascii="Calibri" w:hAnsi="Calibri" w:cs="Calibri"/>
          <w:color w:val="222222"/>
          <w:sz w:val="18"/>
          <w:szCs w:val="18"/>
          <w:lang w:val="es-CO" w:eastAsia="fr-FR"/>
        </w:rPr>
        <w:t>Providencia:</w:t>
      </w:r>
      <w:r w:rsidRPr="00FC6B69">
        <w:rPr>
          <w:rFonts w:ascii="Calibri" w:hAnsi="Calibri" w:cs="Calibri"/>
          <w:color w:val="222222"/>
          <w:sz w:val="18"/>
          <w:szCs w:val="18"/>
          <w:lang w:val="es-CO" w:eastAsia="fr-FR"/>
        </w:rPr>
        <w:tab/>
        <w:t>Sentencia  – 1ª instancia – 29 de febrero de 2018</w:t>
      </w:r>
    </w:p>
    <w:p w:rsidR="00FC6B69" w:rsidRPr="00FC6B69" w:rsidRDefault="00FC6B69" w:rsidP="00FC6B69">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color w:val="222222"/>
          <w:sz w:val="18"/>
          <w:szCs w:val="18"/>
          <w:lang w:eastAsia="fr-FR"/>
        </w:rPr>
      </w:pPr>
      <w:r w:rsidRPr="00FC6B69">
        <w:rPr>
          <w:rFonts w:ascii="Calibri" w:eastAsia="Calibri" w:hAnsi="Calibri" w:cs="Calibri"/>
          <w:color w:val="222222"/>
          <w:sz w:val="18"/>
          <w:szCs w:val="18"/>
          <w:lang w:val="es-CO" w:eastAsia="fr-FR"/>
        </w:rPr>
        <w:t>Proceso:    </w:t>
      </w:r>
      <w:r w:rsidRPr="00FC6B69">
        <w:rPr>
          <w:rFonts w:ascii="Calibri" w:eastAsia="Calibri" w:hAnsi="Calibri" w:cs="Calibri"/>
          <w:color w:val="222222"/>
          <w:sz w:val="18"/>
          <w:szCs w:val="18"/>
          <w:lang w:val="es-CO" w:eastAsia="fr-FR"/>
        </w:rPr>
        <w:tab/>
        <w:t>Acción de Tutela – Declara improcedencia y niega amparo</w:t>
      </w:r>
    </w:p>
    <w:p w:rsidR="00FC6B69" w:rsidRPr="00FC6B69" w:rsidRDefault="00FC6B69" w:rsidP="00FC6B69">
      <w:pPr>
        <w:shd w:val="clear" w:color="auto" w:fill="FFFFFF"/>
        <w:tabs>
          <w:tab w:val="left" w:pos="1790"/>
          <w:tab w:val="left" w:pos="1816"/>
          <w:tab w:val="left" w:pos="1843"/>
          <w:tab w:val="left" w:pos="4755"/>
        </w:tabs>
        <w:overflowPunct/>
        <w:autoSpaceDE/>
        <w:autoSpaceDN/>
        <w:adjustRightInd/>
        <w:ind w:left="1843" w:hanging="1843"/>
        <w:jc w:val="both"/>
        <w:textAlignment w:val="auto"/>
        <w:rPr>
          <w:rFonts w:ascii="Calibri" w:eastAsia="Calibri" w:hAnsi="Calibri" w:cs="Calibri"/>
          <w:bCs/>
          <w:iCs/>
          <w:color w:val="222222"/>
          <w:sz w:val="18"/>
          <w:szCs w:val="18"/>
          <w:lang w:eastAsia="fr-FR"/>
        </w:rPr>
      </w:pPr>
      <w:r w:rsidRPr="00FC6B69">
        <w:rPr>
          <w:rFonts w:ascii="Calibri" w:eastAsia="Calibri" w:hAnsi="Calibri" w:cs="Calibri"/>
          <w:color w:val="222222"/>
          <w:sz w:val="18"/>
          <w:szCs w:val="18"/>
          <w:lang w:val="es-CO" w:eastAsia="fr-FR"/>
        </w:rPr>
        <w:t>Radicación Nro. :</w:t>
      </w:r>
      <w:r w:rsidRPr="00FC6B69">
        <w:rPr>
          <w:rFonts w:ascii="Calibri" w:eastAsia="Calibri" w:hAnsi="Calibri" w:cs="Calibri"/>
          <w:color w:val="222222"/>
          <w:sz w:val="18"/>
          <w:szCs w:val="18"/>
          <w:lang w:val="es-CO" w:eastAsia="fr-FR"/>
        </w:rPr>
        <w:tab/>
      </w:r>
      <w:r w:rsidRPr="00FC6B69">
        <w:rPr>
          <w:rFonts w:ascii="Calibri" w:eastAsia="Calibri" w:hAnsi="Calibri" w:cs="Calibri"/>
          <w:color w:val="222222"/>
          <w:sz w:val="18"/>
          <w:szCs w:val="18"/>
          <w:lang w:val="es-CO" w:eastAsia="fr-FR"/>
        </w:rPr>
        <w:tab/>
        <w:t xml:space="preserve"> </w:t>
      </w:r>
      <w:r w:rsidRPr="00FC6B69">
        <w:rPr>
          <w:rFonts w:ascii="Calibri" w:eastAsia="Calibri" w:hAnsi="Calibri" w:cs="Calibri"/>
          <w:bCs/>
          <w:iCs/>
          <w:color w:val="222222"/>
          <w:sz w:val="18"/>
          <w:szCs w:val="18"/>
          <w:lang w:eastAsia="fr-FR"/>
        </w:rPr>
        <w:t>66001-22-13-000-2018-00009-00</w:t>
      </w:r>
    </w:p>
    <w:p w:rsidR="00FC6B69" w:rsidRPr="00FC6B69" w:rsidRDefault="00FC6B69" w:rsidP="00FC6B69">
      <w:pPr>
        <w:shd w:val="clear" w:color="auto" w:fill="FFFFFF"/>
        <w:tabs>
          <w:tab w:val="left" w:pos="1790"/>
          <w:tab w:val="left" w:pos="1816"/>
          <w:tab w:val="left" w:pos="1843"/>
          <w:tab w:val="left" w:pos="4755"/>
        </w:tabs>
        <w:overflowPunct/>
        <w:autoSpaceDE/>
        <w:autoSpaceDN/>
        <w:adjustRightInd/>
        <w:ind w:left="1843" w:hanging="1843"/>
        <w:jc w:val="both"/>
        <w:textAlignment w:val="auto"/>
        <w:rPr>
          <w:rFonts w:ascii="Calibri" w:eastAsia="Calibri" w:hAnsi="Calibri" w:cs="Calibri"/>
          <w:bCs/>
          <w:iCs/>
          <w:color w:val="222222"/>
          <w:sz w:val="18"/>
          <w:szCs w:val="18"/>
          <w:u w:val="double"/>
          <w:lang w:eastAsia="fr-FR"/>
        </w:rPr>
      </w:pPr>
      <w:r w:rsidRPr="00FC6B69">
        <w:rPr>
          <w:rFonts w:ascii="Calibri" w:eastAsia="Calibri" w:hAnsi="Calibri" w:cs="Calibri"/>
          <w:bCs/>
          <w:iCs/>
          <w:color w:val="222222"/>
          <w:sz w:val="18"/>
          <w:szCs w:val="18"/>
          <w:lang w:eastAsia="fr-FR"/>
        </w:rPr>
        <w:t xml:space="preserve">Accionante: </w:t>
      </w:r>
      <w:r w:rsidRPr="00FC6B69">
        <w:rPr>
          <w:rFonts w:ascii="Calibri" w:eastAsia="Calibri" w:hAnsi="Calibri" w:cs="Calibri"/>
          <w:bCs/>
          <w:iCs/>
          <w:color w:val="222222"/>
          <w:sz w:val="18"/>
          <w:szCs w:val="18"/>
          <w:lang w:eastAsia="fr-FR"/>
        </w:rPr>
        <w:tab/>
      </w:r>
      <w:r w:rsidRPr="00FC6B69">
        <w:rPr>
          <w:rFonts w:ascii="Calibri" w:eastAsia="Calibri" w:hAnsi="Calibri" w:cs="Calibri"/>
          <w:bCs/>
          <w:iCs/>
          <w:color w:val="222222"/>
          <w:sz w:val="18"/>
          <w:szCs w:val="18"/>
          <w:lang w:eastAsia="fr-FR"/>
        </w:rPr>
        <w:tab/>
      </w:r>
      <w:r w:rsidRPr="00FC6B69">
        <w:rPr>
          <w:rFonts w:ascii="Calibri" w:eastAsia="Calibri" w:hAnsi="Calibri" w:cs="Calibri"/>
          <w:bCs/>
          <w:iCs/>
          <w:color w:val="222222"/>
          <w:sz w:val="18"/>
          <w:szCs w:val="18"/>
          <w:lang w:eastAsia="fr-FR"/>
        </w:rPr>
        <w:tab/>
        <w:t xml:space="preserve"> WILSON ANTONIO BEDOYA MARTÍNEZ</w:t>
      </w:r>
    </w:p>
    <w:p w:rsidR="00FC6B69" w:rsidRPr="00FC6B69" w:rsidRDefault="00FC6B69" w:rsidP="00FC6B69">
      <w:pPr>
        <w:shd w:val="clear" w:color="auto" w:fill="FFFFFF"/>
        <w:tabs>
          <w:tab w:val="left" w:pos="1790"/>
          <w:tab w:val="left" w:pos="1816"/>
          <w:tab w:val="left" w:pos="1843"/>
          <w:tab w:val="left" w:pos="4755"/>
        </w:tabs>
        <w:overflowPunct/>
        <w:autoSpaceDE/>
        <w:autoSpaceDN/>
        <w:adjustRightInd/>
        <w:ind w:left="1843" w:hanging="1843"/>
        <w:jc w:val="both"/>
        <w:textAlignment w:val="auto"/>
        <w:rPr>
          <w:rFonts w:ascii="Calibri" w:eastAsia="Calibri" w:hAnsi="Calibri" w:cs="Calibri"/>
          <w:color w:val="222222"/>
          <w:spacing w:val="-6"/>
          <w:sz w:val="18"/>
          <w:szCs w:val="18"/>
          <w:lang w:val="es-ES_tradnl" w:eastAsia="fr-FR"/>
        </w:rPr>
      </w:pPr>
      <w:r w:rsidRPr="00FC6B69">
        <w:rPr>
          <w:rFonts w:ascii="Calibri" w:eastAsia="Calibri" w:hAnsi="Calibri" w:cs="Calibri"/>
          <w:color w:val="222222"/>
          <w:sz w:val="18"/>
          <w:szCs w:val="18"/>
          <w:lang w:val="es-CO" w:eastAsia="fr-FR"/>
        </w:rPr>
        <w:t>Accionado:</w:t>
      </w:r>
      <w:r w:rsidRPr="00FC6B69">
        <w:rPr>
          <w:rFonts w:ascii="Calibri" w:eastAsia="Calibri" w:hAnsi="Calibri" w:cs="Calibri"/>
          <w:color w:val="222222"/>
          <w:sz w:val="18"/>
          <w:szCs w:val="18"/>
          <w:lang w:val="es-CO" w:eastAsia="fr-FR"/>
        </w:rPr>
        <w:tab/>
        <w:t xml:space="preserve">  </w:t>
      </w:r>
      <w:r w:rsidRPr="00FC6B69">
        <w:rPr>
          <w:rFonts w:ascii="Calibri" w:eastAsia="Calibri" w:hAnsi="Calibri" w:cs="Calibri"/>
          <w:bCs/>
          <w:iCs/>
          <w:color w:val="222222"/>
          <w:sz w:val="18"/>
          <w:szCs w:val="18"/>
          <w:lang w:eastAsia="fr-FR"/>
        </w:rPr>
        <w:t>JUZGADO CIVIL DEL CIRCUITO DE DOSQUEBRADAS Y OTROS</w:t>
      </w:r>
    </w:p>
    <w:p w:rsidR="00FC6B69" w:rsidRPr="00FC6B69" w:rsidRDefault="00FC6B69" w:rsidP="00FC6B69">
      <w:pPr>
        <w:shd w:val="clear" w:color="auto" w:fill="FFFFFF"/>
        <w:tabs>
          <w:tab w:val="left" w:pos="1790"/>
          <w:tab w:val="left" w:pos="1816"/>
          <w:tab w:val="left" w:pos="1843"/>
          <w:tab w:val="left" w:pos="4755"/>
        </w:tabs>
        <w:overflowPunct/>
        <w:autoSpaceDE/>
        <w:autoSpaceDN/>
        <w:adjustRightInd/>
        <w:ind w:left="1843" w:hanging="1843"/>
        <w:jc w:val="both"/>
        <w:textAlignment w:val="auto"/>
        <w:rPr>
          <w:rFonts w:ascii="Calibri" w:eastAsia="Calibri" w:hAnsi="Calibri" w:cs="Calibri"/>
          <w:bCs/>
          <w:iCs/>
          <w:color w:val="222222"/>
          <w:sz w:val="18"/>
          <w:szCs w:val="18"/>
          <w:lang w:val="es-CO" w:eastAsia="fr-FR"/>
        </w:rPr>
      </w:pPr>
      <w:r w:rsidRPr="00FC6B69">
        <w:rPr>
          <w:rFonts w:ascii="Calibri" w:eastAsia="Calibri" w:hAnsi="Calibri" w:cs="Calibri"/>
          <w:color w:val="222222"/>
          <w:sz w:val="18"/>
          <w:szCs w:val="18"/>
          <w:lang w:val="es-CO" w:eastAsia="fr-FR"/>
        </w:rPr>
        <w:t xml:space="preserve">Magistrado Ponente: </w:t>
      </w:r>
      <w:r w:rsidRPr="00FC6B69">
        <w:rPr>
          <w:rFonts w:ascii="Calibri" w:eastAsia="Calibri" w:hAnsi="Calibri" w:cs="Calibri"/>
          <w:color w:val="222222"/>
          <w:sz w:val="18"/>
          <w:szCs w:val="18"/>
          <w:lang w:val="es-CO" w:eastAsia="fr-FR"/>
        </w:rPr>
        <w:tab/>
        <w:t xml:space="preserve">  </w:t>
      </w:r>
      <w:r w:rsidRPr="00FC6B69">
        <w:rPr>
          <w:rFonts w:ascii="Calibri" w:eastAsia="Calibri" w:hAnsi="Calibri" w:cs="Calibri"/>
          <w:bCs/>
          <w:iCs/>
          <w:color w:val="222222"/>
          <w:sz w:val="18"/>
          <w:szCs w:val="18"/>
          <w:lang w:val="es-CO" w:eastAsia="fr-FR"/>
        </w:rPr>
        <w:t>JAIME ALBERTO SARAZA NARANJO</w:t>
      </w:r>
    </w:p>
    <w:p w:rsidR="00FC6B69" w:rsidRPr="00FC6B69" w:rsidRDefault="00FC6B69" w:rsidP="00FC6B69">
      <w:pPr>
        <w:shd w:val="clear" w:color="auto" w:fill="FFFFFF"/>
        <w:tabs>
          <w:tab w:val="left" w:pos="1843"/>
          <w:tab w:val="left" w:pos="4755"/>
        </w:tabs>
        <w:overflowPunct/>
        <w:autoSpaceDE/>
        <w:autoSpaceDN/>
        <w:adjustRightInd/>
        <w:ind w:left="1843" w:hanging="1843"/>
        <w:jc w:val="both"/>
        <w:textAlignment w:val="auto"/>
        <w:rPr>
          <w:rFonts w:eastAsia="Calibri"/>
          <w:sz w:val="16"/>
          <w:szCs w:val="16"/>
          <w:lang w:val="es-CO" w:eastAsia="fr-FR"/>
        </w:rPr>
      </w:pPr>
    </w:p>
    <w:p w:rsidR="00FC6B69" w:rsidRPr="00FC6B69" w:rsidRDefault="00FC6B69" w:rsidP="00FC6B69">
      <w:pPr>
        <w:tabs>
          <w:tab w:val="left" w:pos="1843"/>
          <w:tab w:val="left" w:pos="2432"/>
        </w:tabs>
        <w:overflowPunct/>
        <w:autoSpaceDE/>
        <w:autoSpaceDN/>
        <w:adjustRightInd/>
        <w:jc w:val="both"/>
        <w:textAlignment w:val="auto"/>
        <w:rPr>
          <w:rFonts w:ascii="Calibri" w:eastAsia="Calibri" w:hAnsi="Calibri" w:cs="Calibri"/>
          <w:bCs/>
          <w:iCs/>
          <w:color w:val="222222"/>
          <w:sz w:val="18"/>
          <w:szCs w:val="18"/>
          <w:lang w:val="es-419" w:eastAsia="fr-FR"/>
        </w:rPr>
      </w:pPr>
      <w:r w:rsidRPr="00FC6B69">
        <w:rPr>
          <w:rFonts w:ascii="Calibri" w:eastAsia="Calibri" w:hAnsi="Calibri" w:cs="Calibri"/>
          <w:b/>
          <w:bCs/>
          <w:iCs/>
          <w:color w:val="222222"/>
          <w:sz w:val="18"/>
          <w:szCs w:val="18"/>
          <w:lang w:val="es-CO" w:eastAsia="fr-FR"/>
        </w:rPr>
        <w:t xml:space="preserve">Temas: </w:t>
      </w:r>
      <w:r w:rsidRPr="00FC6B69">
        <w:rPr>
          <w:rFonts w:ascii="Calibri" w:eastAsia="Calibri" w:hAnsi="Calibri" w:cs="Calibri"/>
          <w:b/>
          <w:bCs/>
          <w:iCs/>
          <w:color w:val="222222"/>
          <w:sz w:val="18"/>
          <w:szCs w:val="18"/>
          <w:lang w:val="es-CO" w:eastAsia="fr-FR"/>
        </w:rPr>
        <w:tab/>
        <w:t>DEBIDO PROCESO / TUTELA CONTRA PROVIDENCIA JUDICIAL / CARÁCTER SUBSIDIARIO DE LA ACCIÓN DE TUTELA / IMPROCEDENCIA.</w:t>
      </w:r>
      <w:r w:rsidRPr="00FC6B69">
        <w:rPr>
          <w:rFonts w:ascii="Calibri" w:eastAsia="Calibri" w:hAnsi="Calibri" w:cs="Calibri"/>
          <w:bCs/>
          <w:iCs/>
          <w:color w:val="222222"/>
          <w:sz w:val="18"/>
          <w:szCs w:val="18"/>
          <w:lang w:val="es-419" w:eastAsia="fr-FR"/>
        </w:rPr>
        <w:t xml:space="preserve"> [Respecto del] hecho </w:t>
      </w:r>
      <w:r w:rsidRPr="00FC6B69">
        <w:rPr>
          <w:rFonts w:ascii="Calibri" w:eastAsia="Calibri" w:hAnsi="Calibri" w:cs="Calibri"/>
          <w:bCs/>
          <w:iCs/>
          <w:color w:val="222222"/>
          <w:sz w:val="18"/>
          <w:szCs w:val="18"/>
          <w:lang w:val="es-CO" w:eastAsia="fr-FR"/>
        </w:rPr>
        <w:t xml:space="preserve">de haberse cercenado la etapa de traslado de excepciones, en la que, se entiende, quedó vedada la oportunidad de aportar y solicitar las pruebas en relación con tal oposición, se advierte, de entrada, </w:t>
      </w:r>
      <w:r w:rsidRPr="00FC6B69">
        <w:rPr>
          <w:rFonts w:ascii="Calibri" w:eastAsia="Calibri" w:hAnsi="Calibri" w:cs="Calibri"/>
          <w:bCs/>
          <w:iCs/>
          <w:color w:val="222222"/>
          <w:sz w:val="18"/>
          <w:szCs w:val="18"/>
          <w:lang w:val="es-419" w:eastAsia="fr-FR"/>
        </w:rPr>
        <w:t>su improcedencia</w:t>
      </w:r>
      <w:r w:rsidRPr="00FC6B69">
        <w:rPr>
          <w:rFonts w:ascii="Calibri" w:eastAsia="Calibri" w:hAnsi="Calibri" w:cs="Calibri"/>
          <w:bCs/>
          <w:iCs/>
          <w:color w:val="222222"/>
          <w:sz w:val="18"/>
          <w:szCs w:val="18"/>
          <w:lang w:val="es-CO" w:eastAsia="fr-FR"/>
        </w:rPr>
        <w:t xml:space="preserve">. (…) </w:t>
      </w:r>
      <w:r w:rsidRPr="00FC6B69">
        <w:rPr>
          <w:rFonts w:ascii="Calibri" w:eastAsia="Calibri" w:hAnsi="Calibri" w:cs="Calibri"/>
          <w:bCs/>
          <w:iCs/>
          <w:color w:val="222222"/>
          <w:sz w:val="18"/>
          <w:szCs w:val="18"/>
          <w:lang w:val="es-419" w:eastAsia="fr-FR"/>
        </w:rPr>
        <w:t xml:space="preserve">Y es de ver cómo, si de lo que se duele el interesado, tiene origen en esa deficiencia procesal, es claro el numeral 5º del artículo 133 del CGP, acerca de que una omisión de tal estirpe, se concibe como causal de nulidad, lo que indica que es por ese medio que ha debido procurarse el remedio. Pero, de las copias enviadas, surge que nada se le solicitó al Juzgado acerca de su declaratoria, con lo cual se desconoce el carácter residual y subsidiario del que está investida una acción de este matiz. Todo lo cual, hace </w:t>
      </w:r>
      <w:r w:rsidRPr="00FC6B69">
        <w:rPr>
          <w:rFonts w:ascii="Calibri" w:eastAsia="Calibri" w:hAnsi="Calibri" w:cs="Calibri"/>
          <w:bCs/>
          <w:iCs/>
          <w:color w:val="222222"/>
          <w:sz w:val="18"/>
          <w:szCs w:val="18"/>
          <w:lang w:val="es-CO" w:eastAsia="fr-FR"/>
        </w:rPr>
        <w:t xml:space="preserve">inviable que </w:t>
      </w:r>
      <w:r w:rsidRPr="00FC6B69">
        <w:rPr>
          <w:rFonts w:ascii="Calibri" w:eastAsia="Calibri" w:hAnsi="Calibri" w:cs="Calibri"/>
          <w:bCs/>
          <w:iCs/>
          <w:color w:val="222222"/>
          <w:sz w:val="18"/>
          <w:szCs w:val="18"/>
          <w:lang w:val="es-419" w:eastAsia="fr-FR"/>
        </w:rPr>
        <w:t xml:space="preserve">el juez constitucional asuma el análisis respectivo, además, porque no se ha discutido la existencia de un perjuicio irremediable, ni se han probado situaciones que permitan dar por superado ese requisito de procedibilidad, o hacer menos rigurosa su exigencia. </w:t>
      </w:r>
      <w:r w:rsidRPr="00FC6B69">
        <w:rPr>
          <w:rFonts w:ascii="Calibri" w:eastAsia="Calibri" w:hAnsi="Calibri" w:cs="Calibri"/>
          <w:b/>
          <w:bCs/>
          <w:iCs/>
          <w:color w:val="222222"/>
          <w:sz w:val="18"/>
          <w:szCs w:val="18"/>
          <w:lang w:val="es-419" w:eastAsia="fr-FR"/>
        </w:rPr>
        <w:t xml:space="preserve">AUSENCIA DE </w:t>
      </w:r>
      <w:r>
        <w:rPr>
          <w:rFonts w:ascii="Calibri" w:eastAsia="Calibri" w:hAnsi="Calibri" w:cs="Calibri"/>
          <w:b/>
          <w:bCs/>
          <w:iCs/>
          <w:color w:val="222222"/>
          <w:sz w:val="18"/>
          <w:szCs w:val="18"/>
          <w:lang w:val="es-419" w:eastAsia="fr-FR"/>
        </w:rPr>
        <w:t xml:space="preserve">LA </w:t>
      </w:r>
      <w:r w:rsidRPr="00FC6B69">
        <w:rPr>
          <w:rFonts w:ascii="Calibri" w:eastAsia="Calibri" w:hAnsi="Calibri" w:cs="Calibri"/>
          <w:b/>
          <w:bCs/>
          <w:iCs/>
          <w:color w:val="222222"/>
          <w:sz w:val="18"/>
          <w:szCs w:val="18"/>
          <w:lang w:val="es-419" w:eastAsia="fr-FR"/>
        </w:rPr>
        <w:t xml:space="preserve">VULNERACIÓN ARGUIDA / NIEGA. </w:t>
      </w:r>
      <w:r w:rsidRPr="00FC6B69">
        <w:rPr>
          <w:rFonts w:ascii="Calibri" w:eastAsia="Calibri" w:hAnsi="Calibri" w:cs="Calibri"/>
          <w:bCs/>
          <w:iCs/>
          <w:color w:val="222222"/>
          <w:sz w:val="18"/>
          <w:szCs w:val="18"/>
          <w:lang w:val="es-419" w:eastAsia="fr-FR"/>
        </w:rPr>
        <w:t xml:space="preserve">[E]n lo que a la declaratoria de desierto del recurso de apelación se refiere, ninguna </w:t>
      </w:r>
      <w:r w:rsidRPr="00FC6B69">
        <w:rPr>
          <w:rFonts w:ascii="Calibri" w:eastAsia="Calibri" w:hAnsi="Calibri" w:cs="Calibri"/>
          <w:bCs/>
          <w:iCs/>
          <w:color w:val="222222"/>
          <w:sz w:val="18"/>
          <w:szCs w:val="18"/>
          <w:lang w:eastAsia="fr-FR"/>
        </w:rPr>
        <w:t xml:space="preserve">irregularidad </w:t>
      </w:r>
      <w:r w:rsidRPr="00FC6B69">
        <w:rPr>
          <w:rFonts w:ascii="Calibri" w:eastAsia="Calibri" w:hAnsi="Calibri" w:cs="Calibri"/>
          <w:bCs/>
          <w:iCs/>
          <w:color w:val="222222"/>
          <w:sz w:val="18"/>
          <w:szCs w:val="18"/>
          <w:lang w:val="es-419" w:eastAsia="fr-FR"/>
        </w:rPr>
        <w:t xml:space="preserve">se le puede atribuir </w:t>
      </w:r>
      <w:r w:rsidRPr="00FC6B69">
        <w:rPr>
          <w:rFonts w:ascii="Calibri" w:eastAsia="Calibri" w:hAnsi="Calibri" w:cs="Calibri"/>
          <w:bCs/>
          <w:iCs/>
          <w:color w:val="222222"/>
          <w:sz w:val="18"/>
          <w:szCs w:val="18"/>
          <w:lang w:eastAsia="fr-FR"/>
        </w:rPr>
        <w:t xml:space="preserve">a la funcionaria demandada si, por el contrario, como se ve, actuó en cumplimiento de lo previsto por el </w:t>
      </w:r>
      <w:r w:rsidRPr="00FC6B69">
        <w:rPr>
          <w:rFonts w:ascii="Calibri" w:eastAsia="Calibri" w:hAnsi="Calibri" w:cs="Calibri"/>
          <w:bCs/>
          <w:iCs/>
          <w:color w:val="222222"/>
          <w:sz w:val="18"/>
          <w:szCs w:val="18"/>
          <w:lang w:val="es-419" w:eastAsia="fr-FR"/>
        </w:rPr>
        <w:t xml:space="preserve">nuevo estatuto procesal. Y en lo que atañe al reclamo por la negativa de la expedición de copias para el trámite del recurso de queja interpuesto, se tiene que, si se diera por superado el requisito de la subsidiariedad, dado que contra esa decisión ninguna réplica hubo, por medio del recurso de reposición que era pertinente, en todo caso, sería inviable el amparo. </w:t>
      </w:r>
    </w:p>
    <w:p w:rsidR="00FC6B69" w:rsidRPr="00FC6B69" w:rsidRDefault="00FC6B69" w:rsidP="004D6C45">
      <w:pPr>
        <w:spacing w:line="26" w:lineRule="atLeast"/>
        <w:ind w:firstLine="2835"/>
        <w:jc w:val="both"/>
        <w:rPr>
          <w:rFonts w:ascii="Gadugi" w:hAnsi="Gadugi"/>
          <w:b/>
          <w:sz w:val="26"/>
          <w:szCs w:val="26"/>
          <w:lang w:val="es-419"/>
        </w:rPr>
      </w:pPr>
    </w:p>
    <w:p w:rsidR="00FC6B69" w:rsidRDefault="00FC6B69" w:rsidP="004D6C45">
      <w:pPr>
        <w:spacing w:line="26" w:lineRule="atLeast"/>
        <w:ind w:firstLine="2835"/>
        <w:jc w:val="both"/>
        <w:rPr>
          <w:rFonts w:ascii="Gadugi" w:hAnsi="Gadugi"/>
          <w:b/>
          <w:sz w:val="26"/>
          <w:szCs w:val="26"/>
        </w:rPr>
      </w:pPr>
    </w:p>
    <w:p w:rsidR="0088736F" w:rsidRPr="004D6C45" w:rsidRDefault="0088736F" w:rsidP="004D6C45">
      <w:pPr>
        <w:spacing w:line="26" w:lineRule="atLeast"/>
        <w:ind w:firstLine="2835"/>
        <w:jc w:val="both"/>
        <w:rPr>
          <w:rFonts w:ascii="Gadugi" w:hAnsi="Gadugi"/>
          <w:b/>
          <w:sz w:val="26"/>
          <w:szCs w:val="26"/>
        </w:rPr>
      </w:pPr>
      <w:r w:rsidRPr="004D6C45">
        <w:rPr>
          <w:rFonts w:ascii="Gadugi" w:hAnsi="Gadugi"/>
          <w:b/>
          <w:sz w:val="26"/>
          <w:szCs w:val="26"/>
        </w:rPr>
        <w:t xml:space="preserve">TRIBUNAL SUPERIOR DEL DISTRITO JUDICIAL </w:t>
      </w:r>
    </w:p>
    <w:p w:rsidR="0088736F" w:rsidRPr="004D6C45" w:rsidRDefault="0088736F" w:rsidP="004D6C45">
      <w:pPr>
        <w:spacing w:line="26" w:lineRule="atLeast"/>
        <w:ind w:firstLine="2835"/>
        <w:jc w:val="both"/>
        <w:rPr>
          <w:rFonts w:ascii="Gadugi" w:hAnsi="Gadugi"/>
          <w:b/>
          <w:sz w:val="26"/>
          <w:szCs w:val="26"/>
        </w:rPr>
      </w:pPr>
      <w:r w:rsidRPr="004D6C45">
        <w:rPr>
          <w:rFonts w:ascii="Gadugi" w:hAnsi="Gadugi"/>
          <w:b/>
          <w:sz w:val="26"/>
          <w:szCs w:val="26"/>
        </w:rPr>
        <w:t xml:space="preserve">        </w:t>
      </w:r>
      <w:r w:rsidR="007D2E8C" w:rsidRPr="004D6C45">
        <w:rPr>
          <w:rFonts w:ascii="Gadugi" w:hAnsi="Gadugi"/>
          <w:b/>
          <w:sz w:val="26"/>
          <w:szCs w:val="26"/>
        </w:rPr>
        <w:t xml:space="preserve">  </w:t>
      </w:r>
      <w:r w:rsidRPr="004D6C45">
        <w:rPr>
          <w:rFonts w:ascii="Gadugi" w:hAnsi="Gadugi"/>
          <w:b/>
          <w:sz w:val="26"/>
          <w:szCs w:val="26"/>
        </w:rPr>
        <w:t xml:space="preserve">SALA DE DECISIÓN CIVIL FAMILIA </w:t>
      </w:r>
    </w:p>
    <w:p w:rsidR="0088736F" w:rsidRPr="004D6C45" w:rsidRDefault="0088736F" w:rsidP="004D6C45">
      <w:pPr>
        <w:spacing w:line="26" w:lineRule="atLeast"/>
        <w:ind w:firstLine="2835"/>
        <w:jc w:val="both"/>
        <w:rPr>
          <w:rFonts w:ascii="Gadugi" w:hAnsi="Gadugi"/>
          <w:sz w:val="24"/>
          <w:szCs w:val="24"/>
        </w:rPr>
      </w:pPr>
    </w:p>
    <w:p w:rsidR="0088736F" w:rsidRPr="004D6C45" w:rsidRDefault="0088736F" w:rsidP="004D6C45">
      <w:pPr>
        <w:spacing w:line="26" w:lineRule="atLeast"/>
        <w:ind w:firstLine="2835"/>
        <w:jc w:val="both"/>
        <w:rPr>
          <w:rFonts w:ascii="Gadugi" w:hAnsi="Gadugi"/>
          <w:sz w:val="24"/>
          <w:szCs w:val="24"/>
        </w:rPr>
      </w:pPr>
      <w:r w:rsidRPr="004D6C45">
        <w:rPr>
          <w:rFonts w:ascii="Gadugi" w:hAnsi="Gadugi"/>
          <w:sz w:val="24"/>
          <w:szCs w:val="24"/>
        </w:rPr>
        <w:t>Magistrado: Jaime Alberto Saraza Naranjo</w:t>
      </w:r>
    </w:p>
    <w:p w:rsidR="00760019" w:rsidRPr="0069717B" w:rsidRDefault="00D755B8" w:rsidP="004D6C45">
      <w:pPr>
        <w:spacing w:line="26" w:lineRule="atLeast"/>
        <w:ind w:firstLine="2835"/>
        <w:jc w:val="both"/>
        <w:rPr>
          <w:rFonts w:ascii="Gadugi" w:hAnsi="Gadugi"/>
          <w:sz w:val="24"/>
          <w:szCs w:val="24"/>
          <w:lang w:val="es-419"/>
        </w:rPr>
      </w:pPr>
      <w:r w:rsidRPr="004D6C45">
        <w:rPr>
          <w:rFonts w:ascii="Gadugi" w:hAnsi="Gadugi"/>
          <w:sz w:val="24"/>
          <w:szCs w:val="24"/>
        </w:rPr>
        <w:t xml:space="preserve">Pereira, </w:t>
      </w:r>
      <w:r w:rsidR="0069717B">
        <w:rPr>
          <w:rFonts w:ascii="Gadugi" w:hAnsi="Gadugi"/>
          <w:sz w:val="24"/>
          <w:szCs w:val="24"/>
          <w:lang w:val="es-419"/>
        </w:rPr>
        <w:t>febrero cinco de dos mil dieciocho</w:t>
      </w:r>
    </w:p>
    <w:p w:rsidR="00EC1E28" w:rsidRPr="004D6C45" w:rsidRDefault="00D026CA" w:rsidP="004D6C45">
      <w:pPr>
        <w:spacing w:line="26" w:lineRule="atLeast"/>
        <w:ind w:firstLine="2835"/>
        <w:jc w:val="both"/>
        <w:rPr>
          <w:rFonts w:ascii="Gadugi" w:hAnsi="Gadugi"/>
          <w:sz w:val="24"/>
          <w:szCs w:val="24"/>
          <w:lang w:val="es-419"/>
        </w:rPr>
      </w:pPr>
      <w:r w:rsidRPr="004D6C45">
        <w:rPr>
          <w:rFonts w:ascii="Gadugi" w:hAnsi="Gadugi"/>
          <w:sz w:val="24"/>
          <w:szCs w:val="24"/>
        </w:rPr>
        <w:t>Expediente</w:t>
      </w:r>
      <w:r w:rsidR="005C36C4" w:rsidRPr="004D6C45">
        <w:rPr>
          <w:rFonts w:ascii="Gadugi" w:hAnsi="Gadugi"/>
          <w:sz w:val="24"/>
          <w:szCs w:val="24"/>
          <w:lang w:val="es-419"/>
        </w:rPr>
        <w:t xml:space="preserve">: </w:t>
      </w:r>
      <w:r w:rsidRPr="004D6C45">
        <w:rPr>
          <w:rFonts w:ascii="Gadugi" w:hAnsi="Gadugi"/>
          <w:sz w:val="24"/>
          <w:szCs w:val="24"/>
        </w:rPr>
        <w:t xml:space="preserve"> </w:t>
      </w:r>
      <w:r w:rsidR="00760019" w:rsidRPr="004D6C45">
        <w:rPr>
          <w:rFonts w:ascii="Gadugi" w:hAnsi="Gadugi"/>
          <w:sz w:val="24"/>
          <w:szCs w:val="24"/>
        </w:rPr>
        <w:t>66001-22-13-000-2018-00009</w:t>
      </w:r>
      <w:r w:rsidR="00327FAE" w:rsidRPr="004D6C45">
        <w:rPr>
          <w:rFonts w:ascii="Gadugi" w:hAnsi="Gadugi"/>
          <w:sz w:val="24"/>
          <w:szCs w:val="24"/>
        </w:rPr>
        <w:t>-00</w:t>
      </w:r>
      <w:r w:rsidR="00835C8A" w:rsidRPr="004D6C45">
        <w:rPr>
          <w:rFonts w:ascii="Gadugi" w:hAnsi="Gadugi"/>
          <w:sz w:val="24"/>
          <w:szCs w:val="24"/>
        </w:rPr>
        <w:tab/>
      </w:r>
      <w:r w:rsidR="00835C8A" w:rsidRPr="004D6C45">
        <w:rPr>
          <w:rFonts w:ascii="Gadugi" w:hAnsi="Gadugi"/>
          <w:sz w:val="24"/>
          <w:szCs w:val="24"/>
        </w:rPr>
        <w:tab/>
        <w:t xml:space="preserve"> </w:t>
      </w:r>
      <w:r w:rsidR="00327FAE" w:rsidRPr="004D6C45">
        <w:rPr>
          <w:rFonts w:ascii="Gadugi" w:hAnsi="Gadugi"/>
          <w:sz w:val="24"/>
          <w:szCs w:val="24"/>
        </w:rPr>
        <w:t xml:space="preserve">  </w:t>
      </w:r>
      <w:r w:rsidR="00327FAE" w:rsidRPr="004D6C45">
        <w:rPr>
          <w:rFonts w:ascii="Gadugi" w:hAnsi="Gadugi"/>
          <w:sz w:val="24"/>
          <w:szCs w:val="24"/>
        </w:rPr>
        <w:tab/>
      </w:r>
      <w:r w:rsidR="00327FAE" w:rsidRPr="004D6C45">
        <w:rPr>
          <w:rFonts w:ascii="Gadugi" w:hAnsi="Gadugi"/>
          <w:sz w:val="24"/>
          <w:szCs w:val="24"/>
        </w:rPr>
        <w:tab/>
      </w:r>
      <w:r w:rsidR="00327FAE" w:rsidRPr="004D6C45">
        <w:rPr>
          <w:rFonts w:ascii="Gadugi" w:hAnsi="Gadugi"/>
          <w:sz w:val="24"/>
          <w:szCs w:val="24"/>
        </w:rPr>
        <w:tab/>
        <w:t xml:space="preserve">           </w:t>
      </w:r>
      <w:r w:rsidR="003A0971" w:rsidRPr="004D6C45">
        <w:rPr>
          <w:rFonts w:ascii="Gadugi" w:hAnsi="Gadugi"/>
          <w:sz w:val="24"/>
          <w:szCs w:val="24"/>
        </w:rPr>
        <w:t>Acta N°</w:t>
      </w:r>
      <w:r w:rsidR="00835C8A" w:rsidRPr="004D6C45">
        <w:rPr>
          <w:rFonts w:ascii="Gadugi" w:hAnsi="Gadugi"/>
          <w:sz w:val="24"/>
          <w:szCs w:val="24"/>
          <w:lang w:val="es-419"/>
        </w:rPr>
        <w:t xml:space="preserve"> </w:t>
      </w:r>
      <w:r w:rsidR="0069717B">
        <w:rPr>
          <w:rFonts w:ascii="Gadugi" w:hAnsi="Gadugi"/>
          <w:sz w:val="24"/>
          <w:szCs w:val="24"/>
          <w:lang w:val="es-419"/>
        </w:rPr>
        <w:t>29 de febrero 5 de 2018</w:t>
      </w:r>
    </w:p>
    <w:p w:rsidR="00575D7F" w:rsidRPr="004D6C45" w:rsidRDefault="00575D7F" w:rsidP="004D6C45">
      <w:pPr>
        <w:spacing w:line="26" w:lineRule="atLeast"/>
        <w:ind w:firstLine="2835"/>
        <w:jc w:val="both"/>
        <w:rPr>
          <w:rFonts w:ascii="Gadugi" w:hAnsi="Gadugi"/>
          <w:sz w:val="24"/>
          <w:szCs w:val="24"/>
        </w:rPr>
      </w:pPr>
    </w:p>
    <w:p w:rsidR="00E44BF6" w:rsidRPr="004D6C45" w:rsidRDefault="002342A4" w:rsidP="004D6C45">
      <w:pPr>
        <w:spacing w:line="26" w:lineRule="atLeast"/>
        <w:ind w:firstLine="2835"/>
        <w:jc w:val="both"/>
        <w:rPr>
          <w:rFonts w:ascii="Gadugi" w:hAnsi="Gadugi" w:cs="Century Gothic"/>
          <w:b/>
          <w:bCs/>
          <w:sz w:val="24"/>
          <w:szCs w:val="24"/>
          <w:lang w:val="es-CO"/>
        </w:rPr>
      </w:pPr>
      <w:r w:rsidRPr="004D6C45">
        <w:rPr>
          <w:rFonts w:ascii="Gadugi" w:hAnsi="Gadugi" w:cs="Century Gothic"/>
          <w:sz w:val="24"/>
          <w:szCs w:val="24"/>
        </w:rPr>
        <w:t xml:space="preserve">Decide la Sala </w:t>
      </w:r>
      <w:r w:rsidR="008A58C4" w:rsidRPr="004D6C45">
        <w:rPr>
          <w:rFonts w:ascii="Gadugi" w:hAnsi="Gadugi" w:cs="Century Gothic"/>
          <w:sz w:val="24"/>
          <w:szCs w:val="24"/>
        </w:rPr>
        <w:t xml:space="preserve">la acción de tutela promovida por </w:t>
      </w:r>
      <w:r w:rsidR="00741AB1" w:rsidRPr="004D6C45">
        <w:rPr>
          <w:rFonts w:ascii="Gadugi" w:hAnsi="Gadugi" w:cs="Century Gothic"/>
          <w:b/>
          <w:sz w:val="24"/>
          <w:szCs w:val="24"/>
        </w:rPr>
        <w:t>Wilson Antonio Bedoya Martínez</w:t>
      </w:r>
      <w:r w:rsidR="00856CE8" w:rsidRPr="004D6C45">
        <w:rPr>
          <w:rFonts w:ascii="Gadugi" w:hAnsi="Gadugi" w:cs="Century Gothic"/>
          <w:b/>
          <w:sz w:val="24"/>
          <w:szCs w:val="24"/>
        </w:rPr>
        <w:t xml:space="preserve"> </w:t>
      </w:r>
      <w:r w:rsidRPr="004D6C45">
        <w:rPr>
          <w:rFonts w:ascii="Gadugi" w:hAnsi="Gadugi" w:cs="Century Gothic"/>
          <w:bCs/>
          <w:sz w:val="24"/>
          <w:szCs w:val="24"/>
        </w:rPr>
        <w:t>contra</w:t>
      </w:r>
      <w:r w:rsidRPr="004D6C45">
        <w:rPr>
          <w:rFonts w:ascii="Gadugi" w:hAnsi="Gadugi" w:cs="Century Gothic"/>
          <w:sz w:val="24"/>
          <w:szCs w:val="24"/>
        </w:rPr>
        <w:t xml:space="preserve"> el </w:t>
      </w:r>
      <w:r w:rsidRPr="004D6C45">
        <w:rPr>
          <w:rFonts w:ascii="Gadugi" w:hAnsi="Gadugi" w:cs="Century Gothic"/>
          <w:b/>
          <w:sz w:val="24"/>
          <w:szCs w:val="24"/>
        </w:rPr>
        <w:t>Juzgado</w:t>
      </w:r>
      <w:r w:rsidR="006123E1" w:rsidRPr="004D6C45">
        <w:rPr>
          <w:rFonts w:ascii="Gadugi" w:hAnsi="Gadugi" w:cs="Century Gothic"/>
          <w:b/>
          <w:sz w:val="24"/>
          <w:szCs w:val="24"/>
        </w:rPr>
        <w:t xml:space="preserve"> </w:t>
      </w:r>
      <w:r w:rsidR="005B2BFC" w:rsidRPr="004D6C45">
        <w:rPr>
          <w:rFonts w:ascii="Gadugi" w:hAnsi="Gadugi" w:cs="Century Gothic"/>
          <w:b/>
          <w:sz w:val="24"/>
          <w:szCs w:val="24"/>
        </w:rPr>
        <w:t xml:space="preserve">Civil del Circuito </w:t>
      </w:r>
      <w:r w:rsidR="005B2BFC" w:rsidRPr="004D6C45">
        <w:rPr>
          <w:rFonts w:ascii="Gadugi" w:hAnsi="Gadugi" w:cs="Century Gothic"/>
          <w:sz w:val="24"/>
          <w:szCs w:val="24"/>
        </w:rPr>
        <w:t xml:space="preserve">de </w:t>
      </w:r>
      <w:r w:rsidR="00741AB1" w:rsidRPr="004D6C45">
        <w:rPr>
          <w:rFonts w:ascii="Gadugi" w:hAnsi="Gadugi" w:cs="Century Gothic"/>
          <w:b/>
          <w:sz w:val="24"/>
          <w:szCs w:val="24"/>
        </w:rPr>
        <w:t>Dosquebradas</w:t>
      </w:r>
      <w:r w:rsidR="00EC1E28" w:rsidRPr="004D6C45">
        <w:rPr>
          <w:rFonts w:ascii="Gadugi" w:hAnsi="Gadugi" w:cs="Century Gothic"/>
          <w:sz w:val="24"/>
          <w:szCs w:val="24"/>
        </w:rPr>
        <w:t xml:space="preserve">, </w:t>
      </w:r>
      <w:r w:rsidR="00741AB1" w:rsidRPr="004D6C45">
        <w:rPr>
          <w:rFonts w:ascii="Gadugi" w:hAnsi="Gadugi" w:cs="Century Gothic"/>
          <w:b/>
          <w:sz w:val="24"/>
          <w:szCs w:val="24"/>
          <w:lang w:val="es-CO"/>
        </w:rPr>
        <w:t>Inversiones Macrofuturo SAS</w:t>
      </w:r>
      <w:r w:rsidR="00FA4C8F" w:rsidRPr="004D6C45">
        <w:rPr>
          <w:rFonts w:ascii="Gadugi" w:hAnsi="Gadugi" w:cs="Century Gothic"/>
          <w:b/>
          <w:sz w:val="24"/>
          <w:szCs w:val="24"/>
          <w:lang w:val="es-CO"/>
        </w:rPr>
        <w:t xml:space="preserve"> </w:t>
      </w:r>
      <w:r w:rsidR="00FA4C8F" w:rsidRPr="004D6C45">
        <w:rPr>
          <w:rFonts w:ascii="Gadugi" w:hAnsi="Gadugi" w:cs="Century Gothic"/>
          <w:sz w:val="24"/>
          <w:szCs w:val="24"/>
          <w:lang w:val="es-CO"/>
        </w:rPr>
        <w:t xml:space="preserve">y </w:t>
      </w:r>
      <w:r w:rsidR="00FA4C8F" w:rsidRPr="004D6C45">
        <w:rPr>
          <w:rFonts w:ascii="Gadugi" w:hAnsi="Gadugi" w:cs="Century Gothic"/>
          <w:b/>
          <w:sz w:val="24"/>
          <w:szCs w:val="24"/>
          <w:lang w:val="es-CO"/>
        </w:rPr>
        <w:t>Jhon Jairo Betancourt</w:t>
      </w:r>
      <w:r w:rsidR="00064930" w:rsidRPr="004D6C45">
        <w:rPr>
          <w:rFonts w:ascii="Gadugi" w:hAnsi="Gadugi" w:cs="Century Gothic"/>
          <w:b/>
          <w:sz w:val="24"/>
          <w:szCs w:val="24"/>
          <w:lang w:val="es-CO"/>
        </w:rPr>
        <w:t>h</w:t>
      </w:r>
      <w:r w:rsidR="00FA4C8F" w:rsidRPr="004D6C45">
        <w:rPr>
          <w:rFonts w:ascii="Gadugi" w:hAnsi="Gadugi" w:cs="Century Gothic"/>
          <w:b/>
          <w:sz w:val="24"/>
          <w:szCs w:val="24"/>
          <w:lang w:val="es-CO"/>
        </w:rPr>
        <w:t xml:space="preserve"> Ríos.</w:t>
      </w:r>
    </w:p>
    <w:p w:rsidR="005B7E92" w:rsidRPr="004D6C45" w:rsidRDefault="005B7E92" w:rsidP="004D6C45">
      <w:pPr>
        <w:spacing w:line="26" w:lineRule="atLeast"/>
        <w:ind w:firstLine="2835"/>
        <w:jc w:val="both"/>
        <w:rPr>
          <w:rFonts w:ascii="Gadugi" w:hAnsi="Gadugi" w:cs="Century Gothic"/>
          <w:b/>
          <w:bCs/>
          <w:sz w:val="24"/>
          <w:szCs w:val="24"/>
          <w:lang w:val="es-CO"/>
        </w:rPr>
      </w:pPr>
    </w:p>
    <w:p w:rsidR="002342A4" w:rsidRPr="004D6C45" w:rsidRDefault="002342A4" w:rsidP="004D6C45">
      <w:pPr>
        <w:pStyle w:val="Titre4"/>
        <w:spacing w:line="26" w:lineRule="atLeast"/>
        <w:rPr>
          <w:rFonts w:ascii="Gadugi" w:hAnsi="Gadugi"/>
          <w:b/>
          <w:sz w:val="24"/>
          <w:szCs w:val="24"/>
        </w:rPr>
      </w:pPr>
      <w:r w:rsidRPr="004D6C45">
        <w:rPr>
          <w:rFonts w:ascii="Gadugi" w:hAnsi="Gadugi"/>
          <w:b/>
          <w:sz w:val="24"/>
          <w:szCs w:val="24"/>
        </w:rPr>
        <w:t>ANTECEDENTES</w:t>
      </w:r>
    </w:p>
    <w:p w:rsidR="002342A4" w:rsidRPr="004D6C45" w:rsidRDefault="002224EE" w:rsidP="004D6C45">
      <w:pPr>
        <w:tabs>
          <w:tab w:val="left" w:pos="7695"/>
        </w:tabs>
        <w:spacing w:line="26" w:lineRule="atLeast"/>
        <w:ind w:firstLine="2835"/>
        <w:jc w:val="both"/>
        <w:rPr>
          <w:rFonts w:ascii="Gadugi" w:hAnsi="Gadugi" w:cs="Century Gothic"/>
          <w:b/>
          <w:bCs/>
          <w:sz w:val="24"/>
          <w:szCs w:val="24"/>
        </w:rPr>
      </w:pPr>
      <w:r w:rsidRPr="004D6C45">
        <w:rPr>
          <w:rFonts w:ascii="Gadugi" w:hAnsi="Gadugi" w:cs="Century Gothic"/>
          <w:b/>
          <w:bCs/>
          <w:sz w:val="24"/>
          <w:szCs w:val="24"/>
        </w:rPr>
        <w:tab/>
      </w:r>
    </w:p>
    <w:p w:rsidR="00E52AD4" w:rsidRPr="004D6C45" w:rsidRDefault="00FA4C8F" w:rsidP="004D6C45">
      <w:pPr>
        <w:spacing w:line="26" w:lineRule="atLeast"/>
        <w:ind w:firstLine="2835"/>
        <w:jc w:val="both"/>
        <w:rPr>
          <w:rFonts w:ascii="Gadugi" w:hAnsi="Gadugi" w:cs="Century Gothic"/>
          <w:sz w:val="24"/>
          <w:szCs w:val="24"/>
          <w:lang w:val="es-CO"/>
        </w:rPr>
      </w:pPr>
      <w:r w:rsidRPr="004D6C45">
        <w:rPr>
          <w:rFonts w:ascii="Gadugi" w:hAnsi="Gadugi" w:cs="Century Gothic"/>
          <w:sz w:val="24"/>
          <w:szCs w:val="24"/>
        </w:rPr>
        <w:t xml:space="preserve">Wilson Antonio Bedoya Martínez, por conducto de apoderado judicial, </w:t>
      </w:r>
      <w:r w:rsidR="002342A4" w:rsidRPr="004D6C45">
        <w:rPr>
          <w:rFonts w:ascii="Gadugi" w:hAnsi="Gadugi" w:cs="Century Gothic"/>
          <w:sz w:val="24"/>
          <w:szCs w:val="24"/>
        </w:rPr>
        <w:t xml:space="preserve">presentó </w:t>
      </w:r>
      <w:r w:rsidR="008A58C4" w:rsidRPr="004D6C45">
        <w:rPr>
          <w:rFonts w:ascii="Gadugi" w:hAnsi="Gadugi" w:cs="Century Gothic"/>
          <w:sz w:val="24"/>
          <w:szCs w:val="24"/>
        </w:rPr>
        <w:t xml:space="preserve">acción </w:t>
      </w:r>
      <w:r w:rsidR="002342A4" w:rsidRPr="004D6C45">
        <w:rPr>
          <w:rFonts w:ascii="Gadugi" w:hAnsi="Gadugi" w:cs="Century Gothic"/>
          <w:sz w:val="24"/>
          <w:szCs w:val="24"/>
        </w:rPr>
        <w:t>de tutela contra el Juzgado</w:t>
      </w:r>
      <w:r w:rsidR="00756A7B" w:rsidRPr="004D6C45">
        <w:rPr>
          <w:rFonts w:ascii="Gadugi" w:hAnsi="Gadugi" w:cs="Century Gothic"/>
          <w:sz w:val="24"/>
          <w:szCs w:val="24"/>
        </w:rPr>
        <w:t xml:space="preserve"> </w:t>
      </w:r>
      <w:r w:rsidR="005B2BFC" w:rsidRPr="004D6C45">
        <w:rPr>
          <w:rFonts w:ascii="Gadugi" w:hAnsi="Gadugi" w:cs="Century Gothic"/>
          <w:sz w:val="24"/>
          <w:szCs w:val="24"/>
        </w:rPr>
        <w:t xml:space="preserve">Civil del Circuito de </w:t>
      </w:r>
      <w:r w:rsidRPr="004D6C45">
        <w:rPr>
          <w:rFonts w:ascii="Gadugi" w:hAnsi="Gadugi" w:cs="Century Gothic"/>
          <w:sz w:val="24"/>
          <w:szCs w:val="24"/>
        </w:rPr>
        <w:t>Dosquebradas</w:t>
      </w:r>
      <w:r w:rsidR="00EC1E28" w:rsidRPr="004D6C45">
        <w:rPr>
          <w:rFonts w:ascii="Gadugi" w:hAnsi="Gadugi" w:cs="Century Gothic"/>
          <w:sz w:val="24"/>
          <w:szCs w:val="24"/>
        </w:rPr>
        <w:t>,</w:t>
      </w:r>
      <w:r w:rsidR="00E52AD4" w:rsidRPr="004D6C45">
        <w:rPr>
          <w:rFonts w:ascii="Gadugi" w:hAnsi="Gadugi" w:cs="Century Gothic"/>
          <w:sz w:val="24"/>
          <w:szCs w:val="24"/>
        </w:rPr>
        <w:t xml:space="preserve"> </w:t>
      </w:r>
      <w:r w:rsidR="00E52AD4" w:rsidRPr="004D6C45">
        <w:rPr>
          <w:rFonts w:ascii="Gadugi" w:hAnsi="Gadugi" w:cs="Century Gothic"/>
          <w:sz w:val="24"/>
          <w:szCs w:val="24"/>
          <w:lang w:val="es-CO"/>
        </w:rPr>
        <w:t>Inversiones Macrofuturo SAS y Jhon Jairo Betancourt</w:t>
      </w:r>
      <w:r w:rsidR="00064930" w:rsidRPr="004D6C45">
        <w:rPr>
          <w:rFonts w:ascii="Gadugi" w:hAnsi="Gadugi" w:cs="Century Gothic"/>
          <w:sz w:val="24"/>
          <w:szCs w:val="24"/>
          <w:lang w:val="es-CO"/>
        </w:rPr>
        <w:t>h</w:t>
      </w:r>
      <w:r w:rsidR="00E52AD4" w:rsidRPr="004D6C45">
        <w:rPr>
          <w:rFonts w:ascii="Gadugi" w:hAnsi="Gadugi" w:cs="Century Gothic"/>
          <w:sz w:val="24"/>
          <w:szCs w:val="24"/>
          <w:lang w:val="es-CO"/>
        </w:rPr>
        <w:t xml:space="preserve"> Ríos, tendiente a obtener </w:t>
      </w:r>
      <w:r w:rsidR="00E52AD4" w:rsidRPr="004D6C45">
        <w:rPr>
          <w:rFonts w:ascii="Gadugi" w:hAnsi="Gadugi" w:cs="Century Gothic"/>
          <w:i/>
          <w:sz w:val="24"/>
          <w:szCs w:val="24"/>
          <w:lang w:val="es-CO"/>
        </w:rPr>
        <w:t xml:space="preserve">“la revisión y revocatoria de la sentencia proferida por dicho </w:t>
      </w:r>
      <w:proofErr w:type="gramStart"/>
      <w:r w:rsidR="00E52AD4" w:rsidRPr="004D6C45">
        <w:rPr>
          <w:rFonts w:ascii="Gadugi" w:hAnsi="Gadugi" w:cs="Century Gothic"/>
          <w:i/>
          <w:sz w:val="24"/>
          <w:szCs w:val="24"/>
          <w:lang w:val="es-CO"/>
        </w:rPr>
        <w:t>Juzgado ….</w:t>
      </w:r>
      <w:proofErr w:type="gramEnd"/>
      <w:r w:rsidR="00E52AD4" w:rsidRPr="004D6C45">
        <w:rPr>
          <w:rFonts w:ascii="Gadugi" w:hAnsi="Gadugi" w:cs="Century Gothic"/>
          <w:i/>
          <w:sz w:val="24"/>
          <w:szCs w:val="24"/>
          <w:lang w:val="es-CO"/>
        </w:rPr>
        <w:t xml:space="preserve"> El 1º de agosto del año retropróximo pasado” </w:t>
      </w:r>
      <w:r w:rsidR="00E52AD4" w:rsidRPr="004D6C45">
        <w:rPr>
          <w:rFonts w:ascii="Gadugi" w:hAnsi="Gadugi" w:cs="Century Gothic"/>
          <w:sz w:val="24"/>
          <w:szCs w:val="24"/>
          <w:lang w:val="es-CO"/>
        </w:rPr>
        <w:t>dentro del proceso ejecutivo con título hipotecario adelantado por él</w:t>
      </w:r>
      <w:r w:rsidR="00270620">
        <w:rPr>
          <w:rFonts w:ascii="Gadugi" w:hAnsi="Gadugi" w:cs="Century Gothic"/>
          <w:sz w:val="24"/>
          <w:szCs w:val="24"/>
          <w:lang w:val="es-419"/>
        </w:rPr>
        <w:t>,</w:t>
      </w:r>
      <w:r w:rsidR="00E52AD4" w:rsidRPr="004D6C45">
        <w:rPr>
          <w:rFonts w:ascii="Gadugi" w:hAnsi="Gadugi" w:cs="Century Gothic"/>
          <w:sz w:val="24"/>
          <w:szCs w:val="24"/>
          <w:lang w:val="es-CO"/>
        </w:rPr>
        <w:t xml:space="preserve"> frente a </w:t>
      </w:r>
      <w:r w:rsidR="00270620">
        <w:rPr>
          <w:rFonts w:ascii="Gadugi" w:hAnsi="Gadugi" w:cs="Century Gothic"/>
          <w:sz w:val="24"/>
          <w:szCs w:val="24"/>
          <w:lang w:val="es-419"/>
        </w:rPr>
        <w:t xml:space="preserve">la sociedad y el señor </w:t>
      </w:r>
      <w:r w:rsidR="00E52AD4" w:rsidRPr="004D6C45">
        <w:rPr>
          <w:rFonts w:ascii="Gadugi" w:hAnsi="Gadugi" w:cs="Century Gothic"/>
          <w:sz w:val="24"/>
          <w:szCs w:val="24"/>
          <w:lang w:val="es-CO"/>
        </w:rPr>
        <w:t>Betancourt Ríos, radicado con el n</w:t>
      </w:r>
      <w:r w:rsidR="00581957" w:rsidRPr="004D6C45">
        <w:rPr>
          <w:rFonts w:ascii="Gadugi" w:hAnsi="Gadugi" w:cs="Century Gothic"/>
          <w:sz w:val="24"/>
          <w:szCs w:val="24"/>
          <w:lang w:val="es-CO"/>
        </w:rPr>
        <w:t>úmero 2013-00127-00, con ocasión de las vías de hecho en que</w:t>
      </w:r>
      <w:r w:rsidR="00270620">
        <w:rPr>
          <w:rFonts w:ascii="Gadugi" w:hAnsi="Gadugi" w:cs="Century Gothic"/>
          <w:sz w:val="24"/>
          <w:szCs w:val="24"/>
          <w:lang w:val="es-419"/>
        </w:rPr>
        <w:t xml:space="preserve">, dice, </w:t>
      </w:r>
      <w:r w:rsidR="00581957" w:rsidRPr="004D6C45">
        <w:rPr>
          <w:rFonts w:ascii="Gadugi" w:hAnsi="Gadugi" w:cs="Century Gothic"/>
          <w:sz w:val="24"/>
          <w:szCs w:val="24"/>
          <w:lang w:val="es-CO"/>
        </w:rPr>
        <w:t xml:space="preserve">incurrió </w:t>
      </w:r>
      <w:r w:rsidR="00270620">
        <w:rPr>
          <w:rFonts w:ascii="Gadugi" w:hAnsi="Gadugi" w:cs="Century Gothic"/>
          <w:sz w:val="24"/>
          <w:szCs w:val="24"/>
          <w:lang w:val="es-419"/>
        </w:rPr>
        <w:t xml:space="preserve">el despacho </w:t>
      </w:r>
      <w:r w:rsidR="00581957" w:rsidRPr="004D6C45">
        <w:rPr>
          <w:rFonts w:ascii="Gadugi" w:hAnsi="Gadugi" w:cs="Century Gothic"/>
          <w:sz w:val="24"/>
          <w:szCs w:val="24"/>
          <w:lang w:val="es-CO"/>
        </w:rPr>
        <w:t>al desechar las pretensiones de la demanda y al declarar probada la excepción de prescripción de la obligación sin estarlo, y sin que el deudor lo hubiere alegado.</w:t>
      </w:r>
    </w:p>
    <w:p w:rsidR="00E52AD4" w:rsidRPr="004D6C45" w:rsidRDefault="00E52AD4" w:rsidP="004D6C45">
      <w:pPr>
        <w:spacing w:line="26" w:lineRule="atLeast"/>
        <w:ind w:firstLine="2835"/>
        <w:jc w:val="both"/>
        <w:rPr>
          <w:rFonts w:ascii="Gadugi" w:hAnsi="Gadugi" w:cs="Century Gothic"/>
          <w:sz w:val="24"/>
          <w:szCs w:val="24"/>
          <w:lang w:val="es-CO"/>
        </w:rPr>
      </w:pPr>
    </w:p>
    <w:p w:rsidR="00270620" w:rsidRDefault="00370BE7" w:rsidP="004D6C45">
      <w:pPr>
        <w:spacing w:line="26" w:lineRule="atLeast"/>
        <w:ind w:firstLine="2835"/>
        <w:jc w:val="both"/>
        <w:rPr>
          <w:rFonts w:ascii="Gadugi" w:hAnsi="Gadugi" w:cs="Century Gothic"/>
          <w:sz w:val="24"/>
          <w:szCs w:val="24"/>
          <w:lang w:val="es-419"/>
        </w:rPr>
      </w:pPr>
      <w:r w:rsidRPr="004D6C45">
        <w:rPr>
          <w:rFonts w:ascii="Gadugi" w:hAnsi="Gadugi" w:cs="Century Gothic"/>
          <w:sz w:val="24"/>
          <w:szCs w:val="24"/>
          <w:lang w:val="es-CO"/>
        </w:rPr>
        <w:lastRenderedPageBreak/>
        <w:tab/>
      </w:r>
      <w:r w:rsidR="00B34AA5" w:rsidRPr="004D6C45">
        <w:rPr>
          <w:rFonts w:ascii="Gadugi" w:hAnsi="Gadugi" w:cs="Century Gothic"/>
          <w:sz w:val="24"/>
          <w:szCs w:val="24"/>
          <w:lang w:val="es-CO"/>
        </w:rPr>
        <w:t>Se e</w:t>
      </w:r>
      <w:r w:rsidR="009546BE" w:rsidRPr="004D6C45">
        <w:rPr>
          <w:rFonts w:ascii="Gadugi" w:hAnsi="Gadugi" w:cs="Century Gothic"/>
          <w:sz w:val="24"/>
          <w:szCs w:val="24"/>
          <w:lang w:val="es-419"/>
        </w:rPr>
        <w:t xml:space="preserve">xpresa, en síntesis, que </w:t>
      </w:r>
      <w:r w:rsidR="00DE1C12" w:rsidRPr="004D6C45">
        <w:rPr>
          <w:rFonts w:ascii="Gadugi" w:hAnsi="Gadugi" w:cs="Century Gothic"/>
          <w:sz w:val="24"/>
          <w:szCs w:val="24"/>
          <w:lang w:val="es-419"/>
        </w:rPr>
        <w:t>en dicho despacho judicial inició la demanda en cita en la que se pretendía el pago de varias sumas de dinero junto con sus intereses (f. 2 y 3), contenidas en cuatro letras de cambio con vencimientos el 31 de enero de 2010; el Juzgado libró el mandamiento de pago solicitado y además ordenó el aprisionamiento del bien objeto de gravamen hipotecario</w:t>
      </w:r>
      <w:r w:rsidR="0069717B">
        <w:rPr>
          <w:rFonts w:ascii="Gadugi" w:hAnsi="Gadugi" w:cs="Century Gothic"/>
          <w:sz w:val="24"/>
          <w:szCs w:val="24"/>
          <w:lang w:val="es-419"/>
        </w:rPr>
        <w:t xml:space="preserve">. </w:t>
      </w:r>
      <w:r w:rsidR="00E27E11" w:rsidRPr="004D6C45">
        <w:rPr>
          <w:rFonts w:ascii="Gadugi" w:hAnsi="Gadugi" w:cs="Century Gothic"/>
          <w:sz w:val="24"/>
          <w:szCs w:val="24"/>
          <w:lang w:val="es-419"/>
        </w:rPr>
        <w:t xml:space="preserve">Mediante auto el 19 de diciembre de 2013, se dispuso tener </w:t>
      </w:r>
      <w:r w:rsidR="00270620">
        <w:rPr>
          <w:rFonts w:ascii="Gadugi" w:hAnsi="Gadugi" w:cs="Century Gothic"/>
          <w:sz w:val="24"/>
          <w:szCs w:val="24"/>
          <w:lang w:val="es-419"/>
        </w:rPr>
        <w:t xml:space="preserve">como </w:t>
      </w:r>
      <w:r w:rsidR="00E27E11" w:rsidRPr="004D6C45">
        <w:rPr>
          <w:rFonts w:ascii="Gadugi" w:hAnsi="Gadugi" w:cs="Century Gothic"/>
          <w:sz w:val="24"/>
          <w:szCs w:val="24"/>
          <w:lang w:val="es-419"/>
        </w:rPr>
        <w:t xml:space="preserve">notificado del mandamiento ejecutivo, por conducta concluyente, al representante legal de la sociedad demandada, quien no formuló excepciones. Luego, </w:t>
      </w:r>
      <w:r w:rsidR="00270620">
        <w:rPr>
          <w:rFonts w:ascii="Gadugi" w:hAnsi="Gadugi" w:cs="Century Gothic"/>
          <w:sz w:val="24"/>
          <w:szCs w:val="24"/>
          <w:lang w:val="es-419"/>
        </w:rPr>
        <w:t xml:space="preserve">por solicitud del mismo ejecutante, se convocó al trámite a Jhon Jairo </w:t>
      </w:r>
      <w:r w:rsidR="00064930" w:rsidRPr="004D6C45">
        <w:rPr>
          <w:rFonts w:ascii="Gadugi" w:hAnsi="Gadugi" w:cs="Century Gothic"/>
          <w:sz w:val="24"/>
          <w:szCs w:val="24"/>
          <w:lang w:val="es-419"/>
        </w:rPr>
        <w:t xml:space="preserve">Betancourth </w:t>
      </w:r>
      <w:r w:rsidR="002011E9" w:rsidRPr="004D6C45">
        <w:rPr>
          <w:rFonts w:ascii="Gadugi" w:hAnsi="Gadugi" w:cs="Century Gothic"/>
          <w:sz w:val="24"/>
          <w:szCs w:val="24"/>
          <w:lang w:val="es-419"/>
        </w:rPr>
        <w:t>Ríos y en virtud de la citación que se le hizo como litisconsorte necesario, fue notificado por aviso el 17 de noviembre de 2016 y el 28 de noviembre siguiente, recibió las copias del traslado cuando ya le había expirado todo término para realizar oposiciones o referirse a la citaci</w:t>
      </w:r>
      <w:r w:rsidR="00B93D05" w:rsidRPr="004D6C45">
        <w:rPr>
          <w:rFonts w:ascii="Gadugi" w:hAnsi="Gadugi" w:cs="Century Gothic"/>
          <w:sz w:val="24"/>
          <w:szCs w:val="24"/>
          <w:lang w:val="es-419"/>
        </w:rPr>
        <w:t xml:space="preserve">ón que se le hizo; en el mes de diciembre de esa misma anualidad, propuso una nulidad y la prescripción de las obligaciones. </w:t>
      </w:r>
    </w:p>
    <w:p w:rsidR="00270620" w:rsidRDefault="00270620" w:rsidP="004D6C45">
      <w:pPr>
        <w:spacing w:line="26" w:lineRule="atLeast"/>
        <w:ind w:firstLine="2835"/>
        <w:jc w:val="both"/>
        <w:rPr>
          <w:rFonts w:ascii="Gadugi" w:hAnsi="Gadugi" w:cs="Century Gothic"/>
          <w:sz w:val="24"/>
          <w:szCs w:val="24"/>
          <w:lang w:val="es-419"/>
        </w:rPr>
      </w:pPr>
    </w:p>
    <w:p w:rsidR="007B33CA" w:rsidRPr="004D6C45" w:rsidRDefault="00B93D05" w:rsidP="004D6C45">
      <w:pPr>
        <w:spacing w:line="26" w:lineRule="atLeast"/>
        <w:ind w:firstLine="2835"/>
        <w:jc w:val="both"/>
        <w:rPr>
          <w:rFonts w:ascii="Gadugi" w:hAnsi="Gadugi" w:cs="Century Gothic"/>
          <w:sz w:val="24"/>
          <w:szCs w:val="24"/>
          <w:lang w:val="es-419"/>
        </w:rPr>
      </w:pPr>
      <w:r w:rsidRPr="004D6C45">
        <w:rPr>
          <w:rFonts w:ascii="Gadugi" w:hAnsi="Gadugi" w:cs="Century Gothic"/>
          <w:sz w:val="24"/>
          <w:szCs w:val="24"/>
          <w:lang w:val="es-419"/>
        </w:rPr>
        <w:t xml:space="preserve">El Juzgado, </w:t>
      </w:r>
      <w:r w:rsidR="00270620">
        <w:rPr>
          <w:rFonts w:ascii="Gadugi" w:hAnsi="Gadugi" w:cs="Century Gothic"/>
          <w:sz w:val="24"/>
          <w:szCs w:val="24"/>
          <w:lang w:val="es-419"/>
        </w:rPr>
        <w:t xml:space="preserve">agrega, </w:t>
      </w:r>
      <w:r w:rsidRPr="004D6C45">
        <w:rPr>
          <w:rFonts w:ascii="Gadugi" w:hAnsi="Gadugi" w:cs="Century Gothic"/>
          <w:sz w:val="24"/>
          <w:szCs w:val="24"/>
          <w:lang w:val="es-419"/>
        </w:rPr>
        <w:t xml:space="preserve">de manera arbitraria dictó una sentencia anticipada, con pretermisión </w:t>
      </w:r>
      <w:r w:rsidR="00971305" w:rsidRPr="004D6C45">
        <w:rPr>
          <w:rFonts w:ascii="Gadugi" w:hAnsi="Gadugi" w:cs="Century Gothic"/>
          <w:sz w:val="24"/>
          <w:szCs w:val="24"/>
          <w:lang w:val="es-419"/>
        </w:rPr>
        <w:t xml:space="preserve">del trámite legal y con actuaciones de hecho por no dar cumplimiento a las normas procesales, esto es, corriendo traslado de la excepción de prescripción como lo preveía el artículo 510 del CPC y ahora el 443 del CGP, por un término de 10 días; en el derecho civil, afirma, no existe tal “experpento” </w:t>
      </w:r>
      <w:r w:rsidR="00270620">
        <w:rPr>
          <w:rFonts w:ascii="Gadugi" w:hAnsi="Gadugi" w:cs="Century Gothic"/>
          <w:sz w:val="24"/>
          <w:szCs w:val="24"/>
          <w:lang w:val="es-419"/>
        </w:rPr>
        <w:t>-</w:t>
      </w:r>
      <w:r w:rsidR="00971305" w:rsidRPr="004D6C45">
        <w:rPr>
          <w:rFonts w:ascii="Gadugi" w:hAnsi="Gadugi" w:cs="Century Gothic"/>
          <w:sz w:val="24"/>
          <w:szCs w:val="24"/>
          <w:lang w:val="es-419"/>
        </w:rPr>
        <w:t xml:space="preserve">sic-, esto es, sentencia anticipada; se finalizó el proceso de manera irregular y sospechosa, declarando la prescripción de las obligaciones demandadas y </w:t>
      </w:r>
      <w:r w:rsidR="00270620">
        <w:rPr>
          <w:rFonts w:ascii="Gadugi" w:hAnsi="Gadugi" w:cs="Century Gothic"/>
          <w:sz w:val="24"/>
          <w:szCs w:val="24"/>
          <w:lang w:val="es-419"/>
        </w:rPr>
        <w:t xml:space="preserve">dando </w:t>
      </w:r>
      <w:r w:rsidR="00971305" w:rsidRPr="004D6C45">
        <w:rPr>
          <w:rFonts w:ascii="Gadugi" w:hAnsi="Gadugi" w:cs="Century Gothic"/>
          <w:sz w:val="24"/>
          <w:szCs w:val="24"/>
          <w:lang w:val="es-419"/>
        </w:rPr>
        <w:t xml:space="preserve">al traste </w:t>
      </w:r>
      <w:r w:rsidR="00270620">
        <w:rPr>
          <w:rFonts w:ascii="Gadugi" w:hAnsi="Gadugi" w:cs="Century Gothic"/>
          <w:sz w:val="24"/>
          <w:szCs w:val="24"/>
          <w:lang w:val="es-419"/>
        </w:rPr>
        <w:t xml:space="preserve">con </w:t>
      </w:r>
      <w:r w:rsidR="00971305" w:rsidRPr="004D6C45">
        <w:rPr>
          <w:rFonts w:ascii="Gadugi" w:hAnsi="Gadugi" w:cs="Century Gothic"/>
          <w:sz w:val="24"/>
          <w:szCs w:val="24"/>
          <w:lang w:val="es-419"/>
        </w:rPr>
        <w:t xml:space="preserve">la ejecución planteada; </w:t>
      </w:r>
      <w:r w:rsidR="00270620">
        <w:rPr>
          <w:rFonts w:ascii="Gadugi" w:hAnsi="Gadugi" w:cs="Century Gothic"/>
          <w:sz w:val="24"/>
          <w:szCs w:val="24"/>
          <w:lang w:val="es-419"/>
        </w:rPr>
        <w:t xml:space="preserve">y para completar, </w:t>
      </w:r>
      <w:r w:rsidR="00971305" w:rsidRPr="004D6C45">
        <w:rPr>
          <w:rFonts w:ascii="Gadugi" w:hAnsi="Gadugi" w:cs="Century Gothic"/>
          <w:sz w:val="24"/>
          <w:szCs w:val="24"/>
          <w:lang w:val="es-419"/>
        </w:rPr>
        <w:t xml:space="preserve">se le negó el recurso de apelación que presentó contra dicha decisión, con lo que se violó el artículo 29 de la Carta Política; se dijo para negar dicha alzada </w:t>
      </w:r>
      <w:r w:rsidR="00971305" w:rsidRPr="004D6C45">
        <w:rPr>
          <w:rFonts w:ascii="Gadugi" w:hAnsi="Gadugi" w:cs="Century Gothic"/>
          <w:i/>
          <w:sz w:val="24"/>
          <w:szCs w:val="24"/>
          <w:lang w:val="es-419"/>
        </w:rPr>
        <w:t xml:space="preserve">“que para ella tenía que hacerlo en primera instancia y no tan sencilla como se expresó…” </w:t>
      </w:r>
      <w:r w:rsidR="00971305" w:rsidRPr="004D6C45">
        <w:rPr>
          <w:rFonts w:ascii="Gadugi" w:hAnsi="Gadugi" w:cs="Century Gothic"/>
          <w:sz w:val="24"/>
          <w:szCs w:val="24"/>
          <w:lang w:val="es-419"/>
        </w:rPr>
        <w:t>(sic).</w:t>
      </w:r>
    </w:p>
    <w:p w:rsidR="00A212F4" w:rsidRPr="004D6C45" w:rsidRDefault="00A212F4" w:rsidP="004D6C45">
      <w:pPr>
        <w:spacing w:line="26" w:lineRule="atLeast"/>
        <w:ind w:firstLine="2835"/>
        <w:jc w:val="both"/>
        <w:rPr>
          <w:rFonts w:ascii="Gadugi" w:hAnsi="Gadugi" w:cs="Century Gothic"/>
          <w:sz w:val="24"/>
          <w:szCs w:val="24"/>
          <w:lang w:val="es-419"/>
        </w:rPr>
      </w:pPr>
    </w:p>
    <w:p w:rsidR="00A212F4" w:rsidRPr="004D6C45" w:rsidRDefault="00270620" w:rsidP="004D6C45">
      <w:pPr>
        <w:spacing w:line="26" w:lineRule="atLeast"/>
        <w:ind w:firstLine="2835"/>
        <w:jc w:val="both"/>
        <w:rPr>
          <w:rFonts w:ascii="Gadugi" w:hAnsi="Gadugi" w:cs="Century Gothic"/>
          <w:sz w:val="24"/>
          <w:szCs w:val="24"/>
          <w:lang w:val="es-419"/>
        </w:rPr>
      </w:pPr>
      <w:r>
        <w:rPr>
          <w:rFonts w:ascii="Gadugi" w:hAnsi="Gadugi" w:cs="Century Gothic"/>
          <w:sz w:val="24"/>
          <w:szCs w:val="24"/>
          <w:lang w:val="es-419"/>
        </w:rPr>
        <w:t xml:space="preserve">De otro lado, fue irregular </w:t>
      </w:r>
      <w:r w:rsidR="00A212F4" w:rsidRPr="004D6C45">
        <w:rPr>
          <w:rFonts w:ascii="Gadugi" w:hAnsi="Gadugi" w:cs="Century Gothic"/>
          <w:sz w:val="24"/>
          <w:szCs w:val="24"/>
          <w:lang w:val="es-419"/>
        </w:rPr>
        <w:t xml:space="preserve">el </w:t>
      </w:r>
      <w:r w:rsidR="005E3419" w:rsidRPr="004D6C45">
        <w:rPr>
          <w:rFonts w:ascii="Gadugi" w:hAnsi="Gadugi" w:cs="Century Gothic"/>
          <w:sz w:val="24"/>
          <w:szCs w:val="24"/>
          <w:lang w:val="es-419"/>
        </w:rPr>
        <w:t>procedimiento</w:t>
      </w:r>
      <w:r w:rsidR="00A212F4" w:rsidRPr="004D6C45">
        <w:rPr>
          <w:rFonts w:ascii="Gadugi" w:hAnsi="Gadugi" w:cs="Century Gothic"/>
          <w:sz w:val="24"/>
          <w:szCs w:val="24"/>
          <w:lang w:val="es-419"/>
        </w:rPr>
        <w:t xml:space="preserve"> que se </w:t>
      </w:r>
      <w:r>
        <w:rPr>
          <w:rFonts w:ascii="Gadugi" w:hAnsi="Gadugi" w:cs="Century Gothic"/>
          <w:sz w:val="24"/>
          <w:szCs w:val="24"/>
          <w:lang w:val="es-419"/>
        </w:rPr>
        <w:t xml:space="preserve">surtió </w:t>
      </w:r>
      <w:r w:rsidR="00A212F4" w:rsidRPr="004D6C45">
        <w:rPr>
          <w:rFonts w:ascii="Gadugi" w:hAnsi="Gadugi" w:cs="Century Gothic"/>
          <w:sz w:val="24"/>
          <w:szCs w:val="24"/>
          <w:lang w:val="es-419"/>
        </w:rPr>
        <w:t>con el litisconsorte, porque de acue</w:t>
      </w:r>
      <w:r w:rsidR="004C0304">
        <w:rPr>
          <w:rFonts w:ascii="Gadugi" w:hAnsi="Gadugi" w:cs="Century Gothic"/>
          <w:sz w:val="24"/>
          <w:szCs w:val="24"/>
          <w:lang w:val="es-419"/>
        </w:rPr>
        <w:t>r</w:t>
      </w:r>
      <w:r w:rsidR="00A212F4" w:rsidRPr="004D6C45">
        <w:rPr>
          <w:rFonts w:ascii="Gadugi" w:hAnsi="Gadugi" w:cs="Century Gothic"/>
          <w:sz w:val="24"/>
          <w:szCs w:val="24"/>
          <w:lang w:val="es-419"/>
        </w:rPr>
        <w:t>do con el artículo 61 del CGP, tal sujeto tiene que actuar en relación con la parte que representa, en este caso, la demandada, y si el ejecutado principal guardó silencio durante el trasla</w:t>
      </w:r>
      <w:r>
        <w:rPr>
          <w:rFonts w:ascii="Gadugi" w:hAnsi="Gadugi" w:cs="Century Gothic"/>
          <w:sz w:val="24"/>
          <w:szCs w:val="24"/>
          <w:lang w:val="es-419"/>
        </w:rPr>
        <w:t>d</w:t>
      </w:r>
      <w:r w:rsidR="00A212F4" w:rsidRPr="004D6C45">
        <w:rPr>
          <w:rFonts w:ascii="Gadugi" w:hAnsi="Gadugi" w:cs="Century Gothic"/>
          <w:sz w:val="24"/>
          <w:szCs w:val="24"/>
          <w:lang w:val="es-419"/>
        </w:rPr>
        <w:t xml:space="preserve">o del libelo y le había precluido cualquier oportunidad procesal, ya este no podía oponer </w:t>
      </w:r>
      <w:r w:rsidR="0069717B">
        <w:rPr>
          <w:rFonts w:ascii="Gadugi" w:hAnsi="Gadugi" w:cs="Century Gothic"/>
          <w:sz w:val="24"/>
          <w:szCs w:val="24"/>
          <w:lang w:val="es-419"/>
        </w:rPr>
        <w:t>contra</w:t>
      </w:r>
      <w:r w:rsidR="00A212F4" w:rsidRPr="004D6C45">
        <w:rPr>
          <w:rFonts w:ascii="Gadugi" w:hAnsi="Gadugi" w:cs="Century Gothic"/>
          <w:sz w:val="24"/>
          <w:szCs w:val="24"/>
          <w:lang w:val="es-419"/>
        </w:rPr>
        <w:t xml:space="preserve"> la acción cambiaria excepciones de fondo, porque el demandado principal no las propuso; la citación que se le hizo fue para </w:t>
      </w:r>
      <w:r w:rsidR="00785118" w:rsidRPr="004D6C45">
        <w:rPr>
          <w:rFonts w:ascii="Gadugi" w:hAnsi="Gadugi" w:cs="Century Gothic"/>
          <w:sz w:val="24"/>
          <w:szCs w:val="24"/>
          <w:lang w:val="es-419"/>
        </w:rPr>
        <w:t>poder dictar sentencia de fondo</w:t>
      </w:r>
      <w:r>
        <w:rPr>
          <w:rFonts w:ascii="Gadugi" w:hAnsi="Gadugi" w:cs="Century Gothic"/>
          <w:sz w:val="24"/>
          <w:szCs w:val="24"/>
          <w:lang w:val="es-419"/>
        </w:rPr>
        <w:t>. P</w:t>
      </w:r>
      <w:r w:rsidR="00785118" w:rsidRPr="004D6C45">
        <w:rPr>
          <w:rFonts w:ascii="Gadugi" w:hAnsi="Gadugi" w:cs="Century Gothic"/>
          <w:sz w:val="24"/>
          <w:szCs w:val="24"/>
          <w:lang w:val="es-419"/>
        </w:rPr>
        <w:t xml:space="preserve">or último, otra actuación irregular, </w:t>
      </w:r>
      <w:r w:rsidR="004C0304" w:rsidRPr="004D6C45">
        <w:rPr>
          <w:rFonts w:ascii="Gadugi" w:hAnsi="Gadugi" w:cs="Century Gothic"/>
          <w:sz w:val="24"/>
          <w:szCs w:val="24"/>
          <w:lang w:val="es-419"/>
        </w:rPr>
        <w:t>arbitraria</w:t>
      </w:r>
      <w:r w:rsidR="00785118" w:rsidRPr="004D6C45">
        <w:rPr>
          <w:rFonts w:ascii="Gadugi" w:hAnsi="Gadugi" w:cs="Century Gothic"/>
          <w:sz w:val="24"/>
          <w:szCs w:val="24"/>
          <w:lang w:val="es-419"/>
        </w:rPr>
        <w:t xml:space="preserve"> y sospechosa, tuvo que ver con el hecho de que en el auto final, se negó la expedición de copias para interponer el recurso de queja</w:t>
      </w:r>
      <w:r w:rsidR="002B18C3" w:rsidRPr="004D6C45">
        <w:rPr>
          <w:rFonts w:ascii="Gadugi" w:hAnsi="Gadugi" w:cs="Century Gothic"/>
          <w:sz w:val="24"/>
          <w:szCs w:val="24"/>
          <w:lang w:val="es-419"/>
        </w:rPr>
        <w:t>, cuando tal situación está autorizada por los artículos 114 y 353 del CGP.</w:t>
      </w:r>
    </w:p>
    <w:p w:rsidR="002B18C3" w:rsidRPr="004D6C45" w:rsidRDefault="002B18C3" w:rsidP="004D6C45">
      <w:pPr>
        <w:spacing w:line="26" w:lineRule="atLeast"/>
        <w:ind w:firstLine="2835"/>
        <w:jc w:val="both"/>
        <w:rPr>
          <w:rFonts w:ascii="Gadugi" w:hAnsi="Gadugi" w:cs="Century Gothic"/>
          <w:sz w:val="24"/>
          <w:szCs w:val="24"/>
          <w:lang w:val="es-419"/>
        </w:rPr>
      </w:pPr>
    </w:p>
    <w:p w:rsidR="002B18C3" w:rsidRPr="004D6C45" w:rsidRDefault="002B18C3" w:rsidP="004D6C45">
      <w:pPr>
        <w:spacing w:line="26" w:lineRule="atLeast"/>
        <w:ind w:firstLine="2835"/>
        <w:jc w:val="both"/>
        <w:rPr>
          <w:rFonts w:ascii="Gadugi" w:hAnsi="Gadugi" w:cs="Century Gothic"/>
          <w:bCs/>
          <w:sz w:val="24"/>
          <w:szCs w:val="24"/>
          <w:lang w:val="es-CO"/>
        </w:rPr>
      </w:pPr>
      <w:r w:rsidRPr="004D6C45">
        <w:rPr>
          <w:rFonts w:ascii="Gadugi" w:hAnsi="Gadugi" w:cs="Century Gothic"/>
          <w:sz w:val="24"/>
          <w:szCs w:val="24"/>
          <w:lang w:val="es-419"/>
        </w:rPr>
        <w:t>Pidió, por tanto, el amparo del derecho al debido proceso, y como consecuencia de ello, se anule la sentencia dictada en el anunciado proceso ejecutivo o, en su defecto, se conceda el recurso de apelación propuesto en debida forma contra la sentencia allí proferida.</w:t>
      </w:r>
    </w:p>
    <w:p w:rsidR="00C11425" w:rsidRPr="004D6C45" w:rsidRDefault="00C11425" w:rsidP="004D6C45">
      <w:pPr>
        <w:spacing w:line="26" w:lineRule="atLeast"/>
        <w:jc w:val="both"/>
        <w:rPr>
          <w:rFonts w:ascii="Gadugi" w:hAnsi="Gadugi" w:cs="Century Gothic"/>
          <w:sz w:val="24"/>
          <w:szCs w:val="24"/>
          <w:lang w:val="es-CO"/>
        </w:rPr>
      </w:pPr>
    </w:p>
    <w:p w:rsidR="00370BE7" w:rsidRPr="004D6C45" w:rsidRDefault="002A2C04" w:rsidP="004D6C45">
      <w:pPr>
        <w:spacing w:line="26" w:lineRule="atLeast"/>
        <w:jc w:val="both"/>
        <w:rPr>
          <w:rFonts w:ascii="Gadugi" w:hAnsi="Gadugi" w:cs="Century Gothic"/>
          <w:sz w:val="24"/>
          <w:szCs w:val="24"/>
          <w:lang w:val="es-CO"/>
        </w:rPr>
      </w:pPr>
      <w:r w:rsidRPr="004D6C45">
        <w:rPr>
          <w:rFonts w:ascii="Gadugi" w:hAnsi="Gadugi" w:cs="Century Gothic"/>
          <w:sz w:val="24"/>
          <w:szCs w:val="24"/>
          <w:lang w:val="es-CO"/>
        </w:rPr>
        <w:lastRenderedPageBreak/>
        <w:tab/>
      </w:r>
      <w:r w:rsidRPr="004D6C45">
        <w:rPr>
          <w:rFonts w:ascii="Gadugi" w:hAnsi="Gadugi" w:cs="Century Gothic"/>
          <w:sz w:val="24"/>
          <w:szCs w:val="24"/>
          <w:lang w:val="es-CO"/>
        </w:rPr>
        <w:tab/>
      </w:r>
      <w:r w:rsidR="00C11425" w:rsidRPr="004D6C45">
        <w:rPr>
          <w:rFonts w:ascii="Gadugi" w:hAnsi="Gadugi" w:cs="Century Gothic"/>
          <w:sz w:val="24"/>
          <w:szCs w:val="24"/>
          <w:lang w:val="es-CO"/>
        </w:rPr>
        <w:t xml:space="preserve">  </w:t>
      </w:r>
      <w:r w:rsidR="00C11425" w:rsidRPr="004D6C45">
        <w:rPr>
          <w:rFonts w:ascii="Gadugi" w:hAnsi="Gadugi" w:cs="Century Gothic"/>
          <w:sz w:val="24"/>
          <w:szCs w:val="24"/>
          <w:lang w:val="es-CO"/>
        </w:rPr>
        <w:tab/>
      </w:r>
      <w:r w:rsidR="00C11425" w:rsidRPr="004D6C45">
        <w:rPr>
          <w:rFonts w:ascii="Gadugi" w:hAnsi="Gadugi" w:cs="Century Gothic"/>
          <w:sz w:val="24"/>
          <w:szCs w:val="24"/>
          <w:lang w:val="es-CO"/>
        </w:rPr>
        <w:tab/>
      </w:r>
      <w:r w:rsidRPr="004D6C45">
        <w:rPr>
          <w:rFonts w:ascii="Gadugi" w:hAnsi="Gadugi" w:cs="Century Gothic"/>
          <w:sz w:val="24"/>
          <w:szCs w:val="24"/>
          <w:lang w:val="es-CO"/>
        </w:rPr>
        <w:t xml:space="preserve">Con auto del </w:t>
      </w:r>
      <w:r w:rsidR="00064930" w:rsidRPr="004D6C45">
        <w:rPr>
          <w:rFonts w:ascii="Gadugi" w:hAnsi="Gadugi" w:cs="Century Gothic"/>
          <w:sz w:val="24"/>
          <w:szCs w:val="24"/>
          <w:lang w:val="es-CO"/>
        </w:rPr>
        <w:t>23 de enero</w:t>
      </w:r>
      <w:r w:rsidR="00355143" w:rsidRPr="004D6C45">
        <w:rPr>
          <w:rFonts w:ascii="Gadugi" w:hAnsi="Gadugi" w:cs="Century Gothic"/>
          <w:sz w:val="24"/>
          <w:szCs w:val="24"/>
        </w:rPr>
        <w:t xml:space="preserve"> s</w:t>
      </w:r>
      <w:r w:rsidR="0018704B" w:rsidRPr="004D6C45">
        <w:rPr>
          <w:rFonts w:ascii="Gadugi" w:hAnsi="Gadugi" w:cs="Century Gothic"/>
          <w:sz w:val="24"/>
          <w:szCs w:val="24"/>
        </w:rPr>
        <w:t xml:space="preserve">e dispuso el trámite respectivo </w:t>
      </w:r>
      <w:r w:rsidR="00064930" w:rsidRPr="004D6C45">
        <w:rPr>
          <w:rFonts w:ascii="Gadugi" w:hAnsi="Gadugi" w:cs="Century Gothic"/>
          <w:sz w:val="24"/>
          <w:szCs w:val="24"/>
        </w:rPr>
        <w:t xml:space="preserve">y </w:t>
      </w:r>
      <w:r w:rsidRPr="004D6C45">
        <w:rPr>
          <w:rFonts w:ascii="Gadugi" w:hAnsi="Gadugi" w:cs="Century Gothic"/>
          <w:sz w:val="24"/>
          <w:szCs w:val="24"/>
          <w:lang w:val="es-CO"/>
        </w:rPr>
        <w:t>se corrió traslado por el término de 2 días, a la vez que se solicitó del Juzgado la remisión de las copias necesarias.</w:t>
      </w:r>
    </w:p>
    <w:p w:rsidR="00064930" w:rsidRPr="004D6C45" w:rsidRDefault="00064930" w:rsidP="004D6C45">
      <w:pPr>
        <w:spacing w:line="26" w:lineRule="atLeast"/>
        <w:jc w:val="both"/>
        <w:rPr>
          <w:rFonts w:ascii="Gadugi" w:hAnsi="Gadugi" w:cs="Century Gothic"/>
          <w:sz w:val="24"/>
          <w:szCs w:val="24"/>
          <w:lang w:val="es-419"/>
        </w:rPr>
      </w:pPr>
    </w:p>
    <w:p w:rsidR="009D42DB" w:rsidRPr="004D6C45" w:rsidRDefault="00370BE7" w:rsidP="004D6C45">
      <w:pPr>
        <w:pStyle w:val="Textoindependiente21"/>
        <w:spacing w:line="26" w:lineRule="atLeast"/>
        <w:rPr>
          <w:rFonts w:ascii="Gadugi" w:hAnsi="Gadugi" w:cs="Century Gothic"/>
          <w:szCs w:val="24"/>
          <w:lang w:val="es-CO"/>
        </w:rPr>
      </w:pPr>
      <w:r w:rsidRPr="004D6C45">
        <w:rPr>
          <w:rFonts w:ascii="Gadugi" w:hAnsi="Gadugi" w:cs="Century Gothic"/>
          <w:szCs w:val="24"/>
          <w:lang w:val="es-CO"/>
        </w:rPr>
        <w:t xml:space="preserve">El </w:t>
      </w:r>
      <w:r w:rsidR="00064930" w:rsidRPr="004D6C45">
        <w:rPr>
          <w:rFonts w:ascii="Gadugi" w:hAnsi="Gadugi" w:cs="Century Gothic"/>
          <w:szCs w:val="24"/>
          <w:lang w:val="es-CO"/>
        </w:rPr>
        <w:t>funcionario judicial</w:t>
      </w:r>
      <w:r w:rsidR="006C6907" w:rsidRPr="004D6C45">
        <w:rPr>
          <w:rFonts w:ascii="Gadugi" w:hAnsi="Gadugi" w:cs="Century Gothic"/>
          <w:szCs w:val="24"/>
          <w:lang w:val="es-CO"/>
        </w:rPr>
        <w:t xml:space="preserve"> </w:t>
      </w:r>
      <w:r w:rsidR="002A4C03" w:rsidRPr="004D6C45">
        <w:rPr>
          <w:rFonts w:ascii="Gadugi" w:hAnsi="Gadugi" w:cs="Century Gothic"/>
          <w:szCs w:val="24"/>
          <w:lang w:val="es-CO"/>
        </w:rPr>
        <w:t>inform</w:t>
      </w:r>
      <w:r w:rsidR="006C6907" w:rsidRPr="004D6C45">
        <w:rPr>
          <w:rFonts w:ascii="Gadugi" w:hAnsi="Gadugi" w:cs="Century Gothic"/>
          <w:szCs w:val="24"/>
          <w:lang w:val="es-CO"/>
        </w:rPr>
        <w:t>ó</w:t>
      </w:r>
      <w:r w:rsidR="00064930" w:rsidRPr="004D6C45">
        <w:rPr>
          <w:rFonts w:ascii="Gadugi" w:hAnsi="Gadugi" w:cs="Century Gothic"/>
          <w:szCs w:val="24"/>
          <w:lang w:val="es-CO"/>
        </w:rPr>
        <w:t xml:space="preserve"> sobre la fecha en la que asumió </w:t>
      </w:r>
      <w:r w:rsidR="00270620">
        <w:rPr>
          <w:rFonts w:ascii="Gadugi" w:hAnsi="Gadugi" w:cs="Century Gothic"/>
          <w:szCs w:val="24"/>
          <w:lang w:val="es-419"/>
        </w:rPr>
        <w:t xml:space="preserve">ese cargo; sin embargo, </w:t>
      </w:r>
      <w:r w:rsidR="00064930" w:rsidRPr="004D6C45">
        <w:rPr>
          <w:rFonts w:ascii="Gadugi" w:hAnsi="Gadugi" w:cs="Century Gothic"/>
          <w:szCs w:val="24"/>
          <w:lang w:val="es-CO"/>
        </w:rPr>
        <w:t>dio cuenta de las decisiones que impidieron dar curso a la segunda instancia.</w:t>
      </w:r>
      <w:r w:rsidR="006C6907" w:rsidRPr="004D6C45">
        <w:rPr>
          <w:rFonts w:ascii="Gadugi" w:hAnsi="Gadugi" w:cs="Century Gothic"/>
          <w:szCs w:val="24"/>
          <w:lang w:val="es-CO"/>
        </w:rPr>
        <w:t xml:space="preserve"> </w:t>
      </w:r>
      <w:r w:rsidR="00064930" w:rsidRPr="004D6C45">
        <w:rPr>
          <w:rFonts w:ascii="Gadugi" w:hAnsi="Gadugi" w:cs="Century Gothic"/>
          <w:szCs w:val="24"/>
          <w:lang w:val="es-CO"/>
        </w:rPr>
        <w:t>Con posterioridad</w:t>
      </w:r>
      <w:r w:rsidR="00270620">
        <w:rPr>
          <w:rFonts w:ascii="Gadugi" w:hAnsi="Gadugi" w:cs="Century Gothic"/>
          <w:szCs w:val="24"/>
          <w:lang w:val="es-419"/>
        </w:rPr>
        <w:t>,</w:t>
      </w:r>
      <w:r w:rsidR="00064930" w:rsidRPr="004D6C45">
        <w:rPr>
          <w:rFonts w:ascii="Gadugi" w:hAnsi="Gadugi" w:cs="Century Gothic"/>
          <w:szCs w:val="24"/>
          <w:lang w:val="es-CO"/>
        </w:rPr>
        <w:t xml:space="preserve"> arrimó las copias solicitadas</w:t>
      </w:r>
      <w:r w:rsidR="005E6A4B" w:rsidRPr="004D6C45">
        <w:rPr>
          <w:rFonts w:ascii="Gadugi" w:hAnsi="Gadugi" w:cs="Century Gothic"/>
          <w:szCs w:val="24"/>
          <w:lang w:val="es-CO"/>
        </w:rPr>
        <w:t xml:space="preserve"> que reposan en medio magnético (f. 59).</w:t>
      </w:r>
    </w:p>
    <w:p w:rsidR="00064930" w:rsidRPr="004D6C45" w:rsidRDefault="00064930" w:rsidP="004D6C45">
      <w:pPr>
        <w:pStyle w:val="Textoindependiente21"/>
        <w:spacing w:line="26" w:lineRule="atLeast"/>
        <w:rPr>
          <w:rFonts w:ascii="Gadugi" w:hAnsi="Gadugi" w:cs="Century Gothic"/>
          <w:szCs w:val="24"/>
          <w:lang w:val="es-419"/>
        </w:rPr>
      </w:pPr>
    </w:p>
    <w:p w:rsidR="00064930" w:rsidRPr="004D6C45" w:rsidRDefault="00064930" w:rsidP="004D6C45">
      <w:pPr>
        <w:pStyle w:val="Textoindependiente21"/>
        <w:spacing w:line="26" w:lineRule="atLeast"/>
        <w:rPr>
          <w:rFonts w:ascii="Gadugi" w:hAnsi="Gadugi" w:cs="Century Gothic"/>
          <w:szCs w:val="24"/>
          <w:lang w:val="es-419"/>
        </w:rPr>
      </w:pPr>
      <w:r w:rsidRPr="004D6C45">
        <w:rPr>
          <w:rFonts w:ascii="Gadugi" w:hAnsi="Gadugi" w:cs="Century Gothic"/>
          <w:szCs w:val="24"/>
          <w:lang w:val="es-419"/>
        </w:rPr>
        <w:t xml:space="preserve">Jhon Jairo Betancourth Ríos, se pronunció sobre los hechos de la demanda y se opuso a la prosperidad de las pretensiones al haberse dejado precluir las oportunidades procesales o </w:t>
      </w:r>
      <w:r w:rsidR="00A30DE2">
        <w:rPr>
          <w:rFonts w:ascii="Gadugi" w:hAnsi="Gadugi" w:cs="Century Gothic"/>
          <w:szCs w:val="24"/>
          <w:lang w:val="es-419"/>
        </w:rPr>
        <w:t xml:space="preserve">por haberlas ejercido inadecuadamente. </w:t>
      </w:r>
    </w:p>
    <w:p w:rsidR="00064930" w:rsidRPr="004D6C45" w:rsidRDefault="00064930" w:rsidP="004D6C45">
      <w:pPr>
        <w:pStyle w:val="Textoindependiente21"/>
        <w:spacing w:line="26" w:lineRule="atLeast"/>
        <w:rPr>
          <w:rFonts w:ascii="Gadugi" w:hAnsi="Gadugi" w:cs="Century Gothic"/>
          <w:szCs w:val="24"/>
          <w:lang w:val="es-419"/>
        </w:rPr>
      </w:pPr>
    </w:p>
    <w:p w:rsidR="002342A4" w:rsidRPr="004D6C45" w:rsidRDefault="002342A4" w:rsidP="004D6C45">
      <w:pPr>
        <w:spacing w:line="26" w:lineRule="atLeast"/>
        <w:ind w:firstLine="2835"/>
        <w:jc w:val="both"/>
        <w:rPr>
          <w:rFonts w:ascii="Gadugi" w:hAnsi="Gadugi" w:cs="Arial"/>
          <w:b/>
          <w:sz w:val="24"/>
          <w:szCs w:val="24"/>
        </w:rPr>
      </w:pPr>
      <w:r w:rsidRPr="004D6C45">
        <w:rPr>
          <w:rFonts w:ascii="Gadugi" w:hAnsi="Gadugi" w:cs="Arial"/>
          <w:b/>
          <w:sz w:val="24"/>
          <w:szCs w:val="24"/>
        </w:rPr>
        <w:t>CONSIDERACIONES</w:t>
      </w:r>
    </w:p>
    <w:p w:rsidR="002342A4" w:rsidRPr="004D6C45" w:rsidRDefault="002342A4" w:rsidP="004D6C45">
      <w:pPr>
        <w:spacing w:line="26" w:lineRule="atLeast"/>
        <w:ind w:firstLine="2835"/>
        <w:jc w:val="both"/>
        <w:rPr>
          <w:rFonts w:ascii="Gadugi" w:hAnsi="Gadugi" w:cs="Arial"/>
          <w:sz w:val="24"/>
          <w:szCs w:val="24"/>
          <w:u w:val="single"/>
        </w:rPr>
      </w:pPr>
    </w:p>
    <w:p w:rsidR="007E64F2" w:rsidRPr="004D6C45" w:rsidRDefault="007E64F2" w:rsidP="004D6C45">
      <w:pPr>
        <w:pStyle w:val="Textoindependiente21"/>
        <w:spacing w:line="26" w:lineRule="atLeast"/>
        <w:rPr>
          <w:rFonts w:ascii="Gadugi" w:hAnsi="Gadugi"/>
          <w:szCs w:val="24"/>
        </w:rPr>
      </w:pPr>
      <w:r w:rsidRPr="004D6C45">
        <w:rPr>
          <w:rFonts w:ascii="Gadugi" w:hAnsi="Gadugi"/>
          <w:szCs w:val="24"/>
        </w:rPr>
        <w:t>La acción de tutela se constituye en un medio ágil y expedito para que toda persona pueda reclamar ante los jueces, en cualquier momento y lugar, la protección de sus derechos fundamentales, si ellos son vulnerados o amenazados por la acción o la omisión de una autoridad pública y, en determinados casos, por particulares.</w:t>
      </w:r>
    </w:p>
    <w:p w:rsidR="007E64F2" w:rsidRPr="004D6C45" w:rsidRDefault="007E64F2" w:rsidP="004D6C45">
      <w:pPr>
        <w:spacing w:line="26" w:lineRule="atLeast"/>
        <w:ind w:firstLine="2835"/>
        <w:jc w:val="both"/>
        <w:rPr>
          <w:rFonts w:ascii="Gadugi" w:hAnsi="Gadugi"/>
          <w:sz w:val="24"/>
          <w:szCs w:val="24"/>
        </w:rPr>
      </w:pPr>
      <w:r w:rsidRPr="004D6C45">
        <w:rPr>
          <w:rFonts w:ascii="Gadugi" w:hAnsi="Gadugi"/>
          <w:sz w:val="24"/>
          <w:szCs w:val="24"/>
        </w:rPr>
        <w:t xml:space="preserve">  </w:t>
      </w:r>
      <w:r w:rsidRPr="004D6C45">
        <w:rPr>
          <w:rFonts w:ascii="Gadugi" w:hAnsi="Gadugi"/>
          <w:sz w:val="24"/>
          <w:szCs w:val="24"/>
        </w:rPr>
        <w:tab/>
      </w:r>
      <w:r w:rsidRPr="004D6C45">
        <w:rPr>
          <w:rFonts w:ascii="Gadugi" w:hAnsi="Gadugi"/>
          <w:sz w:val="24"/>
          <w:szCs w:val="24"/>
        </w:rPr>
        <w:tab/>
      </w:r>
      <w:r w:rsidRPr="004D6C45">
        <w:rPr>
          <w:rFonts w:ascii="Gadugi" w:hAnsi="Gadugi"/>
          <w:sz w:val="24"/>
          <w:szCs w:val="24"/>
        </w:rPr>
        <w:tab/>
      </w:r>
      <w:r w:rsidRPr="004D6C45">
        <w:rPr>
          <w:rFonts w:ascii="Gadugi" w:hAnsi="Gadugi"/>
          <w:sz w:val="24"/>
          <w:szCs w:val="24"/>
        </w:rPr>
        <w:tab/>
      </w:r>
    </w:p>
    <w:p w:rsidR="009B3103" w:rsidRPr="004D6C45" w:rsidRDefault="007E64F2" w:rsidP="004D6C45">
      <w:pPr>
        <w:spacing w:line="26" w:lineRule="atLeast"/>
        <w:ind w:firstLine="2835"/>
        <w:jc w:val="both"/>
        <w:rPr>
          <w:rFonts w:ascii="Gadugi" w:hAnsi="Gadugi" w:cs="Arial"/>
          <w:sz w:val="24"/>
          <w:szCs w:val="24"/>
          <w:lang w:val="es-419"/>
        </w:rPr>
      </w:pPr>
      <w:r w:rsidRPr="004D6C45">
        <w:rPr>
          <w:rFonts w:ascii="Gadugi" w:hAnsi="Gadugi"/>
          <w:sz w:val="24"/>
          <w:szCs w:val="24"/>
        </w:rPr>
        <w:t xml:space="preserve">Se acude en esta oportunidad </w:t>
      </w:r>
      <w:r w:rsidRPr="004D6C45">
        <w:rPr>
          <w:rFonts w:ascii="Gadugi" w:hAnsi="Gadugi" w:cs="Arial"/>
          <w:sz w:val="24"/>
          <w:szCs w:val="24"/>
        </w:rPr>
        <w:t xml:space="preserve">en procura </w:t>
      </w:r>
      <w:r w:rsidR="002A4C03" w:rsidRPr="004D6C45">
        <w:rPr>
          <w:rFonts w:ascii="Gadugi" w:hAnsi="Gadugi" w:cs="Arial"/>
          <w:sz w:val="24"/>
          <w:szCs w:val="24"/>
          <w:lang w:val="es-419"/>
        </w:rPr>
        <w:t xml:space="preserve">de la protección </w:t>
      </w:r>
      <w:r w:rsidR="00AE53A5" w:rsidRPr="004D6C45">
        <w:rPr>
          <w:rFonts w:ascii="Gadugi" w:hAnsi="Gadugi" w:cs="Arial"/>
          <w:sz w:val="24"/>
          <w:szCs w:val="24"/>
          <w:lang w:val="es-419"/>
        </w:rPr>
        <w:t>de</w:t>
      </w:r>
      <w:r w:rsidR="00064930" w:rsidRPr="004D6C45">
        <w:rPr>
          <w:rFonts w:ascii="Gadugi" w:hAnsi="Gadugi" w:cs="Arial"/>
          <w:sz w:val="24"/>
          <w:szCs w:val="24"/>
          <w:lang w:val="es-419"/>
        </w:rPr>
        <w:t xml:space="preserve">l derecho fundamental al debido proceso que se estima </w:t>
      </w:r>
      <w:r w:rsidR="000A06FA" w:rsidRPr="004D6C45">
        <w:rPr>
          <w:rFonts w:ascii="Gadugi" w:hAnsi="Gadugi" w:cs="Arial"/>
          <w:sz w:val="24"/>
          <w:szCs w:val="24"/>
          <w:lang w:val="es-419"/>
        </w:rPr>
        <w:t xml:space="preserve">lesionado, de manera esencial </w:t>
      </w:r>
      <w:r w:rsidR="00064930" w:rsidRPr="004D6C45">
        <w:rPr>
          <w:rFonts w:ascii="Gadugi" w:hAnsi="Gadugi" w:cs="Arial"/>
          <w:sz w:val="24"/>
          <w:szCs w:val="24"/>
          <w:lang w:val="es-419"/>
        </w:rPr>
        <w:t xml:space="preserve">por el Juzgado Civil del Circuito de Dosquebradas, </w:t>
      </w:r>
      <w:r w:rsidR="000A06FA" w:rsidRPr="00A30DE2">
        <w:rPr>
          <w:rFonts w:ascii="Gadugi" w:hAnsi="Gadugi" w:cs="Arial"/>
          <w:sz w:val="24"/>
          <w:szCs w:val="24"/>
          <w:lang w:val="es-419"/>
        </w:rPr>
        <w:t xml:space="preserve">(i) </w:t>
      </w:r>
      <w:r w:rsidR="00064930" w:rsidRPr="00A30DE2">
        <w:rPr>
          <w:rFonts w:ascii="Gadugi" w:hAnsi="Gadugi" w:cs="Arial"/>
          <w:sz w:val="24"/>
          <w:szCs w:val="24"/>
          <w:lang w:val="es-419"/>
        </w:rPr>
        <w:t xml:space="preserve">al haber proferido una sentencia anticipada dentro de la ejecución hipotecaria que allí adelantó, lo cual no existe, </w:t>
      </w:r>
      <w:r w:rsidR="00A30DE2">
        <w:rPr>
          <w:rFonts w:ascii="Gadugi" w:hAnsi="Gadugi" w:cs="Arial"/>
          <w:sz w:val="24"/>
          <w:szCs w:val="24"/>
          <w:lang w:val="es-419"/>
        </w:rPr>
        <w:t xml:space="preserve">en el </w:t>
      </w:r>
      <w:r w:rsidR="000A06FA" w:rsidRPr="00A30DE2">
        <w:rPr>
          <w:rFonts w:ascii="Gadugi" w:hAnsi="Gadugi" w:cs="Arial"/>
          <w:sz w:val="24"/>
          <w:szCs w:val="24"/>
          <w:lang w:val="es-419"/>
        </w:rPr>
        <w:t xml:space="preserve">derecho </w:t>
      </w:r>
      <w:r w:rsidR="00A30DE2">
        <w:rPr>
          <w:rFonts w:ascii="Gadugi" w:hAnsi="Gadugi" w:cs="Arial"/>
          <w:sz w:val="24"/>
          <w:szCs w:val="24"/>
          <w:lang w:val="es-419"/>
        </w:rPr>
        <w:t xml:space="preserve">procesal </w:t>
      </w:r>
      <w:r w:rsidR="000A06FA" w:rsidRPr="00A30DE2">
        <w:rPr>
          <w:rFonts w:ascii="Gadugi" w:hAnsi="Gadugi" w:cs="Arial"/>
          <w:sz w:val="24"/>
          <w:szCs w:val="24"/>
          <w:lang w:val="es-419"/>
        </w:rPr>
        <w:t>civil, sin que hubiese corrido traslado de la excepción de prescripción que fue formulada dentro de aquel juicio, tal como lo indican los artículos 510 del CPC y 443 del CGP</w:t>
      </w:r>
      <w:r w:rsidR="00A30DE2">
        <w:rPr>
          <w:rFonts w:ascii="Gadugi" w:hAnsi="Gadugi" w:cs="Arial"/>
          <w:sz w:val="24"/>
          <w:szCs w:val="24"/>
          <w:lang w:val="es-419"/>
        </w:rPr>
        <w:t>,</w:t>
      </w:r>
      <w:r w:rsidR="000A06FA" w:rsidRPr="00A30DE2">
        <w:rPr>
          <w:rFonts w:ascii="Gadugi" w:hAnsi="Gadugi" w:cs="Arial"/>
          <w:sz w:val="24"/>
          <w:szCs w:val="24"/>
          <w:lang w:val="es-419"/>
        </w:rPr>
        <w:t xml:space="preserve"> por el término de 10 d</w:t>
      </w:r>
      <w:r w:rsidR="009B3103" w:rsidRPr="00A30DE2">
        <w:rPr>
          <w:rFonts w:ascii="Gadugi" w:hAnsi="Gadugi" w:cs="Arial"/>
          <w:sz w:val="24"/>
          <w:szCs w:val="24"/>
          <w:lang w:val="es-419"/>
        </w:rPr>
        <w:t xml:space="preserve">ías; (ii) por negársele la concesión del recurso de apelación interpuesto contra dicha resolución, por cuanto no sustentó, cuando </w:t>
      </w:r>
      <w:r w:rsidR="00A30DE2">
        <w:rPr>
          <w:rFonts w:ascii="Gadugi" w:hAnsi="Gadugi" w:cs="Arial"/>
          <w:sz w:val="24"/>
          <w:szCs w:val="24"/>
          <w:lang w:val="es-419"/>
        </w:rPr>
        <w:t xml:space="preserve">pudo haberlo hecho en el término para alegar en </w:t>
      </w:r>
      <w:r w:rsidR="009B3103" w:rsidRPr="00A30DE2">
        <w:rPr>
          <w:rFonts w:ascii="Gadugi" w:hAnsi="Gadugi" w:cs="Arial"/>
          <w:sz w:val="24"/>
          <w:szCs w:val="24"/>
          <w:lang w:val="es-419"/>
        </w:rPr>
        <w:t>segunda instancia; y (iii) al negársele la expedición de copias para que se surtiera el recurso de queja</w:t>
      </w:r>
      <w:r w:rsidR="00A30DE2">
        <w:rPr>
          <w:rFonts w:ascii="Gadugi" w:hAnsi="Gadugi" w:cs="Arial"/>
          <w:sz w:val="24"/>
          <w:szCs w:val="24"/>
          <w:lang w:val="es-419"/>
        </w:rPr>
        <w:t>.</w:t>
      </w:r>
    </w:p>
    <w:p w:rsidR="002E5AA0" w:rsidRPr="004D6C45" w:rsidRDefault="002E5AA0" w:rsidP="004D6C45">
      <w:pPr>
        <w:shd w:val="clear" w:color="auto" w:fill="FFFFFF"/>
        <w:spacing w:line="26" w:lineRule="atLeast"/>
        <w:jc w:val="both"/>
        <w:rPr>
          <w:rFonts w:ascii="Gadugi" w:hAnsi="Gadugi" w:cs="Arial"/>
          <w:sz w:val="24"/>
          <w:szCs w:val="24"/>
        </w:rPr>
      </w:pPr>
    </w:p>
    <w:p w:rsidR="007E64F2" w:rsidRPr="004D6C45" w:rsidRDefault="002A4C03" w:rsidP="004D6C45">
      <w:pPr>
        <w:shd w:val="clear" w:color="auto" w:fill="FFFFFF"/>
        <w:spacing w:line="26" w:lineRule="atLeast"/>
        <w:jc w:val="both"/>
        <w:rPr>
          <w:rFonts w:ascii="Gadugi" w:hAnsi="Gadugi"/>
          <w:sz w:val="24"/>
          <w:szCs w:val="24"/>
        </w:rPr>
      </w:pPr>
      <w:r w:rsidRPr="004D6C45">
        <w:rPr>
          <w:rFonts w:ascii="Gadugi" w:hAnsi="Gadugi" w:cs="Arial"/>
          <w:sz w:val="24"/>
          <w:szCs w:val="24"/>
        </w:rPr>
        <w:t xml:space="preserve">  </w:t>
      </w:r>
      <w:r w:rsidRPr="004D6C45">
        <w:rPr>
          <w:rFonts w:ascii="Gadugi" w:hAnsi="Gadugi" w:cs="Arial"/>
          <w:sz w:val="24"/>
          <w:szCs w:val="24"/>
        </w:rPr>
        <w:tab/>
      </w:r>
      <w:r w:rsidRPr="004D6C45">
        <w:rPr>
          <w:rFonts w:ascii="Gadugi" w:hAnsi="Gadugi" w:cs="Arial"/>
          <w:sz w:val="24"/>
          <w:szCs w:val="24"/>
        </w:rPr>
        <w:tab/>
      </w:r>
      <w:r w:rsidRPr="004D6C45">
        <w:rPr>
          <w:rFonts w:ascii="Gadugi" w:hAnsi="Gadugi" w:cs="Arial"/>
          <w:sz w:val="24"/>
          <w:szCs w:val="24"/>
        </w:rPr>
        <w:tab/>
      </w:r>
      <w:r w:rsidRPr="004D6C45">
        <w:rPr>
          <w:rFonts w:ascii="Gadugi" w:hAnsi="Gadugi" w:cs="Arial"/>
          <w:sz w:val="24"/>
          <w:szCs w:val="24"/>
        </w:rPr>
        <w:tab/>
      </w:r>
      <w:r w:rsidR="00AE53A5" w:rsidRPr="004D6C45">
        <w:rPr>
          <w:rFonts w:ascii="Gadugi" w:hAnsi="Gadugi" w:cs="Arial"/>
          <w:sz w:val="24"/>
          <w:szCs w:val="24"/>
        </w:rPr>
        <w:t xml:space="preserve">De </w:t>
      </w:r>
      <w:r w:rsidR="00C51A08" w:rsidRPr="004D6C45">
        <w:rPr>
          <w:rFonts w:ascii="Gadugi" w:hAnsi="Gadugi" w:cs="Arial"/>
          <w:sz w:val="24"/>
          <w:szCs w:val="24"/>
        </w:rPr>
        <w:t xml:space="preserve">manera reiterada </w:t>
      </w:r>
      <w:r w:rsidR="007E64F2" w:rsidRPr="004D6C45">
        <w:rPr>
          <w:rFonts w:ascii="Gadugi" w:hAnsi="Gadugi" w:cs="Arial"/>
          <w:sz w:val="24"/>
          <w:szCs w:val="24"/>
        </w:rPr>
        <w:t>se ha expuesto que</w:t>
      </w:r>
      <w:r w:rsidR="00A30DE2">
        <w:rPr>
          <w:rFonts w:ascii="Gadugi" w:hAnsi="Gadugi" w:cs="Arial"/>
          <w:sz w:val="24"/>
          <w:szCs w:val="24"/>
          <w:lang w:val="es-419"/>
        </w:rPr>
        <w:t>,</w:t>
      </w:r>
      <w:r w:rsidR="007E64F2" w:rsidRPr="004D6C45">
        <w:rPr>
          <w:rFonts w:ascii="Gadugi" w:hAnsi="Gadugi" w:cs="Arial"/>
          <w:sz w:val="24"/>
          <w:szCs w:val="24"/>
        </w:rPr>
        <w:t xml:space="preserve"> </w:t>
      </w:r>
      <w:r w:rsidR="007E64F2" w:rsidRPr="004D6C45">
        <w:rPr>
          <w:rFonts w:ascii="Gadugi" w:hAnsi="Gadugi"/>
          <w:sz w:val="24"/>
          <w:szCs w:val="24"/>
        </w:rPr>
        <w:t>a pesar de la inexequibilidad de las normas que en el Decreto 2591 de 1991 preveían la acción de tutela contra providencias judiciales</w:t>
      </w:r>
      <w:r w:rsidR="007E64F2" w:rsidRPr="004D6C45">
        <w:rPr>
          <w:rStyle w:val="Appelnotedebasdep"/>
          <w:rFonts w:ascii="Gadugi" w:hAnsi="Gadugi"/>
          <w:sz w:val="24"/>
          <w:szCs w:val="24"/>
        </w:rPr>
        <w:footnoteReference w:id="1"/>
      </w:r>
      <w:r w:rsidR="007E64F2" w:rsidRPr="004D6C45">
        <w:rPr>
          <w:rFonts w:ascii="Gadugi" w:hAnsi="Gadugi"/>
          <w:sz w:val="24"/>
          <w:szCs w:val="24"/>
        </w:rPr>
        <w:t>, tal mecanismo se abre paso en aquellos eventos en los que se incurra en una vía de hecho, o como se denominan ahora, criterios de procedibilidad de la acción de tutela contra decisiones de los jueces, en que solo cabe un amparo de esta naturaleza en la medida en que concurra alguna de las causales generales o específicas, delineadas por la Corte Constitucional</w:t>
      </w:r>
      <w:r w:rsidR="007E64F2" w:rsidRPr="004D6C45">
        <w:rPr>
          <w:rFonts w:ascii="Gadugi" w:hAnsi="Gadugi" w:cs="Arial"/>
          <w:sz w:val="24"/>
          <w:szCs w:val="24"/>
        </w:rPr>
        <w:t xml:space="preserve"> en múltiples ocasiones. Sobre ellas, recientemente, en la sentencia </w:t>
      </w:r>
      <w:r w:rsidR="00530D6B" w:rsidRPr="004D6C45">
        <w:rPr>
          <w:rFonts w:ascii="Gadugi" w:hAnsi="Gadugi" w:cs="Arial"/>
          <w:sz w:val="24"/>
          <w:szCs w:val="24"/>
        </w:rPr>
        <w:t>SU-</w:t>
      </w:r>
      <w:r w:rsidR="00C51A08" w:rsidRPr="004D6C45">
        <w:rPr>
          <w:rFonts w:ascii="Gadugi" w:hAnsi="Gadugi" w:cs="Arial"/>
          <w:sz w:val="24"/>
          <w:szCs w:val="24"/>
        </w:rPr>
        <w:t>573 de 2017</w:t>
      </w:r>
      <w:r w:rsidR="007E64F2" w:rsidRPr="004D6C45">
        <w:rPr>
          <w:rFonts w:ascii="Gadugi" w:hAnsi="Gadugi" w:cs="Arial"/>
          <w:sz w:val="24"/>
          <w:szCs w:val="24"/>
        </w:rPr>
        <w:t xml:space="preserve">, aludiendo a la C-590 de 2005, recordó que las primeras obedecen a </w:t>
      </w:r>
      <w:r w:rsidR="00530D6B" w:rsidRPr="004D6C45">
        <w:rPr>
          <w:rFonts w:ascii="Gadugi" w:hAnsi="Gadugi"/>
          <w:sz w:val="24"/>
          <w:szCs w:val="24"/>
          <w:bdr w:val="none" w:sz="0" w:space="0" w:color="auto" w:frame="1"/>
          <w:lang w:val="es-CO"/>
        </w:rPr>
        <w:t xml:space="preserve">(i) que el </w:t>
      </w:r>
      <w:r w:rsidR="00530D6B" w:rsidRPr="004D6C45">
        <w:rPr>
          <w:rFonts w:ascii="Gadugi" w:hAnsi="Gadugi"/>
          <w:sz w:val="24"/>
          <w:szCs w:val="24"/>
          <w:bdr w:val="none" w:sz="0" w:space="0" w:color="auto" w:frame="1"/>
          <w:lang w:val="es-CO"/>
        </w:rPr>
        <w:lastRenderedPageBreak/>
        <w:t>asunto sometido a estudio del juez de tutela tenga relevancia constitucional;</w:t>
      </w:r>
      <w:r w:rsidR="001764FF" w:rsidRPr="004D6C45">
        <w:rPr>
          <w:rFonts w:ascii="Gadugi" w:hAnsi="Gadugi"/>
          <w:sz w:val="24"/>
          <w:szCs w:val="24"/>
          <w:bdr w:val="none" w:sz="0" w:space="0" w:color="auto" w:frame="1"/>
          <w:lang w:val="es-CO"/>
        </w:rPr>
        <w:t xml:space="preserve"> </w:t>
      </w:r>
      <w:r w:rsidR="00530D6B" w:rsidRPr="004D6C45">
        <w:rPr>
          <w:rFonts w:ascii="Gadugi" w:hAnsi="Gadugi"/>
          <w:sz w:val="24"/>
          <w:szCs w:val="24"/>
          <w:bdr w:val="none" w:sz="0" w:space="0" w:color="auto" w:frame="1"/>
          <w:lang w:val="es-CO"/>
        </w:rPr>
        <w:t>(ii) que el actor haya agotado los recursos judiciales ordinarios y extraordinarios antes de acudir al juez de tutela; (iii) que la petición cumpla con el requisito de inmediatez, de acuerdo con criterios de razonabilidad y proporcionalidad; (iv) que, en caso de tratarse de una irregularidad procesal, ésta tenga incidencia directa en la decisión que presuntamente amenaza o desconoce derechos fundamentales; (v) que el actor identifique, de forma razonable, los hechos que generan la violación y que la haya alegada en el proceso judicial respectivo, si ello era posible; (vi) que el fallo impugnado no sea de tutela.</w:t>
      </w:r>
      <w:r w:rsidR="001764FF" w:rsidRPr="004D6C45">
        <w:rPr>
          <w:rFonts w:ascii="Gadugi" w:hAnsi="Gadugi"/>
          <w:sz w:val="24"/>
          <w:szCs w:val="24"/>
        </w:rPr>
        <w:t xml:space="preserve"> </w:t>
      </w:r>
      <w:r w:rsidR="001764FF" w:rsidRPr="004D6C45">
        <w:rPr>
          <w:rFonts w:ascii="Gadugi" w:hAnsi="Gadugi" w:cs="Arial"/>
          <w:sz w:val="24"/>
          <w:szCs w:val="24"/>
        </w:rPr>
        <w:t>.</w:t>
      </w:r>
      <w:r w:rsidR="001764FF" w:rsidRPr="004D6C45">
        <w:rPr>
          <w:rFonts w:ascii="Gadugi" w:hAnsi="Gadugi" w:cs="Arial"/>
          <w:sz w:val="24"/>
          <w:szCs w:val="24"/>
          <w:lang w:val="es-419"/>
        </w:rPr>
        <w:t xml:space="preserve"> </w:t>
      </w:r>
      <w:r w:rsidR="001764FF" w:rsidRPr="004D6C45">
        <w:rPr>
          <w:rFonts w:ascii="Gadugi" w:hAnsi="Gadugi" w:cs="Arial"/>
          <w:sz w:val="24"/>
          <w:szCs w:val="24"/>
        </w:rPr>
        <w:t>Y en cuanto a las segundas, es decir, las causales específicas, se compendian en los defectos</w:t>
      </w:r>
      <w:r w:rsidR="001764FF" w:rsidRPr="004D6C45">
        <w:rPr>
          <w:rFonts w:ascii="Gadugi" w:hAnsi="Gadugi"/>
          <w:sz w:val="24"/>
          <w:szCs w:val="24"/>
          <w:bdr w:val="none" w:sz="0" w:space="0" w:color="auto" w:frame="1"/>
          <w:lang w:val="es-CO"/>
        </w:rPr>
        <w:t xml:space="preserve"> (i) </w:t>
      </w:r>
      <w:r w:rsidR="00530D6B" w:rsidRPr="004D6C45">
        <w:rPr>
          <w:rFonts w:ascii="Gadugi" w:hAnsi="Gadugi"/>
          <w:sz w:val="24"/>
          <w:szCs w:val="24"/>
          <w:bdr w:val="none" w:sz="0" w:space="0" w:color="auto" w:frame="1"/>
          <w:lang w:val="es-CO"/>
        </w:rPr>
        <w:t>orgánico, </w:t>
      </w:r>
      <w:r w:rsidR="001764FF" w:rsidRPr="004D6C45">
        <w:rPr>
          <w:rFonts w:ascii="Gadugi" w:hAnsi="Gadugi"/>
          <w:sz w:val="24"/>
          <w:szCs w:val="24"/>
          <w:bdr w:val="none" w:sz="0" w:space="0" w:color="auto" w:frame="1"/>
          <w:lang w:val="es-CO"/>
        </w:rPr>
        <w:t xml:space="preserve">(ii) </w:t>
      </w:r>
      <w:r w:rsidR="00530D6B" w:rsidRPr="004D6C45">
        <w:rPr>
          <w:rFonts w:ascii="Gadugi" w:hAnsi="Gadugi"/>
          <w:sz w:val="24"/>
          <w:szCs w:val="24"/>
          <w:bdr w:val="none" w:sz="0" w:space="0" w:color="auto" w:frame="1"/>
          <w:lang w:val="es-CO"/>
        </w:rPr>
        <w:t>sustantivo, </w:t>
      </w:r>
      <w:r w:rsidR="001764FF" w:rsidRPr="004D6C45">
        <w:rPr>
          <w:rFonts w:ascii="Gadugi" w:hAnsi="Gadugi"/>
          <w:sz w:val="24"/>
          <w:szCs w:val="24"/>
          <w:bdr w:val="none" w:sz="0" w:space="0" w:color="auto" w:frame="1"/>
          <w:lang w:val="es-CO"/>
        </w:rPr>
        <w:t xml:space="preserve">(iii) </w:t>
      </w:r>
      <w:r w:rsidR="00530D6B" w:rsidRPr="004D6C45">
        <w:rPr>
          <w:rFonts w:ascii="Gadugi" w:hAnsi="Gadugi"/>
          <w:sz w:val="24"/>
          <w:szCs w:val="24"/>
          <w:bdr w:val="none" w:sz="0" w:space="0" w:color="auto" w:frame="1"/>
          <w:lang w:val="es-CO"/>
        </w:rPr>
        <w:t>procedimental</w:t>
      </w:r>
      <w:bookmarkStart w:id="1" w:name="_ftnref82"/>
      <w:r w:rsidR="00530D6B" w:rsidRPr="004D6C45">
        <w:rPr>
          <w:rFonts w:ascii="Gadugi" w:hAnsi="Gadugi"/>
          <w:sz w:val="24"/>
          <w:szCs w:val="24"/>
          <w:bdr w:val="none" w:sz="0" w:space="0" w:color="auto" w:frame="1"/>
          <w:lang w:val="es-CO"/>
        </w:rPr>
        <w:fldChar w:fldCharType="begin"/>
      </w:r>
      <w:r w:rsidR="00530D6B" w:rsidRPr="004D6C45">
        <w:rPr>
          <w:rFonts w:ascii="Gadugi" w:hAnsi="Gadugi"/>
          <w:sz w:val="24"/>
          <w:szCs w:val="24"/>
          <w:bdr w:val="none" w:sz="0" w:space="0" w:color="auto" w:frame="1"/>
          <w:lang w:val="es-CO"/>
        </w:rPr>
        <w:instrText xml:space="preserve"> HYPERLINK "http://www.corteconstitucional.gov.co/relatoria/2016/SU222-16.htm" \l "_ftn82" \o "" </w:instrText>
      </w:r>
      <w:r w:rsidR="00530D6B" w:rsidRPr="004D6C45">
        <w:rPr>
          <w:rFonts w:ascii="Gadugi" w:hAnsi="Gadugi"/>
          <w:sz w:val="24"/>
          <w:szCs w:val="24"/>
          <w:bdr w:val="none" w:sz="0" w:space="0" w:color="auto" w:frame="1"/>
          <w:lang w:val="es-CO"/>
        </w:rPr>
        <w:fldChar w:fldCharType="end"/>
      </w:r>
      <w:bookmarkEnd w:id="1"/>
      <w:r w:rsidR="00530D6B" w:rsidRPr="004D6C45">
        <w:rPr>
          <w:rFonts w:ascii="Gadugi" w:hAnsi="Gadugi"/>
          <w:sz w:val="24"/>
          <w:szCs w:val="24"/>
          <w:bdr w:val="none" w:sz="0" w:space="0" w:color="auto" w:frame="1"/>
          <w:lang w:val="es-CO"/>
        </w:rPr>
        <w:t> </w:t>
      </w:r>
      <w:r w:rsidR="001764FF" w:rsidRPr="004D6C45">
        <w:rPr>
          <w:rFonts w:ascii="Gadugi" w:hAnsi="Gadugi"/>
          <w:sz w:val="24"/>
          <w:szCs w:val="24"/>
          <w:bdr w:val="none" w:sz="0" w:space="0" w:color="auto" w:frame="1"/>
          <w:lang w:val="es-CO"/>
        </w:rPr>
        <w:t xml:space="preserve">o </w:t>
      </w:r>
      <w:r w:rsidR="00530D6B" w:rsidRPr="004D6C45">
        <w:rPr>
          <w:rFonts w:ascii="Gadugi" w:hAnsi="Gadugi"/>
          <w:sz w:val="24"/>
          <w:szCs w:val="24"/>
          <w:bdr w:val="none" w:sz="0" w:space="0" w:color="auto" w:frame="1"/>
          <w:lang w:val="es-CO"/>
        </w:rPr>
        <w:t>fáctico;</w:t>
      </w:r>
      <w:r w:rsidR="001764FF" w:rsidRPr="004D6C45">
        <w:rPr>
          <w:rFonts w:ascii="Gadugi" w:hAnsi="Gadugi"/>
          <w:sz w:val="24"/>
          <w:szCs w:val="24"/>
          <w:bdr w:val="none" w:sz="0" w:space="0" w:color="auto" w:frame="1"/>
          <w:lang w:val="es-CO"/>
        </w:rPr>
        <w:t xml:space="preserve"> (iv)</w:t>
      </w:r>
      <w:r w:rsidR="00530D6B" w:rsidRPr="004D6C45">
        <w:rPr>
          <w:rFonts w:ascii="Gadugi" w:hAnsi="Gadugi"/>
          <w:sz w:val="24"/>
          <w:szCs w:val="24"/>
          <w:bdr w:val="none" w:sz="0" w:space="0" w:color="auto" w:frame="1"/>
          <w:lang w:val="es-CO"/>
        </w:rPr>
        <w:t> error inducido;</w:t>
      </w:r>
      <w:r w:rsidR="001764FF" w:rsidRPr="004D6C45">
        <w:rPr>
          <w:rFonts w:ascii="Gadugi" w:hAnsi="Gadugi"/>
          <w:sz w:val="24"/>
          <w:szCs w:val="24"/>
          <w:bdr w:val="none" w:sz="0" w:space="0" w:color="auto" w:frame="1"/>
          <w:lang w:val="es-CO"/>
        </w:rPr>
        <w:t xml:space="preserve"> (v) </w:t>
      </w:r>
      <w:r w:rsidR="00530D6B" w:rsidRPr="004D6C45">
        <w:rPr>
          <w:rFonts w:ascii="Gadugi" w:hAnsi="Gadugi"/>
          <w:sz w:val="24"/>
          <w:szCs w:val="24"/>
          <w:bdr w:val="none" w:sz="0" w:space="0" w:color="auto" w:frame="1"/>
          <w:lang w:val="es-CO"/>
        </w:rPr>
        <w:t>decisión sin motivación; </w:t>
      </w:r>
      <w:r w:rsidR="001764FF" w:rsidRPr="004D6C45">
        <w:rPr>
          <w:rFonts w:ascii="Gadugi" w:hAnsi="Gadugi"/>
          <w:sz w:val="24"/>
          <w:szCs w:val="24"/>
          <w:bdr w:val="none" w:sz="0" w:space="0" w:color="auto" w:frame="1"/>
          <w:lang w:val="es-CO"/>
        </w:rPr>
        <w:t xml:space="preserve">(vi) </w:t>
      </w:r>
      <w:r w:rsidR="00530D6B" w:rsidRPr="004D6C45">
        <w:rPr>
          <w:rFonts w:ascii="Gadugi" w:hAnsi="Gadugi"/>
          <w:sz w:val="24"/>
          <w:szCs w:val="24"/>
          <w:bdr w:val="none" w:sz="0" w:space="0" w:color="auto" w:frame="1"/>
          <w:lang w:val="es-CO"/>
        </w:rPr>
        <w:t>desconocimiento del precedente constitucional;</w:t>
      </w:r>
      <w:bookmarkStart w:id="2" w:name="_ftnref86"/>
      <w:r w:rsidR="00530D6B" w:rsidRPr="004D6C45">
        <w:rPr>
          <w:rFonts w:ascii="Gadugi" w:hAnsi="Gadugi"/>
          <w:sz w:val="24"/>
          <w:szCs w:val="24"/>
          <w:bdr w:val="none" w:sz="0" w:space="0" w:color="auto" w:frame="1"/>
          <w:lang w:val="es-CO"/>
        </w:rPr>
        <w:fldChar w:fldCharType="begin"/>
      </w:r>
      <w:r w:rsidR="00530D6B" w:rsidRPr="004D6C45">
        <w:rPr>
          <w:rFonts w:ascii="Gadugi" w:hAnsi="Gadugi"/>
          <w:sz w:val="24"/>
          <w:szCs w:val="24"/>
          <w:bdr w:val="none" w:sz="0" w:space="0" w:color="auto" w:frame="1"/>
          <w:lang w:val="es-CO"/>
        </w:rPr>
        <w:instrText xml:space="preserve"> HYPERLINK "http://www.corteconstitucional.gov.co/relatoria/2016/SU222-16.htm" \l "_ftn86" \o "" </w:instrText>
      </w:r>
      <w:r w:rsidR="00530D6B" w:rsidRPr="004D6C45">
        <w:rPr>
          <w:rFonts w:ascii="Gadugi" w:hAnsi="Gadugi"/>
          <w:sz w:val="24"/>
          <w:szCs w:val="24"/>
          <w:bdr w:val="none" w:sz="0" w:space="0" w:color="auto" w:frame="1"/>
          <w:lang w:val="es-CO"/>
        </w:rPr>
        <w:fldChar w:fldCharType="end"/>
      </w:r>
      <w:bookmarkEnd w:id="2"/>
      <w:r w:rsidR="00530D6B" w:rsidRPr="004D6C45">
        <w:rPr>
          <w:rFonts w:ascii="Gadugi" w:hAnsi="Gadugi"/>
          <w:sz w:val="24"/>
          <w:szCs w:val="24"/>
          <w:bdr w:val="none" w:sz="0" w:space="0" w:color="auto" w:frame="1"/>
          <w:lang w:val="es-CO"/>
        </w:rPr>
        <w:t xml:space="preserve"> y </w:t>
      </w:r>
      <w:r w:rsidR="001764FF" w:rsidRPr="004D6C45">
        <w:rPr>
          <w:rFonts w:ascii="Gadugi" w:hAnsi="Gadugi"/>
          <w:sz w:val="24"/>
          <w:szCs w:val="24"/>
          <w:bdr w:val="none" w:sz="0" w:space="0" w:color="auto" w:frame="1"/>
          <w:lang w:val="es-CO"/>
        </w:rPr>
        <w:t xml:space="preserve">(vii) </w:t>
      </w:r>
      <w:r w:rsidR="00530D6B" w:rsidRPr="004D6C45">
        <w:rPr>
          <w:rFonts w:ascii="Gadugi" w:hAnsi="Gadugi"/>
          <w:sz w:val="24"/>
          <w:szCs w:val="24"/>
          <w:bdr w:val="none" w:sz="0" w:space="0" w:color="auto" w:frame="1"/>
          <w:lang w:val="es-CO"/>
        </w:rPr>
        <w:t>violación directa a la constitución.</w:t>
      </w:r>
      <w:r w:rsidR="001764FF" w:rsidRPr="004D6C45">
        <w:rPr>
          <w:rFonts w:ascii="Gadugi" w:hAnsi="Gadugi"/>
          <w:sz w:val="24"/>
          <w:szCs w:val="24"/>
        </w:rPr>
        <w:t xml:space="preserve"> </w:t>
      </w:r>
    </w:p>
    <w:p w:rsidR="00F36F22" w:rsidRPr="004D6C45" w:rsidRDefault="00317A0F" w:rsidP="004D6C45">
      <w:pPr>
        <w:pStyle w:val="Sinespaciado1"/>
        <w:spacing w:line="26" w:lineRule="atLeast"/>
        <w:ind w:right="51" w:firstLine="2835"/>
        <w:jc w:val="both"/>
        <w:rPr>
          <w:rFonts w:ascii="Gadugi" w:hAnsi="Gadugi" w:cs="Arial"/>
          <w:lang w:val="es-419"/>
        </w:rPr>
      </w:pPr>
      <w:r w:rsidRPr="004D6C45">
        <w:rPr>
          <w:rFonts w:ascii="Gadugi" w:hAnsi="Gadugi" w:cs="Arial"/>
          <w:lang w:val="es-419"/>
        </w:rPr>
        <w:t>Frente</w:t>
      </w:r>
      <w:r w:rsidR="00F36F22" w:rsidRPr="004D6C45">
        <w:rPr>
          <w:rFonts w:ascii="Gadugi" w:hAnsi="Gadugi" w:cs="Arial"/>
          <w:lang w:val="es-419"/>
        </w:rPr>
        <w:t xml:space="preserve"> a este derrotero, se analizará cada una de las</w:t>
      </w:r>
      <w:r w:rsidR="00681078" w:rsidRPr="004D6C45">
        <w:rPr>
          <w:rFonts w:ascii="Gadugi" w:hAnsi="Gadugi" w:cs="Arial"/>
          <w:lang w:val="es-CO"/>
        </w:rPr>
        <w:t xml:space="preserve"> pretensiones expresamente elevadas</w:t>
      </w:r>
      <w:r w:rsidR="00F36F22" w:rsidRPr="004D6C45">
        <w:rPr>
          <w:rFonts w:ascii="Gadugi" w:hAnsi="Gadugi" w:cs="Arial"/>
          <w:lang w:val="es-419"/>
        </w:rPr>
        <w:t xml:space="preserve">. </w:t>
      </w:r>
    </w:p>
    <w:p w:rsidR="00F36F22" w:rsidRPr="004D6C45" w:rsidRDefault="00F36F22" w:rsidP="004D6C45">
      <w:pPr>
        <w:pStyle w:val="Sinespaciado1"/>
        <w:spacing w:line="26" w:lineRule="atLeast"/>
        <w:ind w:right="51" w:firstLine="2835"/>
        <w:jc w:val="both"/>
        <w:rPr>
          <w:rFonts w:ascii="Gadugi" w:hAnsi="Gadugi" w:cs="Arial"/>
          <w:lang w:val="es-419"/>
        </w:rPr>
      </w:pPr>
    </w:p>
    <w:p w:rsidR="00E625ED" w:rsidRPr="004D6C45" w:rsidRDefault="00F36F22" w:rsidP="004D6C45">
      <w:pPr>
        <w:pStyle w:val="Sinespaciado1"/>
        <w:spacing w:line="26" w:lineRule="atLeast"/>
        <w:ind w:right="51" w:firstLine="2835"/>
        <w:jc w:val="both"/>
        <w:rPr>
          <w:rFonts w:ascii="Gadugi" w:hAnsi="Gadugi"/>
          <w:i/>
        </w:rPr>
      </w:pPr>
      <w:r w:rsidRPr="004D6C45">
        <w:rPr>
          <w:rFonts w:ascii="Gadugi" w:hAnsi="Gadugi" w:cs="Arial"/>
          <w:lang w:val="es-419"/>
        </w:rPr>
        <w:t>E</w:t>
      </w:r>
      <w:r w:rsidR="00681078" w:rsidRPr="004D6C45">
        <w:rPr>
          <w:rFonts w:ascii="Gadugi" w:hAnsi="Gadugi" w:cs="Arial"/>
          <w:lang w:val="es-CO"/>
        </w:rPr>
        <w:t xml:space="preserve">n torno a la primera de ellas, que toca con </w:t>
      </w:r>
      <w:r w:rsidR="00741864">
        <w:rPr>
          <w:rFonts w:ascii="Gadugi" w:hAnsi="Gadugi" w:cs="Arial"/>
          <w:lang w:val="es-419"/>
        </w:rPr>
        <w:t xml:space="preserve">el </w:t>
      </w:r>
      <w:r w:rsidR="00691B53" w:rsidRPr="004D6C45">
        <w:rPr>
          <w:rFonts w:ascii="Gadugi" w:hAnsi="Gadugi" w:cs="Arial"/>
          <w:lang w:val="es-CO"/>
        </w:rPr>
        <w:t xml:space="preserve">hecho de haberse cercenado la etapa de traslado de excepciones, en la que, se entiende, quedó vedada la oportunidad de aportar y solicitar las pruebas en relación con tal oposición, </w:t>
      </w:r>
      <w:r w:rsidR="00E625ED" w:rsidRPr="004D6C45">
        <w:rPr>
          <w:rFonts w:ascii="Gadugi" w:hAnsi="Gadugi" w:cs="Arial"/>
          <w:lang w:val="es-CO"/>
        </w:rPr>
        <w:t>se advierte, de entrada,</w:t>
      </w:r>
      <w:r w:rsidR="00681078" w:rsidRPr="004D6C45">
        <w:rPr>
          <w:rFonts w:ascii="Gadugi" w:hAnsi="Gadugi" w:cs="Arial"/>
          <w:lang w:val="es-CO"/>
        </w:rPr>
        <w:t xml:space="preserve"> </w:t>
      </w:r>
      <w:r w:rsidR="00741FB0" w:rsidRPr="004D6C45">
        <w:rPr>
          <w:rFonts w:ascii="Gadugi" w:hAnsi="Gadugi" w:cs="Arial"/>
          <w:lang w:val="es-419"/>
        </w:rPr>
        <w:t>su improcedencia</w:t>
      </w:r>
      <w:r w:rsidR="00E625ED" w:rsidRPr="004D6C45">
        <w:rPr>
          <w:rFonts w:ascii="Gadugi" w:hAnsi="Gadugi" w:cs="Arial"/>
          <w:lang w:val="es-CO"/>
        </w:rPr>
        <w:t xml:space="preserve">. Así se afirma, porque acorde con lo que señala el numeral 1º del artículo 6º del Decreto 2591 de 1991, por medio del cual se reglamente la acción de tutela, esta no puede abrirse paso </w:t>
      </w:r>
      <w:r w:rsidR="00E625ED" w:rsidRPr="004D6C45">
        <w:rPr>
          <w:rFonts w:ascii="Gadugi" w:hAnsi="Gadugi" w:cs="Arial"/>
          <w:i/>
          <w:shd w:val="clear" w:color="auto" w:fill="FFFFFF"/>
        </w:rPr>
        <w:t>“Cuando existan otros recursos o medios de defensa judiciales, salvo que aquélla se utilice como mecanismo transitorio para evitar un perjuicio irremediable. La existencia de dichos medios será apreciada en concreto, en cuanto a su eficacia, atendiendo las circunstancias en que se encuentre el solicitante.”</w:t>
      </w:r>
    </w:p>
    <w:p w:rsidR="007714B2" w:rsidRPr="004D6C45" w:rsidRDefault="00E625ED" w:rsidP="004D6C45">
      <w:pPr>
        <w:pStyle w:val="Sinespaciado1"/>
        <w:spacing w:line="26" w:lineRule="atLeast"/>
        <w:ind w:right="51"/>
        <w:jc w:val="both"/>
        <w:rPr>
          <w:rFonts w:ascii="Gadugi" w:hAnsi="Gadugi"/>
          <w:lang w:val="es-419"/>
        </w:rPr>
      </w:pPr>
      <w:r w:rsidRPr="004D6C45">
        <w:rPr>
          <w:rFonts w:ascii="Gadugi" w:hAnsi="Gadugi"/>
          <w:lang w:val="es-CO"/>
        </w:rPr>
        <w:t xml:space="preserve"> </w:t>
      </w:r>
      <w:r w:rsidRPr="004D6C45">
        <w:rPr>
          <w:rFonts w:ascii="Gadugi" w:hAnsi="Gadugi"/>
          <w:lang w:val="es-CO"/>
        </w:rPr>
        <w:tab/>
      </w:r>
      <w:r w:rsidRPr="004D6C45">
        <w:rPr>
          <w:rFonts w:ascii="Gadugi" w:hAnsi="Gadugi"/>
          <w:lang w:val="es-CO"/>
        </w:rPr>
        <w:tab/>
      </w:r>
      <w:r w:rsidR="007714B2" w:rsidRPr="004D6C45">
        <w:rPr>
          <w:rFonts w:ascii="Gadugi" w:hAnsi="Gadugi"/>
          <w:lang w:val="es-419"/>
        </w:rPr>
        <w:t xml:space="preserve"> </w:t>
      </w:r>
      <w:r w:rsidR="007714B2" w:rsidRPr="004D6C45">
        <w:rPr>
          <w:rFonts w:ascii="Gadugi" w:hAnsi="Gadugi"/>
          <w:lang w:val="es-419"/>
        </w:rPr>
        <w:tab/>
      </w:r>
      <w:r w:rsidR="007714B2" w:rsidRPr="004D6C45">
        <w:rPr>
          <w:rFonts w:ascii="Gadugi" w:hAnsi="Gadugi"/>
          <w:lang w:val="es-419"/>
        </w:rPr>
        <w:tab/>
      </w:r>
    </w:p>
    <w:p w:rsidR="00741864" w:rsidRDefault="007714B2" w:rsidP="004D6C45">
      <w:pPr>
        <w:pStyle w:val="Sinespaciado1"/>
        <w:spacing w:line="26" w:lineRule="atLeast"/>
        <w:ind w:right="51"/>
        <w:jc w:val="both"/>
        <w:rPr>
          <w:rFonts w:ascii="Gadugi" w:hAnsi="Gadugi"/>
          <w:lang w:val="es-419"/>
        </w:rPr>
      </w:pPr>
      <w:r w:rsidRPr="004D6C45">
        <w:rPr>
          <w:rFonts w:ascii="Gadugi" w:hAnsi="Gadugi"/>
          <w:lang w:val="es-419"/>
        </w:rPr>
        <w:t xml:space="preserve">   </w:t>
      </w:r>
      <w:r w:rsidRPr="004D6C45">
        <w:rPr>
          <w:rFonts w:ascii="Gadugi" w:hAnsi="Gadugi"/>
          <w:lang w:val="es-419"/>
        </w:rPr>
        <w:tab/>
      </w:r>
      <w:r w:rsidRPr="004D6C45">
        <w:rPr>
          <w:rFonts w:ascii="Gadugi" w:hAnsi="Gadugi"/>
          <w:lang w:val="es-419"/>
        </w:rPr>
        <w:tab/>
      </w:r>
      <w:r w:rsidRPr="004D6C45">
        <w:rPr>
          <w:rFonts w:ascii="Gadugi" w:hAnsi="Gadugi"/>
          <w:lang w:val="es-419"/>
        </w:rPr>
        <w:tab/>
      </w:r>
      <w:r w:rsidRPr="004D6C45">
        <w:rPr>
          <w:rFonts w:ascii="Gadugi" w:hAnsi="Gadugi"/>
          <w:lang w:val="es-419"/>
        </w:rPr>
        <w:tab/>
      </w:r>
      <w:r w:rsidR="00921C23" w:rsidRPr="004D6C45">
        <w:rPr>
          <w:rFonts w:ascii="Gadugi" w:hAnsi="Gadugi"/>
          <w:lang w:val="es-419"/>
        </w:rPr>
        <w:t>Y es de ver c</w:t>
      </w:r>
      <w:r w:rsidR="004F327C" w:rsidRPr="004D6C45">
        <w:rPr>
          <w:rFonts w:ascii="Gadugi" w:hAnsi="Gadugi"/>
          <w:lang w:val="es-419"/>
        </w:rPr>
        <w:t xml:space="preserve">ómo, si de lo que se duele el interesado, tiene origen en esa </w:t>
      </w:r>
      <w:r w:rsidR="00741864">
        <w:rPr>
          <w:rFonts w:ascii="Gadugi" w:hAnsi="Gadugi"/>
          <w:lang w:val="es-419"/>
        </w:rPr>
        <w:t xml:space="preserve">deficiencia </w:t>
      </w:r>
      <w:r w:rsidR="004F327C" w:rsidRPr="004D6C45">
        <w:rPr>
          <w:rFonts w:ascii="Gadugi" w:hAnsi="Gadugi"/>
          <w:lang w:val="es-419"/>
        </w:rPr>
        <w:t>procesal</w:t>
      </w:r>
      <w:r w:rsidR="00741864">
        <w:rPr>
          <w:rFonts w:ascii="Gadugi" w:hAnsi="Gadugi"/>
          <w:lang w:val="es-419"/>
        </w:rPr>
        <w:t>,</w:t>
      </w:r>
      <w:r w:rsidR="006965EA" w:rsidRPr="004D6C45">
        <w:rPr>
          <w:rFonts w:ascii="Gadugi" w:hAnsi="Gadugi"/>
          <w:lang w:val="es-419"/>
        </w:rPr>
        <w:t xml:space="preserve"> </w:t>
      </w:r>
      <w:r w:rsidR="004F327C" w:rsidRPr="004D6C45">
        <w:rPr>
          <w:rFonts w:ascii="Gadugi" w:hAnsi="Gadugi"/>
          <w:lang w:val="es-419"/>
        </w:rPr>
        <w:t>es claro el numeral 5º del artículo 133 del CGP</w:t>
      </w:r>
      <w:r w:rsidR="006965EA" w:rsidRPr="004D6C45">
        <w:rPr>
          <w:rFonts w:ascii="Gadugi" w:hAnsi="Gadugi"/>
          <w:lang w:val="es-419"/>
        </w:rPr>
        <w:t xml:space="preserve">, acerca de que una omisión </w:t>
      </w:r>
      <w:r w:rsidR="00741864">
        <w:rPr>
          <w:rFonts w:ascii="Gadugi" w:hAnsi="Gadugi"/>
          <w:lang w:val="es-419"/>
        </w:rPr>
        <w:t>de tal estirpe, se concibe como</w:t>
      </w:r>
      <w:r w:rsidR="006965EA" w:rsidRPr="004D6C45">
        <w:rPr>
          <w:rFonts w:ascii="Gadugi" w:hAnsi="Gadugi"/>
          <w:lang w:val="es-419"/>
        </w:rPr>
        <w:t xml:space="preserve"> causal de nulidad,</w:t>
      </w:r>
      <w:r w:rsidR="00741864">
        <w:rPr>
          <w:rFonts w:ascii="Gadugi" w:hAnsi="Gadugi"/>
          <w:lang w:val="es-419"/>
        </w:rPr>
        <w:t xml:space="preserve"> lo que indica que es por ese medio que ha debido procurarse el remedio. Pero, de las copias enviadas, surge que </w:t>
      </w:r>
      <w:r w:rsidR="006965EA" w:rsidRPr="004D6C45">
        <w:rPr>
          <w:rFonts w:ascii="Gadugi" w:hAnsi="Gadugi"/>
          <w:lang w:val="es-419"/>
        </w:rPr>
        <w:t xml:space="preserve">nada se le solicitó al Juzgado acerca de su declaratoria, con lo cual se desconoce el carácter residual y </w:t>
      </w:r>
      <w:r w:rsidR="004C0304" w:rsidRPr="004D6C45">
        <w:rPr>
          <w:rFonts w:ascii="Gadugi" w:hAnsi="Gadugi"/>
          <w:lang w:val="es-419"/>
        </w:rPr>
        <w:t>subsidiario</w:t>
      </w:r>
      <w:r w:rsidR="006965EA" w:rsidRPr="004D6C45">
        <w:rPr>
          <w:rFonts w:ascii="Gadugi" w:hAnsi="Gadugi"/>
          <w:lang w:val="es-419"/>
        </w:rPr>
        <w:t xml:space="preserve"> del que está investida una acción de este matiz. Todo lo cual, hace </w:t>
      </w:r>
      <w:r w:rsidR="00E625ED" w:rsidRPr="004D6C45">
        <w:rPr>
          <w:rFonts w:ascii="Gadugi" w:hAnsi="Gadugi"/>
          <w:lang w:val="es-CO"/>
        </w:rPr>
        <w:t xml:space="preserve">inviable que </w:t>
      </w:r>
      <w:r w:rsidR="00741FB0" w:rsidRPr="004D6C45">
        <w:rPr>
          <w:rFonts w:ascii="Gadugi" w:hAnsi="Gadugi"/>
          <w:lang w:val="es-419"/>
        </w:rPr>
        <w:t>el juez constitucional asuma el análisis respectivo, además, porque no se ha discutido la existencia de un perjuicio</w:t>
      </w:r>
      <w:r w:rsidR="006965EA" w:rsidRPr="004D6C45">
        <w:rPr>
          <w:rFonts w:ascii="Gadugi" w:hAnsi="Gadugi"/>
          <w:lang w:val="es-419"/>
        </w:rPr>
        <w:t xml:space="preserve"> irremediable, ni se han probado situaciones que</w:t>
      </w:r>
      <w:r w:rsidR="00741FB0" w:rsidRPr="004D6C45">
        <w:rPr>
          <w:rFonts w:ascii="Gadugi" w:hAnsi="Gadugi"/>
          <w:lang w:val="es-419"/>
        </w:rPr>
        <w:t xml:space="preserve"> permit</w:t>
      </w:r>
      <w:r w:rsidR="000F2D20" w:rsidRPr="004D6C45">
        <w:rPr>
          <w:rFonts w:ascii="Gadugi" w:hAnsi="Gadugi"/>
          <w:lang w:val="es-419"/>
        </w:rPr>
        <w:t>a</w:t>
      </w:r>
      <w:r w:rsidR="006965EA" w:rsidRPr="004D6C45">
        <w:rPr>
          <w:rFonts w:ascii="Gadugi" w:hAnsi="Gadugi"/>
          <w:lang w:val="es-419"/>
        </w:rPr>
        <w:t>n</w:t>
      </w:r>
      <w:r w:rsidR="00741FB0" w:rsidRPr="004D6C45">
        <w:rPr>
          <w:rFonts w:ascii="Gadugi" w:hAnsi="Gadugi"/>
          <w:lang w:val="es-419"/>
        </w:rPr>
        <w:t xml:space="preserve"> dar por superado </w:t>
      </w:r>
      <w:r w:rsidR="006965EA" w:rsidRPr="004D6C45">
        <w:rPr>
          <w:rFonts w:ascii="Gadugi" w:hAnsi="Gadugi"/>
          <w:lang w:val="es-419"/>
        </w:rPr>
        <w:t>ese requisito de procedibilidad, o hacer menos rigurosa su exigencia.</w:t>
      </w:r>
      <w:r w:rsidR="007A53B4" w:rsidRPr="004D6C45">
        <w:rPr>
          <w:rFonts w:ascii="Gadugi" w:hAnsi="Gadugi"/>
          <w:lang w:val="es-419"/>
        </w:rPr>
        <w:t xml:space="preserve"> </w:t>
      </w:r>
    </w:p>
    <w:p w:rsidR="00741864" w:rsidRDefault="00741864" w:rsidP="004D6C45">
      <w:pPr>
        <w:pStyle w:val="Sinespaciado1"/>
        <w:spacing w:line="26" w:lineRule="atLeast"/>
        <w:ind w:right="51"/>
        <w:jc w:val="both"/>
        <w:rPr>
          <w:rFonts w:ascii="Gadugi" w:hAnsi="Gadugi"/>
          <w:lang w:val="es-419"/>
        </w:rPr>
      </w:pPr>
    </w:p>
    <w:p w:rsidR="00741864" w:rsidRDefault="00741864" w:rsidP="004D6C45">
      <w:pPr>
        <w:pStyle w:val="Sinespaciado1"/>
        <w:spacing w:line="26" w:lineRule="atLeast"/>
        <w:ind w:right="51"/>
        <w:jc w:val="both"/>
        <w:rPr>
          <w:rFonts w:ascii="Gadugi" w:hAnsi="Gadugi"/>
          <w:lang w:val="es-419"/>
        </w:rPr>
      </w:pPr>
      <w:r>
        <w:rPr>
          <w:rFonts w:ascii="Gadugi" w:hAnsi="Gadugi"/>
          <w:lang w:val="es-419"/>
        </w:rPr>
        <w:t xml:space="preserve">  </w:t>
      </w:r>
      <w:r>
        <w:rPr>
          <w:rFonts w:ascii="Gadugi" w:hAnsi="Gadugi"/>
          <w:lang w:val="es-419"/>
        </w:rPr>
        <w:tab/>
      </w:r>
      <w:r>
        <w:rPr>
          <w:rFonts w:ascii="Gadugi" w:hAnsi="Gadugi"/>
          <w:lang w:val="es-419"/>
        </w:rPr>
        <w:tab/>
      </w:r>
      <w:r>
        <w:rPr>
          <w:rFonts w:ascii="Gadugi" w:hAnsi="Gadugi"/>
          <w:lang w:val="es-419"/>
        </w:rPr>
        <w:tab/>
      </w:r>
      <w:r>
        <w:rPr>
          <w:rFonts w:ascii="Gadugi" w:hAnsi="Gadugi"/>
          <w:lang w:val="es-419"/>
        </w:rPr>
        <w:tab/>
        <w:t xml:space="preserve">Por esa misma </w:t>
      </w:r>
      <w:r w:rsidR="007A53B4" w:rsidRPr="004D6C45">
        <w:rPr>
          <w:rFonts w:ascii="Gadugi" w:hAnsi="Gadugi"/>
          <w:lang w:val="es-419"/>
        </w:rPr>
        <w:t xml:space="preserve">senda cae la inconformidad que se </w:t>
      </w:r>
      <w:r>
        <w:rPr>
          <w:rFonts w:ascii="Gadugi" w:hAnsi="Gadugi"/>
          <w:lang w:val="es-419"/>
        </w:rPr>
        <w:t xml:space="preserve">funda en que </w:t>
      </w:r>
      <w:r w:rsidR="007A53B4" w:rsidRPr="004D6C45">
        <w:rPr>
          <w:rFonts w:ascii="Gadugi" w:hAnsi="Gadugi"/>
          <w:lang w:val="es-419"/>
        </w:rPr>
        <w:t xml:space="preserve">al </w:t>
      </w:r>
      <w:r>
        <w:rPr>
          <w:rFonts w:ascii="Gadugi" w:hAnsi="Gadugi"/>
          <w:lang w:val="es-419"/>
        </w:rPr>
        <w:t xml:space="preserve">ejecutado ya </w:t>
      </w:r>
      <w:r w:rsidR="007A53B4" w:rsidRPr="004D6C45">
        <w:rPr>
          <w:rFonts w:ascii="Gadugi" w:hAnsi="Gadugi"/>
          <w:lang w:val="es-419"/>
        </w:rPr>
        <w:t>le había precluido la oportunidad de defensa</w:t>
      </w:r>
      <w:r>
        <w:rPr>
          <w:rFonts w:ascii="Gadugi" w:hAnsi="Gadugi"/>
          <w:lang w:val="es-419"/>
        </w:rPr>
        <w:t xml:space="preserve">, porque tal circunstancia no ha sido discutida dentro del proceso mismo, solo se plantea ahora de manera directa para pretender la declaración de nulidad de la sentencia, cuando ese ejercicio corresponde, sin duda, al mismo juez. </w:t>
      </w:r>
    </w:p>
    <w:p w:rsidR="00741864" w:rsidRDefault="00741864" w:rsidP="004D6C45">
      <w:pPr>
        <w:pStyle w:val="Sinespaciado1"/>
        <w:spacing w:line="26" w:lineRule="atLeast"/>
        <w:ind w:right="51"/>
        <w:jc w:val="both"/>
        <w:rPr>
          <w:rFonts w:ascii="Gadugi" w:hAnsi="Gadugi"/>
          <w:lang w:val="es-419"/>
        </w:rPr>
      </w:pPr>
    </w:p>
    <w:p w:rsidR="001A4B2C" w:rsidRPr="004D6C45" w:rsidRDefault="00D47915" w:rsidP="004D6C45">
      <w:pPr>
        <w:pStyle w:val="Sinespaciado2"/>
        <w:spacing w:line="26" w:lineRule="atLeast"/>
        <w:ind w:right="51"/>
        <w:jc w:val="both"/>
        <w:rPr>
          <w:rFonts w:ascii="Gadugi" w:hAnsi="Gadugi"/>
          <w:lang w:val="es-419"/>
        </w:rPr>
      </w:pPr>
      <w:r w:rsidRPr="004D6C45">
        <w:rPr>
          <w:rFonts w:ascii="Gadugi" w:hAnsi="Gadugi"/>
          <w:lang w:val="es-419"/>
        </w:rPr>
        <w:lastRenderedPageBreak/>
        <w:t xml:space="preserve">  </w:t>
      </w:r>
      <w:r w:rsidRPr="004D6C45">
        <w:rPr>
          <w:rFonts w:ascii="Gadugi" w:hAnsi="Gadugi"/>
          <w:lang w:val="es-419"/>
        </w:rPr>
        <w:tab/>
      </w:r>
      <w:r w:rsidRPr="004D6C45">
        <w:rPr>
          <w:rFonts w:ascii="Gadugi" w:hAnsi="Gadugi"/>
          <w:lang w:val="es-419"/>
        </w:rPr>
        <w:tab/>
      </w:r>
      <w:r w:rsidRPr="004D6C45">
        <w:rPr>
          <w:rFonts w:ascii="Gadugi" w:hAnsi="Gadugi"/>
          <w:lang w:val="es-419"/>
        </w:rPr>
        <w:tab/>
      </w:r>
      <w:r w:rsidRPr="004D6C45">
        <w:rPr>
          <w:rFonts w:ascii="Gadugi" w:hAnsi="Gadugi"/>
          <w:lang w:val="es-419"/>
        </w:rPr>
        <w:tab/>
        <w:t>E</w:t>
      </w:r>
      <w:r w:rsidRPr="004D6C45">
        <w:rPr>
          <w:rFonts w:ascii="Gadugi" w:hAnsi="Gadugi"/>
        </w:rPr>
        <w:t xml:space="preserve">n lo que atañe </w:t>
      </w:r>
      <w:r w:rsidR="007A53B4" w:rsidRPr="004D6C45">
        <w:rPr>
          <w:rFonts w:ascii="Gadugi" w:hAnsi="Gadugi"/>
        </w:rPr>
        <w:t>con la</w:t>
      </w:r>
      <w:r w:rsidR="00AA305F" w:rsidRPr="004D6C45">
        <w:rPr>
          <w:rFonts w:ascii="Gadugi" w:hAnsi="Gadugi"/>
        </w:rPr>
        <w:t xml:space="preserve"> </w:t>
      </w:r>
      <w:r w:rsidR="00741864">
        <w:rPr>
          <w:rFonts w:ascii="Gadugi" w:hAnsi="Gadugi"/>
          <w:lang w:val="es-419"/>
        </w:rPr>
        <w:t xml:space="preserve">protesta por la deserción declarada del </w:t>
      </w:r>
      <w:r w:rsidR="007A53B4" w:rsidRPr="004D6C45">
        <w:rPr>
          <w:rFonts w:ascii="Gadugi" w:hAnsi="Gadugi"/>
        </w:rPr>
        <w:t xml:space="preserve">recurso de apelación contra el fallo </w:t>
      </w:r>
      <w:r w:rsidR="00AA305F" w:rsidRPr="004D6C45">
        <w:rPr>
          <w:rFonts w:ascii="Gadugi" w:hAnsi="Gadugi"/>
        </w:rPr>
        <w:t xml:space="preserve">y no </w:t>
      </w:r>
      <w:r w:rsidR="00741864">
        <w:rPr>
          <w:rFonts w:ascii="Gadugi" w:hAnsi="Gadugi"/>
          <w:lang w:val="es-419"/>
        </w:rPr>
        <w:t xml:space="preserve">ordenar la expedición de copias para que se surtiera el </w:t>
      </w:r>
      <w:r w:rsidR="00AA305F" w:rsidRPr="004D6C45">
        <w:rPr>
          <w:rFonts w:ascii="Gadugi" w:hAnsi="Gadugi"/>
        </w:rPr>
        <w:t xml:space="preserve">recurso de queja, </w:t>
      </w:r>
      <w:r w:rsidR="004C0304">
        <w:rPr>
          <w:rFonts w:ascii="Gadugi" w:hAnsi="Gadugi"/>
          <w:lang w:val="es-419"/>
        </w:rPr>
        <w:t>pueden</w:t>
      </w:r>
      <w:r w:rsidR="00B305A1">
        <w:rPr>
          <w:rFonts w:ascii="Gadugi" w:hAnsi="Gadugi"/>
          <w:lang w:val="es-419"/>
        </w:rPr>
        <w:t xml:space="preserve"> darse por superados los requisitos generales, en la medida en que </w:t>
      </w:r>
      <w:r w:rsidR="001A4B2C" w:rsidRPr="004D6C45">
        <w:rPr>
          <w:rFonts w:ascii="Gadugi" w:hAnsi="Gadugi"/>
        </w:rPr>
        <w:t xml:space="preserve">las quejas </w:t>
      </w:r>
      <w:r w:rsidR="001A4B2C" w:rsidRPr="004D6C45">
        <w:rPr>
          <w:rFonts w:ascii="Gadugi" w:hAnsi="Gadugi"/>
          <w:lang w:val="es-419"/>
        </w:rPr>
        <w:t>involucra</w:t>
      </w:r>
      <w:r w:rsidR="001A4B2C" w:rsidRPr="004D6C45">
        <w:rPr>
          <w:rFonts w:ascii="Gadugi" w:hAnsi="Gadugi"/>
          <w:lang w:val="es-CO"/>
        </w:rPr>
        <w:t>n</w:t>
      </w:r>
      <w:r w:rsidR="001A4B2C" w:rsidRPr="004D6C45">
        <w:rPr>
          <w:rFonts w:ascii="Gadugi" w:hAnsi="Gadugi"/>
          <w:lang w:val="es-419"/>
        </w:rPr>
        <w:t xml:space="preserve"> el derecho al d</w:t>
      </w:r>
      <w:r w:rsidR="001A4B2C" w:rsidRPr="004D6C45">
        <w:rPr>
          <w:rFonts w:ascii="Gadugi" w:hAnsi="Gadugi"/>
        </w:rPr>
        <w:t>ebido proceso; se</w:t>
      </w:r>
      <w:r w:rsidR="004C59D0" w:rsidRPr="004D6C45">
        <w:rPr>
          <w:rFonts w:ascii="Gadugi" w:hAnsi="Gadugi"/>
        </w:rPr>
        <w:t xml:space="preserve"> hizo uso de los mecanismos procesales de defensa pertinentes</w:t>
      </w:r>
      <w:r w:rsidR="00B305A1">
        <w:rPr>
          <w:rFonts w:ascii="Gadugi" w:hAnsi="Gadugi"/>
          <w:lang w:val="es-419"/>
        </w:rPr>
        <w:t xml:space="preserve"> y lo que se discute es, precisamente, la posición del juzgado frente a ellos</w:t>
      </w:r>
      <w:r w:rsidR="004C59D0" w:rsidRPr="004D6C45">
        <w:rPr>
          <w:rFonts w:ascii="Gadugi" w:hAnsi="Gadugi"/>
        </w:rPr>
        <w:t xml:space="preserve">; </w:t>
      </w:r>
      <w:r w:rsidR="00B305A1">
        <w:rPr>
          <w:rFonts w:ascii="Gadugi" w:hAnsi="Gadugi"/>
          <w:lang w:val="es-419"/>
        </w:rPr>
        <w:t xml:space="preserve">las </w:t>
      </w:r>
      <w:r w:rsidR="004C59D0" w:rsidRPr="004D6C45">
        <w:rPr>
          <w:rFonts w:ascii="Gadugi" w:hAnsi="Gadugi"/>
        </w:rPr>
        <w:t xml:space="preserve">resoluciones que se reprochan no datan de más de 6 meses como tiempo razonable estimado por la jurisprudencia para </w:t>
      </w:r>
      <w:r w:rsidR="00B305A1">
        <w:rPr>
          <w:rFonts w:ascii="Gadugi" w:hAnsi="Gadugi"/>
          <w:lang w:val="es-419"/>
        </w:rPr>
        <w:t>satisfacer la inmediatez</w:t>
      </w:r>
      <w:r w:rsidR="004C59D0" w:rsidRPr="004D6C45">
        <w:rPr>
          <w:rFonts w:ascii="Gadugi" w:hAnsi="Gadugi"/>
        </w:rPr>
        <w:t>;</w:t>
      </w:r>
      <w:r w:rsidR="001A4B2C" w:rsidRPr="004D6C45">
        <w:rPr>
          <w:rFonts w:ascii="Gadugi" w:hAnsi="Gadugi"/>
        </w:rPr>
        <w:t xml:space="preserve"> si se advirtieran las irregularidades que le achaca el demandante a la funcionaria, incidiría</w:t>
      </w:r>
      <w:r w:rsidR="001A4B2C" w:rsidRPr="004D6C45">
        <w:rPr>
          <w:rFonts w:ascii="Gadugi" w:hAnsi="Gadugi"/>
          <w:lang w:val="es-419"/>
        </w:rPr>
        <w:t>n</w:t>
      </w:r>
      <w:r w:rsidR="001A4B2C" w:rsidRPr="004D6C45">
        <w:rPr>
          <w:rFonts w:ascii="Gadugi" w:hAnsi="Gadugi"/>
        </w:rPr>
        <w:t xml:space="preserve"> en la </w:t>
      </w:r>
      <w:r w:rsidR="00B305A1">
        <w:rPr>
          <w:rFonts w:ascii="Gadugi" w:hAnsi="Gadugi"/>
        </w:rPr>
        <w:t>decisión</w:t>
      </w:r>
      <w:r w:rsidR="00B305A1">
        <w:rPr>
          <w:rFonts w:ascii="Gadugi" w:hAnsi="Gadugi"/>
          <w:lang w:val="es-419"/>
        </w:rPr>
        <w:t xml:space="preserve"> </w:t>
      </w:r>
      <w:r w:rsidR="001A4B2C" w:rsidRPr="004D6C45">
        <w:rPr>
          <w:rFonts w:ascii="Gadugi" w:hAnsi="Gadugi"/>
        </w:rPr>
        <w:t>de fondo</w:t>
      </w:r>
      <w:r w:rsidR="001A4B2C" w:rsidRPr="004D6C45">
        <w:rPr>
          <w:rFonts w:ascii="Gadugi" w:hAnsi="Gadugi"/>
          <w:lang w:val="es-419"/>
        </w:rPr>
        <w:t>;</w:t>
      </w:r>
      <w:r w:rsidR="001A4B2C" w:rsidRPr="004D6C45">
        <w:rPr>
          <w:rFonts w:ascii="Gadugi" w:hAnsi="Gadugi"/>
        </w:rPr>
        <w:t xml:space="preserve"> y no se trata de providencias dictadas dentro de otras acciones de tutela</w:t>
      </w:r>
      <w:r w:rsidR="001A4B2C" w:rsidRPr="004D6C45">
        <w:rPr>
          <w:rFonts w:ascii="Gadugi" w:hAnsi="Gadugi"/>
          <w:lang w:val="es-419"/>
        </w:rPr>
        <w:t xml:space="preserve">. </w:t>
      </w:r>
    </w:p>
    <w:p w:rsidR="001A4B2C" w:rsidRPr="004D6C45" w:rsidRDefault="001A4B2C" w:rsidP="004D6C45">
      <w:pPr>
        <w:pStyle w:val="Sinespaciado2"/>
        <w:spacing w:line="26" w:lineRule="atLeast"/>
        <w:ind w:right="51"/>
        <w:jc w:val="both"/>
        <w:rPr>
          <w:rFonts w:ascii="Gadugi" w:hAnsi="Gadugi"/>
        </w:rPr>
      </w:pPr>
      <w:r w:rsidRPr="004D6C45">
        <w:rPr>
          <w:rFonts w:ascii="Gadugi" w:hAnsi="Gadugi"/>
        </w:rPr>
        <w:tab/>
      </w:r>
    </w:p>
    <w:p w:rsidR="001A4B2C" w:rsidRDefault="001A4B2C" w:rsidP="004D6C45">
      <w:pPr>
        <w:pStyle w:val="Sinespaciado2"/>
        <w:spacing w:line="26" w:lineRule="atLeast"/>
        <w:ind w:right="51"/>
        <w:jc w:val="both"/>
        <w:rPr>
          <w:rFonts w:ascii="Gadugi" w:hAnsi="Gadugi"/>
        </w:rPr>
      </w:pPr>
      <w:r w:rsidRPr="004D6C45">
        <w:rPr>
          <w:rFonts w:ascii="Gadugi" w:hAnsi="Gadugi"/>
        </w:rPr>
        <w:t xml:space="preserve">   </w:t>
      </w:r>
      <w:r w:rsidRPr="004D6C45">
        <w:rPr>
          <w:rFonts w:ascii="Gadugi" w:hAnsi="Gadugi"/>
        </w:rPr>
        <w:tab/>
      </w:r>
      <w:r w:rsidRPr="004D6C45">
        <w:rPr>
          <w:rFonts w:ascii="Gadugi" w:hAnsi="Gadugi"/>
        </w:rPr>
        <w:tab/>
      </w:r>
      <w:r w:rsidRPr="004D6C45">
        <w:rPr>
          <w:rFonts w:ascii="Gadugi" w:hAnsi="Gadugi"/>
        </w:rPr>
        <w:tab/>
      </w:r>
      <w:r w:rsidRPr="004D6C45">
        <w:rPr>
          <w:rFonts w:ascii="Gadugi" w:hAnsi="Gadugi"/>
        </w:rPr>
        <w:tab/>
      </w:r>
      <w:r w:rsidR="00441285" w:rsidRPr="004D6C45">
        <w:rPr>
          <w:rFonts w:ascii="Gadugi" w:hAnsi="Gadugi"/>
        </w:rPr>
        <w:t xml:space="preserve">Se recuerda, entonces, </w:t>
      </w:r>
      <w:r w:rsidR="00E42CE6" w:rsidRPr="004D6C45">
        <w:rPr>
          <w:rFonts w:ascii="Gadugi" w:hAnsi="Gadugi"/>
        </w:rPr>
        <w:t>lo siguiente</w:t>
      </w:r>
      <w:r w:rsidRPr="004D6C45">
        <w:rPr>
          <w:rFonts w:ascii="Gadugi" w:hAnsi="Gadugi"/>
        </w:rPr>
        <w:t xml:space="preserve">: </w:t>
      </w:r>
    </w:p>
    <w:p w:rsidR="00875C85" w:rsidRPr="004D6C45" w:rsidRDefault="00875C85" w:rsidP="004D6C45">
      <w:pPr>
        <w:pStyle w:val="Sinespaciado2"/>
        <w:spacing w:line="26" w:lineRule="atLeast"/>
        <w:ind w:right="51"/>
        <w:jc w:val="both"/>
        <w:rPr>
          <w:rFonts w:ascii="Gadugi" w:hAnsi="Gadugi"/>
        </w:rPr>
      </w:pPr>
    </w:p>
    <w:p w:rsidR="00B01BAD" w:rsidRPr="004D6C45" w:rsidRDefault="001A4B2C" w:rsidP="004D6C45">
      <w:pPr>
        <w:pStyle w:val="Sinespaciado2"/>
        <w:spacing w:line="26" w:lineRule="atLeast"/>
        <w:ind w:right="51"/>
        <w:jc w:val="both"/>
        <w:rPr>
          <w:rFonts w:ascii="Gadugi" w:hAnsi="Gadugi"/>
        </w:rPr>
      </w:pPr>
      <w:r w:rsidRPr="004D6C45">
        <w:rPr>
          <w:rFonts w:ascii="Gadugi" w:hAnsi="Gadugi"/>
        </w:rPr>
        <w:t xml:space="preserve"> </w:t>
      </w:r>
      <w:r w:rsidRPr="004D6C45">
        <w:rPr>
          <w:rFonts w:ascii="Gadugi" w:hAnsi="Gadugi"/>
        </w:rPr>
        <w:tab/>
      </w:r>
      <w:r w:rsidRPr="004D6C45">
        <w:rPr>
          <w:rFonts w:ascii="Gadugi" w:hAnsi="Gadugi"/>
        </w:rPr>
        <w:tab/>
      </w:r>
      <w:r w:rsidRPr="004D6C45">
        <w:rPr>
          <w:rFonts w:ascii="Gadugi" w:hAnsi="Gadugi"/>
        </w:rPr>
        <w:tab/>
      </w:r>
      <w:r w:rsidRPr="004D6C45">
        <w:rPr>
          <w:rFonts w:ascii="Gadugi" w:hAnsi="Gadugi"/>
        </w:rPr>
        <w:tab/>
        <w:t>1.</w:t>
      </w:r>
      <w:r w:rsidRPr="004D6C45">
        <w:rPr>
          <w:rFonts w:ascii="Gadugi" w:hAnsi="Gadugi"/>
          <w:i/>
        </w:rPr>
        <w:t xml:space="preserve"> </w:t>
      </w:r>
      <w:r w:rsidR="00E42CE6" w:rsidRPr="004D6C45">
        <w:rPr>
          <w:rFonts w:ascii="Gadugi" w:hAnsi="Gadugi"/>
        </w:rPr>
        <w:t xml:space="preserve">Mediante auto del 11 de julio de 2013 el Juzgado </w:t>
      </w:r>
      <w:r w:rsidR="00D87CF2" w:rsidRPr="004D6C45">
        <w:rPr>
          <w:rFonts w:ascii="Gadugi" w:hAnsi="Gadugi"/>
        </w:rPr>
        <w:t>Civil del Circuito de Dosquebradas, libró el mandamiento de pago solicitado por Wilson Antonio Bedoya</w:t>
      </w:r>
      <w:r w:rsidR="00B01BAD" w:rsidRPr="004D6C45">
        <w:rPr>
          <w:rFonts w:ascii="Gadugi" w:hAnsi="Gadugi"/>
        </w:rPr>
        <w:t xml:space="preserve"> contra Inversiones Macrofuturo SAS, dentro de expediente radicado al número 2013-00127-00</w:t>
      </w:r>
      <w:r w:rsidR="0025210F" w:rsidRPr="004D6C45">
        <w:rPr>
          <w:rFonts w:ascii="Gadugi" w:hAnsi="Gadugi"/>
        </w:rPr>
        <w:t xml:space="preserve"> (f. 15 y 16</w:t>
      </w:r>
      <w:r w:rsidR="00D87CF2" w:rsidRPr="004D6C45">
        <w:rPr>
          <w:rFonts w:ascii="Gadugi" w:hAnsi="Gadugi"/>
        </w:rPr>
        <w:t>)</w:t>
      </w:r>
      <w:r w:rsidR="00B01BAD" w:rsidRPr="004D6C45">
        <w:rPr>
          <w:rFonts w:ascii="Gadugi" w:hAnsi="Gadugi"/>
        </w:rPr>
        <w:t>.</w:t>
      </w:r>
    </w:p>
    <w:p w:rsidR="001A4B2C" w:rsidRPr="004D6C45" w:rsidRDefault="00B01BAD" w:rsidP="004D6C45">
      <w:pPr>
        <w:pStyle w:val="Sinespaciado2"/>
        <w:spacing w:line="26" w:lineRule="atLeast"/>
        <w:ind w:right="51"/>
        <w:jc w:val="both"/>
        <w:rPr>
          <w:rFonts w:ascii="Gadugi" w:hAnsi="Gadugi"/>
        </w:rPr>
      </w:pPr>
      <w:r w:rsidRPr="004D6C45">
        <w:rPr>
          <w:rFonts w:ascii="Gadugi" w:hAnsi="Gadugi"/>
        </w:rPr>
        <w:t xml:space="preserve"> </w:t>
      </w:r>
    </w:p>
    <w:p w:rsidR="00B01BAD" w:rsidRPr="004D6C45" w:rsidRDefault="001A4B2C" w:rsidP="004D6C45">
      <w:pPr>
        <w:pStyle w:val="Sinespaciado2"/>
        <w:spacing w:line="26" w:lineRule="atLeast"/>
        <w:ind w:right="51"/>
        <w:jc w:val="both"/>
        <w:rPr>
          <w:rFonts w:ascii="Gadugi" w:hAnsi="Gadugi"/>
        </w:rPr>
      </w:pPr>
      <w:r w:rsidRPr="004D6C45">
        <w:rPr>
          <w:rFonts w:ascii="Gadugi" w:hAnsi="Gadugi"/>
          <w:i/>
        </w:rPr>
        <w:t xml:space="preserve"> </w:t>
      </w:r>
      <w:r w:rsidRPr="004D6C45">
        <w:rPr>
          <w:rFonts w:ascii="Gadugi" w:hAnsi="Gadugi"/>
          <w:i/>
        </w:rPr>
        <w:tab/>
      </w:r>
      <w:r w:rsidRPr="004D6C45">
        <w:rPr>
          <w:rFonts w:ascii="Gadugi" w:hAnsi="Gadugi"/>
          <w:i/>
        </w:rPr>
        <w:tab/>
      </w:r>
      <w:r w:rsidRPr="004D6C45">
        <w:rPr>
          <w:rFonts w:ascii="Gadugi" w:hAnsi="Gadugi"/>
          <w:i/>
        </w:rPr>
        <w:tab/>
      </w:r>
      <w:r w:rsidRPr="004D6C45">
        <w:rPr>
          <w:rFonts w:ascii="Gadugi" w:hAnsi="Gadugi"/>
          <w:i/>
        </w:rPr>
        <w:tab/>
      </w:r>
      <w:r w:rsidRPr="004D6C45">
        <w:rPr>
          <w:rFonts w:ascii="Gadugi" w:hAnsi="Gadugi"/>
        </w:rPr>
        <w:t xml:space="preserve">2. </w:t>
      </w:r>
      <w:r w:rsidR="00B01BAD" w:rsidRPr="004D6C45">
        <w:rPr>
          <w:rFonts w:ascii="Gadugi" w:hAnsi="Gadugi"/>
        </w:rPr>
        <w:t>Luego, previa solicitud del ejecutante, se dispuso integrar el contradictorio con John Jairo Betancourth Ríos (f. 26 a 29).</w:t>
      </w:r>
    </w:p>
    <w:p w:rsidR="00B01BAD" w:rsidRPr="004D6C45" w:rsidRDefault="00B01BAD" w:rsidP="004D6C45">
      <w:pPr>
        <w:pStyle w:val="Sinespaciado2"/>
        <w:spacing w:line="26" w:lineRule="atLeast"/>
        <w:ind w:right="51"/>
        <w:jc w:val="both"/>
        <w:rPr>
          <w:rFonts w:ascii="Gadugi" w:hAnsi="Gadugi"/>
        </w:rPr>
      </w:pPr>
    </w:p>
    <w:p w:rsidR="00B01BAD" w:rsidRPr="004D6C45" w:rsidRDefault="00B01BAD" w:rsidP="004D6C45">
      <w:pPr>
        <w:pStyle w:val="Sinespaciado2"/>
        <w:spacing w:line="26" w:lineRule="atLeast"/>
        <w:ind w:right="51"/>
        <w:jc w:val="both"/>
        <w:rPr>
          <w:rFonts w:ascii="Gadugi" w:hAnsi="Gadugi"/>
        </w:rPr>
      </w:pPr>
      <w:r w:rsidRPr="004D6C45">
        <w:rPr>
          <w:rFonts w:ascii="Gadugi" w:hAnsi="Gadugi"/>
        </w:rPr>
        <w:t xml:space="preserve">  </w:t>
      </w:r>
      <w:r w:rsidRPr="004D6C45">
        <w:rPr>
          <w:rFonts w:ascii="Gadugi" w:hAnsi="Gadugi"/>
        </w:rPr>
        <w:tab/>
      </w:r>
      <w:r w:rsidRPr="004D6C45">
        <w:rPr>
          <w:rFonts w:ascii="Gadugi" w:hAnsi="Gadugi"/>
        </w:rPr>
        <w:tab/>
      </w:r>
      <w:r w:rsidRPr="004D6C45">
        <w:rPr>
          <w:rFonts w:ascii="Gadugi" w:hAnsi="Gadugi"/>
        </w:rPr>
        <w:tab/>
      </w:r>
      <w:r w:rsidRPr="004D6C45">
        <w:rPr>
          <w:rFonts w:ascii="Gadugi" w:hAnsi="Gadugi"/>
        </w:rPr>
        <w:tab/>
      </w:r>
      <w:r w:rsidR="001A521D" w:rsidRPr="004D6C45">
        <w:rPr>
          <w:rFonts w:ascii="Gadugi" w:hAnsi="Gadugi"/>
        </w:rPr>
        <w:t xml:space="preserve">3. El mismo intervino para alegar la prescripción de la </w:t>
      </w:r>
      <w:r w:rsidR="004C0304" w:rsidRPr="004D6C45">
        <w:rPr>
          <w:rFonts w:ascii="Gadugi" w:hAnsi="Gadugi"/>
        </w:rPr>
        <w:t>acción</w:t>
      </w:r>
      <w:r w:rsidR="001A521D" w:rsidRPr="004D6C45">
        <w:rPr>
          <w:rFonts w:ascii="Gadugi" w:hAnsi="Gadugi"/>
        </w:rPr>
        <w:t xml:space="preserve"> cambiaria (p. 103 y 104, cd. f. 59</w:t>
      </w:r>
      <w:r w:rsidRPr="004D6C45">
        <w:rPr>
          <w:rFonts w:ascii="Gadugi" w:hAnsi="Gadugi"/>
        </w:rPr>
        <w:t xml:space="preserve"> ).</w:t>
      </w:r>
    </w:p>
    <w:p w:rsidR="00B01BAD" w:rsidRPr="004D6C45" w:rsidRDefault="00B01BAD" w:rsidP="004D6C45">
      <w:pPr>
        <w:pStyle w:val="Sinespaciado2"/>
        <w:spacing w:line="26" w:lineRule="atLeast"/>
        <w:ind w:right="51"/>
        <w:jc w:val="both"/>
        <w:rPr>
          <w:rFonts w:ascii="Gadugi" w:hAnsi="Gadugi"/>
        </w:rPr>
      </w:pPr>
    </w:p>
    <w:p w:rsidR="00094758" w:rsidRPr="004D6C45" w:rsidRDefault="00B01BAD" w:rsidP="004D6C45">
      <w:pPr>
        <w:pStyle w:val="Sinespaciado2"/>
        <w:spacing w:line="26" w:lineRule="atLeast"/>
        <w:ind w:right="51"/>
        <w:jc w:val="both"/>
        <w:rPr>
          <w:rFonts w:ascii="Gadugi" w:hAnsi="Gadugi"/>
        </w:rPr>
      </w:pPr>
      <w:r w:rsidRPr="004D6C45">
        <w:rPr>
          <w:rFonts w:ascii="Gadugi" w:hAnsi="Gadugi"/>
        </w:rPr>
        <w:t xml:space="preserve">  </w:t>
      </w:r>
      <w:r w:rsidRPr="004D6C45">
        <w:rPr>
          <w:rFonts w:ascii="Gadugi" w:hAnsi="Gadugi"/>
        </w:rPr>
        <w:tab/>
      </w:r>
      <w:r w:rsidRPr="004D6C45">
        <w:rPr>
          <w:rFonts w:ascii="Gadugi" w:hAnsi="Gadugi"/>
        </w:rPr>
        <w:tab/>
      </w:r>
      <w:r w:rsidRPr="004D6C45">
        <w:rPr>
          <w:rFonts w:ascii="Gadugi" w:hAnsi="Gadugi"/>
        </w:rPr>
        <w:tab/>
      </w:r>
      <w:r w:rsidRPr="004D6C45">
        <w:rPr>
          <w:rFonts w:ascii="Gadugi" w:hAnsi="Gadugi"/>
        </w:rPr>
        <w:tab/>
        <w:t>4. Enseguida, sobrevino sentencia anticipada, adiada al 1</w:t>
      </w:r>
      <w:r w:rsidR="00B305A1">
        <w:rPr>
          <w:rFonts w:ascii="Gadugi" w:hAnsi="Gadugi"/>
          <w:lang w:val="es-419"/>
        </w:rPr>
        <w:t>°</w:t>
      </w:r>
      <w:r w:rsidRPr="004D6C45">
        <w:rPr>
          <w:rFonts w:ascii="Gadugi" w:hAnsi="Gadugi"/>
        </w:rPr>
        <w:t xml:space="preserve"> de agosto de 2017, en la que </w:t>
      </w:r>
      <w:r w:rsidR="00B305A1">
        <w:rPr>
          <w:rFonts w:ascii="Gadugi" w:hAnsi="Gadugi"/>
          <w:lang w:val="es-419"/>
        </w:rPr>
        <w:t xml:space="preserve">se declaró la </w:t>
      </w:r>
      <w:r w:rsidRPr="004D6C45">
        <w:rPr>
          <w:rFonts w:ascii="Gadugi" w:hAnsi="Gadugi"/>
        </w:rPr>
        <w:t>prescripción alegada</w:t>
      </w:r>
      <w:r w:rsidR="00094758" w:rsidRPr="004D6C45">
        <w:rPr>
          <w:rFonts w:ascii="Gadugi" w:hAnsi="Gadugi"/>
        </w:rPr>
        <w:t xml:space="preserve"> respecto de los títulos valores base de la demanda</w:t>
      </w:r>
      <w:r w:rsidR="00B305A1">
        <w:rPr>
          <w:rFonts w:ascii="Gadugi" w:hAnsi="Gadugi"/>
          <w:lang w:val="es-419"/>
        </w:rPr>
        <w:t xml:space="preserve"> y</w:t>
      </w:r>
      <w:r w:rsidR="00094758" w:rsidRPr="004D6C45">
        <w:rPr>
          <w:rFonts w:ascii="Gadugi" w:hAnsi="Gadugi"/>
        </w:rPr>
        <w:t xml:space="preserve"> se </w:t>
      </w:r>
      <w:r w:rsidR="00B305A1" w:rsidRPr="00B305A1">
        <w:rPr>
          <w:rFonts w:ascii="Gadugi" w:hAnsi="Gadugi"/>
          <w:lang w:val="es-419"/>
        </w:rPr>
        <w:t>revocó</w:t>
      </w:r>
      <w:r w:rsidR="00B305A1">
        <w:rPr>
          <w:rFonts w:ascii="Gadugi" w:hAnsi="Gadugi"/>
          <w:lang w:val="es-419"/>
        </w:rPr>
        <w:t xml:space="preserve"> el </w:t>
      </w:r>
      <w:r w:rsidR="00094758" w:rsidRPr="004D6C45">
        <w:rPr>
          <w:rFonts w:ascii="Gadugi" w:hAnsi="Gadugi"/>
        </w:rPr>
        <w:t>mandamiento de pago librado</w:t>
      </w:r>
      <w:r w:rsidR="0025210F" w:rsidRPr="004D6C45">
        <w:rPr>
          <w:rFonts w:ascii="Gadugi" w:hAnsi="Gadugi"/>
        </w:rPr>
        <w:t xml:space="preserve"> (f. 37 y 38</w:t>
      </w:r>
      <w:r w:rsidR="00094758" w:rsidRPr="004D6C45">
        <w:rPr>
          <w:rFonts w:ascii="Gadugi" w:hAnsi="Gadugi"/>
        </w:rPr>
        <w:t>).</w:t>
      </w:r>
    </w:p>
    <w:p w:rsidR="00094758" w:rsidRPr="004D6C45" w:rsidRDefault="00094758" w:rsidP="004D6C45">
      <w:pPr>
        <w:pStyle w:val="Sinespaciado2"/>
        <w:spacing w:line="26" w:lineRule="atLeast"/>
        <w:ind w:right="51"/>
        <w:jc w:val="both"/>
        <w:rPr>
          <w:rFonts w:ascii="Gadugi" w:hAnsi="Gadugi"/>
        </w:rPr>
      </w:pPr>
    </w:p>
    <w:p w:rsidR="001A4B2C" w:rsidRPr="004D6C45" w:rsidRDefault="00094758" w:rsidP="004D6C45">
      <w:pPr>
        <w:pStyle w:val="Sinespaciado2"/>
        <w:spacing w:line="26" w:lineRule="atLeast"/>
        <w:ind w:right="51"/>
        <w:jc w:val="both"/>
        <w:rPr>
          <w:rFonts w:ascii="Gadugi" w:hAnsi="Gadugi"/>
        </w:rPr>
      </w:pPr>
      <w:r w:rsidRPr="004D6C45">
        <w:rPr>
          <w:rFonts w:ascii="Gadugi" w:hAnsi="Gadugi"/>
        </w:rPr>
        <w:t xml:space="preserve">  </w:t>
      </w:r>
      <w:r w:rsidRPr="004D6C45">
        <w:rPr>
          <w:rFonts w:ascii="Gadugi" w:hAnsi="Gadugi"/>
        </w:rPr>
        <w:tab/>
      </w:r>
      <w:r w:rsidRPr="004D6C45">
        <w:rPr>
          <w:rFonts w:ascii="Gadugi" w:hAnsi="Gadugi"/>
        </w:rPr>
        <w:tab/>
      </w:r>
      <w:r w:rsidRPr="004D6C45">
        <w:rPr>
          <w:rFonts w:ascii="Gadugi" w:hAnsi="Gadugi"/>
        </w:rPr>
        <w:tab/>
      </w:r>
      <w:r w:rsidRPr="004D6C45">
        <w:rPr>
          <w:rFonts w:ascii="Gadugi" w:hAnsi="Gadugi"/>
        </w:rPr>
        <w:tab/>
        <w:t xml:space="preserve">5. Frente a esa providencia se alzó el ejecutante quien expresó en </w:t>
      </w:r>
      <w:r w:rsidR="00B305A1">
        <w:rPr>
          <w:rFonts w:ascii="Gadugi" w:hAnsi="Gadugi"/>
          <w:lang w:val="es-419"/>
        </w:rPr>
        <w:t>su escrito</w:t>
      </w:r>
      <w:r w:rsidRPr="004D6C45">
        <w:rPr>
          <w:rFonts w:ascii="Gadugi" w:hAnsi="Gadugi"/>
        </w:rPr>
        <w:t xml:space="preserve">: </w:t>
      </w:r>
      <w:r w:rsidRPr="004D6C45">
        <w:rPr>
          <w:rFonts w:ascii="Gadugi" w:hAnsi="Gadugi"/>
          <w:i/>
        </w:rPr>
        <w:t>“Por estar dentro del término legal para ello, interpongo, contra la Sentencia Anticipada notificada mediante auto del 2 agosto del presente año en este proceso, por NO estar Completamente de acuerdo con ella, RECURSO DE APELACION, el que será sustentado ante el Superior en su debida oportunidad</w:t>
      </w:r>
      <w:r w:rsidR="00117BFC" w:rsidRPr="004D6C45">
        <w:rPr>
          <w:rFonts w:ascii="Gadugi" w:hAnsi="Gadugi"/>
          <w:i/>
        </w:rPr>
        <w:t xml:space="preserve">” (sic)  </w:t>
      </w:r>
      <w:r w:rsidR="0025210F" w:rsidRPr="004D6C45">
        <w:rPr>
          <w:rFonts w:ascii="Gadugi" w:hAnsi="Gadugi"/>
        </w:rPr>
        <w:t>(f. 39</w:t>
      </w:r>
      <w:r w:rsidR="00117BFC" w:rsidRPr="004D6C45">
        <w:rPr>
          <w:rFonts w:ascii="Gadugi" w:hAnsi="Gadugi"/>
        </w:rPr>
        <w:t>).</w:t>
      </w:r>
    </w:p>
    <w:p w:rsidR="001A4B2C" w:rsidRPr="004D6C45" w:rsidRDefault="001A4B2C" w:rsidP="004D6C45">
      <w:pPr>
        <w:pStyle w:val="Sinespaciado2"/>
        <w:spacing w:line="26" w:lineRule="atLeast"/>
        <w:ind w:right="51"/>
        <w:jc w:val="both"/>
        <w:rPr>
          <w:rFonts w:ascii="Gadugi" w:hAnsi="Gadugi"/>
        </w:rPr>
      </w:pPr>
    </w:p>
    <w:p w:rsidR="00117BFC" w:rsidRPr="004D6C45" w:rsidRDefault="00117BFC" w:rsidP="004D6C45">
      <w:pPr>
        <w:pStyle w:val="Sinespaciado2"/>
        <w:spacing w:line="26" w:lineRule="atLeast"/>
        <w:ind w:right="51"/>
        <w:jc w:val="both"/>
        <w:rPr>
          <w:rFonts w:ascii="Gadugi" w:hAnsi="Gadugi"/>
        </w:rPr>
      </w:pPr>
      <w:r w:rsidRPr="004D6C45">
        <w:rPr>
          <w:rFonts w:ascii="Gadugi" w:hAnsi="Gadugi"/>
        </w:rPr>
        <w:t xml:space="preserve"> </w:t>
      </w:r>
      <w:r w:rsidRPr="004D6C45">
        <w:rPr>
          <w:rFonts w:ascii="Gadugi" w:hAnsi="Gadugi"/>
        </w:rPr>
        <w:tab/>
      </w:r>
      <w:r w:rsidRPr="004D6C45">
        <w:rPr>
          <w:rFonts w:ascii="Gadugi" w:hAnsi="Gadugi"/>
        </w:rPr>
        <w:tab/>
      </w:r>
      <w:r w:rsidRPr="004D6C45">
        <w:rPr>
          <w:rFonts w:ascii="Gadugi" w:hAnsi="Gadugi"/>
        </w:rPr>
        <w:tab/>
      </w:r>
      <w:r w:rsidRPr="004D6C45">
        <w:rPr>
          <w:rFonts w:ascii="Gadugi" w:hAnsi="Gadugi"/>
        </w:rPr>
        <w:tab/>
        <w:t xml:space="preserve">6. Con proveído del 14 de agosto siguiente, previa transcripción de la forma en que debe interponerse el recurso de apelación frente a una sentencia, </w:t>
      </w:r>
      <w:r w:rsidR="00B305A1">
        <w:rPr>
          <w:rFonts w:ascii="Gadugi" w:hAnsi="Gadugi"/>
          <w:lang w:val="es-419"/>
        </w:rPr>
        <w:t xml:space="preserve">según lo </w:t>
      </w:r>
      <w:r w:rsidRPr="004D6C45">
        <w:rPr>
          <w:rFonts w:ascii="Gadugi" w:hAnsi="Gadugi"/>
        </w:rPr>
        <w:t>prevé el inciso 2º, numeral 3º</w:t>
      </w:r>
      <w:r w:rsidR="00B305A1">
        <w:rPr>
          <w:rFonts w:ascii="Gadugi" w:hAnsi="Gadugi"/>
          <w:lang w:val="es-419"/>
        </w:rPr>
        <w:t>,</w:t>
      </w:r>
      <w:r w:rsidRPr="004D6C45">
        <w:rPr>
          <w:rFonts w:ascii="Gadugi" w:hAnsi="Gadugi"/>
        </w:rPr>
        <w:t xml:space="preserve"> del artículo 322 del CGP, se declaró desierto</w:t>
      </w:r>
      <w:r w:rsidR="00B305A1">
        <w:rPr>
          <w:rFonts w:ascii="Gadugi" w:hAnsi="Gadugi"/>
          <w:lang w:val="es-419"/>
        </w:rPr>
        <w:t xml:space="preserve"> (</w:t>
      </w:r>
      <w:r w:rsidR="00B233E0" w:rsidRPr="004D6C45">
        <w:rPr>
          <w:rFonts w:ascii="Gadugi" w:hAnsi="Gadugi"/>
        </w:rPr>
        <w:t>f. 40)</w:t>
      </w:r>
      <w:r w:rsidR="0010355F" w:rsidRPr="004D6C45">
        <w:rPr>
          <w:rFonts w:ascii="Gadugi" w:hAnsi="Gadugi"/>
        </w:rPr>
        <w:t>.</w:t>
      </w:r>
    </w:p>
    <w:p w:rsidR="00117BFC" w:rsidRPr="004D6C45" w:rsidRDefault="00117BFC" w:rsidP="004D6C45">
      <w:pPr>
        <w:pStyle w:val="Sinespaciado2"/>
        <w:spacing w:line="26" w:lineRule="atLeast"/>
        <w:ind w:right="51"/>
        <w:jc w:val="both"/>
        <w:rPr>
          <w:rFonts w:ascii="Gadugi" w:hAnsi="Gadugi"/>
        </w:rPr>
      </w:pPr>
    </w:p>
    <w:p w:rsidR="00117BFC" w:rsidRPr="004D6C45" w:rsidRDefault="00117BFC" w:rsidP="004D6C45">
      <w:pPr>
        <w:pStyle w:val="Sinespaciado2"/>
        <w:spacing w:line="26" w:lineRule="atLeast"/>
        <w:ind w:right="51"/>
        <w:jc w:val="both"/>
        <w:rPr>
          <w:rFonts w:ascii="Gadugi" w:hAnsi="Gadugi"/>
        </w:rPr>
      </w:pPr>
      <w:r w:rsidRPr="004D6C45">
        <w:rPr>
          <w:rFonts w:ascii="Gadugi" w:hAnsi="Gadugi"/>
        </w:rPr>
        <w:t xml:space="preserve">  </w:t>
      </w:r>
      <w:r w:rsidRPr="004D6C45">
        <w:rPr>
          <w:rFonts w:ascii="Gadugi" w:hAnsi="Gadugi"/>
        </w:rPr>
        <w:tab/>
      </w:r>
      <w:r w:rsidRPr="004D6C45">
        <w:rPr>
          <w:rFonts w:ascii="Gadugi" w:hAnsi="Gadugi"/>
        </w:rPr>
        <w:tab/>
      </w:r>
      <w:r w:rsidRPr="004D6C45">
        <w:rPr>
          <w:rFonts w:ascii="Gadugi" w:hAnsi="Gadugi"/>
        </w:rPr>
        <w:tab/>
      </w:r>
      <w:r w:rsidRPr="004D6C45">
        <w:rPr>
          <w:rFonts w:ascii="Gadugi" w:hAnsi="Gadugi"/>
        </w:rPr>
        <w:tab/>
        <w:t xml:space="preserve">7. Intervino de nuevo el interesado para presentar recurso de reposición </w:t>
      </w:r>
      <w:r w:rsidR="00B305A1">
        <w:rPr>
          <w:rFonts w:ascii="Gadugi" w:hAnsi="Gadugi"/>
          <w:lang w:val="es-419"/>
        </w:rPr>
        <w:t xml:space="preserve">frente a esa declaración </w:t>
      </w:r>
      <w:r w:rsidRPr="004D6C45">
        <w:rPr>
          <w:rFonts w:ascii="Gadugi" w:hAnsi="Gadugi"/>
        </w:rPr>
        <w:t xml:space="preserve">y que en caso de no salir avante </w:t>
      </w:r>
      <w:r w:rsidR="00B305A1">
        <w:rPr>
          <w:rFonts w:ascii="Gadugi" w:hAnsi="Gadugi"/>
          <w:lang w:val="es-419"/>
        </w:rPr>
        <w:t xml:space="preserve">el </w:t>
      </w:r>
      <w:r w:rsidRPr="004D6C45">
        <w:rPr>
          <w:rFonts w:ascii="Gadugi" w:hAnsi="Gadugi"/>
        </w:rPr>
        <w:t xml:space="preserve">reclamo, </w:t>
      </w:r>
      <w:r w:rsidR="00B305A1">
        <w:rPr>
          <w:rFonts w:ascii="Gadugi" w:hAnsi="Gadugi"/>
          <w:lang w:val="es-419"/>
        </w:rPr>
        <w:t xml:space="preserve">se le expidieran </w:t>
      </w:r>
      <w:r w:rsidRPr="004D6C45">
        <w:rPr>
          <w:rFonts w:ascii="Gadugi" w:hAnsi="Gadugi"/>
        </w:rPr>
        <w:t>copias pa</w:t>
      </w:r>
      <w:r w:rsidR="0010355F" w:rsidRPr="004D6C45">
        <w:rPr>
          <w:rFonts w:ascii="Gadugi" w:hAnsi="Gadugi"/>
        </w:rPr>
        <w:t>ra interponer el de queja (f. 41</w:t>
      </w:r>
      <w:r w:rsidRPr="004D6C45">
        <w:rPr>
          <w:rFonts w:ascii="Gadugi" w:hAnsi="Gadugi"/>
        </w:rPr>
        <w:t>).</w:t>
      </w:r>
    </w:p>
    <w:p w:rsidR="0025210F" w:rsidRPr="004D6C45" w:rsidRDefault="00117BFC" w:rsidP="004D6C45">
      <w:pPr>
        <w:pStyle w:val="Sinespaciado2"/>
        <w:spacing w:line="26" w:lineRule="atLeast"/>
        <w:ind w:right="51"/>
        <w:jc w:val="both"/>
        <w:rPr>
          <w:rFonts w:ascii="Gadugi" w:hAnsi="Gadugi"/>
        </w:rPr>
      </w:pPr>
      <w:r w:rsidRPr="004D6C45">
        <w:rPr>
          <w:rFonts w:ascii="Gadugi" w:hAnsi="Gadugi"/>
        </w:rPr>
        <w:lastRenderedPageBreak/>
        <w:t xml:space="preserve">  </w:t>
      </w:r>
      <w:r w:rsidRPr="004D6C45">
        <w:rPr>
          <w:rFonts w:ascii="Gadugi" w:hAnsi="Gadugi"/>
        </w:rPr>
        <w:tab/>
      </w:r>
      <w:r w:rsidRPr="004D6C45">
        <w:rPr>
          <w:rFonts w:ascii="Gadugi" w:hAnsi="Gadugi"/>
        </w:rPr>
        <w:tab/>
      </w:r>
      <w:r w:rsidRPr="004D6C45">
        <w:rPr>
          <w:rFonts w:ascii="Gadugi" w:hAnsi="Gadugi"/>
        </w:rPr>
        <w:tab/>
      </w:r>
      <w:r w:rsidRPr="004D6C45">
        <w:rPr>
          <w:rFonts w:ascii="Gadugi" w:hAnsi="Gadugi"/>
        </w:rPr>
        <w:tab/>
        <w:t>8.</w:t>
      </w:r>
      <w:r w:rsidR="0025210F" w:rsidRPr="004D6C45">
        <w:rPr>
          <w:rFonts w:ascii="Gadugi" w:hAnsi="Gadugi"/>
        </w:rPr>
        <w:t xml:space="preserve"> </w:t>
      </w:r>
      <w:r w:rsidR="00D33E68">
        <w:rPr>
          <w:rFonts w:ascii="Gadugi" w:hAnsi="Gadugi"/>
          <w:lang w:val="es-419"/>
        </w:rPr>
        <w:t>Se mantuvo lo resuelto</w:t>
      </w:r>
      <w:r w:rsidR="0025210F" w:rsidRPr="004D6C45">
        <w:rPr>
          <w:rFonts w:ascii="Gadugi" w:hAnsi="Gadugi"/>
        </w:rPr>
        <w:t xml:space="preserve">, por cuanto </w:t>
      </w:r>
      <w:r w:rsidR="00D33E68">
        <w:rPr>
          <w:rFonts w:ascii="Gadugi" w:hAnsi="Gadugi"/>
          <w:lang w:val="es-419"/>
        </w:rPr>
        <w:t xml:space="preserve">omitió </w:t>
      </w:r>
      <w:r w:rsidR="0025210F" w:rsidRPr="004D6C45">
        <w:rPr>
          <w:rFonts w:ascii="Gadugi" w:hAnsi="Gadugi"/>
        </w:rPr>
        <w:t>precisar de manera breve los reparos concretos con</w:t>
      </w:r>
      <w:r w:rsidR="00D33E68">
        <w:rPr>
          <w:rFonts w:ascii="Gadugi" w:hAnsi="Gadugi"/>
          <w:lang w:val="es-419"/>
        </w:rPr>
        <w:t xml:space="preserve">tra la </w:t>
      </w:r>
      <w:r w:rsidR="0025210F" w:rsidRPr="004D6C45">
        <w:rPr>
          <w:rFonts w:ascii="Gadugi" w:hAnsi="Gadugi"/>
        </w:rPr>
        <w:t>sentencia, como lo exig</w:t>
      </w:r>
      <w:r w:rsidR="00D33E68">
        <w:rPr>
          <w:rFonts w:ascii="Gadugi" w:hAnsi="Gadugi"/>
          <w:lang w:val="es-419"/>
        </w:rPr>
        <w:t>e la norma citada</w:t>
      </w:r>
      <w:r w:rsidR="0025210F" w:rsidRPr="004D6C45">
        <w:rPr>
          <w:rFonts w:ascii="Gadugi" w:hAnsi="Gadugi"/>
        </w:rPr>
        <w:t xml:space="preserve">, </w:t>
      </w:r>
      <w:r w:rsidR="00D33E68">
        <w:rPr>
          <w:rFonts w:ascii="Gadugi" w:hAnsi="Gadugi"/>
          <w:lang w:val="es-419"/>
        </w:rPr>
        <w:t xml:space="preserve">ya que </w:t>
      </w:r>
      <w:r w:rsidR="0025210F" w:rsidRPr="004D6C45">
        <w:rPr>
          <w:rFonts w:ascii="Gadugi" w:hAnsi="Gadugi"/>
        </w:rPr>
        <w:t xml:space="preserve">se </w:t>
      </w:r>
      <w:r w:rsidR="004C0304" w:rsidRPr="004D6C45">
        <w:rPr>
          <w:rFonts w:ascii="Gadugi" w:hAnsi="Gadugi"/>
        </w:rPr>
        <w:t>limitó</w:t>
      </w:r>
      <w:r w:rsidR="0025210F" w:rsidRPr="004D6C45">
        <w:rPr>
          <w:rFonts w:ascii="Gadugi" w:hAnsi="Gadugi"/>
        </w:rPr>
        <w:t xml:space="preserve"> a expresar que no estaba completamente de acuerdo con ella; y se negó la solicitud de expedición de copias para el trámite del mencionado recurso de queja, p</w:t>
      </w:r>
      <w:r w:rsidR="00D33E68">
        <w:rPr>
          <w:rFonts w:ascii="Gadugi" w:hAnsi="Gadugi"/>
          <w:lang w:val="es-419"/>
        </w:rPr>
        <w:t xml:space="preserve">orque </w:t>
      </w:r>
      <w:r w:rsidR="0025210F" w:rsidRPr="004D6C45">
        <w:rPr>
          <w:rFonts w:ascii="Gadugi" w:hAnsi="Gadugi"/>
          <w:i/>
        </w:rPr>
        <w:t>“</w:t>
      </w:r>
      <w:r w:rsidR="00D33E68">
        <w:rPr>
          <w:rFonts w:ascii="Gadugi" w:hAnsi="Gadugi"/>
          <w:i/>
          <w:lang w:val="es-419"/>
        </w:rPr>
        <w:t>…</w:t>
      </w:r>
      <w:r w:rsidR="0025210F" w:rsidRPr="004D6C45">
        <w:rPr>
          <w:rFonts w:ascii="Gadugi" w:hAnsi="Gadugi"/>
          <w:i/>
        </w:rPr>
        <w:t xml:space="preserve">en el art. 353 ibídem, que dispone; ‘El recurso de queja deberá interponerse en subsidio del de reposición contra el auto que denegó la </w:t>
      </w:r>
      <w:r w:rsidR="004C0304" w:rsidRPr="004D6C45">
        <w:rPr>
          <w:rFonts w:ascii="Gadugi" w:hAnsi="Gadugi"/>
          <w:i/>
        </w:rPr>
        <w:t>apelación</w:t>
      </w:r>
      <w:r w:rsidR="0025210F" w:rsidRPr="004D6C45">
        <w:rPr>
          <w:rFonts w:ascii="Gadugi" w:hAnsi="Gadugi"/>
          <w:i/>
        </w:rPr>
        <w:t>’, lo cual fue omitido por dicho profesional del derecho”</w:t>
      </w:r>
      <w:r w:rsidR="0025210F" w:rsidRPr="004D6C45">
        <w:rPr>
          <w:rFonts w:ascii="Gadugi" w:hAnsi="Gadugi"/>
        </w:rPr>
        <w:t xml:space="preserve"> (f. 43).</w:t>
      </w:r>
    </w:p>
    <w:p w:rsidR="0025210F" w:rsidRPr="004D6C45" w:rsidRDefault="0025210F" w:rsidP="004D6C45">
      <w:pPr>
        <w:pStyle w:val="Sinespaciado2"/>
        <w:spacing w:line="26" w:lineRule="atLeast"/>
        <w:ind w:right="51"/>
        <w:jc w:val="both"/>
        <w:rPr>
          <w:rFonts w:ascii="Gadugi" w:hAnsi="Gadugi"/>
          <w:i/>
        </w:rPr>
      </w:pPr>
    </w:p>
    <w:p w:rsidR="001A4B2C" w:rsidRPr="004D6C45" w:rsidRDefault="00117BFC" w:rsidP="004D6C45">
      <w:pPr>
        <w:pStyle w:val="Sinespaciado2"/>
        <w:spacing w:line="26" w:lineRule="atLeast"/>
        <w:ind w:right="51"/>
        <w:jc w:val="both"/>
        <w:rPr>
          <w:rFonts w:ascii="Gadugi" w:hAnsi="Gadugi"/>
        </w:rPr>
      </w:pPr>
      <w:r w:rsidRPr="004D6C45">
        <w:rPr>
          <w:rFonts w:ascii="Gadugi" w:hAnsi="Gadugi"/>
        </w:rPr>
        <w:t xml:space="preserve"> </w:t>
      </w:r>
      <w:r w:rsidR="001A4B2C" w:rsidRPr="004D6C45">
        <w:rPr>
          <w:rFonts w:ascii="Gadugi" w:hAnsi="Gadugi"/>
        </w:rPr>
        <w:tab/>
      </w:r>
      <w:r w:rsidR="001A4B2C" w:rsidRPr="004D6C45">
        <w:rPr>
          <w:rFonts w:ascii="Gadugi" w:hAnsi="Gadugi"/>
        </w:rPr>
        <w:tab/>
      </w:r>
      <w:r w:rsidR="001A4B2C" w:rsidRPr="004D6C45">
        <w:rPr>
          <w:rFonts w:ascii="Gadugi" w:hAnsi="Gadugi"/>
        </w:rPr>
        <w:tab/>
      </w:r>
      <w:r w:rsidR="001A4B2C" w:rsidRPr="004D6C45">
        <w:rPr>
          <w:rFonts w:ascii="Gadugi" w:hAnsi="Gadugi"/>
        </w:rPr>
        <w:tab/>
      </w:r>
      <w:r w:rsidR="00D33E68">
        <w:rPr>
          <w:rFonts w:ascii="Gadugi" w:hAnsi="Gadugi"/>
          <w:lang w:val="es-419"/>
        </w:rPr>
        <w:t xml:space="preserve">Se trata, </w:t>
      </w:r>
      <w:r w:rsidR="0069717B">
        <w:rPr>
          <w:rFonts w:ascii="Gadugi" w:hAnsi="Gadugi"/>
          <w:lang w:val="es-419"/>
        </w:rPr>
        <w:t xml:space="preserve">por tanto, </w:t>
      </w:r>
      <w:r w:rsidR="00D33E68">
        <w:rPr>
          <w:rFonts w:ascii="Gadugi" w:hAnsi="Gadugi"/>
          <w:lang w:val="es-419"/>
        </w:rPr>
        <w:t xml:space="preserve">de la incursión, por parte del Juzgado, en los </w:t>
      </w:r>
      <w:r w:rsidR="003F4338" w:rsidRPr="004D6C45">
        <w:rPr>
          <w:rFonts w:ascii="Gadugi" w:hAnsi="Gadugi"/>
        </w:rPr>
        <w:t>defectos sustantivo y procedimental</w:t>
      </w:r>
      <w:r w:rsidR="00D33E68">
        <w:rPr>
          <w:rFonts w:ascii="Gadugi" w:hAnsi="Gadugi"/>
          <w:lang w:val="es-419"/>
        </w:rPr>
        <w:t xml:space="preserve">, según lo que se comprende de la crítica que expone el demandante. Sobre aquel, </w:t>
      </w:r>
      <w:r w:rsidR="001A4B2C" w:rsidRPr="004D6C45">
        <w:rPr>
          <w:rFonts w:ascii="Gadugi" w:hAnsi="Gadugi"/>
          <w:lang w:val="es-419"/>
        </w:rPr>
        <w:t xml:space="preserve">en la sentencia SU-050 de 2017, se recordó que: </w:t>
      </w:r>
    </w:p>
    <w:p w:rsidR="001A4B2C" w:rsidRPr="004D6C45" w:rsidRDefault="001A4B2C" w:rsidP="004D6C45">
      <w:pPr>
        <w:pStyle w:val="Textoindependiente210"/>
        <w:spacing w:line="26" w:lineRule="atLeast"/>
        <w:ind w:firstLine="0"/>
        <w:rPr>
          <w:rFonts w:ascii="Gadugi" w:hAnsi="Gadugi"/>
          <w:lang w:val="es-419"/>
        </w:rPr>
      </w:pPr>
    </w:p>
    <w:p w:rsidR="001A4B2C" w:rsidRPr="004D6C45" w:rsidRDefault="001A4B2C" w:rsidP="004D6C45">
      <w:pPr>
        <w:tabs>
          <w:tab w:val="left" w:pos="8829"/>
        </w:tabs>
        <w:spacing w:line="26" w:lineRule="atLeast"/>
        <w:ind w:left="851" w:right="902" w:firstLine="1984"/>
        <w:jc w:val="both"/>
        <w:rPr>
          <w:rFonts w:ascii="Arial Narrow" w:hAnsi="Arial Narrow"/>
          <w:i/>
          <w:sz w:val="24"/>
          <w:szCs w:val="24"/>
        </w:rPr>
      </w:pPr>
      <w:r w:rsidRPr="004D6C45">
        <w:rPr>
          <w:rFonts w:ascii="Arial Narrow" w:hAnsi="Arial Narrow"/>
          <w:sz w:val="24"/>
          <w:szCs w:val="24"/>
        </w:rPr>
        <w:t>La jurisprudencia de esta Corporación</w:t>
      </w:r>
      <w:r w:rsidRPr="004D6C45">
        <w:rPr>
          <w:rStyle w:val="Appelnotedebasdep"/>
          <w:rFonts w:ascii="Arial Narrow" w:hAnsi="Arial Narrow"/>
          <w:sz w:val="24"/>
          <w:szCs w:val="24"/>
        </w:rPr>
        <w:footnoteReference w:id="2"/>
      </w:r>
      <w:r w:rsidRPr="004D6C45">
        <w:rPr>
          <w:rFonts w:ascii="Arial Narrow" w:hAnsi="Arial Narrow"/>
          <w:sz w:val="24"/>
          <w:szCs w:val="24"/>
        </w:rPr>
        <w:t xml:space="preserve"> ha establecido una serie de situaciones en las que una providencia judicial presenta un defecto sustantivo. Estos eventos fueron enunciados de manera reciente en la sentencia T-344 de 2015</w:t>
      </w:r>
      <w:r w:rsidRPr="004D6C45">
        <w:rPr>
          <w:rStyle w:val="Appelnotedebasdep"/>
          <w:rFonts w:ascii="Arial Narrow" w:hAnsi="Arial Narrow"/>
          <w:sz w:val="24"/>
          <w:szCs w:val="24"/>
        </w:rPr>
        <w:footnoteReference w:id="3"/>
      </w:r>
      <w:r w:rsidRPr="004D6C45">
        <w:rPr>
          <w:rFonts w:ascii="Arial Narrow" w:hAnsi="Arial Narrow"/>
          <w:sz w:val="24"/>
          <w:szCs w:val="24"/>
        </w:rPr>
        <w:t xml:space="preserve"> así: “</w:t>
      </w:r>
      <w:r w:rsidRPr="004D6C45">
        <w:rPr>
          <w:rFonts w:ascii="Arial Narrow" w:hAnsi="Arial Narrow"/>
          <w:i/>
          <w:sz w:val="24"/>
          <w:szCs w:val="24"/>
        </w:rPr>
        <w:t>(i) cuando la decisión judicial se basa en una norma que no es aplicable, porque a) no es pertinente</w:t>
      </w:r>
      <w:r w:rsidRPr="004D6C45">
        <w:rPr>
          <w:rFonts w:ascii="Arial Narrow" w:hAnsi="Arial Narrow"/>
          <w:i/>
          <w:sz w:val="24"/>
          <w:szCs w:val="24"/>
          <w:vertAlign w:val="superscript"/>
        </w:rPr>
        <w:footnoteReference w:id="4"/>
      </w:r>
      <w:r w:rsidRPr="004D6C45">
        <w:rPr>
          <w:rFonts w:ascii="Arial Narrow" w:hAnsi="Arial Narrow"/>
          <w:i/>
          <w:sz w:val="24"/>
          <w:szCs w:val="24"/>
        </w:rPr>
        <w:t>, b) ha sido derogada y por tanto perdió vigencia</w:t>
      </w:r>
      <w:r w:rsidRPr="004D6C45">
        <w:rPr>
          <w:rFonts w:ascii="Arial Narrow" w:hAnsi="Arial Narrow"/>
          <w:i/>
          <w:sz w:val="24"/>
          <w:szCs w:val="24"/>
          <w:vertAlign w:val="superscript"/>
        </w:rPr>
        <w:footnoteReference w:id="5"/>
      </w:r>
      <w:r w:rsidRPr="004D6C45">
        <w:rPr>
          <w:rFonts w:ascii="Arial Narrow" w:hAnsi="Arial Narrow"/>
          <w:i/>
          <w:sz w:val="24"/>
          <w:szCs w:val="24"/>
        </w:rPr>
        <w:t>, c) es inexistente</w:t>
      </w:r>
      <w:r w:rsidRPr="004D6C45">
        <w:rPr>
          <w:rFonts w:ascii="Arial Narrow" w:hAnsi="Arial Narrow"/>
          <w:i/>
          <w:sz w:val="24"/>
          <w:szCs w:val="24"/>
          <w:vertAlign w:val="superscript"/>
        </w:rPr>
        <w:footnoteReference w:id="6"/>
      </w:r>
      <w:r w:rsidRPr="004D6C45">
        <w:rPr>
          <w:rFonts w:ascii="Arial Narrow" w:hAnsi="Arial Narrow"/>
          <w:i/>
          <w:sz w:val="24"/>
          <w:szCs w:val="24"/>
        </w:rPr>
        <w:t>, d) ha sido declarada contraria a la Constitución</w:t>
      </w:r>
      <w:r w:rsidRPr="004D6C45">
        <w:rPr>
          <w:rFonts w:ascii="Arial Narrow" w:hAnsi="Arial Narrow"/>
          <w:i/>
          <w:sz w:val="24"/>
          <w:szCs w:val="24"/>
          <w:vertAlign w:val="superscript"/>
        </w:rPr>
        <w:footnoteReference w:id="7"/>
      </w:r>
      <w:r w:rsidRPr="004D6C45">
        <w:rPr>
          <w:rFonts w:ascii="Arial Narrow" w:hAnsi="Arial Narrow"/>
          <w:i/>
          <w:sz w:val="24"/>
          <w:szCs w:val="24"/>
        </w:rPr>
        <w:t>, e) a pesar de que la norma cuestionada está vigente y es constitucional, no se adecua a la situación fáctica a la cual se aplicó, porque la norma utilizada, por ejemplo, se le dan efectos distintos a los señalados expresamente por el legislador</w:t>
      </w:r>
      <w:r w:rsidRPr="004D6C45">
        <w:rPr>
          <w:rFonts w:ascii="Arial Narrow" w:hAnsi="Arial Narrow"/>
          <w:i/>
          <w:sz w:val="24"/>
          <w:szCs w:val="24"/>
          <w:vertAlign w:val="superscript"/>
        </w:rPr>
        <w:footnoteReference w:id="8"/>
      </w:r>
      <w:r w:rsidRPr="004D6C45">
        <w:rPr>
          <w:rFonts w:ascii="Arial Narrow" w:hAnsi="Arial Narrow"/>
          <w:i/>
          <w:sz w:val="24"/>
          <w:szCs w:val="24"/>
        </w:rPr>
        <w:t>; (ii) cuando a pesar de la autonomía judicial, la interpretación o aplicación de la norma al caso concreto, no se encuentra, prima facie, dentro del margen de interpretación razonable</w:t>
      </w:r>
      <w:r w:rsidRPr="004D6C45">
        <w:rPr>
          <w:rFonts w:ascii="Arial Narrow" w:hAnsi="Arial Narrow"/>
          <w:i/>
          <w:sz w:val="24"/>
          <w:szCs w:val="24"/>
          <w:vertAlign w:val="superscript"/>
        </w:rPr>
        <w:footnoteReference w:id="9"/>
      </w:r>
      <w:r w:rsidRPr="004D6C45">
        <w:rPr>
          <w:rFonts w:ascii="Arial Narrow" w:hAnsi="Arial Narrow"/>
          <w:i/>
          <w:sz w:val="24"/>
          <w:szCs w:val="24"/>
        </w:rPr>
        <w:t xml:space="preserve"> o “</w:t>
      </w:r>
      <w:r w:rsidRPr="004D6C45">
        <w:rPr>
          <w:rFonts w:ascii="Arial Narrow" w:hAnsi="Arial Narrow"/>
          <w:i/>
          <w:iCs/>
          <w:sz w:val="24"/>
          <w:szCs w:val="24"/>
        </w:rPr>
        <w:t>la aplicación final de la regla es inaceptable por tratarse de una interpretación contraevidente (interpretación contra legem) o claramente perjudicial para los intereses legítimos de una de las partes”</w:t>
      </w:r>
      <w:r w:rsidRPr="004D6C45">
        <w:rPr>
          <w:rFonts w:ascii="Arial Narrow" w:hAnsi="Arial Narrow"/>
          <w:i/>
          <w:iCs/>
          <w:sz w:val="24"/>
          <w:szCs w:val="24"/>
          <w:vertAlign w:val="superscript"/>
        </w:rPr>
        <w:footnoteReference w:id="10"/>
      </w:r>
      <w:r w:rsidRPr="004D6C45">
        <w:rPr>
          <w:rFonts w:ascii="Arial Narrow" w:hAnsi="Arial Narrow"/>
          <w:i/>
          <w:iCs/>
          <w:sz w:val="24"/>
          <w:szCs w:val="24"/>
        </w:rPr>
        <w:t xml:space="preserve"> o cuando se aplica una norma jurídica de forma manifiestamente errada, sacando de los parámetros de la juridicidad y de la interpretación jurídica aceptable la decisión judicial; (iii) cuando no se toman en cuenta sentencias que </w:t>
      </w:r>
      <w:r w:rsidRPr="004D6C45">
        <w:rPr>
          <w:rFonts w:ascii="Arial Narrow" w:hAnsi="Arial Narrow"/>
          <w:i/>
          <w:iCs/>
          <w:sz w:val="24"/>
          <w:szCs w:val="24"/>
        </w:rPr>
        <w:lastRenderedPageBreak/>
        <w:t>han definido su alcance con efectos erga omnes</w:t>
      </w:r>
      <w:r w:rsidRPr="004D6C45">
        <w:rPr>
          <w:rFonts w:ascii="Arial Narrow" w:hAnsi="Arial Narrow"/>
          <w:i/>
          <w:sz w:val="24"/>
          <w:szCs w:val="24"/>
          <w:vertAlign w:val="superscript"/>
        </w:rPr>
        <w:footnoteReference w:id="11"/>
      </w:r>
      <w:r w:rsidRPr="004D6C45">
        <w:rPr>
          <w:rFonts w:ascii="Arial Narrow" w:hAnsi="Arial Narrow"/>
          <w:i/>
          <w:sz w:val="24"/>
          <w:szCs w:val="24"/>
        </w:rPr>
        <w:t>, (iv) cuando la disposición aplicada se torna injustificadamente regresiva</w:t>
      </w:r>
      <w:r w:rsidRPr="004D6C45">
        <w:rPr>
          <w:rFonts w:ascii="Arial Narrow" w:hAnsi="Arial Narrow"/>
          <w:i/>
          <w:sz w:val="24"/>
          <w:szCs w:val="24"/>
          <w:vertAlign w:val="superscript"/>
        </w:rPr>
        <w:footnoteReference w:id="12"/>
      </w:r>
      <w:r w:rsidRPr="004D6C45">
        <w:rPr>
          <w:rFonts w:ascii="Arial Narrow" w:hAnsi="Arial Narrow"/>
          <w:i/>
          <w:sz w:val="24"/>
          <w:szCs w:val="24"/>
        </w:rPr>
        <w:t xml:space="preserve"> o contraria a la Constitución</w:t>
      </w:r>
      <w:r w:rsidRPr="004D6C45">
        <w:rPr>
          <w:rFonts w:ascii="Arial Narrow" w:hAnsi="Arial Narrow"/>
          <w:i/>
          <w:sz w:val="24"/>
          <w:szCs w:val="24"/>
          <w:vertAlign w:val="superscript"/>
        </w:rPr>
        <w:footnoteReference w:id="13"/>
      </w:r>
      <w:r w:rsidRPr="004D6C45">
        <w:rPr>
          <w:rFonts w:ascii="Arial Narrow" w:hAnsi="Arial Narrow"/>
          <w:i/>
          <w:sz w:val="24"/>
          <w:szCs w:val="24"/>
        </w:rPr>
        <w:t xml:space="preserve">; (v) cuando un poder concedido al juez por el ordenamiento jurídico se utiliza </w:t>
      </w:r>
      <w:r w:rsidRPr="004D6C45">
        <w:rPr>
          <w:rFonts w:ascii="Arial Narrow" w:hAnsi="Arial Narrow"/>
          <w:i/>
          <w:iCs/>
          <w:sz w:val="24"/>
          <w:szCs w:val="24"/>
        </w:rPr>
        <w:t>“para un fin no previsto en la disposición”</w:t>
      </w:r>
      <w:r w:rsidRPr="004D6C45">
        <w:rPr>
          <w:rFonts w:ascii="Arial Narrow" w:hAnsi="Arial Narrow"/>
          <w:i/>
          <w:iCs/>
          <w:sz w:val="24"/>
          <w:szCs w:val="24"/>
          <w:vertAlign w:val="superscript"/>
        </w:rPr>
        <w:footnoteReference w:id="14"/>
      </w:r>
      <w:r w:rsidRPr="004D6C45">
        <w:rPr>
          <w:rFonts w:ascii="Arial Narrow" w:hAnsi="Arial Narrow"/>
          <w:i/>
          <w:iCs/>
          <w:sz w:val="24"/>
          <w:szCs w:val="24"/>
        </w:rPr>
        <w:t>; (vi) cuando la decisión se funda en una hermenéutica no sistémica de la norma, con omisión del análisis de otras disposiciones que regulan el caso</w:t>
      </w:r>
      <w:r w:rsidRPr="004D6C45">
        <w:rPr>
          <w:rFonts w:ascii="Arial Narrow" w:hAnsi="Arial Narrow"/>
          <w:i/>
          <w:iCs/>
          <w:sz w:val="24"/>
          <w:szCs w:val="24"/>
          <w:vertAlign w:val="superscript"/>
        </w:rPr>
        <w:footnoteReference w:id="15"/>
      </w:r>
      <w:r w:rsidRPr="004D6C45">
        <w:rPr>
          <w:rFonts w:ascii="Arial Narrow" w:hAnsi="Arial Narrow"/>
          <w:i/>
          <w:iCs/>
          <w:sz w:val="24"/>
          <w:szCs w:val="24"/>
        </w:rPr>
        <w:t xml:space="preserve"> o (vii) cuando se desconoce la norma constitucional o legal aplicable al caso concreto</w:t>
      </w:r>
      <w:r w:rsidRPr="004D6C45">
        <w:rPr>
          <w:rFonts w:ascii="Arial Narrow" w:hAnsi="Arial Narrow"/>
          <w:i/>
          <w:sz w:val="24"/>
          <w:szCs w:val="24"/>
          <w:vertAlign w:val="superscript"/>
        </w:rPr>
        <w:footnoteReference w:id="16"/>
      </w:r>
      <w:r w:rsidRPr="004D6C45">
        <w:rPr>
          <w:rFonts w:ascii="Arial Narrow" w:hAnsi="Arial Narrow"/>
          <w:i/>
          <w:sz w:val="24"/>
          <w:szCs w:val="24"/>
        </w:rPr>
        <w:t>. Existe defecto sustantivo igualmente cuando (viii) la decisión no está justificada en forma suficiente</w:t>
      </w:r>
      <w:r w:rsidRPr="004D6C45">
        <w:rPr>
          <w:rFonts w:ascii="Arial Narrow" w:hAnsi="Arial Narrow"/>
          <w:i/>
          <w:sz w:val="24"/>
          <w:szCs w:val="24"/>
          <w:vertAlign w:val="superscript"/>
        </w:rPr>
        <w:footnoteReference w:id="17"/>
      </w:r>
      <w:r w:rsidRPr="004D6C45">
        <w:rPr>
          <w:rFonts w:ascii="Arial Narrow" w:hAnsi="Arial Narrow"/>
          <w:i/>
          <w:sz w:val="24"/>
          <w:szCs w:val="24"/>
        </w:rPr>
        <w:t xml:space="preserve"> de tal manera que se afectan derechos fundamentales</w:t>
      </w:r>
      <w:r w:rsidRPr="004D6C45">
        <w:rPr>
          <w:rFonts w:ascii="Arial Narrow" w:hAnsi="Arial Narrow"/>
          <w:i/>
          <w:sz w:val="24"/>
          <w:szCs w:val="24"/>
          <w:vertAlign w:val="superscript"/>
        </w:rPr>
        <w:footnoteReference w:id="18"/>
      </w:r>
      <w:r w:rsidRPr="004D6C45">
        <w:rPr>
          <w:rFonts w:ascii="Arial Narrow" w:hAnsi="Arial Narrow"/>
          <w:i/>
          <w:sz w:val="24"/>
          <w:szCs w:val="24"/>
        </w:rPr>
        <w:t>; (ix) cuando sin un mínimo de argumentación se desconoce el precedente judicial</w:t>
      </w:r>
      <w:r w:rsidRPr="004D6C45">
        <w:rPr>
          <w:rFonts w:ascii="Arial Narrow" w:hAnsi="Arial Narrow"/>
          <w:i/>
          <w:sz w:val="24"/>
          <w:szCs w:val="24"/>
          <w:vertAlign w:val="superscript"/>
        </w:rPr>
        <w:footnoteReference w:id="19"/>
      </w:r>
      <w:r w:rsidRPr="004D6C45">
        <w:rPr>
          <w:rFonts w:ascii="Arial Narrow" w:hAnsi="Arial Narrow"/>
          <w:i/>
          <w:sz w:val="24"/>
          <w:szCs w:val="24"/>
        </w:rPr>
        <w:t xml:space="preserve"> y, (x) cuando el juez no aplica la excepción de inconstitucionalidad frente a una manifiesta violación de la Constitución</w:t>
      </w:r>
      <w:r w:rsidRPr="004D6C45">
        <w:rPr>
          <w:rFonts w:ascii="Arial Narrow" w:hAnsi="Arial Narrow"/>
          <w:i/>
          <w:sz w:val="24"/>
          <w:szCs w:val="24"/>
          <w:vertAlign w:val="superscript"/>
        </w:rPr>
        <w:footnoteReference w:id="20"/>
      </w:r>
      <w:r w:rsidRPr="004D6C45">
        <w:rPr>
          <w:rFonts w:ascii="Arial Narrow" w:hAnsi="Arial Narrow"/>
          <w:i/>
          <w:sz w:val="24"/>
          <w:szCs w:val="24"/>
        </w:rPr>
        <w:t>.</w:t>
      </w:r>
    </w:p>
    <w:p w:rsidR="003F4338" w:rsidRPr="004D6C45" w:rsidRDefault="003F4338" w:rsidP="004D6C45">
      <w:pPr>
        <w:tabs>
          <w:tab w:val="left" w:pos="8829"/>
        </w:tabs>
        <w:spacing w:line="26" w:lineRule="atLeast"/>
        <w:ind w:left="851" w:right="902" w:firstLine="1984"/>
        <w:jc w:val="both"/>
        <w:rPr>
          <w:rFonts w:ascii="Arial Narrow" w:hAnsi="Arial Narrow"/>
          <w:i/>
          <w:sz w:val="24"/>
          <w:szCs w:val="24"/>
        </w:rPr>
      </w:pPr>
    </w:p>
    <w:p w:rsidR="003F4338" w:rsidRPr="004D6C45" w:rsidRDefault="00B8500B" w:rsidP="004D6C45">
      <w:pPr>
        <w:pStyle w:val="Textoindependiente210"/>
        <w:spacing w:line="26" w:lineRule="atLeast"/>
        <w:ind w:firstLine="0"/>
        <w:rPr>
          <w:rFonts w:ascii="Gadugi" w:hAnsi="Gadugi"/>
        </w:rPr>
      </w:pPr>
      <w:r w:rsidRPr="004D6C45">
        <w:rPr>
          <w:rFonts w:ascii="Arial Narrow" w:hAnsi="Arial Narrow"/>
        </w:rPr>
        <w:t xml:space="preserve"> </w:t>
      </w:r>
      <w:r w:rsidRPr="004D6C45">
        <w:rPr>
          <w:rFonts w:ascii="Arial Narrow" w:hAnsi="Arial Narrow"/>
        </w:rPr>
        <w:tab/>
      </w:r>
      <w:r w:rsidRPr="004D6C45">
        <w:rPr>
          <w:rFonts w:ascii="Arial Narrow" w:hAnsi="Arial Narrow"/>
        </w:rPr>
        <w:tab/>
      </w:r>
      <w:r w:rsidRPr="004D6C45">
        <w:rPr>
          <w:rFonts w:ascii="Arial Narrow" w:hAnsi="Arial Narrow"/>
        </w:rPr>
        <w:tab/>
      </w:r>
      <w:r w:rsidRPr="004D6C45">
        <w:rPr>
          <w:rFonts w:ascii="Arial Narrow" w:hAnsi="Arial Narrow"/>
        </w:rPr>
        <w:tab/>
      </w:r>
      <w:r w:rsidR="003F4338" w:rsidRPr="004D6C45">
        <w:rPr>
          <w:rFonts w:ascii="Gadugi" w:hAnsi="Gadugi"/>
        </w:rPr>
        <w:t xml:space="preserve">Y sobre el procedimental se </w:t>
      </w:r>
      <w:r w:rsidR="003F4338" w:rsidRPr="004D6C45">
        <w:rPr>
          <w:rFonts w:ascii="Gadugi" w:hAnsi="Gadugi"/>
          <w:lang w:val="es-419"/>
        </w:rPr>
        <w:t xml:space="preserve"> ha precisado que</w:t>
      </w:r>
      <w:r w:rsidR="003F4338" w:rsidRPr="004D6C45">
        <w:rPr>
          <w:rStyle w:val="Appelnotedebasdep"/>
          <w:rFonts w:ascii="Gadugi" w:hAnsi="Gadugi"/>
        </w:rPr>
        <w:footnoteReference w:id="21"/>
      </w:r>
      <w:r w:rsidR="003F4338" w:rsidRPr="004D6C45">
        <w:rPr>
          <w:rFonts w:ascii="Gadugi" w:hAnsi="Gadugi"/>
          <w:lang w:val="es-419"/>
        </w:rPr>
        <w:t>:</w:t>
      </w:r>
    </w:p>
    <w:p w:rsidR="003F4338" w:rsidRPr="004D6C45" w:rsidRDefault="003F4338" w:rsidP="004D6C45">
      <w:pPr>
        <w:spacing w:line="26" w:lineRule="atLeast"/>
        <w:ind w:left="709" w:right="618"/>
        <w:jc w:val="both"/>
        <w:rPr>
          <w:rFonts w:ascii="Arial Narrow" w:hAnsi="Arial Narrow"/>
          <w:i/>
          <w:sz w:val="22"/>
          <w:szCs w:val="22"/>
        </w:rPr>
      </w:pPr>
      <w:r w:rsidRPr="004D6C45">
        <w:rPr>
          <w:rFonts w:ascii="Gadugi" w:hAnsi="Gadugi"/>
          <w:sz w:val="24"/>
          <w:szCs w:val="24"/>
        </w:rPr>
        <w:t xml:space="preserve"> </w:t>
      </w:r>
    </w:p>
    <w:p w:rsidR="003F4338" w:rsidRPr="004D6C45" w:rsidRDefault="003F4338" w:rsidP="004D6C45">
      <w:pPr>
        <w:shd w:val="clear" w:color="auto" w:fill="FFFFFF"/>
        <w:spacing w:line="26" w:lineRule="atLeast"/>
        <w:ind w:left="709" w:right="618"/>
        <w:jc w:val="both"/>
        <w:rPr>
          <w:rFonts w:ascii="Arial Narrow" w:hAnsi="Arial Narrow"/>
          <w:sz w:val="24"/>
          <w:szCs w:val="24"/>
        </w:rPr>
      </w:pPr>
      <w:r w:rsidRPr="004D6C45">
        <w:rPr>
          <w:rFonts w:ascii="Arial Narrow" w:hAnsi="Arial Narrow"/>
          <w:i/>
          <w:sz w:val="22"/>
          <w:szCs w:val="22"/>
        </w:rPr>
        <w:tab/>
        <w:t xml:space="preserve">        </w:t>
      </w:r>
      <w:r w:rsidRPr="004D6C45">
        <w:rPr>
          <w:rFonts w:ascii="Arial Narrow" w:hAnsi="Arial Narrow"/>
          <w:i/>
          <w:sz w:val="22"/>
          <w:szCs w:val="22"/>
        </w:rPr>
        <w:tab/>
      </w:r>
      <w:r w:rsidRPr="004D6C45">
        <w:rPr>
          <w:rFonts w:ascii="Arial Narrow" w:hAnsi="Arial Narrow"/>
          <w:i/>
          <w:sz w:val="22"/>
          <w:szCs w:val="22"/>
          <w:lang w:val="es-419"/>
        </w:rPr>
        <w:t xml:space="preserve">  </w:t>
      </w:r>
      <w:r w:rsidRPr="004D6C45">
        <w:rPr>
          <w:rFonts w:ascii="Arial Narrow" w:hAnsi="Arial Narrow"/>
          <w:i/>
          <w:sz w:val="22"/>
          <w:szCs w:val="22"/>
          <w:lang w:val="es-419"/>
        </w:rPr>
        <w:tab/>
      </w:r>
      <w:r w:rsidRPr="004D6C45">
        <w:rPr>
          <w:rFonts w:ascii="Arial Narrow" w:hAnsi="Arial Narrow"/>
          <w:sz w:val="24"/>
          <w:szCs w:val="24"/>
          <w:lang w:val="es-419"/>
        </w:rPr>
        <w:t>“</w:t>
      </w:r>
      <w:r w:rsidRPr="004D6C45">
        <w:rPr>
          <w:rFonts w:ascii="Arial Narrow" w:hAnsi="Arial Narrow"/>
          <w:sz w:val="24"/>
          <w:szCs w:val="24"/>
          <w:bdr w:val="none" w:sz="0" w:space="0" w:color="auto" w:frame="1"/>
        </w:rPr>
        <w:t>33. El defecto procedimental como una causal especial de procedencia de la tutela contra providencias judiciales se sustenta en los artículos 29 y 228 de la Constitución, que consagran los derechos al debido proceso y a la administración de justicia y el principio de prevalencia del derecho sustancial que protege a las personas de que se presente una grave arbitrariedad en el acceso a la justicia. La Corte Constitucional ha reconocido dos modalidades de este defecto: i) el absoluto, que se da cuando hay una desviación del procedimiento legalmente establecido… y ii) por</w:t>
      </w:r>
      <w:r w:rsidRPr="004D6C45">
        <w:rPr>
          <w:rFonts w:ascii="Arial Narrow" w:hAnsi="Arial Narrow"/>
          <w:bCs/>
          <w:sz w:val="24"/>
          <w:szCs w:val="24"/>
          <w:bdr w:val="none" w:sz="0" w:space="0" w:color="auto" w:frame="1"/>
        </w:rPr>
        <w:t> </w:t>
      </w:r>
      <w:r w:rsidRPr="004D6C45">
        <w:rPr>
          <w:rFonts w:ascii="Arial Narrow" w:hAnsi="Arial Narrow"/>
          <w:sz w:val="24"/>
          <w:szCs w:val="24"/>
          <w:bdr w:val="none" w:sz="0" w:space="0" w:color="auto" w:frame="1"/>
        </w:rPr>
        <w:t>“</w:t>
      </w:r>
      <w:r w:rsidRPr="004D6C45">
        <w:rPr>
          <w:rFonts w:ascii="Arial Narrow" w:hAnsi="Arial Narrow"/>
          <w:iCs/>
          <w:sz w:val="24"/>
          <w:szCs w:val="24"/>
          <w:bdr w:val="none" w:sz="0" w:space="0" w:color="auto" w:frame="1"/>
          <w:lang w:val="es-CO"/>
        </w:rPr>
        <w:t>exceso ritual manifiesto</w:t>
      </w:r>
      <w:r w:rsidRPr="004D6C45">
        <w:rPr>
          <w:rFonts w:ascii="Arial Narrow" w:hAnsi="Arial Narrow"/>
          <w:sz w:val="24"/>
          <w:szCs w:val="24"/>
          <w:bdr w:val="none" w:sz="0" w:space="0" w:color="auto" w:frame="1"/>
          <w:lang w:val="es-CO"/>
        </w:rPr>
        <w:t>, </w:t>
      </w:r>
      <w:r w:rsidRPr="004D6C45">
        <w:rPr>
          <w:rFonts w:ascii="Arial Narrow" w:hAnsi="Arial Narrow"/>
          <w:iCs/>
          <w:sz w:val="24"/>
          <w:szCs w:val="24"/>
          <w:bdr w:val="none" w:sz="0" w:space="0" w:color="auto" w:frame="1"/>
          <w:shd w:val="clear" w:color="auto" w:fill="FFFFFF"/>
          <w:lang w:val="es-CO"/>
        </w:rPr>
        <w:t>que tiene lugar cuando hay una renuncia consciente de la verdad jurídica objetiva evidente en los hechos, por extremo rigor en la aplicación de las normas procesales</w:t>
      </w:r>
      <w:r w:rsidRPr="004D6C45">
        <w:rPr>
          <w:rFonts w:ascii="Arial Narrow" w:hAnsi="Arial Narrow"/>
          <w:sz w:val="24"/>
          <w:szCs w:val="24"/>
          <w:bdr w:val="none" w:sz="0" w:space="0" w:color="auto" w:frame="1"/>
          <w:shd w:val="clear" w:color="auto" w:fill="FFFFFF"/>
          <w:lang w:val="es-CO"/>
        </w:rPr>
        <w:t>”</w:t>
      </w:r>
      <w:bookmarkStart w:id="3" w:name="_ftnref47"/>
      <w:r w:rsidRPr="004D6C45">
        <w:rPr>
          <w:rFonts w:ascii="Arial Narrow" w:hAnsi="Arial Narrow"/>
          <w:sz w:val="24"/>
          <w:szCs w:val="24"/>
          <w:bdr w:val="none" w:sz="0" w:space="0" w:color="auto" w:frame="1"/>
          <w:shd w:val="clear" w:color="auto" w:fill="FFFFFF"/>
          <w:lang w:val="es-CO"/>
        </w:rPr>
        <w:t>…</w:t>
      </w:r>
      <w:hyperlink r:id="rId9" w:anchor="_ftn47" w:history="1"/>
      <w:bookmarkEnd w:id="3"/>
      <w:r w:rsidRPr="004D6C45">
        <w:rPr>
          <w:rFonts w:ascii="Arial Narrow" w:hAnsi="Arial Narrow"/>
          <w:sz w:val="24"/>
          <w:szCs w:val="24"/>
          <w:bdr w:val="none" w:sz="0" w:space="0" w:color="auto" w:frame="1"/>
          <w:shd w:val="clear" w:color="auto" w:fill="FFFFFF"/>
          <w:lang w:val="es-CO"/>
        </w:rPr>
        <w:t xml:space="preserve">. </w:t>
      </w:r>
    </w:p>
    <w:p w:rsidR="003F4338" w:rsidRPr="004D6C45" w:rsidRDefault="003F4338" w:rsidP="004D6C45">
      <w:pPr>
        <w:shd w:val="clear" w:color="auto" w:fill="FFFFFF"/>
        <w:overflowPunct/>
        <w:autoSpaceDE/>
        <w:autoSpaceDN/>
        <w:adjustRightInd/>
        <w:spacing w:line="26" w:lineRule="atLeast"/>
        <w:ind w:left="709" w:right="618"/>
        <w:jc w:val="both"/>
        <w:rPr>
          <w:rFonts w:ascii="Arial Narrow" w:hAnsi="Arial Narrow"/>
          <w:sz w:val="24"/>
          <w:szCs w:val="24"/>
        </w:rPr>
      </w:pPr>
      <w:r w:rsidRPr="004D6C45">
        <w:rPr>
          <w:rFonts w:ascii="Arial Narrow" w:hAnsi="Arial Narrow"/>
          <w:sz w:val="24"/>
          <w:szCs w:val="24"/>
          <w:bdr w:val="none" w:sz="0" w:space="0" w:color="auto" w:frame="1"/>
          <w:lang w:val="es-CO"/>
        </w:rPr>
        <w:t> </w:t>
      </w:r>
    </w:p>
    <w:p w:rsidR="003F4338" w:rsidRPr="004D6C45" w:rsidRDefault="003F4338" w:rsidP="004D6C45">
      <w:pPr>
        <w:shd w:val="clear" w:color="auto" w:fill="FFFFFF"/>
        <w:overflowPunct/>
        <w:autoSpaceDE/>
        <w:autoSpaceDN/>
        <w:adjustRightInd/>
        <w:spacing w:line="26" w:lineRule="atLeast"/>
        <w:ind w:left="709" w:right="618"/>
        <w:jc w:val="both"/>
        <w:rPr>
          <w:rFonts w:ascii="Arial Narrow" w:hAnsi="Arial Narrow"/>
          <w:sz w:val="24"/>
          <w:szCs w:val="24"/>
        </w:rPr>
      </w:pPr>
      <w:r w:rsidRPr="004D6C45">
        <w:rPr>
          <w:rFonts w:ascii="Arial Narrow" w:hAnsi="Arial Narrow"/>
          <w:sz w:val="24"/>
          <w:szCs w:val="24"/>
          <w:bdr w:val="none" w:sz="0" w:space="0" w:color="auto" w:frame="1"/>
          <w:lang w:val="es-CO"/>
        </w:rPr>
        <w:t xml:space="preserve"> </w:t>
      </w:r>
      <w:r w:rsidRPr="004D6C45">
        <w:rPr>
          <w:rFonts w:ascii="Arial Narrow" w:hAnsi="Arial Narrow"/>
          <w:sz w:val="24"/>
          <w:szCs w:val="24"/>
          <w:bdr w:val="none" w:sz="0" w:space="0" w:color="auto" w:frame="1"/>
          <w:lang w:val="es-CO"/>
        </w:rPr>
        <w:tab/>
      </w:r>
      <w:r w:rsidRPr="004D6C45">
        <w:rPr>
          <w:rFonts w:ascii="Arial Narrow" w:hAnsi="Arial Narrow"/>
          <w:sz w:val="24"/>
          <w:szCs w:val="24"/>
          <w:bdr w:val="none" w:sz="0" w:space="0" w:color="auto" w:frame="1"/>
          <w:lang w:val="es-CO"/>
        </w:rPr>
        <w:tab/>
      </w:r>
      <w:r w:rsidRPr="004D6C45">
        <w:rPr>
          <w:rFonts w:ascii="Arial Narrow" w:hAnsi="Arial Narrow"/>
          <w:sz w:val="24"/>
          <w:szCs w:val="24"/>
          <w:bdr w:val="none" w:sz="0" w:space="0" w:color="auto" w:frame="1"/>
          <w:lang w:val="es-CO"/>
        </w:rPr>
        <w:tab/>
        <w:t>34. En relación con el defecto procedimental absoluto…, la Corte ha indicado que “</w:t>
      </w:r>
      <w:r w:rsidRPr="004D6C45">
        <w:rPr>
          <w:rFonts w:ascii="Arial Narrow" w:hAnsi="Arial Narrow"/>
          <w:iCs/>
          <w:sz w:val="24"/>
          <w:szCs w:val="24"/>
          <w:bdr w:val="none" w:sz="0" w:space="0" w:color="auto" w:frame="1"/>
          <w:lang w:val="es-CO"/>
        </w:rPr>
        <w:t xml:space="preserve">“[c]uando el juez se desvía por completo del procedimiento fijado por la ley para dar trámite a determinadas cuestiones y actúa de forma </w:t>
      </w:r>
      <w:r w:rsidRPr="004D6C45">
        <w:rPr>
          <w:rFonts w:ascii="Arial Narrow" w:hAnsi="Arial Narrow"/>
          <w:iCs/>
          <w:sz w:val="24"/>
          <w:szCs w:val="24"/>
          <w:bdr w:val="none" w:sz="0" w:space="0" w:color="auto" w:frame="1"/>
          <w:lang w:val="es-CO"/>
        </w:rPr>
        <w:lastRenderedPageBreak/>
        <w:t>arbitraria y caprichosa, con fundamento en su sola voluntad, se configura el defecto procedimental. El defecto procedimental se erige en una violación al debido proceso cuando el juez da un cauce que no corresponde al asunto sometido a su competencia, o cuando pretermite las etapas propias del juicio, como por ejemplo, omite la notificación de un acto que requiera de esta formalidad según la ley, o cuando pasa por alto realizar el debate probatorio, natural a todo proceso, vulnerando el derecho de defensa y contradicción de los sujetos procesales al no permitirles sustentar o comprobar los hechos de la demanda o su contestación, con la consecuente negación de sus pretensiones en la decisión de fondo y la violación a los derechos fundamentales”…</w:t>
      </w:r>
      <w:r w:rsidRPr="004D6C45">
        <w:rPr>
          <w:rFonts w:ascii="Arial Narrow" w:hAnsi="Arial Narrow"/>
          <w:sz w:val="24"/>
          <w:szCs w:val="24"/>
          <w:bdr w:val="none" w:sz="0" w:space="0" w:color="auto" w:frame="1"/>
          <w:lang w:val="es-CO"/>
        </w:rPr>
        <w:t>.</w:t>
      </w:r>
    </w:p>
    <w:p w:rsidR="003F4338" w:rsidRPr="004D6C45" w:rsidRDefault="003F4338" w:rsidP="004D6C45">
      <w:pPr>
        <w:shd w:val="clear" w:color="auto" w:fill="FFFFFF"/>
        <w:overflowPunct/>
        <w:autoSpaceDE/>
        <w:autoSpaceDN/>
        <w:adjustRightInd/>
        <w:spacing w:line="26" w:lineRule="atLeast"/>
        <w:ind w:left="709" w:right="618"/>
        <w:jc w:val="both"/>
        <w:rPr>
          <w:rFonts w:ascii="Arial Narrow" w:hAnsi="Arial Narrow"/>
          <w:sz w:val="24"/>
          <w:szCs w:val="24"/>
        </w:rPr>
      </w:pPr>
      <w:r w:rsidRPr="004D6C45">
        <w:rPr>
          <w:rFonts w:ascii="Arial Narrow" w:hAnsi="Arial Narrow"/>
          <w:b/>
          <w:bCs/>
          <w:sz w:val="24"/>
          <w:szCs w:val="24"/>
          <w:bdr w:val="none" w:sz="0" w:space="0" w:color="auto" w:frame="1"/>
          <w:lang w:val="es-CO"/>
        </w:rPr>
        <w:t> </w:t>
      </w:r>
    </w:p>
    <w:p w:rsidR="003F4338" w:rsidRPr="004D6C45" w:rsidRDefault="003F4338" w:rsidP="004D6C45">
      <w:pPr>
        <w:shd w:val="clear" w:color="auto" w:fill="FFFFFF"/>
        <w:overflowPunct/>
        <w:autoSpaceDE/>
        <w:autoSpaceDN/>
        <w:adjustRightInd/>
        <w:spacing w:line="26" w:lineRule="atLeast"/>
        <w:ind w:left="709" w:right="618"/>
        <w:jc w:val="both"/>
        <w:rPr>
          <w:rFonts w:ascii="Arial Narrow" w:hAnsi="Arial Narrow"/>
          <w:sz w:val="24"/>
          <w:szCs w:val="24"/>
        </w:rPr>
      </w:pPr>
      <w:r w:rsidRPr="004D6C45">
        <w:rPr>
          <w:rFonts w:ascii="Arial Narrow" w:hAnsi="Arial Narrow"/>
          <w:sz w:val="24"/>
          <w:szCs w:val="24"/>
          <w:bdr w:val="none" w:sz="0" w:space="0" w:color="auto" w:frame="1"/>
        </w:rPr>
        <w:t xml:space="preserve"> </w:t>
      </w:r>
      <w:r w:rsidRPr="004D6C45">
        <w:rPr>
          <w:rFonts w:ascii="Arial Narrow" w:hAnsi="Arial Narrow"/>
          <w:sz w:val="24"/>
          <w:szCs w:val="24"/>
          <w:bdr w:val="none" w:sz="0" w:space="0" w:color="auto" w:frame="1"/>
        </w:rPr>
        <w:tab/>
      </w:r>
      <w:r w:rsidRPr="004D6C45">
        <w:rPr>
          <w:rFonts w:ascii="Arial Narrow" w:hAnsi="Arial Narrow"/>
          <w:sz w:val="24"/>
          <w:szCs w:val="24"/>
          <w:bdr w:val="none" w:sz="0" w:space="0" w:color="auto" w:frame="1"/>
        </w:rPr>
        <w:tab/>
      </w:r>
      <w:r w:rsidRPr="004D6C45">
        <w:rPr>
          <w:rFonts w:ascii="Arial Narrow" w:hAnsi="Arial Narrow"/>
          <w:sz w:val="24"/>
          <w:szCs w:val="24"/>
          <w:bdr w:val="none" w:sz="0" w:space="0" w:color="auto" w:frame="1"/>
        </w:rPr>
        <w:tab/>
        <w:t>De acuerdo con lo anterior, la decisión del juez en un proceso se torna arbitraria por falta de fundamento legal que la sostenga, y por lo tanto se configura un defecto procedimental absoluto cuando: i) se tramita un proceso de forma diferente a la establecida legalmente</w:t>
      </w:r>
      <w:bookmarkStart w:id="4" w:name="_ftnref50"/>
      <w:r w:rsidRPr="004D6C45">
        <w:rPr>
          <w:rFonts w:ascii="Arial Narrow" w:hAnsi="Arial Narrow"/>
          <w:sz w:val="24"/>
          <w:szCs w:val="24"/>
          <w:bdr w:val="none" w:sz="0" w:space="0" w:color="auto" w:frame="1"/>
        </w:rPr>
        <w:t>…</w:t>
      </w:r>
      <w:hyperlink r:id="rId10" w:anchor="_ftn50" w:history="1"/>
      <w:bookmarkEnd w:id="4"/>
      <w:r w:rsidRPr="004D6C45">
        <w:rPr>
          <w:rFonts w:ascii="Arial Narrow" w:hAnsi="Arial Narrow"/>
          <w:sz w:val="24"/>
          <w:szCs w:val="24"/>
          <w:bdr w:val="none" w:sz="0" w:space="0" w:color="auto" w:frame="1"/>
        </w:rPr>
        <w:t> o ii) se desconocen etapas del procedimiento que comprometen los derechos fundamentales de las partes como, por ejemplo, una notificación, un momento probatorio, o la posibilidad de que una decisión sea revisada en segunda instancia cuando era procedente la apelación…</w:t>
      </w:r>
    </w:p>
    <w:p w:rsidR="003F4338" w:rsidRPr="004D6C45" w:rsidRDefault="003F4338" w:rsidP="004D6C45">
      <w:pPr>
        <w:shd w:val="clear" w:color="auto" w:fill="FFFFFF"/>
        <w:overflowPunct/>
        <w:autoSpaceDE/>
        <w:autoSpaceDN/>
        <w:adjustRightInd/>
        <w:spacing w:line="26" w:lineRule="atLeast"/>
        <w:ind w:left="709" w:right="618"/>
        <w:jc w:val="both"/>
        <w:rPr>
          <w:rFonts w:ascii="Arial Narrow" w:hAnsi="Arial Narrow"/>
          <w:sz w:val="24"/>
          <w:szCs w:val="24"/>
        </w:rPr>
      </w:pPr>
      <w:r w:rsidRPr="004D6C45">
        <w:rPr>
          <w:rFonts w:ascii="Arial Narrow" w:hAnsi="Arial Narrow"/>
          <w:sz w:val="24"/>
          <w:szCs w:val="24"/>
          <w:bdr w:val="none" w:sz="0" w:space="0" w:color="auto" w:frame="1"/>
        </w:rPr>
        <w:t> </w:t>
      </w:r>
    </w:p>
    <w:p w:rsidR="003F4338" w:rsidRPr="004D6C45" w:rsidRDefault="003F4338" w:rsidP="004D6C45">
      <w:pPr>
        <w:shd w:val="clear" w:color="auto" w:fill="FFFFFF"/>
        <w:overflowPunct/>
        <w:autoSpaceDE/>
        <w:autoSpaceDN/>
        <w:adjustRightInd/>
        <w:spacing w:line="26" w:lineRule="atLeast"/>
        <w:ind w:left="709" w:right="618"/>
        <w:jc w:val="both"/>
        <w:rPr>
          <w:rFonts w:ascii="Arial Narrow" w:hAnsi="Arial Narrow"/>
          <w:sz w:val="24"/>
          <w:szCs w:val="24"/>
        </w:rPr>
      </w:pPr>
      <w:r w:rsidRPr="004D6C45">
        <w:rPr>
          <w:rFonts w:ascii="Arial Narrow" w:hAnsi="Arial Narrow"/>
          <w:sz w:val="24"/>
          <w:szCs w:val="24"/>
          <w:bdr w:val="none" w:sz="0" w:space="0" w:color="auto" w:frame="1"/>
        </w:rPr>
        <w:t xml:space="preserve">  </w:t>
      </w:r>
      <w:r w:rsidRPr="004D6C45">
        <w:rPr>
          <w:rFonts w:ascii="Arial Narrow" w:hAnsi="Arial Narrow"/>
          <w:sz w:val="24"/>
          <w:szCs w:val="24"/>
          <w:bdr w:val="none" w:sz="0" w:space="0" w:color="auto" w:frame="1"/>
        </w:rPr>
        <w:tab/>
      </w:r>
      <w:r w:rsidRPr="004D6C45">
        <w:rPr>
          <w:rFonts w:ascii="Arial Narrow" w:hAnsi="Arial Narrow"/>
          <w:sz w:val="24"/>
          <w:szCs w:val="24"/>
          <w:bdr w:val="none" w:sz="0" w:space="0" w:color="auto" w:frame="1"/>
        </w:rPr>
        <w:tab/>
      </w:r>
      <w:r w:rsidRPr="004D6C45">
        <w:rPr>
          <w:rFonts w:ascii="Arial Narrow" w:hAnsi="Arial Narrow"/>
          <w:sz w:val="24"/>
          <w:szCs w:val="24"/>
          <w:bdr w:val="none" w:sz="0" w:space="0" w:color="auto" w:frame="1"/>
        </w:rPr>
        <w:tab/>
        <w:t>35. Sobre el segundo tipo de defecto procedimental, el exceso ritual manifiesto</w:t>
      </w:r>
      <w:bookmarkStart w:id="5" w:name="_ftnref52"/>
      <w:r w:rsidRPr="004D6C45">
        <w:rPr>
          <w:rFonts w:ascii="Arial Narrow" w:hAnsi="Arial Narrow"/>
          <w:sz w:val="24"/>
          <w:szCs w:val="24"/>
          <w:bdr w:val="none" w:sz="0" w:space="0" w:color="auto" w:frame="1"/>
        </w:rPr>
        <w:t>…</w:t>
      </w:r>
      <w:hyperlink r:id="rId11" w:anchor="_ftn52" w:history="1"/>
      <w:bookmarkEnd w:id="5"/>
      <w:r w:rsidRPr="004D6C45">
        <w:rPr>
          <w:rFonts w:ascii="Arial Narrow" w:hAnsi="Arial Narrow"/>
          <w:sz w:val="24"/>
          <w:szCs w:val="24"/>
          <w:bdr w:val="none" w:sz="0" w:space="0" w:color="auto" w:frame="1"/>
        </w:rPr>
        <w:t>, la Corte Constitucional ha sostenido que se configura “</w:t>
      </w:r>
      <w:r w:rsidRPr="004D6C45">
        <w:rPr>
          <w:rFonts w:ascii="Arial Narrow" w:hAnsi="Arial Narrow"/>
          <w:iCs/>
          <w:sz w:val="24"/>
          <w:szCs w:val="24"/>
          <w:bdr w:val="none" w:sz="0" w:space="0" w:color="auto" w:frame="1"/>
          <w:lang w:val="es-ES_tradnl"/>
        </w:rPr>
        <w:t>en eventos en los cuales el juzgador incurre en una vulneración del mandato de dar prevalencia al derecho sustancial, o del derecho al acceso a la administración de justicia por (i) dejar de inaplicar disposiciones procesales que se oponen a la vigencia de derechos constitucionales en un caso concreto; (ii) exigir el cumplimiento de requisitos formales de forma irreflexiva, aunque en determinadas circunstancias puedan constituir cargas imposibles de cumplir para las partes, siempre que esa situación se encuentre comprobada; o (iii), incurrir en un rigorismo procedimental en la apreciación de las pruebas</w:t>
      </w:r>
    </w:p>
    <w:p w:rsidR="003F4338" w:rsidRPr="004D6C45" w:rsidRDefault="003F4338" w:rsidP="004D6C45">
      <w:pPr>
        <w:shd w:val="clear" w:color="auto" w:fill="FFFFFF"/>
        <w:overflowPunct/>
        <w:autoSpaceDE/>
        <w:autoSpaceDN/>
        <w:adjustRightInd/>
        <w:spacing w:line="26" w:lineRule="atLeast"/>
        <w:ind w:left="709" w:right="618"/>
        <w:jc w:val="both"/>
        <w:rPr>
          <w:rFonts w:ascii="Arial Narrow" w:hAnsi="Arial Narrow"/>
          <w:sz w:val="24"/>
          <w:szCs w:val="24"/>
        </w:rPr>
      </w:pPr>
      <w:r w:rsidRPr="004D6C45">
        <w:rPr>
          <w:rFonts w:ascii="Arial Narrow" w:hAnsi="Arial Narrow"/>
          <w:sz w:val="24"/>
          <w:szCs w:val="24"/>
          <w:bdr w:val="none" w:sz="0" w:space="0" w:color="auto" w:frame="1"/>
        </w:rPr>
        <w:t> </w:t>
      </w:r>
    </w:p>
    <w:p w:rsidR="003F4338" w:rsidRPr="004D6C45" w:rsidRDefault="003F4338" w:rsidP="004D6C45">
      <w:pPr>
        <w:shd w:val="clear" w:color="auto" w:fill="FFFFFF"/>
        <w:overflowPunct/>
        <w:autoSpaceDE/>
        <w:autoSpaceDN/>
        <w:adjustRightInd/>
        <w:spacing w:line="26" w:lineRule="atLeast"/>
        <w:ind w:left="709" w:right="618"/>
        <w:jc w:val="both"/>
        <w:rPr>
          <w:sz w:val="24"/>
          <w:szCs w:val="24"/>
        </w:rPr>
      </w:pPr>
      <w:r w:rsidRPr="004D6C45">
        <w:rPr>
          <w:rFonts w:ascii="Arial Narrow" w:hAnsi="Arial Narrow"/>
          <w:sz w:val="24"/>
          <w:szCs w:val="24"/>
          <w:bdr w:val="none" w:sz="0" w:space="0" w:color="auto" w:frame="1"/>
        </w:rPr>
        <w:t xml:space="preserve">  </w:t>
      </w:r>
      <w:r w:rsidRPr="004D6C45">
        <w:rPr>
          <w:rFonts w:ascii="Arial Narrow" w:hAnsi="Arial Narrow"/>
          <w:sz w:val="24"/>
          <w:szCs w:val="24"/>
          <w:bdr w:val="none" w:sz="0" w:space="0" w:color="auto" w:frame="1"/>
        </w:rPr>
        <w:tab/>
      </w:r>
      <w:r w:rsidRPr="004D6C45">
        <w:rPr>
          <w:rFonts w:ascii="Arial Narrow" w:hAnsi="Arial Narrow"/>
          <w:sz w:val="24"/>
          <w:szCs w:val="24"/>
          <w:bdr w:val="none" w:sz="0" w:space="0" w:color="auto" w:frame="1"/>
        </w:rPr>
        <w:tab/>
      </w:r>
      <w:r w:rsidRPr="004D6C45">
        <w:rPr>
          <w:rFonts w:ascii="Arial Narrow" w:hAnsi="Arial Narrow"/>
          <w:sz w:val="24"/>
          <w:szCs w:val="24"/>
          <w:bdr w:val="none" w:sz="0" w:space="0" w:color="auto" w:frame="1"/>
        </w:rPr>
        <w:tab/>
        <w:t>36. Adicionalmente, la jurisprudencia ha establecido que tanto para los casos del defecto procedimental absoluto como del exceso ritual manifiesto, es necesario que: i) el desconocimiento del procedimiento tenga un efecto definitivo para la vulneración de los derechos fundamentales</w:t>
      </w:r>
      <w:bookmarkStart w:id="6" w:name="_ftnref54"/>
      <w:r w:rsidRPr="004D6C45">
        <w:rPr>
          <w:rFonts w:ascii="Arial Narrow" w:hAnsi="Arial Narrow"/>
          <w:sz w:val="24"/>
          <w:szCs w:val="24"/>
          <w:bdr w:val="none" w:sz="0" w:space="0" w:color="auto" w:frame="1"/>
        </w:rPr>
        <w:t>…</w:t>
      </w:r>
      <w:hyperlink r:id="rId12" w:anchor="_ftn54" w:history="1"/>
      <w:bookmarkEnd w:id="6"/>
      <w:r w:rsidRPr="004D6C45">
        <w:rPr>
          <w:rFonts w:ascii="Arial Narrow" w:hAnsi="Arial Narrow"/>
          <w:sz w:val="24"/>
          <w:szCs w:val="24"/>
          <w:bdr w:val="none" w:sz="0" w:space="0" w:color="auto" w:frame="1"/>
        </w:rPr>
        <w:t>; ii) la desviación o irregularidad no pueda subsanarse por otra vía; y iii) de ser posible</w:t>
      </w:r>
      <w:r w:rsidR="00B8500B" w:rsidRPr="004D6C45">
        <w:rPr>
          <w:rFonts w:ascii="Arial Narrow" w:hAnsi="Arial Narrow"/>
          <w:sz w:val="24"/>
          <w:szCs w:val="24"/>
          <w:bdr w:val="none" w:sz="0" w:space="0" w:color="auto" w:frame="1"/>
        </w:rPr>
        <w:t>, haya sido alegada en el proceso</w:t>
      </w:r>
      <w:r w:rsidRPr="004D6C45">
        <w:rPr>
          <w:rFonts w:ascii="Arial Narrow" w:hAnsi="Arial Narrow"/>
          <w:sz w:val="24"/>
          <w:szCs w:val="24"/>
          <w:bdr w:val="none" w:sz="0" w:space="0" w:color="auto" w:frame="1"/>
        </w:rPr>
        <w:t>”</w:t>
      </w:r>
      <w:r w:rsidR="00B8500B" w:rsidRPr="004D6C45">
        <w:rPr>
          <w:rFonts w:ascii="Arial Narrow" w:hAnsi="Arial Narrow"/>
          <w:sz w:val="24"/>
          <w:szCs w:val="24"/>
          <w:bdr w:val="none" w:sz="0" w:space="0" w:color="auto" w:frame="1"/>
        </w:rPr>
        <w:t>.</w:t>
      </w:r>
    </w:p>
    <w:p w:rsidR="001A4B2C" w:rsidRPr="004D6C45" w:rsidRDefault="00B8500B" w:rsidP="004D6C45">
      <w:pPr>
        <w:pStyle w:val="Textoindependiente210"/>
        <w:spacing w:line="26" w:lineRule="atLeast"/>
        <w:ind w:firstLine="0"/>
        <w:rPr>
          <w:rFonts w:ascii="Gadugi" w:hAnsi="Gadugi"/>
          <w:lang w:val="es-419"/>
        </w:rPr>
      </w:pPr>
      <w:r w:rsidRPr="004D6C45">
        <w:rPr>
          <w:rFonts w:ascii="Gadugi" w:hAnsi="Gadugi"/>
          <w:lang w:val="es-419"/>
        </w:rPr>
        <w:t xml:space="preserve">   </w:t>
      </w:r>
      <w:r w:rsidRPr="004D6C45">
        <w:rPr>
          <w:rFonts w:ascii="Gadugi" w:hAnsi="Gadugi"/>
          <w:lang w:val="es-419"/>
        </w:rPr>
        <w:tab/>
      </w:r>
      <w:r w:rsidRPr="004D6C45">
        <w:rPr>
          <w:rFonts w:ascii="Gadugi" w:hAnsi="Gadugi"/>
          <w:lang w:val="es-419"/>
        </w:rPr>
        <w:tab/>
      </w:r>
      <w:r w:rsidRPr="004D6C45">
        <w:rPr>
          <w:rFonts w:ascii="Gadugi" w:hAnsi="Gadugi"/>
          <w:lang w:val="es-419"/>
        </w:rPr>
        <w:tab/>
      </w:r>
    </w:p>
    <w:p w:rsidR="001A4B2C" w:rsidRPr="004D6C45" w:rsidRDefault="001A4B2C" w:rsidP="004D6C45">
      <w:pPr>
        <w:pStyle w:val="Textoindependiente210"/>
        <w:spacing w:line="26" w:lineRule="atLeast"/>
        <w:ind w:firstLine="0"/>
        <w:rPr>
          <w:rFonts w:ascii="Gadugi" w:hAnsi="Gadugi"/>
          <w:sz w:val="25"/>
          <w:szCs w:val="25"/>
          <w:lang w:val="es-CO"/>
        </w:rPr>
      </w:pPr>
      <w:r w:rsidRPr="004D6C45">
        <w:rPr>
          <w:rFonts w:ascii="Gadugi" w:hAnsi="Gadugi"/>
          <w:sz w:val="25"/>
          <w:szCs w:val="25"/>
          <w:lang w:val="es-419"/>
        </w:rPr>
        <w:t xml:space="preserve">   </w:t>
      </w:r>
      <w:r w:rsidRPr="004D6C45">
        <w:rPr>
          <w:rFonts w:ascii="Gadugi" w:hAnsi="Gadugi"/>
          <w:sz w:val="25"/>
          <w:szCs w:val="25"/>
          <w:lang w:val="es-419"/>
        </w:rPr>
        <w:tab/>
      </w:r>
      <w:r w:rsidRPr="004D6C45">
        <w:rPr>
          <w:rFonts w:ascii="Gadugi" w:hAnsi="Gadugi"/>
          <w:sz w:val="25"/>
          <w:szCs w:val="25"/>
          <w:lang w:val="es-419"/>
        </w:rPr>
        <w:tab/>
      </w:r>
      <w:r w:rsidRPr="004D6C45">
        <w:rPr>
          <w:rFonts w:ascii="Gadugi" w:hAnsi="Gadugi"/>
          <w:sz w:val="25"/>
          <w:szCs w:val="25"/>
          <w:lang w:val="es-419"/>
        </w:rPr>
        <w:tab/>
      </w:r>
      <w:r w:rsidRPr="004D6C45">
        <w:rPr>
          <w:rFonts w:ascii="Gadugi" w:hAnsi="Gadugi"/>
          <w:sz w:val="25"/>
          <w:szCs w:val="25"/>
          <w:lang w:val="es-419"/>
        </w:rPr>
        <w:tab/>
      </w:r>
      <w:r w:rsidR="00590E1C" w:rsidRPr="004D6C45">
        <w:rPr>
          <w:rFonts w:ascii="Gadugi" w:hAnsi="Gadugi"/>
          <w:lang w:val="es-CO"/>
        </w:rPr>
        <w:t>E</w:t>
      </w:r>
      <w:r w:rsidR="00D33E68">
        <w:rPr>
          <w:rFonts w:ascii="Gadugi" w:hAnsi="Gadugi"/>
          <w:lang w:val="es-419"/>
        </w:rPr>
        <w:t xml:space="preserve">n el caso de ahora, </w:t>
      </w:r>
      <w:r w:rsidR="00590E1C" w:rsidRPr="004D6C45">
        <w:rPr>
          <w:rFonts w:ascii="Gadugi" w:hAnsi="Gadugi"/>
          <w:lang w:val="es-CO"/>
        </w:rPr>
        <w:t>n</w:t>
      </w:r>
      <w:r w:rsidR="00137DEB">
        <w:rPr>
          <w:rFonts w:ascii="Gadugi" w:hAnsi="Gadugi"/>
          <w:lang w:val="es-419"/>
        </w:rPr>
        <w:t>inguno de ellos se avizora. En</w:t>
      </w:r>
      <w:r w:rsidR="00590E1C" w:rsidRPr="004D6C45">
        <w:rPr>
          <w:rFonts w:ascii="Gadugi" w:hAnsi="Gadugi"/>
          <w:lang w:val="es-CO"/>
        </w:rPr>
        <w:t xml:space="preserve"> efecto, son </w:t>
      </w:r>
      <w:r w:rsidRPr="004D6C45">
        <w:rPr>
          <w:rFonts w:ascii="Gadugi" w:hAnsi="Gadugi"/>
          <w:lang w:val="es-CO"/>
        </w:rPr>
        <w:t>diáfano</w:t>
      </w:r>
      <w:r w:rsidR="00590E1C" w:rsidRPr="004D6C45">
        <w:rPr>
          <w:rFonts w:ascii="Gadugi" w:hAnsi="Gadugi"/>
          <w:lang w:val="es-CO"/>
        </w:rPr>
        <w:t>s los incisos 2º a 4º</w:t>
      </w:r>
      <w:r w:rsidR="0069717B">
        <w:rPr>
          <w:rFonts w:ascii="Gadugi" w:hAnsi="Gadugi"/>
          <w:lang w:val="es-419"/>
        </w:rPr>
        <w:t xml:space="preserve"> del </w:t>
      </w:r>
      <w:r w:rsidR="00590E1C" w:rsidRPr="004D6C45">
        <w:rPr>
          <w:rFonts w:ascii="Gadugi" w:hAnsi="Gadugi"/>
          <w:lang w:val="es-CO"/>
        </w:rPr>
        <w:t xml:space="preserve">numeral 3º del artículo 322 del CGP, al consagrar </w:t>
      </w:r>
      <w:r w:rsidR="00137DEB">
        <w:rPr>
          <w:rFonts w:ascii="Gadugi" w:hAnsi="Gadugi"/>
          <w:lang w:val="es-419"/>
        </w:rPr>
        <w:t xml:space="preserve">las formalidades </w:t>
      </w:r>
      <w:r w:rsidR="00590E1C" w:rsidRPr="004D6C45">
        <w:rPr>
          <w:rFonts w:ascii="Gadugi" w:hAnsi="Gadugi"/>
          <w:lang w:val="es-CO"/>
        </w:rPr>
        <w:t>para dar vía libre al recurso de apelaci</w:t>
      </w:r>
      <w:r w:rsidR="006F36DF" w:rsidRPr="004D6C45">
        <w:rPr>
          <w:rFonts w:ascii="Gadugi" w:hAnsi="Gadugi"/>
          <w:lang w:val="es-CO"/>
        </w:rPr>
        <w:t>ón de un fallo</w:t>
      </w:r>
      <w:r w:rsidR="00590E1C" w:rsidRPr="004D6C45">
        <w:rPr>
          <w:rFonts w:ascii="Gadugi" w:hAnsi="Gadugi"/>
          <w:lang w:val="es-CO"/>
        </w:rPr>
        <w:t xml:space="preserve">: </w:t>
      </w:r>
    </w:p>
    <w:p w:rsidR="00590E1C" w:rsidRPr="004D6C45" w:rsidRDefault="00D33E68" w:rsidP="00D33E68">
      <w:pPr>
        <w:pStyle w:val="NormalWeb"/>
        <w:shd w:val="clear" w:color="auto" w:fill="FFFFFF"/>
        <w:tabs>
          <w:tab w:val="left" w:pos="2835"/>
        </w:tabs>
        <w:spacing w:line="26" w:lineRule="atLeast"/>
        <w:ind w:left="709" w:right="476"/>
        <w:jc w:val="both"/>
        <w:rPr>
          <w:rFonts w:ascii="Arial Narrow" w:hAnsi="Arial Narrow" w:cs="Arial"/>
          <w:i/>
          <w:sz w:val="22"/>
          <w:szCs w:val="22"/>
          <w:u w:val="single"/>
          <w:lang w:val="es-MX" w:eastAsia="es-MX"/>
        </w:rPr>
      </w:pPr>
      <w:r>
        <w:rPr>
          <w:rFonts w:ascii="Arial" w:hAnsi="Arial" w:cs="Arial"/>
          <w:sz w:val="27"/>
          <w:szCs w:val="27"/>
        </w:rPr>
        <w:t xml:space="preserve">  </w:t>
      </w:r>
      <w:r>
        <w:rPr>
          <w:rFonts w:ascii="Arial" w:hAnsi="Arial" w:cs="Arial"/>
          <w:sz w:val="27"/>
          <w:szCs w:val="27"/>
        </w:rPr>
        <w:tab/>
      </w:r>
      <w:r>
        <w:rPr>
          <w:rFonts w:ascii="Arial" w:hAnsi="Arial" w:cs="Arial"/>
          <w:sz w:val="27"/>
          <w:szCs w:val="27"/>
        </w:rPr>
        <w:tab/>
      </w:r>
      <w:r w:rsidR="00590E1C" w:rsidRPr="004D6C45">
        <w:rPr>
          <w:rFonts w:ascii="Arial Narrow" w:hAnsi="Arial Narrow" w:cs="Arial"/>
          <w:i/>
          <w:sz w:val="22"/>
          <w:szCs w:val="22"/>
        </w:rPr>
        <w:t>“</w:t>
      </w:r>
      <w:r w:rsidR="00590E1C" w:rsidRPr="004D6C45">
        <w:rPr>
          <w:rFonts w:ascii="Arial Narrow" w:hAnsi="Arial Narrow" w:cs="Arial"/>
          <w:b/>
          <w:i/>
          <w:sz w:val="22"/>
          <w:szCs w:val="22"/>
        </w:rPr>
        <w:t>Cuando se apele una sentencia</w:t>
      </w:r>
      <w:r w:rsidR="00590E1C" w:rsidRPr="004D6C45">
        <w:rPr>
          <w:rFonts w:ascii="Arial Narrow" w:hAnsi="Arial Narrow" w:cs="Arial"/>
          <w:i/>
          <w:sz w:val="22"/>
          <w:szCs w:val="22"/>
        </w:rPr>
        <w:t xml:space="preserve">, el apelante, al momento de interponer el recurso en la audiencia, si hubiere sido proferida en ella, o dentro de los tres (3) días siguientes a su finalización o a la notificación de la que hubiere sido dictada por fuera de audiencia, </w:t>
      </w:r>
      <w:r w:rsidR="00590E1C" w:rsidRPr="00137DEB">
        <w:rPr>
          <w:rFonts w:ascii="Arial Narrow" w:hAnsi="Arial Narrow" w:cs="Arial"/>
          <w:b/>
          <w:i/>
          <w:sz w:val="22"/>
          <w:szCs w:val="22"/>
          <w:u w:val="single"/>
        </w:rPr>
        <w:t>deberá precisar, de manera breve, los reparos concretos que le hace a la decisión,</w:t>
      </w:r>
      <w:r w:rsidR="00590E1C" w:rsidRPr="00137DEB">
        <w:rPr>
          <w:rFonts w:ascii="Arial Narrow" w:hAnsi="Arial Narrow" w:cs="Arial"/>
          <w:i/>
          <w:sz w:val="22"/>
          <w:szCs w:val="22"/>
          <w:u w:val="single"/>
        </w:rPr>
        <w:t xml:space="preserve"> sobr</w:t>
      </w:r>
      <w:r w:rsidR="00590E1C" w:rsidRPr="004D6C45">
        <w:rPr>
          <w:rFonts w:ascii="Arial Narrow" w:hAnsi="Arial Narrow" w:cs="Arial"/>
          <w:i/>
          <w:sz w:val="22"/>
          <w:szCs w:val="22"/>
          <w:u w:val="single"/>
        </w:rPr>
        <w:t>e los cuales versará la sustentación que hará ante el superior.</w:t>
      </w:r>
    </w:p>
    <w:p w:rsidR="00590E1C" w:rsidRPr="004D6C45" w:rsidRDefault="00590E1C" w:rsidP="00D33E68">
      <w:pPr>
        <w:pStyle w:val="NormalWeb"/>
        <w:shd w:val="clear" w:color="auto" w:fill="FFFFFF"/>
        <w:tabs>
          <w:tab w:val="left" w:pos="2835"/>
        </w:tabs>
        <w:spacing w:line="26" w:lineRule="atLeast"/>
        <w:ind w:left="709" w:right="476"/>
        <w:rPr>
          <w:rFonts w:ascii="Arial Narrow" w:hAnsi="Arial Narrow" w:cs="Arial"/>
          <w:i/>
          <w:sz w:val="22"/>
          <w:szCs w:val="22"/>
        </w:rPr>
      </w:pPr>
      <w:r w:rsidRPr="004D6C45">
        <w:rPr>
          <w:rFonts w:ascii="Arial Narrow" w:hAnsi="Arial Narrow" w:cs="Arial"/>
          <w:i/>
          <w:sz w:val="22"/>
          <w:szCs w:val="22"/>
        </w:rPr>
        <w:t xml:space="preserve">  </w:t>
      </w:r>
      <w:r w:rsidRPr="004D6C45">
        <w:rPr>
          <w:rFonts w:ascii="Arial Narrow" w:hAnsi="Arial Narrow" w:cs="Arial"/>
          <w:i/>
          <w:sz w:val="22"/>
          <w:szCs w:val="22"/>
        </w:rPr>
        <w:tab/>
      </w:r>
      <w:r w:rsidRPr="004D6C45">
        <w:rPr>
          <w:rFonts w:ascii="Arial Narrow" w:hAnsi="Arial Narrow" w:cs="Arial"/>
          <w:i/>
          <w:sz w:val="22"/>
          <w:szCs w:val="22"/>
        </w:rPr>
        <w:tab/>
        <w:t>Para la sustentación del recurso será suficiente que el recurrente exprese las razones de su inconformidad con la providencia apelada.</w:t>
      </w:r>
    </w:p>
    <w:p w:rsidR="00590E1C" w:rsidRPr="004D6C45" w:rsidRDefault="00590E1C" w:rsidP="00D33E68">
      <w:pPr>
        <w:pStyle w:val="NormalWeb"/>
        <w:shd w:val="clear" w:color="auto" w:fill="FFFFFF"/>
        <w:tabs>
          <w:tab w:val="left" w:pos="2835"/>
        </w:tabs>
        <w:spacing w:line="26" w:lineRule="atLeast"/>
        <w:ind w:left="709" w:right="476"/>
        <w:jc w:val="both"/>
        <w:rPr>
          <w:rFonts w:ascii="Arial Narrow" w:hAnsi="Arial Narrow" w:cs="Arial"/>
          <w:i/>
          <w:sz w:val="22"/>
          <w:szCs w:val="22"/>
        </w:rPr>
      </w:pPr>
      <w:r w:rsidRPr="004D6C45">
        <w:rPr>
          <w:rFonts w:ascii="Arial Narrow" w:hAnsi="Arial Narrow" w:cs="Arial"/>
          <w:i/>
          <w:sz w:val="22"/>
          <w:szCs w:val="22"/>
          <w:u w:val="single"/>
        </w:rPr>
        <w:t xml:space="preserve">  </w:t>
      </w:r>
      <w:r w:rsidRPr="004D6C45">
        <w:rPr>
          <w:rFonts w:ascii="Arial Narrow" w:hAnsi="Arial Narrow" w:cs="Arial"/>
          <w:i/>
          <w:sz w:val="22"/>
          <w:szCs w:val="22"/>
          <w:u w:val="single"/>
        </w:rPr>
        <w:tab/>
      </w:r>
      <w:r w:rsidRPr="004D6C45">
        <w:rPr>
          <w:rFonts w:ascii="Arial Narrow" w:hAnsi="Arial Narrow" w:cs="Arial"/>
          <w:i/>
          <w:sz w:val="22"/>
          <w:szCs w:val="22"/>
          <w:u w:val="single"/>
        </w:rPr>
        <w:tab/>
        <w:t xml:space="preserve">Si el apelante de un auto no sustenta el recurso en debida forma y de manera oportuna, el juez de primera instancia lo </w:t>
      </w:r>
      <w:r w:rsidRPr="004D6C45">
        <w:rPr>
          <w:rFonts w:ascii="Arial Narrow" w:hAnsi="Arial Narrow" w:cs="Arial"/>
          <w:b/>
          <w:i/>
          <w:sz w:val="22"/>
          <w:szCs w:val="22"/>
          <w:u w:val="single"/>
        </w:rPr>
        <w:t>declarará desierto</w:t>
      </w:r>
      <w:r w:rsidRPr="004D6C45">
        <w:rPr>
          <w:rFonts w:ascii="Arial Narrow" w:hAnsi="Arial Narrow" w:cs="Arial"/>
          <w:i/>
          <w:sz w:val="22"/>
          <w:szCs w:val="22"/>
        </w:rPr>
        <w:t xml:space="preserve">. </w:t>
      </w:r>
      <w:r w:rsidRPr="004D6C45">
        <w:rPr>
          <w:rFonts w:ascii="Arial Narrow" w:hAnsi="Arial Narrow" w:cs="Arial"/>
          <w:b/>
          <w:i/>
          <w:sz w:val="22"/>
          <w:szCs w:val="22"/>
          <w:u w:val="single"/>
        </w:rPr>
        <w:t xml:space="preserve">La misma decisión </w:t>
      </w:r>
      <w:r w:rsidRPr="004D6C45">
        <w:rPr>
          <w:rFonts w:ascii="Arial Narrow" w:hAnsi="Arial Narrow" w:cs="Arial"/>
          <w:b/>
          <w:i/>
          <w:sz w:val="22"/>
          <w:szCs w:val="22"/>
          <w:u w:val="single"/>
        </w:rPr>
        <w:lastRenderedPageBreak/>
        <w:t>adoptará cuando no se precisen los reparos a la sentencia apelada, en la forma prevista en este numeral</w:t>
      </w:r>
      <w:r w:rsidRPr="004D6C45">
        <w:rPr>
          <w:rFonts w:ascii="Arial Narrow" w:hAnsi="Arial Narrow" w:cs="Arial"/>
          <w:i/>
          <w:sz w:val="22"/>
          <w:szCs w:val="22"/>
        </w:rPr>
        <w:t>. El juez de segunda instancia declarara desierto el recurso de apelación contra una sentencia</w:t>
      </w:r>
      <w:r w:rsidR="006F36DF" w:rsidRPr="004D6C45">
        <w:rPr>
          <w:rFonts w:ascii="Arial Narrow" w:hAnsi="Arial Narrow" w:cs="Arial"/>
          <w:i/>
          <w:sz w:val="22"/>
          <w:szCs w:val="22"/>
        </w:rPr>
        <w:t xml:space="preserve"> que no hubiere sido sustentado </w:t>
      </w:r>
      <w:r w:rsidR="006F36DF" w:rsidRPr="00137DEB">
        <w:rPr>
          <w:rFonts w:ascii="Arial Narrow" w:hAnsi="Arial Narrow" w:cs="Arial"/>
          <w:sz w:val="22"/>
          <w:szCs w:val="22"/>
        </w:rPr>
        <w:t>(negrillas y subrayas propias).</w:t>
      </w:r>
    </w:p>
    <w:p w:rsidR="00F05A8F" w:rsidRPr="004D6C45" w:rsidRDefault="001A4B2C" w:rsidP="004D6C45">
      <w:pPr>
        <w:pStyle w:val="Textoindependiente210"/>
        <w:spacing w:line="26" w:lineRule="atLeast"/>
        <w:ind w:firstLine="0"/>
        <w:rPr>
          <w:rFonts w:ascii="Gadugi" w:hAnsi="Gadugi"/>
        </w:rPr>
      </w:pPr>
      <w:r w:rsidRPr="004D6C45">
        <w:rPr>
          <w:rFonts w:ascii="Gadugi" w:hAnsi="Gadugi"/>
          <w:lang w:val="es-419"/>
        </w:rPr>
        <w:t xml:space="preserve">   </w:t>
      </w:r>
      <w:r w:rsidRPr="004D6C45">
        <w:rPr>
          <w:rFonts w:ascii="Gadugi" w:hAnsi="Gadugi"/>
          <w:lang w:val="es-419"/>
        </w:rPr>
        <w:tab/>
      </w:r>
      <w:r w:rsidRPr="004D6C45">
        <w:rPr>
          <w:rFonts w:ascii="Gadugi" w:hAnsi="Gadugi"/>
          <w:lang w:val="es-419"/>
        </w:rPr>
        <w:tab/>
      </w:r>
      <w:r w:rsidRPr="004D6C45">
        <w:rPr>
          <w:rFonts w:ascii="Gadugi" w:hAnsi="Gadugi"/>
          <w:lang w:val="es-419"/>
        </w:rPr>
        <w:tab/>
      </w:r>
      <w:r w:rsidRPr="004D6C45">
        <w:rPr>
          <w:rFonts w:ascii="Gadugi" w:hAnsi="Gadugi"/>
          <w:lang w:val="es-419"/>
        </w:rPr>
        <w:tab/>
      </w:r>
      <w:r w:rsidR="00137DEB">
        <w:rPr>
          <w:rFonts w:ascii="Gadugi" w:hAnsi="Gadugi"/>
          <w:lang w:val="es-419"/>
        </w:rPr>
        <w:t xml:space="preserve">Se observa que </w:t>
      </w:r>
      <w:r w:rsidR="006F36DF" w:rsidRPr="004D6C45">
        <w:rPr>
          <w:rFonts w:ascii="Gadugi" w:hAnsi="Gadugi"/>
          <w:lang w:val="es-CO"/>
        </w:rPr>
        <w:t>el interesado</w:t>
      </w:r>
      <w:r w:rsidR="00137DEB">
        <w:rPr>
          <w:rFonts w:ascii="Gadugi" w:hAnsi="Gadugi"/>
          <w:lang w:val="es-419"/>
        </w:rPr>
        <w:t>,</w:t>
      </w:r>
      <w:r w:rsidR="006F36DF" w:rsidRPr="004D6C45">
        <w:rPr>
          <w:rFonts w:ascii="Gadugi" w:hAnsi="Gadugi"/>
          <w:lang w:val="es-CO"/>
        </w:rPr>
        <w:t xml:space="preserve"> al momento de interponer la alzada, guardó total hermetismo en torno a la exigencia relacionada con los reparos concretos frente al fallo que le fue desfavorable, al indicar de manera llana y simple que estaba completamente </w:t>
      </w:r>
      <w:r w:rsidR="00137DEB">
        <w:rPr>
          <w:rFonts w:ascii="Gadugi" w:hAnsi="Gadugi"/>
          <w:lang w:val="es-419"/>
        </w:rPr>
        <w:t>en desa</w:t>
      </w:r>
      <w:r w:rsidR="006F36DF" w:rsidRPr="004D6C45">
        <w:rPr>
          <w:rFonts w:ascii="Gadugi" w:hAnsi="Gadugi"/>
          <w:lang w:val="es-CO"/>
        </w:rPr>
        <w:t xml:space="preserve">cuerdo con ella, con lo que dejó en el aire </w:t>
      </w:r>
      <w:r w:rsidR="00137DEB">
        <w:rPr>
          <w:rFonts w:ascii="Gadugi" w:hAnsi="Gadugi"/>
          <w:lang w:val="es-419"/>
        </w:rPr>
        <w:t>las mínimas razones de su disentimiento, que es la primera exigencia que fija hoy la norma en torno al recurso de apelación. Por</w:t>
      </w:r>
      <w:r w:rsidR="00F05A8F" w:rsidRPr="004D6C45">
        <w:rPr>
          <w:rFonts w:ascii="Gadugi" w:hAnsi="Gadugi"/>
          <w:lang w:val="es-CO"/>
        </w:rPr>
        <w:t xml:space="preserve"> ejemplo, </w:t>
      </w:r>
      <w:r w:rsidR="006F36DF" w:rsidRPr="004D6C45">
        <w:rPr>
          <w:rFonts w:ascii="Gadugi" w:hAnsi="Gadugi"/>
          <w:lang w:val="es-CO"/>
        </w:rPr>
        <w:t>sobre qué pilar se apoyó el Juez para llegar a la resolución que se reprocha y por qu</w:t>
      </w:r>
      <w:r w:rsidR="00F05A8F" w:rsidRPr="004D6C45">
        <w:rPr>
          <w:rFonts w:ascii="Gadugi" w:hAnsi="Gadugi"/>
          <w:lang w:val="es-CO"/>
        </w:rPr>
        <w:t>é, entonces, no le asistía la razón; qué pruebas valoró de manera indebida y de cuáles se apartó que le fueran favorables</w:t>
      </w:r>
      <w:r w:rsidR="0069717B">
        <w:rPr>
          <w:rFonts w:ascii="Gadugi" w:hAnsi="Gadugi"/>
          <w:lang w:val="es-419"/>
        </w:rPr>
        <w:t>;</w:t>
      </w:r>
      <w:r w:rsidR="00F05A8F" w:rsidRPr="004D6C45">
        <w:rPr>
          <w:rFonts w:ascii="Gadugi" w:hAnsi="Gadugi"/>
          <w:lang w:val="es-CO"/>
        </w:rPr>
        <w:t xml:space="preserve"> es decir, </w:t>
      </w:r>
      <w:r w:rsidR="0069717B">
        <w:rPr>
          <w:rFonts w:ascii="Gadugi" w:hAnsi="Gadugi"/>
          <w:lang w:val="es-419"/>
        </w:rPr>
        <w:t>inc</w:t>
      </w:r>
      <w:r w:rsidR="00F05A8F" w:rsidRPr="004D6C45">
        <w:rPr>
          <w:rFonts w:ascii="Gadugi" w:hAnsi="Gadugi"/>
          <w:lang w:val="es-CO"/>
        </w:rPr>
        <w:t>umplió la mentada obligación de informar los puntos</w:t>
      </w:r>
      <w:r w:rsidR="006F36DF" w:rsidRPr="004D6C45">
        <w:rPr>
          <w:rFonts w:ascii="Gadugi" w:hAnsi="Gadugi"/>
          <w:i/>
        </w:rPr>
        <w:t xml:space="preserve"> </w:t>
      </w:r>
      <w:r w:rsidR="00F05A8F" w:rsidRPr="004D6C45">
        <w:rPr>
          <w:rFonts w:ascii="Gadugi" w:hAnsi="Gadugi"/>
        </w:rPr>
        <w:t>de quiebre sobre los que versaría su sustentación en segundo grado</w:t>
      </w:r>
      <w:r w:rsidR="0069717B">
        <w:rPr>
          <w:rFonts w:ascii="Gadugi" w:hAnsi="Gadugi"/>
          <w:lang w:val="es-419"/>
        </w:rPr>
        <w:t>,</w:t>
      </w:r>
      <w:r w:rsidR="00F05A8F" w:rsidRPr="004D6C45">
        <w:rPr>
          <w:rFonts w:ascii="Gadugi" w:hAnsi="Gadugi"/>
        </w:rPr>
        <w:t xml:space="preserve"> como de manera contundente obliga hoy el nuevo estatuto procesal.</w:t>
      </w:r>
    </w:p>
    <w:p w:rsidR="00FC6B69" w:rsidRDefault="00FC6B69" w:rsidP="004D6C45">
      <w:pPr>
        <w:pStyle w:val="Textoindependiente210"/>
        <w:spacing w:line="26" w:lineRule="atLeast"/>
        <w:ind w:firstLine="0"/>
        <w:rPr>
          <w:rFonts w:ascii="Gadugi" w:hAnsi="Gadugi"/>
        </w:rPr>
      </w:pPr>
    </w:p>
    <w:p w:rsidR="00717F62" w:rsidRDefault="00F05A8F" w:rsidP="004D6C45">
      <w:pPr>
        <w:pStyle w:val="Textoindependiente210"/>
        <w:spacing w:line="26" w:lineRule="atLeast"/>
        <w:ind w:firstLine="0"/>
        <w:rPr>
          <w:rFonts w:ascii="Gadugi" w:hAnsi="Gadugi"/>
          <w:lang w:val="es-419"/>
        </w:rPr>
      </w:pPr>
      <w:r w:rsidRPr="004D6C45">
        <w:rPr>
          <w:rFonts w:ascii="Gadugi" w:hAnsi="Gadugi"/>
        </w:rPr>
        <w:tab/>
      </w:r>
      <w:r w:rsidRPr="004D6C45">
        <w:rPr>
          <w:rFonts w:ascii="Gadugi" w:hAnsi="Gadugi"/>
        </w:rPr>
        <w:tab/>
      </w:r>
      <w:r w:rsidRPr="004D6C45">
        <w:rPr>
          <w:rFonts w:ascii="Gadugi" w:hAnsi="Gadugi"/>
        </w:rPr>
        <w:tab/>
      </w:r>
      <w:r w:rsidRPr="004D6C45">
        <w:rPr>
          <w:rFonts w:ascii="Gadugi" w:hAnsi="Gadugi"/>
        </w:rPr>
        <w:tab/>
      </w:r>
      <w:r w:rsidR="00717F62">
        <w:rPr>
          <w:rFonts w:ascii="Gadugi" w:hAnsi="Gadugi"/>
          <w:lang w:val="es-419"/>
        </w:rPr>
        <w:t xml:space="preserve">Calificar de </w:t>
      </w:r>
      <w:r w:rsidR="00717F62" w:rsidRPr="00717F62">
        <w:rPr>
          <w:rFonts w:ascii="Gadugi" w:hAnsi="Gadugi"/>
          <w:i/>
          <w:lang w:val="es-419"/>
        </w:rPr>
        <w:t>“experpento”</w:t>
      </w:r>
      <w:r w:rsidR="00717F62">
        <w:rPr>
          <w:rFonts w:ascii="Gadugi" w:hAnsi="Gadugi"/>
          <w:lang w:val="es-419"/>
        </w:rPr>
        <w:t xml:space="preserve"> </w:t>
      </w:r>
      <w:r w:rsidR="00717F62" w:rsidRPr="00717F62">
        <w:rPr>
          <w:rFonts w:ascii="Gadugi" w:hAnsi="Gadugi"/>
          <w:lang w:val="es-419"/>
        </w:rPr>
        <w:t>(mejor</w:t>
      </w:r>
      <w:r w:rsidR="00717F62">
        <w:rPr>
          <w:rFonts w:ascii="Gadugi" w:hAnsi="Gadugi"/>
          <w:lang w:val="es-419"/>
        </w:rPr>
        <w:t>,</w:t>
      </w:r>
      <w:r w:rsidR="00717F62" w:rsidRPr="00717F62">
        <w:rPr>
          <w:rFonts w:ascii="Gadugi" w:hAnsi="Gadugi"/>
          <w:lang w:val="es-419"/>
        </w:rPr>
        <w:t xml:space="preserve"> esperpento) </w:t>
      </w:r>
      <w:r w:rsidR="00967E06">
        <w:rPr>
          <w:rFonts w:ascii="Gadugi" w:hAnsi="Gadugi"/>
          <w:lang w:val="es-419"/>
        </w:rPr>
        <w:t xml:space="preserve">algunas </w:t>
      </w:r>
      <w:r w:rsidR="00717F62">
        <w:rPr>
          <w:rFonts w:ascii="Gadugi" w:hAnsi="Gadugi"/>
          <w:lang w:val="es-419"/>
        </w:rPr>
        <w:t xml:space="preserve">de las decisiones de la funcionaria, </w:t>
      </w:r>
      <w:r w:rsidR="00967E06">
        <w:rPr>
          <w:rFonts w:ascii="Gadugi" w:hAnsi="Gadugi"/>
          <w:lang w:val="es-419"/>
        </w:rPr>
        <w:t xml:space="preserve">aunque en verdad algunas de sus actuaciones no son un dechado de juridicidad, </w:t>
      </w:r>
      <w:r w:rsidR="00717F62">
        <w:rPr>
          <w:rFonts w:ascii="Gadugi" w:hAnsi="Gadugi"/>
          <w:lang w:val="es-419"/>
        </w:rPr>
        <w:t xml:space="preserve">lo que más bien demuestra es que el asesor judicial del accionante se ha quedado a la zaga de la vigencia del Código </w:t>
      </w:r>
      <w:r w:rsidR="00967E06">
        <w:rPr>
          <w:rFonts w:ascii="Gadugi" w:hAnsi="Gadugi"/>
          <w:lang w:val="es-419"/>
        </w:rPr>
        <w:t>G</w:t>
      </w:r>
      <w:r w:rsidR="00717F62">
        <w:rPr>
          <w:rFonts w:ascii="Gadugi" w:hAnsi="Gadugi"/>
          <w:lang w:val="es-419"/>
        </w:rPr>
        <w:t>eneral del Proceso, que impone reglas novedosas para la interposición del recurso de apelación, sus reparos concretos y la sustentación, que son etapas bien diferenciadas; lo mismo que a la concreción de una figura, ya utilizada en la Ley 1395 de 2010, denominada sentencia anticipada, ahora más amplia, en los términos del artículo 27</w:t>
      </w:r>
      <w:r w:rsidR="00967E06">
        <w:rPr>
          <w:rFonts w:ascii="Gadugi" w:hAnsi="Gadugi"/>
          <w:lang w:val="es-419"/>
        </w:rPr>
        <w:t xml:space="preserve">8 del CGP. </w:t>
      </w:r>
    </w:p>
    <w:p w:rsidR="00717F62" w:rsidRDefault="00717F62" w:rsidP="004D6C45">
      <w:pPr>
        <w:pStyle w:val="Textoindependiente210"/>
        <w:spacing w:line="26" w:lineRule="atLeast"/>
        <w:ind w:firstLine="0"/>
        <w:rPr>
          <w:rFonts w:ascii="Gadugi" w:hAnsi="Gadugi"/>
          <w:lang w:val="es-419"/>
        </w:rPr>
      </w:pPr>
    </w:p>
    <w:p w:rsidR="00F05A8F" w:rsidRPr="004D6C45" w:rsidRDefault="00967E06" w:rsidP="00967E06">
      <w:pPr>
        <w:pStyle w:val="Textoindependiente210"/>
        <w:spacing w:line="26" w:lineRule="atLeast"/>
        <w:ind w:firstLine="0"/>
        <w:rPr>
          <w:rFonts w:ascii="Arial Narrow" w:hAnsi="Arial Narrow" w:cs="Arial"/>
          <w:shd w:val="clear" w:color="auto" w:fill="FFFFFF"/>
        </w:rPr>
      </w:pPr>
      <w:r>
        <w:rPr>
          <w:rFonts w:ascii="Gadugi" w:hAnsi="Gadugi"/>
          <w:lang w:val="es-419"/>
        </w:rPr>
        <w:t xml:space="preserve">  </w:t>
      </w:r>
      <w:r>
        <w:rPr>
          <w:rFonts w:ascii="Gadugi" w:hAnsi="Gadugi"/>
          <w:lang w:val="es-419"/>
        </w:rPr>
        <w:tab/>
      </w:r>
      <w:r>
        <w:rPr>
          <w:rFonts w:ascii="Gadugi" w:hAnsi="Gadugi"/>
          <w:lang w:val="es-419"/>
        </w:rPr>
        <w:tab/>
      </w:r>
      <w:r>
        <w:rPr>
          <w:rFonts w:ascii="Gadugi" w:hAnsi="Gadugi"/>
          <w:lang w:val="es-419"/>
        </w:rPr>
        <w:tab/>
      </w:r>
      <w:r>
        <w:rPr>
          <w:rFonts w:ascii="Gadugi" w:hAnsi="Gadugi"/>
          <w:lang w:val="es-419"/>
        </w:rPr>
        <w:tab/>
        <w:t>Así que, en lo que a la declaratoria de desierto del recurso de apelación</w:t>
      </w:r>
      <w:r w:rsidR="005F38C0">
        <w:rPr>
          <w:rFonts w:ascii="Gadugi" w:hAnsi="Gadugi"/>
          <w:lang w:val="es-419"/>
        </w:rPr>
        <w:t xml:space="preserve"> se refiere</w:t>
      </w:r>
      <w:r>
        <w:rPr>
          <w:rFonts w:ascii="Gadugi" w:hAnsi="Gadugi"/>
          <w:lang w:val="es-419"/>
        </w:rPr>
        <w:t xml:space="preserve">, ninguna </w:t>
      </w:r>
      <w:r w:rsidR="00F05A8F" w:rsidRPr="004D6C45">
        <w:rPr>
          <w:rFonts w:ascii="Gadugi" w:hAnsi="Gadugi"/>
        </w:rPr>
        <w:t xml:space="preserve">irregularidad </w:t>
      </w:r>
      <w:r>
        <w:rPr>
          <w:rFonts w:ascii="Gadugi" w:hAnsi="Gadugi"/>
          <w:lang w:val="es-419"/>
        </w:rPr>
        <w:t xml:space="preserve">se le puede atribuir </w:t>
      </w:r>
      <w:r w:rsidR="00F05A8F" w:rsidRPr="004D6C45">
        <w:rPr>
          <w:rFonts w:ascii="Gadugi" w:hAnsi="Gadugi"/>
        </w:rPr>
        <w:t xml:space="preserve">a la funcionaria demandada si, por el contrario, como se ve, actuó en cumplimiento de lo previsto por el </w:t>
      </w:r>
      <w:r>
        <w:rPr>
          <w:rFonts w:ascii="Gadugi" w:hAnsi="Gadugi"/>
          <w:lang w:val="es-419"/>
        </w:rPr>
        <w:t xml:space="preserve">nuevo estatuto procesal. </w:t>
      </w:r>
    </w:p>
    <w:p w:rsidR="00CC061C" w:rsidRPr="004D6C45" w:rsidRDefault="00CC061C" w:rsidP="004D6C45">
      <w:pPr>
        <w:pStyle w:val="Textoindependiente210"/>
        <w:spacing w:line="26" w:lineRule="atLeast"/>
        <w:ind w:left="567" w:right="476" w:firstLine="0"/>
        <w:rPr>
          <w:rFonts w:ascii="Arial Narrow" w:hAnsi="Arial Narrow" w:cs="Arial"/>
          <w:shd w:val="clear" w:color="auto" w:fill="FFFFFF"/>
        </w:rPr>
      </w:pPr>
    </w:p>
    <w:p w:rsidR="00967E06" w:rsidRDefault="00572FC4" w:rsidP="004D6C45">
      <w:pPr>
        <w:pStyle w:val="Textoindependiente210"/>
        <w:spacing w:line="26" w:lineRule="atLeast"/>
        <w:ind w:firstLine="0"/>
        <w:rPr>
          <w:rFonts w:ascii="Gadugi" w:hAnsi="Gadugi"/>
          <w:lang w:val="es-419"/>
        </w:rPr>
      </w:pPr>
      <w:r w:rsidRPr="004D6C45">
        <w:rPr>
          <w:rFonts w:ascii="Gadugi" w:hAnsi="Gadugi"/>
          <w:lang w:val="es-419"/>
        </w:rPr>
        <w:t xml:space="preserve">  </w:t>
      </w:r>
      <w:r w:rsidRPr="004D6C45">
        <w:rPr>
          <w:rFonts w:ascii="Gadugi" w:hAnsi="Gadugi"/>
          <w:lang w:val="es-419"/>
        </w:rPr>
        <w:tab/>
      </w:r>
      <w:r w:rsidRPr="004D6C45">
        <w:rPr>
          <w:rFonts w:ascii="Gadugi" w:hAnsi="Gadugi"/>
          <w:lang w:val="es-419"/>
        </w:rPr>
        <w:tab/>
      </w:r>
      <w:r w:rsidRPr="004D6C45">
        <w:rPr>
          <w:rFonts w:ascii="Gadugi" w:hAnsi="Gadugi"/>
          <w:lang w:val="es-419"/>
        </w:rPr>
        <w:tab/>
      </w:r>
      <w:r w:rsidRPr="004D6C45">
        <w:rPr>
          <w:rFonts w:ascii="Gadugi" w:hAnsi="Gadugi"/>
          <w:lang w:val="es-419"/>
        </w:rPr>
        <w:tab/>
      </w:r>
      <w:r w:rsidR="005F38C0">
        <w:rPr>
          <w:rFonts w:ascii="Gadugi" w:hAnsi="Gadugi"/>
          <w:lang w:val="es-419"/>
        </w:rPr>
        <w:t>Y</w:t>
      </w:r>
      <w:r w:rsidR="00967E06">
        <w:rPr>
          <w:rFonts w:ascii="Gadugi" w:hAnsi="Gadugi"/>
          <w:lang w:val="es-419"/>
        </w:rPr>
        <w:t xml:space="preserve"> en lo que atañe al </w:t>
      </w:r>
      <w:r w:rsidR="0014227E" w:rsidRPr="004D6C45">
        <w:rPr>
          <w:rFonts w:ascii="Gadugi" w:hAnsi="Gadugi"/>
          <w:lang w:val="es-419"/>
        </w:rPr>
        <w:t xml:space="preserve">reclamo </w:t>
      </w:r>
      <w:r w:rsidR="00967E06">
        <w:rPr>
          <w:rFonts w:ascii="Gadugi" w:hAnsi="Gadugi"/>
          <w:lang w:val="es-419"/>
        </w:rPr>
        <w:t xml:space="preserve">por la negativa </w:t>
      </w:r>
      <w:r w:rsidR="0014227E" w:rsidRPr="004D6C45">
        <w:rPr>
          <w:rFonts w:ascii="Gadugi" w:hAnsi="Gadugi"/>
          <w:lang w:val="es-419"/>
        </w:rPr>
        <w:t xml:space="preserve">de </w:t>
      </w:r>
      <w:r w:rsidR="00967E06">
        <w:rPr>
          <w:rFonts w:ascii="Gadugi" w:hAnsi="Gadugi"/>
          <w:lang w:val="es-419"/>
        </w:rPr>
        <w:t xml:space="preserve">la </w:t>
      </w:r>
      <w:r w:rsidR="0014227E" w:rsidRPr="004D6C45">
        <w:rPr>
          <w:rFonts w:ascii="Gadugi" w:hAnsi="Gadugi"/>
          <w:lang w:val="es-419"/>
        </w:rPr>
        <w:t xml:space="preserve">expedición de copias </w:t>
      </w:r>
      <w:r w:rsidR="00967E06">
        <w:rPr>
          <w:rFonts w:ascii="Gadugi" w:hAnsi="Gadugi"/>
          <w:lang w:val="es-419"/>
        </w:rPr>
        <w:t xml:space="preserve">para el trámite del recurso de </w:t>
      </w:r>
      <w:r w:rsidR="0014227E" w:rsidRPr="004D6C45">
        <w:rPr>
          <w:rFonts w:ascii="Gadugi" w:hAnsi="Gadugi"/>
          <w:lang w:val="es-419"/>
        </w:rPr>
        <w:t>queja interpuesto</w:t>
      </w:r>
      <w:r w:rsidR="00967E06">
        <w:rPr>
          <w:rFonts w:ascii="Gadugi" w:hAnsi="Gadugi"/>
          <w:lang w:val="es-419"/>
        </w:rPr>
        <w:t xml:space="preserve">, se tiene que, si se diera por superado el requisito de la subsidiariedad, dado que contra esa decisión ninguna réplica hubo, por medio del recurso de reposición que era pertinente, en todo caso, sería inviable el amparo. </w:t>
      </w:r>
    </w:p>
    <w:p w:rsidR="00967E06" w:rsidRDefault="00967E06" w:rsidP="004D6C45">
      <w:pPr>
        <w:pStyle w:val="Textoindependiente210"/>
        <w:spacing w:line="26" w:lineRule="atLeast"/>
        <w:ind w:firstLine="0"/>
        <w:rPr>
          <w:rFonts w:ascii="Gadugi" w:hAnsi="Gadugi"/>
          <w:lang w:val="es-419"/>
        </w:rPr>
      </w:pPr>
    </w:p>
    <w:p w:rsidR="00BE29D1" w:rsidRDefault="00967E06" w:rsidP="004D6C45">
      <w:pPr>
        <w:pStyle w:val="Textoindependiente210"/>
        <w:spacing w:line="26" w:lineRule="atLeast"/>
        <w:ind w:firstLine="0"/>
        <w:rPr>
          <w:rFonts w:ascii="Gadugi" w:hAnsi="Gadugi"/>
          <w:lang w:val="es-419"/>
        </w:rPr>
      </w:pPr>
      <w:r>
        <w:rPr>
          <w:rFonts w:ascii="Gadugi" w:hAnsi="Gadugi"/>
          <w:lang w:val="es-419"/>
        </w:rPr>
        <w:t xml:space="preserve">   </w:t>
      </w:r>
      <w:r>
        <w:rPr>
          <w:rFonts w:ascii="Gadugi" w:hAnsi="Gadugi"/>
          <w:lang w:val="es-419"/>
        </w:rPr>
        <w:tab/>
      </w:r>
      <w:r>
        <w:rPr>
          <w:rFonts w:ascii="Gadugi" w:hAnsi="Gadugi"/>
          <w:lang w:val="es-419"/>
        </w:rPr>
        <w:tab/>
      </w:r>
      <w:r>
        <w:rPr>
          <w:rFonts w:ascii="Gadugi" w:hAnsi="Gadugi"/>
          <w:lang w:val="es-419"/>
        </w:rPr>
        <w:tab/>
      </w:r>
      <w:r>
        <w:rPr>
          <w:rFonts w:ascii="Gadugi" w:hAnsi="Gadugi"/>
          <w:lang w:val="es-419"/>
        </w:rPr>
        <w:tab/>
        <w:t xml:space="preserve">Es claro que </w:t>
      </w:r>
      <w:r w:rsidR="0014227E" w:rsidRPr="004D6C45">
        <w:rPr>
          <w:rFonts w:ascii="Gadugi" w:hAnsi="Gadugi"/>
          <w:lang w:val="es-419"/>
        </w:rPr>
        <w:t>e</w:t>
      </w:r>
      <w:r>
        <w:rPr>
          <w:rFonts w:ascii="Gadugi" w:hAnsi="Gadugi"/>
          <w:lang w:val="es-419"/>
        </w:rPr>
        <w:t xml:space="preserve">l </w:t>
      </w:r>
      <w:r w:rsidR="0014227E" w:rsidRPr="004D6C45">
        <w:rPr>
          <w:rFonts w:ascii="Gadugi" w:hAnsi="Gadugi"/>
          <w:lang w:val="es-419"/>
        </w:rPr>
        <w:t xml:space="preserve">auto </w:t>
      </w:r>
      <w:r>
        <w:rPr>
          <w:rFonts w:ascii="Gadugi" w:hAnsi="Gadugi"/>
          <w:lang w:val="es-419"/>
        </w:rPr>
        <w:t>del</w:t>
      </w:r>
      <w:r w:rsidR="0014227E" w:rsidRPr="004D6C45">
        <w:rPr>
          <w:rFonts w:ascii="Gadugi" w:hAnsi="Gadugi"/>
          <w:lang w:val="es-419"/>
        </w:rPr>
        <w:t xml:space="preserve"> 6 de </w:t>
      </w:r>
      <w:r w:rsidR="0069717B">
        <w:rPr>
          <w:rFonts w:ascii="Gadugi" w:hAnsi="Gadugi"/>
          <w:lang w:val="es-419"/>
        </w:rPr>
        <w:t xml:space="preserve">septiembre de </w:t>
      </w:r>
      <w:r w:rsidR="0014227E" w:rsidRPr="004D6C45">
        <w:rPr>
          <w:rFonts w:ascii="Gadugi" w:hAnsi="Gadugi"/>
          <w:lang w:val="es-419"/>
        </w:rPr>
        <w:t xml:space="preserve">2017 (f. 43), </w:t>
      </w:r>
      <w:r w:rsidR="00BE29D1">
        <w:rPr>
          <w:rFonts w:ascii="Gadugi" w:hAnsi="Gadugi"/>
          <w:lang w:val="es-419"/>
        </w:rPr>
        <w:t>es de tal manera escueto, que omitió especificar</w:t>
      </w:r>
      <w:r w:rsidR="0014227E" w:rsidRPr="004D6C45">
        <w:rPr>
          <w:rFonts w:ascii="Gadugi" w:hAnsi="Gadugi"/>
          <w:lang w:val="es-419"/>
        </w:rPr>
        <w:t xml:space="preserve"> </w:t>
      </w:r>
      <w:r w:rsidR="00BE29D1">
        <w:rPr>
          <w:rFonts w:ascii="Gadugi" w:hAnsi="Gadugi"/>
          <w:lang w:val="es-419"/>
        </w:rPr>
        <w:t xml:space="preserve">el </w:t>
      </w:r>
      <w:r w:rsidR="0014227E" w:rsidRPr="004D6C45">
        <w:rPr>
          <w:rFonts w:ascii="Gadugi" w:hAnsi="Gadugi"/>
          <w:lang w:val="es-419"/>
        </w:rPr>
        <w:t xml:space="preserve">porqué de </w:t>
      </w:r>
      <w:r w:rsidR="00BE29D1">
        <w:rPr>
          <w:rFonts w:ascii="Gadugi" w:hAnsi="Gadugi"/>
          <w:lang w:val="es-419"/>
        </w:rPr>
        <w:t xml:space="preserve">la improcedencia de las copias; simplemente se </w:t>
      </w:r>
      <w:r w:rsidR="0014227E" w:rsidRPr="004D6C45">
        <w:rPr>
          <w:rFonts w:ascii="Gadugi" w:hAnsi="Gadugi"/>
          <w:lang w:val="es-419"/>
        </w:rPr>
        <w:t>citó lo que contempla parcialmente el primer inciso del artículo 353 del CGP</w:t>
      </w:r>
      <w:r w:rsidR="00BE29D1">
        <w:rPr>
          <w:rFonts w:ascii="Gadugi" w:hAnsi="Gadugi"/>
          <w:lang w:val="es-419"/>
        </w:rPr>
        <w:t xml:space="preserve">, que señala que </w:t>
      </w:r>
      <w:r w:rsidR="0014227E" w:rsidRPr="004D6C45">
        <w:rPr>
          <w:rFonts w:ascii="Gadugi" w:hAnsi="Gadugi" w:cs="Arial"/>
          <w:i/>
          <w:shd w:val="clear" w:color="auto" w:fill="FFFFFF"/>
        </w:rPr>
        <w:t xml:space="preserve">“El recurso de queja deberá interponerse en subsidio del de reposición contra el auto que denegó la apelación”, </w:t>
      </w:r>
      <w:r w:rsidR="0014227E" w:rsidRPr="004D6C45">
        <w:rPr>
          <w:rFonts w:ascii="Gadugi" w:hAnsi="Gadugi"/>
          <w:lang w:val="es-419"/>
        </w:rPr>
        <w:t xml:space="preserve"> para seguidamente indicar: </w:t>
      </w:r>
      <w:r w:rsidR="0014227E" w:rsidRPr="004D6C45">
        <w:rPr>
          <w:rFonts w:ascii="Gadugi" w:hAnsi="Gadugi"/>
          <w:i/>
          <w:lang w:val="es-419"/>
        </w:rPr>
        <w:t>“lo cual fue omitido por dicho profesional del der</w:t>
      </w:r>
      <w:r w:rsidR="00D97602" w:rsidRPr="004D6C45">
        <w:rPr>
          <w:rFonts w:ascii="Gadugi" w:hAnsi="Gadugi"/>
          <w:i/>
          <w:lang w:val="es-419"/>
        </w:rPr>
        <w:t>e</w:t>
      </w:r>
      <w:r w:rsidR="0014227E" w:rsidRPr="004D6C45">
        <w:rPr>
          <w:rFonts w:ascii="Gadugi" w:hAnsi="Gadugi"/>
          <w:i/>
          <w:lang w:val="es-419"/>
        </w:rPr>
        <w:t>cho</w:t>
      </w:r>
      <w:r w:rsidR="0014227E" w:rsidRPr="004D6C45">
        <w:rPr>
          <w:rFonts w:ascii="Gadugi" w:hAnsi="Gadugi"/>
          <w:lang w:val="es-419"/>
        </w:rPr>
        <w:t xml:space="preserve"> </w:t>
      </w:r>
      <w:r w:rsidR="00D97602" w:rsidRPr="004D6C45">
        <w:rPr>
          <w:rFonts w:ascii="Gadugi" w:hAnsi="Gadugi"/>
          <w:lang w:val="es-419"/>
        </w:rPr>
        <w:t xml:space="preserve"> (f. 43), no obstante que el escrito contentivo que generó tal pronunciamiento hizo alusión al hecho de interponerse recurso de reposición contra el auto que negó la </w:t>
      </w:r>
      <w:r w:rsidR="00D97602" w:rsidRPr="004D6C45">
        <w:rPr>
          <w:rFonts w:ascii="Gadugi" w:hAnsi="Gadugi"/>
          <w:lang w:val="es-419"/>
        </w:rPr>
        <w:lastRenderedPageBreak/>
        <w:t>alzada y finalmente acotó que, en caso de negar</w:t>
      </w:r>
      <w:r w:rsidR="00BE29D1">
        <w:rPr>
          <w:rFonts w:ascii="Gadugi" w:hAnsi="Gadugi"/>
          <w:lang w:val="es-419"/>
        </w:rPr>
        <w:t>se</w:t>
      </w:r>
      <w:r w:rsidR="00D97602" w:rsidRPr="004D6C45">
        <w:rPr>
          <w:rFonts w:ascii="Gadugi" w:hAnsi="Gadugi"/>
          <w:lang w:val="es-419"/>
        </w:rPr>
        <w:t xml:space="preserve">, </w:t>
      </w:r>
      <w:r w:rsidR="00BE29D1">
        <w:rPr>
          <w:rFonts w:ascii="Gadugi" w:hAnsi="Gadugi"/>
          <w:lang w:val="es-419"/>
        </w:rPr>
        <w:t xml:space="preserve">se imploraba </w:t>
      </w:r>
      <w:r w:rsidR="00D97602" w:rsidRPr="004D6C45">
        <w:rPr>
          <w:rFonts w:ascii="Gadugi" w:hAnsi="Gadugi"/>
          <w:lang w:val="es-419"/>
        </w:rPr>
        <w:t>la expedición de copias para interponer el de queja (f. 41)</w:t>
      </w:r>
      <w:r w:rsidR="00BE29D1">
        <w:rPr>
          <w:rFonts w:ascii="Gadugi" w:hAnsi="Gadugi"/>
          <w:lang w:val="es-419"/>
        </w:rPr>
        <w:t xml:space="preserve">. </w:t>
      </w:r>
    </w:p>
    <w:p w:rsidR="00BE29D1" w:rsidRDefault="00BE29D1" w:rsidP="004D6C45">
      <w:pPr>
        <w:pStyle w:val="Textoindependiente210"/>
        <w:spacing w:line="26" w:lineRule="atLeast"/>
        <w:ind w:firstLine="0"/>
        <w:rPr>
          <w:rFonts w:ascii="Gadugi" w:hAnsi="Gadugi"/>
          <w:lang w:val="es-419"/>
        </w:rPr>
      </w:pPr>
    </w:p>
    <w:p w:rsidR="000A2175" w:rsidRPr="00BE29D1" w:rsidRDefault="00BE29D1" w:rsidP="004D6C45">
      <w:pPr>
        <w:pStyle w:val="Textoindependiente210"/>
        <w:spacing w:line="26" w:lineRule="atLeast"/>
        <w:ind w:firstLine="0"/>
        <w:rPr>
          <w:rFonts w:ascii="Gadugi" w:hAnsi="Gadugi"/>
          <w:lang w:val="es-419"/>
        </w:rPr>
      </w:pPr>
      <w:r>
        <w:rPr>
          <w:rFonts w:ascii="Gadugi" w:hAnsi="Gadugi"/>
          <w:lang w:val="es-419"/>
        </w:rPr>
        <w:t xml:space="preserve">   </w:t>
      </w:r>
      <w:r>
        <w:rPr>
          <w:rFonts w:ascii="Gadugi" w:hAnsi="Gadugi"/>
          <w:lang w:val="es-419"/>
        </w:rPr>
        <w:tab/>
      </w:r>
      <w:r>
        <w:rPr>
          <w:rFonts w:ascii="Gadugi" w:hAnsi="Gadugi"/>
          <w:lang w:val="es-419"/>
        </w:rPr>
        <w:tab/>
      </w:r>
      <w:r>
        <w:rPr>
          <w:rFonts w:ascii="Gadugi" w:hAnsi="Gadugi"/>
          <w:lang w:val="es-419"/>
        </w:rPr>
        <w:tab/>
      </w:r>
      <w:r>
        <w:rPr>
          <w:rFonts w:ascii="Gadugi" w:hAnsi="Gadugi"/>
          <w:lang w:val="es-419"/>
        </w:rPr>
        <w:tab/>
        <w:t xml:space="preserve">Con todo, </w:t>
      </w:r>
      <w:r w:rsidR="00D97602" w:rsidRPr="004D6C45">
        <w:rPr>
          <w:rFonts w:ascii="Gadugi" w:hAnsi="Gadugi"/>
          <w:lang w:val="es-419"/>
        </w:rPr>
        <w:t>a nada conduciría forzar por esta vía un nuevo  pronunciamiento que se allanar</w:t>
      </w:r>
      <w:r>
        <w:rPr>
          <w:rFonts w:ascii="Gadugi" w:hAnsi="Gadugi"/>
          <w:lang w:val="es-419"/>
        </w:rPr>
        <w:t>a</w:t>
      </w:r>
      <w:r w:rsidR="00D97602" w:rsidRPr="004D6C45">
        <w:rPr>
          <w:rFonts w:ascii="Gadugi" w:hAnsi="Gadugi"/>
          <w:lang w:val="es-419"/>
        </w:rPr>
        <w:t xml:space="preserve"> a una debida motivación, </w:t>
      </w:r>
      <w:r>
        <w:rPr>
          <w:rFonts w:ascii="Gadugi" w:hAnsi="Gadugi"/>
          <w:lang w:val="es-419"/>
        </w:rPr>
        <w:t xml:space="preserve">porque se tiene averiguado que </w:t>
      </w:r>
      <w:r w:rsidR="00D97602" w:rsidRPr="004D6C45">
        <w:rPr>
          <w:rFonts w:ascii="Gadugi" w:hAnsi="Gadugi"/>
          <w:lang w:val="es-419"/>
        </w:rPr>
        <w:t>frente a la de</w:t>
      </w:r>
      <w:r w:rsidR="000A2175" w:rsidRPr="004D6C45">
        <w:rPr>
          <w:rFonts w:ascii="Gadugi" w:hAnsi="Gadugi"/>
          <w:lang w:val="es-419"/>
        </w:rPr>
        <w:t xml:space="preserve">claratoria de deserción de un recurso de apelación, no es de recibo el de queja propuesto, </w:t>
      </w:r>
      <w:r>
        <w:rPr>
          <w:rFonts w:ascii="Gadugi" w:hAnsi="Gadugi"/>
          <w:lang w:val="es-419"/>
        </w:rPr>
        <w:t xml:space="preserve">dado que este remedio está </w:t>
      </w:r>
      <w:r w:rsidR="000A2175" w:rsidRPr="004D6C45">
        <w:rPr>
          <w:rFonts w:ascii="Gadugi" w:hAnsi="Gadugi"/>
          <w:lang w:val="es-419"/>
        </w:rPr>
        <w:t xml:space="preserve">regulado contra los que denieguen la apelación o </w:t>
      </w:r>
      <w:r>
        <w:rPr>
          <w:rFonts w:ascii="Gadugi" w:hAnsi="Gadugi"/>
          <w:lang w:val="es-419"/>
        </w:rPr>
        <w:t xml:space="preserve">la casación, </w:t>
      </w:r>
      <w:r w:rsidR="000A2175" w:rsidRPr="00BE29D1">
        <w:rPr>
          <w:rFonts w:ascii="Gadugi" w:hAnsi="Gadugi"/>
          <w:lang w:val="es-419"/>
        </w:rPr>
        <w:t xml:space="preserve">como lo indica la precitada norma, </w:t>
      </w:r>
      <w:r>
        <w:rPr>
          <w:rFonts w:ascii="Gadugi" w:hAnsi="Gadugi"/>
          <w:lang w:val="es-419"/>
        </w:rPr>
        <w:t xml:space="preserve">y </w:t>
      </w:r>
      <w:r w:rsidR="000A2175" w:rsidRPr="00BE29D1">
        <w:rPr>
          <w:rFonts w:ascii="Gadugi" w:hAnsi="Gadugi"/>
          <w:lang w:val="es-419"/>
        </w:rPr>
        <w:t xml:space="preserve">no, se repite, para el </w:t>
      </w:r>
      <w:r w:rsidR="004C0A33" w:rsidRPr="00BE29D1">
        <w:rPr>
          <w:rFonts w:ascii="Gadugi" w:hAnsi="Gadugi"/>
          <w:lang w:val="es-419"/>
        </w:rPr>
        <w:t xml:space="preserve">caso </w:t>
      </w:r>
      <w:r>
        <w:rPr>
          <w:rFonts w:ascii="Gadugi" w:hAnsi="Gadugi"/>
          <w:lang w:val="es-419"/>
        </w:rPr>
        <w:t xml:space="preserve">planteado, </w:t>
      </w:r>
      <w:r w:rsidR="004C0A33" w:rsidRPr="00BE29D1">
        <w:rPr>
          <w:rFonts w:ascii="Gadugi" w:hAnsi="Gadugi"/>
          <w:lang w:val="es-419"/>
        </w:rPr>
        <w:t>como ha sido explicado con amplitud por esta Corporación</w:t>
      </w:r>
      <w:r w:rsidR="004C0A33" w:rsidRPr="00BE29D1">
        <w:rPr>
          <w:rStyle w:val="Appelnotedebasdep"/>
          <w:rFonts w:ascii="Gadugi" w:hAnsi="Gadugi"/>
          <w:lang w:val="es-419"/>
        </w:rPr>
        <w:footnoteReference w:id="22"/>
      </w:r>
      <w:r w:rsidR="004C0A33" w:rsidRPr="00BE29D1">
        <w:rPr>
          <w:rFonts w:ascii="Gadugi" w:hAnsi="Gadugi"/>
          <w:lang w:val="es-419"/>
        </w:rPr>
        <w:t>.</w:t>
      </w:r>
    </w:p>
    <w:p w:rsidR="000A2175" w:rsidRPr="004D6C45" w:rsidRDefault="000A2175" w:rsidP="004D6C45">
      <w:pPr>
        <w:pStyle w:val="Textoindependiente210"/>
        <w:spacing w:line="26" w:lineRule="atLeast"/>
        <w:ind w:firstLine="0"/>
        <w:rPr>
          <w:rFonts w:ascii="Gadugi" w:hAnsi="Gadugi"/>
          <w:lang w:val="es-419"/>
        </w:rPr>
      </w:pPr>
    </w:p>
    <w:p w:rsidR="0012183E" w:rsidRPr="004D6C45" w:rsidRDefault="00BE29D1" w:rsidP="004D6C45">
      <w:pPr>
        <w:pStyle w:val="Corpsdetexte"/>
        <w:spacing w:line="26" w:lineRule="atLeast"/>
        <w:ind w:firstLine="2835"/>
        <w:rPr>
          <w:rFonts w:ascii="Gadugi" w:hAnsi="Gadugi"/>
          <w:szCs w:val="24"/>
          <w:lang w:val="es-419"/>
        </w:rPr>
      </w:pPr>
      <w:r>
        <w:rPr>
          <w:rFonts w:ascii="Gadugi" w:hAnsi="Gadugi"/>
          <w:szCs w:val="24"/>
          <w:lang w:val="es-419"/>
        </w:rPr>
        <w:t xml:space="preserve">Así que ninguna circunstancia </w:t>
      </w:r>
      <w:r w:rsidR="009D087F" w:rsidRPr="004D6C45">
        <w:rPr>
          <w:rFonts w:ascii="Gadugi" w:hAnsi="Gadugi"/>
          <w:szCs w:val="24"/>
          <w:lang w:val="es-419"/>
        </w:rPr>
        <w:t>aflora que permita la injerencia del juez constitucional, porque</w:t>
      </w:r>
      <w:r>
        <w:rPr>
          <w:rFonts w:ascii="Gadugi" w:hAnsi="Gadugi"/>
          <w:szCs w:val="24"/>
          <w:lang w:val="es-419"/>
        </w:rPr>
        <w:t>,</w:t>
      </w:r>
      <w:r w:rsidR="009D087F" w:rsidRPr="004D6C45">
        <w:rPr>
          <w:rFonts w:ascii="Gadugi" w:hAnsi="Gadugi"/>
          <w:szCs w:val="24"/>
          <w:lang w:val="es-419"/>
        </w:rPr>
        <w:t xml:space="preserve"> al margen de que las resoluciones de las que se duele el actor </w:t>
      </w:r>
      <w:r>
        <w:rPr>
          <w:rFonts w:ascii="Gadugi" w:hAnsi="Gadugi"/>
          <w:szCs w:val="24"/>
          <w:lang w:val="es-419"/>
        </w:rPr>
        <w:t>le sean des</w:t>
      </w:r>
      <w:r w:rsidR="009D087F" w:rsidRPr="004D6C45">
        <w:rPr>
          <w:rFonts w:ascii="Gadugi" w:hAnsi="Gadugi"/>
          <w:szCs w:val="24"/>
          <w:lang w:val="es-419"/>
        </w:rPr>
        <w:t>favorable</w:t>
      </w:r>
      <w:r w:rsidR="0012183E" w:rsidRPr="004D6C45">
        <w:rPr>
          <w:rFonts w:ascii="Gadugi" w:hAnsi="Gadugi"/>
          <w:szCs w:val="24"/>
          <w:lang w:val="es-419"/>
        </w:rPr>
        <w:t xml:space="preserve">s, no </w:t>
      </w:r>
      <w:r>
        <w:rPr>
          <w:rFonts w:ascii="Gadugi" w:hAnsi="Gadugi"/>
          <w:szCs w:val="24"/>
          <w:lang w:val="es-419"/>
        </w:rPr>
        <w:t xml:space="preserve">por ello se traducen en </w:t>
      </w:r>
      <w:r w:rsidR="0012183E" w:rsidRPr="004D6C45">
        <w:rPr>
          <w:rFonts w:ascii="Gadugi" w:hAnsi="Gadugi"/>
          <w:szCs w:val="24"/>
          <w:lang w:val="es-419"/>
        </w:rPr>
        <w:t xml:space="preserve">arbitrarias o irracionales; </w:t>
      </w:r>
      <w:r>
        <w:rPr>
          <w:rFonts w:ascii="Gadugi" w:hAnsi="Gadugi"/>
          <w:szCs w:val="24"/>
          <w:lang w:val="es-419"/>
        </w:rPr>
        <w:t xml:space="preserve">al contrario, se muestran acordes con la </w:t>
      </w:r>
      <w:r w:rsidR="0012183E" w:rsidRPr="004D6C45">
        <w:rPr>
          <w:rFonts w:ascii="Gadugi" w:hAnsi="Gadugi"/>
          <w:szCs w:val="24"/>
          <w:lang w:val="es-419"/>
        </w:rPr>
        <w:t xml:space="preserve">realidad procesal </w:t>
      </w:r>
      <w:r>
        <w:rPr>
          <w:rFonts w:ascii="Gadugi" w:hAnsi="Gadugi"/>
          <w:szCs w:val="24"/>
          <w:lang w:val="es-419"/>
        </w:rPr>
        <w:t xml:space="preserve">actual. </w:t>
      </w:r>
      <w:r w:rsidR="0012183E" w:rsidRPr="004D6C45">
        <w:rPr>
          <w:rFonts w:ascii="Gadugi" w:hAnsi="Gadugi"/>
          <w:szCs w:val="24"/>
          <w:lang w:val="es-419"/>
        </w:rPr>
        <w:t xml:space="preserve">Esto, por más discutible que le parezca al </w:t>
      </w:r>
      <w:r w:rsidR="0012183E" w:rsidRPr="004D6C45">
        <w:rPr>
          <w:rFonts w:ascii="Gadugi" w:hAnsi="Gadugi"/>
          <w:szCs w:val="24"/>
          <w:lang w:val="es-CO"/>
        </w:rPr>
        <w:t>interesado</w:t>
      </w:r>
      <w:r w:rsidR="0012183E" w:rsidRPr="004D6C45">
        <w:rPr>
          <w:rFonts w:ascii="Gadugi" w:hAnsi="Gadugi"/>
          <w:szCs w:val="24"/>
          <w:lang w:val="es-419"/>
        </w:rPr>
        <w:t>, e incluso si pudiera interpretarse de manera diversa</w:t>
      </w:r>
      <w:r>
        <w:rPr>
          <w:rFonts w:ascii="Gadugi" w:hAnsi="Gadugi"/>
          <w:szCs w:val="24"/>
          <w:lang w:val="es-419"/>
        </w:rPr>
        <w:t xml:space="preserve"> la cuestión. </w:t>
      </w:r>
    </w:p>
    <w:p w:rsidR="0012183E" w:rsidRPr="004D6C45" w:rsidRDefault="0012183E" w:rsidP="004D6C45">
      <w:pPr>
        <w:pStyle w:val="Corpsdetexte"/>
        <w:spacing w:line="26" w:lineRule="atLeast"/>
        <w:ind w:firstLine="2835"/>
        <w:rPr>
          <w:rFonts w:ascii="Gadugi" w:hAnsi="Gadugi"/>
          <w:szCs w:val="24"/>
        </w:rPr>
      </w:pPr>
    </w:p>
    <w:p w:rsidR="0012183E" w:rsidRPr="004D6C45" w:rsidRDefault="0012183E" w:rsidP="004D6C45">
      <w:pPr>
        <w:pStyle w:val="Corpsdetexte"/>
        <w:spacing w:line="26" w:lineRule="atLeast"/>
        <w:ind w:firstLine="2835"/>
        <w:rPr>
          <w:rFonts w:ascii="Gadugi" w:hAnsi="Gadugi"/>
          <w:szCs w:val="24"/>
          <w:lang w:val="es-419"/>
        </w:rPr>
      </w:pPr>
      <w:r w:rsidRPr="004D6C45">
        <w:rPr>
          <w:rFonts w:ascii="Gadugi" w:hAnsi="Gadugi"/>
          <w:szCs w:val="24"/>
        </w:rPr>
        <w:t>Valga traer a colación lo que sobre el particular tiene dicho la jurisprudencia</w:t>
      </w:r>
      <w:r w:rsidRPr="004D6C45">
        <w:rPr>
          <w:rStyle w:val="Appelnotedebasdep"/>
          <w:rFonts w:ascii="Gadugi" w:hAnsi="Gadugi"/>
          <w:szCs w:val="24"/>
        </w:rPr>
        <w:footnoteReference w:id="23"/>
      </w:r>
      <w:r w:rsidRPr="004D6C45">
        <w:rPr>
          <w:rFonts w:ascii="Gadugi" w:hAnsi="Gadugi"/>
          <w:szCs w:val="24"/>
        </w:rPr>
        <w:t>:</w:t>
      </w:r>
    </w:p>
    <w:p w:rsidR="0012183E" w:rsidRPr="004D6C45" w:rsidRDefault="0012183E" w:rsidP="004D6C45">
      <w:pPr>
        <w:spacing w:line="26" w:lineRule="atLeast"/>
        <w:ind w:firstLine="2835"/>
        <w:jc w:val="both"/>
        <w:rPr>
          <w:rFonts w:ascii="Gadugi" w:hAnsi="Gadugi"/>
          <w:b/>
          <w:sz w:val="24"/>
          <w:szCs w:val="24"/>
        </w:rPr>
      </w:pPr>
    </w:p>
    <w:p w:rsidR="0012183E" w:rsidRPr="004D6C45" w:rsidRDefault="0012183E" w:rsidP="004D6C45">
      <w:pPr>
        <w:spacing w:line="26" w:lineRule="atLeast"/>
        <w:ind w:left="567" w:right="618" w:firstLine="2268"/>
        <w:jc w:val="both"/>
        <w:rPr>
          <w:rFonts w:ascii="Arial Narrow" w:hAnsi="Arial Narrow"/>
          <w:iCs/>
          <w:sz w:val="24"/>
          <w:szCs w:val="24"/>
        </w:rPr>
      </w:pPr>
      <w:r w:rsidRPr="004D6C45">
        <w:rPr>
          <w:rFonts w:ascii="Arial Narrow" w:hAnsi="Arial Narrow"/>
          <w:iCs/>
          <w:sz w:val="24"/>
          <w:szCs w:val="24"/>
        </w:rPr>
        <w:t>“Sólo las actuaciones judiciales que realmente contengan una decisión arbitraria, con evidente, directa e importante repercusión en el proceso, en perjuicio de los derechos fundamentales, pueden ser susceptibles de ataque en sede constitucional. No así las decisiones que estén sustentadas en un determinado criterio jurídico, que pueda ser admisible a la luz del ordenamiento, o interpretación de las normas aplicables, pues de lo contrario se estaría atentando contra el principio de la autonomía judicial. Debe tenerse en consideración que el juez, al aplicar la ley, ha de fijar el alcance de la misma, es decir, darle un sentido frente al caso. La tarea interpretativa es, por ello, elemento propio de la actividad judicial requerida siempre, a menos que la disposición tenga un único y exclusivo entendimiento, lo cual no solo es infrecuente sino extraordinario.</w:t>
      </w:r>
    </w:p>
    <w:p w:rsidR="0012183E" w:rsidRPr="004D6C45" w:rsidRDefault="0012183E" w:rsidP="004D6C45">
      <w:pPr>
        <w:spacing w:line="26" w:lineRule="atLeast"/>
        <w:ind w:left="567" w:right="618" w:firstLine="2268"/>
        <w:jc w:val="both"/>
        <w:rPr>
          <w:rFonts w:ascii="Arial Narrow" w:hAnsi="Arial Narrow"/>
          <w:iCs/>
          <w:sz w:val="24"/>
          <w:szCs w:val="24"/>
        </w:rPr>
      </w:pPr>
    </w:p>
    <w:p w:rsidR="0012183E" w:rsidRPr="004D6C45" w:rsidRDefault="0012183E" w:rsidP="004D6C45">
      <w:pPr>
        <w:spacing w:line="26" w:lineRule="atLeast"/>
        <w:ind w:left="567" w:right="618" w:firstLine="2268"/>
        <w:jc w:val="both"/>
        <w:rPr>
          <w:rFonts w:ascii="Arial Narrow" w:hAnsi="Arial Narrow"/>
          <w:iCs/>
          <w:sz w:val="24"/>
          <w:szCs w:val="24"/>
        </w:rPr>
      </w:pPr>
      <w:r w:rsidRPr="004D6C45">
        <w:rPr>
          <w:rFonts w:ascii="Arial Narrow" w:hAnsi="Arial Narrow"/>
          <w:iCs/>
          <w:sz w:val="24"/>
          <w:szCs w:val="24"/>
        </w:rPr>
        <w:t>[…]La vía de hecho –excepcional, como se ha dicho- no puede configurarse sino a partir de una ruptura flagrante, ostensible y grave de la normatividad constitucional o legal que rige en la materia a la que se refiere el fallo. Por tanto, mientras se apliquen las disposiciones pertinentes, independientemente de si otros jueces comparten o no la interpretación acogida por el fallador, no existe la vía de hecho, sino una vía de Derecho distinta, en sí misma respetable si no carece de razonabilidad. Esta, así como el contenido y alcances de la sentencia proferida con ese apoyo, deben ser escrutados por la misma jurisdicción y por los procedimientos ordinarios, a través de los recursos que la ley establece y no, por regla general, a través de la acción de tutela.</w:t>
      </w:r>
    </w:p>
    <w:p w:rsidR="0012183E" w:rsidRPr="004D6C45" w:rsidRDefault="0012183E" w:rsidP="004D6C45">
      <w:pPr>
        <w:spacing w:line="26" w:lineRule="atLeast"/>
        <w:ind w:left="567" w:right="618" w:firstLine="2268"/>
        <w:jc w:val="both"/>
        <w:rPr>
          <w:rFonts w:ascii="Arial Narrow" w:hAnsi="Arial Narrow"/>
          <w:iCs/>
          <w:sz w:val="24"/>
          <w:szCs w:val="24"/>
        </w:rPr>
      </w:pPr>
    </w:p>
    <w:p w:rsidR="0012183E" w:rsidRPr="004D6C45" w:rsidRDefault="0012183E" w:rsidP="004D6C45">
      <w:pPr>
        <w:spacing w:line="26" w:lineRule="atLeast"/>
        <w:ind w:left="567" w:right="618" w:firstLine="2268"/>
        <w:jc w:val="both"/>
        <w:rPr>
          <w:rFonts w:ascii="Arial Narrow" w:hAnsi="Arial Narrow"/>
          <w:iCs/>
          <w:sz w:val="24"/>
          <w:szCs w:val="24"/>
        </w:rPr>
      </w:pPr>
      <w:r w:rsidRPr="004D6C45">
        <w:rPr>
          <w:rFonts w:ascii="Arial Narrow" w:hAnsi="Arial Narrow"/>
          <w:iCs/>
          <w:sz w:val="24"/>
          <w:szCs w:val="24"/>
        </w:rPr>
        <w:t xml:space="preserve">[…]Diferente es el caso de la ostensible aplicación indebida de una norma, en cuya virtud se pretende lograr que los hechos quepan en ella, aun </w:t>
      </w:r>
      <w:r w:rsidRPr="004D6C45">
        <w:rPr>
          <w:rFonts w:ascii="Arial Narrow" w:hAnsi="Arial Narrow"/>
          <w:iCs/>
          <w:sz w:val="24"/>
          <w:szCs w:val="24"/>
        </w:rPr>
        <w:lastRenderedPageBreak/>
        <w:t>contra toda evidencia. Allí puede darse la vía de hecho, como lo ha admitido esta Corte, si por haberse forzado arbitrariamente el ordenamiento jurídico se han quebrantado o se amenazan derechos constitucionales fundamentales”</w:t>
      </w:r>
      <w:r w:rsidRPr="004D6C45">
        <w:rPr>
          <w:rStyle w:val="Appelnotedebasdep"/>
          <w:rFonts w:ascii="Arial Narrow" w:hAnsi="Arial Narrow"/>
          <w:iCs/>
          <w:sz w:val="24"/>
          <w:szCs w:val="24"/>
        </w:rPr>
        <w:t xml:space="preserve"> </w:t>
      </w:r>
      <w:r w:rsidRPr="004D6C45">
        <w:rPr>
          <w:rStyle w:val="Appelnotedebasdep"/>
          <w:rFonts w:ascii="Arial Narrow" w:hAnsi="Arial Narrow"/>
          <w:iCs/>
          <w:sz w:val="24"/>
          <w:szCs w:val="24"/>
        </w:rPr>
        <w:footnoteReference w:id="24"/>
      </w:r>
    </w:p>
    <w:p w:rsidR="0012183E" w:rsidRPr="004D6C45" w:rsidRDefault="0012183E" w:rsidP="004D6C45">
      <w:pPr>
        <w:spacing w:line="26" w:lineRule="atLeast"/>
        <w:ind w:left="567" w:right="618" w:firstLine="2268"/>
        <w:jc w:val="both"/>
        <w:rPr>
          <w:rFonts w:ascii="Arial Narrow" w:hAnsi="Arial Narrow"/>
          <w:sz w:val="24"/>
          <w:szCs w:val="24"/>
          <w:lang w:val="es-CO"/>
        </w:rPr>
      </w:pPr>
    </w:p>
    <w:p w:rsidR="0012183E" w:rsidRPr="004D6C45" w:rsidRDefault="0012183E" w:rsidP="004D6C45">
      <w:pPr>
        <w:spacing w:line="26" w:lineRule="atLeast"/>
        <w:ind w:left="567" w:right="618" w:firstLine="2268"/>
        <w:jc w:val="both"/>
        <w:rPr>
          <w:rFonts w:ascii="Arial Narrow" w:hAnsi="Arial Narrow"/>
          <w:sz w:val="24"/>
          <w:szCs w:val="24"/>
        </w:rPr>
      </w:pPr>
      <w:r w:rsidRPr="004D6C45">
        <w:rPr>
          <w:rFonts w:ascii="Arial Narrow" w:hAnsi="Arial Narrow"/>
          <w:sz w:val="24"/>
          <w:szCs w:val="24"/>
          <w:lang w:val="es-CO"/>
        </w:rPr>
        <w:t>Con los presupuestos indicados para la procedencia de la acción de tutela  cuando se acusa una decisión judicial de constituir vía de hecho, la Sala reitera la conclusión que se ha referido en anteriores fallos, en el sentido de precisar que “</w:t>
      </w:r>
      <w:r w:rsidRPr="004D6C45">
        <w:rPr>
          <w:rFonts w:ascii="Arial Narrow" w:hAnsi="Arial Narrow"/>
          <w:iCs/>
          <w:sz w:val="24"/>
          <w:szCs w:val="24"/>
        </w:rPr>
        <w:t>No toda vía de hecho reúne las características necesarias para incoar la acción referida, porque, para que sea viable requiere no sólo que se afecte un derecho fundamental, sino que además se presente cierta gravedad e inminencia en la vulneración o amenaza.”</w:t>
      </w:r>
      <w:r w:rsidRPr="004D6C45">
        <w:rPr>
          <w:rStyle w:val="Appelnotedebasdep"/>
          <w:rFonts w:ascii="Arial Narrow" w:hAnsi="Arial Narrow"/>
          <w:sz w:val="24"/>
          <w:szCs w:val="24"/>
        </w:rPr>
        <w:t xml:space="preserve"> </w:t>
      </w:r>
      <w:r w:rsidRPr="004D6C45">
        <w:rPr>
          <w:rStyle w:val="Appelnotedebasdep"/>
          <w:rFonts w:ascii="Arial Narrow" w:hAnsi="Arial Narrow"/>
          <w:sz w:val="24"/>
          <w:szCs w:val="24"/>
        </w:rPr>
        <w:footnoteReference w:id="25"/>
      </w:r>
      <w:r w:rsidRPr="004D6C45">
        <w:rPr>
          <w:rFonts w:ascii="Arial Narrow" w:hAnsi="Arial Narrow"/>
          <w:sz w:val="24"/>
          <w:szCs w:val="24"/>
        </w:rPr>
        <w:t>, requisitos que no basta con que sean alegados, sino que deben acreditarse o evidenciarse en cada caso concreto.”</w:t>
      </w:r>
    </w:p>
    <w:p w:rsidR="0012183E" w:rsidRPr="004D6C45" w:rsidRDefault="0012183E" w:rsidP="004D6C45">
      <w:pPr>
        <w:spacing w:line="26" w:lineRule="atLeast"/>
        <w:ind w:left="567" w:right="618" w:firstLine="2268"/>
        <w:jc w:val="both"/>
        <w:rPr>
          <w:rFonts w:ascii="Arial Narrow" w:hAnsi="Arial Narrow"/>
          <w:sz w:val="24"/>
          <w:szCs w:val="24"/>
        </w:rPr>
      </w:pPr>
    </w:p>
    <w:p w:rsidR="008B6E2E" w:rsidRPr="004D6C45" w:rsidRDefault="0012183E" w:rsidP="00BE29D1">
      <w:pPr>
        <w:tabs>
          <w:tab w:val="left" w:pos="2835"/>
          <w:tab w:val="left" w:pos="5910"/>
        </w:tabs>
        <w:spacing w:line="26" w:lineRule="atLeast"/>
        <w:ind w:right="-57"/>
        <w:jc w:val="both"/>
        <w:rPr>
          <w:rFonts w:ascii="Gadugi" w:hAnsi="Gadugi"/>
          <w:sz w:val="24"/>
          <w:szCs w:val="24"/>
        </w:rPr>
      </w:pPr>
      <w:r w:rsidRPr="004D6C45">
        <w:rPr>
          <w:rFonts w:ascii="Gadugi" w:hAnsi="Gadugi"/>
          <w:sz w:val="24"/>
          <w:szCs w:val="24"/>
        </w:rPr>
        <w:t xml:space="preserve">                                         </w:t>
      </w:r>
      <w:r w:rsidRPr="004D6C45">
        <w:rPr>
          <w:rFonts w:ascii="Gadugi" w:hAnsi="Gadugi"/>
          <w:sz w:val="24"/>
          <w:szCs w:val="24"/>
          <w:lang w:val="es-419"/>
        </w:rPr>
        <w:t xml:space="preserve"> </w:t>
      </w:r>
      <w:r w:rsidRPr="004D6C45">
        <w:rPr>
          <w:rFonts w:ascii="Gadugi" w:hAnsi="Gadugi"/>
          <w:sz w:val="24"/>
          <w:szCs w:val="24"/>
          <w:lang w:val="es-419"/>
        </w:rPr>
        <w:tab/>
      </w:r>
      <w:r w:rsidRPr="004D6C45">
        <w:rPr>
          <w:rFonts w:ascii="Gadugi" w:hAnsi="Gadugi"/>
          <w:sz w:val="24"/>
          <w:szCs w:val="24"/>
        </w:rPr>
        <w:t xml:space="preserve">Surge </w:t>
      </w:r>
      <w:r w:rsidRPr="004D6C45">
        <w:rPr>
          <w:rFonts w:ascii="Gadugi" w:hAnsi="Gadugi"/>
          <w:sz w:val="24"/>
          <w:szCs w:val="24"/>
          <w:lang w:val="es-MX"/>
        </w:rPr>
        <w:t xml:space="preserve">de todo lo dicho, </w:t>
      </w:r>
      <w:r w:rsidRPr="004D6C45">
        <w:rPr>
          <w:rFonts w:ascii="Gadugi" w:hAnsi="Gadugi"/>
          <w:sz w:val="24"/>
          <w:szCs w:val="24"/>
        </w:rPr>
        <w:t>que</w:t>
      </w:r>
      <w:r w:rsidR="008B6E2E" w:rsidRPr="004D6C45">
        <w:rPr>
          <w:rFonts w:ascii="Gadugi" w:hAnsi="Gadugi"/>
          <w:sz w:val="24"/>
          <w:szCs w:val="24"/>
        </w:rPr>
        <w:t xml:space="preserve"> por estos</w:t>
      </w:r>
      <w:r w:rsidRPr="004D6C45">
        <w:rPr>
          <w:rFonts w:ascii="Gadugi" w:hAnsi="Gadugi"/>
          <w:sz w:val="24"/>
          <w:szCs w:val="24"/>
        </w:rPr>
        <w:t xml:space="preserve"> </w:t>
      </w:r>
      <w:r w:rsidR="004C0A33" w:rsidRPr="004D6C45">
        <w:rPr>
          <w:rFonts w:ascii="Gadugi" w:hAnsi="Gadugi"/>
          <w:sz w:val="24"/>
          <w:szCs w:val="24"/>
        </w:rPr>
        <w:t xml:space="preserve">puntuales </w:t>
      </w:r>
      <w:r w:rsidRPr="004D6C45">
        <w:rPr>
          <w:rFonts w:ascii="Gadugi" w:hAnsi="Gadugi"/>
          <w:sz w:val="24"/>
          <w:szCs w:val="24"/>
        </w:rPr>
        <w:t>aspecto</w:t>
      </w:r>
      <w:r w:rsidR="008B6E2E" w:rsidRPr="004D6C45">
        <w:rPr>
          <w:rFonts w:ascii="Gadugi" w:hAnsi="Gadugi"/>
          <w:sz w:val="24"/>
          <w:szCs w:val="24"/>
        </w:rPr>
        <w:t>s se negará el amparo pretendido.</w:t>
      </w:r>
    </w:p>
    <w:p w:rsidR="008B6E2E" w:rsidRPr="004D6C45" w:rsidRDefault="008B6E2E" w:rsidP="004D6C45">
      <w:pPr>
        <w:tabs>
          <w:tab w:val="left" w:pos="2835"/>
          <w:tab w:val="left" w:pos="5910"/>
        </w:tabs>
        <w:spacing w:line="26" w:lineRule="atLeast"/>
        <w:ind w:right="-57"/>
        <w:jc w:val="both"/>
        <w:rPr>
          <w:rFonts w:ascii="Gadugi" w:hAnsi="Gadugi"/>
          <w:sz w:val="24"/>
          <w:szCs w:val="24"/>
        </w:rPr>
      </w:pPr>
    </w:p>
    <w:p w:rsidR="00D76114" w:rsidRPr="004D6C45" w:rsidRDefault="00D76114" w:rsidP="004D6C45">
      <w:pPr>
        <w:pStyle w:val="Sinespaciado1"/>
        <w:spacing w:line="26" w:lineRule="atLeast"/>
        <w:ind w:right="51"/>
        <w:jc w:val="both"/>
        <w:rPr>
          <w:rFonts w:ascii="Gadugi" w:hAnsi="Gadugi" w:cs="Arial"/>
        </w:rPr>
      </w:pPr>
      <w:r w:rsidRPr="004D6C45">
        <w:rPr>
          <w:rFonts w:ascii="Gadugi" w:hAnsi="Gadugi" w:cs="Arial"/>
        </w:rPr>
        <w:tab/>
        <w:t xml:space="preserve">  </w:t>
      </w:r>
      <w:r w:rsidRPr="004D6C45">
        <w:rPr>
          <w:rFonts w:ascii="Gadugi" w:hAnsi="Gadugi" w:cs="Arial"/>
        </w:rPr>
        <w:tab/>
      </w:r>
      <w:r w:rsidRPr="004D6C45">
        <w:rPr>
          <w:rFonts w:ascii="Gadugi" w:hAnsi="Gadugi" w:cs="Arial"/>
        </w:rPr>
        <w:tab/>
      </w:r>
      <w:r w:rsidRPr="004D6C45">
        <w:rPr>
          <w:rFonts w:ascii="Gadugi" w:hAnsi="Gadugi" w:cs="Arial"/>
        </w:rPr>
        <w:tab/>
        <w:t>Se absolverá a los demás citados al asunto, por no hallar de su parte trasgresión alguna de los derechos del demandante, tanto más cuando los particulares involucrados no reúnen condiciones prevenidas para ser destinatarios de las órdenes solicitadas en la demanda.</w:t>
      </w:r>
    </w:p>
    <w:p w:rsidR="00D76114" w:rsidRPr="004D6C45" w:rsidRDefault="00D76114" w:rsidP="004D6C45">
      <w:pPr>
        <w:spacing w:line="26" w:lineRule="atLeast"/>
        <w:jc w:val="both"/>
        <w:rPr>
          <w:rFonts w:ascii="Gadugi" w:hAnsi="Gadugi"/>
          <w:sz w:val="24"/>
          <w:szCs w:val="24"/>
          <w:lang w:val="es-419"/>
        </w:rPr>
      </w:pPr>
      <w:r w:rsidRPr="004D6C45">
        <w:rPr>
          <w:rFonts w:ascii="Gadugi" w:hAnsi="Gadugi"/>
          <w:sz w:val="24"/>
          <w:szCs w:val="24"/>
          <w:lang w:val="es-419"/>
        </w:rPr>
        <w:tab/>
      </w:r>
    </w:p>
    <w:p w:rsidR="00D76114" w:rsidRPr="004D6C45" w:rsidRDefault="00D76114" w:rsidP="004D6C45">
      <w:pPr>
        <w:spacing w:line="26" w:lineRule="atLeast"/>
        <w:ind w:firstLine="2835"/>
        <w:jc w:val="both"/>
        <w:rPr>
          <w:rFonts w:ascii="Gadugi" w:hAnsi="Gadugi" w:cs="Arial"/>
          <w:b/>
          <w:sz w:val="24"/>
          <w:szCs w:val="24"/>
        </w:rPr>
      </w:pPr>
      <w:r w:rsidRPr="004D6C45">
        <w:rPr>
          <w:rFonts w:ascii="Gadugi" w:hAnsi="Gadugi" w:cs="Arial"/>
          <w:b/>
          <w:sz w:val="24"/>
          <w:szCs w:val="24"/>
        </w:rPr>
        <w:t>DECISIÓN</w:t>
      </w:r>
    </w:p>
    <w:p w:rsidR="00D76114" w:rsidRPr="004D6C45" w:rsidRDefault="00D76114" w:rsidP="004D6C45">
      <w:pPr>
        <w:spacing w:line="26" w:lineRule="atLeast"/>
        <w:jc w:val="both"/>
        <w:rPr>
          <w:rFonts w:ascii="Gadugi" w:hAnsi="Gadugi"/>
          <w:sz w:val="24"/>
          <w:szCs w:val="24"/>
        </w:rPr>
      </w:pPr>
      <w:r w:rsidRPr="004D6C45">
        <w:rPr>
          <w:rFonts w:ascii="Gadugi" w:hAnsi="Gadugi"/>
          <w:sz w:val="24"/>
          <w:szCs w:val="24"/>
        </w:rPr>
        <w:t xml:space="preserve"> </w:t>
      </w:r>
      <w:r w:rsidRPr="004D6C45">
        <w:rPr>
          <w:rFonts w:ascii="Gadugi" w:hAnsi="Gadugi"/>
          <w:sz w:val="24"/>
          <w:szCs w:val="24"/>
        </w:rPr>
        <w:tab/>
      </w:r>
      <w:r w:rsidRPr="004D6C45">
        <w:rPr>
          <w:rFonts w:ascii="Gadugi" w:hAnsi="Gadugi"/>
          <w:sz w:val="24"/>
          <w:szCs w:val="24"/>
        </w:rPr>
        <w:tab/>
      </w:r>
      <w:r w:rsidRPr="004D6C45">
        <w:rPr>
          <w:rFonts w:ascii="Gadugi" w:hAnsi="Gadugi"/>
          <w:sz w:val="24"/>
          <w:szCs w:val="24"/>
        </w:rPr>
        <w:tab/>
      </w:r>
    </w:p>
    <w:p w:rsidR="00690284" w:rsidRPr="004D6C45" w:rsidRDefault="006246F0" w:rsidP="004D6C45">
      <w:pPr>
        <w:pStyle w:val="Sinespaciado1"/>
        <w:spacing w:line="26" w:lineRule="atLeast"/>
        <w:ind w:right="51" w:firstLine="2835"/>
        <w:jc w:val="both"/>
        <w:rPr>
          <w:rFonts w:ascii="Gadugi" w:hAnsi="Gadugi"/>
          <w:lang w:val="es-419"/>
        </w:rPr>
      </w:pPr>
      <w:r w:rsidRPr="004D6C45">
        <w:rPr>
          <w:rFonts w:ascii="Gadugi" w:hAnsi="Gadugi" w:cs="Arial"/>
          <w:lang w:val="es-419"/>
        </w:rPr>
        <w:t xml:space="preserve"> </w:t>
      </w:r>
      <w:r w:rsidR="00D76114" w:rsidRPr="004D6C45">
        <w:rPr>
          <w:rFonts w:ascii="Gadugi" w:hAnsi="Gadugi" w:cs="Arial"/>
        </w:rPr>
        <w:t>En armonía con lo dicho, la Sala Civil Familia del Tribunal Superior de Pereira, administrando justicia en nombre de la República y por autoridad de la Ley,</w:t>
      </w:r>
      <w:r w:rsidR="00D76114" w:rsidRPr="004D6C45">
        <w:rPr>
          <w:rFonts w:ascii="Gadugi" w:hAnsi="Gadugi" w:cs="Arial"/>
          <w:lang w:val="es-419"/>
        </w:rPr>
        <w:t xml:space="preserve"> </w:t>
      </w:r>
      <w:r w:rsidR="00D76114" w:rsidRPr="004D6C45">
        <w:rPr>
          <w:rFonts w:ascii="Gadugi" w:hAnsi="Gadugi" w:cs="Arial"/>
          <w:lang w:val="es-CO"/>
        </w:rPr>
        <w:t>declara</w:t>
      </w:r>
      <w:r w:rsidR="00D76114" w:rsidRPr="004D6C45">
        <w:rPr>
          <w:rFonts w:ascii="Gadugi" w:hAnsi="Gadugi" w:cs="Arial"/>
          <w:b/>
          <w:lang w:val="es-CO"/>
        </w:rPr>
        <w:t xml:space="preserve"> IMPROCEDENTE </w:t>
      </w:r>
      <w:r w:rsidR="00D76114" w:rsidRPr="004D6C45">
        <w:rPr>
          <w:rFonts w:ascii="Gadugi" w:hAnsi="Gadugi" w:cs="Arial"/>
          <w:lang w:val="es-CO"/>
        </w:rPr>
        <w:t xml:space="preserve">el </w:t>
      </w:r>
      <w:r w:rsidR="00D76114" w:rsidRPr="004D6C45">
        <w:rPr>
          <w:rFonts w:ascii="Gadugi" w:hAnsi="Gadugi" w:cs="Arial"/>
        </w:rPr>
        <w:t>amparo impetrado por</w:t>
      </w:r>
      <w:r w:rsidR="00D76114" w:rsidRPr="004D6C45">
        <w:rPr>
          <w:rFonts w:ascii="Gadugi" w:hAnsi="Gadugi" w:cs="Century Gothic"/>
          <w:b/>
        </w:rPr>
        <w:t xml:space="preserve"> Wilson Antonio Bedoya Martínez </w:t>
      </w:r>
      <w:r w:rsidR="00D76114" w:rsidRPr="004D6C45">
        <w:rPr>
          <w:rFonts w:ascii="Gadugi" w:hAnsi="Gadugi" w:cs="Century Gothic"/>
        </w:rPr>
        <w:t xml:space="preserve">contra el </w:t>
      </w:r>
      <w:r w:rsidR="00D76114" w:rsidRPr="004D6C45">
        <w:rPr>
          <w:rFonts w:ascii="Gadugi" w:hAnsi="Gadugi" w:cs="Century Gothic"/>
          <w:b/>
        </w:rPr>
        <w:t>Juzgado Civil del Circuito de</w:t>
      </w:r>
      <w:r w:rsidR="00D76114" w:rsidRPr="004D6C45">
        <w:rPr>
          <w:rFonts w:ascii="Gadugi" w:hAnsi="Gadugi" w:cs="Century Gothic"/>
        </w:rPr>
        <w:t xml:space="preserve"> </w:t>
      </w:r>
      <w:r w:rsidR="00D76114" w:rsidRPr="004D6C45">
        <w:rPr>
          <w:rFonts w:ascii="Gadugi" w:hAnsi="Gadugi" w:cs="Century Gothic"/>
          <w:b/>
        </w:rPr>
        <w:t>Dosquebra</w:t>
      </w:r>
      <w:r w:rsidR="004C0304">
        <w:rPr>
          <w:rFonts w:ascii="Gadugi" w:hAnsi="Gadugi" w:cs="Century Gothic"/>
          <w:b/>
          <w:lang w:val="es-419"/>
        </w:rPr>
        <w:t>da</w:t>
      </w:r>
      <w:r w:rsidR="00D76114" w:rsidRPr="004D6C45">
        <w:rPr>
          <w:rFonts w:ascii="Gadugi" w:hAnsi="Gadugi" w:cs="Century Gothic"/>
          <w:b/>
        </w:rPr>
        <w:t xml:space="preserve">s </w:t>
      </w:r>
      <w:r w:rsidR="00D76114" w:rsidRPr="004D6C45">
        <w:rPr>
          <w:rFonts w:ascii="Gadugi" w:hAnsi="Gadugi" w:cs="Century Gothic"/>
        </w:rPr>
        <w:t>en relación con la</w:t>
      </w:r>
      <w:r w:rsidR="00690284" w:rsidRPr="004D6C45">
        <w:rPr>
          <w:rFonts w:ascii="Gadugi" w:hAnsi="Gadugi" w:cs="Century Gothic"/>
        </w:rPr>
        <w:t xml:space="preserve">s denuncias apuntaladas al hecho de (i) haberse </w:t>
      </w:r>
      <w:r w:rsidR="00690284" w:rsidRPr="004D6C45">
        <w:rPr>
          <w:rFonts w:ascii="Gadugi" w:hAnsi="Gadugi" w:cs="Arial"/>
          <w:lang w:val="es-CO"/>
        </w:rPr>
        <w:t xml:space="preserve">segado la etapa de traslado de excepciones para aportar y solicitar </w:t>
      </w:r>
      <w:r w:rsidR="00690284" w:rsidRPr="004D6C45">
        <w:rPr>
          <w:rFonts w:ascii="Gadugi" w:hAnsi="Gadugi"/>
          <w:lang w:val="es-419"/>
        </w:rPr>
        <w:t>pruebas dentro del proceso ejecutivo con título hipotecario del que aquí se ha dado cuenta; (ii) por dar trámite a la oposición presentada por la parte ejecutada cuando había precluido la oportunidad y (iii) frente a la petición de nulidad de la sentencia.</w:t>
      </w:r>
    </w:p>
    <w:p w:rsidR="00690284" w:rsidRPr="004D6C45" w:rsidRDefault="00690284" w:rsidP="004D6C45">
      <w:pPr>
        <w:pStyle w:val="Sinespaciado1"/>
        <w:spacing w:line="26" w:lineRule="atLeast"/>
        <w:ind w:right="51" w:firstLine="2835"/>
        <w:jc w:val="both"/>
        <w:rPr>
          <w:rFonts w:ascii="Gadugi" w:hAnsi="Gadugi"/>
          <w:lang w:val="es-419"/>
        </w:rPr>
      </w:pPr>
    </w:p>
    <w:p w:rsidR="00D76114" w:rsidRPr="004D6C45" w:rsidRDefault="00690284" w:rsidP="004D6C45">
      <w:pPr>
        <w:spacing w:line="26" w:lineRule="atLeast"/>
        <w:jc w:val="both"/>
        <w:rPr>
          <w:rFonts w:ascii="Gadugi" w:eastAsia="Dotum" w:hAnsi="Gadugi"/>
          <w:sz w:val="24"/>
          <w:szCs w:val="24"/>
        </w:rPr>
      </w:pPr>
      <w:r w:rsidRPr="004D6C45">
        <w:rPr>
          <w:rFonts w:ascii="Gadugi" w:eastAsia="Dotum" w:hAnsi="Gadugi"/>
          <w:sz w:val="24"/>
          <w:szCs w:val="24"/>
        </w:rPr>
        <w:t xml:space="preserve">  </w:t>
      </w:r>
      <w:r w:rsidRPr="004D6C45">
        <w:rPr>
          <w:rFonts w:ascii="Gadugi" w:eastAsia="Dotum" w:hAnsi="Gadugi"/>
          <w:sz w:val="24"/>
          <w:szCs w:val="24"/>
        </w:rPr>
        <w:tab/>
      </w:r>
      <w:r w:rsidRPr="004D6C45">
        <w:rPr>
          <w:rFonts w:ascii="Gadugi" w:eastAsia="Dotum" w:hAnsi="Gadugi"/>
          <w:sz w:val="24"/>
          <w:szCs w:val="24"/>
        </w:rPr>
        <w:tab/>
      </w:r>
      <w:r w:rsidRPr="004D6C45">
        <w:rPr>
          <w:rFonts w:ascii="Gadugi" w:eastAsia="Dotum" w:hAnsi="Gadugi"/>
          <w:sz w:val="24"/>
          <w:szCs w:val="24"/>
        </w:rPr>
        <w:tab/>
      </w:r>
      <w:r w:rsidRPr="004D6C45">
        <w:rPr>
          <w:rFonts w:ascii="Gadugi" w:eastAsia="Dotum" w:hAnsi="Gadugi"/>
          <w:sz w:val="24"/>
          <w:szCs w:val="24"/>
        </w:rPr>
        <w:tab/>
        <w:t xml:space="preserve">Se </w:t>
      </w:r>
      <w:r w:rsidRPr="004D6C45">
        <w:rPr>
          <w:rFonts w:ascii="Gadugi" w:eastAsia="Dotum" w:hAnsi="Gadugi"/>
          <w:b/>
          <w:sz w:val="24"/>
          <w:szCs w:val="24"/>
        </w:rPr>
        <w:t xml:space="preserve">NIEGA </w:t>
      </w:r>
      <w:r w:rsidRPr="004D6C45">
        <w:rPr>
          <w:rFonts w:ascii="Gadugi" w:eastAsia="Dotum" w:hAnsi="Gadugi"/>
          <w:sz w:val="24"/>
          <w:szCs w:val="24"/>
        </w:rPr>
        <w:t xml:space="preserve">la protección en cuanto a la negativa de concesión del recurso de apelación contra esa providencia y </w:t>
      </w:r>
      <w:r w:rsidR="00AB6336">
        <w:rPr>
          <w:rFonts w:ascii="Gadugi" w:eastAsia="Dotum" w:hAnsi="Gadugi"/>
          <w:sz w:val="24"/>
          <w:szCs w:val="24"/>
          <w:lang w:val="es-419"/>
        </w:rPr>
        <w:t>la</w:t>
      </w:r>
      <w:r w:rsidRPr="004D6C45">
        <w:rPr>
          <w:rFonts w:ascii="Gadugi" w:eastAsia="Dotum" w:hAnsi="Gadugi"/>
          <w:sz w:val="24"/>
          <w:szCs w:val="24"/>
        </w:rPr>
        <w:t xml:space="preserve"> expedición de copias para surtir </w:t>
      </w:r>
      <w:r w:rsidR="00AB6336">
        <w:rPr>
          <w:rFonts w:ascii="Gadugi" w:eastAsia="Dotum" w:hAnsi="Gadugi"/>
          <w:sz w:val="24"/>
          <w:szCs w:val="24"/>
          <w:lang w:val="es-419"/>
        </w:rPr>
        <w:t xml:space="preserve">un </w:t>
      </w:r>
      <w:r w:rsidRPr="004D6C45">
        <w:rPr>
          <w:rFonts w:ascii="Gadugi" w:eastAsia="Dotum" w:hAnsi="Gadugi"/>
          <w:sz w:val="24"/>
          <w:szCs w:val="24"/>
        </w:rPr>
        <w:t>recurso de queja.</w:t>
      </w:r>
    </w:p>
    <w:p w:rsidR="00D76114" w:rsidRPr="004D6C45" w:rsidRDefault="00D76114" w:rsidP="004D6C45">
      <w:pPr>
        <w:spacing w:line="26" w:lineRule="atLeast"/>
        <w:jc w:val="both"/>
        <w:rPr>
          <w:rFonts w:ascii="Gadugi" w:eastAsia="Dotum" w:hAnsi="Gadugi"/>
          <w:sz w:val="24"/>
          <w:szCs w:val="24"/>
        </w:rPr>
      </w:pPr>
      <w:r w:rsidRPr="004D6C45">
        <w:rPr>
          <w:rFonts w:ascii="Gadugi" w:eastAsia="Dotum" w:hAnsi="Gadugi"/>
          <w:sz w:val="24"/>
          <w:szCs w:val="24"/>
        </w:rPr>
        <w:tab/>
      </w:r>
      <w:r w:rsidRPr="004D6C45">
        <w:rPr>
          <w:rFonts w:ascii="Gadugi" w:eastAsia="Dotum" w:hAnsi="Gadugi"/>
          <w:sz w:val="24"/>
          <w:szCs w:val="24"/>
        </w:rPr>
        <w:tab/>
      </w:r>
      <w:r w:rsidRPr="004D6C45">
        <w:rPr>
          <w:rFonts w:ascii="Gadugi" w:eastAsia="Dotum" w:hAnsi="Gadugi"/>
          <w:sz w:val="24"/>
          <w:szCs w:val="24"/>
        </w:rPr>
        <w:tab/>
      </w:r>
      <w:r w:rsidRPr="004D6C45">
        <w:rPr>
          <w:rFonts w:ascii="Gadugi" w:eastAsia="Dotum" w:hAnsi="Gadugi"/>
          <w:sz w:val="24"/>
          <w:szCs w:val="24"/>
        </w:rPr>
        <w:tab/>
      </w:r>
    </w:p>
    <w:p w:rsidR="00D76114" w:rsidRPr="004D6C45" w:rsidRDefault="00D76114" w:rsidP="004D6C45">
      <w:pPr>
        <w:spacing w:line="26" w:lineRule="atLeast"/>
        <w:ind w:firstLine="2835"/>
        <w:jc w:val="both"/>
        <w:rPr>
          <w:rFonts w:ascii="Gadugi" w:hAnsi="Gadugi" w:cs="Arial"/>
          <w:sz w:val="24"/>
          <w:szCs w:val="24"/>
        </w:rPr>
      </w:pPr>
      <w:r w:rsidRPr="004D6C45">
        <w:rPr>
          <w:rFonts w:ascii="Gadugi" w:hAnsi="Gadugi" w:cs="Arial"/>
          <w:sz w:val="24"/>
          <w:szCs w:val="24"/>
        </w:rPr>
        <w:t>Se absuelve</w:t>
      </w:r>
      <w:r w:rsidRPr="004D6C45">
        <w:rPr>
          <w:rFonts w:ascii="Gadugi" w:hAnsi="Gadugi" w:cs="Arial"/>
          <w:b/>
          <w:sz w:val="24"/>
          <w:szCs w:val="24"/>
        </w:rPr>
        <w:t xml:space="preserve"> </w:t>
      </w:r>
      <w:r w:rsidRPr="004D6C45">
        <w:rPr>
          <w:rFonts w:ascii="Gadugi" w:hAnsi="Gadugi" w:cs="Arial"/>
          <w:sz w:val="24"/>
          <w:szCs w:val="24"/>
        </w:rPr>
        <w:t>a los demás intervinientes.</w:t>
      </w:r>
    </w:p>
    <w:p w:rsidR="00D76114" w:rsidRPr="004D6C45" w:rsidRDefault="00D76114" w:rsidP="004D6C45">
      <w:pPr>
        <w:spacing w:line="26" w:lineRule="atLeast"/>
        <w:ind w:firstLine="2835"/>
        <w:jc w:val="both"/>
        <w:rPr>
          <w:rFonts w:ascii="Gadugi" w:hAnsi="Gadugi" w:cs="Arial"/>
          <w:sz w:val="24"/>
          <w:szCs w:val="24"/>
        </w:rPr>
      </w:pPr>
    </w:p>
    <w:p w:rsidR="00D76114" w:rsidRPr="004D6C45" w:rsidRDefault="00D76114" w:rsidP="004D6C45">
      <w:pPr>
        <w:spacing w:line="26" w:lineRule="atLeast"/>
        <w:ind w:firstLine="2835"/>
        <w:jc w:val="both"/>
        <w:rPr>
          <w:rFonts w:ascii="Gadugi" w:hAnsi="Gadugi" w:cs="Arial"/>
          <w:sz w:val="24"/>
          <w:szCs w:val="24"/>
          <w:lang w:val="es-CO"/>
        </w:rPr>
      </w:pPr>
      <w:r w:rsidRPr="004D6C45">
        <w:rPr>
          <w:rFonts w:ascii="Gadugi" w:hAnsi="Gadugi" w:cs="Arial"/>
          <w:sz w:val="24"/>
          <w:szCs w:val="24"/>
        </w:rPr>
        <w:t>Notifíquese la decisión a las partes en la forma prevista en el artículo 5º del Decreto 306 de 1992</w:t>
      </w:r>
      <w:r w:rsidRPr="004D6C45">
        <w:rPr>
          <w:rFonts w:ascii="Gadugi" w:hAnsi="Gadugi" w:cs="Arial"/>
          <w:sz w:val="24"/>
          <w:szCs w:val="24"/>
          <w:lang w:val="es-419"/>
        </w:rPr>
        <w:t>, y si no es impugnada rem</w:t>
      </w:r>
      <w:r w:rsidRPr="004D6C45">
        <w:rPr>
          <w:rFonts w:ascii="Gadugi" w:hAnsi="Gadugi" w:cs="Arial"/>
          <w:sz w:val="24"/>
          <w:szCs w:val="24"/>
          <w:lang w:val="es-CO"/>
        </w:rPr>
        <w:t>ítase a la Corte Constitucional para su eventual revisión.</w:t>
      </w:r>
    </w:p>
    <w:p w:rsidR="00D76114" w:rsidRPr="004D6C45" w:rsidRDefault="00D76114" w:rsidP="004D6C45">
      <w:pPr>
        <w:spacing w:line="26" w:lineRule="atLeast"/>
        <w:ind w:firstLine="2835"/>
        <w:jc w:val="both"/>
        <w:rPr>
          <w:rFonts w:ascii="Gadugi" w:hAnsi="Gadugi" w:cs="Arial"/>
          <w:sz w:val="24"/>
          <w:szCs w:val="24"/>
          <w:lang w:val="es-CO"/>
        </w:rPr>
      </w:pPr>
    </w:p>
    <w:p w:rsidR="00D76114" w:rsidRPr="004D6C45" w:rsidRDefault="00D76114" w:rsidP="004D6C45">
      <w:pPr>
        <w:spacing w:line="26" w:lineRule="atLeast"/>
        <w:ind w:firstLine="2835"/>
        <w:jc w:val="both"/>
        <w:rPr>
          <w:rFonts w:ascii="Gadugi" w:hAnsi="Gadugi" w:cs="Arial"/>
          <w:sz w:val="24"/>
          <w:szCs w:val="24"/>
          <w:lang w:val="es-CO"/>
        </w:rPr>
      </w:pPr>
      <w:r w:rsidRPr="004D6C45">
        <w:rPr>
          <w:rFonts w:ascii="Gadugi" w:hAnsi="Gadugi" w:cs="Arial"/>
          <w:sz w:val="24"/>
          <w:szCs w:val="24"/>
          <w:lang w:val="es-CO"/>
        </w:rPr>
        <w:t>A su regreso, archívese el expediente</w:t>
      </w:r>
      <w:r w:rsidRPr="004D6C45">
        <w:rPr>
          <w:rFonts w:ascii="Gadugi" w:hAnsi="Gadugi" w:cs="Arial"/>
          <w:sz w:val="24"/>
          <w:szCs w:val="24"/>
          <w:lang w:val="es-419"/>
        </w:rPr>
        <w:t>.</w:t>
      </w:r>
      <w:r w:rsidRPr="004D6C45">
        <w:rPr>
          <w:rFonts w:ascii="Gadugi" w:hAnsi="Gadugi" w:cs="Arial"/>
          <w:sz w:val="24"/>
          <w:szCs w:val="24"/>
          <w:lang w:val="es-CO"/>
        </w:rPr>
        <w:t xml:space="preserve"> </w:t>
      </w:r>
    </w:p>
    <w:p w:rsidR="00D76114" w:rsidRPr="004D6C45" w:rsidRDefault="00D76114" w:rsidP="004D6C45">
      <w:pPr>
        <w:spacing w:line="26" w:lineRule="atLeast"/>
        <w:ind w:firstLine="2835"/>
        <w:jc w:val="both"/>
        <w:rPr>
          <w:rFonts w:ascii="Gadugi" w:hAnsi="Gadugi" w:cs="Arial"/>
          <w:sz w:val="24"/>
          <w:szCs w:val="24"/>
        </w:rPr>
      </w:pPr>
    </w:p>
    <w:p w:rsidR="00D76114" w:rsidRPr="004D6C45" w:rsidRDefault="00D76114" w:rsidP="004D6C45">
      <w:pPr>
        <w:spacing w:line="26" w:lineRule="atLeast"/>
        <w:ind w:firstLine="2835"/>
        <w:jc w:val="both"/>
        <w:rPr>
          <w:rFonts w:ascii="Gadugi" w:hAnsi="Gadugi" w:cs="Arial"/>
          <w:bCs/>
          <w:sz w:val="24"/>
          <w:szCs w:val="24"/>
        </w:rPr>
      </w:pPr>
      <w:r w:rsidRPr="004D6C45">
        <w:rPr>
          <w:rFonts w:ascii="Gadugi" w:hAnsi="Gadugi" w:cs="Arial"/>
          <w:bCs/>
          <w:sz w:val="24"/>
          <w:szCs w:val="24"/>
        </w:rPr>
        <w:t>Los Magistrados,</w:t>
      </w:r>
    </w:p>
    <w:p w:rsidR="00D76114" w:rsidRPr="004D6C45" w:rsidRDefault="00D76114" w:rsidP="004D6C45">
      <w:pPr>
        <w:spacing w:line="26" w:lineRule="atLeast"/>
        <w:jc w:val="both"/>
        <w:rPr>
          <w:rFonts w:ascii="Gadugi" w:hAnsi="Gadugi" w:cs="Arial"/>
          <w:b/>
          <w:sz w:val="24"/>
          <w:szCs w:val="24"/>
        </w:rPr>
      </w:pPr>
    </w:p>
    <w:p w:rsidR="00D76114" w:rsidRPr="004D6C45" w:rsidRDefault="00D76114" w:rsidP="004D6C45">
      <w:pPr>
        <w:spacing w:line="26" w:lineRule="atLeast"/>
        <w:ind w:firstLine="2835"/>
        <w:jc w:val="both"/>
        <w:rPr>
          <w:rFonts w:ascii="Gadugi" w:hAnsi="Gadugi" w:cs="Arial"/>
          <w:b/>
          <w:sz w:val="24"/>
          <w:szCs w:val="24"/>
        </w:rPr>
      </w:pPr>
    </w:p>
    <w:p w:rsidR="00D76114" w:rsidRPr="004D6C45" w:rsidRDefault="00D76114" w:rsidP="004D6C45">
      <w:pPr>
        <w:spacing w:line="26" w:lineRule="atLeast"/>
        <w:ind w:firstLine="2835"/>
        <w:jc w:val="both"/>
        <w:rPr>
          <w:rFonts w:ascii="Gadugi" w:hAnsi="Gadugi" w:cs="Arial"/>
          <w:b/>
          <w:sz w:val="24"/>
          <w:szCs w:val="24"/>
        </w:rPr>
      </w:pPr>
    </w:p>
    <w:p w:rsidR="00D76114" w:rsidRPr="004D6C45" w:rsidRDefault="00D76114" w:rsidP="004D6C45">
      <w:pPr>
        <w:spacing w:line="26" w:lineRule="atLeast"/>
        <w:ind w:firstLine="2835"/>
        <w:jc w:val="both"/>
        <w:rPr>
          <w:rFonts w:ascii="Gadugi" w:hAnsi="Gadugi" w:cs="Arial"/>
          <w:b/>
          <w:sz w:val="24"/>
          <w:szCs w:val="24"/>
        </w:rPr>
      </w:pPr>
      <w:r w:rsidRPr="004D6C45">
        <w:rPr>
          <w:rFonts w:ascii="Gadugi" w:hAnsi="Gadugi" w:cs="Arial"/>
          <w:b/>
          <w:sz w:val="24"/>
          <w:szCs w:val="24"/>
        </w:rPr>
        <w:t>JAIME ALBERTO SARAZA NARANJO</w:t>
      </w:r>
    </w:p>
    <w:p w:rsidR="00D76114" w:rsidRPr="004D6C45" w:rsidRDefault="00D76114" w:rsidP="004D6C45">
      <w:pPr>
        <w:spacing w:line="26" w:lineRule="atLeast"/>
        <w:jc w:val="both"/>
        <w:rPr>
          <w:rFonts w:ascii="Gadugi" w:hAnsi="Gadugi" w:cs="Arial"/>
          <w:b/>
          <w:sz w:val="24"/>
          <w:szCs w:val="24"/>
        </w:rPr>
      </w:pPr>
    </w:p>
    <w:p w:rsidR="00D76114" w:rsidRPr="004D6C45" w:rsidRDefault="00D76114" w:rsidP="004D6C45">
      <w:pPr>
        <w:spacing w:line="26" w:lineRule="atLeast"/>
        <w:jc w:val="both"/>
        <w:rPr>
          <w:rFonts w:ascii="Gadugi" w:hAnsi="Gadugi" w:cs="Arial"/>
          <w:b/>
          <w:sz w:val="24"/>
          <w:szCs w:val="24"/>
        </w:rPr>
      </w:pPr>
    </w:p>
    <w:p w:rsidR="00D76114" w:rsidRPr="004D6C45" w:rsidRDefault="00D76114" w:rsidP="004D6C45">
      <w:pPr>
        <w:spacing w:line="26" w:lineRule="atLeast"/>
        <w:jc w:val="both"/>
        <w:rPr>
          <w:rFonts w:ascii="Gadugi" w:hAnsi="Gadugi" w:cs="Arial"/>
          <w:b/>
          <w:sz w:val="24"/>
          <w:szCs w:val="24"/>
        </w:rPr>
      </w:pPr>
    </w:p>
    <w:p w:rsidR="00D76114" w:rsidRPr="004D6C45" w:rsidRDefault="00D76114" w:rsidP="004D6C45">
      <w:pPr>
        <w:spacing w:line="26" w:lineRule="atLeast"/>
        <w:jc w:val="both"/>
        <w:rPr>
          <w:rFonts w:ascii="Gadugi" w:hAnsi="Gadugi"/>
          <w:sz w:val="24"/>
          <w:szCs w:val="24"/>
        </w:rPr>
      </w:pPr>
      <w:r w:rsidRPr="004D6C45">
        <w:rPr>
          <w:rFonts w:ascii="Gadugi" w:hAnsi="Gadugi" w:cs="Arial"/>
          <w:b/>
          <w:sz w:val="24"/>
          <w:szCs w:val="24"/>
          <w:lang w:val="es-ES_tradnl"/>
        </w:rPr>
        <w:t>CLAUDIA MARÍA ARCILA RÍOS</w:t>
      </w:r>
      <w:r w:rsidRPr="004D6C45">
        <w:rPr>
          <w:rFonts w:ascii="Gadugi" w:hAnsi="Gadugi" w:cs="Arial"/>
          <w:b/>
          <w:sz w:val="24"/>
          <w:szCs w:val="24"/>
          <w:lang w:val="es-ES_tradnl"/>
        </w:rPr>
        <w:tab/>
      </w:r>
      <w:r w:rsidRPr="004D6C45">
        <w:rPr>
          <w:rFonts w:ascii="Gadugi" w:hAnsi="Gadugi" w:cs="Arial"/>
          <w:b/>
          <w:sz w:val="24"/>
          <w:szCs w:val="24"/>
          <w:lang w:val="es-ES_tradnl"/>
        </w:rPr>
        <w:tab/>
        <w:t xml:space="preserve">            DUBERNEY GRISALES HERRERA </w:t>
      </w:r>
    </w:p>
    <w:p w:rsidR="00D76114" w:rsidRPr="004D6C45" w:rsidRDefault="00D76114" w:rsidP="004D6C45">
      <w:pPr>
        <w:spacing w:line="26" w:lineRule="atLeast"/>
        <w:jc w:val="both"/>
        <w:rPr>
          <w:rFonts w:ascii="Gadugi" w:hAnsi="Gadugi"/>
        </w:rPr>
      </w:pPr>
      <w:r w:rsidRPr="004D6C45">
        <w:rPr>
          <w:rFonts w:ascii="Gadugi" w:hAnsi="Gadugi"/>
          <w:sz w:val="24"/>
          <w:szCs w:val="24"/>
        </w:rPr>
        <w:t xml:space="preserve">  </w:t>
      </w:r>
      <w:r w:rsidRPr="004D6C45">
        <w:rPr>
          <w:rFonts w:ascii="Gadugi" w:hAnsi="Gadugi"/>
          <w:sz w:val="24"/>
          <w:szCs w:val="24"/>
        </w:rPr>
        <w:tab/>
      </w:r>
      <w:r w:rsidRPr="004D6C45">
        <w:rPr>
          <w:rFonts w:ascii="Gadugi" w:hAnsi="Gadugi"/>
          <w:sz w:val="24"/>
          <w:szCs w:val="24"/>
        </w:rPr>
        <w:tab/>
      </w:r>
      <w:r w:rsidRPr="004D6C45">
        <w:rPr>
          <w:rFonts w:ascii="Gadugi" w:hAnsi="Gadugi"/>
          <w:sz w:val="24"/>
          <w:szCs w:val="24"/>
        </w:rPr>
        <w:tab/>
      </w:r>
      <w:r w:rsidRPr="004D6C45">
        <w:rPr>
          <w:rFonts w:ascii="Gadugi" w:hAnsi="Gadugi"/>
          <w:sz w:val="24"/>
          <w:szCs w:val="24"/>
        </w:rPr>
        <w:tab/>
      </w:r>
      <w:r w:rsidRPr="004D6C45">
        <w:rPr>
          <w:rFonts w:ascii="Gadugi" w:hAnsi="Gadugi"/>
          <w:lang w:val="es-CO"/>
        </w:rPr>
        <w:t xml:space="preserve">   </w:t>
      </w:r>
      <w:r w:rsidRPr="004D6C45">
        <w:rPr>
          <w:rFonts w:ascii="Gadugi" w:hAnsi="Gadugi"/>
          <w:lang w:val="es-CO"/>
        </w:rPr>
        <w:tab/>
      </w:r>
      <w:r w:rsidRPr="004D6C45">
        <w:rPr>
          <w:rFonts w:ascii="Gadugi" w:hAnsi="Gadugi"/>
          <w:lang w:val="es-CO"/>
        </w:rPr>
        <w:tab/>
      </w:r>
      <w:r w:rsidRPr="004D6C45">
        <w:rPr>
          <w:rFonts w:ascii="Gadugi" w:hAnsi="Gadugi"/>
          <w:lang w:val="es-CO"/>
        </w:rPr>
        <w:tab/>
      </w:r>
      <w:r w:rsidRPr="004D6C45">
        <w:rPr>
          <w:rFonts w:ascii="Gadugi" w:hAnsi="Gadugi" w:cs="Arial"/>
          <w:lang w:val="es-CO"/>
        </w:rPr>
        <w:t xml:space="preserve"> </w:t>
      </w:r>
      <w:r w:rsidRPr="004D6C45">
        <w:rPr>
          <w:rFonts w:ascii="Gadugi" w:hAnsi="Gadugi" w:cs="Arial"/>
          <w:lang w:val="es-419"/>
        </w:rPr>
        <w:t xml:space="preserve">  </w:t>
      </w:r>
    </w:p>
    <w:p w:rsidR="00D76114" w:rsidRPr="004D6C45" w:rsidRDefault="00D76114" w:rsidP="004D6C45">
      <w:pPr>
        <w:tabs>
          <w:tab w:val="left" w:pos="2835"/>
          <w:tab w:val="left" w:pos="5910"/>
        </w:tabs>
        <w:spacing w:line="26" w:lineRule="atLeast"/>
        <w:ind w:right="-57"/>
        <w:jc w:val="both"/>
        <w:rPr>
          <w:rFonts w:ascii="Gadugi" w:hAnsi="Gadugi"/>
          <w:sz w:val="24"/>
          <w:szCs w:val="24"/>
        </w:rPr>
      </w:pPr>
    </w:p>
    <w:sectPr w:rsidR="00D76114" w:rsidRPr="004D6C45" w:rsidSect="00343315">
      <w:headerReference w:type="default" r:id="rId13"/>
      <w:footerReference w:type="default" r:id="rId14"/>
      <w:type w:val="nextColumn"/>
      <w:pgSz w:w="12242" w:h="18722" w:code="121"/>
      <w:pgMar w:top="2268" w:right="1701" w:bottom="1985" w:left="1701" w:header="567" w:footer="113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EB1" w:rsidRDefault="00951EB1">
      <w:r>
        <w:separator/>
      </w:r>
    </w:p>
  </w:endnote>
  <w:endnote w:type="continuationSeparator" w:id="0">
    <w:p w:rsidR="00951EB1" w:rsidRDefault="00951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Perpetua">
    <w:panose1 w:val="02020502060401020303"/>
    <w:charset w:val="00"/>
    <w:family w:val="roman"/>
    <w:pitch w:val="variable"/>
    <w:sig w:usb0="00000003" w:usb1="00000000" w:usb2="00000000" w:usb3="00000000" w:csb0="00000001" w:csb1="00000000"/>
  </w:font>
  <w:font w:name="Arial">
    <w:altName w:val="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altName w:val="Arial Rounded MT Bold"/>
    <w:panose1 w:val="020F0502020204030204"/>
    <w:charset w:val="00"/>
    <w:family w:val="swiss"/>
    <w:pitch w:val="variable"/>
    <w:sig w:usb0="E0002AFF" w:usb1="C000247B" w:usb2="00000009" w:usb3="00000000" w:csb0="000001FF" w:csb1="00000000"/>
  </w:font>
  <w:font w:name="Gadugi">
    <w:panose1 w:val="020B0502040204020203"/>
    <w:charset w:val="00"/>
    <w:family w:val="swiss"/>
    <w:pitch w:val="variable"/>
    <w:sig w:usb0="80000003" w:usb1="02000000" w:usb2="00003000" w:usb3="00000000" w:csb0="00000001" w:csb1="00000000"/>
  </w:font>
  <w:font w:name="Century Gothic">
    <w:panose1 w:val="020B0502020202020204"/>
    <w:charset w:val="00"/>
    <w:family w:val="swiss"/>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Estrangelo Edessa">
    <w:altName w:val="Freestyle Script"/>
    <w:panose1 w:val="03080600000000000000"/>
    <w:charset w:val="01"/>
    <w:family w:val="roman"/>
    <w:notTrueType/>
    <w:pitch w:val="variable"/>
  </w:font>
  <w:font w:name="Dotum">
    <w:altName w:val="Arial Unicode MS"/>
    <w:panose1 w:val="020B0600000101010101"/>
    <w:charset w:val="81"/>
    <w:family w:val="modern"/>
    <w:notTrueType/>
    <w:pitch w:val="fixed"/>
    <w:sig w:usb0="00000000"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AA4" w:rsidRDefault="00E86AA4">
    <w:pPr>
      <w:pStyle w:val="Pieddepage"/>
      <w:framePr w:wrap="auto"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FC6B69">
      <w:rPr>
        <w:rStyle w:val="Numrodepage"/>
        <w:noProof/>
      </w:rPr>
      <w:t>12</w:t>
    </w:r>
    <w:r>
      <w:rPr>
        <w:rStyle w:val="Numrodepage"/>
      </w:rPr>
      <w:fldChar w:fldCharType="end"/>
    </w:r>
  </w:p>
  <w:p w:rsidR="00E86AA4" w:rsidRDefault="00E86AA4">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EB1" w:rsidRDefault="00951EB1">
      <w:r>
        <w:separator/>
      </w:r>
    </w:p>
  </w:footnote>
  <w:footnote w:type="continuationSeparator" w:id="0">
    <w:p w:rsidR="00951EB1" w:rsidRDefault="00951EB1">
      <w:r>
        <w:continuationSeparator/>
      </w:r>
    </w:p>
  </w:footnote>
  <w:footnote w:id="1">
    <w:p w:rsidR="007E64F2" w:rsidRPr="004C0304" w:rsidRDefault="007E64F2" w:rsidP="007E64F2">
      <w:pPr>
        <w:pStyle w:val="Notedebasdepage"/>
        <w:tabs>
          <w:tab w:val="left" w:pos="426"/>
        </w:tabs>
        <w:rPr>
          <w:rFonts w:ascii="Agency FB" w:hAnsi="Agency FB"/>
          <w:sz w:val="24"/>
          <w:szCs w:val="24"/>
          <w:lang w:val="es-CO"/>
        </w:rPr>
      </w:pPr>
      <w:r w:rsidRPr="004C0304">
        <w:rPr>
          <w:rStyle w:val="Appelnotedebasdep"/>
          <w:rFonts w:ascii="Agency FB" w:hAnsi="Agency FB"/>
          <w:sz w:val="24"/>
          <w:szCs w:val="24"/>
        </w:rPr>
        <w:footnoteRef/>
      </w:r>
      <w:r w:rsidRPr="004C0304">
        <w:rPr>
          <w:rFonts w:ascii="Agency FB" w:hAnsi="Agency FB"/>
          <w:sz w:val="24"/>
          <w:szCs w:val="24"/>
          <w:vertAlign w:val="superscript"/>
        </w:rPr>
        <w:t xml:space="preserve"> </w:t>
      </w:r>
      <w:r w:rsidRPr="004C0304">
        <w:rPr>
          <w:rFonts w:ascii="Agency FB" w:hAnsi="Agency FB"/>
          <w:sz w:val="24"/>
          <w:szCs w:val="24"/>
        </w:rPr>
        <w:t>Sentencia C-543-92</w:t>
      </w:r>
    </w:p>
  </w:footnote>
  <w:footnote w:id="2">
    <w:p w:rsidR="001A4B2C" w:rsidRPr="004C0304" w:rsidRDefault="001A4B2C" w:rsidP="001A4B2C">
      <w:pPr>
        <w:pStyle w:val="Notedebasdepage"/>
        <w:jc w:val="both"/>
        <w:rPr>
          <w:rFonts w:ascii="Agency FB" w:hAnsi="Agency FB"/>
          <w:sz w:val="24"/>
          <w:szCs w:val="24"/>
        </w:rPr>
      </w:pPr>
      <w:r w:rsidRPr="004C0304">
        <w:rPr>
          <w:rStyle w:val="Appelnotedebasdep"/>
          <w:rFonts w:ascii="Agency FB" w:hAnsi="Agency FB"/>
          <w:sz w:val="24"/>
          <w:szCs w:val="24"/>
          <w:lang w:val="es-CO"/>
        </w:rPr>
        <w:footnoteRef/>
      </w:r>
      <w:r w:rsidRPr="004C0304">
        <w:rPr>
          <w:rFonts w:ascii="Agency FB" w:hAnsi="Agency FB"/>
          <w:sz w:val="24"/>
          <w:szCs w:val="24"/>
          <w:lang w:val="es-CO"/>
        </w:rPr>
        <w:t xml:space="preserve"> Sentencias T-158 de 1993 </w:t>
      </w:r>
      <w:r w:rsidRPr="004C0304">
        <w:rPr>
          <w:rFonts w:ascii="Agency FB" w:hAnsi="Agency FB"/>
          <w:sz w:val="24"/>
          <w:szCs w:val="24"/>
          <w:shd w:val="clear" w:color="auto" w:fill="FFFFFF"/>
          <w:lang w:val="es-CO"/>
        </w:rPr>
        <w:t>MSPS Jorge Arango Mejía y Antonio Barrera Carbonell</w:t>
      </w:r>
      <w:r w:rsidRPr="004C0304">
        <w:rPr>
          <w:rFonts w:ascii="Agency FB" w:hAnsi="Agency FB"/>
          <w:sz w:val="24"/>
          <w:szCs w:val="24"/>
          <w:lang w:val="es-CO"/>
        </w:rPr>
        <w:t xml:space="preserve">, </w:t>
      </w:r>
      <w:r w:rsidRPr="004C0304">
        <w:rPr>
          <w:rFonts w:ascii="Agency FB" w:hAnsi="Agency FB"/>
          <w:sz w:val="24"/>
          <w:szCs w:val="24"/>
          <w:shd w:val="clear" w:color="auto" w:fill="FFFFFF"/>
          <w:lang w:val="es-CO"/>
        </w:rPr>
        <w:t>T</w:t>
      </w:r>
      <w:r w:rsidRPr="004C0304">
        <w:rPr>
          <w:rFonts w:ascii="Agency FB" w:hAnsi="Agency FB"/>
          <w:sz w:val="24"/>
          <w:szCs w:val="24"/>
          <w:lang w:val="es-CO"/>
        </w:rPr>
        <w:t xml:space="preserve">-572 de 1994 </w:t>
      </w:r>
      <w:r w:rsidRPr="004C0304">
        <w:rPr>
          <w:rFonts w:ascii="Agency FB" w:hAnsi="Agency FB"/>
          <w:sz w:val="24"/>
          <w:szCs w:val="24"/>
          <w:shd w:val="clear" w:color="auto" w:fill="FFFFFF"/>
          <w:lang w:val="es-CO"/>
        </w:rPr>
        <w:t>MP Alejandro Martínez Caballero,</w:t>
      </w:r>
      <w:r w:rsidRPr="004C0304">
        <w:rPr>
          <w:rFonts w:ascii="Agency FB" w:hAnsi="Agency FB"/>
          <w:sz w:val="24"/>
          <w:szCs w:val="24"/>
          <w:lang w:val="es-CO"/>
        </w:rPr>
        <w:t xml:space="preserve"> T-100 de 1998 </w:t>
      </w:r>
      <w:r w:rsidRPr="004C0304">
        <w:rPr>
          <w:rFonts w:ascii="Agency FB" w:hAnsi="Agency FB"/>
          <w:sz w:val="24"/>
          <w:szCs w:val="24"/>
          <w:shd w:val="clear" w:color="auto" w:fill="FFFFFF"/>
          <w:lang w:val="es-CO"/>
        </w:rPr>
        <w:t>MP José Gregorio Hernández Galindo</w:t>
      </w:r>
      <w:r w:rsidRPr="004C0304">
        <w:rPr>
          <w:rFonts w:ascii="Agency FB" w:hAnsi="Agency FB"/>
          <w:sz w:val="24"/>
          <w:szCs w:val="24"/>
          <w:lang w:val="es-CO"/>
        </w:rPr>
        <w:t>, SU-159 2002</w:t>
      </w:r>
      <w:r w:rsidRPr="004C0304">
        <w:rPr>
          <w:rFonts w:ascii="Agency FB" w:hAnsi="Agency FB"/>
          <w:sz w:val="24"/>
          <w:szCs w:val="24"/>
          <w:shd w:val="clear" w:color="auto" w:fill="FFFFFF"/>
          <w:lang w:val="es-CO"/>
        </w:rPr>
        <w:t xml:space="preserve"> MP Manuel José Cepeda Espinosa, T-808 de 2007 MP E Catalina Botero Marino y T-086 de 2007 MP Manuel José Cepeda Espinosa, SU-174 de 2007 MP Manuel José Cepeda Espinosa, T-364 de 2009 MP Mauricio González Cuervo, T-792 de 2010 MP Jorge Iván Palacio, T-510 de 2011 MP Jorge Iván Palacio, T-343 de 2011 MP </w:t>
      </w:r>
      <w:r w:rsidR="004C0304" w:rsidRPr="004C0304">
        <w:rPr>
          <w:rFonts w:ascii="Agency FB" w:hAnsi="Agency FB"/>
          <w:sz w:val="24"/>
          <w:szCs w:val="24"/>
          <w:shd w:val="clear" w:color="auto" w:fill="FFFFFF"/>
          <w:lang w:val="es-CO"/>
        </w:rPr>
        <w:t>Humberto</w:t>
      </w:r>
      <w:r w:rsidRPr="004C0304">
        <w:rPr>
          <w:rFonts w:ascii="Agency FB" w:hAnsi="Agency FB"/>
          <w:sz w:val="24"/>
          <w:szCs w:val="24"/>
          <w:shd w:val="clear" w:color="auto" w:fill="FFFFFF"/>
          <w:lang w:val="es-CO"/>
        </w:rPr>
        <w:t xml:space="preserve"> Sierra Porto, T-138 de 2011 MP María Victoria Calle Correa, T-360 de 2011 MP Humberto Antonio Sierra Porto, T-160 de 2013 MP Luis Guillermo Guerrero Pérez, T-267 de 2013 MP Jorge Iván Palacio, T-465 de 2013 MP Luis Ernesto Vargas Silva, T-564 de 2013 MP Luis Ernesto Vargas Silva, SU.917 de 2013 MP Luis Ernesto Vargas Silva, T-116 de 2014 MP Luis Guillermo Guerrero Pérez, T-146 de 2014 MP Mauricio González Cuervo, T-374 de 2014 Luis Ernesto Vargas Silva, SU.770 de 2014 MP Mauricio González Cuervo, T-869 de 2014 MP Jorge Ignacio Pretelt Chaljub, T-073 de 2015 MP Mauricio González Cuervo.</w:t>
      </w:r>
    </w:p>
  </w:footnote>
  <w:footnote w:id="3">
    <w:p w:rsidR="001A4B2C" w:rsidRPr="004C0304" w:rsidRDefault="001A4B2C" w:rsidP="001A4B2C">
      <w:pPr>
        <w:pStyle w:val="Notedebasdepage"/>
        <w:rPr>
          <w:rFonts w:ascii="Agency FB" w:hAnsi="Agency FB"/>
          <w:sz w:val="24"/>
          <w:szCs w:val="24"/>
        </w:rPr>
      </w:pPr>
      <w:r w:rsidRPr="004C0304">
        <w:rPr>
          <w:rStyle w:val="Appelnotedebasdep"/>
          <w:rFonts w:ascii="Agency FB" w:hAnsi="Agency FB"/>
          <w:sz w:val="24"/>
          <w:szCs w:val="24"/>
        </w:rPr>
        <w:footnoteRef/>
      </w:r>
      <w:r w:rsidRPr="004C0304">
        <w:rPr>
          <w:rFonts w:ascii="Agency FB" w:hAnsi="Agency FB"/>
          <w:sz w:val="24"/>
          <w:szCs w:val="24"/>
          <w:lang w:val="pt-BR"/>
        </w:rPr>
        <w:t xml:space="preserve"> MP (E) Myriam Ávila Roldan. </w:t>
      </w:r>
    </w:p>
  </w:footnote>
  <w:footnote w:id="4">
    <w:p w:rsidR="001A4B2C" w:rsidRPr="004C0304" w:rsidRDefault="001A4B2C" w:rsidP="001A4B2C">
      <w:pPr>
        <w:pStyle w:val="Notedebasdepage"/>
        <w:ind w:right="-283"/>
        <w:rPr>
          <w:rFonts w:ascii="Agency FB" w:hAnsi="Agency FB"/>
          <w:sz w:val="24"/>
          <w:szCs w:val="24"/>
        </w:rPr>
      </w:pPr>
      <w:r w:rsidRPr="004C0304">
        <w:rPr>
          <w:rStyle w:val="Appelnotedebasdep"/>
          <w:rFonts w:ascii="Agency FB" w:hAnsi="Agency FB"/>
          <w:i/>
          <w:sz w:val="24"/>
          <w:szCs w:val="24"/>
        </w:rPr>
        <w:footnoteRef/>
      </w:r>
      <w:r w:rsidRPr="004C0304">
        <w:rPr>
          <w:rFonts w:ascii="Agency FB" w:hAnsi="Agency FB"/>
          <w:i/>
          <w:sz w:val="24"/>
          <w:szCs w:val="24"/>
        </w:rPr>
        <w:t xml:space="preserve"> “Sentencia T-189 de 2005”.</w:t>
      </w:r>
    </w:p>
  </w:footnote>
  <w:footnote w:id="5">
    <w:p w:rsidR="001A4B2C" w:rsidRPr="004C0304" w:rsidRDefault="001A4B2C" w:rsidP="001A4B2C">
      <w:pPr>
        <w:pStyle w:val="Notedebasdepage"/>
        <w:ind w:right="-283"/>
        <w:rPr>
          <w:rFonts w:ascii="Agency FB" w:hAnsi="Agency FB"/>
          <w:sz w:val="24"/>
          <w:szCs w:val="24"/>
        </w:rPr>
      </w:pPr>
      <w:r w:rsidRPr="004C0304">
        <w:rPr>
          <w:rStyle w:val="Appelnotedebasdep"/>
          <w:rFonts w:ascii="Agency FB" w:hAnsi="Agency FB"/>
          <w:i/>
          <w:sz w:val="24"/>
          <w:szCs w:val="24"/>
        </w:rPr>
        <w:footnoteRef/>
      </w:r>
      <w:r w:rsidRPr="004C0304">
        <w:rPr>
          <w:rFonts w:ascii="Agency FB" w:hAnsi="Agency FB"/>
          <w:i/>
          <w:sz w:val="24"/>
          <w:szCs w:val="24"/>
        </w:rPr>
        <w:t xml:space="preserve"> “Sentencia T-205 de 2004”.</w:t>
      </w:r>
    </w:p>
  </w:footnote>
  <w:footnote w:id="6">
    <w:p w:rsidR="001A4B2C" w:rsidRPr="004C0304" w:rsidRDefault="001A4B2C" w:rsidP="001A4B2C">
      <w:pPr>
        <w:pStyle w:val="Notedebasdepage"/>
        <w:ind w:right="-283"/>
        <w:rPr>
          <w:rFonts w:ascii="Agency FB" w:hAnsi="Agency FB"/>
          <w:sz w:val="24"/>
          <w:szCs w:val="24"/>
        </w:rPr>
      </w:pPr>
      <w:r w:rsidRPr="004C0304">
        <w:rPr>
          <w:rStyle w:val="Appelnotedebasdep"/>
          <w:rFonts w:ascii="Agency FB" w:hAnsi="Agency FB"/>
          <w:i/>
          <w:sz w:val="24"/>
          <w:szCs w:val="24"/>
        </w:rPr>
        <w:footnoteRef/>
      </w:r>
      <w:r w:rsidRPr="004C0304">
        <w:rPr>
          <w:rFonts w:ascii="Agency FB" w:hAnsi="Agency FB"/>
          <w:i/>
          <w:sz w:val="24"/>
          <w:szCs w:val="24"/>
        </w:rPr>
        <w:t xml:space="preserve"> “Sentencia T-800 de 2006”.</w:t>
      </w:r>
    </w:p>
  </w:footnote>
  <w:footnote w:id="7">
    <w:p w:rsidR="001A4B2C" w:rsidRPr="004C0304" w:rsidRDefault="001A4B2C" w:rsidP="001A4B2C">
      <w:pPr>
        <w:pStyle w:val="Notedebasdepage"/>
        <w:ind w:right="-283"/>
        <w:rPr>
          <w:rFonts w:ascii="Agency FB" w:hAnsi="Agency FB"/>
          <w:sz w:val="24"/>
          <w:szCs w:val="24"/>
        </w:rPr>
      </w:pPr>
      <w:r w:rsidRPr="004C0304">
        <w:rPr>
          <w:rStyle w:val="Appelnotedebasdep"/>
          <w:rFonts w:ascii="Agency FB" w:hAnsi="Agency FB"/>
          <w:i/>
          <w:sz w:val="24"/>
          <w:szCs w:val="24"/>
        </w:rPr>
        <w:footnoteRef/>
      </w:r>
      <w:r w:rsidRPr="004C0304">
        <w:rPr>
          <w:rFonts w:ascii="Agency FB" w:hAnsi="Agency FB"/>
          <w:i/>
          <w:sz w:val="24"/>
          <w:szCs w:val="24"/>
        </w:rPr>
        <w:t xml:space="preserve"> “Sentencia T-522 de 2001”.</w:t>
      </w:r>
    </w:p>
  </w:footnote>
  <w:footnote w:id="8">
    <w:p w:rsidR="001A4B2C" w:rsidRPr="004C0304" w:rsidRDefault="001A4B2C" w:rsidP="001A4B2C">
      <w:pPr>
        <w:pStyle w:val="Notedebasdepage"/>
        <w:ind w:right="-283"/>
        <w:rPr>
          <w:rFonts w:ascii="Agency FB" w:hAnsi="Agency FB"/>
          <w:sz w:val="24"/>
          <w:szCs w:val="24"/>
        </w:rPr>
      </w:pPr>
      <w:r w:rsidRPr="004C0304">
        <w:rPr>
          <w:rStyle w:val="Appelnotedebasdep"/>
          <w:rFonts w:ascii="Agency FB" w:hAnsi="Agency FB"/>
          <w:i/>
          <w:sz w:val="24"/>
          <w:szCs w:val="24"/>
        </w:rPr>
        <w:footnoteRef/>
      </w:r>
      <w:r w:rsidRPr="004C0304">
        <w:rPr>
          <w:rFonts w:ascii="Agency FB" w:hAnsi="Agency FB"/>
          <w:i/>
          <w:sz w:val="24"/>
          <w:szCs w:val="24"/>
        </w:rPr>
        <w:t xml:space="preserve"> “Sentencia SU-159 de 2002”.</w:t>
      </w:r>
    </w:p>
  </w:footnote>
  <w:footnote w:id="9">
    <w:p w:rsidR="001A4B2C" w:rsidRPr="004C0304" w:rsidRDefault="001A4B2C" w:rsidP="001A4B2C">
      <w:pPr>
        <w:pStyle w:val="Notedebasdepage"/>
        <w:ind w:right="-283"/>
        <w:rPr>
          <w:rFonts w:ascii="Agency FB" w:hAnsi="Agency FB"/>
          <w:sz w:val="24"/>
          <w:szCs w:val="24"/>
        </w:rPr>
      </w:pPr>
      <w:r w:rsidRPr="004C0304">
        <w:rPr>
          <w:rStyle w:val="Appelnotedebasdep"/>
          <w:rFonts w:ascii="Agency FB" w:hAnsi="Agency FB"/>
          <w:i/>
          <w:sz w:val="24"/>
          <w:szCs w:val="24"/>
        </w:rPr>
        <w:footnoteRef/>
      </w:r>
      <w:r w:rsidRPr="004C0304">
        <w:rPr>
          <w:rFonts w:ascii="Agency FB" w:hAnsi="Agency FB"/>
          <w:i/>
          <w:sz w:val="24"/>
          <w:szCs w:val="24"/>
        </w:rPr>
        <w:t xml:space="preserve"> Sentencias T-1101 de 2005, T-1222 de 2005 y T-051 de 2009.</w:t>
      </w:r>
    </w:p>
  </w:footnote>
  <w:footnote w:id="10">
    <w:p w:rsidR="001A4B2C" w:rsidRPr="00875C85" w:rsidRDefault="001A4B2C" w:rsidP="001A4B2C">
      <w:pPr>
        <w:ind w:right="-283"/>
        <w:jc w:val="both"/>
        <w:rPr>
          <w:rFonts w:ascii="Agency FB" w:hAnsi="Agency FB"/>
          <w:sz w:val="24"/>
          <w:szCs w:val="24"/>
          <w:lang w:val="fr-FR"/>
        </w:rPr>
      </w:pPr>
      <w:r w:rsidRPr="004C0304">
        <w:rPr>
          <w:rStyle w:val="Appelnotedebasdep"/>
          <w:rFonts w:ascii="Agency FB" w:hAnsi="Agency FB"/>
          <w:i/>
          <w:sz w:val="24"/>
          <w:szCs w:val="24"/>
        </w:rPr>
        <w:footnoteRef/>
      </w:r>
      <w:r w:rsidRPr="00875C85">
        <w:rPr>
          <w:rFonts w:ascii="Agency FB" w:hAnsi="Agency FB"/>
          <w:i/>
          <w:sz w:val="24"/>
          <w:szCs w:val="24"/>
          <w:lang w:val="fr-FR"/>
        </w:rPr>
        <w:t xml:space="preserve"> Sentencias T-001 de 1999 y T-462 de 2003.</w:t>
      </w:r>
    </w:p>
  </w:footnote>
  <w:footnote w:id="11">
    <w:p w:rsidR="001A4B2C" w:rsidRPr="00875C85" w:rsidRDefault="001A4B2C" w:rsidP="001A4B2C">
      <w:pPr>
        <w:pStyle w:val="Notedebasdepage"/>
        <w:ind w:right="-283"/>
        <w:rPr>
          <w:rFonts w:ascii="Agency FB" w:hAnsi="Agency FB"/>
          <w:sz w:val="24"/>
          <w:szCs w:val="24"/>
          <w:lang w:val="fr-FR"/>
        </w:rPr>
      </w:pPr>
      <w:r w:rsidRPr="004C0304">
        <w:rPr>
          <w:rStyle w:val="Appelnotedebasdep"/>
          <w:rFonts w:ascii="Agency FB" w:hAnsi="Agency FB"/>
          <w:i/>
          <w:sz w:val="24"/>
          <w:szCs w:val="24"/>
        </w:rPr>
        <w:footnoteRef/>
      </w:r>
      <w:r w:rsidRPr="00875C85">
        <w:rPr>
          <w:rFonts w:ascii="Agency FB" w:hAnsi="Agency FB"/>
          <w:i/>
          <w:sz w:val="24"/>
          <w:szCs w:val="24"/>
          <w:lang w:val="fr-FR"/>
        </w:rPr>
        <w:t xml:space="preserve"> Sentencia T-814 de 1999, T-462 de 2003, T-1244 de 2004, T-462 de 2003 y T-1060 de 2009.</w:t>
      </w:r>
    </w:p>
  </w:footnote>
  <w:footnote w:id="12">
    <w:p w:rsidR="001A4B2C" w:rsidRPr="004C0304" w:rsidRDefault="001A4B2C" w:rsidP="001A4B2C">
      <w:pPr>
        <w:pStyle w:val="Notedebasdepage"/>
        <w:ind w:right="-283"/>
        <w:rPr>
          <w:rFonts w:ascii="Agency FB" w:hAnsi="Agency FB"/>
          <w:sz w:val="24"/>
          <w:szCs w:val="24"/>
        </w:rPr>
      </w:pPr>
      <w:r w:rsidRPr="004C0304">
        <w:rPr>
          <w:rStyle w:val="Appelnotedebasdep"/>
          <w:rFonts w:ascii="Agency FB" w:hAnsi="Agency FB"/>
          <w:i/>
          <w:sz w:val="24"/>
          <w:szCs w:val="24"/>
        </w:rPr>
        <w:footnoteRef/>
      </w:r>
      <w:r w:rsidRPr="004C0304">
        <w:rPr>
          <w:rFonts w:ascii="Agency FB" w:hAnsi="Agency FB"/>
          <w:i/>
          <w:sz w:val="24"/>
          <w:szCs w:val="24"/>
        </w:rPr>
        <w:t xml:space="preserve"> Sentencia T-018 de 2008.</w:t>
      </w:r>
    </w:p>
  </w:footnote>
  <w:footnote w:id="13">
    <w:p w:rsidR="001A4B2C" w:rsidRPr="004C0304" w:rsidRDefault="001A4B2C" w:rsidP="001A4B2C">
      <w:pPr>
        <w:pStyle w:val="Notedebasdepage"/>
        <w:ind w:right="-283"/>
        <w:rPr>
          <w:rFonts w:ascii="Agency FB" w:hAnsi="Agency FB"/>
          <w:sz w:val="24"/>
          <w:szCs w:val="24"/>
        </w:rPr>
      </w:pPr>
      <w:r w:rsidRPr="004C0304">
        <w:rPr>
          <w:rStyle w:val="Appelnotedebasdep"/>
          <w:rFonts w:ascii="Agency FB" w:hAnsi="Agency FB"/>
          <w:i/>
          <w:sz w:val="24"/>
          <w:szCs w:val="24"/>
        </w:rPr>
        <w:footnoteRef/>
      </w:r>
      <w:r w:rsidRPr="004C0304">
        <w:rPr>
          <w:rFonts w:ascii="Agency FB" w:hAnsi="Agency FB"/>
          <w:i/>
          <w:sz w:val="24"/>
          <w:szCs w:val="24"/>
        </w:rPr>
        <w:t xml:space="preserve"> Sentencia T-086 de 2007.</w:t>
      </w:r>
    </w:p>
  </w:footnote>
  <w:footnote w:id="14">
    <w:p w:rsidR="001A4B2C" w:rsidRPr="004C0304" w:rsidRDefault="001A4B2C" w:rsidP="001A4B2C">
      <w:pPr>
        <w:tabs>
          <w:tab w:val="left" w:pos="4252"/>
          <w:tab w:val="left" w:pos="8504"/>
        </w:tabs>
        <w:ind w:right="-283"/>
        <w:jc w:val="both"/>
        <w:rPr>
          <w:rFonts w:ascii="Agency FB" w:hAnsi="Agency FB"/>
          <w:sz w:val="24"/>
          <w:szCs w:val="24"/>
        </w:rPr>
      </w:pPr>
      <w:r w:rsidRPr="004C0304">
        <w:rPr>
          <w:rStyle w:val="Appelnotedebasdep"/>
          <w:rFonts w:ascii="Agency FB" w:hAnsi="Agency FB"/>
          <w:sz w:val="24"/>
          <w:szCs w:val="24"/>
        </w:rPr>
        <w:footnoteRef/>
      </w:r>
      <w:r w:rsidRPr="004C0304">
        <w:rPr>
          <w:rFonts w:ascii="Agency FB" w:hAnsi="Agency FB"/>
          <w:sz w:val="24"/>
          <w:szCs w:val="24"/>
        </w:rPr>
        <w:t xml:space="preserve"> T-231 de 1994 M.P. Eduardo Cifuentes Muñoz. Dijo la Corte: </w:t>
      </w:r>
      <w:r w:rsidRPr="004C0304">
        <w:rPr>
          <w:rFonts w:ascii="Agency FB" w:hAnsi="Agency FB"/>
          <w:i/>
          <w:iCs/>
          <w:sz w:val="24"/>
          <w:szCs w:val="24"/>
        </w:rPr>
        <w:t>“La vía de hecho predicable de una determinada acción u omisión de un juez, no obstante poder ser impugnada como nulidad absoluta, es una suerte de vicio más radical aún en cuanto que el titular del órgano se desliga por entero del imperio de la ley. Si la jurisdicción y la consiguiente atribución de poder a los diferentes jueces, se hace con miras a la aplicación del derecho a las situaciones concretas y a través de los cauces que la ley determina, una modalidad de ejercicio de esta potestad que discurra ostensiblemente al margen de la ley, de los hechos que resulten probados o con abierta preterición de los trámites y procedimientos establecidos, no podrá imputarse al órgano ni sus resultados tomarse como vinculantes, habida cuenta de la "malversación" de la competencia y de la manifiesta actuación ultra o extra vires de su titular. // Si este comportamiento - abultadamente deformado respecto del postulado en la norma - se traduce en la utilización de un</w:t>
      </w:r>
      <w:r w:rsidRPr="004C0304">
        <w:rPr>
          <w:rFonts w:ascii="Agency FB" w:hAnsi="Agency FB"/>
          <w:sz w:val="24"/>
          <w:szCs w:val="24"/>
        </w:rPr>
        <w:t xml:space="preserve"> </w:t>
      </w:r>
      <w:r w:rsidRPr="004C0304">
        <w:rPr>
          <w:rFonts w:ascii="Agency FB" w:hAnsi="Agency FB"/>
          <w:i/>
          <w:sz w:val="24"/>
          <w:szCs w:val="24"/>
        </w:rPr>
        <w:t>poder concedido al juez por el ordenamiento para un fin no previsto en la disposición (defecto sustantivo)…”.</w:t>
      </w:r>
    </w:p>
  </w:footnote>
  <w:footnote w:id="15">
    <w:p w:rsidR="001A4B2C" w:rsidRPr="00875C85" w:rsidRDefault="001A4B2C" w:rsidP="001A4B2C">
      <w:pPr>
        <w:pStyle w:val="Notedebasdepage"/>
        <w:ind w:right="-283"/>
        <w:rPr>
          <w:rFonts w:ascii="Agency FB" w:hAnsi="Agency FB"/>
          <w:sz w:val="24"/>
          <w:szCs w:val="24"/>
          <w:lang w:val="fr-FR"/>
        </w:rPr>
      </w:pPr>
      <w:r w:rsidRPr="004C0304">
        <w:rPr>
          <w:rStyle w:val="Appelnotedebasdep"/>
          <w:rFonts w:ascii="Agency FB" w:hAnsi="Agency FB"/>
          <w:i/>
          <w:sz w:val="24"/>
          <w:szCs w:val="24"/>
        </w:rPr>
        <w:footnoteRef/>
      </w:r>
      <w:r w:rsidRPr="00875C85">
        <w:rPr>
          <w:rFonts w:ascii="Agency FB" w:hAnsi="Agency FB"/>
          <w:i/>
          <w:sz w:val="24"/>
          <w:szCs w:val="24"/>
          <w:lang w:val="fr-FR"/>
        </w:rPr>
        <w:t xml:space="preserve"> Sentencia T-807 de 2004.</w:t>
      </w:r>
    </w:p>
  </w:footnote>
  <w:footnote w:id="16">
    <w:p w:rsidR="001A4B2C" w:rsidRPr="00875C85" w:rsidRDefault="001A4B2C" w:rsidP="001A4B2C">
      <w:pPr>
        <w:pStyle w:val="Notedebasdepage"/>
        <w:ind w:right="-283"/>
        <w:rPr>
          <w:rFonts w:ascii="Agency FB" w:hAnsi="Agency FB"/>
          <w:sz w:val="24"/>
          <w:szCs w:val="24"/>
          <w:lang w:val="fr-FR"/>
        </w:rPr>
      </w:pPr>
      <w:r w:rsidRPr="004C0304">
        <w:rPr>
          <w:rStyle w:val="Appelnotedebasdep"/>
          <w:rFonts w:ascii="Agency FB" w:hAnsi="Agency FB"/>
          <w:i/>
          <w:sz w:val="24"/>
          <w:szCs w:val="24"/>
        </w:rPr>
        <w:footnoteRef/>
      </w:r>
      <w:r w:rsidRPr="00875C85">
        <w:rPr>
          <w:rFonts w:ascii="Agency FB" w:hAnsi="Agency FB"/>
          <w:i/>
          <w:sz w:val="24"/>
          <w:szCs w:val="24"/>
          <w:lang w:val="fr-FR"/>
        </w:rPr>
        <w:t xml:space="preserve"> Sentencia T-056 de 2005, T-1216 de 2005, T-298 de 2008 y T-066 de 2009.</w:t>
      </w:r>
    </w:p>
  </w:footnote>
  <w:footnote w:id="17">
    <w:p w:rsidR="001A4B2C" w:rsidRPr="00875C85" w:rsidRDefault="001A4B2C" w:rsidP="001A4B2C">
      <w:pPr>
        <w:pStyle w:val="Notedebasdepage"/>
        <w:ind w:right="-283"/>
        <w:rPr>
          <w:rFonts w:ascii="Agency FB" w:hAnsi="Agency FB"/>
          <w:sz w:val="24"/>
          <w:szCs w:val="24"/>
          <w:lang w:val="fr-FR"/>
        </w:rPr>
      </w:pPr>
      <w:r w:rsidRPr="004C0304">
        <w:rPr>
          <w:rStyle w:val="Appelnotedebasdep"/>
          <w:rFonts w:ascii="Agency FB" w:hAnsi="Agency FB"/>
          <w:i/>
          <w:sz w:val="24"/>
          <w:szCs w:val="24"/>
        </w:rPr>
        <w:footnoteRef/>
      </w:r>
      <w:r w:rsidRPr="004C0304">
        <w:rPr>
          <w:rFonts w:ascii="Agency FB" w:hAnsi="Agency FB"/>
          <w:i/>
          <w:sz w:val="24"/>
          <w:szCs w:val="24"/>
          <w:lang w:val="fr-FR"/>
        </w:rPr>
        <w:t xml:space="preserve"> Sentencias T-114 de 2002 y T- 1285 de 2005.</w:t>
      </w:r>
    </w:p>
  </w:footnote>
  <w:footnote w:id="18">
    <w:p w:rsidR="001A4B2C" w:rsidRPr="00875C85" w:rsidRDefault="001A4B2C" w:rsidP="001A4B2C">
      <w:pPr>
        <w:pStyle w:val="Notedebasdepage"/>
        <w:ind w:right="-283"/>
        <w:rPr>
          <w:rFonts w:ascii="Agency FB" w:hAnsi="Agency FB"/>
          <w:sz w:val="24"/>
          <w:szCs w:val="24"/>
          <w:lang w:val="fr-FR"/>
        </w:rPr>
      </w:pPr>
      <w:r w:rsidRPr="004C0304">
        <w:rPr>
          <w:rStyle w:val="Appelnotedebasdep"/>
          <w:rFonts w:ascii="Agency FB" w:hAnsi="Agency FB"/>
          <w:i/>
          <w:sz w:val="24"/>
          <w:szCs w:val="24"/>
        </w:rPr>
        <w:footnoteRef/>
      </w:r>
      <w:r w:rsidRPr="00875C85">
        <w:rPr>
          <w:rFonts w:ascii="Agency FB" w:hAnsi="Agency FB"/>
          <w:i/>
          <w:sz w:val="24"/>
          <w:szCs w:val="24"/>
          <w:lang w:val="fr-FR"/>
        </w:rPr>
        <w:t xml:space="preserve"> Sentencia T-086 de 2007.</w:t>
      </w:r>
    </w:p>
  </w:footnote>
  <w:footnote w:id="19">
    <w:p w:rsidR="001A4B2C" w:rsidRPr="00875C85" w:rsidRDefault="001A4B2C" w:rsidP="001A4B2C">
      <w:pPr>
        <w:pStyle w:val="Notedebasdepage"/>
        <w:ind w:right="-283"/>
        <w:rPr>
          <w:rFonts w:ascii="Agency FB" w:hAnsi="Agency FB"/>
          <w:i/>
          <w:sz w:val="24"/>
          <w:szCs w:val="24"/>
          <w:lang w:val="fr-FR"/>
        </w:rPr>
      </w:pPr>
      <w:r w:rsidRPr="004C0304">
        <w:rPr>
          <w:rStyle w:val="Appelnotedebasdep"/>
          <w:rFonts w:ascii="Agency FB" w:hAnsi="Agency FB"/>
          <w:i/>
          <w:sz w:val="24"/>
          <w:szCs w:val="24"/>
        </w:rPr>
        <w:footnoteRef/>
      </w:r>
      <w:r w:rsidRPr="00875C85">
        <w:rPr>
          <w:rFonts w:ascii="Agency FB" w:hAnsi="Agency FB"/>
          <w:i/>
          <w:sz w:val="24"/>
          <w:szCs w:val="24"/>
          <w:lang w:val="fr-FR"/>
        </w:rPr>
        <w:t xml:space="preserve"> Sentencias T-193 de 1995, T-949 de 2003, T-1285 de 2005 y T-086 de 2007.</w:t>
      </w:r>
    </w:p>
    <w:p w:rsidR="001A4B2C" w:rsidRPr="00875C85" w:rsidRDefault="001A4B2C" w:rsidP="001A4B2C">
      <w:pPr>
        <w:pStyle w:val="Notedebasdepage"/>
        <w:ind w:right="-283"/>
        <w:rPr>
          <w:rFonts w:ascii="Agency FB" w:hAnsi="Agency FB"/>
          <w:sz w:val="24"/>
          <w:szCs w:val="24"/>
          <w:lang w:val="fr-FR"/>
        </w:rPr>
      </w:pPr>
      <w:r w:rsidRPr="004C0304">
        <w:rPr>
          <w:rStyle w:val="Appelnotedebasdep"/>
          <w:rFonts w:ascii="Agency FB" w:hAnsi="Agency FB"/>
          <w:i/>
          <w:sz w:val="24"/>
          <w:szCs w:val="24"/>
        </w:rPr>
        <w:footnoteRef/>
      </w:r>
      <w:r w:rsidRPr="00875C85">
        <w:rPr>
          <w:rFonts w:ascii="Agency FB" w:hAnsi="Agency FB"/>
          <w:i/>
          <w:sz w:val="24"/>
          <w:szCs w:val="24"/>
          <w:lang w:val="fr-FR"/>
        </w:rPr>
        <w:t xml:space="preserve"> Sentencias </w:t>
      </w:r>
      <w:proofErr w:type="spellStart"/>
      <w:r w:rsidRPr="00875C85">
        <w:rPr>
          <w:rFonts w:ascii="Agency FB" w:hAnsi="Agency FB"/>
          <w:i/>
          <w:sz w:val="24"/>
          <w:szCs w:val="24"/>
          <w:lang w:val="fr-FR"/>
        </w:rPr>
        <w:t>SU-640</w:t>
      </w:r>
      <w:proofErr w:type="spellEnd"/>
      <w:r w:rsidRPr="00875C85">
        <w:rPr>
          <w:rFonts w:ascii="Agency FB" w:hAnsi="Agency FB"/>
          <w:i/>
          <w:sz w:val="24"/>
          <w:szCs w:val="24"/>
          <w:lang w:val="fr-FR"/>
        </w:rPr>
        <w:t xml:space="preserve"> de 1998, T-462 de 2003, T-292 de 2006 y T-086 de 2007.</w:t>
      </w:r>
    </w:p>
  </w:footnote>
  <w:footnote w:id="20">
    <w:p w:rsidR="001A4B2C" w:rsidRPr="00875C85" w:rsidRDefault="001A4B2C" w:rsidP="001A4B2C">
      <w:pPr>
        <w:ind w:right="-283"/>
        <w:rPr>
          <w:sz w:val="24"/>
          <w:szCs w:val="24"/>
          <w:lang w:val="fr-FR"/>
        </w:rPr>
      </w:pPr>
      <w:r w:rsidRPr="004C0304">
        <w:rPr>
          <w:rStyle w:val="Appelnotedebasdep"/>
          <w:rFonts w:ascii="Agency FB" w:hAnsi="Agency FB"/>
          <w:i/>
          <w:sz w:val="24"/>
          <w:szCs w:val="24"/>
        </w:rPr>
        <w:footnoteRef/>
      </w:r>
      <w:r w:rsidRPr="00875C85">
        <w:rPr>
          <w:rFonts w:ascii="Agency FB" w:hAnsi="Agency FB"/>
          <w:i/>
          <w:sz w:val="24"/>
          <w:szCs w:val="24"/>
          <w:lang w:val="fr-FR"/>
        </w:rPr>
        <w:t xml:space="preserve"> Sentencias T-1625 de 2000, T-522 de 2001, </w:t>
      </w:r>
      <w:proofErr w:type="spellStart"/>
      <w:r w:rsidRPr="00875C85">
        <w:rPr>
          <w:rFonts w:ascii="Agency FB" w:hAnsi="Agency FB"/>
          <w:i/>
          <w:sz w:val="24"/>
          <w:szCs w:val="24"/>
          <w:lang w:val="fr-FR"/>
        </w:rPr>
        <w:t>SU-1184</w:t>
      </w:r>
      <w:proofErr w:type="spellEnd"/>
      <w:r w:rsidRPr="00875C85">
        <w:rPr>
          <w:rFonts w:ascii="Agency FB" w:hAnsi="Agency FB"/>
          <w:i/>
          <w:sz w:val="24"/>
          <w:szCs w:val="24"/>
          <w:lang w:val="fr-FR"/>
        </w:rPr>
        <w:t xml:space="preserve"> de 2001 y T-047 de 2005.</w:t>
      </w:r>
    </w:p>
  </w:footnote>
  <w:footnote w:id="21">
    <w:p w:rsidR="003F4338" w:rsidRPr="004C0304" w:rsidRDefault="003F4338" w:rsidP="003F4338">
      <w:pPr>
        <w:pStyle w:val="Notedebasdepage"/>
        <w:rPr>
          <w:rFonts w:ascii="Agency FB" w:hAnsi="Agency FB"/>
          <w:sz w:val="24"/>
          <w:szCs w:val="24"/>
          <w:lang w:val="es-419"/>
        </w:rPr>
      </w:pPr>
      <w:r w:rsidRPr="004C0304">
        <w:rPr>
          <w:rStyle w:val="Appelnotedebasdep"/>
          <w:rFonts w:ascii="Agency FB" w:hAnsi="Agency FB"/>
          <w:sz w:val="24"/>
          <w:szCs w:val="24"/>
        </w:rPr>
        <w:footnoteRef/>
      </w:r>
      <w:r w:rsidRPr="004C0304">
        <w:rPr>
          <w:rFonts w:ascii="Agency FB" w:hAnsi="Agency FB"/>
          <w:sz w:val="24"/>
          <w:szCs w:val="24"/>
        </w:rPr>
        <w:t xml:space="preserve">  </w:t>
      </w:r>
      <w:r w:rsidRPr="004C0304">
        <w:rPr>
          <w:rFonts w:ascii="Agency FB" w:hAnsi="Agency FB"/>
          <w:sz w:val="24"/>
          <w:szCs w:val="24"/>
          <w:lang w:val="es-MX"/>
        </w:rPr>
        <w:t xml:space="preserve">Sentencia </w:t>
      </w:r>
      <w:r w:rsidRPr="004C0304">
        <w:rPr>
          <w:rFonts w:ascii="Agency FB" w:hAnsi="Agency FB"/>
          <w:sz w:val="24"/>
          <w:szCs w:val="24"/>
        </w:rPr>
        <w:t>T-667</w:t>
      </w:r>
      <w:r w:rsidRPr="004C0304">
        <w:rPr>
          <w:rFonts w:ascii="Agency FB" w:hAnsi="Agency FB"/>
          <w:sz w:val="24"/>
          <w:szCs w:val="24"/>
          <w:lang w:val="es-419"/>
        </w:rPr>
        <w:t xml:space="preserve"> </w:t>
      </w:r>
      <w:r w:rsidRPr="004C0304">
        <w:rPr>
          <w:rFonts w:ascii="Agency FB" w:hAnsi="Agency FB"/>
          <w:sz w:val="24"/>
          <w:szCs w:val="24"/>
          <w:lang w:val="es-419"/>
        </w:rPr>
        <w:t>de 2015</w:t>
      </w:r>
    </w:p>
  </w:footnote>
  <w:footnote w:id="22">
    <w:p w:rsidR="004C0A33" w:rsidRPr="004C0304" w:rsidRDefault="004C0A33" w:rsidP="004C0A33">
      <w:pPr>
        <w:spacing w:line="276" w:lineRule="auto"/>
        <w:jc w:val="both"/>
        <w:rPr>
          <w:sz w:val="24"/>
          <w:szCs w:val="24"/>
          <w:lang w:val="es-419"/>
        </w:rPr>
      </w:pPr>
      <w:r w:rsidRPr="004C0304">
        <w:rPr>
          <w:rStyle w:val="Appelnotedebasdep"/>
          <w:rFonts w:ascii="Agency FB" w:hAnsi="Agency FB"/>
          <w:sz w:val="24"/>
          <w:szCs w:val="24"/>
        </w:rPr>
        <w:footnoteRef/>
      </w:r>
      <w:r w:rsidRPr="004C0304">
        <w:rPr>
          <w:rFonts w:ascii="Agency FB" w:hAnsi="Agency FB"/>
          <w:sz w:val="24"/>
          <w:szCs w:val="24"/>
        </w:rPr>
        <w:t xml:space="preserve"> </w:t>
      </w:r>
      <w:r w:rsidRPr="004C0304">
        <w:rPr>
          <w:rFonts w:ascii="Agency FB" w:hAnsi="Agency FB"/>
          <w:sz w:val="24"/>
          <w:szCs w:val="24"/>
          <w:lang w:val="es-419"/>
        </w:rPr>
        <w:t xml:space="preserve">Auto de julio 10 de 2017, expediente </w:t>
      </w:r>
      <w:r w:rsidRPr="004C0304">
        <w:rPr>
          <w:rFonts w:ascii="Agency FB" w:hAnsi="Agency FB" w:cs="Estrangelo Edessa"/>
          <w:sz w:val="24"/>
          <w:szCs w:val="24"/>
        </w:rPr>
        <w:t>66</w:t>
      </w:r>
      <w:r w:rsidRPr="004C0304">
        <w:rPr>
          <w:rFonts w:ascii="Agency FB" w:hAnsi="Agency FB" w:cs="Estrangelo Edessa"/>
          <w:sz w:val="24"/>
          <w:szCs w:val="24"/>
          <w:lang w:val="es-419"/>
        </w:rPr>
        <w:t xml:space="preserve">001-31-03-002-2009-00285-01, </w:t>
      </w:r>
    </w:p>
  </w:footnote>
  <w:footnote w:id="23">
    <w:p w:rsidR="0012183E" w:rsidRPr="004C0304" w:rsidRDefault="0012183E" w:rsidP="0012183E">
      <w:pPr>
        <w:ind w:right="475"/>
        <w:jc w:val="both"/>
        <w:rPr>
          <w:rFonts w:ascii="Agency FB" w:hAnsi="Agency FB"/>
          <w:sz w:val="24"/>
          <w:szCs w:val="24"/>
        </w:rPr>
      </w:pPr>
      <w:r w:rsidRPr="004C0304">
        <w:rPr>
          <w:rStyle w:val="Appelnotedebasdep"/>
          <w:rFonts w:ascii="Agency FB" w:hAnsi="Agency FB"/>
          <w:sz w:val="24"/>
          <w:szCs w:val="24"/>
        </w:rPr>
        <w:footnoteRef/>
      </w:r>
      <w:r w:rsidRPr="004C0304">
        <w:rPr>
          <w:rFonts w:ascii="Agency FB" w:hAnsi="Agency FB"/>
          <w:sz w:val="24"/>
          <w:szCs w:val="24"/>
        </w:rPr>
        <w:t xml:space="preserve"> Sentencia T-388/06. Así se reitera en otras providencias, como la sentencia T-060 de 2014</w:t>
      </w:r>
    </w:p>
  </w:footnote>
  <w:footnote w:id="24">
    <w:p w:rsidR="0012183E" w:rsidRPr="004C0304" w:rsidRDefault="0012183E" w:rsidP="0012183E">
      <w:pPr>
        <w:pStyle w:val="Pieddepage"/>
        <w:jc w:val="both"/>
        <w:rPr>
          <w:rFonts w:ascii="Agency FB" w:hAnsi="Agency FB"/>
          <w:sz w:val="24"/>
          <w:szCs w:val="24"/>
        </w:rPr>
      </w:pPr>
      <w:r w:rsidRPr="004C0304">
        <w:rPr>
          <w:rStyle w:val="Appelnotedebasdep"/>
          <w:rFonts w:ascii="Agency FB" w:hAnsi="Agency FB"/>
          <w:sz w:val="24"/>
          <w:szCs w:val="24"/>
        </w:rPr>
        <w:footnoteRef/>
      </w:r>
      <w:r w:rsidRPr="004C0304">
        <w:rPr>
          <w:rFonts w:ascii="Agency FB" w:hAnsi="Agency FB"/>
          <w:sz w:val="24"/>
          <w:szCs w:val="24"/>
        </w:rPr>
        <w:t xml:space="preserve"> </w:t>
      </w:r>
      <w:r w:rsidRPr="004C0304">
        <w:rPr>
          <w:rFonts w:ascii="Agency FB" w:hAnsi="Agency FB"/>
          <w:sz w:val="24"/>
          <w:szCs w:val="24"/>
          <w:lang w:val="es-MX"/>
        </w:rPr>
        <w:t xml:space="preserve">En sentido similar pueden consultarse las sentencias </w:t>
      </w:r>
      <w:r w:rsidRPr="004C0304">
        <w:rPr>
          <w:rFonts w:ascii="Agency FB" w:hAnsi="Agency FB"/>
          <w:sz w:val="24"/>
          <w:szCs w:val="24"/>
        </w:rPr>
        <w:t>T-765 de 1998, M.P., José Gregorio Hernández Galindo; T-555 de 2000 M.P., Fabio Morón Díaz y T-085 de 2001 M.P., Alejandro Martínez Caballero; T-702 de 2003, M.P. Clara Inés Vargas Hernández.</w:t>
      </w:r>
    </w:p>
  </w:footnote>
  <w:footnote w:id="25">
    <w:p w:rsidR="0012183E" w:rsidRPr="00C64696" w:rsidRDefault="0012183E" w:rsidP="0012183E">
      <w:pPr>
        <w:pStyle w:val="Notedebasdepage"/>
        <w:rPr>
          <w:rFonts w:ascii="Agency FB" w:hAnsi="Agency FB"/>
          <w:sz w:val="24"/>
          <w:szCs w:val="24"/>
        </w:rPr>
      </w:pPr>
      <w:r w:rsidRPr="004C0304">
        <w:rPr>
          <w:rStyle w:val="Appelnotedebasdep"/>
          <w:rFonts w:ascii="Agency FB" w:hAnsi="Agency FB"/>
          <w:sz w:val="24"/>
          <w:szCs w:val="24"/>
        </w:rPr>
        <w:footnoteRef/>
      </w:r>
      <w:r w:rsidRPr="004C0304">
        <w:rPr>
          <w:rFonts w:ascii="Agency FB" w:hAnsi="Agency FB"/>
          <w:sz w:val="24"/>
          <w:szCs w:val="24"/>
        </w:rPr>
        <w:t xml:space="preserve"> Sentencia T-327 de 1994, M.P.</w:t>
      </w:r>
      <w:r w:rsidR="004C0304" w:rsidRPr="004C0304">
        <w:rPr>
          <w:rFonts w:ascii="Agency FB" w:hAnsi="Agency FB"/>
          <w:sz w:val="24"/>
          <w:szCs w:val="24"/>
          <w:lang w:val="es-419"/>
        </w:rPr>
        <w:t xml:space="preserve"> </w:t>
      </w:r>
      <w:r w:rsidRPr="004C0304">
        <w:rPr>
          <w:rFonts w:ascii="Agency FB" w:hAnsi="Agency FB"/>
          <w:sz w:val="24"/>
          <w:szCs w:val="24"/>
        </w:rPr>
        <w:t>Vladimiro Naranjo Mesa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AA4" w:rsidRDefault="00E86AA4" w:rsidP="00DB0C4F">
    <w:pPr>
      <w:spacing w:line="360" w:lineRule="auto"/>
      <w:ind w:hanging="1134"/>
    </w:pPr>
    <w:r>
      <w:tab/>
    </w:r>
    <w:r>
      <w:tab/>
    </w:r>
    <w:r>
      <w:tab/>
    </w:r>
    <w:r>
      <w:tab/>
    </w:r>
    <w:r>
      <w:rPr>
        <w:lang w:val="es-MX"/>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0203E"/>
    <w:multiLevelType w:val="hybridMultilevel"/>
    <w:tmpl w:val="EBDC042E"/>
    <w:lvl w:ilvl="0" w:tplc="85DCBC1E">
      <w:start w:val="1"/>
      <w:numFmt w:val="bullet"/>
      <w:lvlText w:val=""/>
      <w:lvlJc w:val="left"/>
      <w:pPr>
        <w:tabs>
          <w:tab w:val="num" w:pos="284"/>
        </w:tabs>
        <w:ind w:left="0" w:firstLine="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4E1A033E"/>
    <w:multiLevelType w:val="hybridMultilevel"/>
    <w:tmpl w:val="983A5E42"/>
    <w:lvl w:ilvl="0" w:tplc="EB3E2E1E">
      <w:start w:val="1"/>
      <w:numFmt w:val="lowerLetter"/>
      <w:lvlText w:val="%1."/>
      <w:lvlJc w:val="left"/>
      <w:pPr>
        <w:tabs>
          <w:tab w:val="num" w:pos="765"/>
        </w:tabs>
        <w:ind w:left="765" w:hanging="405"/>
      </w:pPr>
      <w:rPr>
        <w:rFonts w:cs="Times New Roman" w:hint="default"/>
      </w:rPr>
    </w:lvl>
    <w:lvl w:ilvl="1" w:tplc="9762EFA0">
      <w:start w:val="2"/>
      <w:numFmt w:val="lowerRoman"/>
      <w:lvlText w:val="%2."/>
      <w:lvlJc w:val="left"/>
      <w:pPr>
        <w:tabs>
          <w:tab w:val="num" w:pos="1800"/>
        </w:tabs>
        <w:ind w:left="1800" w:hanging="72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nsid w:val="501F08B5"/>
    <w:multiLevelType w:val="multilevel"/>
    <w:tmpl w:val="82162070"/>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0"/>
        </w:tabs>
        <w:ind w:left="3600" w:hanging="720"/>
      </w:pPr>
      <w:rPr>
        <w:rFonts w:cs="Times New Roman" w:hint="default"/>
      </w:rPr>
    </w:lvl>
    <w:lvl w:ilvl="2">
      <w:start w:val="1"/>
      <w:numFmt w:val="decimal"/>
      <w:lvlText w:val="%1.%2.%3."/>
      <w:lvlJc w:val="left"/>
      <w:pPr>
        <w:tabs>
          <w:tab w:val="num" w:pos="6480"/>
        </w:tabs>
        <w:ind w:left="6480" w:hanging="720"/>
      </w:pPr>
      <w:rPr>
        <w:rFonts w:cs="Times New Roman" w:hint="default"/>
      </w:rPr>
    </w:lvl>
    <w:lvl w:ilvl="3">
      <w:start w:val="1"/>
      <w:numFmt w:val="decimal"/>
      <w:lvlText w:val="%1.%2.%3.%4."/>
      <w:lvlJc w:val="left"/>
      <w:pPr>
        <w:tabs>
          <w:tab w:val="num" w:pos="9720"/>
        </w:tabs>
        <w:ind w:left="9720" w:hanging="1080"/>
      </w:pPr>
      <w:rPr>
        <w:rFonts w:cs="Times New Roman" w:hint="default"/>
      </w:rPr>
    </w:lvl>
    <w:lvl w:ilvl="4">
      <w:start w:val="1"/>
      <w:numFmt w:val="decimal"/>
      <w:lvlText w:val="%1.%2.%3.%4.%5."/>
      <w:lvlJc w:val="left"/>
      <w:pPr>
        <w:tabs>
          <w:tab w:val="num" w:pos="12600"/>
        </w:tabs>
        <w:ind w:left="12600" w:hanging="1080"/>
      </w:pPr>
      <w:rPr>
        <w:rFonts w:cs="Times New Roman" w:hint="default"/>
      </w:rPr>
    </w:lvl>
    <w:lvl w:ilvl="5">
      <w:start w:val="1"/>
      <w:numFmt w:val="decimal"/>
      <w:lvlText w:val="%1.%2.%3.%4.%5.%6."/>
      <w:lvlJc w:val="left"/>
      <w:pPr>
        <w:tabs>
          <w:tab w:val="num" w:pos="15840"/>
        </w:tabs>
        <w:ind w:left="15840" w:hanging="1440"/>
      </w:pPr>
      <w:rPr>
        <w:rFonts w:cs="Times New Roman" w:hint="default"/>
      </w:rPr>
    </w:lvl>
    <w:lvl w:ilvl="6">
      <w:start w:val="1"/>
      <w:numFmt w:val="decimal"/>
      <w:lvlText w:val="%1.%2.%3.%4.%5.%6.%7."/>
      <w:lvlJc w:val="left"/>
      <w:pPr>
        <w:tabs>
          <w:tab w:val="num" w:pos="18720"/>
        </w:tabs>
        <w:ind w:left="18720" w:hanging="1440"/>
      </w:pPr>
      <w:rPr>
        <w:rFonts w:cs="Times New Roman" w:hint="default"/>
      </w:rPr>
    </w:lvl>
    <w:lvl w:ilvl="7">
      <w:start w:val="1"/>
      <w:numFmt w:val="decimal"/>
      <w:lvlText w:val="%1.%2.%3.%4.%5.%6.%7.%8."/>
      <w:lvlJc w:val="left"/>
      <w:pPr>
        <w:tabs>
          <w:tab w:val="num" w:pos="21960"/>
        </w:tabs>
        <w:ind w:left="21960" w:hanging="1800"/>
      </w:pPr>
      <w:rPr>
        <w:rFonts w:cs="Times New Roman" w:hint="default"/>
      </w:rPr>
    </w:lvl>
    <w:lvl w:ilvl="8">
      <w:start w:val="1"/>
      <w:numFmt w:val="decimal"/>
      <w:lvlText w:val="%1.%2.%3.%4.%5.%6.%7.%8.%9."/>
      <w:lvlJc w:val="left"/>
      <w:pPr>
        <w:tabs>
          <w:tab w:val="num" w:pos="24840"/>
        </w:tabs>
        <w:ind w:left="24840" w:hanging="1800"/>
      </w:pPr>
      <w:rPr>
        <w:rFonts w:cs="Times New Roman" w:hint="default"/>
      </w:rPr>
    </w:lvl>
  </w:abstractNum>
  <w:abstractNum w:abstractNumId="3">
    <w:nsid w:val="5AEE2D98"/>
    <w:multiLevelType w:val="multilevel"/>
    <w:tmpl w:val="BEAEB5B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0"/>
        </w:tabs>
        <w:ind w:left="3600" w:hanging="720"/>
      </w:pPr>
      <w:rPr>
        <w:rFonts w:cs="Times New Roman" w:hint="default"/>
      </w:rPr>
    </w:lvl>
    <w:lvl w:ilvl="2">
      <w:start w:val="1"/>
      <w:numFmt w:val="decimal"/>
      <w:lvlText w:val="%1.%2.%3."/>
      <w:lvlJc w:val="left"/>
      <w:pPr>
        <w:tabs>
          <w:tab w:val="num" w:pos="6480"/>
        </w:tabs>
        <w:ind w:left="6480" w:hanging="720"/>
      </w:pPr>
      <w:rPr>
        <w:rFonts w:cs="Times New Roman" w:hint="default"/>
      </w:rPr>
    </w:lvl>
    <w:lvl w:ilvl="3">
      <w:start w:val="1"/>
      <w:numFmt w:val="decimal"/>
      <w:lvlText w:val="%1.%2.%3.%4."/>
      <w:lvlJc w:val="left"/>
      <w:pPr>
        <w:tabs>
          <w:tab w:val="num" w:pos="9720"/>
        </w:tabs>
        <w:ind w:left="9720" w:hanging="1080"/>
      </w:pPr>
      <w:rPr>
        <w:rFonts w:cs="Times New Roman" w:hint="default"/>
      </w:rPr>
    </w:lvl>
    <w:lvl w:ilvl="4">
      <w:start w:val="1"/>
      <w:numFmt w:val="decimal"/>
      <w:lvlText w:val="%1.%2.%3.%4.%5."/>
      <w:lvlJc w:val="left"/>
      <w:pPr>
        <w:tabs>
          <w:tab w:val="num" w:pos="12600"/>
        </w:tabs>
        <w:ind w:left="12600" w:hanging="1080"/>
      </w:pPr>
      <w:rPr>
        <w:rFonts w:cs="Times New Roman" w:hint="default"/>
      </w:rPr>
    </w:lvl>
    <w:lvl w:ilvl="5">
      <w:start w:val="1"/>
      <w:numFmt w:val="decimal"/>
      <w:lvlText w:val="%1.%2.%3.%4.%5.%6."/>
      <w:lvlJc w:val="left"/>
      <w:pPr>
        <w:tabs>
          <w:tab w:val="num" w:pos="15840"/>
        </w:tabs>
        <w:ind w:left="15840" w:hanging="1440"/>
      </w:pPr>
      <w:rPr>
        <w:rFonts w:cs="Times New Roman" w:hint="default"/>
      </w:rPr>
    </w:lvl>
    <w:lvl w:ilvl="6">
      <w:start w:val="1"/>
      <w:numFmt w:val="decimal"/>
      <w:lvlText w:val="%1.%2.%3.%4.%5.%6.%7."/>
      <w:lvlJc w:val="left"/>
      <w:pPr>
        <w:tabs>
          <w:tab w:val="num" w:pos="18720"/>
        </w:tabs>
        <w:ind w:left="18720" w:hanging="1440"/>
      </w:pPr>
      <w:rPr>
        <w:rFonts w:cs="Times New Roman" w:hint="default"/>
      </w:rPr>
    </w:lvl>
    <w:lvl w:ilvl="7">
      <w:start w:val="1"/>
      <w:numFmt w:val="decimal"/>
      <w:lvlText w:val="%1.%2.%3.%4.%5.%6.%7.%8."/>
      <w:lvlJc w:val="left"/>
      <w:pPr>
        <w:tabs>
          <w:tab w:val="num" w:pos="21960"/>
        </w:tabs>
        <w:ind w:left="21960" w:hanging="1800"/>
      </w:pPr>
      <w:rPr>
        <w:rFonts w:cs="Times New Roman" w:hint="default"/>
      </w:rPr>
    </w:lvl>
    <w:lvl w:ilvl="8">
      <w:start w:val="1"/>
      <w:numFmt w:val="decimal"/>
      <w:lvlText w:val="%1.%2.%3.%4.%5.%6.%7.%8.%9."/>
      <w:lvlJc w:val="left"/>
      <w:pPr>
        <w:tabs>
          <w:tab w:val="num" w:pos="24840"/>
        </w:tabs>
        <w:ind w:left="24840" w:hanging="1800"/>
      </w:pPr>
      <w:rPr>
        <w:rFonts w:cs="Times New Roman" w:hint="default"/>
      </w:rPr>
    </w:lvl>
  </w:abstractNum>
  <w:abstractNum w:abstractNumId="4">
    <w:nsid w:val="6210507B"/>
    <w:multiLevelType w:val="hybridMultilevel"/>
    <w:tmpl w:val="4718C0EE"/>
    <w:lvl w:ilvl="0" w:tplc="0C0A0019">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activeWritingStyle w:appName="MSWord" w:lang="fr-FR" w:vendorID="64" w:dllVersion="131078" w:nlCheck="1" w:checkStyle="1"/>
  <w:activeWritingStyle w:appName="MSWord" w:lang="es-CO" w:vendorID="64" w:dllVersion="131078" w:nlCheck="1" w:checkStyle="1"/>
  <w:activeWritingStyle w:appName="MSWord" w:lang="es-419" w:vendorID="64" w:dllVersion="131078" w:nlCheck="1" w:checkStyle="1"/>
  <w:activeWritingStyle w:appName="MSWord" w:lang="pt-B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D53"/>
    <w:rsid w:val="00000171"/>
    <w:rsid w:val="00000A24"/>
    <w:rsid w:val="00000B68"/>
    <w:rsid w:val="00000D9E"/>
    <w:rsid w:val="00001118"/>
    <w:rsid w:val="000015BA"/>
    <w:rsid w:val="00003AC9"/>
    <w:rsid w:val="0000647B"/>
    <w:rsid w:val="0000738E"/>
    <w:rsid w:val="00010598"/>
    <w:rsid w:val="00010988"/>
    <w:rsid w:val="000156AF"/>
    <w:rsid w:val="000164E8"/>
    <w:rsid w:val="00016A46"/>
    <w:rsid w:val="00020BAD"/>
    <w:rsid w:val="00022BA8"/>
    <w:rsid w:val="00023AC5"/>
    <w:rsid w:val="00027096"/>
    <w:rsid w:val="000277AD"/>
    <w:rsid w:val="00027B91"/>
    <w:rsid w:val="00027C5D"/>
    <w:rsid w:val="00027E7E"/>
    <w:rsid w:val="00035FA4"/>
    <w:rsid w:val="000417D6"/>
    <w:rsid w:val="000418A0"/>
    <w:rsid w:val="00043F7D"/>
    <w:rsid w:val="0004633F"/>
    <w:rsid w:val="000509EF"/>
    <w:rsid w:val="00056A19"/>
    <w:rsid w:val="00057672"/>
    <w:rsid w:val="00057E31"/>
    <w:rsid w:val="000615A6"/>
    <w:rsid w:val="00062869"/>
    <w:rsid w:val="00064115"/>
    <w:rsid w:val="00064930"/>
    <w:rsid w:val="00071ABC"/>
    <w:rsid w:val="00072EBD"/>
    <w:rsid w:val="000731AA"/>
    <w:rsid w:val="00076C4B"/>
    <w:rsid w:val="00077C12"/>
    <w:rsid w:val="000856DD"/>
    <w:rsid w:val="000856F2"/>
    <w:rsid w:val="00085DA6"/>
    <w:rsid w:val="00087A93"/>
    <w:rsid w:val="000909D5"/>
    <w:rsid w:val="00092CB9"/>
    <w:rsid w:val="00093032"/>
    <w:rsid w:val="00094758"/>
    <w:rsid w:val="00095DC4"/>
    <w:rsid w:val="000A06FA"/>
    <w:rsid w:val="000A190D"/>
    <w:rsid w:val="000A2175"/>
    <w:rsid w:val="000A25B1"/>
    <w:rsid w:val="000A2799"/>
    <w:rsid w:val="000A52D6"/>
    <w:rsid w:val="000A563F"/>
    <w:rsid w:val="000A7D06"/>
    <w:rsid w:val="000B7F20"/>
    <w:rsid w:val="000C3319"/>
    <w:rsid w:val="000C3A66"/>
    <w:rsid w:val="000E2F47"/>
    <w:rsid w:val="000E4DEE"/>
    <w:rsid w:val="000E4F75"/>
    <w:rsid w:val="000F1C62"/>
    <w:rsid w:val="000F2D20"/>
    <w:rsid w:val="000F34D1"/>
    <w:rsid w:val="000F4B3F"/>
    <w:rsid w:val="000F794C"/>
    <w:rsid w:val="001029F9"/>
    <w:rsid w:val="00102FBC"/>
    <w:rsid w:val="0010355F"/>
    <w:rsid w:val="0010436F"/>
    <w:rsid w:val="00104B59"/>
    <w:rsid w:val="00107134"/>
    <w:rsid w:val="0011036B"/>
    <w:rsid w:val="001108EE"/>
    <w:rsid w:val="00112E77"/>
    <w:rsid w:val="00112F2E"/>
    <w:rsid w:val="00117BFC"/>
    <w:rsid w:val="00117F57"/>
    <w:rsid w:val="0012009B"/>
    <w:rsid w:val="0012183E"/>
    <w:rsid w:val="00121D97"/>
    <w:rsid w:val="001242A2"/>
    <w:rsid w:val="00124B8F"/>
    <w:rsid w:val="00125981"/>
    <w:rsid w:val="00125B49"/>
    <w:rsid w:val="00126547"/>
    <w:rsid w:val="00126D1D"/>
    <w:rsid w:val="0013184A"/>
    <w:rsid w:val="00133405"/>
    <w:rsid w:val="001370BB"/>
    <w:rsid w:val="00137DEB"/>
    <w:rsid w:val="0014227E"/>
    <w:rsid w:val="00143A06"/>
    <w:rsid w:val="00145DFA"/>
    <w:rsid w:val="00146007"/>
    <w:rsid w:val="0014686B"/>
    <w:rsid w:val="00147A00"/>
    <w:rsid w:val="001521F2"/>
    <w:rsid w:val="0015244E"/>
    <w:rsid w:val="00152624"/>
    <w:rsid w:val="00155937"/>
    <w:rsid w:val="001562DF"/>
    <w:rsid w:val="0016343F"/>
    <w:rsid w:val="00163A18"/>
    <w:rsid w:val="001659AB"/>
    <w:rsid w:val="00170791"/>
    <w:rsid w:val="00174559"/>
    <w:rsid w:val="00174F38"/>
    <w:rsid w:val="00176355"/>
    <w:rsid w:val="001764FF"/>
    <w:rsid w:val="0017660D"/>
    <w:rsid w:val="001768A3"/>
    <w:rsid w:val="00177342"/>
    <w:rsid w:val="001809CE"/>
    <w:rsid w:val="00182D65"/>
    <w:rsid w:val="00185E56"/>
    <w:rsid w:val="00186FD9"/>
    <w:rsid w:val="0018704B"/>
    <w:rsid w:val="00194089"/>
    <w:rsid w:val="001950B5"/>
    <w:rsid w:val="001A1D9A"/>
    <w:rsid w:val="001A2A3F"/>
    <w:rsid w:val="001A4B2C"/>
    <w:rsid w:val="001A4D30"/>
    <w:rsid w:val="001A521D"/>
    <w:rsid w:val="001B010C"/>
    <w:rsid w:val="001B21F1"/>
    <w:rsid w:val="001B31D1"/>
    <w:rsid w:val="001B63A0"/>
    <w:rsid w:val="001B758C"/>
    <w:rsid w:val="001C0808"/>
    <w:rsid w:val="001C231F"/>
    <w:rsid w:val="001C2427"/>
    <w:rsid w:val="001C6B76"/>
    <w:rsid w:val="001C7197"/>
    <w:rsid w:val="001D0067"/>
    <w:rsid w:val="001D0492"/>
    <w:rsid w:val="001D1C76"/>
    <w:rsid w:val="001D4EFF"/>
    <w:rsid w:val="001D7E6B"/>
    <w:rsid w:val="001E079F"/>
    <w:rsid w:val="001E43DD"/>
    <w:rsid w:val="001E5FDF"/>
    <w:rsid w:val="001F5455"/>
    <w:rsid w:val="002011E9"/>
    <w:rsid w:val="002062E0"/>
    <w:rsid w:val="00206611"/>
    <w:rsid w:val="00211EB9"/>
    <w:rsid w:val="002224EE"/>
    <w:rsid w:val="002228CF"/>
    <w:rsid w:val="00222F6E"/>
    <w:rsid w:val="00224947"/>
    <w:rsid w:val="00226DE8"/>
    <w:rsid w:val="00232AB4"/>
    <w:rsid w:val="00232EFA"/>
    <w:rsid w:val="00233511"/>
    <w:rsid w:val="002342A4"/>
    <w:rsid w:val="002356D6"/>
    <w:rsid w:val="002379C0"/>
    <w:rsid w:val="00237BB9"/>
    <w:rsid w:val="00240E3A"/>
    <w:rsid w:val="002429D7"/>
    <w:rsid w:val="00242B59"/>
    <w:rsid w:val="00243C09"/>
    <w:rsid w:val="002451E5"/>
    <w:rsid w:val="00245BC0"/>
    <w:rsid w:val="00246716"/>
    <w:rsid w:val="0025210F"/>
    <w:rsid w:val="0025442B"/>
    <w:rsid w:val="00256694"/>
    <w:rsid w:val="00261859"/>
    <w:rsid w:val="00263D0A"/>
    <w:rsid w:val="00265715"/>
    <w:rsid w:val="00266D69"/>
    <w:rsid w:val="00270620"/>
    <w:rsid w:val="0027143F"/>
    <w:rsid w:val="00276FE2"/>
    <w:rsid w:val="002779A5"/>
    <w:rsid w:val="00285D72"/>
    <w:rsid w:val="0029014D"/>
    <w:rsid w:val="00290DF2"/>
    <w:rsid w:val="00293AA5"/>
    <w:rsid w:val="002942F4"/>
    <w:rsid w:val="002965FA"/>
    <w:rsid w:val="00297436"/>
    <w:rsid w:val="002A21CF"/>
    <w:rsid w:val="002A2911"/>
    <w:rsid w:val="002A2C04"/>
    <w:rsid w:val="002A3471"/>
    <w:rsid w:val="002A4C03"/>
    <w:rsid w:val="002A7176"/>
    <w:rsid w:val="002B1090"/>
    <w:rsid w:val="002B181E"/>
    <w:rsid w:val="002B18C3"/>
    <w:rsid w:val="002B2EC1"/>
    <w:rsid w:val="002B3895"/>
    <w:rsid w:val="002B7D13"/>
    <w:rsid w:val="002C052B"/>
    <w:rsid w:val="002C2E95"/>
    <w:rsid w:val="002C312A"/>
    <w:rsid w:val="002C4F2C"/>
    <w:rsid w:val="002C579E"/>
    <w:rsid w:val="002C6F56"/>
    <w:rsid w:val="002D2450"/>
    <w:rsid w:val="002D3FC2"/>
    <w:rsid w:val="002D6FC6"/>
    <w:rsid w:val="002D7148"/>
    <w:rsid w:val="002E19BE"/>
    <w:rsid w:val="002E3740"/>
    <w:rsid w:val="002E4626"/>
    <w:rsid w:val="002E5AA0"/>
    <w:rsid w:val="002E5C0C"/>
    <w:rsid w:val="002F03A6"/>
    <w:rsid w:val="002F3B3D"/>
    <w:rsid w:val="002F3F39"/>
    <w:rsid w:val="002F482A"/>
    <w:rsid w:val="002F5C1A"/>
    <w:rsid w:val="002F6439"/>
    <w:rsid w:val="002F6DB8"/>
    <w:rsid w:val="002F71E5"/>
    <w:rsid w:val="002F7294"/>
    <w:rsid w:val="003005C4"/>
    <w:rsid w:val="0030210D"/>
    <w:rsid w:val="003027AA"/>
    <w:rsid w:val="003032AB"/>
    <w:rsid w:val="0030787B"/>
    <w:rsid w:val="003103BF"/>
    <w:rsid w:val="003118F7"/>
    <w:rsid w:val="00311BD4"/>
    <w:rsid w:val="003128A1"/>
    <w:rsid w:val="003140C5"/>
    <w:rsid w:val="003156C7"/>
    <w:rsid w:val="00315809"/>
    <w:rsid w:val="00317A0F"/>
    <w:rsid w:val="00320306"/>
    <w:rsid w:val="00323A68"/>
    <w:rsid w:val="00326746"/>
    <w:rsid w:val="00327896"/>
    <w:rsid w:val="00327BC5"/>
    <w:rsid w:val="00327FAE"/>
    <w:rsid w:val="003308E1"/>
    <w:rsid w:val="00335B57"/>
    <w:rsid w:val="00335F80"/>
    <w:rsid w:val="0033654B"/>
    <w:rsid w:val="00336961"/>
    <w:rsid w:val="00336B50"/>
    <w:rsid w:val="00337892"/>
    <w:rsid w:val="00343315"/>
    <w:rsid w:val="00344FAD"/>
    <w:rsid w:val="0035445E"/>
    <w:rsid w:val="00354FEE"/>
    <w:rsid w:val="00355143"/>
    <w:rsid w:val="00360589"/>
    <w:rsid w:val="00362363"/>
    <w:rsid w:val="0036267B"/>
    <w:rsid w:val="003665DE"/>
    <w:rsid w:val="0036672D"/>
    <w:rsid w:val="003677EB"/>
    <w:rsid w:val="00370BE7"/>
    <w:rsid w:val="00370C15"/>
    <w:rsid w:val="00371156"/>
    <w:rsid w:val="00371414"/>
    <w:rsid w:val="00374CA3"/>
    <w:rsid w:val="00374DA6"/>
    <w:rsid w:val="00377E1D"/>
    <w:rsid w:val="0038111E"/>
    <w:rsid w:val="00383496"/>
    <w:rsid w:val="00383EA3"/>
    <w:rsid w:val="00385BA0"/>
    <w:rsid w:val="00387AC2"/>
    <w:rsid w:val="00390B99"/>
    <w:rsid w:val="003912BF"/>
    <w:rsid w:val="00393A05"/>
    <w:rsid w:val="003944AA"/>
    <w:rsid w:val="00394936"/>
    <w:rsid w:val="00397743"/>
    <w:rsid w:val="003A0971"/>
    <w:rsid w:val="003A367F"/>
    <w:rsid w:val="003A4990"/>
    <w:rsid w:val="003A62CB"/>
    <w:rsid w:val="003B0160"/>
    <w:rsid w:val="003B0FA2"/>
    <w:rsid w:val="003B1549"/>
    <w:rsid w:val="003B3550"/>
    <w:rsid w:val="003C1AEB"/>
    <w:rsid w:val="003C1F5B"/>
    <w:rsid w:val="003C344A"/>
    <w:rsid w:val="003C34A3"/>
    <w:rsid w:val="003C37BE"/>
    <w:rsid w:val="003D216E"/>
    <w:rsid w:val="003D2251"/>
    <w:rsid w:val="003D271A"/>
    <w:rsid w:val="003D2815"/>
    <w:rsid w:val="003D286A"/>
    <w:rsid w:val="003D42BC"/>
    <w:rsid w:val="003D47E9"/>
    <w:rsid w:val="003D73BD"/>
    <w:rsid w:val="003E00B2"/>
    <w:rsid w:val="003E0F16"/>
    <w:rsid w:val="003E44E8"/>
    <w:rsid w:val="003E4CAA"/>
    <w:rsid w:val="003E74E7"/>
    <w:rsid w:val="003F0A81"/>
    <w:rsid w:val="003F1E4B"/>
    <w:rsid w:val="003F2EEF"/>
    <w:rsid w:val="003F4338"/>
    <w:rsid w:val="003F491A"/>
    <w:rsid w:val="00400681"/>
    <w:rsid w:val="00401150"/>
    <w:rsid w:val="00403743"/>
    <w:rsid w:val="004134EC"/>
    <w:rsid w:val="00413DAB"/>
    <w:rsid w:val="00413EB4"/>
    <w:rsid w:val="00414894"/>
    <w:rsid w:val="00415291"/>
    <w:rsid w:val="0042069A"/>
    <w:rsid w:val="00420F8E"/>
    <w:rsid w:val="00426125"/>
    <w:rsid w:val="00441285"/>
    <w:rsid w:val="0044200B"/>
    <w:rsid w:val="00442402"/>
    <w:rsid w:val="0044375A"/>
    <w:rsid w:val="00443EAB"/>
    <w:rsid w:val="00447EDE"/>
    <w:rsid w:val="00455F04"/>
    <w:rsid w:val="004572D9"/>
    <w:rsid w:val="00460BD0"/>
    <w:rsid w:val="00461B6B"/>
    <w:rsid w:val="00464973"/>
    <w:rsid w:val="00467338"/>
    <w:rsid w:val="00471260"/>
    <w:rsid w:val="00480FA3"/>
    <w:rsid w:val="0048249F"/>
    <w:rsid w:val="00482B01"/>
    <w:rsid w:val="00490EBB"/>
    <w:rsid w:val="00491435"/>
    <w:rsid w:val="00492307"/>
    <w:rsid w:val="0049306B"/>
    <w:rsid w:val="00493239"/>
    <w:rsid w:val="004A1B09"/>
    <w:rsid w:val="004A1BDA"/>
    <w:rsid w:val="004A3AD5"/>
    <w:rsid w:val="004A3E93"/>
    <w:rsid w:val="004A4E12"/>
    <w:rsid w:val="004A5922"/>
    <w:rsid w:val="004A7A82"/>
    <w:rsid w:val="004B09B5"/>
    <w:rsid w:val="004B0C4A"/>
    <w:rsid w:val="004B295E"/>
    <w:rsid w:val="004B5FDF"/>
    <w:rsid w:val="004C0304"/>
    <w:rsid w:val="004C0A33"/>
    <w:rsid w:val="004C59D0"/>
    <w:rsid w:val="004C788E"/>
    <w:rsid w:val="004D047F"/>
    <w:rsid w:val="004D0F8E"/>
    <w:rsid w:val="004D133A"/>
    <w:rsid w:val="004D1693"/>
    <w:rsid w:val="004D49B9"/>
    <w:rsid w:val="004D5425"/>
    <w:rsid w:val="004D6A4F"/>
    <w:rsid w:val="004D6C45"/>
    <w:rsid w:val="004D6D13"/>
    <w:rsid w:val="004E0015"/>
    <w:rsid w:val="004E00B4"/>
    <w:rsid w:val="004E2C17"/>
    <w:rsid w:val="004E4296"/>
    <w:rsid w:val="004E6A24"/>
    <w:rsid w:val="004F2C52"/>
    <w:rsid w:val="004F327C"/>
    <w:rsid w:val="004F398D"/>
    <w:rsid w:val="004F5D53"/>
    <w:rsid w:val="00500F3D"/>
    <w:rsid w:val="00501030"/>
    <w:rsid w:val="0050628D"/>
    <w:rsid w:val="00506FDD"/>
    <w:rsid w:val="00510BA5"/>
    <w:rsid w:val="00510BB1"/>
    <w:rsid w:val="0051285D"/>
    <w:rsid w:val="005139B9"/>
    <w:rsid w:val="005220FD"/>
    <w:rsid w:val="00522804"/>
    <w:rsid w:val="00527FB8"/>
    <w:rsid w:val="005306A0"/>
    <w:rsid w:val="00530D6B"/>
    <w:rsid w:val="0053178B"/>
    <w:rsid w:val="00533B32"/>
    <w:rsid w:val="00535C28"/>
    <w:rsid w:val="005363FD"/>
    <w:rsid w:val="005473E0"/>
    <w:rsid w:val="00552C33"/>
    <w:rsid w:val="0055379D"/>
    <w:rsid w:val="00555427"/>
    <w:rsid w:val="00562710"/>
    <w:rsid w:val="0056380A"/>
    <w:rsid w:val="00563EB9"/>
    <w:rsid w:val="00566514"/>
    <w:rsid w:val="00572FC4"/>
    <w:rsid w:val="00573006"/>
    <w:rsid w:val="005744DA"/>
    <w:rsid w:val="0057504A"/>
    <w:rsid w:val="005755F5"/>
    <w:rsid w:val="00575D7F"/>
    <w:rsid w:val="00580B0C"/>
    <w:rsid w:val="00580DAC"/>
    <w:rsid w:val="00581957"/>
    <w:rsid w:val="00583498"/>
    <w:rsid w:val="005866B4"/>
    <w:rsid w:val="00586FE5"/>
    <w:rsid w:val="00587560"/>
    <w:rsid w:val="00590E1C"/>
    <w:rsid w:val="005950DA"/>
    <w:rsid w:val="005968B8"/>
    <w:rsid w:val="005971D1"/>
    <w:rsid w:val="00597DE7"/>
    <w:rsid w:val="005A00F5"/>
    <w:rsid w:val="005A0B8E"/>
    <w:rsid w:val="005A2582"/>
    <w:rsid w:val="005A280C"/>
    <w:rsid w:val="005A2967"/>
    <w:rsid w:val="005A2DA2"/>
    <w:rsid w:val="005A40C9"/>
    <w:rsid w:val="005A7D1F"/>
    <w:rsid w:val="005B18BC"/>
    <w:rsid w:val="005B18F4"/>
    <w:rsid w:val="005B25A6"/>
    <w:rsid w:val="005B2BFC"/>
    <w:rsid w:val="005B2F80"/>
    <w:rsid w:val="005B588F"/>
    <w:rsid w:val="005B5CCB"/>
    <w:rsid w:val="005B6206"/>
    <w:rsid w:val="005B70E5"/>
    <w:rsid w:val="005B7E92"/>
    <w:rsid w:val="005C2EF4"/>
    <w:rsid w:val="005C36C4"/>
    <w:rsid w:val="005C71F3"/>
    <w:rsid w:val="005C73B2"/>
    <w:rsid w:val="005C79A7"/>
    <w:rsid w:val="005C7E08"/>
    <w:rsid w:val="005D29EA"/>
    <w:rsid w:val="005D4D3F"/>
    <w:rsid w:val="005D79D7"/>
    <w:rsid w:val="005E28BF"/>
    <w:rsid w:val="005E3419"/>
    <w:rsid w:val="005E4226"/>
    <w:rsid w:val="005E48EE"/>
    <w:rsid w:val="005E5F0F"/>
    <w:rsid w:val="005E645A"/>
    <w:rsid w:val="005E6A4B"/>
    <w:rsid w:val="005E7260"/>
    <w:rsid w:val="005F0563"/>
    <w:rsid w:val="005F0B0A"/>
    <w:rsid w:val="005F211A"/>
    <w:rsid w:val="005F2370"/>
    <w:rsid w:val="005F38C0"/>
    <w:rsid w:val="005F3F44"/>
    <w:rsid w:val="005F43CC"/>
    <w:rsid w:val="005F53ED"/>
    <w:rsid w:val="00600E3E"/>
    <w:rsid w:val="006024EB"/>
    <w:rsid w:val="006041DD"/>
    <w:rsid w:val="00606DB7"/>
    <w:rsid w:val="006108D1"/>
    <w:rsid w:val="006123E1"/>
    <w:rsid w:val="00612E99"/>
    <w:rsid w:val="00617211"/>
    <w:rsid w:val="0061767E"/>
    <w:rsid w:val="00617C5D"/>
    <w:rsid w:val="00623BD7"/>
    <w:rsid w:val="00623D77"/>
    <w:rsid w:val="006246F0"/>
    <w:rsid w:val="00626F64"/>
    <w:rsid w:val="00632766"/>
    <w:rsid w:val="006327A0"/>
    <w:rsid w:val="00635BC4"/>
    <w:rsid w:val="00636C57"/>
    <w:rsid w:val="006415D3"/>
    <w:rsid w:val="00643DBE"/>
    <w:rsid w:val="00643DF0"/>
    <w:rsid w:val="00645D88"/>
    <w:rsid w:val="00646B2E"/>
    <w:rsid w:val="00647B8F"/>
    <w:rsid w:val="0065042A"/>
    <w:rsid w:val="00650A5C"/>
    <w:rsid w:val="00650F4B"/>
    <w:rsid w:val="006513C9"/>
    <w:rsid w:val="00652F33"/>
    <w:rsid w:val="006533EA"/>
    <w:rsid w:val="00654D42"/>
    <w:rsid w:val="00657167"/>
    <w:rsid w:val="00661E79"/>
    <w:rsid w:val="00661E83"/>
    <w:rsid w:val="00662359"/>
    <w:rsid w:val="00662DAF"/>
    <w:rsid w:val="00663960"/>
    <w:rsid w:val="00665D1E"/>
    <w:rsid w:val="006664D2"/>
    <w:rsid w:val="00671872"/>
    <w:rsid w:val="006732B2"/>
    <w:rsid w:val="0067755C"/>
    <w:rsid w:val="00677DCC"/>
    <w:rsid w:val="006801C1"/>
    <w:rsid w:val="00680CA4"/>
    <w:rsid w:val="00681078"/>
    <w:rsid w:val="00682442"/>
    <w:rsid w:val="00687645"/>
    <w:rsid w:val="00690284"/>
    <w:rsid w:val="00691B53"/>
    <w:rsid w:val="006946C3"/>
    <w:rsid w:val="0069483A"/>
    <w:rsid w:val="006965EA"/>
    <w:rsid w:val="006967E1"/>
    <w:rsid w:val="0069717B"/>
    <w:rsid w:val="006971CE"/>
    <w:rsid w:val="006A6B31"/>
    <w:rsid w:val="006A6C45"/>
    <w:rsid w:val="006A7538"/>
    <w:rsid w:val="006B0C96"/>
    <w:rsid w:val="006B11E8"/>
    <w:rsid w:val="006B1439"/>
    <w:rsid w:val="006B5CC0"/>
    <w:rsid w:val="006B65FD"/>
    <w:rsid w:val="006B6D22"/>
    <w:rsid w:val="006C092E"/>
    <w:rsid w:val="006C09B5"/>
    <w:rsid w:val="006C6907"/>
    <w:rsid w:val="006C6BE5"/>
    <w:rsid w:val="006C7F40"/>
    <w:rsid w:val="006D5DA1"/>
    <w:rsid w:val="006D6816"/>
    <w:rsid w:val="006E49E3"/>
    <w:rsid w:val="006E4A1F"/>
    <w:rsid w:val="006E5D3C"/>
    <w:rsid w:val="006E7C17"/>
    <w:rsid w:val="006E7E24"/>
    <w:rsid w:val="006F0236"/>
    <w:rsid w:val="006F36DF"/>
    <w:rsid w:val="006F3B2D"/>
    <w:rsid w:val="006F60FB"/>
    <w:rsid w:val="0070029C"/>
    <w:rsid w:val="007026BC"/>
    <w:rsid w:val="00702F02"/>
    <w:rsid w:val="007107E0"/>
    <w:rsid w:val="0071290A"/>
    <w:rsid w:val="007152A5"/>
    <w:rsid w:val="007153A7"/>
    <w:rsid w:val="007155EC"/>
    <w:rsid w:val="00715E35"/>
    <w:rsid w:val="00717F62"/>
    <w:rsid w:val="00720659"/>
    <w:rsid w:val="007209AF"/>
    <w:rsid w:val="00722FF3"/>
    <w:rsid w:val="0072344A"/>
    <w:rsid w:val="00725631"/>
    <w:rsid w:val="00726064"/>
    <w:rsid w:val="007334AE"/>
    <w:rsid w:val="007344D0"/>
    <w:rsid w:val="00734E19"/>
    <w:rsid w:val="00735325"/>
    <w:rsid w:val="00735CA4"/>
    <w:rsid w:val="007372FB"/>
    <w:rsid w:val="00737E23"/>
    <w:rsid w:val="0074055E"/>
    <w:rsid w:val="0074129B"/>
    <w:rsid w:val="0074150A"/>
    <w:rsid w:val="0074163F"/>
    <w:rsid w:val="00741864"/>
    <w:rsid w:val="00741AB1"/>
    <w:rsid w:val="00741FB0"/>
    <w:rsid w:val="007461B0"/>
    <w:rsid w:val="00752103"/>
    <w:rsid w:val="00753C9C"/>
    <w:rsid w:val="007558E4"/>
    <w:rsid w:val="00756A7B"/>
    <w:rsid w:val="00757225"/>
    <w:rsid w:val="00760019"/>
    <w:rsid w:val="007614E3"/>
    <w:rsid w:val="00762C53"/>
    <w:rsid w:val="00762D06"/>
    <w:rsid w:val="00770346"/>
    <w:rsid w:val="007709ED"/>
    <w:rsid w:val="00770CE2"/>
    <w:rsid w:val="007711E8"/>
    <w:rsid w:val="007712EC"/>
    <w:rsid w:val="0077133D"/>
    <w:rsid w:val="007714B2"/>
    <w:rsid w:val="007726E2"/>
    <w:rsid w:val="00776F5D"/>
    <w:rsid w:val="0078038B"/>
    <w:rsid w:val="00781406"/>
    <w:rsid w:val="00781962"/>
    <w:rsid w:val="00785118"/>
    <w:rsid w:val="00791576"/>
    <w:rsid w:val="00792B69"/>
    <w:rsid w:val="0079374E"/>
    <w:rsid w:val="0079476E"/>
    <w:rsid w:val="00794D9F"/>
    <w:rsid w:val="007952CA"/>
    <w:rsid w:val="0079570A"/>
    <w:rsid w:val="00796DE6"/>
    <w:rsid w:val="007A53B4"/>
    <w:rsid w:val="007A796B"/>
    <w:rsid w:val="007B0313"/>
    <w:rsid w:val="007B33CA"/>
    <w:rsid w:val="007B5D19"/>
    <w:rsid w:val="007B6A2B"/>
    <w:rsid w:val="007C085E"/>
    <w:rsid w:val="007C09E0"/>
    <w:rsid w:val="007C2897"/>
    <w:rsid w:val="007C2F36"/>
    <w:rsid w:val="007C4202"/>
    <w:rsid w:val="007C4FBF"/>
    <w:rsid w:val="007C64E4"/>
    <w:rsid w:val="007C6C46"/>
    <w:rsid w:val="007D0A22"/>
    <w:rsid w:val="007D2910"/>
    <w:rsid w:val="007D2E8C"/>
    <w:rsid w:val="007D6FEB"/>
    <w:rsid w:val="007E0D84"/>
    <w:rsid w:val="007E433B"/>
    <w:rsid w:val="007E57FE"/>
    <w:rsid w:val="007E64F2"/>
    <w:rsid w:val="007E7CF5"/>
    <w:rsid w:val="007F0B46"/>
    <w:rsid w:val="007F2C80"/>
    <w:rsid w:val="007F31A7"/>
    <w:rsid w:val="007F4CD1"/>
    <w:rsid w:val="008002FC"/>
    <w:rsid w:val="008035EA"/>
    <w:rsid w:val="008054CA"/>
    <w:rsid w:val="00806E61"/>
    <w:rsid w:val="008101A0"/>
    <w:rsid w:val="00811158"/>
    <w:rsid w:val="008111B2"/>
    <w:rsid w:val="0081591E"/>
    <w:rsid w:val="008162D6"/>
    <w:rsid w:val="008174C1"/>
    <w:rsid w:val="008177A3"/>
    <w:rsid w:val="00821505"/>
    <w:rsid w:val="00821872"/>
    <w:rsid w:val="00821FD7"/>
    <w:rsid w:val="00826811"/>
    <w:rsid w:val="0082730E"/>
    <w:rsid w:val="008336D4"/>
    <w:rsid w:val="00835C8A"/>
    <w:rsid w:val="00843B2F"/>
    <w:rsid w:val="0084765C"/>
    <w:rsid w:val="008503EA"/>
    <w:rsid w:val="00853159"/>
    <w:rsid w:val="00853985"/>
    <w:rsid w:val="00856CE8"/>
    <w:rsid w:val="00856F25"/>
    <w:rsid w:val="008570A1"/>
    <w:rsid w:val="00861AF9"/>
    <w:rsid w:val="00862ECB"/>
    <w:rsid w:val="00863C67"/>
    <w:rsid w:val="008641B0"/>
    <w:rsid w:val="0086597A"/>
    <w:rsid w:val="00865E57"/>
    <w:rsid w:val="008669F6"/>
    <w:rsid w:val="00866E4B"/>
    <w:rsid w:val="00867BE2"/>
    <w:rsid w:val="0087232C"/>
    <w:rsid w:val="008730C9"/>
    <w:rsid w:val="00873D3D"/>
    <w:rsid w:val="00874CD4"/>
    <w:rsid w:val="00875C85"/>
    <w:rsid w:val="0087671A"/>
    <w:rsid w:val="00882BF5"/>
    <w:rsid w:val="00883197"/>
    <w:rsid w:val="00883B04"/>
    <w:rsid w:val="0088736F"/>
    <w:rsid w:val="00890723"/>
    <w:rsid w:val="00891528"/>
    <w:rsid w:val="008918AF"/>
    <w:rsid w:val="00892706"/>
    <w:rsid w:val="00897517"/>
    <w:rsid w:val="008A58C4"/>
    <w:rsid w:val="008A61F5"/>
    <w:rsid w:val="008B13B4"/>
    <w:rsid w:val="008B25C7"/>
    <w:rsid w:val="008B4EBF"/>
    <w:rsid w:val="008B5A5A"/>
    <w:rsid w:val="008B6E2E"/>
    <w:rsid w:val="008C61E9"/>
    <w:rsid w:val="008C63FC"/>
    <w:rsid w:val="008D0003"/>
    <w:rsid w:val="008D2FDF"/>
    <w:rsid w:val="008E0021"/>
    <w:rsid w:val="008E1791"/>
    <w:rsid w:val="008E2140"/>
    <w:rsid w:val="008E2C9E"/>
    <w:rsid w:val="008E411D"/>
    <w:rsid w:val="008E5B03"/>
    <w:rsid w:val="008E78BC"/>
    <w:rsid w:val="008F14C2"/>
    <w:rsid w:val="008F18B8"/>
    <w:rsid w:val="008F43AC"/>
    <w:rsid w:val="008F5A00"/>
    <w:rsid w:val="008F620E"/>
    <w:rsid w:val="008F664A"/>
    <w:rsid w:val="008F6684"/>
    <w:rsid w:val="008F774E"/>
    <w:rsid w:val="00900487"/>
    <w:rsid w:val="009006A8"/>
    <w:rsid w:val="00900BE5"/>
    <w:rsid w:val="009013A5"/>
    <w:rsid w:val="00903FA0"/>
    <w:rsid w:val="0090400F"/>
    <w:rsid w:val="009071A2"/>
    <w:rsid w:val="009100EF"/>
    <w:rsid w:val="00911F07"/>
    <w:rsid w:val="0091355E"/>
    <w:rsid w:val="0092137B"/>
    <w:rsid w:val="00921C23"/>
    <w:rsid w:val="00923105"/>
    <w:rsid w:val="009238F9"/>
    <w:rsid w:val="00925EB7"/>
    <w:rsid w:val="00931A6D"/>
    <w:rsid w:val="00932155"/>
    <w:rsid w:val="00935EAB"/>
    <w:rsid w:val="0093650E"/>
    <w:rsid w:val="009367EB"/>
    <w:rsid w:val="00937D81"/>
    <w:rsid w:val="00942D51"/>
    <w:rsid w:val="00944652"/>
    <w:rsid w:val="00945415"/>
    <w:rsid w:val="0094624B"/>
    <w:rsid w:val="009465F3"/>
    <w:rsid w:val="00951EB1"/>
    <w:rsid w:val="00952191"/>
    <w:rsid w:val="00953A31"/>
    <w:rsid w:val="009546BE"/>
    <w:rsid w:val="00960F4C"/>
    <w:rsid w:val="00961349"/>
    <w:rsid w:val="00965E5A"/>
    <w:rsid w:val="0096686E"/>
    <w:rsid w:val="00967E06"/>
    <w:rsid w:val="00971305"/>
    <w:rsid w:val="0097134A"/>
    <w:rsid w:val="009759FC"/>
    <w:rsid w:val="009774F6"/>
    <w:rsid w:val="009802BC"/>
    <w:rsid w:val="00980EF6"/>
    <w:rsid w:val="00982281"/>
    <w:rsid w:val="009823CC"/>
    <w:rsid w:val="00986BCC"/>
    <w:rsid w:val="009975D1"/>
    <w:rsid w:val="009A40C3"/>
    <w:rsid w:val="009A53F4"/>
    <w:rsid w:val="009A635A"/>
    <w:rsid w:val="009A70BE"/>
    <w:rsid w:val="009A75E8"/>
    <w:rsid w:val="009B301E"/>
    <w:rsid w:val="009B3103"/>
    <w:rsid w:val="009B33E2"/>
    <w:rsid w:val="009B44EE"/>
    <w:rsid w:val="009B6714"/>
    <w:rsid w:val="009C08A9"/>
    <w:rsid w:val="009C1995"/>
    <w:rsid w:val="009C3D18"/>
    <w:rsid w:val="009C3DB0"/>
    <w:rsid w:val="009C4D95"/>
    <w:rsid w:val="009C6BA9"/>
    <w:rsid w:val="009C7413"/>
    <w:rsid w:val="009D087F"/>
    <w:rsid w:val="009D2183"/>
    <w:rsid w:val="009D3195"/>
    <w:rsid w:val="009D42DB"/>
    <w:rsid w:val="009E149B"/>
    <w:rsid w:val="009E1C8C"/>
    <w:rsid w:val="009E54E4"/>
    <w:rsid w:val="009E6F26"/>
    <w:rsid w:val="009F0CCE"/>
    <w:rsid w:val="009F14A0"/>
    <w:rsid w:val="009F1B8E"/>
    <w:rsid w:val="009F2CBB"/>
    <w:rsid w:val="009F400F"/>
    <w:rsid w:val="009F4325"/>
    <w:rsid w:val="009F44C6"/>
    <w:rsid w:val="009F4F08"/>
    <w:rsid w:val="009F526E"/>
    <w:rsid w:val="009F67D5"/>
    <w:rsid w:val="009F7169"/>
    <w:rsid w:val="00A012F6"/>
    <w:rsid w:val="00A033BC"/>
    <w:rsid w:val="00A049FB"/>
    <w:rsid w:val="00A05C27"/>
    <w:rsid w:val="00A079F9"/>
    <w:rsid w:val="00A117A9"/>
    <w:rsid w:val="00A13A3A"/>
    <w:rsid w:val="00A15E31"/>
    <w:rsid w:val="00A212F4"/>
    <w:rsid w:val="00A2263F"/>
    <w:rsid w:val="00A22EFE"/>
    <w:rsid w:val="00A25B5E"/>
    <w:rsid w:val="00A2631B"/>
    <w:rsid w:val="00A26D83"/>
    <w:rsid w:val="00A30DE2"/>
    <w:rsid w:val="00A322A1"/>
    <w:rsid w:val="00A33366"/>
    <w:rsid w:val="00A3394A"/>
    <w:rsid w:val="00A34240"/>
    <w:rsid w:val="00A40304"/>
    <w:rsid w:val="00A40F4E"/>
    <w:rsid w:val="00A416B7"/>
    <w:rsid w:val="00A42F7D"/>
    <w:rsid w:val="00A472A4"/>
    <w:rsid w:val="00A4734B"/>
    <w:rsid w:val="00A505C4"/>
    <w:rsid w:val="00A50BA8"/>
    <w:rsid w:val="00A5562A"/>
    <w:rsid w:val="00A56F15"/>
    <w:rsid w:val="00A67019"/>
    <w:rsid w:val="00A67F27"/>
    <w:rsid w:val="00A7054F"/>
    <w:rsid w:val="00A7056B"/>
    <w:rsid w:val="00A7195B"/>
    <w:rsid w:val="00A75163"/>
    <w:rsid w:val="00A77A8D"/>
    <w:rsid w:val="00A77BFA"/>
    <w:rsid w:val="00A802C2"/>
    <w:rsid w:val="00A81C48"/>
    <w:rsid w:val="00A85975"/>
    <w:rsid w:val="00A90003"/>
    <w:rsid w:val="00A93A91"/>
    <w:rsid w:val="00AA1E69"/>
    <w:rsid w:val="00AA25CF"/>
    <w:rsid w:val="00AA280E"/>
    <w:rsid w:val="00AA305F"/>
    <w:rsid w:val="00AA49B8"/>
    <w:rsid w:val="00AA54F6"/>
    <w:rsid w:val="00AA68E7"/>
    <w:rsid w:val="00AA7620"/>
    <w:rsid w:val="00AA78AB"/>
    <w:rsid w:val="00AB336B"/>
    <w:rsid w:val="00AB6336"/>
    <w:rsid w:val="00AB6495"/>
    <w:rsid w:val="00AB6E1B"/>
    <w:rsid w:val="00AC2072"/>
    <w:rsid w:val="00AC3166"/>
    <w:rsid w:val="00AD2157"/>
    <w:rsid w:val="00AD39A5"/>
    <w:rsid w:val="00AD3E14"/>
    <w:rsid w:val="00AD4C27"/>
    <w:rsid w:val="00AD6AFA"/>
    <w:rsid w:val="00AE1283"/>
    <w:rsid w:val="00AE3811"/>
    <w:rsid w:val="00AE53A5"/>
    <w:rsid w:val="00AE5BF9"/>
    <w:rsid w:val="00AE5E64"/>
    <w:rsid w:val="00AF074F"/>
    <w:rsid w:val="00AF0CA1"/>
    <w:rsid w:val="00AF0DEC"/>
    <w:rsid w:val="00AF0F8C"/>
    <w:rsid w:val="00AF13D6"/>
    <w:rsid w:val="00AF51F8"/>
    <w:rsid w:val="00AF6101"/>
    <w:rsid w:val="00B01086"/>
    <w:rsid w:val="00B01BAD"/>
    <w:rsid w:val="00B03C13"/>
    <w:rsid w:val="00B06586"/>
    <w:rsid w:val="00B233E0"/>
    <w:rsid w:val="00B25578"/>
    <w:rsid w:val="00B26BD1"/>
    <w:rsid w:val="00B30180"/>
    <w:rsid w:val="00B305A1"/>
    <w:rsid w:val="00B334FF"/>
    <w:rsid w:val="00B34AA5"/>
    <w:rsid w:val="00B34B08"/>
    <w:rsid w:val="00B35B24"/>
    <w:rsid w:val="00B37312"/>
    <w:rsid w:val="00B4200B"/>
    <w:rsid w:val="00B4789F"/>
    <w:rsid w:val="00B5331B"/>
    <w:rsid w:val="00B53A9A"/>
    <w:rsid w:val="00B53F68"/>
    <w:rsid w:val="00B542AA"/>
    <w:rsid w:val="00B54F3C"/>
    <w:rsid w:val="00B60AF8"/>
    <w:rsid w:val="00B62E34"/>
    <w:rsid w:val="00B63554"/>
    <w:rsid w:val="00B6588D"/>
    <w:rsid w:val="00B67E54"/>
    <w:rsid w:val="00B70113"/>
    <w:rsid w:val="00B71663"/>
    <w:rsid w:val="00B72993"/>
    <w:rsid w:val="00B72B84"/>
    <w:rsid w:val="00B734ED"/>
    <w:rsid w:val="00B73889"/>
    <w:rsid w:val="00B76A53"/>
    <w:rsid w:val="00B7715B"/>
    <w:rsid w:val="00B800CA"/>
    <w:rsid w:val="00B82E6D"/>
    <w:rsid w:val="00B8463C"/>
    <w:rsid w:val="00B8500B"/>
    <w:rsid w:val="00B85108"/>
    <w:rsid w:val="00B878D5"/>
    <w:rsid w:val="00B90270"/>
    <w:rsid w:val="00B90836"/>
    <w:rsid w:val="00B93D05"/>
    <w:rsid w:val="00B95203"/>
    <w:rsid w:val="00BA1A52"/>
    <w:rsid w:val="00BA249A"/>
    <w:rsid w:val="00BA2C1B"/>
    <w:rsid w:val="00BA3EF9"/>
    <w:rsid w:val="00BA6AD1"/>
    <w:rsid w:val="00BB0F4B"/>
    <w:rsid w:val="00BB141A"/>
    <w:rsid w:val="00BB418B"/>
    <w:rsid w:val="00BB5DE5"/>
    <w:rsid w:val="00BB61A4"/>
    <w:rsid w:val="00BB7B23"/>
    <w:rsid w:val="00BC1826"/>
    <w:rsid w:val="00BC35BE"/>
    <w:rsid w:val="00BC3639"/>
    <w:rsid w:val="00BC3681"/>
    <w:rsid w:val="00BC692F"/>
    <w:rsid w:val="00BC6CCD"/>
    <w:rsid w:val="00BC7A10"/>
    <w:rsid w:val="00BD171A"/>
    <w:rsid w:val="00BD1F06"/>
    <w:rsid w:val="00BD2308"/>
    <w:rsid w:val="00BD26FA"/>
    <w:rsid w:val="00BD2DE1"/>
    <w:rsid w:val="00BE29D1"/>
    <w:rsid w:val="00BE2D8D"/>
    <w:rsid w:val="00BE4341"/>
    <w:rsid w:val="00BE74FC"/>
    <w:rsid w:val="00BF2D86"/>
    <w:rsid w:val="00BF39AA"/>
    <w:rsid w:val="00BF4BDB"/>
    <w:rsid w:val="00C0176A"/>
    <w:rsid w:val="00C035DF"/>
    <w:rsid w:val="00C102D2"/>
    <w:rsid w:val="00C11425"/>
    <w:rsid w:val="00C11AE3"/>
    <w:rsid w:val="00C13DD6"/>
    <w:rsid w:val="00C1420C"/>
    <w:rsid w:val="00C21B99"/>
    <w:rsid w:val="00C22374"/>
    <w:rsid w:val="00C23082"/>
    <w:rsid w:val="00C24D82"/>
    <w:rsid w:val="00C262BC"/>
    <w:rsid w:val="00C31E82"/>
    <w:rsid w:val="00C360D5"/>
    <w:rsid w:val="00C37001"/>
    <w:rsid w:val="00C41B65"/>
    <w:rsid w:val="00C43841"/>
    <w:rsid w:val="00C43C78"/>
    <w:rsid w:val="00C43E49"/>
    <w:rsid w:val="00C44C86"/>
    <w:rsid w:val="00C47779"/>
    <w:rsid w:val="00C51A08"/>
    <w:rsid w:val="00C52908"/>
    <w:rsid w:val="00C530FB"/>
    <w:rsid w:val="00C53707"/>
    <w:rsid w:val="00C5448B"/>
    <w:rsid w:val="00C5462C"/>
    <w:rsid w:val="00C60C5C"/>
    <w:rsid w:val="00C60C98"/>
    <w:rsid w:val="00C61205"/>
    <w:rsid w:val="00C61D6D"/>
    <w:rsid w:val="00C65C27"/>
    <w:rsid w:val="00C673FB"/>
    <w:rsid w:val="00C67F7A"/>
    <w:rsid w:val="00C7615A"/>
    <w:rsid w:val="00C775F9"/>
    <w:rsid w:val="00C803FD"/>
    <w:rsid w:val="00C819A3"/>
    <w:rsid w:val="00C94936"/>
    <w:rsid w:val="00CA057A"/>
    <w:rsid w:val="00CA3183"/>
    <w:rsid w:val="00CA38FF"/>
    <w:rsid w:val="00CA5320"/>
    <w:rsid w:val="00CA5725"/>
    <w:rsid w:val="00CA70AD"/>
    <w:rsid w:val="00CA7A95"/>
    <w:rsid w:val="00CB45CA"/>
    <w:rsid w:val="00CB47B5"/>
    <w:rsid w:val="00CB745F"/>
    <w:rsid w:val="00CC061C"/>
    <w:rsid w:val="00CC45A7"/>
    <w:rsid w:val="00CC55F4"/>
    <w:rsid w:val="00CC6313"/>
    <w:rsid w:val="00CD12A4"/>
    <w:rsid w:val="00CD135B"/>
    <w:rsid w:val="00CD169D"/>
    <w:rsid w:val="00CD302A"/>
    <w:rsid w:val="00CD35E5"/>
    <w:rsid w:val="00CD4734"/>
    <w:rsid w:val="00CD7AB0"/>
    <w:rsid w:val="00CE0CE3"/>
    <w:rsid w:val="00CE24F7"/>
    <w:rsid w:val="00CE3E8B"/>
    <w:rsid w:val="00CE5653"/>
    <w:rsid w:val="00CF4A62"/>
    <w:rsid w:val="00CF65BE"/>
    <w:rsid w:val="00CF6F94"/>
    <w:rsid w:val="00D009A0"/>
    <w:rsid w:val="00D00E4A"/>
    <w:rsid w:val="00D01B83"/>
    <w:rsid w:val="00D026CA"/>
    <w:rsid w:val="00D06300"/>
    <w:rsid w:val="00D07526"/>
    <w:rsid w:val="00D077F4"/>
    <w:rsid w:val="00D14583"/>
    <w:rsid w:val="00D164F6"/>
    <w:rsid w:val="00D17B48"/>
    <w:rsid w:val="00D20D5E"/>
    <w:rsid w:val="00D21FEE"/>
    <w:rsid w:val="00D23CDF"/>
    <w:rsid w:val="00D26D3D"/>
    <w:rsid w:val="00D27814"/>
    <w:rsid w:val="00D30690"/>
    <w:rsid w:val="00D3379C"/>
    <w:rsid w:val="00D33E68"/>
    <w:rsid w:val="00D344E6"/>
    <w:rsid w:val="00D40044"/>
    <w:rsid w:val="00D420A5"/>
    <w:rsid w:val="00D425C3"/>
    <w:rsid w:val="00D442D4"/>
    <w:rsid w:val="00D444B8"/>
    <w:rsid w:val="00D47657"/>
    <w:rsid w:val="00D47915"/>
    <w:rsid w:val="00D47E0C"/>
    <w:rsid w:val="00D560F8"/>
    <w:rsid w:val="00D56515"/>
    <w:rsid w:val="00D605E0"/>
    <w:rsid w:val="00D60CE8"/>
    <w:rsid w:val="00D629B1"/>
    <w:rsid w:val="00D6326B"/>
    <w:rsid w:val="00D63CD9"/>
    <w:rsid w:val="00D63CDD"/>
    <w:rsid w:val="00D67E7D"/>
    <w:rsid w:val="00D7057E"/>
    <w:rsid w:val="00D710A0"/>
    <w:rsid w:val="00D71182"/>
    <w:rsid w:val="00D73664"/>
    <w:rsid w:val="00D754BD"/>
    <w:rsid w:val="00D755B8"/>
    <w:rsid w:val="00D76114"/>
    <w:rsid w:val="00D77619"/>
    <w:rsid w:val="00D77B88"/>
    <w:rsid w:val="00D77CF4"/>
    <w:rsid w:val="00D80429"/>
    <w:rsid w:val="00D8160B"/>
    <w:rsid w:val="00D81B49"/>
    <w:rsid w:val="00D81DF3"/>
    <w:rsid w:val="00D83770"/>
    <w:rsid w:val="00D845AA"/>
    <w:rsid w:val="00D846FC"/>
    <w:rsid w:val="00D8485C"/>
    <w:rsid w:val="00D84969"/>
    <w:rsid w:val="00D8703F"/>
    <w:rsid w:val="00D87CF2"/>
    <w:rsid w:val="00D91870"/>
    <w:rsid w:val="00D925F3"/>
    <w:rsid w:val="00D94B00"/>
    <w:rsid w:val="00D9608F"/>
    <w:rsid w:val="00D97602"/>
    <w:rsid w:val="00DA0526"/>
    <w:rsid w:val="00DA1696"/>
    <w:rsid w:val="00DA2146"/>
    <w:rsid w:val="00DA2991"/>
    <w:rsid w:val="00DA5D65"/>
    <w:rsid w:val="00DA63F0"/>
    <w:rsid w:val="00DA72A5"/>
    <w:rsid w:val="00DB0C3D"/>
    <w:rsid w:val="00DB0C4F"/>
    <w:rsid w:val="00DB15DA"/>
    <w:rsid w:val="00DB2166"/>
    <w:rsid w:val="00DB2E32"/>
    <w:rsid w:val="00DB372E"/>
    <w:rsid w:val="00DB39C3"/>
    <w:rsid w:val="00DB3BCA"/>
    <w:rsid w:val="00DB4495"/>
    <w:rsid w:val="00DC1F9C"/>
    <w:rsid w:val="00DC5606"/>
    <w:rsid w:val="00DC67A3"/>
    <w:rsid w:val="00DD3711"/>
    <w:rsid w:val="00DD4E5B"/>
    <w:rsid w:val="00DD6B56"/>
    <w:rsid w:val="00DE179D"/>
    <w:rsid w:val="00DE18A9"/>
    <w:rsid w:val="00DE1C12"/>
    <w:rsid w:val="00DE38F9"/>
    <w:rsid w:val="00DE5A42"/>
    <w:rsid w:val="00DF02DB"/>
    <w:rsid w:val="00DF2F83"/>
    <w:rsid w:val="00DF519B"/>
    <w:rsid w:val="00E033FF"/>
    <w:rsid w:val="00E05CFB"/>
    <w:rsid w:val="00E068DB"/>
    <w:rsid w:val="00E06F61"/>
    <w:rsid w:val="00E104C4"/>
    <w:rsid w:val="00E11C38"/>
    <w:rsid w:val="00E12004"/>
    <w:rsid w:val="00E13377"/>
    <w:rsid w:val="00E13CB7"/>
    <w:rsid w:val="00E1477B"/>
    <w:rsid w:val="00E16292"/>
    <w:rsid w:val="00E2420B"/>
    <w:rsid w:val="00E24AC9"/>
    <w:rsid w:val="00E2538C"/>
    <w:rsid w:val="00E26D5A"/>
    <w:rsid w:val="00E27823"/>
    <w:rsid w:val="00E27E11"/>
    <w:rsid w:val="00E30D50"/>
    <w:rsid w:val="00E31B89"/>
    <w:rsid w:val="00E36728"/>
    <w:rsid w:val="00E36ED1"/>
    <w:rsid w:val="00E37EC1"/>
    <w:rsid w:val="00E4117F"/>
    <w:rsid w:val="00E42155"/>
    <w:rsid w:val="00E42CE6"/>
    <w:rsid w:val="00E4480D"/>
    <w:rsid w:val="00E449CE"/>
    <w:rsid w:val="00E44BF6"/>
    <w:rsid w:val="00E4680A"/>
    <w:rsid w:val="00E46FAC"/>
    <w:rsid w:val="00E52AD4"/>
    <w:rsid w:val="00E54BA0"/>
    <w:rsid w:val="00E572A2"/>
    <w:rsid w:val="00E5796D"/>
    <w:rsid w:val="00E61E68"/>
    <w:rsid w:val="00E625ED"/>
    <w:rsid w:val="00E633FE"/>
    <w:rsid w:val="00E63D38"/>
    <w:rsid w:val="00E64737"/>
    <w:rsid w:val="00E657FB"/>
    <w:rsid w:val="00E66A61"/>
    <w:rsid w:val="00E66BD1"/>
    <w:rsid w:val="00E67A52"/>
    <w:rsid w:val="00E80D57"/>
    <w:rsid w:val="00E84A88"/>
    <w:rsid w:val="00E86AA4"/>
    <w:rsid w:val="00E92F3C"/>
    <w:rsid w:val="00E92FBC"/>
    <w:rsid w:val="00E94E87"/>
    <w:rsid w:val="00E966FC"/>
    <w:rsid w:val="00E97F8A"/>
    <w:rsid w:val="00EA3A2A"/>
    <w:rsid w:val="00EA3F69"/>
    <w:rsid w:val="00EA5309"/>
    <w:rsid w:val="00EA6BEE"/>
    <w:rsid w:val="00EA71DD"/>
    <w:rsid w:val="00EB3FB3"/>
    <w:rsid w:val="00EB744C"/>
    <w:rsid w:val="00EC1E28"/>
    <w:rsid w:val="00EC2B72"/>
    <w:rsid w:val="00EC379A"/>
    <w:rsid w:val="00EC4CE7"/>
    <w:rsid w:val="00EC537B"/>
    <w:rsid w:val="00EC7BFA"/>
    <w:rsid w:val="00ED1459"/>
    <w:rsid w:val="00ED18B0"/>
    <w:rsid w:val="00ED3BA2"/>
    <w:rsid w:val="00ED5C7A"/>
    <w:rsid w:val="00EE084F"/>
    <w:rsid w:val="00EE1F24"/>
    <w:rsid w:val="00EE6D1F"/>
    <w:rsid w:val="00EF3081"/>
    <w:rsid w:val="00EF6801"/>
    <w:rsid w:val="00F009F3"/>
    <w:rsid w:val="00F0221E"/>
    <w:rsid w:val="00F023D9"/>
    <w:rsid w:val="00F0323E"/>
    <w:rsid w:val="00F03946"/>
    <w:rsid w:val="00F05A8F"/>
    <w:rsid w:val="00F05DA7"/>
    <w:rsid w:val="00F0746A"/>
    <w:rsid w:val="00F07EBD"/>
    <w:rsid w:val="00F07F73"/>
    <w:rsid w:val="00F15AF4"/>
    <w:rsid w:val="00F17F46"/>
    <w:rsid w:val="00F21A67"/>
    <w:rsid w:val="00F23D93"/>
    <w:rsid w:val="00F248B2"/>
    <w:rsid w:val="00F30891"/>
    <w:rsid w:val="00F317D2"/>
    <w:rsid w:val="00F3291C"/>
    <w:rsid w:val="00F32943"/>
    <w:rsid w:val="00F32FA1"/>
    <w:rsid w:val="00F36CA5"/>
    <w:rsid w:val="00F36F22"/>
    <w:rsid w:val="00F4073D"/>
    <w:rsid w:val="00F463FC"/>
    <w:rsid w:val="00F5183A"/>
    <w:rsid w:val="00F51AC3"/>
    <w:rsid w:val="00F52D4E"/>
    <w:rsid w:val="00F53C37"/>
    <w:rsid w:val="00F53FFC"/>
    <w:rsid w:val="00F54243"/>
    <w:rsid w:val="00F553FC"/>
    <w:rsid w:val="00F5721C"/>
    <w:rsid w:val="00F62A9C"/>
    <w:rsid w:val="00F6474C"/>
    <w:rsid w:val="00F64E14"/>
    <w:rsid w:val="00F728C7"/>
    <w:rsid w:val="00F74063"/>
    <w:rsid w:val="00F74102"/>
    <w:rsid w:val="00F76862"/>
    <w:rsid w:val="00F769EC"/>
    <w:rsid w:val="00F77BC2"/>
    <w:rsid w:val="00F80479"/>
    <w:rsid w:val="00F81D3A"/>
    <w:rsid w:val="00F83434"/>
    <w:rsid w:val="00F84D25"/>
    <w:rsid w:val="00F871A6"/>
    <w:rsid w:val="00F87BC1"/>
    <w:rsid w:val="00F87D7C"/>
    <w:rsid w:val="00F90495"/>
    <w:rsid w:val="00F90B92"/>
    <w:rsid w:val="00F911C3"/>
    <w:rsid w:val="00F9193F"/>
    <w:rsid w:val="00F91A03"/>
    <w:rsid w:val="00F92782"/>
    <w:rsid w:val="00F945C8"/>
    <w:rsid w:val="00F948D3"/>
    <w:rsid w:val="00FA159B"/>
    <w:rsid w:val="00FA26A8"/>
    <w:rsid w:val="00FA3E87"/>
    <w:rsid w:val="00FA4C8F"/>
    <w:rsid w:val="00FA7BB0"/>
    <w:rsid w:val="00FB4BC0"/>
    <w:rsid w:val="00FC03CE"/>
    <w:rsid w:val="00FC11EB"/>
    <w:rsid w:val="00FC4134"/>
    <w:rsid w:val="00FC4864"/>
    <w:rsid w:val="00FC5C69"/>
    <w:rsid w:val="00FC6343"/>
    <w:rsid w:val="00FC6B69"/>
    <w:rsid w:val="00FC75A6"/>
    <w:rsid w:val="00FD038E"/>
    <w:rsid w:val="00FD0AA4"/>
    <w:rsid w:val="00FD0DE4"/>
    <w:rsid w:val="00FD28B5"/>
    <w:rsid w:val="00FE16FE"/>
    <w:rsid w:val="00FE3162"/>
    <w:rsid w:val="00FE71EF"/>
    <w:rsid w:val="00FF1EF9"/>
    <w:rsid w:val="00FF4419"/>
    <w:rsid w:val="00FF693D"/>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419" w:eastAsia="es-419"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footnote text" w:uiPriority="99" w:qFormat="1"/>
    <w:lsdException w:name="caption" w:locked="1" w:semiHidden="1" w:unhideWhenUsed="1" w:qFormat="1"/>
    <w:lsdException w:name="footnote reference" w:uiPriority="99" w:qFormat="1"/>
    <w:lsdException w:name="Title" w:locked="1" w:qFormat="1"/>
    <w:lsdException w:name="Subtitle" w:locked="1" w:qFormat="1"/>
    <w:lsdException w:name="Hyperlink" w:uiPriority="99"/>
    <w:lsdException w:name="Strong" w:locked="1" w:qFormat="1"/>
    <w:lsdException w:name="Emphasis" w:locked="1"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val="es-ES" w:eastAsia="es-ES"/>
    </w:rPr>
  </w:style>
  <w:style w:type="paragraph" w:styleId="Titre1">
    <w:name w:val="heading 1"/>
    <w:basedOn w:val="Normal"/>
    <w:next w:val="Normal"/>
    <w:qFormat/>
    <w:pPr>
      <w:keepNext/>
      <w:spacing w:line="360" w:lineRule="auto"/>
      <w:ind w:left="2124" w:firstLine="711"/>
      <w:jc w:val="both"/>
      <w:outlineLvl w:val="0"/>
    </w:pPr>
    <w:rPr>
      <w:rFonts w:ascii="Arial Narrow" w:hAnsi="Arial Narrow"/>
      <w:b/>
      <w:sz w:val="24"/>
    </w:rPr>
  </w:style>
  <w:style w:type="paragraph" w:styleId="Titre2">
    <w:name w:val="heading 2"/>
    <w:basedOn w:val="Normal"/>
    <w:next w:val="Normal"/>
    <w:qFormat/>
    <w:pPr>
      <w:keepNext/>
      <w:spacing w:line="360" w:lineRule="auto"/>
      <w:jc w:val="both"/>
      <w:outlineLvl w:val="1"/>
    </w:pPr>
    <w:rPr>
      <w:rFonts w:ascii="Arial Narrow" w:hAnsi="Arial Narrow"/>
      <w:b/>
      <w:sz w:val="24"/>
    </w:rPr>
  </w:style>
  <w:style w:type="paragraph" w:styleId="Titre3">
    <w:name w:val="heading 3"/>
    <w:basedOn w:val="Normal"/>
    <w:next w:val="Normal"/>
    <w:qFormat/>
    <w:pPr>
      <w:keepNext/>
      <w:spacing w:line="360" w:lineRule="auto"/>
      <w:ind w:firstLine="2835"/>
      <w:jc w:val="both"/>
      <w:outlineLvl w:val="2"/>
    </w:pPr>
    <w:rPr>
      <w:rFonts w:ascii="Arial Narrow" w:hAnsi="Arial Narrow"/>
      <w:b/>
      <w:sz w:val="24"/>
      <w:lang w:val="es-MX"/>
    </w:rPr>
  </w:style>
  <w:style w:type="paragraph" w:styleId="Titre4">
    <w:name w:val="heading 4"/>
    <w:basedOn w:val="Normal"/>
    <w:next w:val="Normal"/>
    <w:qFormat/>
    <w:pPr>
      <w:keepNext/>
      <w:spacing w:line="312" w:lineRule="auto"/>
      <w:ind w:firstLine="2835"/>
      <w:jc w:val="both"/>
      <w:outlineLvl w:val="3"/>
    </w:pPr>
    <w:rPr>
      <w:rFonts w:ascii="Perpetua" w:hAnsi="Perpetua"/>
      <w:sz w:val="28"/>
      <w:lang w:val="es-MX"/>
    </w:rPr>
  </w:style>
  <w:style w:type="paragraph" w:styleId="Titre5">
    <w:name w:val="heading 5"/>
    <w:basedOn w:val="Normal"/>
    <w:next w:val="Normal"/>
    <w:qFormat/>
    <w:pPr>
      <w:keepNext/>
      <w:spacing w:line="360" w:lineRule="auto"/>
      <w:ind w:firstLine="2835"/>
      <w:jc w:val="both"/>
      <w:outlineLvl w:val="4"/>
    </w:pPr>
    <w:rPr>
      <w:rFonts w:ascii="Perpetua" w:hAnsi="Perpetua"/>
      <w:b/>
      <w:sz w:val="26"/>
      <w:lang w:val="es-MX"/>
    </w:rPr>
  </w:style>
  <w:style w:type="paragraph" w:styleId="Titre6">
    <w:name w:val="heading 6"/>
    <w:basedOn w:val="Normal"/>
    <w:next w:val="Normal"/>
    <w:qFormat/>
    <w:pPr>
      <w:spacing w:before="240" w:after="60"/>
      <w:outlineLvl w:val="5"/>
    </w:pPr>
    <w:rPr>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pPr>
      <w:spacing w:after="120" w:line="480" w:lineRule="auto"/>
    </w:pPr>
  </w:style>
  <w:style w:type="paragraph" w:styleId="Corpsdetexte">
    <w:name w:val="Body Text"/>
    <w:basedOn w:val="Normal"/>
    <w:link w:val="CorpsdetexteCar"/>
    <w:pPr>
      <w:spacing w:line="360" w:lineRule="auto"/>
      <w:jc w:val="both"/>
    </w:pPr>
    <w:rPr>
      <w:rFonts w:ascii="Courier New" w:hAnsi="Courier New"/>
      <w:sz w:val="24"/>
      <w:lang w:val="es-MX"/>
    </w:rPr>
  </w:style>
  <w:style w:type="paragraph" w:styleId="En-tte">
    <w:name w:val="header"/>
    <w:basedOn w:val="Normal"/>
    <w:pPr>
      <w:tabs>
        <w:tab w:val="center" w:pos="4419"/>
        <w:tab w:val="right" w:pos="8838"/>
      </w:tabs>
    </w:pPr>
  </w:style>
  <w:style w:type="paragraph" w:styleId="Pieddepage">
    <w:name w:val="footer"/>
    <w:aliases w:val="aaPie de página,Pie de página Car Car"/>
    <w:basedOn w:val="Normal"/>
    <w:link w:val="PieddepageCar"/>
    <w:pPr>
      <w:tabs>
        <w:tab w:val="center" w:pos="4419"/>
        <w:tab w:val="right" w:pos="8838"/>
      </w:tabs>
    </w:pPr>
  </w:style>
  <w:style w:type="character" w:styleId="Numrodepage">
    <w:name w:val="page number"/>
    <w:rPr>
      <w:rFonts w:cs="Times New Roman"/>
    </w:rPr>
  </w:style>
  <w:style w:type="paragraph" w:styleId="Normalcentr">
    <w:name w:val="Block Text"/>
    <w:basedOn w:val="Normal"/>
    <w:pPr>
      <w:ind w:left="1134" w:right="1418" w:firstLine="1701"/>
      <w:jc w:val="both"/>
    </w:pPr>
    <w:rPr>
      <w:rFonts w:ascii="Arial" w:hAnsi="Arial"/>
      <w:i/>
    </w:rPr>
  </w:style>
  <w:style w:type="paragraph" w:styleId="Notedebasdepage">
    <w:name w:val="footnote text"/>
    <w:aliases w:val="Texto nota pie Car,Footnote Text Char Char Char Char Char,Footnote Text Char Char Char Char,Footnote reference,FA Fu,Footnote Text Char Char Char,Footnote Text,texto de nota al pie,Footnote Text Char,Footnote referenc"/>
    <w:basedOn w:val="Normal"/>
    <w:link w:val="NotedebasdepageCar"/>
    <w:uiPriority w:val="99"/>
    <w:qFormat/>
  </w:style>
  <w:style w:type="character" w:styleId="Appelnotedebasdep">
    <w:name w:val="footnote reference"/>
    <w:aliases w:val="Texto de nota al pie,referencia nota al pie,Appel note de bas de page,BVI fnr,Footnote symbol,Footnote,Ref. de nota al pie2,Nota de pie,Ref,de nota al pie,Pie de pagina,Ref. ...,Ref1,FC,Ref. de nota al pie 2,Footnotes refss"/>
    <w:uiPriority w:val="99"/>
    <w:qFormat/>
    <w:rPr>
      <w:rFonts w:cs="Times New Roman"/>
      <w:vertAlign w:val="superscript"/>
    </w:rPr>
  </w:style>
  <w:style w:type="paragraph" w:styleId="Retraitcorpsdetexte">
    <w:name w:val="Body Text Indent"/>
    <w:basedOn w:val="Normal"/>
    <w:pPr>
      <w:spacing w:after="120"/>
      <w:ind w:left="283"/>
    </w:pPr>
  </w:style>
  <w:style w:type="paragraph" w:styleId="PrformatHTML">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paragraph" w:styleId="Retraitcorpsdetexte2">
    <w:name w:val="Body Text Indent 2"/>
    <w:basedOn w:val="Normal"/>
    <w:pPr>
      <w:spacing w:after="120" w:line="480" w:lineRule="auto"/>
      <w:ind w:left="283"/>
    </w:pPr>
  </w:style>
  <w:style w:type="paragraph" w:styleId="Corpsdetexte3">
    <w:name w:val="Body Text 3"/>
    <w:basedOn w:val="Normal"/>
    <w:link w:val="Corpsdetexte3Car"/>
    <w:rsid w:val="0088736F"/>
    <w:pPr>
      <w:ind w:right="20"/>
      <w:jc w:val="both"/>
    </w:pPr>
    <w:rPr>
      <w:sz w:val="28"/>
      <w:lang w:val="es-CO"/>
    </w:rPr>
  </w:style>
  <w:style w:type="paragraph" w:customStyle="1" w:styleId="Textoindependiente21">
    <w:name w:val="Texto independiente 21"/>
    <w:basedOn w:val="Normal"/>
    <w:rsid w:val="00A7056B"/>
    <w:pPr>
      <w:overflowPunct/>
      <w:autoSpaceDE/>
      <w:autoSpaceDN/>
      <w:adjustRightInd/>
      <w:spacing w:line="336" w:lineRule="auto"/>
      <w:ind w:firstLine="2835"/>
      <w:jc w:val="both"/>
      <w:textAlignment w:val="auto"/>
    </w:pPr>
    <w:rPr>
      <w:rFonts w:ascii="Verdana" w:hAnsi="Verdana"/>
      <w:sz w:val="24"/>
    </w:rPr>
  </w:style>
  <w:style w:type="character" w:customStyle="1" w:styleId="NotedebasdepageCar">
    <w:name w:val="Note de bas de page Car"/>
    <w:aliases w:val="Texto nota pie Car Car,Footnote Text Char Char Char Char Char Car,Footnote Text Char Char Char Char Car,Footnote reference Car,FA Fu Car,Footnote Text Char Char Char Car,Footnote Text Car,texto de nota al pie Car"/>
    <w:link w:val="Notedebasdepage"/>
    <w:uiPriority w:val="99"/>
    <w:locked/>
    <w:rsid w:val="00AE3811"/>
    <w:rPr>
      <w:lang w:val="es-ES" w:eastAsia="es-ES" w:bidi="ar-SA"/>
    </w:rPr>
  </w:style>
  <w:style w:type="paragraph" w:customStyle="1" w:styleId="Car">
    <w:name w:val="Car"/>
    <w:basedOn w:val="Normal"/>
    <w:rsid w:val="00535C28"/>
    <w:pPr>
      <w:overflowPunct/>
      <w:autoSpaceDE/>
      <w:autoSpaceDN/>
      <w:adjustRightInd/>
      <w:spacing w:after="160" w:line="240" w:lineRule="exact"/>
      <w:textAlignment w:val="auto"/>
    </w:pPr>
    <w:rPr>
      <w:noProof/>
      <w:color w:val="000000"/>
      <w:lang w:val="es-CO"/>
    </w:rPr>
  </w:style>
  <w:style w:type="character" w:customStyle="1" w:styleId="FootnoteTextChar1">
    <w:name w:val="Footnote Text Char1"/>
    <w:aliases w:val="Footnote Text Char Char Char Char Char Char,Footnote Text Char Char Char Char Char1,Footnote reference Char,FA Fu Char,Footnote Text Char Char Char Char1,texto de nota al pie Char,Footnote Text Char Char"/>
    <w:semiHidden/>
    <w:locked/>
    <w:rsid w:val="00360589"/>
    <w:rPr>
      <w:lang w:val="es-ES" w:eastAsia="es-ES" w:bidi="ar-SA"/>
    </w:rPr>
  </w:style>
  <w:style w:type="character" w:customStyle="1" w:styleId="textonavy1">
    <w:name w:val="texto_navy1"/>
    <w:rsid w:val="00DB4495"/>
    <w:rPr>
      <w:color w:val="000080"/>
    </w:rPr>
  </w:style>
  <w:style w:type="character" w:customStyle="1" w:styleId="TextonotapieCarCarCar">
    <w:name w:val="Texto nota pie Car Car Car"/>
    <w:semiHidden/>
    <w:locked/>
    <w:rsid w:val="00BC6CCD"/>
    <w:rPr>
      <w:rFonts w:ascii="Arial" w:hAnsi="Arial" w:cs="Arial"/>
      <w:sz w:val="18"/>
      <w:szCs w:val="18"/>
    </w:rPr>
  </w:style>
  <w:style w:type="paragraph" w:customStyle="1" w:styleId="Sinespaciado1">
    <w:name w:val="Sin espaciado1"/>
    <w:rsid w:val="00A93A91"/>
    <w:rPr>
      <w:sz w:val="24"/>
      <w:szCs w:val="24"/>
      <w:lang w:val="es-ES" w:eastAsia="es-ES"/>
    </w:rPr>
  </w:style>
  <w:style w:type="paragraph" w:styleId="Liste2">
    <w:name w:val="List 2"/>
    <w:basedOn w:val="Normal"/>
    <w:rsid w:val="00290DF2"/>
    <w:pPr>
      <w:ind w:left="566" w:hanging="283"/>
    </w:pPr>
  </w:style>
  <w:style w:type="paragraph" w:styleId="Formuledepolitesse">
    <w:name w:val="Closing"/>
    <w:basedOn w:val="Normal"/>
    <w:rsid w:val="00290DF2"/>
    <w:pPr>
      <w:ind w:left="4252"/>
    </w:pPr>
  </w:style>
  <w:style w:type="paragraph" w:styleId="Signature">
    <w:name w:val="Signature"/>
    <w:basedOn w:val="Normal"/>
    <w:rsid w:val="00290DF2"/>
    <w:pPr>
      <w:ind w:left="4252"/>
    </w:pPr>
  </w:style>
  <w:style w:type="paragraph" w:styleId="Retrait1religne">
    <w:name w:val="Body Text First Indent"/>
    <w:basedOn w:val="Corpsdetexte"/>
    <w:rsid w:val="00290DF2"/>
    <w:pPr>
      <w:spacing w:after="120" w:line="240" w:lineRule="auto"/>
      <w:ind w:firstLine="210"/>
      <w:jc w:val="left"/>
    </w:pPr>
    <w:rPr>
      <w:rFonts w:ascii="Times New Roman" w:hAnsi="Times New Roman"/>
      <w:sz w:val="20"/>
      <w:lang w:val="es-ES"/>
    </w:rPr>
  </w:style>
  <w:style w:type="paragraph" w:styleId="Retraitcorpset1relig">
    <w:name w:val="Body Text First Indent 2"/>
    <w:basedOn w:val="Retraitcorpsdetexte"/>
    <w:rsid w:val="00290DF2"/>
    <w:pPr>
      <w:ind w:firstLine="210"/>
    </w:pPr>
  </w:style>
  <w:style w:type="character" w:customStyle="1" w:styleId="TextonotapieCarChar">
    <w:name w:val="Texto nota pie Car Char"/>
    <w:semiHidden/>
    <w:locked/>
    <w:rsid w:val="00327896"/>
    <w:rPr>
      <w:lang w:val="es-ES" w:eastAsia="es-ES" w:bidi="ar-SA"/>
    </w:rPr>
  </w:style>
  <w:style w:type="paragraph" w:styleId="NormalWeb">
    <w:name w:val="Normal (Web)"/>
    <w:basedOn w:val="Normal"/>
    <w:uiPriority w:val="99"/>
    <w:rsid w:val="007153A7"/>
    <w:pPr>
      <w:overflowPunct/>
      <w:autoSpaceDE/>
      <w:autoSpaceDN/>
      <w:adjustRightInd/>
      <w:spacing w:before="100" w:beforeAutospacing="1" w:after="100" w:afterAutospacing="1"/>
      <w:textAlignment w:val="auto"/>
    </w:pPr>
    <w:rPr>
      <w:sz w:val="24"/>
      <w:szCs w:val="24"/>
    </w:rPr>
  </w:style>
  <w:style w:type="character" w:customStyle="1" w:styleId="apple-converted-space">
    <w:name w:val="apple-converted-space"/>
    <w:basedOn w:val="Policepardfaut"/>
    <w:rsid w:val="007153A7"/>
  </w:style>
  <w:style w:type="character" w:customStyle="1" w:styleId="TextonotapieCarCar2">
    <w:name w:val="Texto nota pie Car Car2"/>
    <w:aliases w:val="Footnote Text Char Char Char Char Char Car2,Footnote Text Char Char Char Char Car2,Footnote reference Car2,FA Fu Car2,Footnote Text Char Char Char Car2,Footnote Text Car2,texto de nota al pie Car2,ft Car1,Footnote referenc Car1"/>
    <w:semiHidden/>
    <w:locked/>
    <w:rsid w:val="002C579E"/>
    <w:rPr>
      <w:lang w:val="es-ES" w:eastAsia="es-ES" w:bidi="ar-SA"/>
    </w:rPr>
  </w:style>
  <w:style w:type="character" w:customStyle="1" w:styleId="CorpsdetexteCar">
    <w:name w:val="Corps de texte Car"/>
    <w:link w:val="Corpsdetexte"/>
    <w:rsid w:val="00652F33"/>
    <w:rPr>
      <w:rFonts w:ascii="Courier New" w:hAnsi="Courier New"/>
      <w:sz w:val="24"/>
      <w:lang w:val="es-MX" w:eastAsia="es-ES"/>
    </w:rPr>
  </w:style>
  <w:style w:type="character" w:customStyle="1" w:styleId="TextonotapieCar2">
    <w:name w:val="Texto nota pie Car2"/>
    <w:aliases w:val="Texto nota pie Car Car1,Footnote Text Char Char Char Char Char Car1,Footnote Text Char Char Char Char Car1,Footnote reference Car1,FA Fu Car1,Footnote Text Char Char Char Car1,Footnote Text Car1,texto de nota al pie Car1,ft Car"/>
    <w:semiHidden/>
    <w:locked/>
    <w:rsid w:val="00652F33"/>
    <w:rPr>
      <w:lang w:val="es-ES" w:eastAsia="es-ES"/>
    </w:rPr>
  </w:style>
  <w:style w:type="character" w:customStyle="1" w:styleId="PieddepageCar">
    <w:name w:val="Pied de page Car"/>
    <w:aliases w:val="aaPie de página Car,Pie de página Car Car Car"/>
    <w:link w:val="Pieddepage"/>
    <w:rsid w:val="00EA3A2A"/>
  </w:style>
  <w:style w:type="character" w:customStyle="1" w:styleId="Corpsdetexte3Car">
    <w:name w:val="Corps de texte 3 Car"/>
    <w:link w:val="Corpsdetexte3"/>
    <w:rsid w:val="00EA3A2A"/>
    <w:rPr>
      <w:sz w:val="28"/>
      <w:lang w:val="es-CO"/>
    </w:rPr>
  </w:style>
  <w:style w:type="paragraph" w:customStyle="1" w:styleId="Textoindependiente210">
    <w:name w:val="Texto independiente 21"/>
    <w:basedOn w:val="Normal"/>
    <w:rsid w:val="00EA3A2A"/>
    <w:pPr>
      <w:spacing w:line="360" w:lineRule="auto"/>
      <w:ind w:firstLine="2835"/>
      <w:jc w:val="both"/>
    </w:pPr>
    <w:rPr>
      <w:rFonts w:ascii="Verdana" w:hAnsi="Verdana" w:cs="Verdana"/>
      <w:sz w:val="24"/>
      <w:szCs w:val="24"/>
    </w:rPr>
  </w:style>
  <w:style w:type="paragraph" w:styleId="Textedebulles">
    <w:name w:val="Balloon Text"/>
    <w:basedOn w:val="Normal"/>
    <w:link w:val="TextedebullesCar"/>
    <w:rsid w:val="001E079F"/>
    <w:rPr>
      <w:rFonts w:ascii="Segoe UI" w:hAnsi="Segoe UI" w:cs="Segoe UI"/>
      <w:sz w:val="18"/>
      <w:szCs w:val="18"/>
    </w:rPr>
  </w:style>
  <w:style w:type="character" w:customStyle="1" w:styleId="TextedebullesCar">
    <w:name w:val="Texte de bulles Car"/>
    <w:link w:val="Textedebulles"/>
    <w:rsid w:val="001E079F"/>
    <w:rPr>
      <w:rFonts w:ascii="Segoe UI" w:hAnsi="Segoe UI" w:cs="Segoe UI"/>
      <w:sz w:val="18"/>
      <w:szCs w:val="18"/>
    </w:rPr>
  </w:style>
  <w:style w:type="paragraph" w:customStyle="1" w:styleId="Sinespaciado2">
    <w:name w:val="Sin espaciado2"/>
    <w:rsid w:val="001A4B2C"/>
    <w:rPr>
      <w:sz w:val="24"/>
      <w:szCs w:val="24"/>
      <w:lang w:val="es-ES" w:eastAsia="es-ES"/>
    </w:rPr>
  </w:style>
  <w:style w:type="character" w:styleId="Lienhypertexte">
    <w:name w:val="Hyperlink"/>
    <w:uiPriority w:val="99"/>
    <w:rsid w:val="001A4B2C"/>
    <w:rPr>
      <w:color w:val="0000FF"/>
      <w:u w:val="single"/>
    </w:rPr>
  </w:style>
  <w:style w:type="paragraph" w:customStyle="1" w:styleId="NormalCSJ">
    <w:name w:val="Normal CSJ"/>
    <w:basedOn w:val="Normal"/>
    <w:link w:val="NormalCSJCar"/>
    <w:qFormat/>
    <w:rsid w:val="001A4B2C"/>
    <w:pPr>
      <w:overflowPunct/>
      <w:autoSpaceDE/>
      <w:autoSpaceDN/>
      <w:adjustRightInd/>
      <w:spacing w:line="360" w:lineRule="auto"/>
      <w:ind w:firstLine="709"/>
      <w:jc w:val="both"/>
      <w:textAlignment w:val="auto"/>
    </w:pPr>
    <w:rPr>
      <w:rFonts w:ascii="Bookman Old Style" w:eastAsia="Calibri" w:hAnsi="Bookman Old Style"/>
      <w:sz w:val="28"/>
      <w:szCs w:val="28"/>
    </w:rPr>
  </w:style>
  <w:style w:type="character" w:customStyle="1" w:styleId="NormalCSJCar">
    <w:name w:val="Normal CSJ Car"/>
    <w:link w:val="NormalCSJ"/>
    <w:rsid w:val="001A4B2C"/>
    <w:rPr>
      <w:rFonts w:ascii="Bookman Old Style" w:eastAsia="Calibri" w:hAnsi="Bookman Old Style"/>
      <w:sz w:val="28"/>
      <w:szCs w:val="28"/>
      <w:lang w:val="es-ES" w:eastAsia="es-ES"/>
    </w:rPr>
  </w:style>
  <w:style w:type="paragraph" w:customStyle="1" w:styleId="normal1">
    <w:name w:val="normal1"/>
    <w:basedOn w:val="Normal"/>
    <w:rsid w:val="00121D97"/>
    <w:pPr>
      <w:overflowPunct/>
      <w:autoSpaceDE/>
      <w:autoSpaceDN/>
      <w:adjustRightInd/>
      <w:spacing w:before="100" w:beforeAutospacing="1" w:after="100" w:afterAutospacing="1"/>
      <w:textAlignment w:val="auto"/>
    </w:pPr>
    <w:rPr>
      <w:sz w:val="24"/>
      <w:szCs w:val="24"/>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419" w:eastAsia="es-419"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footnote text" w:uiPriority="99" w:qFormat="1"/>
    <w:lsdException w:name="caption" w:locked="1" w:semiHidden="1" w:unhideWhenUsed="1" w:qFormat="1"/>
    <w:lsdException w:name="footnote reference" w:uiPriority="99" w:qFormat="1"/>
    <w:lsdException w:name="Title" w:locked="1" w:qFormat="1"/>
    <w:lsdException w:name="Subtitle" w:locked="1" w:qFormat="1"/>
    <w:lsdException w:name="Hyperlink" w:uiPriority="99"/>
    <w:lsdException w:name="Strong" w:locked="1" w:qFormat="1"/>
    <w:lsdException w:name="Emphasis" w:locked="1"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val="es-ES" w:eastAsia="es-ES"/>
    </w:rPr>
  </w:style>
  <w:style w:type="paragraph" w:styleId="Titre1">
    <w:name w:val="heading 1"/>
    <w:basedOn w:val="Normal"/>
    <w:next w:val="Normal"/>
    <w:qFormat/>
    <w:pPr>
      <w:keepNext/>
      <w:spacing w:line="360" w:lineRule="auto"/>
      <w:ind w:left="2124" w:firstLine="711"/>
      <w:jc w:val="both"/>
      <w:outlineLvl w:val="0"/>
    </w:pPr>
    <w:rPr>
      <w:rFonts w:ascii="Arial Narrow" w:hAnsi="Arial Narrow"/>
      <w:b/>
      <w:sz w:val="24"/>
    </w:rPr>
  </w:style>
  <w:style w:type="paragraph" w:styleId="Titre2">
    <w:name w:val="heading 2"/>
    <w:basedOn w:val="Normal"/>
    <w:next w:val="Normal"/>
    <w:qFormat/>
    <w:pPr>
      <w:keepNext/>
      <w:spacing w:line="360" w:lineRule="auto"/>
      <w:jc w:val="both"/>
      <w:outlineLvl w:val="1"/>
    </w:pPr>
    <w:rPr>
      <w:rFonts w:ascii="Arial Narrow" w:hAnsi="Arial Narrow"/>
      <w:b/>
      <w:sz w:val="24"/>
    </w:rPr>
  </w:style>
  <w:style w:type="paragraph" w:styleId="Titre3">
    <w:name w:val="heading 3"/>
    <w:basedOn w:val="Normal"/>
    <w:next w:val="Normal"/>
    <w:qFormat/>
    <w:pPr>
      <w:keepNext/>
      <w:spacing w:line="360" w:lineRule="auto"/>
      <w:ind w:firstLine="2835"/>
      <w:jc w:val="both"/>
      <w:outlineLvl w:val="2"/>
    </w:pPr>
    <w:rPr>
      <w:rFonts w:ascii="Arial Narrow" w:hAnsi="Arial Narrow"/>
      <w:b/>
      <w:sz w:val="24"/>
      <w:lang w:val="es-MX"/>
    </w:rPr>
  </w:style>
  <w:style w:type="paragraph" w:styleId="Titre4">
    <w:name w:val="heading 4"/>
    <w:basedOn w:val="Normal"/>
    <w:next w:val="Normal"/>
    <w:qFormat/>
    <w:pPr>
      <w:keepNext/>
      <w:spacing w:line="312" w:lineRule="auto"/>
      <w:ind w:firstLine="2835"/>
      <w:jc w:val="both"/>
      <w:outlineLvl w:val="3"/>
    </w:pPr>
    <w:rPr>
      <w:rFonts w:ascii="Perpetua" w:hAnsi="Perpetua"/>
      <w:sz w:val="28"/>
      <w:lang w:val="es-MX"/>
    </w:rPr>
  </w:style>
  <w:style w:type="paragraph" w:styleId="Titre5">
    <w:name w:val="heading 5"/>
    <w:basedOn w:val="Normal"/>
    <w:next w:val="Normal"/>
    <w:qFormat/>
    <w:pPr>
      <w:keepNext/>
      <w:spacing w:line="360" w:lineRule="auto"/>
      <w:ind w:firstLine="2835"/>
      <w:jc w:val="both"/>
      <w:outlineLvl w:val="4"/>
    </w:pPr>
    <w:rPr>
      <w:rFonts w:ascii="Perpetua" w:hAnsi="Perpetua"/>
      <w:b/>
      <w:sz w:val="26"/>
      <w:lang w:val="es-MX"/>
    </w:rPr>
  </w:style>
  <w:style w:type="paragraph" w:styleId="Titre6">
    <w:name w:val="heading 6"/>
    <w:basedOn w:val="Normal"/>
    <w:next w:val="Normal"/>
    <w:qFormat/>
    <w:pPr>
      <w:spacing w:before="240" w:after="60"/>
      <w:outlineLvl w:val="5"/>
    </w:pPr>
    <w:rPr>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pPr>
      <w:spacing w:after="120" w:line="480" w:lineRule="auto"/>
    </w:pPr>
  </w:style>
  <w:style w:type="paragraph" w:styleId="Corpsdetexte">
    <w:name w:val="Body Text"/>
    <w:basedOn w:val="Normal"/>
    <w:link w:val="CorpsdetexteCar"/>
    <w:pPr>
      <w:spacing w:line="360" w:lineRule="auto"/>
      <w:jc w:val="both"/>
    </w:pPr>
    <w:rPr>
      <w:rFonts w:ascii="Courier New" w:hAnsi="Courier New"/>
      <w:sz w:val="24"/>
      <w:lang w:val="es-MX"/>
    </w:rPr>
  </w:style>
  <w:style w:type="paragraph" w:styleId="En-tte">
    <w:name w:val="header"/>
    <w:basedOn w:val="Normal"/>
    <w:pPr>
      <w:tabs>
        <w:tab w:val="center" w:pos="4419"/>
        <w:tab w:val="right" w:pos="8838"/>
      </w:tabs>
    </w:pPr>
  </w:style>
  <w:style w:type="paragraph" w:styleId="Pieddepage">
    <w:name w:val="footer"/>
    <w:aliases w:val="aaPie de página,Pie de página Car Car"/>
    <w:basedOn w:val="Normal"/>
    <w:link w:val="PieddepageCar"/>
    <w:pPr>
      <w:tabs>
        <w:tab w:val="center" w:pos="4419"/>
        <w:tab w:val="right" w:pos="8838"/>
      </w:tabs>
    </w:pPr>
  </w:style>
  <w:style w:type="character" w:styleId="Numrodepage">
    <w:name w:val="page number"/>
    <w:rPr>
      <w:rFonts w:cs="Times New Roman"/>
    </w:rPr>
  </w:style>
  <w:style w:type="paragraph" w:styleId="Normalcentr">
    <w:name w:val="Block Text"/>
    <w:basedOn w:val="Normal"/>
    <w:pPr>
      <w:ind w:left="1134" w:right="1418" w:firstLine="1701"/>
      <w:jc w:val="both"/>
    </w:pPr>
    <w:rPr>
      <w:rFonts w:ascii="Arial" w:hAnsi="Arial"/>
      <w:i/>
    </w:rPr>
  </w:style>
  <w:style w:type="paragraph" w:styleId="Notedebasdepage">
    <w:name w:val="footnote text"/>
    <w:aliases w:val="Texto nota pie Car,Footnote Text Char Char Char Char Char,Footnote Text Char Char Char Char,Footnote reference,FA Fu,Footnote Text Char Char Char,Footnote Text,texto de nota al pie,Footnote Text Char,Footnote referenc"/>
    <w:basedOn w:val="Normal"/>
    <w:link w:val="NotedebasdepageCar"/>
    <w:uiPriority w:val="99"/>
    <w:qFormat/>
  </w:style>
  <w:style w:type="character" w:styleId="Appelnotedebasdep">
    <w:name w:val="footnote reference"/>
    <w:aliases w:val="Texto de nota al pie,referencia nota al pie,Appel note de bas de page,BVI fnr,Footnote symbol,Footnote,Ref. de nota al pie2,Nota de pie,Ref,de nota al pie,Pie de pagina,Ref. ...,Ref1,FC,Ref. de nota al pie 2,Footnotes refss"/>
    <w:uiPriority w:val="99"/>
    <w:qFormat/>
    <w:rPr>
      <w:rFonts w:cs="Times New Roman"/>
      <w:vertAlign w:val="superscript"/>
    </w:rPr>
  </w:style>
  <w:style w:type="paragraph" w:styleId="Retraitcorpsdetexte">
    <w:name w:val="Body Text Indent"/>
    <w:basedOn w:val="Normal"/>
    <w:pPr>
      <w:spacing w:after="120"/>
      <w:ind w:left="283"/>
    </w:pPr>
  </w:style>
  <w:style w:type="paragraph" w:styleId="PrformatHTML">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paragraph" w:styleId="Retraitcorpsdetexte2">
    <w:name w:val="Body Text Indent 2"/>
    <w:basedOn w:val="Normal"/>
    <w:pPr>
      <w:spacing w:after="120" w:line="480" w:lineRule="auto"/>
      <w:ind w:left="283"/>
    </w:pPr>
  </w:style>
  <w:style w:type="paragraph" w:styleId="Corpsdetexte3">
    <w:name w:val="Body Text 3"/>
    <w:basedOn w:val="Normal"/>
    <w:link w:val="Corpsdetexte3Car"/>
    <w:rsid w:val="0088736F"/>
    <w:pPr>
      <w:ind w:right="20"/>
      <w:jc w:val="both"/>
    </w:pPr>
    <w:rPr>
      <w:sz w:val="28"/>
      <w:lang w:val="es-CO"/>
    </w:rPr>
  </w:style>
  <w:style w:type="paragraph" w:customStyle="1" w:styleId="Textoindependiente21">
    <w:name w:val="Texto independiente 21"/>
    <w:basedOn w:val="Normal"/>
    <w:rsid w:val="00A7056B"/>
    <w:pPr>
      <w:overflowPunct/>
      <w:autoSpaceDE/>
      <w:autoSpaceDN/>
      <w:adjustRightInd/>
      <w:spacing w:line="336" w:lineRule="auto"/>
      <w:ind w:firstLine="2835"/>
      <w:jc w:val="both"/>
      <w:textAlignment w:val="auto"/>
    </w:pPr>
    <w:rPr>
      <w:rFonts w:ascii="Verdana" w:hAnsi="Verdana"/>
      <w:sz w:val="24"/>
    </w:rPr>
  </w:style>
  <w:style w:type="character" w:customStyle="1" w:styleId="NotedebasdepageCar">
    <w:name w:val="Note de bas de page Car"/>
    <w:aliases w:val="Texto nota pie Car Car,Footnote Text Char Char Char Char Char Car,Footnote Text Char Char Char Char Car,Footnote reference Car,FA Fu Car,Footnote Text Char Char Char Car,Footnote Text Car,texto de nota al pie Car"/>
    <w:link w:val="Notedebasdepage"/>
    <w:uiPriority w:val="99"/>
    <w:locked/>
    <w:rsid w:val="00AE3811"/>
    <w:rPr>
      <w:lang w:val="es-ES" w:eastAsia="es-ES" w:bidi="ar-SA"/>
    </w:rPr>
  </w:style>
  <w:style w:type="paragraph" w:customStyle="1" w:styleId="Car">
    <w:name w:val="Car"/>
    <w:basedOn w:val="Normal"/>
    <w:rsid w:val="00535C28"/>
    <w:pPr>
      <w:overflowPunct/>
      <w:autoSpaceDE/>
      <w:autoSpaceDN/>
      <w:adjustRightInd/>
      <w:spacing w:after="160" w:line="240" w:lineRule="exact"/>
      <w:textAlignment w:val="auto"/>
    </w:pPr>
    <w:rPr>
      <w:noProof/>
      <w:color w:val="000000"/>
      <w:lang w:val="es-CO"/>
    </w:rPr>
  </w:style>
  <w:style w:type="character" w:customStyle="1" w:styleId="FootnoteTextChar1">
    <w:name w:val="Footnote Text Char1"/>
    <w:aliases w:val="Footnote Text Char Char Char Char Char Char,Footnote Text Char Char Char Char Char1,Footnote reference Char,FA Fu Char,Footnote Text Char Char Char Char1,texto de nota al pie Char,Footnote Text Char Char"/>
    <w:semiHidden/>
    <w:locked/>
    <w:rsid w:val="00360589"/>
    <w:rPr>
      <w:lang w:val="es-ES" w:eastAsia="es-ES" w:bidi="ar-SA"/>
    </w:rPr>
  </w:style>
  <w:style w:type="character" w:customStyle="1" w:styleId="textonavy1">
    <w:name w:val="texto_navy1"/>
    <w:rsid w:val="00DB4495"/>
    <w:rPr>
      <w:color w:val="000080"/>
    </w:rPr>
  </w:style>
  <w:style w:type="character" w:customStyle="1" w:styleId="TextonotapieCarCarCar">
    <w:name w:val="Texto nota pie Car Car Car"/>
    <w:semiHidden/>
    <w:locked/>
    <w:rsid w:val="00BC6CCD"/>
    <w:rPr>
      <w:rFonts w:ascii="Arial" w:hAnsi="Arial" w:cs="Arial"/>
      <w:sz w:val="18"/>
      <w:szCs w:val="18"/>
    </w:rPr>
  </w:style>
  <w:style w:type="paragraph" w:customStyle="1" w:styleId="Sinespaciado1">
    <w:name w:val="Sin espaciado1"/>
    <w:rsid w:val="00A93A91"/>
    <w:rPr>
      <w:sz w:val="24"/>
      <w:szCs w:val="24"/>
      <w:lang w:val="es-ES" w:eastAsia="es-ES"/>
    </w:rPr>
  </w:style>
  <w:style w:type="paragraph" w:styleId="Liste2">
    <w:name w:val="List 2"/>
    <w:basedOn w:val="Normal"/>
    <w:rsid w:val="00290DF2"/>
    <w:pPr>
      <w:ind w:left="566" w:hanging="283"/>
    </w:pPr>
  </w:style>
  <w:style w:type="paragraph" w:styleId="Formuledepolitesse">
    <w:name w:val="Closing"/>
    <w:basedOn w:val="Normal"/>
    <w:rsid w:val="00290DF2"/>
    <w:pPr>
      <w:ind w:left="4252"/>
    </w:pPr>
  </w:style>
  <w:style w:type="paragraph" w:styleId="Signature">
    <w:name w:val="Signature"/>
    <w:basedOn w:val="Normal"/>
    <w:rsid w:val="00290DF2"/>
    <w:pPr>
      <w:ind w:left="4252"/>
    </w:pPr>
  </w:style>
  <w:style w:type="paragraph" w:styleId="Retrait1religne">
    <w:name w:val="Body Text First Indent"/>
    <w:basedOn w:val="Corpsdetexte"/>
    <w:rsid w:val="00290DF2"/>
    <w:pPr>
      <w:spacing w:after="120" w:line="240" w:lineRule="auto"/>
      <w:ind w:firstLine="210"/>
      <w:jc w:val="left"/>
    </w:pPr>
    <w:rPr>
      <w:rFonts w:ascii="Times New Roman" w:hAnsi="Times New Roman"/>
      <w:sz w:val="20"/>
      <w:lang w:val="es-ES"/>
    </w:rPr>
  </w:style>
  <w:style w:type="paragraph" w:styleId="Retraitcorpset1relig">
    <w:name w:val="Body Text First Indent 2"/>
    <w:basedOn w:val="Retraitcorpsdetexte"/>
    <w:rsid w:val="00290DF2"/>
    <w:pPr>
      <w:ind w:firstLine="210"/>
    </w:pPr>
  </w:style>
  <w:style w:type="character" w:customStyle="1" w:styleId="TextonotapieCarChar">
    <w:name w:val="Texto nota pie Car Char"/>
    <w:semiHidden/>
    <w:locked/>
    <w:rsid w:val="00327896"/>
    <w:rPr>
      <w:lang w:val="es-ES" w:eastAsia="es-ES" w:bidi="ar-SA"/>
    </w:rPr>
  </w:style>
  <w:style w:type="paragraph" w:styleId="NormalWeb">
    <w:name w:val="Normal (Web)"/>
    <w:basedOn w:val="Normal"/>
    <w:uiPriority w:val="99"/>
    <w:rsid w:val="007153A7"/>
    <w:pPr>
      <w:overflowPunct/>
      <w:autoSpaceDE/>
      <w:autoSpaceDN/>
      <w:adjustRightInd/>
      <w:spacing w:before="100" w:beforeAutospacing="1" w:after="100" w:afterAutospacing="1"/>
      <w:textAlignment w:val="auto"/>
    </w:pPr>
    <w:rPr>
      <w:sz w:val="24"/>
      <w:szCs w:val="24"/>
    </w:rPr>
  </w:style>
  <w:style w:type="character" w:customStyle="1" w:styleId="apple-converted-space">
    <w:name w:val="apple-converted-space"/>
    <w:basedOn w:val="Policepardfaut"/>
    <w:rsid w:val="007153A7"/>
  </w:style>
  <w:style w:type="character" w:customStyle="1" w:styleId="TextonotapieCarCar2">
    <w:name w:val="Texto nota pie Car Car2"/>
    <w:aliases w:val="Footnote Text Char Char Char Char Char Car2,Footnote Text Char Char Char Char Car2,Footnote reference Car2,FA Fu Car2,Footnote Text Char Char Char Car2,Footnote Text Car2,texto de nota al pie Car2,ft Car1,Footnote referenc Car1"/>
    <w:semiHidden/>
    <w:locked/>
    <w:rsid w:val="002C579E"/>
    <w:rPr>
      <w:lang w:val="es-ES" w:eastAsia="es-ES" w:bidi="ar-SA"/>
    </w:rPr>
  </w:style>
  <w:style w:type="character" w:customStyle="1" w:styleId="CorpsdetexteCar">
    <w:name w:val="Corps de texte Car"/>
    <w:link w:val="Corpsdetexte"/>
    <w:rsid w:val="00652F33"/>
    <w:rPr>
      <w:rFonts w:ascii="Courier New" w:hAnsi="Courier New"/>
      <w:sz w:val="24"/>
      <w:lang w:val="es-MX" w:eastAsia="es-ES"/>
    </w:rPr>
  </w:style>
  <w:style w:type="character" w:customStyle="1" w:styleId="TextonotapieCar2">
    <w:name w:val="Texto nota pie Car2"/>
    <w:aliases w:val="Texto nota pie Car Car1,Footnote Text Char Char Char Char Char Car1,Footnote Text Char Char Char Char Car1,Footnote reference Car1,FA Fu Car1,Footnote Text Char Char Char Car1,Footnote Text Car1,texto de nota al pie Car1,ft Car"/>
    <w:semiHidden/>
    <w:locked/>
    <w:rsid w:val="00652F33"/>
    <w:rPr>
      <w:lang w:val="es-ES" w:eastAsia="es-ES"/>
    </w:rPr>
  </w:style>
  <w:style w:type="character" w:customStyle="1" w:styleId="PieddepageCar">
    <w:name w:val="Pied de page Car"/>
    <w:aliases w:val="aaPie de página Car,Pie de página Car Car Car"/>
    <w:link w:val="Pieddepage"/>
    <w:rsid w:val="00EA3A2A"/>
  </w:style>
  <w:style w:type="character" w:customStyle="1" w:styleId="Corpsdetexte3Car">
    <w:name w:val="Corps de texte 3 Car"/>
    <w:link w:val="Corpsdetexte3"/>
    <w:rsid w:val="00EA3A2A"/>
    <w:rPr>
      <w:sz w:val="28"/>
      <w:lang w:val="es-CO"/>
    </w:rPr>
  </w:style>
  <w:style w:type="paragraph" w:customStyle="1" w:styleId="Textoindependiente210">
    <w:name w:val="Texto independiente 21"/>
    <w:basedOn w:val="Normal"/>
    <w:rsid w:val="00EA3A2A"/>
    <w:pPr>
      <w:spacing w:line="360" w:lineRule="auto"/>
      <w:ind w:firstLine="2835"/>
      <w:jc w:val="both"/>
    </w:pPr>
    <w:rPr>
      <w:rFonts w:ascii="Verdana" w:hAnsi="Verdana" w:cs="Verdana"/>
      <w:sz w:val="24"/>
      <w:szCs w:val="24"/>
    </w:rPr>
  </w:style>
  <w:style w:type="paragraph" w:styleId="Textedebulles">
    <w:name w:val="Balloon Text"/>
    <w:basedOn w:val="Normal"/>
    <w:link w:val="TextedebullesCar"/>
    <w:rsid w:val="001E079F"/>
    <w:rPr>
      <w:rFonts w:ascii="Segoe UI" w:hAnsi="Segoe UI" w:cs="Segoe UI"/>
      <w:sz w:val="18"/>
      <w:szCs w:val="18"/>
    </w:rPr>
  </w:style>
  <w:style w:type="character" w:customStyle="1" w:styleId="TextedebullesCar">
    <w:name w:val="Texte de bulles Car"/>
    <w:link w:val="Textedebulles"/>
    <w:rsid w:val="001E079F"/>
    <w:rPr>
      <w:rFonts w:ascii="Segoe UI" w:hAnsi="Segoe UI" w:cs="Segoe UI"/>
      <w:sz w:val="18"/>
      <w:szCs w:val="18"/>
    </w:rPr>
  </w:style>
  <w:style w:type="paragraph" w:customStyle="1" w:styleId="Sinespaciado2">
    <w:name w:val="Sin espaciado2"/>
    <w:rsid w:val="001A4B2C"/>
    <w:rPr>
      <w:sz w:val="24"/>
      <w:szCs w:val="24"/>
      <w:lang w:val="es-ES" w:eastAsia="es-ES"/>
    </w:rPr>
  </w:style>
  <w:style w:type="character" w:styleId="Lienhypertexte">
    <w:name w:val="Hyperlink"/>
    <w:uiPriority w:val="99"/>
    <w:rsid w:val="001A4B2C"/>
    <w:rPr>
      <w:color w:val="0000FF"/>
      <w:u w:val="single"/>
    </w:rPr>
  </w:style>
  <w:style w:type="paragraph" w:customStyle="1" w:styleId="NormalCSJ">
    <w:name w:val="Normal CSJ"/>
    <w:basedOn w:val="Normal"/>
    <w:link w:val="NormalCSJCar"/>
    <w:qFormat/>
    <w:rsid w:val="001A4B2C"/>
    <w:pPr>
      <w:overflowPunct/>
      <w:autoSpaceDE/>
      <w:autoSpaceDN/>
      <w:adjustRightInd/>
      <w:spacing w:line="360" w:lineRule="auto"/>
      <w:ind w:firstLine="709"/>
      <w:jc w:val="both"/>
      <w:textAlignment w:val="auto"/>
    </w:pPr>
    <w:rPr>
      <w:rFonts w:ascii="Bookman Old Style" w:eastAsia="Calibri" w:hAnsi="Bookman Old Style"/>
      <w:sz w:val="28"/>
      <w:szCs w:val="28"/>
    </w:rPr>
  </w:style>
  <w:style w:type="character" w:customStyle="1" w:styleId="NormalCSJCar">
    <w:name w:val="Normal CSJ Car"/>
    <w:link w:val="NormalCSJ"/>
    <w:rsid w:val="001A4B2C"/>
    <w:rPr>
      <w:rFonts w:ascii="Bookman Old Style" w:eastAsia="Calibri" w:hAnsi="Bookman Old Style"/>
      <w:sz w:val="28"/>
      <w:szCs w:val="28"/>
      <w:lang w:val="es-ES" w:eastAsia="es-ES"/>
    </w:rPr>
  </w:style>
  <w:style w:type="paragraph" w:customStyle="1" w:styleId="normal1">
    <w:name w:val="normal1"/>
    <w:basedOn w:val="Normal"/>
    <w:rsid w:val="00121D97"/>
    <w:pPr>
      <w:overflowPunct/>
      <w:autoSpaceDE/>
      <w:autoSpaceDN/>
      <w:adjustRightInd/>
      <w:spacing w:before="100" w:beforeAutospacing="1" w:after="100" w:afterAutospacing="1"/>
      <w:textAlignment w:val="auto"/>
    </w:pPr>
    <w:rPr>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53499">
      <w:bodyDiv w:val="1"/>
      <w:marLeft w:val="0"/>
      <w:marRight w:val="0"/>
      <w:marTop w:val="0"/>
      <w:marBottom w:val="0"/>
      <w:divBdr>
        <w:top w:val="none" w:sz="0" w:space="0" w:color="auto"/>
        <w:left w:val="none" w:sz="0" w:space="0" w:color="auto"/>
        <w:bottom w:val="none" w:sz="0" w:space="0" w:color="auto"/>
        <w:right w:val="none" w:sz="0" w:space="0" w:color="auto"/>
      </w:divBdr>
    </w:div>
    <w:div w:id="120265603">
      <w:bodyDiv w:val="1"/>
      <w:marLeft w:val="0"/>
      <w:marRight w:val="0"/>
      <w:marTop w:val="0"/>
      <w:marBottom w:val="0"/>
      <w:divBdr>
        <w:top w:val="none" w:sz="0" w:space="0" w:color="auto"/>
        <w:left w:val="none" w:sz="0" w:space="0" w:color="auto"/>
        <w:bottom w:val="none" w:sz="0" w:space="0" w:color="auto"/>
        <w:right w:val="none" w:sz="0" w:space="0" w:color="auto"/>
      </w:divBdr>
    </w:div>
    <w:div w:id="154418966">
      <w:bodyDiv w:val="1"/>
      <w:marLeft w:val="0"/>
      <w:marRight w:val="0"/>
      <w:marTop w:val="0"/>
      <w:marBottom w:val="0"/>
      <w:divBdr>
        <w:top w:val="none" w:sz="0" w:space="0" w:color="auto"/>
        <w:left w:val="none" w:sz="0" w:space="0" w:color="auto"/>
        <w:bottom w:val="none" w:sz="0" w:space="0" w:color="auto"/>
        <w:right w:val="none" w:sz="0" w:space="0" w:color="auto"/>
      </w:divBdr>
    </w:div>
    <w:div w:id="30540289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888758406">
          <w:marLeft w:val="0"/>
          <w:marRight w:val="0"/>
          <w:marTop w:val="0"/>
          <w:marBottom w:val="0"/>
          <w:divBdr>
            <w:top w:val="none" w:sz="0" w:space="0" w:color="auto"/>
            <w:left w:val="none" w:sz="0" w:space="0" w:color="auto"/>
            <w:bottom w:val="none" w:sz="0" w:space="0" w:color="auto"/>
            <w:right w:val="none" w:sz="0" w:space="0" w:color="auto"/>
          </w:divBdr>
        </w:div>
        <w:div w:id="940139962">
          <w:marLeft w:val="0"/>
          <w:marRight w:val="0"/>
          <w:marTop w:val="0"/>
          <w:marBottom w:val="0"/>
          <w:divBdr>
            <w:top w:val="none" w:sz="0" w:space="0" w:color="auto"/>
            <w:left w:val="none" w:sz="0" w:space="0" w:color="auto"/>
            <w:bottom w:val="none" w:sz="0" w:space="0" w:color="auto"/>
            <w:right w:val="none" w:sz="0" w:space="0" w:color="auto"/>
          </w:divBdr>
        </w:div>
        <w:div w:id="2104646277">
          <w:marLeft w:val="0"/>
          <w:marRight w:val="0"/>
          <w:marTop w:val="0"/>
          <w:marBottom w:val="0"/>
          <w:divBdr>
            <w:top w:val="none" w:sz="0" w:space="0" w:color="auto"/>
            <w:left w:val="none" w:sz="0" w:space="0" w:color="auto"/>
            <w:bottom w:val="none" w:sz="0" w:space="0" w:color="auto"/>
            <w:right w:val="none" w:sz="0" w:space="0" w:color="auto"/>
          </w:divBdr>
        </w:div>
      </w:divsChild>
    </w:div>
    <w:div w:id="393360030">
      <w:bodyDiv w:val="1"/>
      <w:marLeft w:val="0"/>
      <w:marRight w:val="0"/>
      <w:marTop w:val="0"/>
      <w:marBottom w:val="0"/>
      <w:divBdr>
        <w:top w:val="none" w:sz="0" w:space="0" w:color="auto"/>
        <w:left w:val="none" w:sz="0" w:space="0" w:color="auto"/>
        <w:bottom w:val="none" w:sz="0" w:space="0" w:color="auto"/>
        <w:right w:val="none" w:sz="0" w:space="0" w:color="auto"/>
      </w:divBdr>
    </w:div>
    <w:div w:id="476846542">
      <w:bodyDiv w:val="1"/>
      <w:marLeft w:val="150"/>
      <w:marRight w:val="150"/>
      <w:marTop w:val="150"/>
      <w:marBottom w:val="150"/>
      <w:divBdr>
        <w:top w:val="none" w:sz="0" w:space="0" w:color="auto"/>
        <w:left w:val="none" w:sz="0" w:space="0" w:color="auto"/>
        <w:bottom w:val="none" w:sz="0" w:space="0" w:color="auto"/>
        <w:right w:val="none" w:sz="0" w:space="0" w:color="auto"/>
      </w:divBdr>
      <w:divsChild>
        <w:div w:id="815486312">
          <w:marLeft w:val="0"/>
          <w:marRight w:val="0"/>
          <w:marTop w:val="0"/>
          <w:marBottom w:val="0"/>
          <w:divBdr>
            <w:top w:val="none" w:sz="0" w:space="0" w:color="auto"/>
            <w:left w:val="none" w:sz="0" w:space="0" w:color="auto"/>
            <w:bottom w:val="none" w:sz="0" w:space="0" w:color="auto"/>
            <w:right w:val="none" w:sz="0" w:space="0" w:color="auto"/>
          </w:divBdr>
        </w:div>
      </w:divsChild>
    </w:div>
    <w:div w:id="529494118">
      <w:bodyDiv w:val="1"/>
      <w:marLeft w:val="0"/>
      <w:marRight w:val="0"/>
      <w:marTop w:val="0"/>
      <w:marBottom w:val="0"/>
      <w:divBdr>
        <w:top w:val="none" w:sz="0" w:space="0" w:color="auto"/>
        <w:left w:val="none" w:sz="0" w:space="0" w:color="auto"/>
        <w:bottom w:val="none" w:sz="0" w:space="0" w:color="auto"/>
        <w:right w:val="none" w:sz="0" w:space="0" w:color="auto"/>
      </w:divBdr>
    </w:div>
    <w:div w:id="534926045">
      <w:bodyDiv w:val="1"/>
      <w:marLeft w:val="0"/>
      <w:marRight w:val="0"/>
      <w:marTop w:val="0"/>
      <w:marBottom w:val="0"/>
      <w:divBdr>
        <w:top w:val="none" w:sz="0" w:space="0" w:color="auto"/>
        <w:left w:val="none" w:sz="0" w:space="0" w:color="auto"/>
        <w:bottom w:val="none" w:sz="0" w:space="0" w:color="auto"/>
        <w:right w:val="none" w:sz="0" w:space="0" w:color="auto"/>
      </w:divBdr>
    </w:div>
    <w:div w:id="605160816">
      <w:bodyDiv w:val="1"/>
      <w:marLeft w:val="0"/>
      <w:marRight w:val="0"/>
      <w:marTop w:val="0"/>
      <w:marBottom w:val="0"/>
      <w:divBdr>
        <w:top w:val="none" w:sz="0" w:space="0" w:color="auto"/>
        <w:left w:val="none" w:sz="0" w:space="0" w:color="auto"/>
        <w:bottom w:val="none" w:sz="0" w:space="0" w:color="auto"/>
        <w:right w:val="none" w:sz="0" w:space="0" w:color="auto"/>
      </w:divBdr>
    </w:div>
    <w:div w:id="75590564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532377013">
          <w:marLeft w:val="0"/>
          <w:marRight w:val="0"/>
          <w:marTop w:val="0"/>
          <w:marBottom w:val="0"/>
          <w:divBdr>
            <w:top w:val="none" w:sz="0" w:space="0" w:color="auto"/>
            <w:left w:val="none" w:sz="0" w:space="0" w:color="auto"/>
            <w:bottom w:val="none" w:sz="0" w:space="0" w:color="auto"/>
            <w:right w:val="none" w:sz="0" w:space="0" w:color="auto"/>
          </w:divBdr>
        </w:div>
      </w:divsChild>
    </w:div>
    <w:div w:id="816920210">
      <w:bodyDiv w:val="1"/>
      <w:marLeft w:val="0"/>
      <w:marRight w:val="0"/>
      <w:marTop w:val="0"/>
      <w:marBottom w:val="0"/>
      <w:divBdr>
        <w:top w:val="none" w:sz="0" w:space="0" w:color="auto"/>
        <w:left w:val="none" w:sz="0" w:space="0" w:color="auto"/>
        <w:bottom w:val="none" w:sz="0" w:space="0" w:color="auto"/>
        <w:right w:val="none" w:sz="0" w:space="0" w:color="auto"/>
      </w:divBdr>
    </w:div>
    <w:div w:id="107879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rteconstitucional.gov.co/relatoria/2015/T-667-15.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rteconstitucional.gov.co/relatoria/2015/T-667-15.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orteconstitucional.gov.co/relatoria/2015/T-667-15.htm" TargetMode="External"/><Relationship Id="rId4" Type="http://schemas.microsoft.com/office/2007/relationships/stylesWithEffects" Target="stylesWithEffects.xml"/><Relationship Id="rId9" Type="http://schemas.openxmlformats.org/officeDocument/2006/relationships/hyperlink" Target="http://www.corteconstitucional.gov.co/relatoria/2015/T-667-15.htm"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25B772-E65F-4241-8BAB-C2281CA6C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12</Pages>
  <Words>4790</Words>
  <Characters>26346</Characters>
  <Application>Microsoft Office Word</Application>
  <DocSecurity>0</DocSecurity>
  <Lines>219</Lines>
  <Paragraphs>62</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TRIBUNAL SUPERIOR DEL DISTRITO JUDICIAL</vt:lpstr>
      <vt:lpstr>TRIBUNAL SUPERIOR DEL DISTRITO JUDICIAL</vt:lpstr>
    </vt:vector>
  </TitlesOfParts>
  <Company>RAMA JUDICIAL</Company>
  <LinksUpToDate>false</LinksUpToDate>
  <CharactersWithSpaces>31074</CharactersWithSpaces>
  <SharedDoc>false</SharedDoc>
  <HLinks>
    <vt:vector size="12" baseType="variant">
      <vt:variant>
        <vt:i4>6553689</vt:i4>
      </vt:variant>
      <vt:variant>
        <vt:i4>3</vt:i4>
      </vt:variant>
      <vt:variant>
        <vt:i4>0</vt:i4>
      </vt:variant>
      <vt:variant>
        <vt:i4>5</vt:i4>
      </vt:variant>
      <vt:variant>
        <vt:lpwstr>http://www.corteconstitucional.gov.co/relatoria/2016/SU222-16.htm</vt:lpwstr>
      </vt:variant>
      <vt:variant>
        <vt:lpwstr>_ftn86</vt:lpwstr>
      </vt:variant>
      <vt:variant>
        <vt:i4>6291545</vt:i4>
      </vt:variant>
      <vt:variant>
        <vt:i4>0</vt:i4>
      </vt:variant>
      <vt:variant>
        <vt:i4>0</vt:i4>
      </vt:variant>
      <vt:variant>
        <vt:i4>5</vt:i4>
      </vt:variant>
      <vt:variant>
        <vt:lpwstr>http://www.corteconstitucional.gov.co/relatoria/2016/SU222-16.htm</vt:lpwstr>
      </vt:variant>
      <vt:variant>
        <vt:lpwstr>_ftn82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subject/>
  <dc:creator>RAMA JUDICIAL</dc:creator>
  <cp:keywords/>
  <cp:lastModifiedBy>Malucimedina</cp:lastModifiedBy>
  <cp:revision>5</cp:revision>
  <cp:lastPrinted>2018-02-05T15:19:00Z</cp:lastPrinted>
  <dcterms:created xsi:type="dcterms:W3CDTF">2018-02-02T19:36:00Z</dcterms:created>
  <dcterms:modified xsi:type="dcterms:W3CDTF">2018-03-12T13:55:00Z</dcterms:modified>
</cp:coreProperties>
</file>