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EA" w:rsidRPr="00E837EA" w:rsidRDefault="00E837EA" w:rsidP="00E837E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r w:rsidRPr="00E837E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837EA" w:rsidRPr="00E837EA" w:rsidRDefault="00E837EA" w:rsidP="00E837E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E837EA">
        <w:rPr>
          <w:rFonts w:ascii="Calibri" w:eastAsia="Calibri" w:hAnsi="Calibri" w:cs="Calibri"/>
          <w:color w:val="FF0000"/>
          <w:sz w:val="16"/>
          <w:szCs w:val="16"/>
          <w:lang w:val="es-CO" w:eastAsia="fr-FR"/>
        </w:rPr>
        <w:t>El contenido total y fiel de la decisión debe ser verificado en la Secretaría de esta Sala.</w:t>
      </w:r>
    </w:p>
    <w:p w:rsidR="00E837EA" w:rsidRPr="00E837EA" w:rsidRDefault="00E837EA" w:rsidP="00E837E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E837EA">
        <w:rPr>
          <w:rFonts w:ascii="Calibri" w:hAnsi="Calibri" w:cs="Calibri"/>
          <w:color w:val="222222"/>
          <w:sz w:val="18"/>
          <w:szCs w:val="18"/>
          <w:lang w:val="es-CO" w:eastAsia="fr-FR"/>
        </w:rPr>
        <w:t>Providencia:</w:t>
      </w:r>
      <w:r w:rsidRPr="00E837EA">
        <w:rPr>
          <w:rFonts w:ascii="Calibri" w:hAnsi="Calibri" w:cs="Calibri"/>
          <w:color w:val="222222"/>
          <w:sz w:val="18"/>
          <w:szCs w:val="18"/>
          <w:lang w:val="es-CO" w:eastAsia="fr-FR"/>
        </w:rPr>
        <w:tab/>
        <w:t xml:space="preserve">Sentencia  – </w:t>
      </w:r>
      <w:r>
        <w:rPr>
          <w:rFonts w:ascii="Calibri" w:hAnsi="Calibri" w:cs="Calibri"/>
          <w:color w:val="222222"/>
          <w:sz w:val="18"/>
          <w:szCs w:val="18"/>
          <w:lang w:val="es-CO" w:eastAsia="fr-FR"/>
        </w:rPr>
        <w:t>2</w:t>
      </w:r>
      <w:r w:rsidRPr="00E837EA">
        <w:rPr>
          <w:rFonts w:ascii="Calibri" w:hAnsi="Calibri" w:cs="Calibri"/>
          <w:color w:val="222222"/>
          <w:sz w:val="18"/>
          <w:szCs w:val="18"/>
          <w:lang w:val="es-CO" w:eastAsia="fr-FR"/>
        </w:rPr>
        <w:t xml:space="preserve">ª instancia – </w:t>
      </w:r>
      <w:r>
        <w:rPr>
          <w:rFonts w:ascii="Calibri" w:hAnsi="Calibri" w:cs="Calibri"/>
          <w:color w:val="222222"/>
          <w:sz w:val="18"/>
          <w:szCs w:val="18"/>
          <w:lang w:val="es-CO" w:eastAsia="fr-FR"/>
        </w:rPr>
        <w:t>6</w:t>
      </w:r>
      <w:r w:rsidRPr="00E837EA">
        <w:rPr>
          <w:rFonts w:ascii="Calibri" w:hAnsi="Calibri" w:cs="Calibri"/>
          <w:color w:val="222222"/>
          <w:sz w:val="18"/>
          <w:szCs w:val="18"/>
          <w:lang w:val="es-CO" w:eastAsia="fr-FR"/>
        </w:rPr>
        <w:t xml:space="preserve"> de marzo de 2018</w:t>
      </w:r>
    </w:p>
    <w:p w:rsidR="00E837EA" w:rsidRPr="00E837EA" w:rsidRDefault="00E837EA" w:rsidP="00E837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E837EA">
        <w:rPr>
          <w:rFonts w:ascii="Calibri" w:eastAsia="Calibri" w:hAnsi="Calibri" w:cs="Calibri"/>
          <w:color w:val="222222"/>
          <w:sz w:val="18"/>
          <w:szCs w:val="18"/>
          <w:lang w:val="es-CO" w:eastAsia="fr-FR"/>
        </w:rPr>
        <w:t>Proceso:</w:t>
      </w:r>
      <w:r w:rsidRPr="00E837EA">
        <w:rPr>
          <w:rFonts w:ascii="Calibri" w:eastAsia="Calibri" w:hAnsi="Calibri" w:cs="Calibri"/>
          <w:color w:val="222222"/>
          <w:sz w:val="18"/>
          <w:szCs w:val="18"/>
          <w:lang w:val="es-CO" w:eastAsia="fr-FR"/>
        </w:rPr>
        <w:tab/>
        <w:t xml:space="preserve">Acción de Tutela – </w:t>
      </w:r>
      <w:r w:rsidR="004679F9">
        <w:rPr>
          <w:rFonts w:ascii="Calibri" w:eastAsia="Calibri" w:hAnsi="Calibri" w:cs="Calibri"/>
          <w:color w:val="222222"/>
          <w:sz w:val="18"/>
          <w:szCs w:val="18"/>
          <w:lang w:val="es-CO" w:eastAsia="fr-FR"/>
        </w:rPr>
        <w:t>Revoca niega</w:t>
      </w:r>
    </w:p>
    <w:p w:rsidR="00E837EA" w:rsidRPr="00E837EA" w:rsidRDefault="00E837EA" w:rsidP="00E837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E837EA">
        <w:rPr>
          <w:rFonts w:ascii="Calibri" w:eastAsia="Calibri" w:hAnsi="Calibri" w:cs="Calibri"/>
          <w:color w:val="222222"/>
          <w:sz w:val="18"/>
          <w:szCs w:val="18"/>
          <w:lang w:val="es-CO" w:eastAsia="fr-FR"/>
        </w:rPr>
        <w:t>Radicación Nro. :</w:t>
      </w:r>
      <w:r w:rsidRPr="00E837EA">
        <w:rPr>
          <w:rFonts w:ascii="Calibri" w:eastAsia="Calibri" w:hAnsi="Calibri" w:cs="Calibri"/>
          <w:color w:val="222222"/>
          <w:sz w:val="18"/>
          <w:szCs w:val="18"/>
          <w:lang w:val="es-CO" w:eastAsia="fr-FR"/>
        </w:rPr>
        <w:tab/>
      </w:r>
      <w:r w:rsidRPr="00E837EA">
        <w:rPr>
          <w:rFonts w:ascii="Calibri" w:eastAsia="Calibri" w:hAnsi="Calibri" w:cs="Calibri"/>
          <w:color w:val="222222"/>
          <w:sz w:val="18"/>
          <w:szCs w:val="18"/>
          <w:lang w:val="es-CO" w:eastAsia="fr-FR"/>
        </w:rPr>
        <w:tab/>
        <w:t xml:space="preserve"> </w:t>
      </w:r>
      <w:r w:rsidRPr="00E837EA">
        <w:rPr>
          <w:rFonts w:ascii="Calibri" w:eastAsia="Calibri" w:hAnsi="Calibri" w:cs="Calibri"/>
          <w:bCs/>
          <w:iCs/>
          <w:color w:val="222222"/>
          <w:sz w:val="18"/>
          <w:szCs w:val="18"/>
          <w:lang w:eastAsia="fr-FR"/>
        </w:rPr>
        <w:t>66001-31-03-004-2017-00425-01</w:t>
      </w:r>
    </w:p>
    <w:p w:rsidR="00E837EA" w:rsidRPr="00E837EA" w:rsidRDefault="00E837EA" w:rsidP="00E837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eastAsia="fr-FR"/>
        </w:rPr>
      </w:pPr>
      <w:r w:rsidRPr="00E837EA">
        <w:rPr>
          <w:rFonts w:ascii="Calibri" w:eastAsia="Calibri" w:hAnsi="Calibri" w:cs="Calibri"/>
          <w:bCs/>
          <w:iCs/>
          <w:color w:val="222222"/>
          <w:sz w:val="18"/>
          <w:szCs w:val="18"/>
          <w:lang w:eastAsia="fr-FR"/>
        </w:rPr>
        <w:t xml:space="preserve">Accionante: </w:t>
      </w:r>
      <w:r w:rsidRPr="00E837EA">
        <w:rPr>
          <w:rFonts w:ascii="Calibri" w:eastAsia="Calibri" w:hAnsi="Calibri" w:cs="Calibri"/>
          <w:bCs/>
          <w:iCs/>
          <w:color w:val="222222"/>
          <w:sz w:val="18"/>
          <w:szCs w:val="18"/>
          <w:lang w:eastAsia="fr-FR"/>
        </w:rPr>
        <w:tab/>
      </w:r>
      <w:r w:rsidRPr="00E837EA">
        <w:rPr>
          <w:rFonts w:ascii="Calibri" w:eastAsia="Calibri" w:hAnsi="Calibri" w:cs="Calibri"/>
          <w:bCs/>
          <w:iCs/>
          <w:color w:val="222222"/>
          <w:sz w:val="18"/>
          <w:szCs w:val="18"/>
          <w:lang w:eastAsia="fr-FR"/>
        </w:rPr>
        <w:tab/>
      </w:r>
      <w:r w:rsidRPr="00E837EA">
        <w:rPr>
          <w:rFonts w:ascii="Calibri" w:eastAsia="Calibri" w:hAnsi="Calibri" w:cs="Calibri"/>
          <w:bCs/>
          <w:iCs/>
          <w:color w:val="222222"/>
          <w:sz w:val="18"/>
          <w:szCs w:val="18"/>
          <w:lang w:eastAsia="fr-FR"/>
        </w:rPr>
        <w:tab/>
      </w:r>
      <w:proofErr w:type="spellStart"/>
      <w:r w:rsidR="00720AA6">
        <w:rPr>
          <w:rFonts w:ascii="Calibri" w:eastAsia="Calibri" w:hAnsi="Calibri" w:cs="Calibri"/>
          <w:bCs/>
          <w:iCs/>
          <w:color w:val="222222"/>
          <w:sz w:val="18"/>
          <w:szCs w:val="18"/>
          <w:lang w:eastAsia="fr-FR"/>
        </w:rPr>
        <w:t>MGS</w:t>
      </w:r>
      <w:proofErr w:type="spellEnd"/>
    </w:p>
    <w:p w:rsidR="00E837EA" w:rsidRPr="00E837EA" w:rsidRDefault="00E837EA" w:rsidP="00E837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ES_tradnl" w:eastAsia="fr-FR"/>
        </w:rPr>
      </w:pPr>
      <w:r w:rsidRPr="00E837EA">
        <w:rPr>
          <w:rFonts w:ascii="Calibri" w:eastAsia="Calibri" w:hAnsi="Calibri" w:cs="Calibri"/>
          <w:color w:val="222222"/>
          <w:sz w:val="18"/>
          <w:szCs w:val="18"/>
          <w:lang w:val="es-CO" w:eastAsia="fr-FR"/>
        </w:rPr>
        <w:t>Accionado:</w:t>
      </w:r>
      <w:r w:rsidRPr="00E837EA">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COLPENSIONES</w:t>
      </w:r>
      <w:proofErr w:type="spellEnd"/>
    </w:p>
    <w:p w:rsidR="00E837EA" w:rsidRPr="00E837EA" w:rsidRDefault="00E837EA" w:rsidP="00E837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E837EA">
        <w:rPr>
          <w:rFonts w:ascii="Calibri" w:eastAsia="Calibri" w:hAnsi="Calibri" w:cs="Calibri"/>
          <w:color w:val="222222"/>
          <w:sz w:val="18"/>
          <w:szCs w:val="18"/>
          <w:lang w:val="es-CO" w:eastAsia="fr-FR"/>
        </w:rPr>
        <w:t xml:space="preserve">Magistrado Ponente: </w:t>
      </w:r>
      <w:r w:rsidRPr="00E837EA">
        <w:rPr>
          <w:rFonts w:ascii="Calibri" w:eastAsia="Calibri" w:hAnsi="Calibri" w:cs="Calibri"/>
          <w:color w:val="222222"/>
          <w:sz w:val="18"/>
          <w:szCs w:val="18"/>
          <w:lang w:val="es-CO" w:eastAsia="fr-FR"/>
        </w:rPr>
        <w:tab/>
        <w:t xml:space="preserve">  </w:t>
      </w:r>
      <w:r w:rsidRPr="00E837EA">
        <w:rPr>
          <w:rFonts w:ascii="Calibri" w:eastAsia="Calibri" w:hAnsi="Calibri" w:cs="Calibri"/>
          <w:bCs/>
          <w:iCs/>
          <w:color w:val="222222"/>
          <w:sz w:val="18"/>
          <w:szCs w:val="18"/>
          <w:lang w:val="es-CO" w:eastAsia="fr-FR"/>
        </w:rPr>
        <w:t>JAIME ALBERTO SARAZA NARANJO</w:t>
      </w:r>
    </w:p>
    <w:p w:rsidR="00E837EA" w:rsidRPr="00E837EA" w:rsidRDefault="00E837EA" w:rsidP="00E837EA">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E837EA" w:rsidRPr="00E837EA" w:rsidRDefault="00E837EA" w:rsidP="004679F9">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E837EA">
        <w:rPr>
          <w:rFonts w:ascii="Calibri" w:eastAsia="Calibri" w:hAnsi="Calibri" w:cs="Calibri"/>
          <w:b/>
          <w:bCs/>
          <w:iCs/>
          <w:color w:val="222222"/>
          <w:sz w:val="18"/>
          <w:szCs w:val="18"/>
          <w:lang w:val="es-CO" w:eastAsia="fr-FR"/>
        </w:rPr>
        <w:t xml:space="preserve">Temas: </w:t>
      </w:r>
      <w:r w:rsidRPr="00E837EA">
        <w:rPr>
          <w:rFonts w:ascii="Calibri" w:eastAsia="Calibri" w:hAnsi="Calibri" w:cs="Calibri"/>
          <w:b/>
          <w:bCs/>
          <w:iCs/>
          <w:color w:val="222222"/>
          <w:sz w:val="18"/>
          <w:szCs w:val="18"/>
          <w:lang w:val="es-CO" w:eastAsia="fr-FR"/>
        </w:rPr>
        <w:tab/>
      </w:r>
      <w:r w:rsidR="004679F9">
        <w:rPr>
          <w:rFonts w:ascii="Calibri" w:eastAsia="Calibri" w:hAnsi="Calibri" w:cs="Calibri"/>
          <w:b/>
          <w:bCs/>
          <w:iCs/>
          <w:color w:val="222222"/>
          <w:sz w:val="18"/>
          <w:szCs w:val="18"/>
          <w:lang w:val="es-CO" w:eastAsia="fr-FR"/>
        </w:rPr>
        <w:t>PENSIÓN DE INVALIDEZ</w:t>
      </w:r>
      <w:r w:rsidRPr="00E837EA">
        <w:rPr>
          <w:rFonts w:ascii="Calibri" w:eastAsia="Calibri" w:hAnsi="Calibri" w:cs="Calibri"/>
          <w:b/>
          <w:bCs/>
          <w:iCs/>
          <w:color w:val="222222"/>
          <w:sz w:val="18"/>
          <w:szCs w:val="18"/>
          <w:lang w:val="es-CO" w:eastAsia="fr-FR"/>
        </w:rPr>
        <w:t xml:space="preserve"> / </w:t>
      </w:r>
      <w:r w:rsidR="004679F9">
        <w:rPr>
          <w:rFonts w:ascii="Calibri" w:eastAsia="Calibri" w:hAnsi="Calibri" w:cs="Calibri"/>
          <w:b/>
          <w:bCs/>
          <w:iCs/>
          <w:color w:val="222222"/>
          <w:sz w:val="18"/>
          <w:szCs w:val="18"/>
          <w:lang w:val="es-CO" w:eastAsia="fr-FR"/>
        </w:rPr>
        <w:t>LA FECHA DE ESTRUCTURACIÓN ES LA INDICADA EN LA CALIFICACIÓN Y NO CUANDO CESÓ APORTES</w:t>
      </w:r>
      <w:r w:rsidRPr="00E837EA">
        <w:rPr>
          <w:rFonts w:ascii="Calibri" w:eastAsia="Calibri" w:hAnsi="Calibri" w:cs="Calibri"/>
          <w:b/>
          <w:bCs/>
          <w:iCs/>
          <w:color w:val="222222"/>
          <w:sz w:val="18"/>
          <w:szCs w:val="18"/>
          <w:lang w:val="es-CO" w:eastAsia="fr-FR"/>
        </w:rPr>
        <w:t xml:space="preserve"> / </w:t>
      </w:r>
      <w:r w:rsidR="004679F9">
        <w:rPr>
          <w:rFonts w:ascii="Calibri" w:eastAsia="Calibri" w:hAnsi="Calibri" w:cs="Calibri"/>
          <w:b/>
          <w:bCs/>
          <w:iCs/>
          <w:color w:val="222222"/>
          <w:sz w:val="18"/>
          <w:szCs w:val="18"/>
          <w:lang w:val="es-CO" w:eastAsia="fr-FR"/>
        </w:rPr>
        <w:t>REVOCA</w:t>
      </w:r>
      <w:r w:rsidRPr="00E837EA">
        <w:rPr>
          <w:rFonts w:ascii="Calibri" w:eastAsia="Calibri" w:hAnsi="Calibri" w:cs="Calibri"/>
          <w:b/>
          <w:bCs/>
          <w:iCs/>
          <w:color w:val="222222"/>
          <w:sz w:val="18"/>
          <w:szCs w:val="18"/>
          <w:lang w:val="es-CO" w:eastAsia="fr-FR"/>
        </w:rPr>
        <w:t xml:space="preserve">/ </w:t>
      </w:r>
      <w:r w:rsidR="004679F9">
        <w:rPr>
          <w:rFonts w:ascii="Calibri" w:eastAsia="Calibri" w:hAnsi="Calibri" w:cs="Calibri"/>
          <w:b/>
          <w:bCs/>
          <w:iCs/>
          <w:color w:val="222222"/>
          <w:sz w:val="18"/>
          <w:szCs w:val="18"/>
          <w:lang w:val="es-CO" w:eastAsia="fr-FR"/>
        </w:rPr>
        <w:t>NIEGA</w:t>
      </w:r>
      <w:r w:rsidRPr="00E837EA">
        <w:rPr>
          <w:rFonts w:ascii="Calibri" w:eastAsia="Calibri" w:hAnsi="Calibri" w:cs="Calibri"/>
          <w:b/>
          <w:bCs/>
          <w:iCs/>
          <w:color w:val="222222"/>
          <w:sz w:val="18"/>
          <w:szCs w:val="18"/>
          <w:lang w:val="es-CO" w:eastAsia="fr-FR"/>
        </w:rPr>
        <w:t>.</w:t>
      </w:r>
      <w:r w:rsidRPr="00E837EA">
        <w:rPr>
          <w:rFonts w:ascii="Calibri" w:eastAsia="Calibri" w:hAnsi="Calibri" w:cs="Calibri"/>
          <w:bCs/>
          <w:iCs/>
          <w:color w:val="222222"/>
          <w:sz w:val="18"/>
          <w:szCs w:val="18"/>
          <w:lang w:val="es-419" w:eastAsia="fr-FR"/>
        </w:rPr>
        <w:t xml:space="preserve"> </w:t>
      </w:r>
      <w:r w:rsidR="004679F9" w:rsidRPr="004679F9">
        <w:rPr>
          <w:rFonts w:ascii="Calibri" w:eastAsia="Calibri" w:hAnsi="Calibri" w:cs="Calibri"/>
          <w:bCs/>
          <w:iCs/>
          <w:color w:val="222222"/>
          <w:sz w:val="18"/>
          <w:szCs w:val="18"/>
          <w:lang w:val="es-419" w:eastAsia="fr-FR"/>
        </w:rPr>
        <w:t xml:space="preserve">Mas, la situación de la señora </w:t>
      </w:r>
      <w:proofErr w:type="spellStart"/>
      <w:r w:rsidR="004679F9">
        <w:rPr>
          <w:rFonts w:ascii="Calibri" w:eastAsia="Calibri" w:hAnsi="Calibri" w:cs="Calibri"/>
          <w:bCs/>
          <w:iCs/>
          <w:color w:val="222222"/>
          <w:sz w:val="18"/>
          <w:szCs w:val="18"/>
          <w:lang w:val="es-CO" w:eastAsia="fr-FR"/>
        </w:rPr>
        <w:t>MGS</w:t>
      </w:r>
      <w:proofErr w:type="spellEnd"/>
      <w:r w:rsidR="004679F9" w:rsidRPr="004679F9">
        <w:rPr>
          <w:rFonts w:ascii="Calibri" w:eastAsia="Calibri" w:hAnsi="Calibri" w:cs="Calibri"/>
          <w:bCs/>
          <w:iCs/>
          <w:color w:val="222222"/>
          <w:sz w:val="18"/>
          <w:szCs w:val="18"/>
          <w:lang w:val="es-419" w:eastAsia="fr-FR"/>
        </w:rPr>
        <w:t xml:space="preserve"> es diversa, en cuanto dejó de cotizar varios años antes de la calificación y, por tanto, la densidad de semanas exigida en cualquiera de las normas fue incumplida. Pero aún si lo que se quisiera hacer ver es que, como fecha de estructuración debe tomarse en cualquier evento, la de la última cotización, con independencia de lo que señale la Junta de Calificación, tendría que acreditarse que la época de la fijación de esa época coincide con aquella en la que, efectivamente, la persona perdió su fuerza de trabajo Sin embargo, para este asunto, nada se sabe sobre la salud de la accionante más que lo consignado en la calificación de invalidez, es decir, que el indicio más confiable y próximo al deba</w:t>
      </w:r>
      <w:bookmarkStart w:id="0" w:name="_GoBack"/>
      <w:bookmarkEnd w:id="0"/>
      <w:r w:rsidR="004679F9" w:rsidRPr="004679F9">
        <w:rPr>
          <w:rFonts w:ascii="Calibri" w:eastAsia="Calibri" w:hAnsi="Calibri" w:cs="Calibri"/>
          <w:bCs/>
          <w:iCs/>
          <w:color w:val="222222"/>
          <w:sz w:val="18"/>
          <w:szCs w:val="18"/>
          <w:lang w:val="es-419" w:eastAsia="fr-FR"/>
        </w:rPr>
        <w:t>te es el dictamen del 3 de mayo de 2017, que estableció como fecha de estructuración de las patologías de la accionante el 9 de marzo de 2017, sin que nada pueda llevar a concluir que la accionante adquirió su condición de inválida justo el 31 de diciembre de 2011, día en qu</w:t>
      </w:r>
      <w:r w:rsidR="004679F9">
        <w:rPr>
          <w:rFonts w:ascii="Calibri" w:eastAsia="Calibri" w:hAnsi="Calibri" w:cs="Calibri"/>
          <w:bCs/>
          <w:iCs/>
          <w:color w:val="222222"/>
          <w:sz w:val="18"/>
          <w:szCs w:val="18"/>
          <w:lang w:val="es-419" w:eastAsia="fr-FR"/>
        </w:rPr>
        <w:t xml:space="preserve">e cesó sus aportes al sistema. </w:t>
      </w:r>
      <w:r w:rsidR="004679F9" w:rsidRPr="004679F9">
        <w:rPr>
          <w:rFonts w:ascii="Calibri" w:eastAsia="Calibri" w:hAnsi="Calibri" w:cs="Calibri"/>
          <w:bCs/>
          <w:iCs/>
          <w:color w:val="222222"/>
          <w:sz w:val="18"/>
          <w:szCs w:val="18"/>
          <w:lang w:val="es-419" w:eastAsia="fr-FR"/>
        </w:rPr>
        <w:t>De este recuento salta a la vista que la nutrida jurisprudencia es inaplicable al caso de la accionante, pues resulta indiscutible que las cotizaciones reportadas, no se produjeron en el lapso durante el cual estuvo vigente la norma con la cual pretende se validen y esto, de entrada, desvanece sus intenciones</w:t>
      </w:r>
      <w:r w:rsidRPr="00E837EA">
        <w:rPr>
          <w:rFonts w:ascii="Calibri" w:eastAsia="Calibri" w:hAnsi="Calibri" w:cs="Calibri"/>
          <w:bCs/>
          <w:iCs/>
          <w:color w:val="222222"/>
          <w:sz w:val="18"/>
          <w:szCs w:val="18"/>
          <w:lang w:val="es-419" w:eastAsia="fr-FR"/>
        </w:rPr>
        <w:t xml:space="preserve">. </w:t>
      </w:r>
    </w:p>
    <w:p w:rsidR="00E837EA" w:rsidRDefault="00E837EA" w:rsidP="00C30B06">
      <w:pPr>
        <w:spacing w:line="26" w:lineRule="atLeast"/>
        <w:ind w:left="2127" w:firstLine="709"/>
        <w:jc w:val="both"/>
        <w:rPr>
          <w:rFonts w:ascii="Gadugi" w:hAnsi="Gadugi"/>
          <w:b/>
          <w:color w:val="000000"/>
          <w:sz w:val="26"/>
          <w:szCs w:val="26"/>
        </w:rPr>
      </w:pPr>
    </w:p>
    <w:p w:rsidR="00E837EA" w:rsidRDefault="00E837EA" w:rsidP="00C30B06">
      <w:pPr>
        <w:spacing w:line="26" w:lineRule="atLeast"/>
        <w:ind w:left="2127" w:firstLine="709"/>
        <w:jc w:val="both"/>
        <w:rPr>
          <w:rFonts w:ascii="Gadugi" w:hAnsi="Gadugi"/>
          <w:b/>
          <w:color w:val="000000"/>
          <w:sz w:val="26"/>
          <w:szCs w:val="26"/>
        </w:rPr>
      </w:pPr>
    </w:p>
    <w:p w:rsidR="00C30B06" w:rsidRPr="004B1F00" w:rsidRDefault="00C30B06" w:rsidP="00C30B06">
      <w:pPr>
        <w:spacing w:line="26" w:lineRule="atLeast"/>
        <w:ind w:left="2127" w:firstLine="709"/>
        <w:jc w:val="both"/>
        <w:rPr>
          <w:rFonts w:ascii="Gadugi" w:hAnsi="Gadugi"/>
          <w:b/>
          <w:color w:val="000000"/>
          <w:sz w:val="26"/>
          <w:szCs w:val="26"/>
        </w:rPr>
      </w:pPr>
      <w:r w:rsidRPr="004B1F00">
        <w:rPr>
          <w:rFonts w:ascii="Gadugi" w:hAnsi="Gadugi"/>
          <w:b/>
          <w:color w:val="000000"/>
          <w:sz w:val="26"/>
          <w:szCs w:val="26"/>
        </w:rPr>
        <w:t xml:space="preserve">TRIBUNAL SUPERIOR DEL DISTRITO JUDICIAL            </w:t>
      </w:r>
      <w:r>
        <w:rPr>
          <w:rFonts w:ascii="Gadugi" w:hAnsi="Gadugi"/>
          <w:b/>
          <w:color w:val="000000"/>
          <w:sz w:val="26"/>
          <w:szCs w:val="26"/>
          <w:lang w:val="es-419"/>
        </w:rPr>
        <w:t xml:space="preserve">   </w:t>
      </w:r>
      <w:r>
        <w:rPr>
          <w:rFonts w:ascii="Gadugi" w:hAnsi="Gadugi"/>
          <w:b/>
          <w:color w:val="000000"/>
          <w:sz w:val="26"/>
          <w:szCs w:val="26"/>
          <w:lang w:val="es-419"/>
        </w:rPr>
        <w:tab/>
      </w:r>
      <w:r>
        <w:rPr>
          <w:rFonts w:ascii="Gadugi" w:hAnsi="Gadugi"/>
          <w:b/>
          <w:color w:val="000000"/>
          <w:sz w:val="26"/>
          <w:szCs w:val="26"/>
          <w:lang w:val="es-419"/>
        </w:rPr>
        <w:tab/>
        <w:t xml:space="preserve">    </w:t>
      </w:r>
      <w:r w:rsidRPr="004B1F00">
        <w:rPr>
          <w:rFonts w:ascii="Gadugi" w:hAnsi="Gadugi"/>
          <w:b/>
          <w:color w:val="000000"/>
          <w:sz w:val="26"/>
          <w:szCs w:val="26"/>
        </w:rPr>
        <w:t xml:space="preserve">SALA </w:t>
      </w:r>
      <w:r>
        <w:rPr>
          <w:rFonts w:ascii="Gadugi" w:hAnsi="Gadugi"/>
          <w:b/>
          <w:color w:val="000000"/>
          <w:sz w:val="26"/>
          <w:szCs w:val="26"/>
          <w:lang w:val="es-419"/>
        </w:rPr>
        <w:t xml:space="preserve">DE DECISIÓN </w:t>
      </w:r>
      <w:r w:rsidRPr="004B1F00">
        <w:rPr>
          <w:rFonts w:ascii="Gadugi" w:hAnsi="Gadugi"/>
          <w:b/>
          <w:color w:val="000000"/>
          <w:sz w:val="26"/>
          <w:szCs w:val="26"/>
        </w:rPr>
        <w:t>CIVIL FAMILIA</w:t>
      </w:r>
    </w:p>
    <w:p w:rsidR="00C30B06" w:rsidRPr="004B1F00" w:rsidRDefault="00C30B06" w:rsidP="00C30B06">
      <w:pPr>
        <w:spacing w:line="26" w:lineRule="atLeast"/>
        <w:ind w:firstLine="2835"/>
        <w:jc w:val="both"/>
        <w:rPr>
          <w:rFonts w:ascii="Gadugi" w:hAnsi="Gadugi"/>
          <w:b/>
          <w:color w:val="000000"/>
          <w:sz w:val="26"/>
          <w:szCs w:val="26"/>
        </w:rPr>
      </w:pPr>
      <w:r w:rsidRPr="004B1F00">
        <w:rPr>
          <w:rFonts w:ascii="Gadugi" w:hAnsi="Gadugi"/>
          <w:b/>
          <w:color w:val="000000"/>
          <w:sz w:val="26"/>
          <w:szCs w:val="26"/>
        </w:rPr>
        <w:t xml:space="preserve">     </w:t>
      </w:r>
    </w:p>
    <w:p w:rsidR="00C30B06" w:rsidRPr="004B1F00" w:rsidRDefault="00C30B06" w:rsidP="00C30B06">
      <w:pPr>
        <w:spacing w:line="26" w:lineRule="atLeast"/>
        <w:ind w:firstLine="2835"/>
        <w:jc w:val="both"/>
        <w:rPr>
          <w:rFonts w:ascii="Gadugi" w:hAnsi="Gadugi"/>
          <w:color w:val="000000"/>
          <w:sz w:val="24"/>
          <w:szCs w:val="24"/>
        </w:rPr>
      </w:pPr>
    </w:p>
    <w:p w:rsidR="00C30B06" w:rsidRPr="004B1F00" w:rsidRDefault="00C30B06" w:rsidP="00C30B06">
      <w:pPr>
        <w:spacing w:line="26" w:lineRule="atLeast"/>
        <w:ind w:firstLine="2835"/>
        <w:jc w:val="both"/>
        <w:rPr>
          <w:rFonts w:ascii="Gadugi" w:hAnsi="Gadugi"/>
          <w:color w:val="000000"/>
          <w:sz w:val="24"/>
          <w:szCs w:val="24"/>
        </w:rPr>
      </w:pPr>
      <w:r w:rsidRPr="004B1F00">
        <w:rPr>
          <w:rFonts w:ascii="Gadugi" w:hAnsi="Gadugi"/>
          <w:color w:val="000000"/>
          <w:sz w:val="24"/>
          <w:szCs w:val="24"/>
        </w:rPr>
        <w:t>Magistrado: Jaime Alberto Saraza Naranjo</w:t>
      </w:r>
    </w:p>
    <w:p w:rsidR="00C30B06" w:rsidRPr="008E306F" w:rsidRDefault="00C30B06" w:rsidP="00C30B06">
      <w:pPr>
        <w:spacing w:line="26" w:lineRule="atLeast"/>
        <w:ind w:firstLine="2835"/>
        <w:jc w:val="both"/>
        <w:rPr>
          <w:rFonts w:ascii="Gadugi" w:hAnsi="Gadugi"/>
          <w:color w:val="000000"/>
          <w:sz w:val="24"/>
          <w:szCs w:val="24"/>
          <w:lang w:val="es-419"/>
        </w:rPr>
      </w:pPr>
      <w:r w:rsidRPr="004B1F00">
        <w:rPr>
          <w:rFonts w:ascii="Gadugi" w:hAnsi="Gadugi"/>
          <w:color w:val="000000"/>
          <w:sz w:val="24"/>
          <w:szCs w:val="24"/>
        </w:rPr>
        <w:t xml:space="preserve">Pereira, </w:t>
      </w:r>
      <w:r w:rsidR="008E306F">
        <w:rPr>
          <w:rFonts w:ascii="Gadugi" w:hAnsi="Gadugi"/>
          <w:color w:val="000000"/>
          <w:sz w:val="24"/>
          <w:szCs w:val="24"/>
          <w:lang w:val="es-419"/>
        </w:rPr>
        <w:t>marzo seis de dos mil diecisiete</w:t>
      </w:r>
    </w:p>
    <w:p w:rsidR="00C30B06" w:rsidRDefault="00C30B06" w:rsidP="00C30B06">
      <w:pPr>
        <w:spacing w:line="26" w:lineRule="atLeast"/>
        <w:ind w:firstLine="2835"/>
        <w:jc w:val="both"/>
        <w:rPr>
          <w:rFonts w:ascii="Gadugi" w:hAnsi="Gadugi"/>
          <w:color w:val="000000"/>
          <w:sz w:val="24"/>
          <w:szCs w:val="24"/>
          <w:lang w:val="es-419"/>
        </w:rPr>
      </w:pPr>
      <w:r w:rsidRPr="004B1F00">
        <w:rPr>
          <w:rFonts w:ascii="Gadugi" w:hAnsi="Gadugi"/>
          <w:color w:val="000000"/>
          <w:sz w:val="24"/>
          <w:szCs w:val="24"/>
        </w:rPr>
        <w:t>Expediente</w:t>
      </w:r>
      <w:r w:rsidRPr="004B1F00">
        <w:rPr>
          <w:rFonts w:ascii="Gadugi" w:hAnsi="Gadugi"/>
          <w:color w:val="000000"/>
          <w:sz w:val="24"/>
          <w:szCs w:val="24"/>
          <w:lang w:val="es-419"/>
        </w:rPr>
        <w:t xml:space="preserve">s: </w:t>
      </w:r>
      <w:r w:rsidRPr="004B1F00">
        <w:rPr>
          <w:rFonts w:ascii="Gadugi" w:hAnsi="Gadugi"/>
          <w:color w:val="000000"/>
          <w:sz w:val="24"/>
          <w:szCs w:val="24"/>
        </w:rPr>
        <w:t>66001-31-03</w:t>
      </w:r>
      <w:r>
        <w:rPr>
          <w:rFonts w:ascii="Gadugi" w:hAnsi="Gadugi"/>
          <w:color w:val="000000"/>
          <w:sz w:val="24"/>
          <w:szCs w:val="24"/>
        </w:rPr>
        <w:t>-004</w:t>
      </w:r>
      <w:r w:rsidRPr="004B1F00">
        <w:rPr>
          <w:rFonts w:ascii="Gadugi" w:hAnsi="Gadugi"/>
          <w:color w:val="000000"/>
          <w:sz w:val="24"/>
          <w:szCs w:val="24"/>
        </w:rPr>
        <w:t>-2017-00</w:t>
      </w:r>
      <w:r>
        <w:rPr>
          <w:rFonts w:ascii="Gadugi" w:hAnsi="Gadugi"/>
          <w:color w:val="000000"/>
          <w:sz w:val="24"/>
          <w:szCs w:val="24"/>
          <w:lang w:val="es-419"/>
        </w:rPr>
        <w:t>425</w:t>
      </w:r>
      <w:r w:rsidRPr="004B1F00">
        <w:rPr>
          <w:rFonts w:ascii="Gadugi" w:hAnsi="Gadugi"/>
          <w:color w:val="000000"/>
          <w:sz w:val="24"/>
          <w:szCs w:val="24"/>
        </w:rPr>
        <w:t>-01</w:t>
      </w:r>
      <w:r w:rsidRPr="004B1F00">
        <w:rPr>
          <w:rFonts w:ascii="Gadugi" w:hAnsi="Gadugi"/>
          <w:color w:val="000000"/>
          <w:sz w:val="24"/>
          <w:szCs w:val="24"/>
        </w:rPr>
        <w:tab/>
      </w:r>
      <w:r w:rsidRPr="004B1F00">
        <w:rPr>
          <w:rFonts w:ascii="Gadugi" w:hAnsi="Gadugi"/>
          <w:color w:val="000000"/>
          <w:sz w:val="24"/>
          <w:szCs w:val="24"/>
        </w:rPr>
        <w:tab/>
        <w:t xml:space="preserve">  </w:t>
      </w:r>
      <w:r w:rsidRPr="004B1F00">
        <w:rPr>
          <w:rFonts w:ascii="Gadugi" w:hAnsi="Gadugi"/>
          <w:color w:val="000000"/>
          <w:sz w:val="24"/>
          <w:szCs w:val="24"/>
        </w:rPr>
        <w:tab/>
      </w:r>
      <w:r w:rsidRPr="004B1F00">
        <w:rPr>
          <w:rFonts w:ascii="Gadugi" w:hAnsi="Gadugi"/>
          <w:color w:val="000000"/>
          <w:sz w:val="24"/>
          <w:szCs w:val="24"/>
        </w:rPr>
        <w:tab/>
      </w:r>
      <w:r w:rsidRPr="004B1F00">
        <w:rPr>
          <w:rFonts w:ascii="Gadugi" w:hAnsi="Gadugi"/>
          <w:color w:val="000000"/>
          <w:sz w:val="24"/>
          <w:szCs w:val="24"/>
        </w:rPr>
        <w:tab/>
      </w:r>
      <w:r w:rsidR="00B5257F">
        <w:rPr>
          <w:rFonts w:ascii="Gadugi" w:hAnsi="Gadugi"/>
          <w:color w:val="000000"/>
          <w:sz w:val="24"/>
          <w:szCs w:val="24"/>
        </w:rPr>
        <w:tab/>
      </w:r>
      <w:r w:rsidRPr="004B1F00">
        <w:rPr>
          <w:rFonts w:ascii="Gadugi" w:hAnsi="Gadugi"/>
          <w:color w:val="000000"/>
          <w:sz w:val="24"/>
          <w:szCs w:val="24"/>
        </w:rPr>
        <w:t>Acta N°</w:t>
      </w:r>
      <w:r w:rsidRPr="004B1F00">
        <w:rPr>
          <w:rFonts w:ascii="Gadugi" w:hAnsi="Gadugi"/>
          <w:color w:val="000000"/>
          <w:sz w:val="24"/>
          <w:szCs w:val="24"/>
          <w:lang w:val="es-419"/>
        </w:rPr>
        <w:t xml:space="preserve"> </w:t>
      </w:r>
      <w:r w:rsidR="008E306F">
        <w:rPr>
          <w:rFonts w:ascii="Gadugi" w:hAnsi="Gadugi"/>
          <w:color w:val="000000"/>
          <w:sz w:val="24"/>
          <w:szCs w:val="24"/>
          <w:lang w:val="es-419"/>
        </w:rPr>
        <w:t>63 de marzo 6 de 2017</w:t>
      </w:r>
    </w:p>
    <w:p w:rsidR="00C30B06" w:rsidRDefault="00C30B06" w:rsidP="00C30B06">
      <w:pPr>
        <w:spacing w:line="26" w:lineRule="atLeast"/>
        <w:ind w:firstLine="2835"/>
        <w:jc w:val="both"/>
        <w:rPr>
          <w:rFonts w:ascii="Gadugi" w:hAnsi="Gadugi"/>
          <w:color w:val="000000"/>
          <w:sz w:val="24"/>
          <w:szCs w:val="24"/>
          <w:lang w:val="es-419"/>
        </w:rPr>
      </w:pPr>
    </w:p>
    <w:p w:rsidR="00C30B06" w:rsidRPr="004B1F00" w:rsidRDefault="00C30B06" w:rsidP="00C30B06">
      <w:pPr>
        <w:spacing w:line="26" w:lineRule="atLeast"/>
        <w:ind w:firstLine="2835"/>
        <w:jc w:val="both"/>
        <w:rPr>
          <w:rFonts w:ascii="Gadugi" w:hAnsi="Gadugi"/>
          <w:color w:val="000000"/>
          <w:sz w:val="24"/>
          <w:szCs w:val="24"/>
        </w:rPr>
      </w:pPr>
    </w:p>
    <w:p w:rsidR="00C30B06" w:rsidRPr="004B1F00" w:rsidRDefault="00C30B06" w:rsidP="00C30B06">
      <w:pPr>
        <w:spacing w:line="26" w:lineRule="atLeast"/>
        <w:jc w:val="both"/>
        <w:rPr>
          <w:rFonts w:ascii="Gadugi" w:hAnsi="Gadugi" w:cs="Arial"/>
          <w:color w:val="000000"/>
          <w:sz w:val="24"/>
          <w:szCs w:val="24"/>
        </w:rPr>
      </w:pPr>
      <w:r w:rsidRPr="004B1F00">
        <w:rPr>
          <w:rFonts w:ascii="Gadugi" w:hAnsi="Gadugi" w:cs="Arial"/>
          <w:color w:val="000000"/>
          <w:sz w:val="24"/>
          <w:szCs w:val="24"/>
        </w:rPr>
        <w:t xml:space="preserve">  </w:t>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t xml:space="preserve">Procede la Sala a decidir la </w:t>
      </w:r>
      <w:r w:rsidRPr="004B1F00">
        <w:rPr>
          <w:rFonts w:ascii="Gadugi" w:hAnsi="Gadugi" w:cs="Arial"/>
          <w:color w:val="000000"/>
          <w:sz w:val="24"/>
          <w:szCs w:val="24"/>
          <w:lang w:val="es-419"/>
        </w:rPr>
        <w:t xml:space="preserve">impugnación propuesta por la </w:t>
      </w:r>
      <w:r w:rsidRPr="004B1F00">
        <w:rPr>
          <w:rFonts w:ascii="Gadugi" w:hAnsi="Gadugi" w:cs="Arial"/>
          <w:color w:val="000000"/>
          <w:sz w:val="24"/>
          <w:szCs w:val="24"/>
          <w:lang w:val="es-CO"/>
        </w:rPr>
        <w:t xml:space="preserve">parte </w:t>
      </w:r>
      <w:r w:rsidRPr="004B1F00">
        <w:rPr>
          <w:rFonts w:ascii="Gadugi" w:hAnsi="Gadugi" w:cs="Arial"/>
          <w:color w:val="000000"/>
          <w:sz w:val="24"/>
          <w:szCs w:val="24"/>
          <w:lang w:val="es-419"/>
        </w:rPr>
        <w:t>accio</w:t>
      </w:r>
      <w:r>
        <w:rPr>
          <w:rFonts w:ascii="Gadugi" w:hAnsi="Gadugi" w:cs="Arial"/>
          <w:color w:val="000000"/>
          <w:sz w:val="24"/>
          <w:szCs w:val="24"/>
          <w:lang w:val="es-419"/>
        </w:rPr>
        <w:t>nada</w:t>
      </w:r>
      <w:r w:rsidRPr="004B1F00">
        <w:rPr>
          <w:rFonts w:ascii="Gadugi" w:hAnsi="Gadugi" w:cs="Arial"/>
          <w:color w:val="000000"/>
          <w:sz w:val="24"/>
          <w:szCs w:val="24"/>
          <w:lang w:val="es-419"/>
        </w:rPr>
        <w:t xml:space="preserve"> contra la sentencia del </w:t>
      </w:r>
      <w:r>
        <w:rPr>
          <w:rFonts w:ascii="Gadugi" w:hAnsi="Gadugi" w:cs="Arial"/>
          <w:color w:val="000000"/>
          <w:sz w:val="24"/>
          <w:szCs w:val="24"/>
          <w:lang w:val="es-419"/>
        </w:rPr>
        <w:t>11</w:t>
      </w:r>
      <w:r>
        <w:rPr>
          <w:rFonts w:ascii="Gadugi" w:hAnsi="Gadugi" w:cs="Arial"/>
          <w:color w:val="000000"/>
          <w:sz w:val="24"/>
          <w:szCs w:val="24"/>
          <w:lang w:val="es-CO"/>
        </w:rPr>
        <w:t xml:space="preserve"> de diciembre</w:t>
      </w:r>
      <w:r w:rsidRPr="004B1F00">
        <w:rPr>
          <w:rFonts w:ascii="Gadugi" w:hAnsi="Gadugi" w:cs="Arial"/>
          <w:color w:val="000000"/>
          <w:sz w:val="24"/>
          <w:szCs w:val="24"/>
          <w:lang w:val="es-CO"/>
        </w:rPr>
        <w:t xml:space="preserve"> </w:t>
      </w:r>
      <w:r>
        <w:rPr>
          <w:rFonts w:ascii="Gadugi" w:hAnsi="Gadugi" w:cs="Arial"/>
          <w:color w:val="000000"/>
          <w:sz w:val="24"/>
          <w:szCs w:val="24"/>
          <w:lang w:val="es-CO"/>
        </w:rPr>
        <w:t>del año 2017</w:t>
      </w:r>
      <w:r w:rsidRPr="004B1F00">
        <w:rPr>
          <w:rFonts w:ascii="Gadugi" w:hAnsi="Gadugi" w:cs="Arial"/>
          <w:color w:val="000000"/>
          <w:sz w:val="24"/>
          <w:szCs w:val="24"/>
          <w:lang w:val="es-CO"/>
        </w:rPr>
        <w:t>,</w:t>
      </w:r>
      <w:r w:rsidRPr="004B1F00">
        <w:rPr>
          <w:rFonts w:ascii="Gadugi" w:hAnsi="Gadugi" w:cs="Arial"/>
          <w:color w:val="000000"/>
          <w:sz w:val="24"/>
          <w:szCs w:val="24"/>
          <w:lang w:val="es-419"/>
        </w:rPr>
        <w:t xml:space="preserve"> proferida por el Juzgado </w:t>
      </w:r>
      <w:r w:rsidR="001F1059">
        <w:rPr>
          <w:rFonts w:ascii="Gadugi" w:hAnsi="Gadugi" w:cs="Arial"/>
          <w:color w:val="000000"/>
          <w:sz w:val="24"/>
          <w:szCs w:val="24"/>
          <w:lang w:val="es-CO"/>
        </w:rPr>
        <w:t>Cuarto</w:t>
      </w:r>
      <w:r w:rsidRPr="004B1F00">
        <w:rPr>
          <w:rFonts w:ascii="Gadugi" w:hAnsi="Gadugi" w:cs="Arial"/>
          <w:color w:val="000000"/>
          <w:sz w:val="24"/>
          <w:szCs w:val="24"/>
          <w:lang w:val="es-CO"/>
        </w:rPr>
        <w:t xml:space="preserve"> Civil del Circuito local</w:t>
      </w:r>
      <w:r w:rsidRPr="004B1F00">
        <w:rPr>
          <w:rFonts w:ascii="Gadugi" w:hAnsi="Gadugi" w:cs="Arial"/>
          <w:color w:val="000000"/>
          <w:sz w:val="24"/>
          <w:szCs w:val="24"/>
          <w:lang w:val="es-419"/>
        </w:rPr>
        <w:t xml:space="preserve">, en esta </w:t>
      </w:r>
      <w:r w:rsidRPr="004B1F00">
        <w:rPr>
          <w:rFonts w:ascii="Gadugi" w:hAnsi="Gadugi" w:cs="Arial"/>
          <w:color w:val="000000"/>
          <w:sz w:val="24"/>
          <w:szCs w:val="24"/>
        </w:rPr>
        <w:t>acción de tutela que</w:t>
      </w:r>
      <w:r>
        <w:rPr>
          <w:rFonts w:ascii="Gadugi" w:hAnsi="Gadugi" w:cs="Arial"/>
          <w:color w:val="000000"/>
          <w:sz w:val="24"/>
          <w:szCs w:val="24"/>
        </w:rPr>
        <w:t xml:space="preserve"> </w:t>
      </w:r>
      <w:proofErr w:type="spellStart"/>
      <w:r w:rsidR="00720AA6">
        <w:rPr>
          <w:rFonts w:ascii="Gadugi" w:hAnsi="Gadugi" w:cs="Arial"/>
          <w:b/>
          <w:color w:val="000000"/>
          <w:sz w:val="24"/>
          <w:szCs w:val="24"/>
        </w:rPr>
        <w:t>MGS</w:t>
      </w:r>
      <w:proofErr w:type="spellEnd"/>
      <w:r w:rsidRPr="004B1F00">
        <w:rPr>
          <w:rFonts w:ascii="Gadugi" w:hAnsi="Gadugi" w:cs="Arial"/>
          <w:b/>
          <w:color w:val="000000"/>
          <w:sz w:val="24"/>
          <w:szCs w:val="24"/>
        </w:rPr>
        <w:t>,</w:t>
      </w:r>
      <w:r w:rsidRPr="004B1F00">
        <w:rPr>
          <w:rFonts w:ascii="Gadugi" w:hAnsi="Gadugi" w:cs="Arial"/>
          <w:color w:val="000000"/>
          <w:sz w:val="24"/>
          <w:szCs w:val="24"/>
        </w:rPr>
        <w:t xml:space="preserve"> promovió contra </w:t>
      </w:r>
      <w:proofErr w:type="spellStart"/>
      <w:r w:rsidRPr="004B1F00">
        <w:rPr>
          <w:rFonts w:ascii="Gadugi" w:hAnsi="Gadugi" w:cs="Arial"/>
          <w:b/>
          <w:color w:val="000000"/>
          <w:sz w:val="24"/>
          <w:szCs w:val="24"/>
        </w:rPr>
        <w:t>COLPENSIONES</w:t>
      </w:r>
      <w:proofErr w:type="spellEnd"/>
      <w:r w:rsidRPr="004B1F00">
        <w:rPr>
          <w:rFonts w:ascii="Gadugi" w:hAnsi="Gadugi" w:cs="Arial"/>
          <w:color w:val="000000"/>
          <w:sz w:val="24"/>
          <w:szCs w:val="24"/>
        </w:rPr>
        <w:t>.</w:t>
      </w:r>
    </w:p>
    <w:p w:rsidR="00C30B06" w:rsidRPr="004B1F00" w:rsidRDefault="00E80D6A" w:rsidP="00C30B06">
      <w:pPr>
        <w:spacing w:line="26" w:lineRule="atLeast"/>
        <w:jc w:val="both"/>
        <w:rPr>
          <w:rFonts w:ascii="Gadugi" w:hAnsi="Gadugi" w:cs="Arial"/>
          <w:color w:val="000000"/>
          <w:sz w:val="24"/>
          <w:szCs w:val="24"/>
        </w:rPr>
      </w:pP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p>
    <w:p w:rsidR="00C30B06" w:rsidRPr="004B1F00" w:rsidRDefault="00C30B06" w:rsidP="00C30B06">
      <w:pPr>
        <w:spacing w:line="26" w:lineRule="atLeast"/>
        <w:rPr>
          <w:rFonts w:ascii="Gadugi" w:hAnsi="Gadugi" w:cs="Arial"/>
          <w:b/>
          <w:bCs/>
          <w:color w:val="000000"/>
          <w:sz w:val="24"/>
          <w:szCs w:val="24"/>
        </w:rPr>
      </w:pPr>
      <w:r w:rsidRPr="004B1F00">
        <w:rPr>
          <w:rFonts w:ascii="Gadugi" w:hAnsi="Gadugi" w:cs="Arial"/>
          <w:b/>
          <w:bCs/>
          <w:color w:val="000000"/>
          <w:sz w:val="24"/>
          <w:szCs w:val="24"/>
        </w:rPr>
        <w:t xml:space="preserve">  </w:t>
      </w:r>
      <w:r w:rsidRPr="004B1F00">
        <w:rPr>
          <w:rFonts w:ascii="Gadugi" w:hAnsi="Gadugi" w:cs="Arial"/>
          <w:b/>
          <w:bCs/>
          <w:color w:val="000000"/>
          <w:sz w:val="24"/>
          <w:szCs w:val="24"/>
        </w:rPr>
        <w:tab/>
      </w:r>
      <w:r w:rsidRPr="004B1F00">
        <w:rPr>
          <w:rFonts w:ascii="Gadugi" w:hAnsi="Gadugi" w:cs="Arial"/>
          <w:b/>
          <w:bCs/>
          <w:color w:val="000000"/>
          <w:sz w:val="24"/>
          <w:szCs w:val="24"/>
        </w:rPr>
        <w:tab/>
      </w:r>
      <w:r w:rsidRPr="004B1F00">
        <w:rPr>
          <w:rFonts w:ascii="Gadugi" w:hAnsi="Gadugi" w:cs="Arial"/>
          <w:b/>
          <w:bCs/>
          <w:color w:val="000000"/>
          <w:sz w:val="24"/>
          <w:szCs w:val="24"/>
        </w:rPr>
        <w:tab/>
      </w:r>
      <w:r w:rsidRPr="004B1F00">
        <w:rPr>
          <w:rFonts w:ascii="Gadugi" w:hAnsi="Gadugi" w:cs="Arial"/>
          <w:b/>
          <w:bCs/>
          <w:color w:val="000000"/>
          <w:sz w:val="24"/>
          <w:szCs w:val="24"/>
        </w:rPr>
        <w:tab/>
      </w:r>
    </w:p>
    <w:p w:rsidR="00C30B06" w:rsidRPr="004B1F00" w:rsidRDefault="00C30B06" w:rsidP="00C30B06">
      <w:pPr>
        <w:spacing w:line="26" w:lineRule="atLeast"/>
        <w:rPr>
          <w:rFonts w:ascii="Gadugi" w:hAnsi="Gadugi" w:cs="Arial"/>
          <w:color w:val="000000"/>
          <w:sz w:val="24"/>
          <w:szCs w:val="24"/>
        </w:rPr>
      </w:pPr>
      <w:r w:rsidRPr="004B1F00">
        <w:rPr>
          <w:rFonts w:ascii="Gadugi" w:hAnsi="Gadugi" w:cs="Arial"/>
          <w:b/>
          <w:bCs/>
          <w:color w:val="000000"/>
          <w:sz w:val="24"/>
          <w:szCs w:val="24"/>
        </w:rPr>
        <w:t xml:space="preserve">  </w:t>
      </w:r>
      <w:r w:rsidRPr="004B1F00">
        <w:rPr>
          <w:rFonts w:ascii="Gadugi" w:hAnsi="Gadugi" w:cs="Arial"/>
          <w:b/>
          <w:bCs/>
          <w:color w:val="000000"/>
          <w:sz w:val="24"/>
          <w:szCs w:val="24"/>
        </w:rPr>
        <w:tab/>
      </w:r>
      <w:r w:rsidRPr="004B1F00">
        <w:rPr>
          <w:rFonts w:ascii="Gadugi" w:hAnsi="Gadugi" w:cs="Arial"/>
          <w:b/>
          <w:bCs/>
          <w:color w:val="000000"/>
          <w:sz w:val="24"/>
          <w:szCs w:val="24"/>
        </w:rPr>
        <w:tab/>
      </w:r>
      <w:r w:rsidRPr="004B1F00">
        <w:rPr>
          <w:rFonts w:ascii="Gadugi" w:hAnsi="Gadugi" w:cs="Arial"/>
          <w:b/>
          <w:bCs/>
          <w:color w:val="000000"/>
          <w:sz w:val="24"/>
          <w:szCs w:val="24"/>
        </w:rPr>
        <w:tab/>
      </w:r>
      <w:r w:rsidRPr="004B1F00">
        <w:rPr>
          <w:rFonts w:ascii="Gadugi" w:hAnsi="Gadugi" w:cs="Arial"/>
          <w:b/>
          <w:bCs/>
          <w:color w:val="000000"/>
          <w:sz w:val="24"/>
          <w:szCs w:val="24"/>
        </w:rPr>
        <w:tab/>
        <w:t>ANTECEDENTES</w:t>
      </w:r>
    </w:p>
    <w:p w:rsidR="00C30B06" w:rsidRPr="004B1F00" w:rsidRDefault="00E80D6A" w:rsidP="00C30B06">
      <w:pPr>
        <w:spacing w:line="26" w:lineRule="atLeast"/>
        <w:rPr>
          <w:rFonts w:ascii="Gadugi" w:hAnsi="Gadugi" w:cs="Arial"/>
          <w:color w:val="000000"/>
          <w:sz w:val="24"/>
          <w:szCs w:val="24"/>
        </w:rPr>
      </w:pP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p>
    <w:p w:rsidR="00C30B06" w:rsidRPr="004B1F00" w:rsidRDefault="00E80D6A" w:rsidP="00C30B06">
      <w:pPr>
        <w:spacing w:line="26" w:lineRule="atLeast"/>
        <w:jc w:val="both"/>
        <w:rPr>
          <w:rFonts w:ascii="Gadugi" w:hAnsi="Gadugi" w:cs="Arial"/>
          <w:color w:val="000000"/>
          <w:sz w:val="24"/>
          <w:szCs w:val="24"/>
        </w:rPr>
      </w:pP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p>
    <w:p w:rsidR="00C30B06" w:rsidRPr="004B1F00" w:rsidRDefault="00C30B06" w:rsidP="00C30B06">
      <w:pPr>
        <w:spacing w:line="26" w:lineRule="atLeast"/>
        <w:jc w:val="both"/>
        <w:rPr>
          <w:rFonts w:ascii="Gadugi" w:hAnsi="Gadugi" w:cs="Arial"/>
          <w:color w:val="000000"/>
          <w:sz w:val="24"/>
          <w:szCs w:val="24"/>
        </w:rPr>
      </w:pPr>
      <w:r w:rsidRPr="004B1F00">
        <w:rPr>
          <w:rFonts w:ascii="Gadugi" w:hAnsi="Gadugi" w:cs="Arial"/>
          <w:color w:val="000000"/>
          <w:sz w:val="24"/>
          <w:szCs w:val="24"/>
        </w:rPr>
        <w:t xml:space="preserve">  </w:t>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lang w:val="es-419"/>
        </w:rPr>
        <w:t xml:space="preserve">Acudió </w:t>
      </w:r>
      <w:r>
        <w:rPr>
          <w:rFonts w:ascii="Gadugi" w:hAnsi="Gadugi" w:cs="Arial"/>
          <w:color w:val="000000"/>
          <w:sz w:val="24"/>
          <w:szCs w:val="24"/>
        </w:rPr>
        <w:t xml:space="preserve">la </w:t>
      </w:r>
      <w:r w:rsidRPr="004B1F00">
        <w:rPr>
          <w:rFonts w:ascii="Gadugi" w:hAnsi="Gadugi" w:cs="Arial"/>
          <w:color w:val="000000"/>
          <w:sz w:val="24"/>
          <w:szCs w:val="24"/>
        </w:rPr>
        <w:t>demand</w:t>
      </w:r>
      <w:r>
        <w:rPr>
          <w:rFonts w:ascii="Gadugi" w:hAnsi="Gadugi" w:cs="Arial"/>
          <w:color w:val="000000"/>
          <w:sz w:val="24"/>
          <w:szCs w:val="24"/>
        </w:rPr>
        <w:t>ante por intermedio de apoderado</w:t>
      </w:r>
      <w:r w:rsidRPr="004B1F00">
        <w:rPr>
          <w:rFonts w:ascii="Gadugi" w:hAnsi="Gadugi" w:cs="Arial"/>
          <w:color w:val="000000"/>
          <w:sz w:val="24"/>
          <w:szCs w:val="24"/>
        </w:rPr>
        <w:t xml:space="preserve"> judicial, en procura de la protección de sus derechos fundamentales </w:t>
      </w:r>
      <w:r w:rsidRPr="004B1F00">
        <w:rPr>
          <w:rFonts w:ascii="Gadugi" w:hAnsi="Gadugi" w:cs="Arial"/>
          <w:i/>
          <w:color w:val="000000"/>
          <w:sz w:val="24"/>
          <w:szCs w:val="24"/>
          <w:lang w:val="es-419"/>
        </w:rPr>
        <w:t>“</w:t>
      </w:r>
      <w:r>
        <w:rPr>
          <w:rFonts w:ascii="Gadugi" w:hAnsi="Gadugi" w:cs="Estrangelo Edessa"/>
          <w:i/>
          <w:color w:val="000000"/>
          <w:sz w:val="24"/>
          <w:szCs w:val="24"/>
        </w:rPr>
        <w:t>al mínimo vital, la igualdad, la seguridad social y a la dignidad humana</w:t>
      </w:r>
      <w:r w:rsidRPr="004B1F00">
        <w:rPr>
          <w:rFonts w:ascii="Gadugi" w:hAnsi="Gadugi" w:cs="Arial"/>
          <w:i/>
          <w:color w:val="000000"/>
          <w:sz w:val="24"/>
          <w:szCs w:val="24"/>
        </w:rPr>
        <w:t>”</w:t>
      </w:r>
      <w:r w:rsidRPr="004B1F00">
        <w:rPr>
          <w:rFonts w:ascii="Gadugi" w:hAnsi="Gadugi" w:cs="Arial"/>
          <w:color w:val="000000"/>
          <w:sz w:val="24"/>
          <w:szCs w:val="24"/>
        </w:rPr>
        <w:t>, que estima lesionados por la parte accionada.</w:t>
      </w:r>
    </w:p>
    <w:p w:rsidR="00C30B06" w:rsidRPr="004B1F00" w:rsidRDefault="00C30B06" w:rsidP="00C30B06">
      <w:pPr>
        <w:spacing w:line="26" w:lineRule="atLeast"/>
        <w:jc w:val="both"/>
        <w:rPr>
          <w:rFonts w:ascii="Gadugi" w:hAnsi="Gadugi" w:cs="Arial"/>
          <w:color w:val="000000"/>
          <w:sz w:val="24"/>
          <w:szCs w:val="24"/>
        </w:rPr>
      </w:pPr>
    </w:p>
    <w:p w:rsidR="00716A4D" w:rsidRDefault="00C30B06" w:rsidP="00C30B06">
      <w:pPr>
        <w:spacing w:line="26" w:lineRule="atLeast"/>
        <w:jc w:val="both"/>
        <w:rPr>
          <w:rFonts w:ascii="Gadugi" w:hAnsi="Gadugi" w:cs="Arial"/>
          <w:color w:val="000000" w:themeColor="text1"/>
          <w:sz w:val="24"/>
          <w:szCs w:val="24"/>
          <w:lang w:val="es-419"/>
        </w:rPr>
      </w:pPr>
      <w:r w:rsidRPr="004B1F00">
        <w:rPr>
          <w:rFonts w:ascii="Gadugi" w:hAnsi="Gadugi" w:cs="Arial"/>
          <w:color w:val="000000"/>
          <w:sz w:val="24"/>
          <w:szCs w:val="24"/>
        </w:rPr>
        <w:t xml:space="preserve">  </w:t>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r>
      <w:r w:rsidR="00716A4D">
        <w:rPr>
          <w:rFonts w:ascii="Gadugi" w:hAnsi="Gadugi" w:cs="Arial"/>
          <w:color w:val="000000"/>
          <w:sz w:val="24"/>
          <w:szCs w:val="24"/>
          <w:lang w:val="es-419"/>
        </w:rPr>
        <w:t>E</w:t>
      </w:r>
      <w:proofErr w:type="spellStart"/>
      <w:r w:rsidRPr="004B1F00">
        <w:rPr>
          <w:rFonts w:ascii="Gadugi" w:hAnsi="Gadugi" w:cs="Arial"/>
          <w:color w:val="000000"/>
          <w:sz w:val="24"/>
          <w:szCs w:val="24"/>
        </w:rPr>
        <w:t>xpuso</w:t>
      </w:r>
      <w:proofErr w:type="spellEnd"/>
      <w:r w:rsidRPr="004B1F00">
        <w:rPr>
          <w:rFonts w:ascii="Gadugi" w:hAnsi="Gadugi" w:cs="Arial"/>
          <w:color w:val="000000"/>
          <w:sz w:val="24"/>
          <w:szCs w:val="24"/>
        </w:rPr>
        <w:t xml:space="preserve">, en resumen, que </w:t>
      </w:r>
      <w:r>
        <w:rPr>
          <w:rFonts w:ascii="Gadugi" w:hAnsi="Gadugi" w:cs="Arial"/>
          <w:color w:val="000000"/>
          <w:sz w:val="24"/>
          <w:szCs w:val="24"/>
        </w:rPr>
        <w:t xml:space="preserve">padece problemas de salud </w:t>
      </w:r>
      <w:r w:rsidR="00E04F19">
        <w:rPr>
          <w:rFonts w:ascii="Gadugi" w:hAnsi="Gadugi" w:cs="Arial"/>
          <w:color w:val="000000"/>
          <w:sz w:val="24"/>
          <w:szCs w:val="24"/>
          <w:lang w:val="es-419"/>
        </w:rPr>
        <w:t xml:space="preserve">por causa de los cuales </w:t>
      </w:r>
      <w:r w:rsidR="006C0654">
        <w:rPr>
          <w:rFonts w:ascii="Gadugi" w:hAnsi="Gadugi" w:cs="Arial"/>
          <w:color w:val="000000"/>
          <w:sz w:val="24"/>
          <w:szCs w:val="24"/>
        </w:rPr>
        <w:t xml:space="preserve">inició un proceso de calificación de pérdida de capacidad laboral ante </w:t>
      </w:r>
      <w:proofErr w:type="spellStart"/>
      <w:r w:rsidR="00114940">
        <w:rPr>
          <w:rFonts w:ascii="Gadugi" w:hAnsi="Gadugi" w:cs="Arial"/>
          <w:color w:val="000000"/>
          <w:sz w:val="24"/>
          <w:szCs w:val="24"/>
        </w:rPr>
        <w:t>Colpensiones</w:t>
      </w:r>
      <w:proofErr w:type="spellEnd"/>
      <w:r w:rsidR="006C0654">
        <w:rPr>
          <w:rFonts w:ascii="Gadugi" w:hAnsi="Gadugi" w:cs="Arial"/>
          <w:color w:val="000000"/>
          <w:sz w:val="24"/>
          <w:szCs w:val="24"/>
        </w:rPr>
        <w:t>, fue valorada el 3 de mayo de 2017</w:t>
      </w:r>
      <w:r w:rsidR="00200F01">
        <w:rPr>
          <w:rFonts w:ascii="Gadugi" w:hAnsi="Gadugi" w:cs="Arial"/>
          <w:color w:val="000000"/>
          <w:sz w:val="24"/>
          <w:szCs w:val="24"/>
        </w:rPr>
        <w:t xml:space="preserve"> con fecha de estructuración </w:t>
      </w:r>
      <w:r w:rsidR="00200F01">
        <w:rPr>
          <w:rFonts w:ascii="Gadugi" w:hAnsi="Gadugi" w:cs="Arial"/>
          <w:color w:val="000000"/>
          <w:sz w:val="24"/>
          <w:szCs w:val="24"/>
        </w:rPr>
        <w:lastRenderedPageBreak/>
        <w:t>del 9 de marzo de 2017</w:t>
      </w:r>
      <w:r w:rsidR="00716A4D">
        <w:rPr>
          <w:rFonts w:ascii="Gadugi" w:hAnsi="Gadugi" w:cs="Arial"/>
          <w:color w:val="000000"/>
          <w:sz w:val="24"/>
          <w:szCs w:val="24"/>
          <w:lang w:val="es-419"/>
        </w:rPr>
        <w:t xml:space="preserve"> y se determinó </w:t>
      </w:r>
      <w:r w:rsidR="00114940">
        <w:rPr>
          <w:rFonts w:ascii="Gadugi" w:hAnsi="Gadugi" w:cs="Arial"/>
          <w:color w:val="000000"/>
          <w:sz w:val="24"/>
          <w:szCs w:val="24"/>
        </w:rPr>
        <w:t>un porcentaje de</w:t>
      </w:r>
      <w:r w:rsidR="00716A4D">
        <w:rPr>
          <w:rFonts w:ascii="Gadugi" w:hAnsi="Gadugi" w:cs="Arial"/>
          <w:color w:val="000000"/>
          <w:sz w:val="24"/>
          <w:szCs w:val="24"/>
          <w:lang w:val="es-419"/>
        </w:rPr>
        <w:t>l</w:t>
      </w:r>
      <w:r w:rsidR="006C0654">
        <w:rPr>
          <w:rFonts w:ascii="Gadugi" w:hAnsi="Gadugi" w:cs="Arial"/>
          <w:color w:val="000000"/>
          <w:sz w:val="24"/>
          <w:szCs w:val="24"/>
        </w:rPr>
        <w:t xml:space="preserve"> 58</w:t>
      </w:r>
      <w:r w:rsidR="008E306F">
        <w:rPr>
          <w:rFonts w:ascii="Gadugi" w:hAnsi="Gadugi" w:cs="Arial"/>
          <w:color w:val="000000"/>
          <w:sz w:val="24"/>
          <w:szCs w:val="24"/>
          <w:lang w:val="es-419"/>
        </w:rPr>
        <w:t>,</w:t>
      </w:r>
      <w:r w:rsidR="006C0654">
        <w:rPr>
          <w:rFonts w:ascii="Gadugi" w:hAnsi="Gadugi" w:cs="Arial"/>
          <w:color w:val="000000"/>
          <w:sz w:val="24"/>
          <w:szCs w:val="24"/>
        </w:rPr>
        <w:t xml:space="preserve">96% de pérdida de capacidad laboral, </w:t>
      </w:r>
      <w:r w:rsidR="003F1C1A">
        <w:rPr>
          <w:rFonts w:ascii="Gadugi" w:hAnsi="Gadugi" w:cs="Arial"/>
          <w:i/>
          <w:color w:val="000000"/>
          <w:sz w:val="24"/>
          <w:szCs w:val="24"/>
        </w:rPr>
        <w:t xml:space="preserve"> </w:t>
      </w:r>
      <w:r w:rsidR="006C0654">
        <w:rPr>
          <w:rFonts w:ascii="Gadugi" w:hAnsi="Gadugi" w:cs="Arial"/>
          <w:color w:val="000000"/>
          <w:sz w:val="24"/>
          <w:szCs w:val="24"/>
        </w:rPr>
        <w:t xml:space="preserve">motivo por el cual elevó solicitud de pensión de invalidez la que fue negada mediante la resolución SUB 105821 del 23 de junio de 2017, </w:t>
      </w:r>
      <w:r w:rsidR="00114940">
        <w:rPr>
          <w:rFonts w:ascii="Gadugi" w:hAnsi="Gadugi" w:cs="Arial"/>
          <w:color w:val="000000"/>
          <w:sz w:val="24"/>
          <w:szCs w:val="24"/>
        </w:rPr>
        <w:t>toda vez que no</w:t>
      </w:r>
      <w:r w:rsidR="006C0654">
        <w:rPr>
          <w:rFonts w:ascii="Gadugi" w:hAnsi="Gadugi" w:cs="Arial"/>
          <w:color w:val="000000"/>
          <w:sz w:val="24"/>
          <w:szCs w:val="24"/>
        </w:rPr>
        <w:t xml:space="preserve"> </w:t>
      </w:r>
      <w:proofErr w:type="spellStart"/>
      <w:r w:rsidR="006C0654">
        <w:rPr>
          <w:rFonts w:ascii="Gadugi" w:hAnsi="Gadugi" w:cs="Arial"/>
          <w:color w:val="000000"/>
          <w:sz w:val="24"/>
          <w:szCs w:val="24"/>
        </w:rPr>
        <w:t>acredit</w:t>
      </w:r>
      <w:proofErr w:type="spellEnd"/>
      <w:r w:rsidR="00716A4D">
        <w:rPr>
          <w:rFonts w:ascii="Gadugi" w:hAnsi="Gadugi" w:cs="Arial"/>
          <w:color w:val="000000"/>
          <w:sz w:val="24"/>
          <w:szCs w:val="24"/>
          <w:lang w:val="es-419"/>
        </w:rPr>
        <w:t>ó</w:t>
      </w:r>
      <w:r w:rsidR="006C0654">
        <w:rPr>
          <w:rFonts w:ascii="Gadugi" w:hAnsi="Gadugi" w:cs="Arial"/>
          <w:color w:val="000000"/>
          <w:sz w:val="24"/>
          <w:szCs w:val="24"/>
        </w:rPr>
        <w:t xml:space="preserve"> </w:t>
      </w:r>
      <w:r w:rsidR="00200F01">
        <w:rPr>
          <w:rFonts w:ascii="Gadugi" w:hAnsi="Gadugi" w:cs="Arial"/>
          <w:color w:val="000000"/>
          <w:sz w:val="24"/>
          <w:szCs w:val="24"/>
        </w:rPr>
        <w:t>cotizaciones</w:t>
      </w:r>
      <w:r w:rsidR="006C0654">
        <w:rPr>
          <w:rFonts w:ascii="Gadugi" w:hAnsi="Gadugi" w:cs="Arial"/>
          <w:color w:val="000000"/>
          <w:sz w:val="24"/>
          <w:szCs w:val="24"/>
        </w:rPr>
        <w:t xml:space="preserve"> durante el periodo comprendido entre el 9 de marzo de 2014 y </w:t>
      </w:r>
      <w:r w:rsidR="00716A4D">
        <w:rPr>
          <w:rFonts w:ascii="Gadugi" w:hAnsi="Gadugi" w:cs="Arial"/>
          <w:color w:val="000000"/>
          <w:sz w:val="24"/>
          <w:szCs w:val="24"/>
          <w:lang w:val="es-419"/>
        </w:rPr>
        <w:t xml:space="preserve">la misma fecha del </w:t>
      </w:r>
      <w:r w:rsidR="006C0654">
        <w:rPr>
          <w:rFonts w:ascii="Gadugi" w:hAnsi="Gadugi" w:cs="Arial"/>
          <w:color w:val="000000"/>
          <w:sz w:val="24"/>
          <w:szCs w:val="24"/>
        </w:rPr>
        <w:t xml:space="preserve">2017; </w:t>
      </w:r>
      <w:r w:rsidR="00716A4D">
        <w:rPr>
          <w:rFonts w:ascii="Gadugi" w:hAnsi="Gadugi" w:cs="Arial"/>
          <w:color w:val="000000"/>
          <w:sz w:val="24"/>
          <w:szCs w:val="24"/>
          <w:lang w:val="es-419"/>
        </w:rPr>
        <w:t xml:space="preserve">sin embargo, </w:t>
      </w:r>
      <w:r w:rsidR="00114940">
        <w:rPr>
          <w:rFonts w:ascii="Gadugi" w:hAnsi="Gadugi" w:cs="Arial"/>
          <w:color w:val="000000"/>
          <w:sz w:val="24"/>
          <w:szCs w:val="24"/>
        </w:rPr>
        <w:t>cuenta con</w:t>
      </w:r>
      <w:r w:rsidR="006C0654">
        <w:rPr>
          <w:rFonts w:ascii="Gadugi" w:hAnsi="Gadugi" w:cs="Arial"/>
          <w:color w:val="000000"/>
          <w:sz w:val="24"/>
          <w:szCs w:val="24"/>
        </w:rPr>
        <w:t xml:space="preserve"> un total de 420 semanas cotizadas y su último aporte data del 31 de diciembre de 2011</w:t>
      </w:r>
      <w:r w:rsidR="00F6767D">
        <w:rPr>
          <w:rFonts w:ascii="Gadugi" w:hAnsi="Gadugi" w:cs="Arial"/>
          <w:color w:val="000000"/>
          <w:sz w:val="24"/>
          <w:szCs w:val="24"/>
        </w:rPr>
        <w:t xml:space="preserve">, </w:t>
      </w:r>
      <w:r w:rsidR="00716A4D">
        <w:rPr>
          <w:rFonts w:ascii="Gadugi" w:hAnsi="Gadugi" w:cs="Arial"/>
          <w:color w:val="000000"/>
          <w:sz w:val="24"/>
          <w:szCs w:val="24"/>
          <w:lang w:val="es-419"/>
        </w:rPr>
        <w:t xml:space="preserve">de manera que es injusto que se le resuelva desfavorablemente, ya que las cotizaciones fueron inferiores a </w:t>
      </w:r>
      <w:r w:rsidR="00114940" w:rsidRPr="001F1059">
        <w:rPr>
          <w:rFonts w:ascii="Gadugi" w:hAnsi="Gadugi" w:cs="Arial"/>
          <w:color w:val="000000" w:themeColor="text1"/>
          <w:sz w:val="24"/>
          <w:szCs w:val="24"/>
        </w:rPr>
        <w:t xml:space="preserve">50 semanas durante los últimos 3 </w:t>
      </w:r>
      <w:r w:rsidR="00200F01" w:rsidRPr="001F1059">
        <w:rPr>
          <w:rFonts w:ascii="Gadugi" w:hAnsi="Gadugi" w:cs="Arial"/>
          <w:color w:val="000000" w:themeColor="text1"/>
          <w:sz w:val="24"/>
          <w:szCs w:val="24"/>
        </w:rPr>
        <w:t>años, s</w:t>
      </w:r>
      <w:r w:rsidR="00716A4D">
        <w:rPr>
          <w:rFonts w:ascii="Gadugi" w:hAnsi="Gadugi" w:cs="Arial"/>
          <w:color w:val="000000" w:themeColor="text1"/>
          <w:sz w:val="24"/>
          <w:szCs w:val="24"/>
          <w:lang w:val="es-419"/>
        </w:rPr>
        <w:t>í</w:t>
      </w:r>
      <w:r w:rsidR="00200F01" w:rsidRPr="001F1059">
        <w:rPr>
          <w:rFonts w:ascii="Gadugi" w:hAnsi="Gadugi" w:cs="Arial"/>
          <w:color w:val="000000" w:themeColor="text1"/>
          <w:sz w:val="24"/>
          <w:szCs w:val="24"/>
        </w:rPr>
        <w:t xml:space="preserve"> reúne en total un número mucho mayor</w:t>
      </w:r>
      <w:r w:rsidR="00716A4D">
        <w:rPr>
          <w:rFonts w:ascii="Gadugi" w:hAnsi="Gadugi" w:cs="Arial"/>
          <w:color w:val="000000" w:themeColor="text1"/>
          <w:sz w:val="24"/>
          <w:szCs w:val="24"/>
          <w:lang w:val="es-419"/>
        </w:rPr>
        <w:t>.</w:t>
      </w:r>
    </w:p>
    <w:p w:rsidR="00716A4D" w:rsidRDefault="00716A4D" w:rsidP="00C30B06">
      <w:pPr>
        <w:spacing w:line="26" w:lineRule="atLeast"/>
        <w:jc w:val="both"/>
        <w:rPr>
          <w:rFonts w:ascii="Gadugi" w:hAnsi="Gadugi" w:cs="Arial"/>
          <w:color w:val="000000" w:themeColor="text1"/>
          <w:sz w:val="24"/>
          <w:szCs w:val="24"/>
          <w:lang w:val="es-419"/>
        </w:rPr>
      </w:pPr>
    </w:p>
    <w:p w:rsidR="005304FA" w:rsidRDefault="00716A4D" w:rsidP="00C30B06">
      <w:pPr>
        <w:spacing w:line="26" w:lineRule="atLeast"/>
        <w:jc w:val="both"/>
        <w:rPr>
          <w:rFonts w:ascii="Gadugi" w:hAnsi="Gadugi" w:cs="Arial"/>
          <w:color w:val="000000"/>
          <w:sz w:val="24"/>
          <w:szCs w:val="24"/>
          <w:lang w:val="es-419"/>
        </w:rPr>
      </w:pPr>
      <w:r>
        <w:rPr>
          <w:rFonts w:ascii="Gadugi" w:hAnsi="Gadugi" w:cs="Arial"/>
          <w:color w:val="000000" w:themeColor="text1"/>
          <w:sz w:val="24"/>
          <w:szCs w:val="24"/>
          <w:lang w:val="es-419"/>
        </w:rPr>
        <w:t xml:space="preserve">  </w:t>
      </w:r>
      <w:r>
        <w:rPr>
          <w:rFonts w:ascii="Gadugi" w:hAnsi="Gadugi" w:cs="Arial"/>
          <w:color w:val="000000" w:themeColor="text1"/>
          <w:sz w:val="24"/>
          <w:szCs w:val="24"/>
          <w:lang w:val="es-419"/>
        </w:rPr>
        <w:tab/>
      </w:r>
      <w:r>
        <w:rPr>
          <w:rFonts w:ascii="Gadugi" w:hAnsi="Gadugi" w:cs="Arial"/>
          <w:color w:val="000000" w:themeColor="text1"/>
          <w:sz w:val="24"/>
          <w:szCs w:val="24"/>
          <w:lang w:val="es-419"/>
        </w:rPr>
        <w:tab/>
      </w:r>
      <w:r>
        <w:rPr>
          <w:rFonts w:ascii="Gadugi" w:hAnsi="Gadugi" w:cs="Arial"/>
          <w:color w:val="000000" w:themeColor="text1"/>
          <w:sz w:val="24"/>
          <w:szCs w:val="24"/>
          <w:lang w:val="es-419"/>
        </w:rPr>
        <w:tab/>
      </w:r>
      <w:r>
        <w:rPr>
          <w:rFonts w:ascii="Gadugi" w:hAnsi="Gadugi" w:cs="Arial"/>
          <w:color w:val="000000" w:themeColor="text1"/>
          <w:sz w:val="24"/>
          <w:szCs w:val="24"/>
          <w:lang w:val="es-419"/>
        </w:rPr>
        <w:tab/>
        <w:t>E</w:t>
      </w:r>
      <w:proofErr w:type="spellStart"/>
      <w:r w:rsidR="00036563">
        <w:rPr>
          <w:rFonts w:ascii="Gadugi" w:hAnsi="Gadugi" w:cs="Arial"/>
          <w:color w:val="000000"/>
          <w:sz w:val="24"/>
          <w:szCs w:val="24"/>
        </w:rPr>
        <w:t>xplica</w:t>
      </w:r>
      <w:proofErr w:type="spellEnd"/>
      <w:r w:rsidR="00036563">
        <w:rPr>
          <w:rFonts w:ascii="Gadugi" w:hAnsi="Gadugi" w:cs="Arial"/>
          <w:color w:val="000000"/>
          <w:sz w:val="24"/>
          <w:szCs w:val="24"/>
        </w:rPr>
        <w:t xml:space="preserve"> que el 26 de septiembre de 2017 presentó </w:t>
      </w:r>
      <w:r>
        <w:rPr>
          <w:rFonts w:ascii="Gadugi" w:hAnsi="Gadugi" w:cs="Arial"/>
          <w:color w:val="000000"/>
          <w:sz w:val="24"/>
          <w:szCs w:val="24"/>
          <w:lang w:val="es-419"/>
        </w:rPr>
        <w:t xml:space="preserve">una </w:t>
      </w:r>
      <w:r w:rsidR="00036563">
        <w:rPr>
          <w:rFonts w:ascii="Gadugi" w:hAnsi="Gadugi" w:cs="Arial"/>
          <w:color w:val="000000"/>
          <w:sz w:val="24"/>
          <w:szCs w:val="24"/>
        </w:rPr>
        <w:t xml:space="preserve">solicitud de revocatoria directa contra el acto que negó la solicitud pensional </w:t>
      </w:r>
      <w:r w:rsidR="00036563" w:rsidRPr="00C81DFB">
        <w:rPr>
          <w:rFonts w:ascii="Gadugi" w:hAnsi="Gadugi" w:cs="Arial"/>
          <w:sz w:val="24"/>
          <w:szCs w:val="24"/>
        </w:rPr>
        <w:t xml:space="preserve">pidiendo </w:t>
      </w:r>
      <w:r w:rsidR="00C81DFB" w:rsidRPr="00C81DFB">
        <w:rPr>
          <w:rFonts w:ascii="Gadugi" w:hAnsi="Gadugi" w:cs="Arial"/>
          <w:sz w:val="24"/>
          <w:szCs w:val="24"/>
          <w:lang w:val="es-419"/>
        </w:rPr>
        <w:t xml:space="preserve">que </w:t>
      </w:r>
      <w:r w:rsidR="00036563" w:rsidRPr="00C81DFB">
        <w:rPr>
          <w:rFonts w:ascii="Gadugi" w:hAnsi="Gadugi" w:cs="Arial"/>
          <w:sz w:val="24"/>
          <w:szCs w:val="24"/>
        </w:rPr>
        <w:t xml:space="preserve">se tuviera </w:t>
      </w:r>
      <w:r w:rsidR="00036563">
        <w:rPr>
          <w:rFonts w:ascii="Gadugi" w:hAnsi="Gadugi" w:cs="Arial"/>
          <w:color w:val="000000"/>
          <w:sz w:val="24"/>
          <w:szCs w:val="24"/>
        </w:rPr>
        <w:t xml:space="preserve">como fecha de estructuración el 31 de diciembre de 2011, calenda en la que dejó de cotizar, </w:t>
      </w:r>
      <w:r w:rsidR="005304FA">
        <w:rPr>
          <w:rFonts w:ascii="Gadugi" w:hAnsi="Gadugi" w:cs="Arial"/>
          <w:color w:val="000000"/>
          <w:sz w:val="24"/>
          <w:szCs w:val="24"/>
          <w:lang w:val="es-419"/>
        </w:rPr>
        <w:t xml:space="preserve">y la respuesta fue negativa. </w:t>
      </w:r>
    </w:p>
    <w:p w:rsidR="005304FA" w:rsidRDefault="005304FA" w:rsidP="00C30B06">
      <w:pPr>
        <w:spacing w:line="26" w:lineRule="atLeast"/>
        <w:jc w:val="both"/>
        <w:rPr>
          <w:rFonts w:ascii="Gadugi" w:hAnsi="Gadugi" w:cs="Arial"/>
          <w:color w:val="000000"/>
          <w:sz w:val="24"/>
          <w:szCs w:val="24"/>
          <w:lang w:val="es-419"/>
        </w:rPr>
      </w:pPr>
    </w:p>
    <w:p w:rsidR="00E80D6A" w:rsidRDefault="005304FA" w:rsidP="00C30B06">
      <w:pPr>
        <w:spacing w:line="26" w:lineRule="atLeast"/>
        <w:jc w:val="both"/>
        <w:rPr>
          <w:rFonts w:ascii="Gadugi" w:hAnsi="Gadugi" w:cs="Arial"/>
          <w:color w:val="000000"/>
          <w:sz w:val="24"/>
          <w:szCs w:val="24"/>
        </w:rPr>
      </w:pPr>
      <w:r>
        <w:rPr>
          <w:rFonts w:ascii="Gadugi" w:hAnsi="Gadugi" w:cs="Arial"/>
          <w:color w:val="000000"/>
          <w:sz w:val="24"/>
          <w:szCs w:val="24"/>
          <w:lang w:val="es-419"/>
        </w:rPr>
        <w:t xml:space="preserve">  </w:t>
      </w:r>
      <w:r>
        <w:rPr>
          <w:rFonts w:ascii="Gadugi" w:hAnsi="Gadugi" w:cs="Arial"/>
          <w:color w:val="000000"/>
          <w:sz w:val="24"/>
          <w:szCs w:val="24"/>
          <w:lang w:val="es-419"/>
        </w:rPr>
        <w:tab/>
      </w:r>
      <w:r>
        <w:rPr>
          <w:rFonts w:ascii="Gadugi" w:hAnsi="Gadugi" w:cs="Arial"/>
          <w:color w:val="000000"/>
          <w:sz w:val="24"/>
          <w:szCs w:val="24"/>
          <w:lang w:val="es-419"/>
        </w:rPr>
        <w:tab/>
      </w:r>
      <w:r>
        <w:rPr>
          <w:rFonts w:ascii="Gadugi" w:hAnsi="Gadugi" w:cs="Arial"/>
          <w:color w:val="000000"/>
          <w:sz w:val="24"/>
          <w:szCs w:val="24"/>
          <w:lang w:val="es-419"/>
        </w:rPr>
        <w:tab/>
      </w:r>
      <w:r>
        <w:rPr>
          <w:rFonts w:ascii="Gadugi" w:hAnsi="Gadugi" w:cs="Arial"/>
          <w:color w:val="000000"/>
          <w:sz w:val="24"/>
          <w:szCs w:val="24"/>
          <w:lang w:val="es-419"/>
        </w:rPr>
        <w:tab/>
        <w:t>F</w:t>
      </w:r>
      <w:proofErr w:type="spellStart"/>
      <w:r w:rsidR="00200F01">
        <w:rPr>
          <w:rFonts w:ascii="Gadugi" w:hAnsi="Gadugi" w:cs="Arial"/>
          <w:color w:val="000000"/>
          <w:sz w:val="24"/>
          <w:szCs w:val="24"/>
        </w:rPr>
        <w:t>inalmente</w:t>
      </w:r>
      <w:proofErr w:type="spellEnd"/>
      <w:r>
        <w:rPr>
          <w:rFonts w:ascii="Gadugi" w:hAnsi="Gadugi" w:cs="Arial"/>
          <w:color w:val="000000"/>
          <w:sz w:val="24"/>
          <w:szCs w:val="24"/>
          <w:lang w:val="es-419"/>
        </w:rPr>
        <w:t>,</w:t>
      </w:r>
      <w:r w:rsidR="00200F01">
        <w:rPr>
          <w:rFonts w:ascii="Gadugi" w:hAnsi="Gadugi" w:cs="Arial"/>
          <w:color w:val="000000"/>
          <w:sz w:val="24"/>
          <w:szCs w:val="24"/>
        </w:rPr>
        <w:t xml:space="preserve"> </w:t>
      </w:r>
      <w:r w:rsidR="00036563">
        <w:rPr>
          <w:rFonts w:ascii="Gadugi" w:hAnsi="Gadugi" w:cs="Arial"/>
          <w:color w:val="000000"/>
          <w:sz w:val="24"/>
          <w:szCs w:val="24"/>
        </w:rPr>
        <w:t>se hizo alusión a que la señora</w:t>
      </w:r>
      <w:r w:rsidR="00200F01">
        <w:rPr>
          <w:rFonts w:ascii="Gadugi" w:hAnsi="Gadugi" w:cs="Arial"/>
          <w:color w:val="000000"/>
          <w:sz w:val="24"/>
          <w:szCs w:val="24"/>
        </w:rPr>
        <w:t xml:space="preserve"> </w:t>
      </w:r>
      <w:proofErr w:type="spellStart"/>
      <w:r w:rsidR="00720AA6">
        <w:rPr>
          <w:rFonts w:ascii="Gadugi" w:hAnsi="Gadugi" w:cs="Arial"/>
          <w:color w:val="000000"/>
          <w:sz w:val="24"/>
          <w:szCs w:val="24"/>
        </w:rPr>
        <w:t>MGS</w:t>
      </w:r>
      <w:proofErr w:type="spellEnd"/>
      <w:r w:rsidR="00200F01">
        <w:rPr>
          <w:rFonts w:ascii="Gadugi" w:hAnsi="Gadugi" w:cs="Arial"/>
          <w:color w:val="000000"/>
          <w:sz w:val="24"/>
          <w:szCs w:val="24"/>
        </w:rPr>
        <w:t xml:space="preserve"> atraviesa particulares dificultades</w:t>
      </w:r>
      <w:r>
        <w:rPr>
          <w:rFonts w:ascii="Gadugi" w:hAnsi="Gadugi" w:cs="Arial"/>
          <w:color w:val="000000"/>
          <w:sz w:val="24"/>
          <w:szCs w:val="24"/>
          <w:lang w:val="es-419"/>
        </w:rPr>
        <w:t>,</w:t>
      </w:r>
      <w:r w:rsidR="00200F01">
        <w:rPr>
          <w:rFonts w:ascii="Gadugi" w:hAnsi="Gadugi" w:cs="Arial"/>
          <w:color w:val="000000"/>
          <w:sz w:val="24"/>
          <w:szCs w:val="24"/>
        </w:rPr>
        <w:t xml:space="preserve"> </w:t>
      </w:r>
      <w:r w:rsidR="00843FAF">
        <w:rPr>
          <w:rFonts w:ascii="Gadugi" w:hAnsi="Gadugi" w:cs="Arial"/>
          <w:color w:val="000000"/>
          <w:sz w:val="24"/>
          <w:szCs w:val="24"/>
        </w:rPr>
        <w:t>ya</w:t>
      </w:r>
      <w:r w:rsidR="00200F01">
        <w:rPr>
          <w:rFonts w:ascii="Gadugi" w:hAnsi="Gadugi" w:cs="Arial"/>
          <w:color w:val="000000"/>
          <w:sz w:val="24"/>
          <w:szCs w:val="24"/>
        </w:rPr>
        <w:t xml:space="preserve"> que cuenta co</w:t>
      </w:r>
      <w:r w:rsidR="00036563">
        <w:rPr>
          <w:rFonts w:ascii="Gadugi" w:hAnsi="Gadugi" w:cs="Arial"/>
          <w:color w:val="000000"/>
          <w:sz w:val="24"/>
          <w:szCs w:val="24"/>
        </w:rPr>
        <w:t>n 71 años de edad, es inválida y su situación económica es precaria.</w:t>
      </w:r>
    </w:p>
    <w:p w:rsidR="00E80D6A" w:rsidRDefault="00E80D6A" w:rsidP="00C30B06">
      <w:pPr>
        <w:spacing w:line="26" w:lineRule="atLeast"/>
        <w:jc w:val="both"/>
        <w:rPr>
          <w:rFonts w:ascii="Gadugi" w:hAnsi="Gadugi" w:cs="Arial"/>
          <w:color w:val="000000"/>
          <w:sz w:val="24"/>
          <w:szCs w:val="24"/>
        </w:rPr>
      </w:pPr>
    </w:p>
    <w:p w:rsidR="00C30B06" w:rsidRPr="004B1F00" w:rsidRDefault="00C30B06" w:rsidP="00C30B06">
      <w:pPr>
        <w:spacing w:line="26" w:lineRule="atLeast"/>
        <w:jc w:val="both"/>
        <w:rPr>
          <w:rFonts w:ascii="Gadugi" w:hAnsi="Gadugi" w:cs="Arial"/>
          <w:color w:val="000000"/>
          <w:sz w:val="24"/>
          <w:szCs w:val="24"/>
        </w:rPr>
      </w:pPr>
      <w:r w:rsidRPr="004B1F00">
        <w:rPr>
          <w:rFonts w:ascii="Gadugi" w:hAnsi="Gadugi" w:cs="Arial"/>
          <w:color w:val="000000"/>
          <w:sz w:val="24"/>
          <w:szCs w:val="24"/>
        </w:rPr>
        <w:tab/>
        <w:t xml:space="preserve"> </w:t>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t>Pidió</w:t>
      </w:r>
      <w:r w:rsidR="009B1953">
        <w:rPr>
          <w:rFonts w:ascii="Gadugi" w:hAnsi="Gadugi" w:cs="Arial"/>
          <w:color w:val="000000"/>
          <w:sz w:val="24"/>
          <w:szCs w:val="24"/>
        </w:rPr>
        <w:t xml:space="preserve"> </w:t>
      </w:r>
      <w:r w:rsidRPr="004B1F00">
        <w:rPr>
          <w:rFonts w:ascii="Gadugi" w:hAnsi="Gadugi" w:cs="Arial"/>
          <w:color w:val="000000"/>
          <w:sz w:val="24"/>
          <w:szCs w:val="24"/>
        </w:rPr>
        <w:t xml:space="preserve">el amparo de los derechos invocados, y como consecuencia de ello, que se ordene a </w:t>
      </w:r>
      <w:proofErr w:type="spellStart"/>
      <w:r w:rsidRPr="004B1F00">
        <w:rPr>
          <w:rFonts w:ascii="Gadugi" w:hAnsi="Gadugi" w:cs="Arial"/>
          <w:color w:val="000000"/>
          <w:sz w:val="24"/>
          <w:szCs w:val="24"/>
        </w:rPr>
        <w:t>Colpensiones</w:t>
      </w:r>
      <w:proofErr w:type="spellEnd"/>
      <w:r w:rsidRPr="004B1F00">
        <w:rPr>
          <w:rFonts w:ascii="Gadugi" w:hAnsi="Gadugi" w:cs="Arial"/>
          <w:color w:val="000000"/>
          <w:sz w:val="24"/>
          <w:szCs w:val="24"/>
        </w:rPr>
        <w:t xml:space="preserve"> el reconocimiento y pago de la pensión de </w:t>
      </w:r>
      <w:r w:rsidR="00036563">
        <w:rPr>
          <w:rFonts w:ascii="Gadugi" w:hAnsi="Gadugi" w:cs="Arial"/>
          <w:color w:val="000000"/>
          <w:sz w:val="24"/>
          <w:szCs w:val="24"/>
        </w:rPr>
        <w:t xml:space="preserve">invalidez. </w:t>
      </w:r>
    </w:p>
    <w:p w:rsidR="00C30B06" w:rsidRPr="004B1F00" w:rsidRDefault="00C30B06" w:rsidP="00C30B06">
      <w:pPr>
        <w:spacing w:line="26" w:lineRule="atLeast"/>
        <w:jc w:val="both"/>
        <w:rPr>
          <w:rFonts w:ascii="Gadugi" w:hAnsi="Gadugi" w:cs="Arial"/>
          <w:color w:val="000000"/>
          <w:sz w:val="24"/>
          <w:szCs w:val="24"/>
        </w:rPr>
      </w:pPr>
    </w:p>
    <w:p w:rsidR="00036563" w:rsidRDefault="00C30B06" w:rsidP="00C30B06">
      <w:pPr>
        <w:spacing w:line="26" w:lineRule="atLeast"/>
        <w:jc w:val="both"/>
        <w:rPr>
          <w:rFonts w:ascii="Gadugi" w:hAnsi="Gadugi" w:cs="Arial"/>
          <w:color w:val="000000"/>
          <w:sz w:val="24"/>
          <w:szCs w:val="24"/>
        </w:rPr>
      </w:pP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t xml:space="preserve">El Juzgado de primer grado admitió el libelo </w:t>
      </w:r>
      <w:r>
        <w:rPr>
          <w:rFonts w:ascii="Gadugi" w:hAnsi="Gadugi" w:cs="Arial"/>
          <w:color w:val="000000"/>
          <w:sz w:val="24"/>
          <w:szCs w:val="24"/>
        </w:rPr>
        <w:t>y dispuso correr traslado</w:t>
      </w:r>
      <w:r w:rsidR="00312770">
        <w:rPr>
          <w:rFonts w:ascii="Gadugi" w:hAnsi="Gadugi" w:cs="Arial"/>
          <w:color w:val="000000"/>
          <w:sz w:val="24"/>
          <w:szCs w:val="24"/>
        </w:rPr>
        <w:t xml:space="preserve"> al Gerente Nacional de Reconocimiento,</w:t>
      </w:r>
      <w:r>
        <w:rPr>
          <w:rFonts w:ascii="Gadugi" w:hAnsi="Gadugi" w:cs="Arial"/>
          <w:color w:val="000000"/>
          <w:sz w:val="24"/>
          <w:szCs w:val="24"/>
        </w:rPr>
        <w:t xml:space="preserve"> a</w:t>
      </w:r>
      <w:r w:rsidR="00036563">
        <w:rPr>
          <w:rFonts w:ascii="Gadugi" w:hAnsi="Gadugi" w:cs="Arial"/>
          <w:color w:val="000000"/>
          <w:sz w:val="24"/>
          <w:szCs w:val="24"/>
        </w:rPr>
        <w:t xml:space="preserve"> la Gerente Nacional de Medicina Laboral, </w:t>
      </w:r>
      <w:r w:rsidR="00312770">
        <w:rPr>
          <w:rFonts w:ascii="Gadugi" w:hAnsi="Gadugi" w:cs="Arial"/>
          <w:color w:val="000000"/>
          <w:sz w:val="24"/>
          <w:szCs w:val="24"/>
        </w:rPr>
        <w:t xml:space="preserve">a la Subdirección de Determinaciones IX, todos de </w:t>
      </w:r>
      <w:proofErr w:type="spellStart"/>
      <w:r w:rsidR="00312770">
        <w:rPr>
          <w:rFonts w:ascii="Gadugi" w:hAnsi="Gadugi" w:cs="Arial"/>
          <w:color w:val="000000"/>
          <w:sz w:val="24"/>
          <w:szCs w:val="24"/>
        </w:rPr>
        <w:t>Colpensiones</w:t>
      </w:r>
      <w:proofErr w:type="spellEnd"/>
      <w:r w:rsidR="00312770">
        <w:rPr>
          <w:rFonts w:ascii="Gadugi" w:hAnsi="Gadugi" w:cs="Arial"/>
          <w:color w:val="000000"/>
          <w:sz w:val="24"/>
          <w:szCs w:val="24"/>
        </w:rPr>
        <w:t xml:space="preserve">,  así como </w:t>
      </w:r>
      <w:r w:rsidR="00036563">
        <w:rPr>
          <w:rFonts w:ascii="Gadugi" w:hAnsi="Gadugi" w:cs="Arial"/>
          <w:color w:val="000000"/>
          <w:sz w:val="24"/>
          <w:szCs w:val="24"/>
        </w:rPr>
        <w:t xml:space="preserve">a </w:t>
      </w:r>
      <w:proofErr w:type="spellStart"/>
      <w:r w:rsidR="00036563">
        <w:rPr>
          <w:rFonts w:ascii="Gadugi" w:hAnsi="Gadugi" w:cs="Arial"/>
          <w:color w:val="000000"/>
          <w:sz w:val="24"/>
          <w:szCs w:val="24"/>
        </w:rPr>
        <w:t>Asalud</w:t>
      </w:r>
      <w:proofErr w:type="spellEnd"/>
      <w:r w:rsidR="00036563">
        <w:rPr>
          <w:rFonts w:ascii="Gadugi" w:hAnsi="Gadugi" w:cs="Arial"/>
          <w:color w:val="000000"/>
          <w:sz w:val="24"/>
          <w:szCs w:val="24"/>
        </w:rPr>
        <w:t xml:space="preserve"> Medicina Laboral</w:t>
      </w:r>
      <w:r w:rsidR="00312770">
        <w:rPr>
          <w:rFonts w:ascii="Gadugi" w:hAnsi="Gadugi" w:cs="Arial"/>
          <w:color w:val="000000"/>
          <w:sz w:val="24"/>
          <w:szCs w:val="24"/>
        </w:rPr>
        <w:t xml:space="preserve"> y</w:t>
      </w:r>
      <w:r w:rsidR="00036563">
        <w:rPr>
          <w:rFonts w:ascii="Gadugi" w:hAnsi="Gadugi" w:cs="Arial"/>
          <w:color w:val="000000"/>
          <w:sz w:val="24"/>
          <w:szCs w:val="24"/>
        </w:rPr>
        <w:t xml:space="preserve"> al doctor</w:t>
      </w:r>
      <w:r w:rsidR="00312770">
        <w:rPr>
          <w:rFonts w:ascii="Gadugi" w:hAnsi="Gadugi" w:cs="Arial"/>
          <w:color w:val="000000"/>
          <w:sz w:val="24"/>
          <w:szCs w:val="24"/>
        </w:rPr>
        <w:t xml:space="preserve"> Leonardo López Hurtado.</w:t>
      </w:r>
      <w:r w:rsidR="00036563">
        <w:rPr>
          <w:rFonts w:ascii="Gadugi" w:hAnsi="Gadugi" w:cs="Arial"/>
          <w:color w:val="000000"/>
          <w:sz w:val="24"/>
          <w:szCs w:val="24"/>
        </w:rPr>
        <w:t xml:space="preserve"> </w:t>
      </w:r>
    </w:p>
    <w:p w:rsidR="00036563" w:rsidRDefault="00036563" w:rsidP="00C30B06">
      <w:pPr>
        <w:spacing w:line="26" w:lineRule="atLeast"/>
        <w:jc w:val="both"/>
        <w:rPr>
          <w:rFonts w:ascii="Gadugi" w:hAnsi="Gadugi" w:cs="Arial"/>
          <w:color w:val="000000"/>
          <w:sz w:val="24"/>
          <w:szCs w:val="24"/>
        </w:rPr>
      </w:pPr>
    </w:p>
    <w:p w:rsidR="00C30B06" w:rsidRDefault="00C30B06" w:rsidP="00C30B06">
      <w:pPr>
        <w:spacing w:line="26" w:lineRule="atLeast"/>
        <w:jc w:val="both"/>
        <w:rPr>
          <w:rFonts w:ascii="Gadugi" w:hAnsi="Gadugi" w:cs="Arial"/>
          <w:color w:val="000000"/>
          <w:sz w:val="24"/>
          <w:szCs w:val="24"/>
          <w:lang w:val="es-419"/>
        </w:rPr>
      </w:pPr>
      <w:r>
        <w:rPr>
          <w:rFonts w:ascii="Gadugi" w:hAnsi="Gadugi" w:cs="Arial"/>
          <w:color w:val="000000"/>
          <w:sz w:val="24"/>
          <w:szCs w:val="24"/>
        </w:rPr>
        <w:t xml:space="preserve">  </w:t>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t>Intervino el Director de Acciones Constitucionales</w:t>
      </w:r>
      <w:r w:rsidR="00312770">
        <w:rPr>
          <w:rFonts w:ascii="Gadugi" w:hAnsi="Gadugi" w:cs="Arial"/>
          <w:color w:val="000000"/>
          <w:sz w:val="24"/>
          <w:szCs w:val="24"/>
        </w:rPr>
        <w:t xml:space="preserve"> de la entidad accionada</w:t>
      </w:r>
      <w:r>
        <w:rPr>
          <w:rFonts w:ascii="Gadugi" w:hAnsi="Gadugi" w:cs="Arial"/>
          <w:color w:val="000000"/>
          <w:sz w:val="24"/>
          <w:szCs w:val="24"/>
        </w:rPr>
        <w:t xml:space="preserve">, para </w:t>
      </w:r>
      <w:r w:rsidR="005304FA">
        <w:rPr>
          <w:rFonts w:ascii="Gadugi" w:hAnsi="Gadugi" w:cs="Arial"/>
          <w:color w:val="000000"/>
          <w:sz w:val="24"/>
          <w:szCs w:val="24"/>
          <w:lang w:val="es-419"/>
        </w:rPr>
        <w:t xml:space="preserve">recordar el carácter </w:t>
      </w:r>
      <w:r>
        <w:rPr>
          <w:rFonts w:ascii="Gadugi" w:hAnsi="Gadugi" w:cs="Arial"/>
          <w:color w:val="000000"/>
          <w:sz w:val="24"/>
          <w:szCs w:val="24"/>
        </w:rPr>
        <w:t>subsidiario de la acción de tutela</w:t>
      </w:r>
      <w:r w:rsidR="005304FA">
        <w:rPr>
          <w:rFonts w:ascii="Gadugi" w:hAnsi="Gadugi" w:cs="Arial"/>
          <w:color w:val="000000"/>
          <w:sz w:val="24"/>
          <w:szCs w:val="24"/>
          <w:lang w:val="es-419"/>
        </w:rPr>
        <w:t xml:space="preserve"> y señalar que</w:t>
      </w:r>
      <w:r>
        <w:rPr>
          <w:rFonts w:ascii="Gadugi" w:hAnsi="Gadugi" w:cs="Arial"/>
          <w:color w:val="000000"/>
          <w:sz w:val="24"/>
          <w:szCs w:val="24"/>
        </w:rPr>
        <w:t xml:space="preserve"> el caso </w:t>
      </w:r>
      <w:r w:rsidR="005304FA">
        <w:rPr>
          <w:rFonts w:ascii="Gadugi" w:hAnsi="Gadugi" w:cs="Arial"/>
          <w:color w:val="000000"/>
          <w:sz w:val="24"/>
          <w:szCs w:val="24"/>
          <w:lang w:val="es-419"/>
        </w:rPr>
        <w:t xml:space="preserve">debe </w:t>
      </w:r>
      <w:r>
        <w:rPr>
          <w:rFonts w:ascii="Gadugi" w:hAnsi="Gadugi" w:cs="Arial"/>
          <w:color w:val="000000"/>
          <w:sz w:val="24"/>
          <w:szCs w:val="24"/>
        </w:rPr>
        <w:t>dirimirse ante la jurisdicción ordinaria laboral</w:t>
      </w:r>
      <w:r w:rsidR="005304FA">
        <w:rPr>
          <w:rFonts w:ascii="Gadugi" w:hAnsi="Gadugi" w:cs="Arial"/>
          <w:color w:val="000000"/>
          <w:sz w:val="24"/>
          <w:szCs w:val="24"/>
          <w:lang w:val="es-419"/>
        </w:rPr>
        <w:t xml:space="preserve">; agregó que </w:t>
      </w:r>
      <w:r w:rsidR="00312770">
        <w:rPr>
          <w:rFonts w:ascii="Gadugi" w:hAnsi="Gadugi" w:cs="Arial"/>
          <w:color w:val="000000"/>
          <w:sz w:val="24"/>
          <w:szCs w:val="24"/>
        </w:rPr>
        <w:t xml:space="preserve">contra el dictamen de pérdida de capacidad laboral </w:t>
      </w:r>
      <w:r w:rsidR="005304FA">
        <w:rPr>
          <w:rFonts w:ascii="Gadugi" w:hAnsi="Gadugi" w:cs="Arial"/>
          <w:color w:val="000000"/>
          <w:sz w:val="24"/>
          <w:szCs w:val="24"/>
          <w:lang w:val="es-419"/>
        </w:rPr>
        <w:t xml:space="preserve">ningún </w:t>
      </w:r>
      <w:r w:rsidR="00312770">
        <w:rPr>
          <w:rFonts w:ascii="Gadugi" w:hAnsi="Gadugi" w:cs="Arial"/>
          <w:color w:val="000000"/>
          <w:sz w:val="24"/>
          <w:szCs w:val="24"/>
        </w:rPr>
        <w:t>recurso</w:t>
      </w:r>
      <w:r w:rsidR="005304FA">
        <w:rPr>
          <w:rFonts w:ascii="Gadugi" w:hAnsi="Gadugi" w:cs="Arial"/>
          <w:color w:val="000000"/>
          <w:sz w:val="24"/>
          <w:szCs w:val="24"/>
          <w:lang w:val="es-419"/>
        </w:rPr>
        <w:t xml:space="preserve"> se presentó. </w:t>
      </w:r>
    </w:p>
    <w:p w:rsidR="005304FA" w:rsidRDefault="005304FA" w:rsidP="00C30B06">
      <w:pPr>
        <w:spacing w:line="26" w:lineRule="atLeast"/>
        <w:jc w:val="both"/>
        <w:rPr>
          <w:rFonts w:ascii="Gadugi" w:hAnsi="Gadugi" w:cs="Arial"/>
          <w:color w:val="000000"/>
          <w:sz w:val="24"/>
          <w:szCs w:val="24"/>
        </w:rPr>
      </w:pPr>
    </w:p>
    <w:p w:rsidR="00C30B06" w:rsidRPr="001F1059" w:rsidRDefault="00C30B06" w:rsidP="00C30B06">
      <w:pPr>
        <w:spacing w:line="26" w:lineRule="atLeast"/>
        <w:jc w:val="both"/>
        <w:rPr>
          <w:rFonts w:ascii="Gadugi" w:hAnsi="Gadugi" w:cs="Arial"/>
          <w:color w:val="000000" w:themeColor="text1"/>
          <w:sz w:val="24"/>
          <w:szCs w:val="24"/>
        </w:rPr>
      </w:pPr>
      <w:r>
        <w:rPr>
          <w:rFonts w:ascii="Gadugi" w:hAnsi="Gadugi" w:cs="Arial"/>
          <w:color w:val="000000"/>
          <w:sz w:val="24"/>
          <w:szCs w:val="24"/>
        </w:rPr>
        <w:t xml:space="preserve"> </w:t>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t>Sobrevino el fallo de primer grad</w:t>
      </w:r>
      <w:r w:rsidR="00312770">
        <w:rPr>
          <w:rFonts w:ascii="Gadugi" w:hAnsi="Gadugi" w:cs="Arial"/>
          <w:color w:val="000000"/>
          <w:sz w:val="24"/>
          <w:szCs w:val="24"/>
        </w:rPr>
        <w:t>o</w:t>
      </w:r>
      <w:r>
        <w:rPr>
          <w:rFonts w:ascii="Gadugi" w:hAnsi="Gadugi" w:cs="Arial"/>
          <w:color w:val="000000"/>
          <w:sz w:val="24"/>
          <w:szCs w:val="24"/>
        </w:rPr>
        <w:t xml:space="preserve"> que concedió el amparo elevado y le ordenó al</w:t>
      </w:r>
      <w:r w:rsidR="00286985">
        <w:rPr>
          <w:rFonts w:ascii="Gadugi" w:hAnsi="Gadugi" w:cs="Arial"/>
          <w:color w:val="000000"/>
          <w:sz w:val="24"/>
          <w:szCs w:val="24"/>
        </w:rPr>
        <w:t xml:space="preserve"> Gerente Nacional</w:t>
      </w:r>
      <w:r>
        <w:rPr>
          <w:rFonts w:ascii="Gadugi" w:hAnsi="Gadugi" w:cs="Arial"/>
          <w:color w:val="000000"/>
          <w:sz w:val="24"/>
          <w:szCs w:val="24"/>
        </w:rPr>
        <w:t xml:space="preserve"> de Reconocimiento y </w:t>
      </w:r>
      <w:r w:rsidR="00286985">
        <w:rPr>
          <w:rFonts w:ascii="Gadugi" w:hAnsi="Gadugi" w:cs="Arial"/>
          <w:color w:val="000000"/>
          <w:sz w:val="24"/>
          <w:szCs w:val="24"/>
        </w:rPr>
        <w:t xml:space="preserve">a la Subdirectora de Determinaciones IX de </w:t>
      </w:r>
      <w:proofErr w:type="spellStart"/>
      <w:r w:rsidR="00286985">
        <w:rPr>
          <w:rFonts w:ascii="Gadugi" w:hAnsi="Gadugi" w:cs="Arial"/>
          <w:color w:val="000000"/>
          <w:sz w:val="24"/>
          <w:szCs w:val="24"/>
        </w:rPr>
        <w:t>Colpensiones</w:t>
      </w:r>
      <w:proofErr w:type="spellEnd"/>
      <w:r>
        <w:rPr>
          <w:rFonts w:ascii="Gadugi" w:hAnsi="Gadugi" w:cs="Arial"/>
          <w:color w:val="000000"/>
          <w:sz w:val="24"/>
          <w:szCs w:val="24"/>
        </w:rPr>
        <w:t xml:space="preserve">, que </w:t>
      </w:r>
      <w:r w:rsidR="00286985">
        <w:rPr>
          <w:rFonts w:ascii="Gadugi" w:hAnsi="Gadugi" w:cs="Arial"/>
          <w:color w:val="000000"/>
          <w:sz w:val="24"/>
          <w:szCs w:val="24"/>
        </w:rPr>
        <w:t>conjuntamente</w:t>
      </w:r>
      <w:r w:rsidR="005304FA">
        <w:rPr>
          <w:rFonts w:ascii="Gadugi" w:hAnsi="Gadugi" w:cs="Arial"/>
          <w:color w:val="000000"/>
          <w:sz w:val="24"/>
          <w:szCs w:val="24"/>
          <w:lang w:val="es-419"/>
        </w:rPr>
        <w:t>,</w:t>
      </w:r>
      <w:r>
        <w:rPr>
          <w:rFonts w:ascii="Gadugi" w:hAnsi="Gadugi" w:cs="Arial"/>
          <w:color w:val="000000"/>
          <w:sz w:val="24"/>
          <w:szCs w:val="24"/>
        </w:rPr>
        <w:t xml:space="preserve"> y dentro de los 15 día siguientes a la notificación de la sentencia, procedieran</w:t>
      </w:r>
      <w:r w:rsidR="00286985">
        <w:rPr>
          <w:rFonts w:ascii="Gadugi" w:hAnsi="Gadugi" w:cs="Arial"/>
          <w:color w:val="000000"/>
          <w:sz w:val="24"/>
          <w:szCs w:val="24"/>
        </w:rPr>
        <w:t xml:space="preserve"> a dejar sin efecto los actos administrativos que negaron el reconocimiento de la pensión de invalidez a la accionante y en consecuencia emitieran un nuevo acto administrativo en el que se reconociera</w:t>
      </w:r>
      <w:r>
        <w:rPr>
          <w:rFonts w:ascii="Gadugi" w:hAnsi="Gadugi" w:cs="Arial"/>
          <w:color w:val="000000"/>
          <w:sz w:val="24"/>
          <w:szCs w:val="24"/>
        </w:rPr>
        <w:t xml:space="preserve"> la pensión reclamada</w:t>
      </w:r>
      <w:r w:rsidR="005304FA">
        <w:rPr>
          <w:rFonts w:ascii="Gadugi" w:hAnsi="Gadugi" w:cs="Arial"/>
          <w:color w:val="000000"/>
          <w:sz w:val="24"/>
          <w:szCs w:val="24"/>
          <w:lang w:val="es-419"/>
        </w:rPr>
        <w:t>. P</w:t>
      </w:r>
      <w:r>
        <w:rPr>
          <w:rFonts w:ascii="Gadugi" w:hAnsi="Gadugi" w:cs="Arial"/>
          <w:color w:val="000000"/>
          <w:sz w:val="24"/>
          <w:szCs w:val="24"/>
        </w:rPr>
        <w:t xml:space="preserve">ara así decidir, dio cuenta de la procedencia de la acción de tutela en esta clase de asuntos atendiendo la condición de sujeto de especial protección de la actora, por razones de salud y pobreza; trajo a colación la normativa referente al caso analizado y las exigencias jurisprudenciales para acceder a una prestación como la pedida, las que encontró allanadas en cabeza </w:t>
      </w:r>
      <w:r>
        <w:rPr>
          <w:rFonts w:ascii="Gadugi" w:hAnsi="Gadugi" w:cs="Arial"/>
          <w:color w:val="000000"/>
          <w:sz w:val="24"/>
          <w:szCs w:val="24"/>
        </w:rPr>
        <w:lastRenderedPageBreak/>
        <w:t>de la demandante</w:t>
      </w:r>
      <w:r w:rsidR="005304FA">
        <w:rPr>
          <w:rFonts w:ascii="Gadugi" w:hAnsi="Gadugi" w:cs="Arial"/>
          <w:color w:val="000000"/>
          <w:sz w:val="24"/>
          <w:szCs w:val="24"/>
          <w:lang w:val="es-419"/>
        </w:rPr>
        <w:t>:</w:t>
      </w:r>
      <w:r>
        <w:rPr>
          <w:rFonts w:ascii="Gadugi" w:hAnsi="Gadugi" w:cs="Arial"/>
          <w:color w:val="000000"/>
          <w:sz w:val="24"/>
          <w:szCs w:val="24"/>
        </w:rPr>
        <w:t xml:space="preserve"> pérdida de la capacidad laboral</w:t>
      </w:r>
      <w:r w:rsidR="00286985">
        <w:rPr>
          <w:rFonts w:ascii="Gadugi" w:hAnsi="Gadugi" w:cs="Arial"/>
          <w:color w:val="000000"/>
          <w:sz w:val="24"/>
          <w:szCs w:val="24"/>
        </w:rPr>
        <w:t>,</w:t>
      </w:r>
      <w:r>
        <w:rPr>
          <w:rFonts w:ascii="Gadugi" w:hAnsi="Gadugi" w:cs="Arial"/>
          <w:color w:val="000000"/>
          <w:sz w:val="24"/>
          <w:szCs w:val="24"/>
        </w:rPr>
        <w:t xml:space="preserve"> </w:t>
      </w:r>
      <w:r w:rsidR="00286985">
        <w:rPr>
          <w:rFonts w:ascii="Gadugi" w:hAnsi="Gadugi" w:cs="Arial"/>
          <w:color w:val="000000"/>
          <w:sz w:val="24"/>
          <w:szCs w:val="24"/>
        </w:rPr>
        <w:t xml:space="preserve">precariedad económica y aplicación del principio de </w:t>
      </w:r>
      <w:r w:rsidR="00286985" w:rsidRPr="001F1059">
        <w:rPr>
          <w:rFonts w:ascii="Gadugi" w:hAnsi="Gadugi" w:cs="Arial"/>
          <w:color w:val="000000" w:themeColor="text1"/>
          <w:sz w:val="24"/>
          <w:szCs w:val="24"/>
        </w:rPr>
        <w:t>condición más beneficiosa.</w:t>
      </w:r>
    </w:p>
    <w:p w:rsidR="00C30B06" w:rsidRPr="004B1F00" w:rsidRDefault="00C30B06" w:rsidP="00C30B06">
      <w:pPr>
        <w:spacing w:line="26" w:lineRule="atLeast"/>
        <w:jc w:val="both"/>
        <w:rPr>
          <w:rFonts w:ascii="Gadugi" w:hAnsi="Gadugi" w:cs="Arial"/>
          <w:color w:val="000000"/>
          <w:sz w:val="24"/>
          <w:szCs w:val="24"/>
          <w:lang w:val="es-CO"/>
        </w:rPr>
      </w:pPr>
    </w:p>
    <w:p w:rsidR="00C30B06" w:rsidRDefault="00C30B06" w:rsidP="00C30B06">
      <w:pPr>
        <w:spacing w:line="26" w:lineRule="atLeast"/>
        <w:jc w:val="both"/>
        <w:rPr>
          <w:rFonts w:ascii="Gadugi" w:hAnsi="Gadugi" w:cs="Arial"/>
          <w:color w:val="000000"/>
          <w:sz w:val="24"/>
          <w:szCs w:val="24"/>
          <w:lang w:val="es-CO"/>
        </w:rPr>
      </w:pPr>
      <w:r w:rsidRPr="004B1F00">
        <w:rPr>
          <w:rFonts w:ascii="Gadugi" w:hAnsi="Gadugi" w:cs="Arial"/>
          <w:color w:val="000000"/>
          <w:sz w:val="24"/>
          <w:szCs w:val="24"/>
          <w:lang w:val="es-CO"/>
        </w:rPr>
        <w:tab/>
      </w:r>
      <w:r w:rsidRPr="004B1F00">
        <w:rPr>
          <w:rFonts w:ascii="Gadugi" w:hAnsi="Gadugi" w:cs="Arial"/>
          <w:color w:val="000000"/>
          <w:sz w:val="24"/>
          <w:szCs w:val="24"/>
          <w:lang w:val="es-CO"/>
        </w:rPr>
        <w:tab/>
      </w:r>
      <w:r w:rsidRPr="004B1F00">
        <w:rPr>
          <w:rFonts w:ascii="Gadugi" w:hAnsi="Gadugi" w:cs="Arial"/>
          <w:color w:val="000000"/>
          <w:sz w:val="24"/>
          <w:szCs w:val="24"/>
          <w:lang w:val="es-CO"/>
        </w:rPr>
        <w:tab/>
      </w:r>
      <w:r w:rsidRPr="004B1F00">
        <w:rPr>
          <w:rFonts w:ascii="Gadugi" w:hAnsi="Gadugi" w:cs="Arial"/>
          <w:color w:val="000000"/>
          <w:sz w:val="24"/>
          <w:szCs w:val="24"/>
          <w:lang w:val="es-CO"/>
        </w:rPr>
        <w:tab/>
        <w:t xml:space="preserve">Impugnó </w:t>
      </w:r>
      <w:r>
        <w:rPr>
          <w:rFonts w:ascii="Gadugi" w:hAnsi="Gadugi" w:cs="Arial"/>
          <w:color w:val="000000"/>
          <w:sz w:val="24"/>
          <w:szCs w:val="24"/>
          <w:lang w:val="es-CO"/>
        </w:rPr>
        <w:t>la parte demandada con apoyo en los mismos lineamientos trazados a lo largo del presente trámite</w:t>
      </w:r>
      <w:r w:rsidR="005304FA">
        <w:rPr>
          <w:rFonts w:ascii="Gadugi" w:hAnsi="Gadugi" w:cs="Arial"/>
          <w:color w:val="000000"/>
          <w:sz w:val="24"/>
          <w:szCs w:val="24"/>
          <w:lang w:val="es-419"/>
        </w:rPr>
        <w:t xml:space="preserve">, además de que aludió a la </w:t>
      </w:r>
      <w:r w:rsidR="007A0409">
        <w:rPr>
          <w:rFonts w:ascii="Gadugi" w:hAnsi="Gadugi" w:cs="Arial"/>
          <w:color w:val="000000"/>
          <w:sz w:val="24"/>
          <w:szCs w:val="24"/>
          <w:lang w:val="es-CO"/>
        </w:rPr>
        <w:t>inoperancia</w:t>
      </w:r>
      <w:r w:rsidR="00286985">
        <w:rPr>
          <w:rFonts w:ascii="Gadugi" w:hAnsi="Gadugi" w:cs="Arial"/>
          <w:color w:val="000000"/>
          <w:sz w:val="24"/>
          <w:szCs w:val="24"/>
          <w:lang w:val="es-CO"/>
        </w:rPr>
        <w:t xml:space="preserve"> del </w:t>
      </w:r>
      <w:r w:rsidR="007A0409">
        <w:rPr>
          <w:rFonts w:ascii="Gadugi" w:hAnsi="Gadugi" w:cs="Arial"/>
          <w:color w:val="000000"/>
          <w:sz w:val="24"/>
          <w:szCs w:val="24"/>
          <w:lang w:val="es-CO"/>
        </w:rPr>
        <w:t>principio</w:t>
      </w:r>
      <w:r w:rsidR="00286985">
        <w:rPr>
          <w:rFonts w:ascii="Gadugi" w:hAnsi="Gadugi" w:cs="Arial"/>
          <w:color w:val="000000"/>
          <w:sz w:val="24"/>
          <w:szCs w:val="24"/>
          <w:lang w:val="es-CO"/>
        </w:rPr>
        <w:t xml:space="preserve"> de la condición más beneficiosa</w:t>
      </w:r>
      <w:r w:rsidR="007A0409">
        <w:rPr>
          <w:rFonts w:ascii="Gadugi" w:hAnsi="Gadugi" w:cs="Arial"/>
          <w:color w:val="000000"/>
          <w:sz w:val="24"/>
          <w:szCs w:val="24"/>
          <w:lang w:val="es-CO"/>
        </w:rPr>
        <w:t xml:space="preserve"> para </w:t>
      </w:r>
      <w:r w:rsidR="005304FA">
        <w:rPr>
          <w:rFonts w:ascii="Gadugi" w:hAnsi="Gadugi" w:cs="Arial"/>
          <w:color w:val="000000"/>
          <w:sz w:val="24"/>
          <w:szCs w:val="24"/>
          <w:lang w:val="es-419"/>
        </w:rPr>
        <w:t xml:space="preserve">este </w:t>
      </w:r>
      <w:r w:rsidR="007A0409">
        <w:rPr>
          <w:rFonts w:ascii="Gadugi" w:hAnsi="Gadugi" w:cs="Arial"/>
          <w:color w:val="000000"/>
          <w:sz w:val="24"/>
          <w:szCs w:val="24"/>
          <w:lang w:val="es-CO"/>
        </w:rPr>
        <w:t>caso</w:t>
      </w:r>
      <w:r w:rsidR="005304FA">
        <w:rPr>
          <w:rFonts w:ascii="Gadugi" w:hAnsi="Gadugi" w:cs="Arial"/>
          <w:color w:val="000000"/>
          <w:sz w:val="24"/>
          <w:szCs w:val="24"/>
          <w:lang w:val="es-419"/>
        </w:rPr>
        <w:t>.</w:t>
      </w:r>
      <w:r w:rsidR="007A0409">
        <w:rPr>
          <w:rFonts w:ascii="Gadugi" w:hAnsi="Gadugi" w:cs="Arial"/>
          <w:color w:val="000000"/>
          <w:sz w:val="24"/>
          <w:szCs w:val="24"/>
          <w:lang w:val="es-CO"/>
        </w:rPr>
        <w:t xml:space="preserve"> </w:t>
      </w:r>
    </w:p>
    <w:p w:rsidR="00C30B06" w:rsidRDefault="00C30B06" w:rsidP="00C30B06">
      <w:pPr>
        <w:spacing w:line="26" w:lineRule="atLeast"/>
        <w:jc w:val="both"/>
        <w:rPr>
          <w:rFonts w:ascii="Gadugi" w:hAnsi="Gadugi" w:cs="Arial"/>
          <w:b/>
          <w:color w:val="000000"/>
          <w:sz w:val="24"/>
          <w:szCs w:val="24"/>
        </w:rPr>
      </w:pPr>
      <w:r>
        <w:rPr>
          <w:rFonts w:ascii="Gadugi" w:hAnsi="Gadugi" w:cs="Arial"/>
          <w:b/>
          <w:color w:val="000000"/>
          <w:sz w:val="24"/>
          <w:szCs w:val="24"/>
        </w:rPr>
        <w:t xml:space="preserve"> </w:t>
      </w:r>
      <w:r w:rsidR="00286985">
        <w:rPr>
          <w:rFonts w:ascii="Gadugi" w:hAnsi="Gadugi" w:cs="Arial"/>
          <w:b/>
          <w:color w:val="000000"/>
          <w:sz w:val="24"/>
          <w:szCs w:val="24"/>
        </w:rPr>
        <w:tab/>
      </w:r>
      <w:r w:rsidR="00286985">
        <w:rPr>
          <w:rFonts w:ascii="Gadugi" w:hAnsi="Gadugi" w:cs="Arial"/>
          <w:b/>
          <w:color w:val="000000"/>
          <w:sz w:val="24"/>
          <w:szCs w:val="24"/>
        </w:rPr>
        <w:tab/>
      </w:r>
      <w:r w:rsidR="00286985">
        <w:rPr>
          <w:rFonts w:ascii="Gadugi" w:hAnsi="Gadugi" w:cs="Arial"/>
          <w:b/>
          <w:color w:val="000000"/>
          <w:sz w:val="24"/>
          <w:szCs w:val="24"/>
        </w:rPr>
        <w:tab/>
      </w:r>
      <w:r w:rsidR="00286985">
        <w:rPr>
          <w:rFonts w:ascii="Gadugi" w:hAnsi="Gadugi" w:cs="Arial"/>
          <w:b/>
          <w:color w:val="000000"/>
          <w:sz w:val="24"/>
          <w:szCs w:val="24"/>
        </w:rPr>
        <w:tab/>
      </w:r>
    </w:p>
    <w:p w:rsidR="00C30B06" w:rsidRPr="004B1F00" w:rsidRDefault="00C30B06" w:rsidP="00C30B06">
      <w:pPr>
        <w:spacing w:line="26" w:lineRule="atLeast"/>
        <w:ind w:firstLine="2835"/>
        <w:jc w:val="both"/>
        <w:rPr>
          <w:rFonts w:ascii="Gadugi" w:hAnsi="Gadugi" w:cs="Arial"/>
          <w:b/>
          <w:color w:val="000000"/>
          <w:sz w:val="24"/>
          <w:szCs w:val="24"/>
        </w:rPr>
      </w:pPr>
    </w:p>
    <w:p w:rsidR="00C30B06" w:rsidRPr="004B1F00" w:rsidRDefault="00C30B06" w:rsidP="00C30B06">
      <w:pPr>
        <w:spacing w:line="26" w:lineRule="atLeast"/>
        <w:ind w:firstLine="2835"/>
        <w:jc w:val="both"/>
        <w:rPr>
          <w:rFonts w:ascii="Gadugi" w:hAnsi="Gadugi" w:cs="Arial"/>
          <w:b/>
          <w:color w:val="000000"/>
          <w:sz w:val="24"/>
          <w:szCs w:val="24"/>
        </w:rPr>
      </w:pPr>
      <w:r w:rsidRPr="004B1F00">
        <w:rPr>
          <w:rFonts w:ascii="Gadugi" w:hAnsi="Gadugi" w:cs="Arial"/>
          <w:b/>
          <w:color w:val="000000"/>
          <w:sz w:val="24"/>
          <w:szCs w:val="24"/>
        </w:rPr>
        <w:t>CONSIDERACIONES</w:t>
      </w:r>
    </w:p>
    <w:p w:rsidR="00C30B06" w:rsidRPr="004B1F00" w:rsidRDefault="00C30B06" w:rsidP="00C30B06">
      <w:pPr>
        <w:spacing w:line="26" w:lineRule="atLeast"/>
        <w:jc w:val="both"/>
        <w:rPr>
          <w:rFonts w:ascii="Gadugi" w:hAnsi="Gadugi" w:cs="Arial"/>
          <w:color w:val="000000"/>
          <w:sz w:val="24"/>
          <w:szCs w:val="24"/>
        </w:rPr>
      </w:pP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p>
    <w:p w:rsidR="00C30B06" w:rsidRPr="004B1F00" w:rsidRDefault="00C30B06" w:rsidP="00C30B06">
      <w:pPr>
        <w:overflowPunct/>
        <w:spacing w:line="26" w:lineRule="atLeast"/>
        <w:jc w:val="both"/>
        <w:textAlignment w:val="auto"/>
        <w:rPr>
          <w:rFonts w:ascii="Gadugi" w:hAnsi="Gadugi" w:cs="Arial"/>
          <w:color w:val="000000"/>
          <w:sz w:val="24"/>
          <w:szCs w:val="24"/>
        </w:rPr>
      </w:pP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r>
        <w:rPr>
          <w:rFonts w:ascii="Gadugi" w:hAnsi="Gadugi" w:cs="Arial"/>
          <w:color w:val="000000"/>
          <w:sz w:val="24"/>
          <w:szCs w:val="24"/>
        </w:rPr>
        <w:tab/>
      </w:r>
    </w:p>
    <w:p w:rsidR="00C30B06" w:rsidRPr="004B1F00" w:rsidRDefault="00C30B06" w:rsidP="00C30B06">
      <w:pPr>
        <w:overflowPunct/>
        <w:spacing w:line="26" w:lineRule="atLeast"/>
        <w:jc w:val="both"/>
        <w:textAlignment w:val="auto"/>
        <w:rPr>
          <w:rFonts w:ascii="Gadugi" w:hAnsi="Gadugi" w:cs="Arial"/>
          <w:color w:val="000000"/>
          <w:sz w:val="24"/>
          <w:szCs w:val="24"/>
        </w:rPr>
      </w:pPr>
      <w:r w:rsidRPr="004B1F00">
        <w:rPr>
          <w:rFonts w:ascii="Gadugi" w:hAnsi="Gadugi" w:cs="Arial"/>
          <w:color w:val="000000"/>
          <w:sz w:val="24"/>
          <w:szCs w:val="24"/>
        </w:rPr>
        <w:t xml:space="preserve">  </w:t>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r>
      <w:r w:rsidRPr="004B1F00">
        <w:rPr>
          <w:rFonts w:ascii="Gadugi" w:hAnsi="Gadugi" w:cs="Arial"/>
          <w:color w:val="000000"/>
          <w:sz w:val="24"/>
          <w:szCs w:val="24"/>
        </w:rPr>
        <w:tab/>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5100EA" w:rsidRDefault="00C30B06" w:rsidP="005304FA">
      <w:pPr>
        <w:spacing w:line="276" w:lineRule="auto"/>
        <w:jc w:val="both"/>
        <w:rPr>
          <w:rFonts w:ascii="Gadugi" w:hAnsi="Gadugi"/>
          <w:sz w:val="24"/>
          <w:szCs w:val="24"/>
          <w:lang w:val="es-419"/>
        </w:rPr>
      </w:pPr>
      <w:r w:rsidRPr="004B1F00">
        <w:rPr>
          <w:rFonts w:ascii="Gadugi" w:hAnsi="Gadugi"/>
          <w:color w:val="000000"/>
          <w:sz w:val="24"/>
          <w:szCs w:val="24"/>
        </w:rPr>
        <w:t xml:space="preserve">  </w:t>
      </w:r>
      <w:r w:rsidRPr="004B1F00">
        <w:rPr>
          <w:rFonts w:ascii="Gadugi" w:hAnsi="Gadugi"/>
          <w:color w:val="000000"/>
          <w:sz w:val="24"/>
          <w:szCs w:val="24"/>
        </w:rPr>
        <w:tab/>
      </w:r>
      <w:r w:rsidRPr="004B1F00">
        <w:rPr>
          <w:rFonts w:ascii="Gadugi" w:hAnsi="Gadugi"/>
          <w:color w:val="000000"/>
          <w:sz w:val="24"/>
          <w:szCs w:val="24"/>
        </w:rPr>
        <w:tab/>
      </w:r>
      <w:r w:rsidRPr="004B1F00">
        <w:rPr>
          <w:rFonts w:ascii="Gadugi" w:hAnsi="Gadugi"/>
          <w:color w:val="000000"/>
          <w:sz w:val="24"/>
          <w:szCs w:val="24"/>
        </w:rPr>
        <w:tab/>
      </w:r>
      <w:r w:rsidR="005100EA">
        <w:rPr>
          <w:rFonts w:ascii="Gadugi" w:hAnsi="Gadugi"/>
          <w:color w:val="000000"/>
          <w:sz w:val="24"/>
          <w:szCs w:val="24"/>
        </w:rPr>
        <w:tab/>
      </w:r>
      <w:r w:rsidR="005100EA">
        <w:rPr>
          <w:rFonts w:ascii="Gadugi" w:hAnsi="Gadugi"/>
          <w:sz w:val="24"/>
          <w:szCs w:val="24"/>
        </w:rPr>
        <w:t xml:space="preserve">En el caso concreto, </w:t>
      </w:r>
      <w:proofErr w:type="spellStart"/>
      <w:r w:rsidR="00720AA6">
        <w:rPr>
          <w:rFonts w:ascii="Gadugi" w:hAnsi="Gadugi"/>
          <w:sz w:val="24"/>
          <w:szCs w:val="24"/>
        </w:rPr>
        <w:t>MGS</w:t>
      </w:r>
      <w:proofErr w:type="spellEnd"/>
      <w:r w:rsidR="005100EA" w:rsidRPr="007059C1">
        <w:rPr>
          <w:rFonts w:ascii="Gadugi" w:hAnsi="Gadugi"/>
          <w:sz w:val="24"/>
          <w:szCs w:val="24"/>
        </w:rPr>
        <w:t xml:space="preserve">, </w:t>
      </w:r>
      <w:r w:rsidR="005100EA">
        <w:rPr>
          <w:rFonts w:ascii="Gadugi" w:hAnsi="Gadugi"/>
          <w:sz w:val="24"/>
          <w:szCs w:val="24"/>
        </w:rPr>
        <w:t xml:space="preserve">quien actúa por intermedio </w:t>
      </w:r>
      <w:r w:rsidR="005100EA" w:rsidRPr="007059C1">
        <w:rPr>
          <w:rFonts w:ascii="Gadugi" w:hAnsi="Gadugi"/>
          <w:sz w:val="24"/>
          <w:szCs w:val="24"/>
        </w:rPr>
        <w:t xml:space="preserve">de representante judicial, dirigió su reclamo contra la Administradora Colombiana de Pensiones </w:t>
      </w:r>
      <w:proofErr w:type="spellStart"/>
      <w:r w:rsidR="005100EA" w:rsidRPr="007059C1">
        <w:rPr>
          <w:rFonts w:ascii="Gadugi" w:hAnsi="Gadugi"/>
          <w:sz w:val="24"/>
          <w:szCs w:val="24"/>
        </w:rPr>
        <w:t>COLPENSIONES</w:t>
      </w:r>
      <w:proofErr w:type="spellEnd"/>
      <w:r w:rsidR="005100EA">
        <w:rPr>
          <w:rFonts w:ascii="Gadugi" w:hAnsi="Gadugi"/>
          <w:sz w:val="24"/>
          <w:szCs w:val="24"/>
          <w:lang w:val="es-419"/>
        </w:rPr>
        <w:t>,</w:t>
      </w:r>
      <w:r w:rsidR="005100EA" w:rsidRPr="007059C1">
        <w:rPr>
          <w:rFonts w:ascii="Gadugi" w:hAnsi="Gadugi"/>
          <w:sz w:val="24"/>
          <w:szCs w:val="24"/>
        </w:rPr>
        <w:t xml:space="preserve"> con el fin de que se resolviera favorablemente su petición de reconocimiento y pago de pensión de invalidez, desechada por no acreditar la</w:t>
      </w:r>
      <w:r w:rsidR="005100EA">
        <w:rPr>
          <w:rFonts w:ascii="Gadugi" w:hAnsi="Gadugi"/>
          <w:sz w:val="24"/>
          <w:szCs w:val="24"/>
          <w:lang w:val="es-419"/>
        </w:rPr>
        <w:t>s</w:t>
      </w:r>
      <w:r w:rsidR="005100EA" w:rsidRPr="007059C1">
        <w:rPr>
          <w:rFonts w:ascii="Gadugi" w:hAnsi="Gadugi"/>
          <w:sz w:val="24"/>
          <w:szCs w:val="24"/>
        </w:rPr>
        <w:t xml:space="preserve"> s</w:t>
      </w:r>
      <w:r w:rsidR="005100EA">
        <w:rPr>
          <w:rFonts w:ascii="Gadugi" w:hAnsi="Gadugi"/>
          <w:sz w:val="24"/>
          <w:szCs w:val="24"/>
        </w:rPr>
        <w:t>emanas cotizadas para el efecto</w:t>
      </w:r>
      <w:r w:rsidR="005100EA">
        <w:rPr>
          <w:rFonts w:ascii="Gadugi" w:hAnsi="Gadugi"/>
          <w:sz w:val="24"/>
          <w:szCs w:val="24"/>
          <w:lang w:val="es-419"/>
        </w:rPr>
        <w:t>.</w:t>
      </w:r>
    </w:p>
    <w:p w:rsidR="005100EA" w:rsidRDefault="005100EA" w:rsidP="005100EA">
      <w:pPr>
        <w:spacing w:line="276" w:lineRule="auto"/>
        <w:jc w:val="both"/>
        <w:rPr>
          <w:rFonts w:ascii="Gadugi" w:hAnsi="Gadugi"/>
          <w:sz w:val="24"/>
          <w:szCs w:val="24"/>
        </w:rPr>
      </w:pPr>
      <w:r>
        <w:rPr>
          <w:rFonts w:ascii="Gadugi" w:hAnsi="Gadugi"/>
          <w:sz w:val="24"/>
          <w:szCs w:val="24"/>
        </w:rPr>
        <w:t xml:space="preserve"> </w:t>
      </w:r>
      <w:r w:rsidR="00D76F2B">
        <w:rPr>
          <w:rFonts w:ascii="Gadugi" w:hAnsi="Gadugi"/>
          <w:sz w:val="24"/>
          <w:szCs w:val="24"/>
        </w:rPr>
        <w:tab/>
      </w:r>
      <w:r w:rsidR="00D76F2B">
        <w:rPr>
          <w:rFonts w:ascii="Gadugi" w:hAnsi="Gadugi"/>
          <w:sz w:val="24"/>
          <w:szCs w:val="24"/>
        </w:rPr>
        <w:tab/>
      </w:r>
      <w:r w:rsidR="00D76F2B">
        <w:rPr>
          <w:rFonts w:ascii="Gadugi" w:hAnsi="Gadugi"/>
          <w:sz w:val="24"/>
          <w:szCs w:val="24"/>
        </w:rPr>
        <w:tab/>
      </w:r>
      <w:r w:rsidR="00D76F2B">
        <w:rPr>
          <w:rFonts w:ascii="Gadugi" w:hAnsi="Gadugi"/>
          <w:sz w:val="24"/>
          <w:szCs w:val="24"/>
        </w:rPr>
        <w:tab/>
      </w:r>
    </w:p>
    <w:p w:rsidR="00B5257F" w:rsidRDefault="00B5257F" w:rsidP="00A549FC">
      <w:pPr>
        <w:spacing w:line="26" w:lineRule="atLeast"/>
        <w:jc w:val="both"/>
        <w:rPr>
          <w:rFonts w:ascii="Gadugi" w:hAnsi="Gadugi"/>
          <w:sz w:val="24"/>
          <w:szCs w:val="24"/>
          <w:lang w:val="es-CO"/>
        </w:rPr>
      </w:pPr>
      <w:r>
        <w:rPr>
          <w:rFonts w:ascii="Gadugi" w:hAnsi="Gadugi"/>
          <w:sz w:val="24"/>
          <w:szCs w:val="24"/>
        </w:rPr>
        <w:tab/>
      </w:r>
      <w:r>
        <w:rPr>
          <w:rFonts w:ascii="Gadugi" w:hAnsi="Gadugi"/>
          <w:sz w:val="24"/>
          <w:szCs w:val="24"/>
        </w:rPr>
        <w:tab/>
      </w:r>
      <w:r>
        <w:rPr>
          <w:rFonts w:ascii="Gadugi" w:hAnsi="Gadugi"/>
          <w:sz w:val="24"/>
          <w:szCs w:val="24"/>
        </w:rPr>
        <w:tab/>
      </w:r>
      <w:r w:rsidR="001F1059">
        <w:rPr>
          <w:rFonts w:ascii="Gadugi" w:hAnsi="Gadugi"/>
          <w:sz w:val="24"/>
          <w:szCs w:val="24"/>
        </w:rPr>
        <w:tab/>
      </w:r>
      <w:r w:rsidR="005304FA">
        <w:rPr>
          <w:rFonts w:ascii="Gadugi" w:hAnsi="Gadugi"/>
          <w:sz w:val="24"/>
          <w:szCs w:val="24"/>
          <w:lang w:val="es-419"/>
        </w:rPr>
        <w:t xml:space="preserve">Se recuerda que si </w:t>
      </w:r>
      <w:r w:rsidR="00063658">
        <w:rPr>
          <w:rFonts w:ascii="Gadugi" w:hAnsi="Gadugi"/>
          <w:sz w:val="24"/>
          <w:szCs w:val="24"/>
        </w:rPr>
        <w:t>bien</w:t>
      </w:r>
      <w:r w:rsidR="00A549FC" w:rsidRPr="00A549FC">
        <w:rPr>
          <w:rFonts w:ascii="Gadugi" w:hAnsi="Gadugi"/>
          <w:sz w:val="24"/>
          <w:szCs w:val="24"/>
          <w:lang w:val="es-419"/>
        </w:rPr>
        <w:t xml:space="preserve"> la tutela se constituye en un instrumento residual o subsidiario que solo tiene cabida cuando el afectado no disponga de otros mecanismos idóneos de defensa judicial, y ha hecho carrera que para el reclamo de una determinada prestación laboral se debe acudir a las vías ordinarias, esto es, ante los jueces de esa especialidad (ordinarios o contenciosos administrativos, según sea el caso), también lo es que</w:t>
      </w:r>
      <w:r w:rsidR="005304FA">
        <w:rPr>
          <w:rFonts w:ascii="Gadugi" w:hAnsi="Gadugi"/>
          <w:sz w:val="24"/>
          <w:szCs w:val="24"/>
          <w:lang w:val="es-419"/>
        </w:rPr>
        <w:t>,</w:t>
      </w:r>
      <w:r w:rsidR="00A549FC" w:rsidRPr="00A549FC">
        <w:rPr>
          <w:rFonts w:ascii="Gadugi" w:hAnsi="Gadugi"/>
          <w:sz w:val="24"/>
          <w:szCs w:val="24"/>
          <w:lang w:val="es-419"/>
        </w:rPr>
        <w:t xml:space="preserve"> frente a sujetos de especial protección, como lo es, sin duda, una persona calificada con grado de invalidez que, por tanto, requiere de una reforzada protección constitucional, este sendero se torna como el apropiado para la defensa de sus intereses, sin que de por medio, sea perentorio agotar otra clase de recursos.</w:t>
      </w:r>
    </w:p>
    <w:p w:rsidR="00A57FAF" w:rsidRPr="00FC72FA" w:rsidRDefault="00A57FAF" w:rsidP="00B5257F">
      <w:pPr>
        <w:spacing w:line="26" w:lineRule="atLeast"/>
        <w:ind w:right="19" w:firstLine="2835"/>
        <w:jc w:val="both"/>
        <w:rPr>
          <w:rFonts w:ascii="Gadugi" w:hAnsi="Gadugi"/>
          <w:sz w:val="24"/>
          <w:szCs w:val="24"/>
          <w:lang w:val="es-CO"/>
        </w:rPr>
      </w:pPr>
    </w:p>
    <w:p w:rsidR="003D181A" w:rsidRDefault="005304FA" w:rsidP="00B5257F">
      <w:pPr>
        <w:spacing w:line="26" w:lineRule="atLeast"/>
        <w:ind w:right="19" w:firstLine="2835"/>
        <w:jc w:val="both"/>
        <w:rPr>
          <w:rFonts w:ascii="Gadugi" w:hAnsi="Gadugi"/>
          <w:sz w:val="24"/>
          <w:szCs w:val="24"/>
          <w:lang w:val="es-419"/>
        </w:rPr>
      </w:pPr>
      <w:r>
        <w:rPr>
          <w:rFonts w:ascii="Gadugi" w:hAnsi="Gadugi"/>
          <w:sz w:val="24"/>
          <w:szCs w:val="24"/>
          <w:lang w:val="es-419"/>
        </w:rPr>
        <w:t>Esclarecido lo cual, es deber analizar si</w:t>
      </w:r>
      <w:r w:rsidR="00F91E69">
        <w:rPr>
          <w:rFonts w:ascii="Gadugi" w:hAnsi="Gadugi"/>
          <w:sz w:val="24"/>
          <w:szCs w:val="24"/>
          <w:lang w:val="es-419"/>
        </w:rPr>
        <w:t>,</w:t>
      </w:r>
      <w:r w:rsidR="00B411EB">
        <w:rPr>
          <w:rFonts w:ascii="Gadugi" w:hAnsi="Gadugi"/>
          <w:sz w:val="24"/>
          <w:szCs w:val="24"/>
          <w:lang w:val="es-419"/>
        </w:rPr>
        <w:t xml:space="preserve"> como se </w:t>
      </w:r>
      <w:r>
        <w:rPr>
          <w:rFonts w:ascii="Gadugi" w:hAnsi="Gadugi"/>
          <w:sz w:val="24"/>
          <w:szCs w:val="24"/>
          <w:lang w:val="es-419"/>
        </w:rPr>
        <w:t>dijo</w:t>
      </w:r>
      <w:r w:rsidR="00B411EB">
        <w:rPr>
          <w:rFonts w:ascii="Gadugi" w:hAnsi="Gadugi"/>
          <w:sz w:val="24"/>
          <w:szCs w:val="24"/>
          <w:lang w:val="es-419"/>
        </w:rPr>
        <w:t xml:space="preserve"> en primera instancia,</w:t>
      </w:r>
      <w:r w:rsidR="00F91E69">
        <w:rPr>
          <w:rFonts w:ascii="Gadugi" w:hAnsi="Gadugi"/>
          <w:sz w:val="24"/>
          <w:szCs w:val="24"/>
          <w:lang w:val="es-419"/>
        </w:rPr>
        <w:t xml:space="preserve"> en virtud de la aplicación del principio de la condición más beneficiosa, existe una normativa bajo la cual la accionante </w:t>
      </w:r>
      <w:r>
        <w:rPr>
          <w:rFonts w:ascii="Gadugi" w:hAnsi="Gadugi"/>
          <w:sz w:val="24"/>
          <w:szCs w:val="24"/>
          <w:lang w:val="es-419"/>
        </w:rPr>
        <w:t xml:space="preserve">cumple </w:t>
      </w:r>
      <w:r w:rsidR="00F91E69">
        <w:rPr>
          <w:rFonts w:ascii="Gadugi" w:hAnsi="Gadugi"/>
          <w:sz w:val="24"/>
          <w:szCs w:val="24"/>
          <w:lang w:val="es-419"/>
        </w:rPr>
        <w:t>los requisitos suficientes para generar una expectativa legítima que le permita acceder a la prestación pensional que depreca</w:t>
      </w:r>
      <w:r>
        <w:rPr>
          <w:rFonts w:ascii="Gadugi" w:hAnsi="Gadugi"/>
          <w:sz w:val="24"/>
          <w:szCs w:val="24"/>
          <w:lang w:val="es-419"/>
        </w:rPr>
        <w:t xml:space="preserve">, o </w:t>
      </w:r>
      <w:r w:rsidR="00E40627">
        <w:rPr>
          <w:rFonts w:ascii="Gadugi" w:hAnsi="Gadugi"/>
          <w:sz w:val="24"/>
          <w:szCs w:val="24"/>
          <w:lang w:val="es-419"/>
        </w:rPr>
        <w:t xml:space="preserve">se le da la razón a la impugnante que aduce que en el evento de ahora tal beneficio es inexistente. </w:t>
      </w:r>
    </w:p>
    <w:p w:rsidR="00A549FC" w:rsidRDefault="00A549FC" w:rsidP="00B5257F">
      <w:pPr>
        <w:spacing w:line="26" w:lineRule="atLeast"/>
        <w:ind w:right="19" w:firstLine="2835"/>
        <w:jc w:val="both"/>
        <w:rPr>
          <w:rFonts w:ascii="Gadugi" w:hAnsi="Gadugi"/>
          <w:sz w:val="24"/>
          <w:szCs w:val="24"/>
          <w:lang w:val="es-419"/>
        </w:rPr>
      </w:pPr>
    </w:p>
    <w:p w:rsidR="00F91E69" w:rsidRDefault="00F91E69" w:rsidP="00B5257F">
      <w:pPr>
        <w:spacing w:line="26" w:lineRule="atLeast"/>
        <w:ind w:right="19" w:firstLine="2835"/>
        <w:jc w:val="both"/>
        <w:rPr>
          <w:rFonts w:ascii="Gadugi" w:hAnsi="Gadugi"/>
          <w:sz w:val="24"/>
          <w:szCs w:val="24"/>
          <w:lang w:val="es-419"/>
        </w:rPr>
      </w:pPr>
      <w:r>
        <w:rPr>
          <w:rFonts w:ascii="Gadugi" w:hAnsi="Gadugi"/>
          <w:sz w:val="24"/>
          <w:szCs w:val="24"/>
          <w:lang w:val="es-419"/>
        </w:rPr>
        <w:t>Pues bien</w:t>
      </w:r>
      <w:r w:rsidR="00A549FC">
        <w:rPr>
          <w:rFonts w:ascii="Gadugi" w:hAnsi="Gadugi"/>
          <w:sz w:val="24"/>
          <w:szCs w:val="24"/>
          <w:lang w:val="es-419"/>
        </w:rPr>
        <w:t xml:space="preserve">, </w:t>
      </w:r>
      <w:r w:rsidR="00E40627">
        <w:rPr>
          <w:rFonts w:ascii="Gadugi" w:hAnsi="Gadugi"/>
          <w:sz w:val="24"/>
          <w:szCs w:val="24"/>
          <w:lang w:val="es-419"/>
        </w:rPr>
        <w:t xml:space="preserve">son varias las </w:t>
      </w:r>
      <w:r w:rsidR="00C44E39">
        <w:rPr>
          <w:rFonts w:ascii="Gadugi" w:hAnsi="Gadugi"/>
          <w:sz w:val="24"/>
          <w:szCs w:val="24"/>
          <w:lang w:val="es-419"/>
        </w:rPr>
        <w:t xml:space="preserve">normas </w:t>
      </w:r>
      <w:r w:rsidR="00EC0E13">
        <w:rPr>
          <w:rFonts w:ascii="Gadugi" w:hAnsi="Gadugi"/>
          <w:sz w:val="24"/>
          <w:szCs w:val="24"/>
          <w:lang w:val="es-419"/>
        </w:rPr>
        <w:t xml:space="preserve">que </w:t>
      </w:r>
      <w:r w:rsidR="00C44E39">
        <w:rPr>
          <w:rFonts w:ascii="Gadugi" w:hAnsi="Gadugi"/>
          <w:sz w:val="24"/>
          <w:szCs w:val="24"/>
          <w:lang w:val="es-419"/>
        </w:rPr>
        <w:t>han regulado la pensión de invalidez</w:t>
      </w:r>
      <w:r>
        <w:rPr>
          <w:rFonts w:ascii="Gadugi" w:hAnsi="Gadugi"/>
          <w:sz w:val="24"/>
          <w:szCs w:val="24"/>
          <w:lang w:val="es-419"/>
        </w:rPr>
        <w:t>, entre ellas</w:t>
      </w:r>
      <w:r w:rsidR="001516CA">
        <w:rPr>
          <w:rFonts w:ascii="Gadugi" w:hAnsi="Gadugi"/>
          <w:sz w:val="24"/>
          <w:szCs w:val="24"/>
          <w:lang w:val="es-419"/>
        </w:rPr>
        <w:t>,</w:t>
      </w:r>
      <w:r>
        <w:rPr>
          <w:rFonts w:ascii="Gadugi" w:hAnsi="Gadugi"/>
          <w:sz w:val="24"/>
          <w:szCs w:val="24"/>
          <w:lang w:val="es-419"/>
        </w:rPr>
        <w:t xml:space="preserve"> y sin </w:t>
      </w:r>
      <w:r w:rsidR="00C44E39">
        <w:rPr>
          <w:rFonts w:ascii="Gadugi" w:hAnsi="Gadugi"/>
          <w:sz w:val="24"/>
          <w:szCs w:val="24"/>
          <w:lang w:val="es-419"/>
        </w:rPr>
        <w:t>mencionar</w:t>
      </w:r>
      <w:r>
        <w:rPr>
          <w:rFonts w:ascii="Gadugi" w:hAnsi="Gadugi"/>
          <w:sz w:val="24"/>
          <w:szCs w:val="24"/>
          <w:lang w:val="es-419"/>
        </w:rPr>
        <w:t xml:space="preserve"> otras </w:t>
      </w:r>
      <w:r w:rsidR="00C44E39">
        <w:rPr>
          <w:rFonts w:ascii="Gadugi" w:hAnsi="Gadugi"/>
          <w:sz w:val="24"/>
          <w:szCs w:val="24"/>
          <w:lang w:val="es-419"/>
        </w:rPr>
        <w:t>más vetustas</w:t>
      </w:r>
      <w:r>
        <w:rPr>
          <w:rFonts w:ascii="Gadugi" w:hAnsi="Gadugi"/>
          <w:sz w:val="24"/>
          <w:szCs w:val="24"/>
          <w:lang w:val="es-419"/>
        </w:rPr>
        <w:t xml:space="preserve"> </w:t>
      </w:r>
      <w:r w:rsidR="00C44E39">
        <w:rPr>
          <w:rFonts w:ascii="Gadugi" w:hAnsi="Gadugi"/>
          <w:sz w:val="24"/>
          <w:szCs w:val="24"/>
          <w:lang w:val="es-419"/>
        </w:rPr>
        <w:t xml:space="preserve">que no vienen al caso, </w:t>
      </w:r>
      <w:r w:rsidR="00EC0E13">
        <w:rPr>
          <w:rFonts w:ascii="Gadugi" w:hAnsi="Gadugi"/>
          <w:sz w:val="24"/>
          <w:szCs w:val="24"/>
          <w:lang w:val="es-419"/>
        </w:rPr>
        <w:t>están</w:t>
      </w:r>
      <w:r w:rsidR="00C44E39">
        <w:rPr>
          <w:rFonts w:ascii="Gadugi" w:hAnsi="Gadugi"/>
          <w:sz w:val="24"/>
          <w:szCs w:val="24"/>
          <w:lang w:val="es-419"/>
        </w:rPr>
        <w:t xml:space="preserve"> el</w:t>
      </w:r>
      <w:r>
        <w:rPr>
          <w:rFonts w:ascii="Gadugi" w:hAnsi="Gadugi"/>
          <w:sz w:val="24"/>
          <w:szCs w:val="24"/>
          <w:lang w:val="es-419"/>
        </w:rPr>
        <w:t xml:space="preserve"> </w:t>
      </w:r>
      <w:r w:rsidR="00C44E39">
        <w:rPr>
          <w:rFonts w:ascii="Gadugi" w:hAnsi="Gadugi"/>
          <w:sz w:val="24"/>
          <w:szCs w:val="24"/>
          <w:lang w:val="es-419"/>
        </w:rPr>
        <w:t>d</w:t>
      </w:r>
      <w:r w:rsidRPr="00F91E69">
        <w:rPr>
          <w:rFonts w:ascii="Gadugi" w:hAnsi="Gadugi"/>
          <w:sz w:val="24"/>
          <w:szCs w:val="24"/>
          <w:lang w:val="es-419"/>
        </w:rPr>
        <w:t>ecreto 758</w:t>
      </w:r>
      <w:r w:rsidR="00C44E39">
        <w:rPr>
          <w:rFonts w:ascii="Gadugi" w:hAnsi="Gadugi"/>
          <w:sz w:val="24"/>
          <w:szCs w:val="24"/>
          <w:lang w:val="es-419"/>
        </w:rPr>
        <w:t xml:space="preserve"> de 1990, la ley 100 de 1993 y la ley 860 de 2003</w:t>
      </w:r>
      <w:r w:rsidR="00EA1CE5">
        <w:rPr>
          <w:rFonts w:ascii="Gadugi" w:hAnsi="Gadugi"/>
          <w:sz w:val="24"/>
          <w:szCs w:val="24"/>
          <w:lang w:val="es-419"/>
        </w:rPr>
        <w:t>. L</w:t>
      </w:r>
      <w:r w:rsidR="00C44E39">
        <w:rPr>
          <w:rFonts w:ascii="Gadugi" w:hAnsi="Gadugi"/>
          <w:sz w:val="24"/>
          <w:szCs w:val="24"/>
          <w:lang w:val="es-419"/>
        </w:rPr>
        <w:t xml:space="preserve">a primera que exigía </w:t>
      </w:r>
      <w:r w:rsidR="00C44E39" w:rsidRPr="00C44E39">
        <w:rPr>
          <w:rFonts w:ascii="Gadugi" w:hAnsi="Gadugi"/>
          <w:sz w:val="24"/>
          <w:szCs w:val="24"/>
          <w:lang w:val="es-419"/>
        </w:rPr>
        <w:t xml:space="preserve">condición de invalidez y 150 semanas en los 6 años anteriores </w:t>
      </w:r>
      <w:r w:rsidR="00B411EB">
        <w:rPr>
          <w:rFonts w:ascii="Gadugi" w:hAnsi="Gadugi"/>
          <w:sz w:val="24"/>
          <w:szCs w:val="24"/>
          <w:lang w:val="es-419"/>
        </w:rPr>
        <w:t>a</w:t>
      </w:r>
      <w:r w:rsidR="001C5BC8">
        <w:rPr>
          <w:rFonts w:ascii="Gadugi" w:hAnsi="Gadugi"/>
          <w:sz w:val="24"/>
          <w:szCs w:val="24"/>
          <w:lang w:val="es-419"/>
        </w:rPr>
        <w:t xml:space="preserve"> </w:t>
      </w:r>
      <w:r w:rsidR="001C5BC8">
        <w:rPr>
          <w:rFonts w:ascii="Gadugi" w:hAnsi="Gadugi"/>
          <w:sz w:val="24"/>
          <w:szCs w:val="24"/>
          <w:lang w:val="es-419"/>
        </w:rPr>
        <w:lastRenderedPageBreak/>
        <w:t>la pérdida de capacidad laboral</w:t>
      </w:r>
      <w:r w:rsidR="00C44E39" w:rsidRPr="00C44E39">
        <w:rPr>
          <w:rFonts w:ascii="Gadugi" w:hAnsi="Gadugi"/>
          <w:sz w:val="24"/>
          <w:szCs w:val="24"/>
          <w:lang w:val="es-419"/>
        </w:rPr>
        <w:t xml:space="preserve"> o 300 semanas en cualquier tiempo</w:t>
      </w:r>
      <w:r w:rsidR="00EA1CE5">
        <w:rPr>
          <w:rFonts w:ascii="Gadugi" w:hAnsi="Gadugi"/>
          <w:sz w:val="24"/>
          <w:szCs w:val="24"/>
          <w:lang w:val="es-419"/>
        </w:rPr>
        <w:t>;</w:t>
      </w:r>
      <w:r w:rsidR="00C44E39">
        <w:rPr>
          <w:rFonts w:ascii="Gadugi" w:hAnsi="Gadugi"/>
          <w:sz w:val="24"/>
          <w:szCs w:val="24"/>
          <w:lang w:val="es-419"/>
        </w:rPr>
        <w:t xml:space="preserve"> la segunda</w:t>
      </w:r>
      <w:r w:rsidR="00EA1CE5">
        <w:rPr>
          <w:rFonts w:ascii="Gadugi" w:hAnsi="Gadugi"/>
          <w:sz w:val="24"/>
          <w:szCs w:val="24"/>
          <w:lang w:val="es-419"/>
        </w:rPr>
        <w:t xml:space="preserve">, demandaba el estado de </w:t>
      </w:r>
      <w:r w:rsidR="00C44E39" w:rsidRPr="00C44E39">
        <w:rPr>
          <w:rFonts w:ascii="Gadugi" w:hAnsi="Gadugi"/>
          <w:sz w:val="24"/>
          <w:szCs w:val="24"/>
          <w:lang w:val="es-419"/>
        </w:rPr>
        <w:t>invalidez y 26 semanas de cotización para quien se encontrara cotizando, o 26 semanas en el año inmediatamente anterior a la fecha de estructuración</w:t>
      </w:r>
      <w:r w:rsidR="00EA1CE5">
        <w:rPr>
          <w:rFonts w:ascii="Gadugi" w:hAnsi="Gadugi"/>
          <w:sz w:val="24"/>
          <w:szCs w:val="24"/>
          <w:lang w:val="es-419"/>
        </w:rPr>
        <w:t>,</w:t>
      </w:r>
      <w:r w:rsidR="00C44E39" w:rsidRPr="00C44E39">
        <w:rPr>
          <w:rFonts w:ascii="Gadugi" w:hAnsi="Gadugi"/>
          <w:sz w:val="24"/>
          <w:szCs w:val="24"/>
          <w:lang w:val="es-419"/>
        </w:rPr>
        <w:t xml:space="preserve"> para quien hubiese dejado de hacerlo</w:t>
      </w:r>
      <w:r w:rsidR="001516CA">
        <w:rPr>
          <w:rFonts w:ascii="Gadugi" w:hAnsi="Gadugi"/>
          <w:sz w:val="24"/>
          <w:szCs w:val="24"/>
          <w:lang w:val="es-419"/>
        </w:rPr>
        <w:t>;</w:t>
      </w:r>
      <w:r w:rsidR="00C44E39">
        <w:rPr>
          <w:rFonts w:ascii="Gadugi" w:hAnsi="Gadugi"/>
          <w:sz w:val="24"/>
          <w:szCs w:val="24"/>
          <w:lang w:val="es-419"/>
        </w:rPr>
        <w:t xml:space="preserve"> y la última</w:t>
      </w:r>
      <w:r w:rsidR="001516CA">
        <w:rPr>
          <w:rFonts w:ascii="Gadugi" w:hAnsi="Gadugi"/>
          <w:sz w:val="24"/>
          <w:szCs w:val="24"/>
          <w:lang w:val="es-419"/>
        </w:rPr>
        <w:t>,</w:t>
      </w:r>
      <w:r w:rsidR="00C44E39">
        <w:rPr>
          <w:rFonts w:ascii="Gadugi" w:hAnsi="Gadugi"/>
          <w:sz w:val="24"/>
          <w:szCs w:val="24"/>
          <w:lang w:val="es-419"/>
        </w:rPr>
        <w:t xml:space="preserve"> vigente hoy</w:t>
      </w:r>
      <w:r w:rsidR="00C44E39" w:rsidRPr="00C44E39">
        <w:rPr>
          <w:rFonts w:ascii="Gadugi" w:hAnsi="Gadugi"/>
          <w:sz w:val="24"/>
          <w:szCs w:val="24"/>
          <w:lang w:val="es-419"/>
        </w:rPr>
        <w:t>, que exige constitución de la invalidez y 50 semanas en los 3 años anteriores a la misma</w:t>
      </w:r>
      <w:r w:rsidR="00EC0E13">
        <w:rPr>
          <w:rStyle w:val="Refdenotaalpie"/>
          <w:rFonts w:ascii="Gadugi" w:hAnsi="Gadugi"/>
          <w:sz w:val="24"/>
          <w:szCs w:val="24"/>
          <w:lang w:val="es-419"/>
        </w:rPr>
        <w:footnoteReference w:id="1"/>
      </w:r>
      <w:r w:rsidR="00C44E39">
        <w:rPr>
          <w:rFonts w:ascii="Gadugi" w:hAnsi="Gadugi"/>
          <w:sz w:val="24"/>
          <w:szCs w:val="24"/>
          <w:lang w:val="es-419"/>
        </w:rPr>
        <w:t>.</w:t>
      </w:r>
    </w:p>
    <w:p w:rsidR="00F91E69" w:rsidRDefault="00F91E69" w:rsidP="00B5257F">
      <w:pPr>
        <w:spacing w:line="26" w:lineRule="atLeast"/>
        <w:ind w:right="19" w:firstLine="2835"/>
        <w:jc w:val="both"/>
        <w:rPr>
          <w:rFonts w:ascii="Gadugi" w:hAnsi="Gadugi"/>
          <w:sz w:val="24"/>
          <w:szCs w:val="24"/>
          <w:lang w:val="es-419"/>
        </w:rPr>
      </w:pPr>
    </w:p>
    <w:p w:rsidR="00DB41DD" w:rsidRDefault="00F034B9" w:rsidP="00B5257F">
      <w:pPr>
        <w:spacing w:line="26" w:lineRule="atLeast"/>
        <w:ind w:right="19" w:firstLine="2835"/>
        <w:jc w:val="both"/>
        <w:rPr>
          <w:rFonts w:ascii="Gadugi" w:hAnsi="Gadugi"/>
          <w:sz w:val="24"/>
          <w:szCs w:val="24"/>
          <w:lang w:val="es-419"/>
        </w:rPr>
      </w:pPr>
      <w:r>
        <w:rPr>
          <w:rFonts w:ascii="Gadugi" w:hAnsi="Gadugi"/>
          <w:sz w:val="24"/>
          <w:szCs w:val="24"/>
          <w:lang w:val="es-419"/>
        </w:rPr>
        <w:t>A</w:t>
      </w:r>
      <w:r w:rsidR="00A549FC">
        <w:rPr>
          <w:rFonts w:ascii="Gadugi" w:hAnsi="Gadugi"/>
          <w:sz w:val="24"/>
          <w:szCs w:val="24"/>
          <w:lang w:val="es-419"/>
        </w:rPr>
        <w:t>dicionalmente</w:t>
      </w:r>
      <w:r w:rsidR="00D333A1">
        <w:rPr>
          <w:rFonts w:ascii="Gadugi" w:hAnsi="Gadugi"/>
          <w:sz w:val="24"/>
          <w:szCs w:val="24"/>
          <w:lang w:val="es-419"/>
        </w:rPr>
        <w:t xml:space="preserve"> </w:t>
      </w:r>
      <w:r w:rsidR="00EC0E13">
        <w:rPr>
          <w:rFonts w:ascii="Gadugi" w:hAnsi="Gadugi"/>
          <w:sz w:val="24"/>
          <w:szCs w:val="24"/>
          <w:lang w:val="es-419"/>
        </w:rPr>
        <w:t xml:space="preserve">se ha decantado que, </w:t>
      </w:r>
      <w:r w:rsidR="00D333A1">
        <w:rPr>
          <w:rFonts w:ascii="Gadugi" w:hAnsi="Gadugi"/>
          <w:sz w:val="24"/>
          <w:szCs w:val="24"/>
          <w:lang w:val="es-419"/>
        </w:rPr>
        <w:t xml:space="preserve">cuando se trata del análisis de una pensión de invalidez, se debe </w:t>
      </w:r>
      <w:r w:rsidR="005D503B">
        <w:rPr>
          <w:rFonts w:ascii="Gadugi" w:hAnsi="Gadugi"/>
          <w:sz w:val="24"/>
          <w:szCs w:val="24"/>
          <w:lang w:val="es-419"/>
        </w:rPr>
        <w:t>estudiar la posibilidad de aplicar</w:t>
      </w:r>
      <w:r w:rsidR="00D333A1">
        <w:rPr>
          <w:rFonts w:ascii="Gadugi" w:hAnsi="Gadugi"/>
          <w:sz w:val="24"/>
          <w:szCs w:val="24"/>
          <w:lang w:val="es-419"/>
        </w:rPr>
        <w:t xml:space="preserve"> una </w:t>
      </w:r>
      <w:r w:rsidR="005D503B">
        <w:rPr>
          <w:rFonts w:ascii="Gadugi" w:hAnsi="Gadugi"/>
          <w:sz w:val="24"/>
          <w:szCs w:val="24"/>
          <w:lang w:val="es-419"/>
        </w:rPr>
        <w:t>legislación</w:t>
      </w:r>
      <w:r w:rsidR="00D333A1">
        <w:rPr>
          <w:rFonts w:ascii="Gadugi" w:hAnsi="Gadugi"/>
          <w:sz w:val="24"/>
          <w:szCs w:val="24"/>
          <w:lang w:val="es-419"/>
        </w:rPr>
        <w:t xml:space="preserve"> que, aunque derogada, estuvo vigente para el momento en el cual el cotizante reunió los requisitos </w:t>
      </w:r>
      <w:r w:rsidR="00F327AA">
        <w:rPr>
          <w:rFonts w:ascii="Gadugi" w:hAnsi="Gadugi"/>
          <w:sz w:val="24"/>
          <w:szCs w:val="24"/>
          <w:lang w:val="es-419"/>
        </w:rPr>
        <w:t>establecidos en</w:t>
      </w:r>
      <w:r w:rsidR="00D333A1">
        <w:rPr>
          <w:rFonts w:ascii="Gadugi" w:hAnsi="Gadugi"/>
          <w:sz w:val="24"/>
          <w:szCs w:val="24"/>
          <w:lang w:val="es-419"/>
        </w:rPr>
        <w:t xml:space="preserve"> aquella para acceder a </w:t>
      </w:r>
      <w:r w:rsidR="00F327AA">
        <w:rPr>
          <w:rFonts w:ascii="Gadugi" w:hAnsi="Gadugi"/>
          <w:sz w:val="24"/>
          <w:szCs w:val="24"/>
          <w:lang w:val="es-419"/>
        </w:rPr>
        <w:t>la prestación pensional</w:t>
      </w:r>
      <w:r w:rsidR="00D333A1">
        <w:rPr>
          <w:rFonts w:ascii="Gadugi" w:hAnsi="Gadugi"/>
          <w:sz w:val="24"/>
          <w:szCs w:val="24"/>
          <w:lang w:val="es-419"/>
        </w:rPr>
        <w:t>, ello para salvaguardar la expectativa legítima que se forjó durante su historia laboral</w:t>
      </w:r>
      <w:r w:rsidR="005D503B">
        <w:rPr>
          <w:rFonts w:ascii="Gadugi" w:hAnsi="Gadugi"/>
          <w:sz w:val="24"/>
          <w:szCs w:val="24"/>
          <w:lang w:val="es-419"/>
        </w:rPr>
        <w:t>; para el análisis respectivo, recuérdese lo explicado</w:t>
      </w:r>
      <w:r w:rsidR="001C5BC8">
        <w:rPr>
          <w:rFonts w:ascii="Gadugi" w:hAnsi="Gadugi"/>
          <w:sz w:val="24"/>
          <w:szCs w:val="24"/>
          <w:lang w:val="es-419"/>
        </w:rPr>
        <w:t xml:space="preserve"> por la Corte Constitucional</w:t>
      </w:r>
      <w:r w:rsidR="005D503B">
        <w:rPr>
          <w:rFonts w:ascii="Gadugi" w:hAnsi="Gadugi"/>
          <w:sz w:val="24"/>
          <w:szCs w:val="24"/>
          <w:lang w:val="es-419"/>
        </w:rPr>
        <w:t xml:space="preserve"> en la sentencia de </w:t>
      </w:r>
      <w:r w:rsidR="001516CA">
        <w:rPr>
          <w:rFonts w:ascii="Gadugi" w:hAnsi="Gadugi"/>
          <w:sz w:val="24"/>
          <w:szCs w:val="24"/>
          <w:lang w:val="es-419"/>
        </w:rPr>
        <w:t>unificación SU-422 de 2016:</w:t>
      </w:r>
    </w:p>
    <w:p w:rsidR="00D333A1" w:rsidRDefault="00D333A1" w:rsidP="00B5257F">
      <w:pPr>
        <w:spacing w:line="26" w:lineRule="atLeast"/>
        <w:ind w:right="19" w:firstLine="2835"/>
        <w:jc w:val="both"/>
        <w:rPr>
          <w:rFonts w:ascii="Gadugi" w:hAnsi="Gadugi"/>
          <w:sz w:val="24"/>
          <w:szCs w:val="24"/>
          <w:lang w:val="es-419"/>
        </w:rPr>
      </w:pPr>
    </w:p>
    <w:p w:rsidR="00D333A1" w:rsidRPr="001516CA" w:rsidRDefault="00474058" w:rsidP="001516CA">
      <w:pPr>
        <w:spacing w:line="26" w:lineRule="atLeast"/>
        <w:ind w:left="567" w:right="900" w:firstLine="2268"/>
        <w:jc w:val="both"/>
        <w:rPr>
          <w:rFonts w:ascii="Arial Narrow" w:hAnsi="Arial Narrow"/>
          <w:sz w:val="24"/>
          <w:szCs w:val="24"/>
          <w:lang w:val="es-419"/>
        </w:rPr>
      </w:pPr>
      <w:r w:rsidRPr="001516CA">
        <w:rPr>
          <w:rFonts w:ascii="Arial Narrow" w:hAnsi="Arial Narrow"/>
          <w:i/>
          <w:sz w:val="24"/>
          <w:szCs w:val="24"/>
          <w:lang w:val="es-419"/>
        </w:rPr>
        <w:t>“</w:t>
      </w:r>
      <w:r w:rsidR="00D333A1" w:rsidRPr="001516CA">
        <w:rPr>
          <w:rFonts w:ascii="Arial Narrow" w:hAnsi="Arial Narrow"/>
          <w:i/>
          <w:sz w:val="24"/>
          <w:szCs w:val="24"/>
          <w:lang w:val="es-419"/>
        </w:rPr>
        <w:t>La condición más beneficiosa</w:t>
      </w:r>
      <w:r w:rsidR="00D333A1" w:rsidRPr="001516CA">
        <w:rPr>
          <w:rFonts w:ascii="Arial Narrow" w:hAnsi="Arial Narrow"/>
          <w:sz w:val="24"/>
          <w:szCs w:val="24"/>
          <w:lang w:val="es-419"/>
        </w:rPr>
        <w:t xml:space="preserve">. </w:t>
      </w:r>
      <w:r w:rsidR="00D333A1" w:rsidRPr="001516CA">
        <w:rPr>
          <w:rFonts w:ascii="Arial Narrow" w:hAnsi="Arial Narrow"/>
          <w:b/>
          <w:sz w:val="24"/>
          <w:szCs w:val="24"/>
          <w:lang w:val="es-419"/>
        </w:rPr>
        <w:t xml:space="preserve">Una vez una persona contrae una expectativa legítima en vigencia de un esquema normativo alcanza entonces un derecho a que le sea protegida. </w:t>
      </w:r>
      <w:r w:rsidR="00D333A1" w:rsidRPr="001516CA">
        <w:rPr>
          <w:rFonts w:ascii="Arial Narrow" w:hAnsi="Arial Narrow"/>
          <w:sz w:val="24"/>
          <w:szCs w:val="24"/>
          <w:lang w:val="es-419"/>
        </w:rPr>
        <w:t xml:space="preserve">Este derecho es además de raigambre constitucional, y por serlo ampara a la persona frente a una pérdida de su fuerza de trabajo o capacidad laboral. En tal virtud, le es aplicable la protección específica de la Constitución, según la cual “[l]a ley, los contratos, los acuerdos y convenios de trabajo, no pueden menoscabar la libertad, la dignidad humana ni los derechos de los trabajadores” (CP art 53).[91] </w:t>
      </w:r>
      <w:r w:rsidR="00D333A1" w:rsidRPr="001516CA">
        <w:rPr>
          <w:rFonts w:ascii="Arial Narrow" w:hAnsi="Arial Narrow"/>
          <w:b/>
          <w:sz w:val="24"/>
          <w:szCs w:val="24"/>
          <w:lang w:val="es-419"/>
        </w:rPr>
        <w:t>Es decir, que si bien la ley puede entonces modificar los requisitos de acceso a la pensión de invalidez, le está vedado anular el derecho constitucional de toda persona a que se protejan sus expectativas legítimamente forjadas</w:t>
      </w:r>
      <w:r w:rsidR="00D333A1" w:rsidRPr="001516CA">
        <w:rPr>
          <w:rFonts w:ascii="Arial Narrow" w:hAnsi="Arial Narrow"/>
          <w:sz w:val="24"/>
          <w:szCs w:val="24"/>
          <w:lang w:val="es-419"/>
        </w:rPr>
        <w:t>. En consecuencia, la ley en primer lugar ha de contemplar regímenes de transición, para quienes si bien no tienen derechos adquiridos, cuentan más que con meras expectativas de derechos, pues han cumplido buena parte de los requisitos para acceder a la prestación pensional. El legislador tiene un amplio margen competencial para definir los términos del régimen de transición, pero si no establece ninguno es entonces preciso garantizar la supremacía constitucional a fin de impedir una frustración injustificada de la confianza legítima. Por ende, ante la ausencia de un régimen de transición, se justifica mantener las condiciones más beneficiosas del esquema normativo derogado, bajo el amparo del cual la persona creó legítimamente una expectativa de pensión.</w:t>
      </w:r>
      <w:r w:rsidRPr="001516CA">
        <w:rPr>
          <w:rFonts w:ascii="Arial Narrow" w:hAnsi="Arial Narrow"/>
          <w:sz w:val="24"/>
          <w:szCs w:val="24"/>
          <w:lang w:val="es-419"/>
        </w:rPr>
        <w:t>”</w:t>
      </w:r>
    </w:p>
    <w:p w:rsidR="005E3B68" w:rsidRPr="001516CA" w:rsidRDefault="005E3B68" w:rsidP="005E3B68">
      <w:pPr>
        <w:spacing w:line="26" w:lineRule="atLeast"/>
        <w:ind w:right="900"/>
        <w:jc w:val="both"/>
        <w:rPr>
          <w:sz w:val="24"/>
          <w:szCs w:val="24"/>
        </w:rPr>
      </w:pPr>
    </w:p>
    <w:p w:rsidR="005E3B68" w:rsidRPr="001516CA" w:rsidRDefault="005E3B68" w:rsidP="00D333A1">
      <w:pPr>
        <w:spacing w:line="26" w:lineRule="atLeast"/>
        <w:ind w:right="900"/>
        <w:jc w:val="both"/>
        <w:rPr>
          <w:sz w:val="24"/>
          <w:szCs w:val="24"/>
        </w:rPr>
      </w:pPr>
      <w:r w:rsidRPr="001516CA">
        <w:rPr>
          <w:sz w:val="24"/>
          <w:szCs w:val="24"/>
        </w:rPr>
        <w:tab/>
      </w:r>
      <w:r w:rsidRPr="001516CA">
        <w:rPr>
          <w:sz w:val="24"/>
          <w:szCs w:val="24"/>
        </w:rPr>
        <w:tab/>
      </w:r>
      <w:r w:rsidRPr="001516CA">
        <w:rPr>
          <w:sz w:val="24"/>
          <w:szCs w:val="24"/>
        </w:rPr>
        <w:tab/>
      </w:r>
      <w:r w:rsidRPr="001516CA">
        <w:rPr>
          <w:sz w:val="24"/>
          <w:szCs w:val="24"/>
        </w:rPr>
        <w:tab/>
      </w:r>
      <w:r w:rsidR="00474058" w:rsidRPr="001516CA">
        <w:rPr>
          <w:sz w:val="24"/>
          <w:szCs w:val="24"/>
        </w:rPr>
        <w:t>(…)</w:t>
      </w:r>
    </w:p>
    <w:p w:rsidR="00474058" w:rsidRPr="001516CA" w:rsidRDefault="00474058" w:rsidP="00D333A1">
      <w:pPr>
        <w:spacing w:line="26" w:lineRule="atLeast"/>
        <w:ind w:right="900"/>
        <w:jc w:val="both"/>
        <w:rPr>
          <w:sz w:val="24"/>
          <w:szCs w:val="24"/>
        </w:rPr>
      </w:pPr>
    </w:p>
    <w:p w:rsidR="003D181A" w:rsidRPr="001516CA" w:rsidRDefault="001516CA" w:rsidP="001516CA">
      <w:pPr>
        <w:spacing w:line="26" w:lineRule="atLeast"/>
        <w:ind w:left="567" w:right="900"/>
        <w:jc w:val="both"/>
        <w:rPr>
          <w:rFonts w:ascii="Arial Narrow" w:hAnsi="Arial Narrow"/>
          <w:sz w:val="24"/>
          <w:szCs w:val="24"/>
          <w:lang w:val="es-419"/>
        </w:rPr>
      </w:pPr>
      <w:r>
        <w:rPr>
          <w:rFonts w:ascii="Arial Narrow" w:hAnsi="Arial Narrow"/>
          <w:sz w:val="24"/>
          <w:szCs w:val="24"/>
          <w:lang w:val="es-419"/>
        </w:rPr>
        <w:t xml:space="preserve"> </w:t>
      </w:r>
      <w:r>
        <w:rPr>
          <w:rFonts w:ascii="Arial Narrow" w:hAnsi="Arial Narrow"/>
          <w:sz w:val="24"/>
          <w:szCs w:val="24"/>
          <w:lang w:val="es-419"/>
        </w:rPr>
        <w:tab/>
      </w:r>
      <w:r>
        <w:rPr>
          <w:rFonts w:ascii="Arial Narrow" w:hAnsi="Arial Narrow"/>
          <w:sz w:val="24"/>
          <w:szCs w:val="24"/>
          <w:lang w:val="es-419"/>
        </w:rPr>
        <w:tab/>
      </w:r>
      <w:r>
        <w:rPr>
          <w:rFonts w:ascii="Arial Narrow" w:hAnsi="Arial Narrow"/>
          <w:sz w:val="24"/>
          <w:szCs w:val="24"/>
          <w:lang w:val="es-419"/>
        </w:rPr>
        <w:tab/>
      </w:r>
      <w:r>
        <w:rPr>
          <w:rFonts w:ascii="Arial Narrow" w:hAnsi="Arial Narrow"/>
          <w:sz w:val="24"/>
          <w:szCs w:val="24"/>
          <w:lang w:val="es-419"/>
        </w:rPr>
        <w:tab/>
      </w:r>
      <w:r w:rsidR="00474058" w:rsidRPr="001516CA">
        <w:rPr>
          <w:rFonts w:ascii="Arial Narrow" w:hAnsi="Arial Narrow"/>
          <w:sz w:val="24"/>
          <w:szCs w:val="24"/>
          <w:lang w:val="es-419"/>
        </w:rPr>
        <w:t>“</w:t>
      </w:r>
      <w:r w:rsidR="00DB41DD" w:rsidRPr="001516CA">
        <w:rPr>
          <w:rFonts w:ascii="Arial Narrow" w:hAnsi="Arial Narrow"/>
          <w:sz w:val="24"/>
          <w:szCs w:val="24"/>
          <w:lang w:val="es-419"/>
        </w:rPr>
        <w:t xml:space="preserve">En conclusión, un fondo administrador de pensiones vulnera el derecho fundamental de una persona a la aplicación de la condición más beneficiosa en materia de seguridad social, cuando le niega el reconocimiento de la pensión de invalidez que reclama por no cumplir con los requisitos previstos en la norma vigente al momento de la estructuración del riesgo (Ley 860 de 2003), ni los contemplados en la normatividad inmediatamente anterior (Ley 100 de 1993 </w:t>
      </w:r>
      <w:r>
        <w:rPr>
          <w:rFonts w:ascii="Arial Narrow" w:hAnsi="Arial Narrow"/>
          <w:sz w:val="24"/>
          <w:szCs w:val="24"/>
          <w:lang w:val="es-419"/>
        </w:rPr>
        <w:t>-</w:t>
      </w:r>
      <w:r w:rsidR="00DB41DD" w:rsidRPr="001516CA">
        <w:rPr>
          <w:rFonts w:ascii="Arial Narrow" w:hAnsi="Arial Narrow"/>
          <w:sz w:val="24"/>
          <w:szCs w:val="24"/>
          <w:lang w:val="es-419"/>
        </w:rPr>
        <w:t>versión inicial-),</w:t>
      </w:r>
      <w:r w:rsidR="00DB41DD" w:rsidRPr="001516CA">
        <w:rPr>
          <w:rFonts w:ascii="Arial Narrow" w:hAnsi="Arial Narrow"/>
          <w:b/>
          <w:sz w:val="24"/>
          <w:szCs w:val="24"/>
          <w:lang w:val="es-419"/>
        </w:rPr>
        <w:t xml:space="preserve"> pese a haber reunido ampliamente las condiciones consagradas para obtener tal pensión en vigencia de un esquema normativo más antiguo que el inmediatamente anterior</w:t>
      </w:r>
      <w:r w:rsidR="00DB41DD" w:rsidRPr="001516CA">
        <w:rPr>
          <w:rFonts w:ascii="Arial Narrow" w:hAnsi="Arial Narrow"/>
          <w:sz w:val="24"/>
          <w:szCs w:val="24"/>
          <w:lang w:val="es-419"/>
        </w:rPr>
        <w:t xml:space="preserve"> (Decreto 758 de 1990)</w:t>
      </w:r>
      <w:r w:rsidR="00474058" w:rsidRPr="001516CA">
        <w:rPr>
          <w:rFonts w:ascii="Arial Narrow" w:hAnsi="Arial Narrow"/>
          <w:sz w:val="24"/>
          <w:szCs w:val="24"/>
          <w:lang w:val="es-419"/>
        </w:rPr>
        <w:t>”</w:t>
      </w:r>
      <w:r w:rsidR="00DB41DD" w:rsidRPr="001516CA">
        <w:rPr>
          <w:rFonts w:ascii="Arial Narrow" w:hAnsi="Arial Narrow"/>
          <w:sz w:val="24"/>
          <w:szCs w:val="24"/>
          <w:lang w:val="es-419"/>
        </w:rPr>
        <w:t>.</w:t>
      </w:r>
      <w:r w:rsidR="005D503B" w:rsidRPr="001516CA">
        <w:rPr>
          <w:rFonts w:ascii="Gadugi" w:hAnsi="Gadugi"/>
          <w:sz w:val="24"/>
          <w:szCs w:val="24"/>
          <w:lang w:val="es-419"/>
        </w:rPr>
        <w:t xml:space="preserve"> </w:t>
      </w:r>
      <w:r w:rsidR="005D503B" w:rsidRPr="001516CA">
        <w:rPr>
          <w:rFonts w:ascii="Arial Narrow" w:hAnsi="Arial Narrow"/>
          <w:sz w:val="24"/>
          <w:szCs w:val="24"/>
          <w:lang w:val="es-419"/>
        </w:rPr>
        <w:t>(Resalta la Sala)</w:t>
      </w:r>
    </w:p>
    <w:p w:rsidR="003D181A" w:rsidRDefault="003D181A" w:rsidP="00B2275E">
      <w:pPr>
        <w:spacing w:line="26" w:lineRule="atLeast"/>
        <w:ind w:right="19"/>
        <w:jc w:val="both"/>
        <w:rPr>
          <w:rFonts w:ascii="Gadugi" w:hAnsi="Gadugi"/>
          <w:sz w:val="24"/>
          <w:szCs w:val="24"/>
          <w:lang w:val="es-419"/>
        </w:rPr>
      </w:pPr>
    </w:p>
    <w:p w:rsidR="00DA486E" w:rsidRDefault="0024674E" w:rsidP="0024674E">
      <w:pPr>
        <w:tabs>
          <w:tab w:val="left" w:pos="851"/>
        </w:tabs>
        <w:ind w:right="-40"/>
        <w:jc w:val="both"/>
        <w:rPr>
          <w:rFonts w:ascii="Gadugi" w:hAnsi="Gadugi" w:cs="Century Gothic"/>
          <w:sz w:val="24"/>
          <w:szCs w:val="24"/>
          <w:lang w:val="es-419"/>
        </w:rPr>
      </w:pPr>
      <w:r>
        <w:rPr>
          <w:rFonts w:ascii="Gadugi" w:hAnsi="Gadugi" w:cs="Century Gothic"/>
          <w:sz w:val="24"/>
          <w:szCs w:val="24"/>
          <w:lang w:val="es-419"/>
        </w:rPr>
        <w:lastRenderedPageBreak/>
        <w:tab/>
      </w:r>
      <w:r>
        <w:rPr>
          <w:rFonts w:ascii="Gadugi" w:hAnsi="Gadugi" w:cs="Century Gothic"/>
          <w:sz w:val="24"/>
          <w:szCs w:val="24"/>
          <w:lang w:val="es-419"/>
        </w:rPr>
        <w:tab/>
      </w:r>
      <w:r w:rsidR="00D04B5F">
        <w:rPr>
          <w:rFonts w:ascii="Gadugi" w:hAnsi="Gadugi" w:cs="Century Gothic"/>
          <w:sz w:val="24"/>
          <w:szCs w:val="24"/>
          <w:lang w:val="es-419"/>
        </w:rPr>
        <w:tab/>
      </w:r>
      <w:r w:rsidR="00D04B5F">
        <w:rPr>
          <w:rFonts w:ascii="Gadugi" w:hAnsi="Gadugi" w:cs="Century Gothic"/>
          <w:sz w:val="24"/>
          <w:szCs w:val="24"/>
          <w:lang w:val="es-419"/>
        </w:rPr>
        <w:tab/>
      </w:r>
      <w:r w:rsidR="005C01B8">
        <w:rPr>
          <w:rFonts w:ascii="Gadugi" w:hAnsi="Gadugi" w:cs="Century Gothic"/>
          <w:sz w:val="24"/>
          <w:szCs w:val="24"/>
          <w:lang w:val="es-419"/>
        </w:rPr>
        <w:t>A la luz de lo citado y descendiendo al caso bajo estudio,</w:t>
      </w:r>
      <w:r w:rsidR="005023A3">
        <w:rPr>
          <w:rFonts w:ascii="Gadugi" w:hAnsi="Gadugi" w:cs="Century Gothic"/>
          <w:sz w:val="24"/>
          <w:szCs w:val="24"/>
          <w:lang w:val="es-419"/>
        </w:rPr>
        <w:t xml:space="preserve"> </w:t>
      </w:r>
      <w:r w:rsidR="001516CA">
        <w:rPr>
          <w:rFonts w:ascii="Gadugi" w:hAnsi="Gadugi" w:cs="Century Gothic"/>
          <w:sz w:val="24"/>
          <w:szCs w:val="24"/>
          <w:lang w:val="es-419"/>
        </w:rPr>
        <w:t xml:space="preserve">se advierte </w:t>
      </w:r>
      <w:r w:rsidR="00DA486E">
        <w:rPr>
          <w:rFonts w:ascii="Gadugi" w:hAnsi="Gadugi" w:cs="Century Gothic"/>
          <w:sz w:val="24"/>
          <w:szCs w:val="24"/>
          <w:lang w:val="es-419"/>
        </w:rPr>
        <w:t xml:space="preserve">que la situación no encaja en ninguna de las normativas reseñadas. Para establecerlo, se recuerda que la accionante empezó a cotizarle al sistema en septiembre de 2003 y lo hizo hasta </w:t>
      </w:r>
      <w:r w:rsidR="00EA1CE5">
        <w:rPr>
          <w:rFonts w:ascii="Gadugi" w:hAnsi="Gadugi" w:cs="Century Gothic"/>
          <w:sz w:val="24"/>
          <w:szCs w:val="24"/>
          <w:lang w:val="es-419"/>
        </w:rPr>
        <w:t xml:space="preserve">mes de diciembre de 2011 (f. 14-16, c. 1); fue calificada con </w:t>
      </w:r>
      <w:r w:rsidR="00DA486E">
        <w:rPr>
          <w:rFonts w:ascii="Gadugi" w:hAnsi="Gadugi" w:cs="Century Gothic"/>
          <w:sz w:val="24"/>
          <w:szCs w:val="24"/>
          <w:lang w:val="es-419"/>
        </w:rPr>
        <w:t>un 58.96% de pérdida de capacidad laboral, con fecha de estructuración del 9 de marzo de 2017 (f. 13</w:t>
      </w:r>
      <w:r w:rsidR="00EA1CE5">
        <w:rPr>
          <w:rFonts w:ascii="Gadugi" w:hAnsi="Gadugi" w:cs="Century Gothic"/>
          <w:sz w:val="24"/>
          <w:szCs w:val="24"/>
          <w:lang w:val="es-419"/>
        </w:rPr>
        <w:t xml:space="preserve"> v</w:t>
      </w:r>
      <w:r w:rsidR="00DA486E">
        <w:rPr>
          <w:rFonts w:ascii="Gadugi" w:hAnsi="Gadugi" w:cs="Century Gothic"/>
          <w:sz w:val="24"/>
          <w:szCs w:val="24"/>
          <w:lang w:val="es-419"/>
        </w:rPr>
        <w:t>, c. 1)</w:t>
      </w:r>
      <w:r w:rsidR="00EA1CE5">
        <w:rPr>
          <w:rFonts w:ascii="Gadugi" w:hAnsi="Gadugi" w:cs="Century Gothic"/>
          <w:sz w:val="24"/>
          <w:szCs w:val="24"/>
          <w:lang w:val="es-419"/>
        </w:rPr>
        <w:t xml:space="preserve">; </w:t>
      </w:r>
      <w:r w:rsidR="00DA486E">
        <w:rPr>
          <w:rFonts w:ascii="Gadugi" w:hAnsi="Gadugi" w:cs="Century Gothic"/>
          <w:sz w:val="24"/>
          <w:szCs w:val="24"/>
          <w:lang w:val="es-419"/>
        </w:rPr>
        <w:t>y durante su historia laboral acumuló 420 semanas (f. 14, c. 1)</w:t>
      </w:r>
      <w:r w:rsidR="00EA1CE5">
        <w:rPr>
          <w:rFonts w:ascii="Gadugi" w:hAnsi="Gadugi" w:cs="Century Gothic"/>
          <w:sz w:val="24"/>
          <w:szCs w:val="24"/>
          <w:lang w:val="es-419"/>
        </w:rPr>
        <w:t>.</w:t>
      </w:r>
    </w:p>
    <w:p w:rsidR="00DA486E" w:rsidRDefault="00DA486E" w:rsidP="0024674E">
      <w:pPr>
        <w:tabs>
          <w:tab w:val="left" w:pos="851"/>
        </w:tabs>
        <w:ind w:right="-40"/>
        <w:jc w:val="both"/>
        <w:rPr>
          <w:rFonts w:ascii="Gadugi" w:hAnsi="Gadugi" w:cs="Century Gothic"/>
          <w:sz w:val="24"/>
          <w:szCs w:val="24"/>
          <w:lang w:val="es-419"/>
        </w:rPr>
      </w:pPr>
    </w:p>
    <w:p w:rsidR="00F034B9" w:rsidRDefault="00F034B9" w:rsidP="0024674E">
      <w:pPr>
        <w:tabs>
          <w:tab w:val="left" w:pos="851"/>
        </w:tabs>
        <w:ind w:right="-40"/>
        <w:jc w:val="both"/>
        <w:rPr>
          <w:rFonts w:ascii="Gadugi" w:hAnsi="Gadugi" w:cs="Century Gothic"/>
          <w:sz w:val="24"/>
          <w:szCs w:val="24"/>
          <w:lang w:val="es-419"/>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t xml:space="preserve">Analizada la cuestión, bajo el amparo de las tres normas citadas se halla lo siguiente: </w:t>
      </w:r>
    </w:p>
    <w:p w:rsidR="00F034B9" w:rsidRDefault="00F034B9" w:rsidP="0024674E">
      <w:pPr>
        <w:tabs>
          <w:tab w:val="left" w:pos="851"/>
        </w:tabs>
        <w:ind w:right="-40"/>
        <w:jc w:val="both"/>
        <w:rPr>
          <w:rFonts w:ascii="Gadugi" w:hAnsi="Gadugi" w:cs="Century Gothic"/>
          <w:sz w:val="24"/>
          <w:szCs w:val="24"/>
          <w:lang w:val="es-419"/>
        </w:rPr>
      </w:pPr>
    </w:p>
    <w:p w:rsidR="00D333A1" w:rsidRDefault="00F034B9" w:rsidP="0024674E">
      <w:pPr>
        <w:tabs>
          <w:tab w:val="left" w:pos="851"/>
        </w:tabs>
        <w:ind w:right="-40"/>
        <w:jc w:val="both"/>
        <w:rPr>
          <w:rFonts w:ascii="Gadugi" w:hAnsi="Gadugi" w:cs="Century Gothic"/>
          <w:sz w:val="24"/>
          <w:szCs w:val="24"/>
          <w:lang w:val="es-419"/>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sidR="00DA486E">
        <w:rPr>
          <w:rFonts w:ascii="Gadugi" w:hAnsi="Gadugi" w:cs="Century Gothic"/>
          <w:sz w:val="24"/>
          <w:szCs w:val="24"/>
          <w:lang w:val="es-419"/>
        </w:rPr>
        <w:t>Teniendo en cuenta que</w:t>
      </w:r>
      <w:r w:rsidR="001516CA">
        <w:rPr>
          <w:rFonts w:ascii="Gadugi" w:hAnsi="Gadugi" w:cs="Century Gothic"/>
          <w:sz w:val="24"/>
          <w:szCs w:val="24"/>
          <w:lang w:val="es-419"/>
        </w:rPr>
        <w:t xml:space="preserve"> </w:t>
      </w:r>
      <w:r w:rsidR="00D04B5F">
        <w:rPr>
          <w:rFonts w:ascii="Gadugi" w:hAnsi="Gadugi" w:cs="Century Gothic"/>
          <w:sz w:val="24"/>
          <w:szCs w:val="24"/>
          <w:lang w:val="es-419"/>
        </w:rPr>
        <w:t xml:space="preserve">su estado de invalidez fue estructurado </w:t>
      </w:r>
      <w:r w:rsidR="00DA486E">
        <w:rPr>
          <w:rFonts w:ascii="Gadugi" w:hAnsi="Gadugi" w:cs="Century Gothic"/>
          <w:sz w:val="24"/>
          <w:szCs w:val="24"/>
          <w:lang w:val="es-419"/>
        </w:rPr>
        <w:t xml:space="preserve">para el </w:t>
      </w:r>
      <w:r w:rsidR="00D04B5F">
        <w:rPr>
          <w:rFonts w:ascii="Gadugi" w:hAnsi="Gadugi" w:cs="Century Gothic"/>
          <w:sz w:val="24"/>
          <w:szCs w:val="24"/>
          <w:lang w:val="es-419"/>
        </w:rPr>
        <w:t>9 de marzo de 2017</w:t>
      </w:r>
      <w:r w:rsidR="001516CA">
        <w:rPr>
          <w:rFonts w:ascii="Gadugi" w:hAnsi="Gadugi" w:cs="Century Gothic"/>
          <w:sz w:val="24"/>
          <w:szCs w:val="24"/>
          <w:lang w:val="es-419"/>
        </w:rPr>
        <w:t xml:space="preserve">, </w:t>
      </w:r>
      <w:r w:rsidR="00DA486E">
        <w:rPr>
          <w:rFonts w:ascii="Gadugi" w:hAnsi="Gadugi" w:cs="Century Gothic"/>
          <w:sz w:val="24"/>
          <w:szCs w:val="24"/>
          <w:lang w:val="es-419"/>
        </w:rPr>
        <w:t xml:space="preserve">según el dictamen presentado, se </w:t>
      </w:r>
      <w:r w:rsidR="001516CA">
        <w:rPr>
          <w:rFonts w:ascii="Gadugi" w:hAnsi="Gadugi" w:cs="Century Gothic"/>
          <w:sz w:val="24"/>
          <w:szCs w:val="24"/>
          <w:lang w:val="es-419"/>
        </w:rPr>
        <w:t xml:space="preserve">anticipa </w:t>
      </w:r>
      <w:r w:rsidR="00CF35B1">
        <w:rPr>
          <w:rFonts w:ascii="Gadugi" w:hAnsi="Gadugi" w:cs="Century Gothic"/>
          <w:sz w:val="24"/>
          <w:szCs w:val="24"/>
          <w:lang w:val="es-419"/>
        </w:rPr>
        <w:t xml:space="preserve">que fue </w:t>
      </w:r>
      <w:r w:rsidR="001516CA">
        <w:rPr>
          <w:rFonts w:ascii="Gadugi" w:hAnsi="Gadugi" w:cs="Century Gothic"/>
          <w:sz w:val="24"/>
          <w:szCs w:val="24"/>
          <w:lang w:val="es-419"/>
        </w:rPr>
        <w:t xml:space="preserve">equivocado </w:t>
      </w:r>
      <w:r w:rsidR="00CF35B1">
        <w:rPr>
          <w:rFonts w:ascii="Gadugi" w:hAnsi="Gadugi" w:cs="Century Gothic"/>
          <w:sz w:val="24"/>
          <w:szCs w:val="24"/>
          <w:lang w:val="es-419"/>
        </w:rPr>
        <w:t>aplicar</w:t>
      </w:r>
      <w:r w:rsidR="005C01B8">
        <w:rPr>
          <w:rFonts w:ascii="Gadugi" w:hAnsi="Gadugi" w:cs="Century Gothic"/>
          <w:sz w:val="24"/>
          <w:szCs w:val="24"/>
          <w:lang w:val="es-419"/>
        </w:rPr>
        <w:t xml:space="preserve"> </w:t>
      </w:r>
      <w:r w:rsidR="001C5BC8">
        <w:rPr>
          <w:rFonts w:ascii="Gadugi" w:hAnsi="Gadugi" w:cs="Century Gothic"/>
          <w:sz w:val="24"/>
          <w:szCs w:val="24"/>
          <w:lang w:val="es-419"/>
        </w:rPr>
        <w:t>a</w:t>
      </w:r>
      <w:r w:rsidR="005C01B8">
        <w:rPr>
          <w:rFonts w:ascii="Gadugi" w:hAnsi="Gadugi" w:cs="Century Gothic"/>
          <w:sz w:val="24"/>
          <w:szCs w:val="24"/>
          <w:lang w:val="es-419"/>
        </w:rPr>
        <w:t xml:space="preserve"> este </w:t>
      </w:r>
      <w:r w:rsidR="001516CA">
        <w:rPr>
          <w:rFonts w:ascii="Gadugi" w:hAnsi="Gadugi" w:cs="Century Gothic"/>
          <w:sz w:val="24"/>
          <w:szCs w:val="24"/>
          <w:lang w:val="es-419"/>
        </w:rPr>
        <w:t xml:space="preserve">asunto </w:t>
      </w:r>
      <w:r w:rsidR="00CF35B1">
        <w:rPr>
          <w:rFonts w:ascii="Gadugi" w:hAnsi="Gadugi" w:cs="Century Gothic"/>
          <w:sz w:val="24"/>
          <w:szCs w:val="24"/>
          <w:lang w:val="es-419"/>
        </w:rPr>
        <w:t xml:space="preserve">lo </w:t>
      </w:r>
      <w:r w:rsidR="001516CA">
        <w:rPr>
          <w:rFonts w:ascii="Gadugi" w:hAnsi="Gadugi" w:cs="Century Gothic"/>
          <w:sz w:val="24"/>
          <w:szCs w:val="24"/>
          <w:lang w:val="es-419"/>
        </w:rPr>
        <w:t xml:space="preserve">reglado por </w:t>
      </w:r>
      <w:r w:rsidR="00CF35B1">
        <w:rPr>
          <w:rFonts w:ascii="Gadugi" w:hAnsi="Gadugi" w:cs="Century Gothic"/>
          <w:sz w:val="24"/>
          <w:szCs w:val="24"/>
          <w:lang w:val="es-419"/>
        </w:rPr>
        <w:t xml:space="preserve">el </w:t>
      </w:r>
      <w:r w:rsidR="001516CA">
        <w:rPr>
          <w:rFonts w:ascii="Gadugi" w:hAnsi="Gadugi" w:cs="Century Gothic"/>
          <w:sz w:val="24"/>
          <w:szCs w:val="24"/>
          <w:lang w:val="es-419"/>
        </w:rPr>
        <w:t>D</w:t>
      </w:r>
      <w:r w:rsidR="00CF35B1">
        <w:rPr>
          <w:rFonts w:ascii="Gadugi" w:hAnsi="Gadugi" w:cs="Century Gothic"/>
          <w:sz w:val="24"/>
          <w:szCs w:val="24"/>
          <w:lang w:val="es-419"/>
        </w:rPr>
        <w:t>ecreto 758 de 1990</w:t>
      </w:r>
      <w:r w:rsidR="001C5BC8">
        <w:rPr>
          <w:rFonts w:ascii="Gadugi" w:hAnsi="Gadugi" w:cs="Century Gothic"/>
          <w:sz w:val="24"/>
          <w:szCs w:val="24"/>
          <w:lang w:val="es-419"/>
        </w:rPr>
        <w:t>,</w:t>
      </w:r>
      <w:r w:rsidR="00CF35B1">
        <w:rPr>
          <w:rFonts w:ascii="Gadugi" w:hAnsi="Gadugi" w:cs="Century Gothic"/>
          <w:sz w:val="24"/>
          <w:szCs w:val="24"/>
          <w:lang w:val="es-419"/>
        </w:rPr>
        <w:t xml:space="preserve"> habida cuenta de que la accionant</w:t>
      </w:r>
      <w:r w:rsidR="00474058">
        <w:rPr>
          <w:rFonts w:ascii="Gadugi" w:hAnsi="Gadugi" w:cs="Century Gothic"/>
          <w:sz w:val="24"/>
          <w:szCs w:val="24"/>
          <w:lang w:val="es-419"/>
        </w:rPr>
        <w:t xml:space="preserve">e nunca cotizó </w:t>
      </w:r>
      <w:r w:rsidR="00DA486E">
        <w:rPr>
          <w:rFonts w:ascii="Gadugi" w:hAnsi="Gadugi" w:cs="Century Gothic"/>
          <w:sz w:val="24"/>
          <w:szCs w:val="24"/>
          <w:lang w:val="es-419"/>
        </w:rPr>
        <w:t xml:space="preserve">durante </w:t>
      </w:r>
      <w:r w:rsidR="00474058">
        <w:rPr>
          <w:rFonts w:ascii="Gadugi" w:hAnsi="Gadugi" w:cs="Century Gothic"/>
          <w:sz w:val="24"/>
          <w:szCs w:val="24"/>
          <w:lang w:val="es-419"/>
        </w:rPr>
        <w:t>su vigencia y menos</w:t>
      </w:r>
      <w:r w:rsidR="00F01A3E">
        <w:rPr>
          <w:rFonts w:ascii="Gadugi" w:hAnsi="Gadugi" w:cs="Century Gothic"/>
          <w:sz w:val="24"/>
          <w:szCs w:val="24"/>
          <w:lang w:val="es-419"/>
        </w:rPr>
        <w:t xml:space="preserve"> </w:t>
      </w:r>
      <w:r w:rsidR="00474058">
        <w:rPr>
          <w:rFonts w:ascii="Gadugi" w:hAnsi="Gadugi" w:cs="Century Gothic"/>
          <w:sz w:val="24"/>
          <w:szCs w:val="24"/>
          <w:lang w:val="es-419"/>
        </w:rPr>
        <w:t>adquirió su c</w:t>
      </w:r>
      <w:r w:rsidR="00474058" w:rsidRPr="001516CA">
        <w:rPr>
          <w:rFonts w:ascii="Gadugi" w:hAnsi="Gadugi" w:cs="Century Gothic"/>
          <w:sz w:val="24"/>
          <w:szCs w:val="24"/>
          <w:lang w:val="es-419"/>
        </w:rPr>
        <w:t>o</w:t>
      </w:r>
      <w:r w:rsidR="00474058">
        <w:rPr>
          <w:rFonts w:ascii="Gadugi" w:hAnsi="Gadugi" w:cs="Century Gothic"/>
          <w:sz w:val="24"/>
          <w:szCs w:val="24"/>
          <w:lang w:val="es-419"/>
        </w:rPr>
        <w:t>ndición de inváli</w:t>
      </w:r>
      <w:r w:rsidR="005C01B8">
        <w:rPr>
          <w:rFonts w:ascii="Gadugi" w:hAnsi="Gadugi" w:cs="Century Gothic"/>
          <w:sz w:val="24"/>
          <w:szCs w:val="24"/>
          <w:lang w:val="es-419"/>
        </w:rPr>
        <w:t>da</w:t>
      </w:r>
      <w:r w:rsidR="001C5BC8" w:rsidRPr="001C5BC8">
        <w:rPr>
          <w:rFonts w:ascii="Gadugi" w:hAnsi="Gadugi" w:cs="Century Gothic"/>
          <w:sz w:val="24"/>
          <w:szCs w:val="24"/>
          <w:lang w:val="es-419"/>
        </w:rPr>
        <w:t xml:space="preserve"> </w:t>
      </w:r>
      <w:r w:rsidR="00DA486E">
        <w:rPr>
          <w:rFonts w:ascii="Gadugi" w:hAnsi="Gadugi" w:cs="Century Gothic"/>
          <w:sz w:val="24"/>
          <w:szCs w:val="24"/>
          <w:lang w:val="es-419"/>
        </w:rPr>
        <w:t xml:space="preserve">en </w:t>
      </w:r>
      <w:r w:rsidR="001C5BC8">
        <w:rPr>
          <w:rFonts w:ascii="Gadugi" w:hAnsi="Gadugi" w:cs="Century Gothic"/>
          <w:sz w:val="24"/>
          <w:szCs w:val="24"/>
          <w:lang w:val="es-419"/>
        </w:rPr>
        <w:t>ese tiempo</w:t>
      </w:r>
      <w:r w:rsidR="00DA486E">
        <w:rPr>
          <w:rFonts w:ascii="Gadugi" w:hAnsi="Gadugi" w:cs="Century Gothic"/>
          <w:sz w:val="24"/>
          <w:szCs w:val="24"/>
          <w:lang w:val="es-419"/>
        </w:rPr>
        <w:t xml:space="preserve">, ya que sus aportes datan de septiembre de 2003. Esa regulación, </w:t>
      </w:r>
      <w:r w:rsidR="0096427D">
        <w:rPr>
          <w:rFonts w:ascii="Gadugi" w:hAnsi="Gadugi" w:cs="Century Gothic"/>
          <w:sz w:val="24"/>
          <w:szCs w:val="24"/>
          <w:lang w:val="es-419"/>
        </w:rPr>
        <w:t>no se olvide</w:t>
      </w:r>
      <w:r w:rsidR="00DA486E">
        <w:rPr>
          <w:rFonts w:ascii="Gadugi" w:hAnsi="Gadugi" w:cs="Century Gothic"/>
          <w:sz w:val="24"/>
          <w:szCs w:val="24"/>
          <w:lang w:val="es-419"/>
        </w:rPr>
        <w:t>,</w:t>
      </w:r>
      <w:r w:rsidR="0096427D">
        <w:rPr>
          <w:rFonts w:ascii="Gadugi" w:hAnsi="Gadugi" w:cs="Century Gothic"/>
          <w:sz w:val="24"/>
          <w:szCs w:val="24"/>
          <w:lang w:val="es-419"/>
        </w:rPr>
        <w:t xml:space="preserve"> fue </w:t>
      </w:r>
      <w:r w:rsidR="00F01A3E">
        <w:rPr>
          <w:rFonts w:ascii="Gadugi" w:hAnsi="Gadugi" w:cs="Century Gothic"/>
          <w:sz w:val="24"/>
          <w:szCs w:val="24"/>
          <w:lang w:val="es-419"/>
        </w:rPr>
        <w:t>derogada</w:t>
      </w:r>
      <w:r w:rsidR="005C01B8">
        <w:rPr>
          <w:rFonts w:ascii="Gadugi" w:hAnsi="Gadugi" w:cs="Century Gothic"/>
          <w:sz w:val="24"/>
          <w:szCs w:val="24"/>
          <w:lang w:val="es-419"/>
        </w:rPr>
        <w:t xml:space="preserve"> desde la entrada en vigencia de la ley 100 de 1993, es decir desde el 1 de abril de 1994</w:t>
      </w:r>
      <w:r w:rsidR="00DA486E">
        <w:rPr>
          <w:rFonts w:ascii="Gadugi" w:hAnsi="Gadugi" w:cs="Century Gothic"/>
          <w:sz w:val="24"/>
          <w:szCs w:val="24"/>
          <w:lang w:val="es-419"/>
        </w:rPr>
        <w:t xml:space="preserve">, lo que impone que, para su aplicación favorable al trabajador, este tendría que haber cotizado al menos 300 semanas antes de esa fecha, lo que, es evidente, no pudo ocurrir. </w:t>
      </w:r>
    </w:p>
    <w:p w:rsidR="00CF35B1" w:rsidRDefault="00CF35B1" w:rsidP="0024674E">
      <w:pPr>
        <w:tabs>
          <w:tab w:val="left" w:pos="851"/>
        </w:tabs>
        <w:ind w:right="-40"/>
        <w:jc w:val="both"/>
        <w:rPr>
          <w:rFonts w:ascii="Gadugi" w:hAnsi="Gadugi" w:cs="Century Gothic"/>
          <w:sz w:val="24"/>
          <w:szCs w:val="24"/>
          <w:lang w:val="es-419"/>
        </w:rPr>
      </w:pPr>
    </w:p>
    <w:p w:rsidR="00EA1CE5" w:rsidRDefault="00EA1CE5" w:rsidP="0024674E">
      <w:pPr>
        <w:tabs>
          <w:tab w:val="left" w:pos="851"/>
        </w:tabs>
        <w:ind w:right="-40"/>
        <w:jc w:val="both"/>
        <w:rPr>
          <w:rFonts w:ascii="Gadugi" w:hAnsi="Gadugi" w:cs="Century Gothic"/>
          <w:sz w:val="24"/>
          <w:szCs w:val="24"/>
          <w:lang w:val="es-419"/>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t xml:space="preserve">En el caso del original artículo 39 de la Ley 100 de 1993, se exigían 26 semanas cotizadas al momento de la estructuración, y si se había dejado de cotizar, las mismas 26 semanas en el año inmediatamente anterior a esa fecha. Requisitos que también se echan de menos, porque, se reitera, para la fecha de aparición del estado de invalidez de la demandante, según el dictamen que careció de controversia, ya llevaba </w:t>
      </w:r>
      <w:r w:rsidR="00531859">
        <w:rPr>
          <w:rFonts w:ascii="Gadugi" w:hAnsi="Gadugi" w:cs="Century Gothic"/>
          <w:sz w:val="24"/>
          <w:szCs w:val="24"/>
          <w:lang w:val="es-419"/>
        </w:rPr>
        <w:t xml:space="preserve">la demandante al menos cinco años y cuatro meses sin cubrir ningún aporte. </w:t>
      </w:r>
    </w:p>
    <w:p w:rsidR="00EA1CE5" w:rsidRDefault="00EA1CE5" w:rsidP="0024674E">
      <w:pPr>
        <w:tabs>
          <w:tab w:val="left" w:pos="851"/>
        </w:tabs>
        <w:ind w:right="-40"/>
        <w:jc w:val="both"/>
        <w:rPr>
          <w:rFonts w:ascii="Gadugi" w:hAnsi="Gadugi" w:cs="Century Gothic"/>
          <w:sz w:val="24"/>
          <w:szCs w:val="24"/>
          <w:lang w:val="es-419"/>
        </w:rPr>
      </w:pPr>
    </w:p>
    <w:p w:rsidR="00531859" w:rsidRDefault="00531859" w:rsidP="0024674E">
      <w:pPr>
        <w:tabs>
          <w:tab w:val="left" w:pos="851"/>
        </w:tabs>
        <w:ind w:right="-40"/>
        <w:jc w:val="both"/>
        <w:rPr>
          <w:rFonts w:ascii="Gadugi" w:hAnsi="Gadugi" w:cs="Century Gothic"/>
          <w:sz w:val="24"/>
          <w:szCs w:val="24"/>
          <w:lang w:val="es-419"/>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t xml:space="preserve">Y si a la ley 860 de 2003 nos atenemos, la cuestión es similar, por cuanto esta norma exige haber cotizado al menos 50 semanas dentro de los tres años anteriores a la estructuración de la invalidez, lo que tampoco acontece, dado que, se repite, ella dejó de cotizar al sistema en el año 2003. </w:t>
      </w:r>
    </w:p>
    <w:p w:rsidR="00531859" w:rsidRDefault="00531859" w:rsidP="0024674E">
      <w:pPr>
        <w:tabs>
          <w:tab w:val="left" w:pos="851"/>
        </w:tabs>
        <w:ind w:right="-40"/>
        <w:jc w:val="both"/>
        <w:rPr>
          <w:rFonts w:ascii="Gadugi" w:hAnsi="Gadugi" w:cs="Century Gothic"/>
          <w:sz w:val="24"/>
          <w:szCs w:val="24"/>
          <w:lang w:val="es-419"/>
        </w:rPr>
      </w:pPr>
    </w:p>
    <w:p w:rsidR="00AD3856" w:rsidRDefault="00272CAA" w:rsidP="0024674E">
      <w:pPr>
        <w:tabs>
          <w:tab w:val="left" w:pos="851"/>
        </w:tabs>
        <w:ind w:right="-40"/>
        <w:jc w:val="both"/>
        <w:rPr>
          <w:rFonts w:ascii="Gadugi" w:hAnsi="Gadugi" w:cs="Century Gothic"/>
          <w:color w:val="000000" w:themeColor="text1"/>
          <w:sz w:val="24"/>
          <w:szCs w:val="24"/>
          <w:lang w:val="es-419"/>
        </w:rPr>
      </w:pPr>
      <w:r>
        <w:rPr>
          <w:rFonts w:ascii="Gadugi" w:hAnsi="Gadugi" w:cs="Century Gothic"/>
          <w:color w:val="000000" w:themeColor="text1"/>
          <w:sz w:val="24"/>
          <w:szCs w:val="24"/>
          <w:lang w:val="es-419"/>
        </w:rPr>
        <w:tab/>
      </w:r>
      <w:r>
        <w:rPr>
          <w:rFonts w:ascii="Gadugi" w:hAnsi="Gadugi" w:cs="Century Gothic"/>
          <w:color w:val="000000" w:themeColor="text1"/>
          <w:sz w:val="24"/>
          <w:szCs w:val="24"/>
          <w:lang w:val="es-419"/>
        </w:rPr>
        <w:tab/>
      </w:r>
      <w:r>
        <w:rPr>
          <w:rFonts w:ascii="Gadugi" w:hAnsi="Gadugi" w:cs="Century Gothic"/>
          <w:color w:val="000000" w:themeColor="text1"/>
          <w:sz w:val="24"/>
          <w:szCs w:val="24"/>
          <w:lang w:val="es-419"/>
        </w:rPr>
        <w:tab/>
      </w:r>
      <w:r w:rsidR="00AD3856">
        <w:rPr>
          <w:rFonts w:ascii="Gadugi" w:hAnsi="Gadugi" w:cs="Century Gothic"/>
          <w:color w:val="000000" w:themeColor="text1"/>
          <w:sz w:val="24"/>
          <w:szCs w:val="24"/>
          <w:lang w:val="es-419"/>
        </w:rPr>
        <w:tab/>
      </w:r>
      <w:r w:rsidR="00705349">
        <w:rPr>
          <w:rFonts w:ascii="Gadugi" w:hAnsi="Gadugi" w:cs="Century Gothic"/>
          <w:color w:val="000000" w:themeColor="text1"/>
          <w:sz w:val="24"/>
          <w:szCs w:val="24"/>
          <w:lang w:val="es-419"/>
        </w:rPr>
        <w:t xml:space="preserve">Aunque la accionante </w:t>
      </w:r>
      <w:r w:rsidR="006233F2">
        <w:rPr>
          <w:rFonts w:ascii="Gadugi" w:hAnsi="Gadugi" w:cs="Century Gothic"/>
          <w:color w:val="000000" w:themeColor="text1"/>
          <w:sz w:val="24"/>
          <w:szCs w:val="24"/>
          <w:lang w:val="es-419"/>
        </w:rPr>
        <w:t xml:space="preserve">trajo a </w:t>
      </w:r>
      <w:r w:rsidR="00705349">
        <w:rPr>
          <w:rFonts w:ascii="Gadugi" w:hAnsi="Gadugi" w:cs="Century Gothic"/>
          <w:color w:val="000000" w:themeColor="text1"/>
          <w:sz w:val="24"/>
          <w:szCs w:val="24"/>
          <w:lang w:val="es-419"/>
        </w:rPr>
        <w:t xml:space="preserve">colación </w:t>
      </w:r>
      <w:r w:rsidR="006233F2">
        <w:rPr>
          <w:rFonts w:ascii="Gadugi" w:hAnsi="Gadugi" w:cs="Century Gothic"/>
          <w:color w:val="000000" w:themeColor="text1"/>
          <w:sz w:val="24"/>
          <w:szCs w:val="24"/>
          <w:lang w:val="es-419"/>
        </w:rPr>
        <w:t>una sentencia de la Corte Constitucional</w:t>
      </w:r>
      <w:r w:rsidR="006233F2">
        <w:rPr>
          <w:rStyle w:val="Refdenotaalpie"/>
          <w:rFonts w:ascii="Gadugi" w:hAnsi="Gadugi"/>
          <w:color w:val="000000" w:themeColor="text1"/>
          <w:sz w:val="24"/>
          <w:szCs w:val="24"/>
          <w:lang w:val="es-419"/>
        </w:rPr>
        <w:footnoteReference w:id="2"/>
      </w:r>
      <w:r w:rsidR="006233F2">
        <w:rPr>
          <w:rFonts w:ascii="Gadugi" w:hAnsi="Gadugi" w:cs="Century Gothic"/>
          <w:color w:val="000000" w:themeColor="text1"/>
          <w:sz w:val="24"/>
          <w:szCs w:val="24"/>
          <w:lang w:val="es-419"/>
        </w:rPr>
        <w:t xml:space="preserve"> en la que, por las particulares condiciones de aquel caso, se tuvo como fecha de estructuración de la invalidez del accionante, el día en que realizó su último aporte al sistema, </w:t>
      </w:r>
      <w:r w:rsidR="002A581B">
        <w:rPr>
          <w:rFonts w:ascii="Gadugi" w:hAnsi="Gadugi" w:cs="Century Gothic"/>
          <w:color w:val="000000" w:themeColor="text1"/>
          <w:sz w:val="24"/>
          <w:szCs w:val="24"/>
          <w:lang w:val="es-419"/>
        </w:rPr>
        <w:t xml:space="preserve">no se </w:t>
      </w:r>
      <w:r w:rsidR="0075764B">
        <w:rPr>
          <w:rFonts w:ascii="Gadugi" w:hAnsi="Gadugi" w:cs="Century Gothic"/>
          <w:color w:val="000000" w:themeColor="text1"/>
          <w:sz w:val="24"/>
          <w:szCs w:val="24"/>
          <w:lang w:val="es-419"/>
        </w:rPr>
        <w:t xml:space="preserve">acopla al caso que acá se estudia, porque en esa providencia </w:t>
      </w:r>
      <w:r w:rsidR="00A25888">
        <w:rPr>
          <w:rFonts w:ascii="Gadugi" w:hAnsi="Gadugi" w:cs="Century Gothic"/>
          <w:color w:val="000000" w:themeColor="text1"/>
          <w:sz w:val="24"/>
          <w:szCs w:val="24"/>
          <w:lang w:val="es-419"/>
        </w:rPr>
        <w:t xml:space="preserve">el alto tribunal </w:t>
      </w:r>
      <w:r w:rsidR="003D29EE">
        <w:rPr>
          <w:rFonts w:ascii="Gadugi" w:hAnsi="Gadugi" w:cs="Century Gothic"/>
          <w:color w:val="000000" w:themeColor="text1"/>
          <w:sz w:val="24"/>
          <w:szCs w:val="24"/>
          <w:lang w:val="es-419"/>
        </w:rPr>
        <w:t>halló pertinente</w:t>
      </w:r>
      <w:r w:rsidR="0075764B">
        <w:rPr>
          <w:rFonts w:ascii="Gadugi" w:hAnsi="Gadugi" w:cs="Century Gothic"/>
          <w:color w:val="000000" w:themeColor="text1"/>
          <w:sz w:val="24"/>
          <w:szCs w:val="24"/>
          <w:lang w:val="es-419"/>
        </w:rPr>
        <w:t xml:space="preserve"> trasladar la fecha de estructuración de la invalidez desde </w:t>
      </w:r>
      <w:r w:rsidR="00A25888">
        <w:rPr>
          <w:rFonts w:ascii="Gadugi" w:hAnsi="Gadugi" w:cs="Century Gothic"/>
          <w:color w:val="000000" w:themeColor="text1"/>
          <w:sz w:val="24"/>
          <w:szCs w:val="24"/>
          <w:lang w:val="es-419"/>
        </w:rPr>
        <w:t>la dictada en la calificación,</w:t>
      </w:r>
      <w:r w:rsidR="0075764B">
        <w:rPr>
          <w:rFonts w:ascii="Gadugi" w:hAnsi="Gadugi" w:cs="Century Gothic"/>
          <w:color w:val="000000" w:themeColor="text1"/>
          <w:sz w:val="24"/>
          <w:szCs w:val="24"/>
          <w:lang w:val="es-419"/>
        </w:rPr>
        <w:t xml:space="preserve"> hasta</w:t>
      </w:r>
      <w:r w:rsidR="00AD3856">
        <w:rPr>
          <w:rFonts w:ascii="Gadugi" w:hAnsi="Gadugi" w:cs="Century Gothic"/>
          <w:color w:val="000000" w:themeColor="text1"/>
          <w:sz w:val="24"/>
          <w:szCs w:val="24"/>
          <w:lang w:val="es-419"/>
        </w:rPr>
        <w:t xml:space="preserve"> otra posterior en </w:t>
      </w:r>
      <w:r w:rsidR="0075764B">
        <w:rPr>
          <w:rFonts w:ascii="Gadugi" w:hAnsi="Gadugi" w:cs="Century Gothic"/>
          <w:color w:val="000000" w:themeColor="text1"/>
          <w:sz w:val="24"/>
          <w:szCs w:val="24"/>
          <w:lang w:val="es-419"/>
        </w:rPr>
        <w:t>la que presumiblemente el actor efectivame</w:t>
      </w:r>
      <w:r w:rsidR="003D29EE">
        <w:rPr>
          <w:rFonts w:ascii="Gadugi" w:hAnsi="Gadugi" w:cs="Century Gothic"/>
          <w:color w:val="000000" w:themeColor="text1"/>
          <w:sz w:val="24"/>
          <w:szCs w:val="24"/>
          <w:lang w:val="es-419"/>
        </w:rPr>
        <w:t xml:space="preserve">nte perdió su fuerza de trabajo; </w:t>
      </w:r>
      <w:r w:rsidR="002A581B">
        <w:rPr>
          <w:rFonts w:ascii="Gadugi" w:hAnsi="Gadugi" w:cs="Century Gothic"/>
          <w:color w:val="000000" w:themeColor="text1"/>
          <w:sz w:val="24"/>
          <w:szCs w:val="24"/>
          <w:lang w:val="es-419"/>
        </w:rPr>
        <w:t xml:space="preserve">y en ese caso </w:t>
      </w:r>
      <w:r w:rsidR="003D29EE">
        <w:rPr>
          <w:rFonts w:ascii="Gadugi" w:hAnsi="Gadugi" w:cs="Century Gothic"/>
          <w:color w:val="000000" w:themeColor="text1"/>
          <w:sz w:val="24"/>
          <w:szCs w:val="24"/>
          <w:lang w:val="es-419"/>
        </w:rPr>
        <w:t xml:space="preserve">obraban en el expediente suficientes indicios que permitieron deducir que si bien </w:t>
      </w:r>
      <w:r w:rsidR="002A581B">
        <w:rPr>
          <w:rFonts w:ascii="Gadugi" w:hAnsi="Gadugi" w:cs="Century Gothic"/>
          <w:color w:val="000000" w:themeColor="text1"/>
          <w:sz w:val="24"/>
          <w:szCs w:val="24"/>
          <w:lang w:val="es-419"/>
        </w:rPr>
        <w:t xml:space="preserve">la invalidez se consolidó </w:t>
      </w:r>
      <w:r w:rsidR="003D29EE">
        <w:rPr>
          <w:rFonts w:ascii="Gadugi" w:hAnsi="Gadugi" w:cs="Century Gothic"/>
          <w:color w:val="000000" w:themeColor="text1"/>
          <w:sz w:val="24"/>
          <w:szCs w:val="24"/>
          <w:lang w:val="es-419"/>
        </w:rPr>
        <w:t xml:space="preserve">en octubre de 2010, </w:t>
      </w:r>
      <w:r w:rsidR="002A581B">
        <w:rPr>
          <w:rFonts w:ascii="Gadugi" w:hAnsi="Gadugi" w:cs="Century Gothic"/>
          <w:color w:val="000000" w:themeColor="text1"/>
          <w:sz w:val="24"/>
          <w:szCs w:val="24"/>
          <w:lang w:val="es-419"/>
        </w:rPr>
        <w:t xml:space="preserve">en realidad el accionante </w:t>
      </w:r>
      <w:r w:rsidR="003D29EE">
        <w:rPr>
          <w:rFonts w:ascii="Gadugi" w:hAnsi="Gadugi" w:cs="Century Gothic"/>
          <w:color w:val="000000" w:themeColor="text1"/>
          <w:sz w:val="24"/>
          <w:szCs w:val="24"/>
          <w:lang w:val="es-419"/>
        </w:rPr>
        <w:t xml:space="preserve">perdió su fuerza </w:t>
      </w:r>
      <w:r w:rsidR="003D29EE">
        <w:rPr>
          <w:rFonts w:ascii="Gadugi" w:hAnsi="Gadugi" w:cs="Century Gothic"/>
          <w:color w:val="000000" w:themeColor="text1"/>
          <w:sz w:val="24"/>
          <w:szCs w:val="24"/>
          <w:lang w:val="es-419"/>
        </w:rPr>
        <w:lastRenderedPageBreak/>
        <w:t xml:space="preserve">de trabajo </w:t>
      </w:r>
      <w:r w:rsidR="002A581B">
        <w:rPr>
          <w:rFonts w:ascii="Gadugi" w:hAnsi="Gadugi" w:cs="Century Gothic"/>
          <w:color w:val="000000" w:themeColor="text1"/>
          <w:sz w:val="24"/>
          <w:szCs w:val="24"/>
          <w:lang w:val="es-419"/>
        </w:rPr>
        <w:t xml:space="preserve">en julio de </w:t>
      </w:r>
      <w:r w:rsidR="003D29EE">
        <w:rPr>
          <w:rFonts w:ascii="Gadugi" w:hAnsi="Gadugi" w:cs="Century Gothic"/>
          <w:color w:val="000000" w:themeColor="text1"/>
          <w:sz w:val="24"/>
          <w:szCs w:val="24"/>
          <w:lang w:val="es-419"/>
        </w:rPr>
        <w:t xml:space="preserve">2011, </w:t>
      </w:r>
      <w:r w:rsidR="002A581B">
        <w:rPr>
          <w:rFonts w:ascii="Gadugi" w:hAnsi="Gadugi" w:cs="Century Gothic"/>
          <w:color w:val="000000" w:themeColor="text1"/>
          <w:sz w:val="24"/>
          <w:szCs w:val="24"/>
          <w:lang w:val="es-419"/>
        </w:rPr>
        <w:t>dado que</w:t>
      </w:r>
      <w:r w:rsidR="00E93029">
        <w:rPr>
          <w:rFonts w:ascii="Gadugi" w:hAnsi="Gadugi" w:cs="Century Gothic"/>
          <w:color w:val="000000" w:themeColor="text1"/>
          <w:sz w:val="24"/>
          <w:szCs w:val="24"/>
          <w:lang w:val="es-419"/>
        </w:rPr>
        <w:t xml:space="preserve"> (i) solo hasta es</w:t>
      </w:r>
      <w:r w:rsidR="003D29EE">
        <w:rPr>
          <w:rFonts w:ascii="Gadugi" w:hAnsi="Gadugi" w:cs="Century Gothic"/>
          <w:color w:val="000000" w:themeColor="text1"/>
          <w:sz w:val="24"/>
          <w:szCs w:val="24"/>
          <w:lang w:val="es-419"/>
        </w:rPr>
        <w:t xml:space="preserve">a última fecha dejó de cotizar y (ii) presentó una serie de incapacidades en las que se evidenciaba que progresivamente él fue perdiendo su capacidad laboral.  </w:t>
      </w:r>
      <w:r w:rsidR="002A581B">
        <w:rPr>
          <w:rFonts w:ascii="Gadugi" w:hAnsi="Gadugi" w:cs="Century Gothic"/>
          <w:color w:val="000000" w:themeColor="text1"/>
          <w:sz w:val="24"/>
          <w:szCs w:val="24"/>
          <w:lang w:val="es-419"/>
        </w:rPr>
        <w:t xml:space="preserve">Esto para concluir que las cotizaciones posteriores a la aludida fecha tienen que ser tenidas en cuenta para definir el derecho a la prestación. </w:t>
      </w:r>
    </w:p>
    <w:p w:rsidR="00AD3856" w:rsidRDefault="00AD3856" w:rsidP="0024674E">
      <w:pPr>
        <w:tabs>
          <w:tab w:val="left" w:pos="851"/>
        </w:tabs>
        <w:ind w:right="-40"/>
        <w:jc w:val="both"/>
        <w:rPr>
          <w:rFonts w:ascii="Gadugi" w:hAnsi="Gadugi" w:cs="Century Gothic"/>
          <w:color w:val="000000" w:themeColor="text1"/>
          <w:sz w:val="24"/>
          <w:szCs w:val="24"/>
          <w:lang w:val="es-419"/>
        </w:rPr>
      </w:pPr>
    </w:p>
    <w:p w:rsidR="00AD3856" w:rsidRDefault="00AD3856" w:rsidP="0024674E">
      <w:pPr>
        <w:tabs>
          <w:tab w:val="left" w:pos="851"/>
        </w:tabs>
        <w:ind w:right="-40"/>
        <w:jc w:val="both"/>
        <w:rPr>
          <w:rFonts w:ascii="Gadugi" w:hAnsi="Gadugi" w:cs="Century Gothic"/>
          <w:color w:val="000000" w:themeColor="text1"/>
          <w:sz w:val="24"/>
          <w:szCs w:val="24"/>
          <w:lang w:val="es-419"/>
        </w:rPr>
      </w:pPr>
      <w:r>
        <w:rPr>
          <w:rFonts w:ascii="Gadugi" w:hAnsi="Gadugi" w:cs="Century Gothic"/>
          <w:color w:val="000000" w:themeColor="text1"/>
          <w:sz w:val="24"/>
          <w:szCs w:val="24"/>
          <w:lang w:val="es-419"/>
        </w:rPr>
        <w:tab/>
      </w:r>
      <w:r>
        <w:rPr>
          <w:rFonts w:ascii="Gadugi" w:hAnsi="Gadugi" w:cs="Century Gothic"/>
          <w:color w:val="000000" w:themeColor="text1"/>
          <w:sz w:val="24"/>
          <w:szCs w:val="24"/>
          <w:lang w:val="es-419"/>
        </w:rPr>
        <w:tab/>
      </w:r>
      <w:r>
        <w:rPr>
          <w:rFonts w:ascii="Gadugi" w:hAnsi="Gadugi" w:cs="Century Gothic"/>
          <w:color w:val="000000" w:themeColor="text1"/>
          <w:sz w:val="24"/>
          <w:szCs w:val="24"/>
          <w:lang w:val="es-419"/>
        </w:rPr>
        <w:tab/>
      </w:r>
      <w:r>
        <w:rPr>
          <w:rFonts w:ascii="Gadugi" w:hAnsi="Gadugi" w:cs="Century Gothic"/>
          <w:color w:val="000000" w:themeColor="text1"/>
          <w:sz w:val="24"/>
          <w:szCs w:val="24"/>
          <w:lang w:val="es-419"/>
        </w:rPr>
        <w:tab/>
      </w:r>
      <w:r w:rsidR="002A581B">
        <w:rPr>
          <w:rFonts w:ascii="Gadugi" w:hAnsi="Gadugi" w:cs="Century Gothic"/>
          <w:color w:val="000000" w:themeColor="text1"/>
          <w:sz w:val="24"/>
          <w:szCs w:val="24"/>
          <w:lang w:val="es-419"/>
        </w:rPr>
        <w:t xml:space="preserve">Mas, la situación de la señora </w:t>
      </w:r>
      <w:r w:rsidR="00720AA6">
        <w:rPr>
          <w:rFonts w:ascii="Gadugi" w:hAnsi="Gadugi" w:cs="Century Gothic"/>
          <w:color w:val="000000" w:themeColor="text1"/>
          <w:sz w:val="24"/>
          <w:szCs w:val="24"/>
          <w:lang w:val="es-419"/>
        </w:rPr>
        <w:t>MGS</w:t>
      </w:r>
      <w:r w:rsidR="002A581B">
        <w:rPr>
          <w:rFonts w:ascii="Gadugi" w:hAnsi="Gadugi" w:cs="Century Gothic"/>
          <w:color w:val="000000" w:themeColor="text1"/>
          <w:sz w:val="24"/>
          <w:szCs w:val="24"/>
          <w:lang w:val="es-419"/>
        </w:rPr>
        <w:t xml:space="preserve"> es diversa, en cuanto dejó de cotizar varios años antes de la calificación y, por tanto, la densidad de semanas exigida en cualquiera de las normas fue incumplida. Pero aún si lo que se quisiera hacer ver es que, como fecha de estructuración debe tomarse en cualquier evento, la de la última cotización, con independencia de lo que señale la Junta de Calificación, tendría que acreditarse que la época de </w:t>
      </w:r>
      <w:r>
        <w:rPr>
          <w:rFonts w:ascii="Gadugi" w:hAnsi="Gadugi" w:cs="Century Gothic"/>
          <w:color w:val="000000" w:themeColor="text1"/>
          <w:sz w:val="24"/>
          <w:szCs w:val="24"/>
          <w:lang w:val="es-419"/>
        </w:rPr>
        <w:t>la f</w:t>
      </w:r>
      <w:r w:rsidR="002A581B">
        <w:rPr>
          <w:rFonts w:ascii="Gadugi" w:hAnsi="Gadugi" w:cs="Century Gothic"/>
          <w:color w:val="000000" w:themeColor="text1"/>
          <w:sz w:val="24"/>
          <w:szCs w:val="24"/>
          <w:lang w:val="es-419"/>
        </w:rPr>
        <w:t xml:space="preserve">ijación de </w:t>
      </w:r>
      <w:r w:rsidR="00C45FBD">
        <w:rPr>
          <w:rFonts w:ascii="Gadugi" w:hAnsi="Gadugi" w:cs="Century Gothic"/>
          <w:color w:val="000000" w:themeColor="text1"/>
          <w:sz w:val="24"/>
          <w:szCs w:val="24"/>
          <w:lang w:val="es-419"/>
        </w:rPr>
        <w:t xml:space="preserve">esa época </w:t>
      </w:r>
      <w:r>
        <w:rPr>
          <w:rFonts w:ascii="Gadugi" w:hAnsi="Gadugi" w:cs="Century Gothic"/>
          <w:color w:val="000000" w:themeColor="text1"/>
          <w:sz w:val="24"/>
          <w:szCs w:val="24"/>
          <w:lang w:val="es-419"/>
        </w:rPr>
        <w:t xml:space="preserve">coincide con </w:t>
      </w:r>
      <w:r w:rsidR="00C45FBD">
        <w:rPr>
          <w:rFonts w:ascii="Gadugi" w:hAnsi="Gadugi" w:cs="Century Gothic"/>
          <w:color w:val="000000" w:themeColor="text1"/>
          <w:sz w:val="24"/>
          <w:szCs w:val="24"/>
          <w:lang w:val="es-419"/>
        </w:rPr>
        <w:t xml:space="preserve">aquella en la </w:t>
      </w:r>
      <w:r>
        <w:rPr>
          <w:rFonts w:ascii="Gadugi" w:hAnsi="Gadugi" w:cs="Century Gothic"/>
          <w:color w:val="000000" w:themeColor="text1"/>
          <w:sz w:val="24"/>
          <w:szCs w:val="24"/>
          <w:lang w:val="es-419"/>
        </w:rPr>
        <w:t>que</w:t>
      </w:r>
      <w:r w:rsidR="00C45FBD">
        <w:rPr>
          <w:rFonts w:ascii="Gadugi" w:hAnsi="Gadugi" w:cs="Century Gothic"/>
          <w:color w:val="000000" w:themeColor="text1"/>
          <w:sz w:val="24"/>
          <w:szCs w:val="24"/>
          <w:lang w:val="es-419"/>
        </w:rPr>
        <w:t>,</w:t>
      </w:r>
      <w:r>
        <w:rPr>
          <w:rFonts w:ascii="Gadugi" w:hAnsi="Gadugi" w:cs="Century Gothic"/>
          <w:color w:val="000000" w:themeColor="text1"/>
          <w:sz w:val="24"/>
          <w:szCs w:val="24"/>
          <w:lang w:val="es-419"/>
        </w:rPr>
        <w:t xml:space="preserve"> efectivamente</w:t>
      </w:r>
      <w:r w:rsidR="00C45FBD">
        <w:rPr>
          <w:rFonts w:ascii="Gadugi" w:hAnsi="Gadugi" w:cs="Century Gothic"/>
          <w:color w:val="000000" w:themeColor="text1"/>
          <w:sz w:val="24"/>
          <w:szCs w:val="24"/>
          <w:lang w:val="es-419"/>
        </w:rPr>
        <w:t>,</w:t>
      </w:r>
      <w:r>
        <w:rPr>
          <w:rFonts w:ascii="Gadugi" w:hAnsi="Gadugi" w:cs="Century Gothic"/>
          <w:color w:val="000000" w:themeColor="text1"/>
          <w:sz w:val="24"/>
          <w:szCs w:val="24"/>
          <w:lang w:val="es-419"/>
        </w:rPr>
        <w:t xml:space="preserve"> la persona perdió su fuerza de trabajo</w:t>
      </w:r>
      <w:r w:rsidR="00C45FBD">
        <w:rPr>
          <w:rFonts w:ascii="Gadugi" w:hAnsi="Gadugi" w:cs="Century Gothic"/>
          <w:color w:val="000000" w:themeColor="text1"/>
          <w:sz w:val="24"/>
          <w:szCs w:val="24"/>
          <w:lang w:val="es-419"/>
        </w:rPr>
        <w:t xml:space="preserve"> Sin embargo, para este asunto, </w:t>
      </w:r>
      <w:r>
        <w:rPr>
          <w:rFonts w:ascii="Gadugi" w:hAnsi="Gadugi" w:cs="Century Gothic"/>
          <w:color w:val="000000" w:themeColor="text1"/>
          <w:sz w:val="24"/>
          <w:szCs w:val="24"/>
          <w:lang w:val="es-419"/>
        </w:rPr>
        <w:t xml:space="preserve">nada se sabe </w:t>
      </w:r>
      <w:r w:rsidR="003D29EE">
        <w:rPr>
          <w:rFonts w:ascii="Gadugi" w:hAnsi="Gadugi" w:cs="Century Gothic"/>
          <w:color w:val="000000" w:themeColor="text1"/>
          <w:sz w:val="24"/>
          <w:szCs w:val="24"/>
          <w:lang w:val="es-419"/>
        </w:rPr>
        <w:t>sobre la salud de la accionante</w:t>
      </w:r>
      <w:r w:rsidR="009C3B7F">
        <w:rPr>
          <w:rFonts w:ascii="Gadugi" w:hAnsi="Gadugi" w:cs="Century Gothic"/>
          <w:color w:val="000000" w:themeColor="text1"/>
          <w:sz w:val="24"/>
          <w:szCs w:val="24"/>
          <w:lang w:val="es-419"/>
        </w:rPr>
        <w:t xml:space="preserve"> más que lo consignado </w:t>
      </w:r>
      <w:r w:rsidR="006012D5">
        <w:rPr>
          <w:rFonts w:ascii="Gadugi" w:hAnsi="Gadugi" w:cs="Century Gothic"/>
          <w:color w:val="000000" w:themeColor="text1"/>
          <w:sz w:val="24"/>
          <w:szCs w:val="24"/>
          <w:lang w:val="es-419"/>
        </w:rPr>
        <w:t>en la calificación de invalidez, es decir</w:t>
      </w:r>
      <w:r w:rsidR="00C45FBD">
        <w:rPr>
          <w:rFonts w:ascii="Gadugi" w:hAnsi="Gadugi" w:cs="Century Gothic"/>
          <w:color w:val="000000" w:themeColor="text1"/>
          <w:sz w:val="24"/>
          <w:szCs w:val="24"/>
          <w:lang w:val="es-419"/>
        </w:rPr>
        <w:t>,</w:t>
      </w:r>
      <w:r w:rsidR="006012D5">
        <w:rPr>
          <w:rFonts w:ascii="Gadugi" w:hAnsi="Gadugi" w:cs="Century Gothic"/>
          <w:color w:val="000000" w:themeColor="text1"/>
          <w:sz w:val="24"/>
          <w:szCs w:val="24"/>
          <w:lang w:val="es-419"/>
        </w:rPr>
        <w:t xml:space="preserve"> </w:t>
      </w:r>
      <w:r w:rsidR="00C45FBD">
        <w:rPr>
          <w:rFonts w:ascii="Gadugi" w:hAnsi="Gadugi" w:cs="Century Gothic"/>
          <w:color w:val="000000" w:themeColor="text1"/>
          <w:sz w:val="24"/>
          <w:szCs w:val="24"/>
          <w:lang w:val="es-419"/>
        </w:rPr>
        <w:t xml:space="preserve">que </w:t>
      </w:r>
      <w:r w:rsidR="006012D5">
        <w:rPr>
          <w:rFonts w:ascii="Gadugi" w:hAnsi="Gadugi" w:cs="Century Gothic"/>
          <w:color w:val="000000" w:themeColor="text1"/>
          <w:sz w:val="24"/>
          <w:szCs w:val="24"/>
          <w:lang w:val="es-419"/>
        </w:rPr>
        <w:t>el indicio más confiable y próximo al debate es el dictamen del 3 de mayo de 2017</w:t>
      </w:r>
      <w:r w:rsidR="00C45FBD">
        <w:rPr>
          <w:rFonts w:ascii="Gadugi" w:hAnsi="Gadugi" w:cs="Century Gothic"/>
          <w:color w:val="000000" w:themeColor="text1"/>
          <w:sz w:val="24"/>
          <w:szCs w:val="24"/>
          <w:lang w:val="es-419"/>
        </w:rPr>
        <w:t>,</w:t>
      </w:r>
      <w:r w:rsidR="006012D5">
        <w:rPr>
          <w:rFonts w:ascii="Gadugi" w:hAnsi="Gadugi" w:cs="Century Gothic"/>
          <w:color w:val="000000" w:themeColor="text1"/>
          <w:sz w:val="24"/>
          <w:szCs w:val="24"/>
          <w:lang w:val="es-419"/>
        </w:rPr>
        <w:t xml:space="preserve"> que estableció como fecha de estructuración de las patologías de la a</w:t>
      </w:r>
      <w:r w:rsidR="003D29EE">
        <w:rPr>
          <w:rFonts w:ascii="Gadugi" w:hAnsi="Gadugi" w:cs="Century Gothic"/>
          <w:color w:val="000000" w:themeColor="text1"/>
          <w:sz w:val="24"/>
          <w:szCs w:val="24"/>
          <w:lang w:val="es-419"/>
        </w:rPr>
        <w:t xml:space="preserve">ccionante el 9 de marzo de 2017, sin que nada pueda llevar a concluir </w:t>
      </w:r>
      <w:r w:rsidR="00946057">
        <w:rPr>
          <w:rFonts w:ascii="Gadugi" w:hAnsi="Gadugi" w:cs="Century Gothic"/>
          <w:color w:val="000000" w:themeColor="text1"/>
          <w:sz w:val="24"/>
          <w:szCs w:val="24"/>
          <w:lang w:val="es-419"/>
        </w:rPr>
        <w:t xml:space="preserve">que la accionante adquirió su condición de inválida justo el 31 de diciembre de 2011, día en que cesó sus aportes al sistema. </w:t>
      </w:r>
    </w:p>
    <w:p w:rsidR="00272CAA" w:rsidRDefault="0075764B" w:rsidP="0024674E">
      <w:pPr>
        <w:tabs>
          <w:tab w:val="left" w:pos="851"/>
        </w:tabs>
        <w:ind w:right="-40"/>
        <w:jc w:val="both"/>
        <w:rPr>
          <w:rFonts w:ascii="Gadugi" w:hAnsi="Gadugi" w:cs="Century Gothic"/>
          <w:sz w:val="24"/>
          <w:szCs w:val="24"/>
          <w:lang w:val="es-419"/>
        </w:rPr>
      </w:pPr>
      <w:r>
        <w:rPr>
          <w:rFonts w:ascii="Gadugi" w:hAnsi="Gadugi" w:cs="Century Gothic"/>
          <w:color w:val="000000" w:themeColor="text1"/>
          <w:sz w:val="24"/>
          <w:szCs w:val="24"/>
          <w:lang w:val="es-419"/>
        </w:rPr>
        <w:t xml:space="preserve"> </w:t>
      </w:r>
    </w:p>
    <w:p w:rsidR="00B5257F" w:rsidRPr="00FC72FA" w:rsidRDefault="0013663A" w:rsidP="00B834DF">
      <w:pPr>
        <w:tabs>
          <w:tab w:val="left" w:pos="851"/>
        </w:tabs>
        <w:ind w:right="-40"/>
        <w:jc w:val="both"/>
        <w:rPr>
          <w:rFonts w:ascii="Gadugi" w:hAnsi="Gadugi" w:cs="Century Gothic"/>
          <w:sz w:val="24"/>
          <w:szCs w:val="24"/>
          <w:lang w:val="es-419"/>
        </w:rPr>
      </w:pP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sidR="00B5257F" w:rsidRPr="00DF0777">
        <w:rPr>
          <w:rFonts w:ascii="Gadugi" w:hAnsi="Gadugi" w:cs="Century Gothic"/>
          <w:sz w:val="24"/>
          <w:szCs w:val="24"/>
          <w:lang w:val="es-419"/>
        </w:rPr>
        <w:tab/>
      </w:r>
      <w:r w:rsidR="00B5257F" w:rsidRPr="00DF0777">
        <w:rPr>
          <w:rFonts w:ascii="Gadugi" w:hAnsi="Gadugi" w:cs="Century Gothic"/>
          <w:sz w:val="24"/>
          <w:szCs w:val="24"/>
          <w:lang w:val="es-CO"/>
        </w:rPr>
        <w:t xml:space="preserve">De </w:t>
      </w:r>
      <w:r w:rsidR="00946057">
        <w:rPr>
          <w:rFonts w:ascii="Gadugi" w:hAnsi="Gadugi" w:cs="Century Gothic"/>
          <w:sz w:val="24"/>
          <w:szCs w:val="24"/>
          <w:lang w:val="es-CO"/>
        </w:rPr>
        <w:t>este</w:t>
      </w:r>
      <w:r w:rsidR="00B5257F" w:rsidRPr="00DF0777">
        <w:rPr>
          <w:rFonts w:ascii="Gadugi" w:hAnsi="Gadugi" w:cs="Century Gothic"/>
          <w:sz w:val="24"/>
          <w:szCs w:val="24"/>
          <w:lang w:val="es-419"/>
        </w:rPr>
        <w:t xml:space="preserve"> recuento </w:t>
      </w:r>
      <w:r w:rsidR="00B5257F">
        <w:rPr>
          <w:rFonts w:ascii="Gadugi" w:hAnsi="Gadugi" w:cs="Century Gothic"/>
          <w:sz w:val="24"/>
          <w:szCs w:val="24"/>
          <w:lang w:val="es-419"/>
        </w:rPr>
        <w:t xml:space="preserve">salta a la vista </w:t>
      </w:r>
      <w:r w:rsidR="00B5257F" w:rsidRPr="00DF0777">
        <w:rPr>
          <w:rFonts w:ascii="Gadugi" w:hAnsi="Gadugi" w:cs="Century Gothic"/>
          <w:sz w:val="24"/>
          <w:szCs w:val="24"/>
          <w:lang w:val="es-419"/>
        </w:rPr>
        <w:t xml:space="preserve">que la nutrida jurisprudencia </w:t>
      </w:r>
      <w:r w:rsidR="00B5257F">
        <w:rPr>
          <w:rFonts w:ascii="Gadugi" w:hAnsi="Gadugi" w:cs="Century Gothic"/>
          <w:sz w:val="24"/>
          <w:szCs w:val="24"/>
          <w:lang w:val="es-419"/>
        </w:rPr>
        <w:t>es in</w:t>
      </w:r>
      <w:r w:rsidR="00B5257F" w:rsidRPr="00DF0777">
        <w:rPr>
          <w:rFonts w:ascii="Gadugi" w:hAnsi="Gadugi" w:cs="Century Gothic"/>
          <w:sz w:val="24"/>
          <w:szCs w:val="24"/>
          <w:lang w:val="es-419"/>
        </w:rPr>
        <w:t>aplicable al caso</w:t>
      </w:r>
      <w:r w:rsidR="00B5257F" w:rsidRPr="00FC72FA">
        <w:rPr>
          <w:rFonts w:ascii="Gadugi" w:hAnsi="Gadugi" w:cs="Century Gothic"/>
          <w:sz w:val="24"/>
          <w:szCs w:val="24"/>
          <w:lang w:val="es-419"/>
        </w:rPr>
        <w:t xml:space="preserve"> de</w:t>
      </w:r>
      <w:r w:rsidR="00946083">
        <w:rPr>
          <w:rFonts w:ascii="Gadugi" w:hAnsi="Gadugi" w:cs="Century Gothic"/>
          <w:sz w:val="24"/>
          <w:szCs w:val="24"/>
          <w:lang w:val="es-419"/>
        </w:rPr>
        <w:t xml:space="preserve"> </w:t>
      </w:r>
      <w:r w:rsidR="00B5257F" w:rsidRPr="00FC72FA">
        <w:rPr>
          <w:rFonts w:ascii="Gadugi" w:hAnsi="Gadugi" w:cs="Century Gothic"/>
          <w:sz w:val="24"/>
          <w:szCs w:val="24"/>
          <w:lang w:val="es-419"/>
        </w:rPr>
        <w:t>l</w:t>
      </w:r>
      <w:r w:rsidR="00946083">
        <w:rPr>
          <w:rFonts w:ascii="Gadugi" w:hAnsi="Gadugi" w:cs="Century Gothic"/>
          <w:sz w:val="24"/>
          <w:szCs w:val="24"/>
          <w:lang w:val="es-419"/>
        </w:rPr>
        <w:t>a</w:t>
      </w:r>
      <w:r w:rsidR="00B5257F" w:rsidRPr="00FC72FA">
        <w:rPr>
          <w:rFonts w:ascii="Gadugi" w:hAnsi="Gadugi" w:cs="Century Gothic"/>
          <w:sz w:val="24"/>
          <w:szCs w:val="24"/>
          <w:lang w:val="es-419"/>
        </w:rPr>
        <w:t xml:space="preserve"> accionante, pues resulta indiscutible que las cotizaciones reportadas</w:t>
      </w:r>
      <w:r w:rsidR="00946057">
        <w:rPr>
          <w:rFonts w:ascii="Gadugi" w:hAnsi="Gadugi" w:cs="Century Gothic"/>
          <w:sz w:val="24"/>
          <w:szCs w:val="24"/>
          <w:lang w:val="es-CO"/>
        </w:rPr>
        <w:t>,</w:t>
      </w:r>
      <w:r w:rsidR="00B5257F" w:rsidRPr="00FC72FA">
        <w:rPr>
          <w:rFonts w:ascii="Gadugi" w:hAnsi="Gadugi" w:cs="Century Gothic"/>
          <w:sz w:val="24"/>
          <w:szCs w:val="24"/>
          <w:lang w:val="es-CO"/>
        </w:rPr>
        <w:t xml:space="preserve"> no se produjeron </w:t>
      </w:r>
      <w:r w:rsidR="00946057">
        <w:rPr>
          <w:rFonts w:ascii="Gadugi" w:hAnsi="Gadugi" w:cs="Century Gothic"/>
          <w:sz w:val="24"/>
          <w:szCs w:val="24"/>
          <w:lang w:val="es-CO"/>
        </w:rPr>
        <w:t>en el lapso</w:t>
      </w:r>
      <w:r w:rsidR="00B5257F" w:rsidRPr="00FC72FA">
        <w:rPr>
          <w:rFonts w:ascii="Gadugi" w:hAnsi="Gadugi" w:cs="Century Gothic"/>
          <w:sz w:val="24"/>
          <w:szCs w:val="24"/>
          <w:lang w:val="es-CO"/>
        </w:rPr>
        <w:t xml:space="preserve"> </w:t>
      </w:r>
      <w:r w:rsidR="00946057">
        <w:rPr>
          <w:rFonts w:ascii="Gadugi" w:hAnsi="Gadugi" w:cs="Century Gothic"/>
          <w:sz w:val="24"/>
          <w:szCs w:val="24"/>
          <w:lang w:val="es-CO"/>
        </w:rPr>
        <w:t>durante el cual estuvo vigente la norma con la cual pretende se validen y esto</w:t>
      </w:r>
      <w:r w:rsidR="00B5257F" w:rsidRPr="00FC72FA">
        <w:rPr>
          <w:rFonts w:ascii="Gadugi" w:hAnsi="Gadugi" w:cs="Century Gothic"/>
          <w:sz w:val="24"/>
          <w:szCs w:val="24"/>
          <w:lang w:val="es-CO"/>
        </w:rPr>
        <w:t>, de entrada, desvanece sus intenciones.</w:t>
      </w:r>
    </w:p>
    <w:p w:rsidR="00B5257F" w:rsidRPr="00FC72FA" w:rsidRDefault="00B5257F" w:rsidP="00B5257F">
      <w:pPr>
        <w:pStyle w:val="Textonotapie"/>
        <w:shd w:val="clear" w:color="auto" w:fill="FFFFFF"/>
        <w:jc w:val="both"/>
        <w:rPr>
          <w:rFonts w:ascii="Gadugi" w:hAnsi="Gadugi" w:cs="Century Gothic"/>
          <w:sz w:val="24"/>
          <w:szCs w:val="24"/>
          <w:lang w:val="es-419"/>
        </w:rPr>
      </w:pPr>
    </w:p>
    <w:p w:rsidR="00B5257F" w:rsidRDefault="00B5257F" w:rsidP="00B5257F">
      <w:pPr>
        <w:pStyle w:val="Textonotapie"/>
        <w:shd w:val="clear" w:color="auto" w:fill="FFFFFF"/>
        <w:jc w:val="both"/>
        <w:rPr>
          <w:rFonts w:ascii="Gadugi" w:hAnsi="Gadugi" w:cs="Century Gothic"/>
          <w:sz w:val="24"/>
          <w:szCs w:val="24"/>
          <w:lang w:val="es-CO"/>
        </w:rPr>
      </w:pPr>
      <w:r w:rsidRPr="00FC72FA">
        <w:rPr>
          <w:rFonts w:ascii="Gadugi" w:hAnsi="Gadugi" w:cs="Century Gothic"/>
          <w:sz w:val="24"/>
          <w:szCs w:val="24"/>
          <w:lang w:val="es-419"/>
        </w:rPr>
        <w:t xml:space="preserve">   </w:t>
      </w:r>
      <w:r w:rsidRPr="00FC72FA">
        <w:rPr>
          <w:rFonts w:ascii="Gadugi" w:hAnsi="Gadugi" w:cs="Century Gothic"/>
          <w:sz w:val="24"/>
          <w:szCs w:val="24"/>
          <w:lang w:val="es-419"/>
        </w:rPr>
        <w:tab/>
      </w:r>
      <w:r w:rsidRPr="00FC72FA">
        <w:rPr>
          <w:rFonts w:ascii="Gadugi" w:hAnsi="Gadugi" w:cs="Century Gothic"/>
          <w:sz w:val="24"/>
          <w:szCs w:val="24"/>
          <w:lang w:val="es-419"/>
        </w:rPr>
        <w:tab/>
      </w:r>
      <w:r w:rsidRPr="00FC72FA">
        <w:rPr>
          <w:rFonts w:ascii="Gadugi" w:hAnsi="Gadugi" w:cs="Century Gothic"/>
          <w:sz w:val="24"/>
          <w:szCs w:val="24"/>
          <w:lang w:val="es-419"/>
        </w:rPr>
        <w:tab/>
      </w:r>
      <w:r w:rsidRPr="00FC72FA">
        <w:rPr>
          <w:rFonts w:ascii="Gadugi" w:hAnsi="Gadugi" w:cs="Century Gothic"/>
          <w:sz w:val="24"/>
          <w:szCs w:val="24"/>
          <w:lang w:val="es-419"/>
        </w:rPr>
        <w:tab/>
      </w:r>
      <w:r>
        <w:rPr>
          <w:rFonts w:ascii="Gadugi" w:hAnsi="Gadugi" w:cs="Century Gothic"/>
          <w:sz w:val="24"/>
          <w:szCs w:val="24"/>
          <w:lang w:val="es-CO"/>
        </w:rPr>
        <w:t xml:space="preserve">Por tanto, como consecuencia del análisis que antecede, </w:t>
      </w:r>
      <w:r>
        <w:rPr>
          <w:rFonts w:ascii="Gadugi" w:hAnsi="Gadugi" w:cs="Century Gothic"/>
          <w:sz w:val="24"/>
          <w:szCs w:val="24"/>
          <w:lang w:val="es-419"/>
        </w:rPr>
        <w:t xml:space="preserve">el </w:t>
      </w:r>
      <w:r>
        <w:rPr>
          <w:rFonts w:ascii="Gadugi" w:hAnsi="Gadugi" w:cs="Century Gothic"/>
          <w:sz w:val="24"/>
          <w:szCs w:val="24"/>
          <w:lang w:val="es-CO"/>
        </w:rPr>
        <w:t xml:space="preserve">amparo </w:t>
      </w:r>
      <w:r>
        <w:rPr>
          <w:rFonts w:ascii="Gadugi" w:hAnsi="Gadugi" w:cs="Century Gothic"/>
          <w:sz w:val="24"/>
          <w:szCs w:val="24"/>
          <w:lang w:val="es-419"/>
        </w:rPr>
        <w:t>debe ser negado</w:t>
      </w:r>
      <w:r w:rsidR="00C45FBD">
        <w:rPr>
          <w:rFonts w:ascii="Gadugi" w:hAnsi="Gadugi" w:cs="Century Gothic"/>
          <w:sz w:val="24"/>
          <w:szCs w:val="24"/>
          <w:lang w:val="es-419"/>
        </w:rPr>
        <w:t xml:space="preserve">. En consecuencia, </w:t>
      </w:r>
      <w:r>
        <w:rPr>
          <w:rFonts w:ascii="Gadugi" w:hAnsi="Gadugi" w:cs="Century Gothic"/>
          <w:sz w:val="24"/>
          <w:szCs w:val="24"/>
          <w:lang w:val="es-419"/>
        </w:rPr>
        <w:t xml:space="preserve">se </w:t>
      </w:r>
      <w:r w:rsidR="00946083">
        <w:rPr>
          <w:rFonts w:ascii="Gadugi" w:hAnsi="Gadugi" w:cs="Century Gothic"/>
          <w:sz w:val="24"/>
          <w:szCs w:val="24"/>
          <w:lang w:val="es-419"/>
        </w:rPr>
        <w:t>revocará</w:t>
      </w:r>
      <w:r>
        <w:rPr>
          <w:rFonts w:ascii="Gadugi" w:hAnsi="Gadugi" w:cs="Century Gothic"/>
          <w:sz w:val="24"/>
          <w:szCs w:val="24"/>
          <w:lang w:val="es-419"/>
        </w:rPr>
        <w:t xml:space="preserve"> el </w:t>
      </w:r>
      <w:r>
        <w:rPr>
          <w:rFonts w:ascii="Gadugi" w:hAnsi="Gadugi" w:cs="Century Gothic"/>
          <w:sz w:val="24"/>
          <w:szCs w:val="24"/>
          <w:lang w:val="es-CO"/>
        </w:rPr>
        <w:t>fallo de primer grado</w:t>
      </w:r>
      <w:r w:rsidR="00B834DF">
        <w:rPr>
          <w:rFonts w:ascii="Gadugi" w:hAnsi="Gadugi" w:cs="Century Gothic"/>
          <w:sz w:val="24"/>
          <w:szCs w:val="24"/>
          <w:lang w:val="es-CO"/>
        </w:rPr>
        <w:t>.</w:t>
      </w:r>
    </w:p>
    <w:p w:rsidR="00B5257F" w:rsidRDefault="00B5257F" w:rsidP="00B5257F">
      <w:pPr>
        <w:pStyle w:val="Textonotapie"/>
        <w:shd w:val="clear" w:color="auto" w:fill="FFFFFF"/>
        <w:jc w:val="both"/>
        <w:rPr>
          <w:rFonts w:ascii="Gadugi" w:hAnsi="Gadugi" w:cs="Century Gothic"/>
          <w:sz w:val="24"/>
          <w:szCs w:val="24"/>
          <w:lang w:val="es-CO"/>
        </w:rPr>
      </w:pPr>
    </w:p>
    <w:p w:rsidR="00B5257F" w:rsidRDefault="00366BC0" w:rsidP="00B5257F">
      <w:pPr>
        <w:pStyle w:val="Textonotapie"/>
        <w:shd w:val="clear" w:color="auto" w:fill="FFFFFF"/>
        <w:jc w:val="both"/>
        <w:rPr>
          <w:rFonts w:ascii="Gadugi" w:hAnsi="Gadugi" w:cs="Century Gothic"/>
          <w:sz w:val="24"/>
          <w:szCs w:val="24"/>
          <w:lang w:val="es-419"/>
        </w:rPr>
      </w:pPr>
      <w:r w:rsidRPr="00366BC0">
        <w:rPr>
          <w:rFonts w:ascii="Gadugi" w:hAnsi="Gadugi" w:cs="Century Gothic"/>
          <w:sz w:val="24"/>
          <w:szCs w:val="24"/>
          <w:lang w:val="es-CO"/>
        </w:rPr>
        <w:t xml:space="preserve">   </w:t>
      </w:r>
      <w:r w:rsidRPr="00366BC0">
        <w:rPr>
          <w:rFonts w:ascii="Gadugi" w:hAnsi="Gadugi" w:cs="Century Gothic"/>
          <w:sz w:val="24"/>
          <w:szCs w:val="24"/>
          <w:lang w:val="es-CO"/>
        </w:rPr>
        <w:tab/>
      </w:r>
      <w:r w:rsidRPr="00366BC0">
        <w:rPr>
          <w:rFonts w:ascii="Gadugi" w:hAnsi="Gadugi" w:cs="Century Gothic"/>
          <w:sz w:val="24"/>
          <w:szCs w:val="24"/>
          <w:lang w:val="es-CO"/>
        </w:rPr>
        <w:tab/>
      </w:r>
      <w:r w:rsidRPr="00366BC0">
        <w:rPr>
          <w:rFonts w:ascii="Gadugi" w:hAnsi="Gadugi" w:cs="Century Gothic"/>
          <w:sz w:val="24"/>
          <w:szCs w:val="24"/>
          <w:lang w:val="es-CO"/>
        </w:rPr>
        <w:tab/>
      </w:r>
      <w:r w:rsidRPr="00366BC0">
        <w:rPr>
          <w:rFonts w:ascii="Gadugi" w:hAnsi="Gadugi" w:cs="Century Gothic"/>
          <w:sz w:val="24"/>
          <w:szCs w:val="24"/>
          <w:lang w:val="es-CO"/>
        </w:rPr>
        <w:tab/>
      </w:r>
      <w:r w:rsidR="00B5257F">
        <w:rPr>
          <w:rFonts w:ascii="Gadugi" w:hAnsi="Gadugi" w:cs="Century Gothic"/>
          <w:sz w:val="24"/>
          <w:szCs w:val="24"/>
          <w:lang w:val="es-CO"/>
        </w:rPr>
        <w:tab/>
      </w:r>
      <w:r w:rsidR="00B5257F">
        <w:rPr>
          <w:rFonts w:ascii="Gadugi" w:hAnsi="Gadugi" w:cs="Century Gothic"/>
          <w:sz w:val="24"/>
          <w:szCs w:val="24"/>
          <w:lang w:val="es-CO"/>
        </w:rPr>
        <w:tab/>
      </w:r>
      <w:r w:rsidR="00B5257F">
        <w:rPr>
          <w:rFonts w:ascii="Gadugi" w:hAnsi="Gadugi" w:cs="Century Gothic"/>
          <w:sz w:val="24"/>
          <w:szCs w:val="24"/>
          <w:lang w:val="es-CO"/>
        </w:rPr>
        <w:tab/>
      </w:r>
      <w:r w:rsidR="00B5257F" w:rsidRPr="00FC72FA">
        <w:rPr>
          <w:rFonts w:ascii="Gadugi" w:hAnsi="Gadugi" w:cs="Century Gothic"/>
          <w:sz w:val="24"/>
          <w:szCs w:val="24"/>
          <w:lang w:val="es-419"/>
        </w:rPr>
        <w:tab/>
      </w:r>
    </w:p>
    <w:p w:rsidR="00B5257F" w:rsidRPr="00FC72FA" w:rsidRDefault="00B5257F" w:rsidP="00B5257F">
      <w:pPr>
        <w:spacing w:line="26" w:lineRule="atLeast"/>
        <w:ind w:firstLine="2835"/>
        <w:jc w:val="both"/>
        <w:rPr>
          <w:rFonts w:ascii="Gadugi" w:hAnsi="Gadugi"/>
          <w:b/>
          <w:bCs/>
          <w:sz w:val="24"/>
          <w:szCs w:val="24"/>
        </w:rPr>
      </w:pPr>
      <w:r w:rsidRPr="00FC72FA">
        <w:rPr>
          <w:rFonts w:ascii="Gadugi" w:hAnsi="Gadugi"/>
          <w:b/>
          <w:bCs/>
          <w:sz w:val="24"/>
          <w:szCs w:val="24"/>
        </w:rPr>
        <w:t>DECISIÓN</w:t>
      </w:r>
    </w:p>
    <w:p w:rsidR="00B5257F" w:rsidRPr="00FC72FA" w:rsidRDefault="00B5257F" w:rsidP="00B5257F">
      <w:pPr>
        <w:spacing w:line="26" w:lineRule="atLeast"/>
        <w:ind w:firstLine="2835"/>
        <w:jc w:val="both"/>
        <w:rPr>
          <w:rFonts w:ascii="Gadugi" w:hAnsi="Gadugi"/>
          <w:sz w:val="24"/>
          <w:szCs w:val="24"/>
        </w:rPr>
      </w:pPr>
    </w:p>
    <w:p w:rsidR="00B5257F" w:rsidRPr="00FC72FA" w:rsidRDefault="00B5257F" w:rsidP="00B5257F">
      <w:pPr>
        <w:spacing w:line="26" w:lineRule="atLeast"/>
        <w:ind w:firstLine="2835"/>
        <w:jc w:val="both"/>
        <w:rPr>
          <w:rFonts w:ascii="Gadugi" w:hAnsi="Gadugi"/>
          <w:sz w:val="24"/>
          <w:szCs w:val="24"/>
        </w:rPr>
      </w:pPr>
    </w:p>
    <w:p w:rsidR="00B5257F" w:rsidRDefault="00B5257F" w:rsidP="00B5257F">
      <w:pPr>
        <w:spacing w:line="26" w:lineRule="atLeast"/>
        <w:jc w:val="both"/>
        <w:rPr>
          <w:rFonts w:ascii="Gadugi" w:hAnsi="Gadugi" w:cs="Arial"/>
          <w:sz w:val="24"/>
          <w:szCs w:val="24"/>
        </w:rPr>
      </w:pPr>
      <w:r w:rsidRPr="00FC72FA">
        <w:rPr>
          <w:rFonts w:ascii="Gadugi" w:hAnsi="Gadugi"/>
          <w:sz w:val="24"/>
          <w:szCs w:val="24"/>
        </w:rPr>
        <w:t xml:space="preserve">  </w:t>
      </w:r>
      <w:r w:rsidRPr="00FC72FA">
        <w:rPr>
          <w:rFonts w:ascii="Gadugi" w:hAnsi="Gadugi"/>
          <w:sz w:val="24"/>
          <w:szCs w:val="24"/>
        </w:rPr>
        <w:tab/>
      </w:r>
      <w:r w:rsidRPr="00FC72FA">
        <w:rPr>
          <w:rFonts w:ascii="Gadugi" w:hAnsi="Gadugi"/>
          <w:sz w:val="24"/>
          <w:szCs w:val="24"/>
        </w:rPr>
        <w:tab/>
      </w:r>
      <w:r w:rsidRPr="00FC72FA">
        <w:rPr>
          <w:rFonts w:ascii="Gadugi" w:hAnsi="Gadugi"/>
          <w:sz w:val="24"/>
          <w:szCs w:val="24"/>
        </w:rPr>
        <w:tab/>
      </w:r>
      <w:r w:rsidRPr="00FC72FA">
        <w:rPr>
          <w:rFonts w:ascii="Gadugi" w:hAnsi="Gadugi"/>
          <w:sz w:val="24"/>
          <w:szCs w:val="24"/>
        </w:rPr>
        <w:tab/>
        <w:t xml:space="preserve">Por lo expuesto, el </w:t>
      </w:r>
      <w:r w:rsidRPr="00FC72FA">
        <w:rPr>
          <w:rFonts w:ascii="Gadugi" w:hAnsi="Gadugi"/>
          <w:b/>
          <w:bCs/>
          <w:sz w:val="24"/>
          <w:szCs w:val="24"/>
        </w:rPr>
        <w:t>Tribunal Superior del Distrito Judicial de Pereira</w:t>
      </w:r>
      <w:r w:rsidRPr="00FC72FA">
        <w:rPr>
          <w:rFonts w:ascii="Gadugi" w:hAnsi="Gadugi"/>
          <w:sz w:val="24"/>
          <w:szCs w:val="24"/>
        </w:rPr>
        <w:t xml:space="preserve">, </w:t>
      </w:r>
      <w:r w:rsidRPr="00FC72FA">
        <w:rPr>
          <w:rFonts w:ascii="Gadugi" w:hAnsi="Gadugi"/>
          <w:b/>
          <w:bCs/>
          <w:sz w:val="24"/>
          <w:szCs w:val="24"/>
        </w:rPr>
        <w:t>Sala de Decisión Civil Familia</w:t>
      </w:r>
      <w:r w:rsidRPr="00FC72FA">
        <w:rPr>
          <w:rFonts w:ascii="Gadugi" w:hAnsi="Gadugi"/>
          <w:sz w:val="24"/>
          <w:szCs w:val="24"/>
        </w:rPr>
        <w:t>, administrando justicia en nombre de la República y por autoridad de la ley, </w:t>
      </w:r>
      <w:r w:rsidR="00063658">
        <w:rPr>
          <w:rFonts w:ascii="Gadugi" w:hAnsi="Gadugi"/>
          <w:b/>
          <w:sz w:val="24"/>
          <w:szCs w:val="24"/>
          <w:lang w:val="es-419"/>
        </w:rPr>
        <w:t>REVOCA</w:t>
      </w:r>
      <w:r w:rsidR="00F01A3E">
        <w:rPr>
          <w:rFonts w:ascii="Gadugi" w:hAnsi="Gadugi"/>
          <w:sz w:val="24"/>
          <w:szCs w:val="24"/>
        </w:rPr>
        <w:t xml:space="preserve"> </w:t>
      </w:r>
      <w:r w:rsidRPr="00FC72FA">
        <w:rPr>
          <w:rFonts w:ascii="Gadugi" w:hAnsi="Gadugi"/>
          <w:sz w:val="24"/>
          <w:szCs w:val="24"/>
        </w:rPr>
        <w:t xml:space="preserve">la sentencia dictada por el  Juzgado </w:t>
      </w:r>
      <w:r w:rsidR="00063658">
        <w:rPr>
          <w:rFonts w:ascii="Gadugi" w:hAnsi="Gadugi" w:cs="Arial"/>
          <w:sz w:val="24"/>
          <w:szCs w:val="24"/>
        </w:rPr>
        <w:t>Cuarto Civil del Circuito de Pereira, el 11</w:t>
      </w:r>
      <w:r w:rsidRPr="00FC72FA">
        <w:rPr>
          <w:rFonts w:ascii="Gadugi" w:hAnsi="Gadugi" w:cs="Arial"/>
          <w:sz w:val="24"/>
          <w:szCs w:val="24"/>
        </w:rPr>
        <w:t xml:space="preserve"> de </w:t>
      </w:r>
      <w:r w:rsidR="00063658">
        <w:rPr>
          <w:rFonts w:ascii="Gadugi" w:hAnsi="Gadugi" w:cs="Arial"/>
          <w:sz w:val="24"/>
          <w:szCs w:val="24"/>
        </w:rPr>
        <w:t>diciembre de 2017</w:t>
      </w:r>
      <w:r w:rsidRPr="00FC72FA">
        <w:rPr>
          <w:rFonts w:ascii="Gadugi" w:hAnsi="Gadugi" w:cs="Arial"/>
          <w:sz w:val="24"/>
          <w:szCs w:val="24"/>
        </w:rPr>
        <w:t xml:space="preserve">, en esta acción de tutela promovida por </w:t>
      </w:r>
      <w:proofErr w:type="spellStart"/>
      <w:r w:rsidR="00720AA6">
        <w:rPr>
          <w:rFonts w:ascii="Gadugi" w:hAnsi="Gadugi" w:cs="Arial"/>
          <w:b/>
          <w:sz w:val="24"/>
          <w:szCs w:val="24"/>
        </w:rPr>
        <w:t>MGS</w:t>
      </w:r>
      <w:proofErr w:type="spellEnd"/>
      <w:r w:rsidR="00063658">
        <w:rPr>
          <w:rFonts w:ascii="Gadugi" w:hAnsi="Gadugi" w:cs="Arial"/>
          <w:b/>
          <w:sz w:val="24"/>
          <w:szCs w:val="24"/>
        </w:rPr>
        <w:t xml:space="preserve"> </w:t>
      </w:r>
      <w:r w:rsidRPr="00FC72FA">
        <w:rPr>
          <w:rFonts w:ascii="Gadugi" w:hAnsi="Gadugi" w:cs="Arial"/>
          <w:sz w:val="24"/>
          <w:szCs w:val="24"/>
        </w:rPr>
        <w:t xml:space="preserve">contra la </w:t>
      </w:r>
      <w:r w:rsidRPr="00FC72FA">
        <w:rPr>
          <w:rFonts w:ascii="Gadugi" w:hAnsi="Gadugi" w:cs="Arial"/>
          <w:b/>
          <w:sz w:val="24"/>
          <w:szCs w:val="24"/>
        </w:rPr>
        <w:t xml:space="preserve">Administradora Colombiana de Pensiones </w:t>
      </w:r>
      <w:proofErr w:type="spellStart"/>
      <w:r w:rsidRPr="00FC72FA">
        <w:rPr>
          <w:rFonts w:ascii="Gadugi" w:hAnsi="Gadugi" w:cs="Arial"/>
          <w:b/>
          <w:sz w:val="24"/>
          <w:szCs w:val="24"/>
        </w:rPr>
        <w:t>COLPENSIONES</w:t>
      </w:r>
      <w:proofErr w:type="spellEnd"/>
      <w:r w:rsidR="005F11A8">
        <w:rPr>
          <w:rFonts w:ascii="Gadugi" w:hAnsi="Gadugi" w:cs="Arial"/>
          <w:sz w:val="24"/>
          <w:szCs w:val="24"/>
        </w:rPr>
        <w:t>.</w:t>
      </w:r>
    </w:p>
    <w:p w:rsidR="005F11A8" w:rsidRDefault="005F11A8" w:rsidP="00B5257F">
      <w:pPr>
        <w:spacing w:line="26" w:lineRule="atLeast"/>
        <w:jc w:val="both"/>
        <w:rPr>
          <w:rFonts w:ascii="Gadugi" w:hAnsi="Gadugi" w:cs="Arial"/>
          <w:sz w:val="24"/>
          <w:szCs w:val="24"/>
        </w:rPr>
      </w:pPr>
    </w:p>
    <w:p w:rsidR="005F11A8" w:rsidRPr="005F11A8" w:rsidRDefault="005F11A8" w:rsidP="00C45FBD">
      <w:pPr>
        <w:spacing w:line="26" w:lineRule="atLeast"/>
        <w:ind w:firstLine="2835"/>
        <w:jc w:val="both"/>
        <w:rPr>
          <w:rFonts w:ascii="Gadugi" w:hAnsi="Gadugi" w:cs="Arial"/>
          <w:sz w:val="24"/>
          <w:szCs w:val="26"/>
          <w:lang w:val="es-CO"/>
        </w:rPr>
      </w:pPr>
      <w:r w:rsidRPr="005F11A8">
        <w:rPr>
          <w:rFonts w:ascii="Gadugi" w:hAnsi="Gadugi" w:cs="Arial"/>
          <w:sz w:val="24"/>
          <w:szCs w:val="26"/>
          <w:lang w:val="es-CO"/>
        </w:rPr>
        <w:t>En su lugar</w:t>
      </w:r>
      <w:r w:rsidR="00C45FBD">
        <w:rPr>
          <w:rFonts w:ascii="Gadugi" w:hAnsi="Gadugi" w:cs="Arial"/>
          <w:sz w:val="24"/>
          <w:szCs w:val="26"/>
          <w:lang w:val="es-CO"/>
        </w:rPr>
        <w:t>, s</w:t>
      </w:r>
      <w:r w:rsidRPr="005F11A8">
        <w:rPr>
          <w:rFonts w:ascii="Gadugi" w:hAnsi="Gadugi" w:cs="Arial"/>
          <w:sz w:val="24"/>
          <w:szCs w:val="26"/>
          <w:lang w:val="es-CO"/>
        </w:rPr>
        <w:t xml:space="preserve">e </w:t>
      </w:r>
      <w:r w:rsidRPr="005F11A8">
        <w:rPr>
          <w:rFonts w:ascii="Gadugi" w:hAnsi="Gadugi" w:cs="Arial"/>
          <w:b/>
          <w:sz w:val="24"/>
          <w:szCs w:val="26"/>
          <w:lang w:val="es-CO"/>
        </w:rPr>
        <w:t xml:space="preserve">NIEGA </w:t>
      </w:r>
      <w:r w:rsidRPr="005F11A8">
        <w:rPr>
          <w:rFonts w:ascii="Gadugi" w:hAnsi="Gadugi" w:cs="Arial"/>
          <w:sz w:val="24"/>
          <w:szCs w:val="26"/>
          <w:lang w:val="es-CO"/>
        </w:rPr>
        <w:t>el amparo solicitado.</w:t>
      </w:r>
    </w:p>
    <w:p w:rsidR="005F11A8" w:rsidRPr="00C45FBD" w:rsidRDefault="005F11A8" w:rsidP="00B5257F">
      <w:pPr>
        <w:spacing w:line="26" w:lineRule="atLeast"/>
        <w:jc w:val="both"/>
        <w:rPr>
          <w:rFonts w:ascii="Gadugi" w:hAnsi="Gadugi" w:cs="Arial"/>
          <w:sz w:val="24"/>
          <w:szCs w:val="24"/>
          <w:lang w:val="es-CO"/>
        </w:rPr>
      </w:pPr>
    </w:p>
    <w:p w:rsidR="00B5257F" w:rsidRPr="00FC72FA" w:rsidRDefault="00B5257F" w:rsidP="00B5257F">
      <w:pPr>
        <w:shd w:val="clear" w:color="auto" w:fill="FFFFFF"/>
        <w:spacing w:line="26" w:lineRule="atLeast"/>
        <w:jc w:val="both"/>
        <w:rPr>
          <w:rFonts w:ascii="Gadugi" w:hAnsi="Gadugi"/>
          <w:sz w:val="24"/>
          <w:szCs w:val="24"/>
          <w:lang w:val="es-419"/>
        </w:rPr>
      </w:pPr>
      <w:r w:rsidRPr="00FC72FA">
        <w:rPr>
          <w:rFonts w:ascii="Gadugi" w:hAnsi="Gadugi"/>
          <w:sz w:val="24"/>
          <w:szCs w:val="24"/>
        </w:rPr>
        <w:t xml:space="preserve">  </w:t>
      </w:r>
      <w:r w:rsidRPr="00FC72FA">
        <w:rPr>
          <w:rFonts w:ascii="Gadugi" w:hAnsi="Gadugi"/>
          <w:sz w:val="24"/>
          <w:szCs w:val="24"/>
        </w:rPr>
        <w:tab/>
      </w:r>
      <w:r w:rsidRPr="00FC72FA">
        <w:rPr>
          <w:rFonts w:ascii="Gadugi" w:hAnsi="Gadugi"/>
          <w:sz w:val="24"/>
          <w:szCs w:val="24"/>
        </w:rPr>
        <w:tab/>
      </w:r>
      <w:r w:rsidRPr="00FC72FA">
        <w:rPr>
          <w:rFonts w:ascii="Gadugi" w:hAnsi="Gadugi"/>
          <w:sz w:val="24"/>
          <w:szCs w:val="24"/>
        </w:rPr>
        <w:tab/>
      </w:r>
      <w:r w:rsidRPr="00FC72FA">
        <w:rPr>
          <w:rFonts w:ascii="Gadugi" w:hAnsi="Gadugi"/>
          <w:sz w:val="24"/>
          <w:szCs w:val="24"/>
        </w:rPr>
        <w:tab/>
        <w:t xml:space="preserve">Notifíquese esta decisión a las partes y demás interesados, en la forma prevista en el artículo 5º del Decreto 306 de 1992; </w:t>
      </w:r>
      <w:r w:rsidRPr="00FC72FA">
        <w:rPr>
          <w:rFonts w:ascii="Gadugi" w:hAnsi="Gadugi"/>
          <w:sz w:val="24"/>
          <w:szCs w:val="24"/>
        </w:rPr>
        <w:lastRenderedPageBreak/>
        <w:t xml:space="preserve">oportunamente remítase el expediente a la Corte Constitucional para su eventual revisión. </w:t>
      </w:r>
      <w:r w:rsidRPr="00FC72FA">
        <w:rPr>
          <w:rFonts w:ascii="Gadugi" w:hAnsi="Gadugi"/>
          <w:sz w:val="24"/>
          <w:szCs w:val="24"/>
          <w:lang w:val="es-419"/>
        </w:rPr>
        <w:t xml:space="preserve">A su regreso, archívese. </w:t>
      </w:r>
    </w:p>
    <w:p w:rsidR="00B5257F" w:rsidRPr="00FC72FA" w:rsidRDefault="00B5257F" w:rsidP="00B5257F">
      <w:pPr>
        <w:spacing w:line="26" w:lineRule="atLeast"/>
        <w:ind w:firstLine="2835"/>
        <w:jc w:val="both"/>
        <w:rPr>
          <w:rFonts w:ascii="Gadugi" w:hAnsi="Gadugi"/>
          <w:sz w:val="24"/>
          <w:szCs w:val="24"/>
        </w:rPr>
      </w:pPr>
    </w:p>
    <w:p w:rsidR="00B5257F" w:rsidRPr="00FC72FA" w:rsidRDefault="00B5257F" w:rsidP="00B5257F">
      <w:pPr>
        <w:spacing w:line="26" w:lineRule="atLeast"/>
        <w:ind w:firstLine="2835"/>
        <w:jc w:val="both"/>
        <w:rPr>
          <w:rFonts w:ascii="Gadugi" w:hAnsi="Gadugi"/>
          <w:bCs/>
          <w:sz w:val="24"/>
          <w:szCs w:val="24"/>
        </w:rPr>
      </w:pPr>
      <w:r w:rsidRPr="00FC72FA">
        <w:rPr>
          <w:rFonts w:ascii="Gadugi" w:hAnsi="Gadugi"/>
          <w:bCs/>
          <w:sz w:val="24"/>
          <w:szCs w:val="24"/>
        </w:rPr>
        <w:t>Los Magistrados,</w:t>
      </w:r>
    </w:p>
    <w:p w:rsidR="00B5257F" w:rsidRPr="00FC72FA" w:rsidRDefault="00B5257F" w:rsidP="00B5257F">
      <w:pPr>
        <w:spacing w:line="26" w:lineRule="atLeast"/>
        <w:ind w:firstLine="2835"/>
        <w:jc w:val="both"/>
        <w:rPr>
          <w:rFonts w:ascii="Gadugi" w:hAnsi="Gadugi"/>
          <w:sz w:val="24"/>
          <w:szCs w:val="24"/>
        </w:rPr>
      </w:pPr>
    </w:p>
    <w:p w:rsidR="00B5257F" w:rsidRDefault="00B5257F" w:rsidP="00B5257F">
      <w:pPr>
        <w:spacing w:line="26" w:lineRule="atLeast"/>
        <w:ind w:firstLine="2835"/>
        <w:jc w:val="both"/>
        <w:rPr>
          <w:rFonts w:ascii="Gadugi" w:hAnsi="Gadugi"/>
          <w:sz w:val="24"/>
          <w:szCs w:val="24"/>
        </w:rPr>
      </w:pPr>
    </w:p>
    <w:p w:rsidR="00946083" w:rsidRPr="00FC72FA" w:rsidRDefault="00946083" w:rsidP="00B5257F">
      <w:pPr>
        <w:spacing w:line="26" w:lineRule="atLeast"/>
        <w:ind w:firstLine="2835"/>
        <w:jc w:val="both"/>
        <w:rPr>
          <w:rFonts w:ascii="Gadugi" w:hAnsi="Gadugi"/>
          <w:sz w:val="24"/>
          <w:szCs w:val="24"/>
        </w:rPr>
      </w:pPr>
    </w:p>
    <w:p w:rsidR="00B5257F" w:rsidRPr="00FC72FA" w:rsidRDefault="00B5257F" w:rsidP="00B5257F">
      <w:pPr>
        <w:spacing w:line="26" w:lineRule="atLeast"/>
        <w:ind w:firstLine="2835"/>
        <w:jc w:val="both"/>
        <w:rPr>
          <w:rFonts w:ascii="Gadugi" w:hAnsi="Gadugi"/>
          <w:b/>
          <w:sz w:val="24"/>
          <w:szCs w:val="24"/>
        </w:rPr>
      </w:pPr>
      <w:r w:rsidRPr="00FC72FA">
        <w:rPr>
          <w:rFonts w:ascii="Gadugi" w:hAnsi="Gadugi"/>
          <w:b/>
          <w:sz w:val="24"/>
          <w:szCs w:val="24"/>
        </w:rPr>
        <w:t>JAIME ALBERTO SARAZA NARANJO</w:t>
      </w:r>
    </w:p>
    <w:p w:rsidR="00B5257F" w:rsidRPr="00FC72FA" w:rsidRDefault="00B5257F" w:rsidP="00B5257F">
      <w:pPr>
        <w:spacing w:line="26" w:lineRule="atLeast"/>
        <w:ind w:firstLine="2835"/>
        <w:jc w:val="both"/>
        <w:rPr>
          <w:rFonts w:ascii="Gadugi" w:hAnsi="Gadugi"/>
          <w:b/>
          <w:sz w:val="24"/>
          <w:szCs w:val="24"/>
        </w:rPr>
      </w:pPr>
    </w:p>
    <w:p w:rsidR="00B5257F" w:rsidRDefault="00B5257F" w:rsidP="00B5257F">
      <w:pPr>
        <w:spacing w:line="26" w:lineRule="atLeast"/>
        <w:ind w:firstLine="2835"/>
        <w:jc w:val="both"/>
        <w:rPr>
          <w:rFonts w:ascii="Gadugi" w:hAnsi="Gadugi"/>
          <w:b/>
          <w:sz w:val="24"/>
          <w:szCs w:val="24"/>
        </w:rPr>
      </w:pPr>
    </w:p>
    <w:p w:rsidR="00063658" w:rsidRDefault="00063658" w:rsidP="00B5257F">
      <w:pPr>
        <w:spacing w:line="26" w:lineRule="atLeast"/>
        <w:ind w:firstLine="2835"/>
        <w:jc w:val="both"/>
        <w:rPr>
          <w:rFonts w:ascii="Gadugi" w:hAnsi="Gadugi"/>
          <w:b/>
          <w:sz w:val="24"/>
          <w:szCs w:val="24"/>
        </w:rPr>
      </w:pPr>
    </w:p>
    <w:p w:rsidR="00946083" w:rsidRPr="00FC72FA" w:rsidRDefault="00946083" w:rsidP="00B5257F">
      <w:pPr>
        <w:spacing w:line="26" w:lineRule="atLeast"/>
        <w:ind w:firstLine="2835"/>
        <w:jc w:val="both"/>
        <w:rPr>
          <w:rFonts w:ascii="Gadugi" w:hAnsi="Gadugi"/>
          <w:b/>
          <w:sz w:val="24"/>
          <w:szCs w:val="24"/>
        </w:rPr>
      </w:pPr>
    </w:p>
    <w:p w:rsidR="00B5257F" w:rsidRPr="00FC72FA" w:rsidRDefault="00B5257F" w:rsidP="00B5257F">
      <w:pPr>
        <w:spacing w:line="26" w:lineRule="atLeast"/>
        <w:jc w:val="both"/>
        <w:rPr>
          <w:rFonts w:ascii="Gadugi" w:hAnsi="Gadugi"/>
          <w:b/>
          <w:bCs/>
          <w:sz w:val="24"/>
          <w:szCs w:val="24"/>
        </w:rPr>
      </w:pPr>
      <w:r w:rsidRPr="00FC72FA">
        <w:rPr>
          <w:rFonts w:ascii="Gadugi" w:hAnsi="Gadugi"/>
          <w:b/>
          <w:bCs/>
          <w:sz w:val="24"/>
          <w:szCs w:val="24"/>
        </w:rPr>
        <w:t xml:space="preserve">CLAUDIA MARÍA ARCILA RÍOS      </w:t>
      </w:r>
      <w:r w:rsidRPr="00FC72FA">
        <w:rPr>
          <w:rFonts w:ascii="Gadugi" w:hAnsi="Gadugi"/>
          <w:b/>
          <w:bCs/>
          <w:sz w:val="24"/>
          <w:szCs w:val="24"/>
        </w:rPr>
        <w:tab/>
      </w:r>
      <w:r w:rsidRPr="00FC72FA">
        <w:rPr>
          <w:rFonts w:ascii="Gadugi" w:hAnsi="Gadugi"/>
          <w:b/>
          <w:bCs/>
          <w:sz w:val="24"/>
          <w:szCs w:val="24"/>
        </w:rPr>
        <w:tab/>
        <w:t xml:space="preserve">   </w:t>
      </w:r>
      <w:proofErr w:type="spellStart"/>
      <w:r w:rsidRPr="00FC72FA">
        <w:rPr>
          <w:rFonts w:ascii="Gadugi" w:hAnsi="Gadugi"/>
          <w:b/>
          <w:bCs/>
          <w:sz w:val="24"/>
          <w:szCs w:val="24"/>
        </w:rPr>
        <w:t>DUBERNEY</w:t>
      </w:r>
      <w:proofErr w:type="spellEnd"/>
      <w:r w:rsidRPr="00FC72FA">
        <w:rPr>
          <w:rFonts w:ascii="Gadugi" w:hAnsi="Gadugi"/>
          <w:b/>
          <w:bCs/>
          <w:sz w:val="24"/>
          <w:szCs w:val="24"/>
        </w:rPr>
        <w:t xml:space="preserve"> GRISALES HERRERA</w:t>
      </w:r>
    </w:p>
    <w:p w:rsidR="00B5257F" w:rsidRPr="00FC72FA" w:rsidRDefault="00B5257F" w:rsidP="00B5257F">
      <w:pPr>
        <w:overflowPunct/>
        <w:spacing w:line="26" w:lineRule="atLeast"/>
        <w:jc w:val="both"/>
        <w:textAlignment w:val="auto"/>
        <w:rPr>
          <w:rStyle w:val="apple-converted-space"/>
          <w:rFonts w:ascii="Gadugi" w:hAnsi="Gadugi"/>
          <w:sz w:val="24"/>
          <w:szCs w:val="24"/>
          <w:bdr w:val="none" w:sz="0" w:space="0" w:color="auto" w:frame="1"/>
          <w:lang w:val="es-CO"/>
        </w:rPr>
      </w:pPr>
      <w:r w:rsidRPr="00FC72FA">
        <w:rPr>
          <w:rFonts w:ascii="Gadugi" w:hAnsi="Gadugi" w:cs="Arial"/>
          <w:sz w:val="24"/>
          <w:szCs w:val="24"/>
        </w:rPr>
        <w:t xml:space="preserve"> </w:t>
      </w:r>
      <w:r w:rsidRPr="00FC72FA">
        <w:rPr>
          <w:rFonts w:ascii="Gadugi" w:hAnsi="Gadugi" w:cs="Arial"/>
          <w:sz w:val="24"/>
          <w:szCs w:val="24"/>
        </w:rPr>
        <w:tab/>
      </w:r>
      <w:r w:rsidRPr="00FC72FA">
        <w:rPr>
          <w:rFonts w:ascii="Gadugi" w:hAnsi="Gadugi" w:cs="Arial"/>
          <w:sz w:val="24"/>
          <w:szCs w:val="24"/>
        </w:rPr>
        <w:tab/>
      </w:r>
      <w:r w:rsidRPr="00FC72FA">
        <w:rPr>
          <w:rFonts w:ascii="Gadugi" w:hAnsi="Gadugi" w:cs="Arial"/>
          <w:sz w:val="24"/>
          <w:szCs w:val="24"/>
        </w:rPr>
        <w:tab/>
      </w:r>
      <w:r w:rsidRPr="00FC72FA">
        <w:rPr>
          <w:rFonts w:ascii="Gadugi" w:hAnsi="Gadugi" w:cs="Arial"/>
          <w:sz w:val="24"/>
          <w:szCs w:val="24"/>
        </w:rPr>
        <w:tab/>
      </w:r>
      <w:r w:rsidRPr="00FC72FA">
        <w:rPr>
          <w:rStyle w:val="apple-converted-space"/>
          <w:rFonts w:ascii="Gadugi" w:hAnsi="Gadugi"/>
          <w:sz w:val="24"/>
          <w:szCs w:val="24"/>
          <w:bdr w:val="none" w:sz="0" w:space="0" w:color="auto" w:frame="1"/>
          <w:lang w:val="es-419"/>
        </w:rPr>
        <w:t xml:space="preserve"> </w:t>
      </w:r>
    </w:p>
    <w:sectPr w:rsidR="00B5257F" w:rsidRPr="00FC72FA" w:rsidSect="005304FA">
      <w:pgSz w:w="12242" w:h="18654" w:code="1"/>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79" w:rsidRDefault="00E93979" w:rsidP="00C30B06">
      <w:r>
        <w:separator/>
      </w:r>
    </w:p>
  </w:endnote>
  <w:endnote w:type="continuationSeparator" w:id="0">
    <w:p w:rsidR="00E93979" w:rsidRDefault="00E93979" w:rsidP="00C3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79" w:rsidRDefault="00E93979" w:rsidP="00C30B06">
      <w:r>
        <w:separator/>
      </w:r>
    </w:p>
  </w:footnote>
  <w:footnote w:type="continuationSeparator" w:id="0">
    <w:p w:rsidR="00E93979" w:rsidRDefault="00E93979" w:rsidP="00C30B06">
      <w:r>
        <w:continuationSeparator/>
      </w:r>
    </w:p>
  </w:footnote>
  <w:footnote w:id="1">
    <w:p w:rsidR="00EC0E13" w:rsidRPr="00F327AA" w:rsidRDefault="00EC0E13">
      <w:pPr>
        <w:pStyle w:val="Textonotapie"/>
        <w:rPr>
          <w:rFonts w:ascii="Agency FB" w:hAnsi="Agency FB"/>
          <w:lang w:val="es-MX"/>
        </w:rPr>
      </w:pPr>
      <w:r w:rsidRPr="00F327AA">
        <w:rPr>
          <w:rStyle w:val="Refdenotaalpie"/>
          <w:rFonts w:ascii="Agency FB" w:hAnsi="Agency FB"/>
        </w:rPr>
        <w:footnoteRef/>
      </w:r>
      <w:r w:rsidRPr="00F327AA">
        <w:rPr>
          <w:rFonts w:ascii="Agency FB" w:hAnsi="Agency FB"/>
        </w:rPr>
        <w:t xml:space="preserve"> </w:t>
      </w:r>
      <w:r w:rsidR="00F327AA" w:rsidRPr="00F327AA">
        <w:rPr>
          <w:rFonts w:ascii="Agency FB" w:hAnsi="Agency FB"/>
        </w:rPr>
        <w:t xml:space="preserve">Así se explica en la </w:t>
      </w:r>
      <w:r w:rsidRPr="00F327AA">
        <w:rPr>
          <w:rFonts w:ascii="Agency FB" w:hAnsi="Agency FB"/>
          <w:lang w:val="es-MX"/>
        </w:rPr>
        <w:t>SU</w:t>
      </w:r>
      <w:r w:rsidR="00F327AA">
        <w:rPr>
          <w:rFonts w:ascii="Agency FB" w:hAnsi="Agency FB"/>
          <w:lang w:val="es-MX"/>
        </w:rPr>
        <w:t>-442/</w:t>
      </w:r>
      <w:r w:rsidR="00F327AA" w:rsidRPr="00F327AA">
        <w:rPr>
          <w:rFonts w:ascii="Agency FB" w:hAnsi="Agency FB"/>
          <w:lang w:val="es-MX"/>
        </w:rPr>
        <w:t>16</w:t>
      </w:r>
    </w:p>
  </w:footnote>
  <w:footnote w:id="2">
    <w:p w:rsidR="006233F2" w:rsidRPr="006233F2" w:rsidRDefault="006233F2">
      <w:pPr>
        <w:pStyle w:val="Textonotapie"/>
        <w:rPr>
          <w:rFonts w:ascii="Agency FB" w:hAnsi="Agency FB"/>
          <w:lang w:val="es-MX"/>
        </w:rPr>
      </w:pPr>
      <w:r w:rsidRPr="006233F2">
        <w:rPr>
          <w:rStyle w:val="Refdenotaalpie"/>
          <w:rFonts w:ascii="Agency FB" w:hAnsi="Agency FB"/>
        </w:rPr>
        <w:footnoteRef/>
      </w:r>
      <w:r w:rsidRPr="006233F2">
        <w:rPr>
          <w:rFonts w:ascii="Agency FB" w:hAnsi="Agency FB"/>
        </w:rPr>
        <w:t xml:space="preserve"> </w:t>
      </w:r>
      <w:r w:rsidR="00474058">
        <w:rPr>
          <w:rFonts w:ascii="Agency FB" w:hAnsi="Agency FB"/>
        </w:rPr>
        <w:t xml:space="preserve">Corte Constitucional, </w:t>
      </w:r>
      <w:r w:rsidRPr="006233F2">
        <w:rPr>
          <w:rFonts w:ascii="Agency FB" w:hAnsi="Agency FB"/>
          <w:lang w:val="es-MX"/>
        </w:rPr>
        <w:t>Sentencia T-143 de 2003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419"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419" w:vendorID="64" w:dllVersion="0" w:nlCheck="1" w:checkStyle="0"/>
  <w:activeWritingStyle w:appName="MSWord" w:lang="es-CO" w:vendorID="64" w:dllVersion="0" w:nlCheck="1" w:checkStyle="0"/>
  <w:activeWritingStyle w:appName="MSWord" w:lang="es-419"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06"/>
    <w:rsid w:val="00020DF9"/>
    <w:rsid w:val="00036563"/>
    <w:rsid w:val="00063658"/>
    <w:rsid w:val="000A02ED"/>
    <w:rsid w:val="00114940"/>
    <w:rsid w:val="0013663A"/>
    <w:rsid w:val="001516CA"/>
    <w:rsid w:val="001862B4"/>
    <w:rsid w:val="001A022A"/>
    <w:rsid w:val="001C5BC8"/>
    <w:rsid w:val="001D7B77"/>
    <w:rsid w:val="001E7AC3"/>
    <w:rsid w:val="001F1059"/>
    <w:rsid w:val="00200F01"/>
    <w:rsid w:val="0020526B"/>
    <w:rsid w:val="0024674E"/>
    <w:rsid w:val="00272CAA"/>
    <w:rsid w:val="002742AA"/>
    <w:rsid w:val="00286985"/>
    <w:rsid w:val="002A581B"/>
    <w:rsid w:val="002A5C5A"/>
    <w:rsid w:val="002D1DD2"/>
    <w:rsid w:val="002F74CB"/>
    <w:rsid w:val="00312770"/>
    <w:rsid w:val="00366BC0"/>
    <w:rsid w:val="003D181A"/>
    <w:rsid w:val="003D29EE"/>
    <w:rsid w:val="003F1C1A"/>
    <w:rsid w:val="00465C4F"/>
    <w:rsid w:val="004679F9"/>
    <w:rsid w:val="00474058"/>
    <w:rsid w:val="004B73D1"/>
    <w:rsid w:val="005023A3"/>
    <w:rsid w:val="005100EA"/>
    <w:rsid w:val="005304FA"/>
    <w:rsid w:val="00531859"/>
    <w:rsid w:val="005C01B8"/>
    <w:rsid w:val="005D0527"/>
    <w:rsid w:val="005D503B"/>
    <w:rsid w:val="005E1D54"/>
    <w:rsid w:val="005E3B68"/>
    <w:rsid w:val="005F11A8"/>
    <w:rsid w:val="006012D5"/>
    <w:rsid w:val="006233F2"/>
    <w:rsid w:val="006235A7"/>
    <w:rsid w:val="00624013"/>
    <w:rsid w:val="00651655"/>
    <w:rsid w:val="006B4240"/>
    <w:rsid w:val="006C0654"/>
    <w:rsid w:val="00705349"/>
    <w:rsid w:val="00710724"/>
    <w:rsid w:val="00716A4D"/>
    <w:rsid w:val="00720AA6"/>
    <w:rsid w:val="0075764B"/>
    <w:rsid w:val="007A0409"/>
    <w:rsid w:val="0082586C"/>
    <w:rsid w:val="008359FB"/>
    <w:rsid w:val="00843FAF"/>
    <w:rsid w:val="008C4589"/>
    <w:rsid w:val="008E306F"/>
    <w:rsid w:val="008F3F87"/>
    <w:rsid w:val="009164ED"/>
    <w:rsid w:val="00946057"/>
    <w:rsid w:val="00946083"/>
    <w:rsid w:val="0096427D"/>
    <w:rsid w:val="009B1953"/>
    <w:rsid w:val="009C3B7F"/>
    <w:rsid w:val="009C71E9"/>
    <w:rsid w:val="00A07142"/>
    <w:rsid w:val="00A25888"/>
    <w:rsid w:val="00A549FC"/>
    <w:rsid w:val="00A57FAF"/>
    <w:rsid w:val="00AA593F"/>
    <w:rsid w:val="00AD3856"/>
    <w:rsid w:val="00B2275E"/>
    <w:rsid w:val="00B35692"/>
    <w:rsid w:val="00B411EB"/>
    <w:rsid w:val="00B5257F"/>
    <w:rsid w:val="00B62F5A"/>
    <w:rsid w:val="00B641DD"/>
    <w:rsid w:val="00B834DF"/>
    <w:rsid w:val="00C120AE"/>
    <w:rsid w:val="00C30B06"/>
    <w:rsid w:val="00C44E39"/>
    <w:rsid w:val="00C45FBD"/>
    <w:rsid w:val="00C81DFB"/>
    <w:rsid w:val="00CF091A"/>
    <w:rsid w:val="00CF1340"/>
    <w:rsid w:val="00CF35B1"/>
    <w:rsid w:val="00D04B5F"/>
    <w:rsid w:val="00D333A1"/>
    <w:rsid w:val="00D76F2B"/>
    <w:rsid w:val="00D92661"/>
    <w:rsid w:val="00D97419"/>
    <w:rsid w:val="00DA486E"/>
    <w:rsid w:val="00DB41DD"/>
    <w:rsid w:val="00E04F19"/>
    <w:rsid w:val="00E20E81"/>
    <w:rsid w:val="00E40627"/>
    <w:rsid w:val="00E80D6A"/>
    <w:rsid w:val="00E837EA"/>
    <w:rsid w:val="00E93029"/>
    <w:rsid w:val="00E93979"/>
    <w:rsid w:val="00EA1CE5"/>
    <w:rsid w:val="00EC0E13"/>
    <w:rsid w:val="00F01A3E"/>
    <w:rsid w:val="00F034B9"/>
    <w:rsid w:val="00F327AA"/>
    <w:rsid w:val="00F6767D"/>
    <w:rsid w:val="00F91E69"/>
    <w:rsid w:val="00FF0351"/>
    <w:rsid w:val="00FF2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6CEAD-4D7D-4806-B611-E20043B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30B06"/>
  </w:style>
  <w:style w:type="character" w:customStyle="1" w:styleId="TextonotapieCar">
    <w:name w:val="Texto nota pie Car"/>
    <w:basedOn w:val="Fuentedeprrafopredeter"/>
    <w:uiPriority w:val="99"/>
    <w:semiHidden/>
    <w:rsid w:val="00C30B06"/>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
    <w:uiPriority w:val="99"/>
    <w:qFormat/>
    <w:rsid w:val="00C30B06"/>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C30B06"/>
    <w:rPr>
      <w:rFonts w:ascii="Times New Roman" w:eastAsia="Times New Roman" w:hAnsi="Times New Roman" w:cs="Times New Roman"/>
      <w:sz w:val="20"/>
      <w:szCs w:val="20"/>
      <w:lang w:val="es-ES" w:eastAsia="es-ES"/>
    </w:rPr>
  </w:style>
  <w:style w:type="paragraph" w:styleId="NormalWeb">
    <w:name w:val="Normal (Web)"/>
    <w:basedOn w:val="Normal"/>
    <w:uiPriority w:val="99"/>
    <w:rsid w:val="00C30B06"/>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C30B06"/>
  </w:style>
  <w:style w:type="paragraph" w:customStyle="1" w:styleId="cuerpoa">
    <w:name w:val="cuerpoa"/>
    <w:basedOn w:val="Normal"/>
    <w:rsid w:val="00C30B06"/>
    <w:pPr>
      <w:overflowPunct/>
      <w:autoSpaceDE/>
      <w:autoSpaceDN/>
      <w:adjustRightInd/>
      <w:spacing w:before="100" w:beforeAutospacing="1" w:after="100" w:afterAutospacing="1"/>
      <w:textAlignment w:val="auto"/>
    </w:pPr>
    <w:rPr>
      <w:sz w:val="24"/>
      <w:szCs w:val="24"/>
      <w:lang w:val="es-MX" w:eastAsia="es-MX"/>
    </w:rPr>
  </w:style>
  <w:style w:type="character" w:customStyle="1" w:styleId="caracteresdenotaalpie">
    <w:name w:val="caracteresdenotaalpie"/>
    <w:rsid w:val="00C30B06"/>
  </w:style>
  <w:style w:type="paragraph" w:styleId="Prrafodelista">
    <w:name w:val="List Paragraph"/>
    <w:basedOn w:val="Normal"/>
    <w:uiPriority w:val="34"/>
    <w:qFormat/>
    <w:rsid w:val="00D92661"/>
    <w:pPr>
      <w:overflowPunct/>
      <w:autoSpaceDE/>
      <w:autoSpaceDN/>
      <w:adjustRightInd/>
      <w:spacing w:before="100" w:beforeAutospacing="1" w:after="100" w:afterAutospacing="1"/>
      <w:textAlignment w:val="auto"/>
    </w:pPr>
    <w:rPr>
      <w:sz w:val="24"/>
      <w:szCs w:val="24"/>
    </w:rPr>
  </w:style>
  <w:style w:type="paragraph" w:styleId="Textoindependiente">
    <w:name w:val="Body Text"/>
    <w:basedOn w:val="Normal"/>
    <w:link w:val="TextoindependienteCar"/>
    <w:rsid w:val="00D92661"/>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D92661"/>
    <w:rPr>
      <w:rFonts w:ascii="Courier New" w:eastAsia="Times New Roman" w:hAnsi="Courier New" w:cs="Times New Roman"/>
      <w:sz w:val="24"/>
      <w:szCs w:val="20"/>
      <w:lang w:eastAsia="es-ES"/>
    </w:rPr>
  </w:style>
  <w:style w:type="paragraph" w:styleId="Textodeglobo">
    <w:name w:val="Balloon Text"/>
    <w:basedOn w:val="Normal"/>
    <w:link w:val="TextodegloboCar"/>
    <w:uiPriority w:val="99"/>
    <w:semiHidden/>
    <w:unhideWhenUsed/>
    <w:rsid w:val="00825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86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0629-B7B6-4707-9514-0A3E7C8E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2630</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cp:lastPrinted>2018-03-06T12:36:00Z</cp:lastPrinted>
  <dcterms:created xsi:type="dcterms:W3CDTF">2018-03-06T12:35:00Z</dcterms:created>
  <dcterms:modified xsi:type="dcterms:W3CDTF">2018-04-12T15:30:00Z</dcterms:modified>
</cp:coreProperties>
</file>