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16" w:rsidRPr="007F2616" w:rsidRDefault="007F2616" w:rsidP="007F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eastAsia="Calibri" w:hAnsi="Calibri" w:cs="Calibri"/>
          <w:color w:val="FF0000"/>
          <w:sz w:val="16"/>
          <w:szCs w:val="16"/>
          <w:lang w:val="es-CO" w:eastAsia="fr-FR"/>
        </w:rPr>
      </w:pPr>
      <w:bookmarkStart w:id="0" w:name="_GoBack"/>
      <w:bookmarkEnd w:id="0"/>
      <w:r w:rsidRPr="007F2616">
        <w:rPr>
          <w:rFonts w:ascii="Calibri" w:eastAsia="Calibri" w:hAnsi="Calibri" w:cs="Calibri"/>
          <w:color w:val="FF0000"/>
          <w:sz w:val="16"/>
          <w:szCs w:val="16"/>
          <w:lang w:val="es-CO" w:eastAsia="fr-FR"/>
        </w:rPr>
        <w:t xml:space="preserve">El siguiente es el documento presentado por el Magistrado. </w:t>
      </w:r>
    </w:p>
    <w:p w:rsidR="007F2616" w:rsidRPr="007F2616" w:rsidRDefault="007F2616" w:rsidP="007F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0"/>
        <w:jc w:val="center"/>
        <w:rPr>
          <w:rFonts w:ascii="Calibri" w:eastAsia="Calibri" w:hAnsi="Calibri" w:cs="Calibri"/>
          <w:color w:val="222222"/>
          <w:sz w:val="22"/>
          <w:szCs w:val="22"/>
          <w:lang w:val="es-CO" w:eastAsia="fr-FR"/>
        </w:rPr>
      </w:pPr>
      <w:r w:rsidRPr="007F2616">
        <w:rPr>
          <w:rFonts w:ascii="Calibri" w:eastAsia="Calibri" w:hAnsi="Calibri" w:cs="Calibri"/>
          <w:color w:val="FF0000"/>
          <w:sz w:val="16"/>
          <w:szCs w:val="16"/>
          <w:lang w:val="es-CO" w:eastAsia="fr-FR"/>
        </w:rPr>
        <w:t>El contenido total y fiel debe ser verificado en la Secretaría de esta Sala.</w:t>
      </w:r>
      <w:r w:rsidRPr="007F261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 </w:t>
      </w:r>
    </w:p>
    <w:p w:rsidR="007F2616" w:rsidRPr="007F2616" w:rsidRDefault="007F2616" w:rsidP="007F2616">
      <w:pPr>
        <w:shd w:val="clear" w:color="auto" w:fill="FFFFFF"/>
        <w:ind w:left="2124" w:hanging="2124"/>
        <w:jc w:val="both"/>
        <w:rPr>
          <w:rFonts w:ascii="Calibri" w:hAnsi="Calibri" w:cs="Calibri"/>
          <w:color w:val="222222"/>
          <w:sz w:val="18"/>
          <w:szCs w:val="18"/>
          <w:lang w:val="es-CO" w:eastAsia="fr-FR"/>
        </w:rPr>
      </w:pPr>
      <w:r w:rsidRPr="007F2616">
        <w:rPr>
          <w:rFonts w:ascii="Calibri" w:hAnsi="Calibri" w:cs="Calibri"/>
          <w:color w:val="222222"/>
          <w:sz w:val="18"/>
          <w:szCs w:val="18"/>
          <w:lang w:val="es-CO" w:eastAsia="fr-FR"/>
        </w:rPr>
        <w:t>Providencia:</w:t>
      </w:r>
      <w:r w:rsidRPr="007F2616">
        <w:rPr>
          <w:rFonts w:ascii="Calibri" w:hAnsi="Calibri" w:cs="Calibri"/>
          <w:color w:val="222222"/>
          <w:sz w:val="18"/>
          <w:szCs w:val="18"/>
          <w:lang w:val="es-CO" w:eastAsia="fr-FR"/>
        </w:rPr>
        <w:tab/>
        <w:t>Auto  - 2ª instancia - 07 de febrero de 2018</w:t>
      </w:r>
    </w:p>
    <w:p w:rsidR="007F2616" w:rsidRPr="007F2616" w:rsidRDefault="007F2616" w:rsidP="007F2616">
      <w:pPr>
        <w:shd w:val="clear" w:color="auto" w:fill="FFFFFF"/>
        <w:tabs>
          <w:tab w:val="left" w:pos="1418"/>
          <w:tab w:val="left" w:pos="2078"/>
          <w:tab w:val="left" w:pos="2127"/>
          <w:tab w:val="center" w:pos="3898"/>
        </w:tabs>
        <w:ind w:left="2078" w:hanging="2078"/>
        <w:jc w:val="both"/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</w:pPr>
      <w:r w:rsidRPr="007F261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 xml:space="preserve">Proceso: </w:t>
      </w:r>
      <w:r w:rsidRPr="007F261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ab/>
      </w:r>
      <w:r w:rsidRPr="007F261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ab/>
        <w:t>Ejecutivo</w:t>
      </w:r>
      <w:r w:rsidRPr="007F2616">
        <w:rPr>
          <w:rFonts w:ascii="Calibri" w:eastAsia="Calibri" w:hAnsi="Calibri" w:cs="Calibri"/>
          <w:color w:val="222222"/>
          <w:spacing w:val="-6"/>
          <w:sz w:val="18"/>
          <w:szCs w:val="18"/>
          <w:lang w:val="es-CO" w:eastAsia="fr-FR"/>
        </w:rPr>
        <w:t xml:space="preserve"> </w:t>
      </w:r>
      <w:r w:rsidRPr="007F2616">
        <w:rPr>
          <w:rFonts w:ascii="Calibri" w:hAnsi="Calibri" w:cs="Calibri"/>
          <w:color w:val="222222"/>
          <w:sz w:val="18"/>
          <w:szCs w:val="18"/>
          <w:lang w:val="es-CO" w:eastAsia="fr-FR"/>
        </w:rPr>
        <w:t>–</w:t>
      </w:r>
      <w:r w:rsidRPr="007F2616">
        <w:rPr>
          <w:rFonts w:ascii="Calibri" w:eastAsia="Calibri" w:hAnsi="Calibri" w:cs="Calibri"/>
          <w:color w:val="222222"/>
          <w:spacing w:val="-6"/>
          <w:sz w:val="18"/>
          <w:szCs w:val="18"/>
          <w:lang w:val="es-CO" w:eastAsia="fr-FR"/>
        </w:rPr>
        <w:t xml:space="preserve"> Confirma </w:t>
      </w:r>
      <w:proofErr w:type="spellStart"/>
      <w:r w:rsidRPr="007F2616">
        <w:rPr>
          <w:rFonts w:ascii="Calibri" w:eastAsia="Calibri" w:hAnsi="Calibri" w:cs="Calibri"/>
          <w:color w:val="222222"/>
          <w:spacing w:val="-6"/>
          <w:sz w:val="18"/>
          <w:szCs w:val="18"/>
          <w:lang w:eastAsia="fr-FR"/>
        </w:rPr>
        <w:t>inembargabilidad</w:t>
      </w:r>
      <w:proofErr w:type="spellEnd"/>
      <w:r w:rsidRPr="007F2616">
        <w:rPr>
          <w:rFonts w:ascii="Calibri" w:eastAsia="Calibri" w:hAnsi="Calibri" w:cs="Calibri"/>
          <w:color w:val="222222"/>
          <w:spacing w:val="-6"/>
          <w:sz w:val="18"/>
          <w:szCs w:val="18"/>
          <w:lang w:eastAsia="fr-FR"/>
        </w:rPr>
        <w:t xml:space="preserve"> de los recursos provenientes del Sistema General de Participaciones</w:t>
      </w:r>
    </w:p>
    <w:p w:rsidR="007F2616" w:rsidRPr="007F2616" w:rsidRDefault="007F2616" w:rsidP="007F2616">
      <w:pPr>
        <w:shd w:val="clear" w:color="auto" w:fill="FFFFFF"/>
        <w:tabs>
          <w:tab w:val="left" w:pos="1418"/>
          <w:tab w:val="left" w:pos="2078"/>
          <w:tab w:val="left" w:pos="2127"/>
          <w:tab w:val="center" w:pos="3898"/>
        </w:tabs>
        <w:jc w:val="both"/>
        <w:rPr>
          <w:rFonts w:ascii="Calibri" w:eastAsia="Calibri" w:hAnsi="Calibri" w:cs="Calibri"/>
          <w:bCs/>
          <w:color w:val="222222"/>
          <w:sz w:val="18"/>
          <w:szCs w:val="18"/>
          <w:lang w:eastAsia="fr-FR"/>
        </w:rPr>
      </w:pPr>
      <w:r w:rsidRPr="007F261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Radicación Nro. :</w:t>
      </w:r>
      <w:r w:rsidRPr="007F261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ab/>
        <w:t xml:space="preserve">  </w:t>
      </w:r>
      <w:r w:rsidRPr="007F261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ab/>
        <w:t xml:space="preserve"> </w:t>
      </w:r>
      <w:r w:rsidRPr="007F2616">
        <w:rPr>
          <w:rFonts w:ascii="Calibri" w:eastAsia="Calibri" w:hAnsi="Calibri" w:cs="Calibri"/>
          <w:bCs/>
          <w:color w:val="222222"/>
          <w:sz w:val="18"/>
          <w:szCs w:val="18"/>
          <w:lang w:eastAsia="fr-FR"/>
        </w:rPr>
        <w:t>66001-31-03-003-2017-00175-01</w:t>
      </w:r>
    </w:p>
    <w:p w:rsidR="007F2616" w:rsidRPr="007F2616" w:rsidRDefault="007F2616" w:rsidP="007F2616">
      <w:pPr>
        <w:shd w:val="clear" w:color="auto" w:fill="FFFFFF"/>
        <w:tabs>
          <w:tab w:val="left" w:pos="1418"/>
          <w:tab w:val="left" w:pos="2127"/>
        </w:tabs>
        <w:jc w:val="both"/>
        <w:rPr>
          <w:rFonts w:ascii="Calibri" w:eastAsia="Calibri" w:hAnsi="Calibri" w:cs="Calibri"/>
          <w:bCs/>
          <w:color w:val="222222"/>
          <w:sz w:val="18"/>
          <w:szCs w:val="18"/>
          <w:lang w:val="es-ES_tradnl" w:eastAsia="fr-FR"/>
        </w:rPr>
      </w:pPr>
      <w:r w:rsidRPr="007F2616">
        <w:rPr>
          <w:rFonts w:ascii="Calibri" w:eastAsia="Calibri" w:hAnsi="Calibri" w:cs="Calibri"/>
          <w:bCs/>
          <w:color w:val="222222"/>
          <w:sz w:val="18"/>
          <w:szCs w:val="18"/>
          <w:lang w:val="es-ES_tradnl" w:eastAsia="fr-FR"/>
        </w:rPr>
        <w:t xml:space="preserve">Demandante: </w:t>
      </w:r>
      <w:r w:rsidRPr="007F2616">
        <w:rPr>
          <w:rFonts w:ascii="Calibri" w:eastAsia="Calibri" w:hAnsi="Calibri" w:cs="Calibri"/>
          <w:bCs/>
          <w:color w:val="222222"/>
          <w:sz w:val="18"/>
          <w:szCs w:val="18"/>
          <w:lang w:val="es-ES_tradnl" w:eastAsia="fr-FR"/>
        </w:rPr>
        <w:tab/>
      </w:r>
      <w:r w:rsidRPr="007F2616">
        <w:rPr>
          <w:rFonts w:ascii="Calibri" w:eastAsia="Calibri" w:hAnsi="Calibri" w:cs="Calibri"/>
          <w:bCs/>
          <w:color w:val="222222"/>
          <w:sz w:val="18"/>
          <w:szCs w:val="18"/>
          <w:lang w:val="es-ES_tradnl" w:eastAsia="fr-FR"/>
        </w:rPr>
        <w:tab/>
      </w:r>
      <w:r w:rsidRPr="007F2616">
        <w:rPr>
          <w:rFonts w:ascii="Calibri" w:eastAsia="Calibri" w:hAnsi="Calibri" w:cs="Calibri"/>
          <w:bCs/>
          <w:color w:val="222222"/>
          <w:sz w:val="18"/>
          <w:szCs w:val="18"/>
          <w:lang w:eastAsia="fr-FR"/>
        </w:rPr>
        <w:t xml:space="preserve">CLÍNICA VER BIEN </w:t>
      </w:r>
      <w:proofErr w:type="spellStart"/>
      <w:r w:rsidRPr="007F2616">
        <w:rPr>
          <w:rFonts w:ascii="Calibri" w:eastAsia="Calibri" w:hAnsi="Calibri" w:cs="Calibri"/>
          <w:bCs/>
          <w:color w:val="222222"/>
          <w:sz w:val="18"/>
          <w:szCs w:val="18"/>
          <w:lang w:eastAsia="fr-FR"/>
        </w:rPr>
        <w:t>S.A</w:t>
      </w:r>
      <w:proofErr w:type="spellEnd"/>
      <w:r w:rsidRPr="007F2616">
        <w:rPr>
          <w:rFonts w:ascii="Calibri" w:eastAsia="Calibri" w:hAnsi="Calibri" w:cs="Calibri"/>
          <w:bCs/>
          <w:color w:val="222222"/>
          <w:sz w:val="18"/>
          <w:szCs w:val="18"/>
          <w:lang w:val="es-ES_tradnl" w:eastAsia="fr-FR"/>
        </w:rPr>
        <w:t xml:space="preserve"> </w:t>
      </w:r>
    </w:p>
    <w:p w:rsidR="007F2616" w:rsidRPr="007F2616" w:rsidRDefault="007F2616" w:rsidP="007F2616">
      <w:pPr>
        <w:shd w:val="clear" w:color="auto" w:fill="FFFFFF"/>
        <w:tabs>
          <w:tab w:val="left" w:pos="1418"/>
          <w:tab w:val="left" w:pos="2127"/>
        </w:tabs>
        <w:jc w:val="both"/>
        <w:rPr>
          <w:rFonts w:ascii="Calibri" w:eastAsia="Calibri" w:hAnsi="Calibri" w:cs="Calibri"/>
          <w:color w:val="222222"/>
          <w:sz w:val="18"/>
          <w:szCs w:val="18"/>
          <w:lang w:eastAsia="fr-FR"/>
        </w:rPr>
      </w:pPr>
      <w:r w:rsidRPr="007F2616">
        <w:rPr>
          <w:rFonts w:ascii="Calibri" w:eastAsia="Calibri" w:hAnsi="Calibri" w:cs="Calibri"/>
          <w:bCs/>
          <w:color w:val="222222"/>
          <w:sz w:val="18"/>
          <w:szCs w:val="18"/>
          <w:lang w:val="es-ES_tradnl" w:eastAsia="fr-FR"/>
        </w:rPr>
        <w:t>Demandado:</w:t>
      </w:r>
      <w:r w:rsidRPr="007F2616">
        <w:rPr>
          <w:rFonts w:ascii="Calibri" w:eastAsia="Calibri" w:hAnsi="Calibri" w:cs="Calibri"/>
          <w:bCs/>
          <w:color w:val="222222"/>
          <w:sz w:val="18"/>
          <w:szCs w:val="18"/>
          <w:lang w:val="es-ES_tradnl" w:eastAsia="fr-FR"/>
        </w:rPr>
        <w:tab/>
      </w:r>
      <w:r w:rsidRPr="007F2616">
        <w:rPr>
          <w:rFonts w:ascii="Calibri" w:eastAsia="Calibri" w:hAnsi="Calibri" w:cs="Calibri"/>
          <w:bCs/>
          <w:color w:val="222222"/>
          <w:sz w:val="18"/>
          <w:szCs w:val="18"/>
          <w:lang w:val="es-ES_tradnl" w:eastAsia="fr-FR"/>
        </w:rPr>
        <w:tab/>
      </w:r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eastAsia="fr-FR"/>
        </w:rPr>
        <w:t xml:space="preserve">COOMEVA </w:t>
      </w:r>
      <w:proofErr w:type="spellStart"/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eastAsia="fr-FR"/>
        </w:rPr>
        <w:t>EPS</w:t>
      </w:r>
      <w:proofErr w:type="spellEnd"/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eastAsia="fr-FR"/>
        </w:rPr>
        <w:t xml:space="preserve"> S.A.</w:t>
      </w:r>
    </w:p>
    <w:p w:rsidR="007F2616" w:rsidRPr="007F2616" w:rsidRDefault="007F2616" w:rsidP="007F2616">
      <w:pPr>
        <w:shd w:val="clear" w:color="auto" w:fill="FFFFFF"/>
        <w:tabs>
          <w:tab w:val="left" w:pos="1418"/>
          <w:tab w:val="left" w:pos="2078"/>
          <w:tab w:val="left" w:pos="2127"/>
        </w:tabs>
        <w:jc w:val="both"/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</w:pPr>
      <w:r w:rsidRPr="007F2616">
        <w:rPr>
          <w:rFonts w:ascii="Calibri" w:eastAsia="Calibri" w:hAnsi="Calibri" w:cs="Calibri"/>
          <w:color w:val="222222"/>
          <w:sz w:val="18"/>
          <w:szCs w:val="18"/>
          <w:lang w:val="es-MX" w:eastAsia="fr-FR"/>
        </w:rPr>
        <w:t xml:space="preserve">Magistrado Ponente: </w:t>
      </w:r>
      <w:r w:rsidRPr="007F2616">
        <w:rPr>
          <w:rFonts w:ascii="Calibri" w:eastAsia="Calibri" w:hAnsi="Calibri" w:cs="Calibri"/>
          <w:color w:val="222222"/>
          <w:sz w:val="18"/>
          <w:szCs w:val="18"/>
          <w:lang w:val="es-MX" w:eastAsia="fr-FR"/>
        </w:rPr>
        <w:tab/>
      </w:r>
      <w:r w:rsidRPr="007F2616">
        <w:rPr>
          <w:rFonts w:ascii="Calibri" w:eastAsia="Calibri" w:hAnsi="Calibri" w:cs="Calibri"/>
          <w:color w:val="222222"/>
          <w:sz w:val="18"/>
          <w:szCs w:val="18"/>
          <w:lang w:val="es-MX" w:eastAsia="fr-FR"/>
        </w:rPr>
        <w:tab/>
      </w:r>
      <w:proofErr w:type="spellStart"/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>EDDER</w:t>
      </w:r>
      <w:proofErr w:type="spellEnd"/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 xml:space="preserve"> JIMMY SÁNCHEZ </w:t>
      </w:r>
      <w:proofErr w:type="spellStart"/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>CALAMBÁS</w:t>
      </w:r>
      <w:proofErr w:type="spellEnd"/>
    </w:p>
    <w:p w:rsidR="007F2616" w:rsidRPr="007F2616" w:rsidRDefault="007F2616" w:rsidP="007F2616">
      <w:pPr>
        <w:shd w:val="clear" w:color="auto" w:fill="FFFFFF"/>
        <w:tabs>
          <w:tab w:val="left" w:pos="1418"/>
          <w:tab w:val="left" w:pos="2127"/>
        </w:tabs>
        <w:jc w:val="both"/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</w:pPr>
    </w:p>
    <w:p w:rsidR="007F2616" w:rsidRPr="007F2616" w:rsidRDefault="007F2616" w:rsidP="007F2616">
      <w:pPr>
        <w:shd w:val="clear" w:color="auto" w:fill="FFFFFF"/>
        <w:spacing w:after="200"/>
        <w:jc w:val="both"/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</w:pPr>
      <w:r w:rsidRPr="007F2616">
        <w:rPr>
          <w:rFonts w:ascii="Calibri" w:eastAsia="Calibri" w:hAnsi="Calibri" w:cs="Calibri"/>
          <w:b/>
          <w:color w:val="222222"/>
          <w:sz w:val="18"/>
          <w:szCs w:val="18"/>
          <w:lang w:val="es-MX" w:eastAsia="fr-FR"/>
        </w:rPr>
        <w:t>Temas:</w:t>
      </w:r>
      <w:r w:rsidRPr="007F2616">
        <w:rPr>
          <w:rFonts w:ascii="Calibri" w:eastAsia="Calibri" w:hAnsi="Calibri" w:cs="Calibri"/>
          <w:b/>
          <w:color w:val="222222"/>
          <w:sz w:val="18"/>
          <w:szCs w:val="18"/>
          <w:lang w:val="es-MX" w:eastAsia="fr-FR"/>
        </w:rPr>
        <w:tab/>
      </w:r>
      <w:r w:rsidRPr="007F2616">
        <w:rPr>
          <w:rFonts w:ascii="Calibri" w:eastAsia="Calibri" w:hAnsi="Calibri" w:cs="Calibri"/>
          <w:b/>
          <w:color w:val="222222"/>
          <w:sz w:val="18"/>
          <w:szCs w:val="18"/>
          <w:lang w:val="es-MX" w:eastAsia="fr-FR"/>
        </w:rPr>
        <w:tab/>
      </w:r>
      <w:r w:rsidRPr="007F2616">
        <w:rPr>
          <w:rFonts w:ascii="Calibri" w:eastAsia="Calibri" w:hAnsi="Calibri" w:cs="Calibri"/>
          <w:b/>
          <w:color w:val="222222"/>
          <w:sz w:val="18"/>
          <w:szCs w:val="18"/>
          <w:lang w:val="es-MX" w:eastAsia="fr-FR"/>
        </w:rPr>
        <w:tab/>
      </w:r>
      <w:r w:rsidRPr="007F2616">
        <w:rPr>
          <w:rFonts w:ascii="Calibri" w:eastAsia="Calibri" w:hAnsi="Calibri" w:cs="Calibri"/>
          <w:b/>
          <w:bCs/>
          <w:iCs/>
          <w:color w:val="222222"/>
          <w:sz w:val="18"/>
          <w:szCs w:val="18"/>
          <w:lang w:eastAsia="fr-FR"/>
        </w:rPr>
        <w:t xml:space="preserve">PRINCIPIO DE </w:t>
      </w:r>
      <w:proofErr w:type="spellStart"/>
      <w:r w:rsidRPr="007F2616">
        <w:rPr>
          <w:rFonts w:ascii="Calibri" w:eastAsia="Calibri" w:hAnsi="Calibri" w:cs="Calibri"/>
          <w:b/>
          <w:bCs/>
          <w:iCs/>
          <w:color w:val="222222"/>
          <w:sz w:val="18"/>
          <w:szCs w:val="18"/>
          <w:lang w:eastAsia="fr-FR"/>
        </w:rPr>
        <w:t>INEMBARGABILIDAD</w:t>
      </w:r>
      <w:proofErr w:type="spellEnd"/>
      <w:r w:rsidRPr="007F2616">
        <w:rPr>
          <w:rFonts w:ascii="Calibri" w:eastAsia="Calibri" w:hAnsi="Calibri" w:cs="Calibri"/>
          <w:b/>
          <w:bCs/>
          <w:iCs/>
          <w:color w:val="222222"/>
          <w:sz w:val="18"/>
          <w:szCs w:val="18"/>
          <w:lang w:eastAsia="fr-FR"/>
        </w:rPr>
        <w:t xml:space="preserve"> DE LOS RECURSOS DEL SISTEMA GENERAL DE PARTICIPACIONES</w:t>
      </w:r>
      <w:r w:rsidRPr="007F2616">
        <w:rPr>
          <w:rFonts w:ascii="Calibri" w:eastAsia="Calibri" w:hAnsi="Calibri" w:cs="Calibri"/>
          <w:b/>
          <w:color w:val="222222"/>
          <w:sz w:val="18"/>
          <w:szCs w:val="18"/>
          <w:lang w:val="es-MX" w:eastAsia="fr-FR"/>
        </w:rPr>
        <w:t xml:space="preserve">. </w:t>
      </w:r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 xml:space="preserve">En verdad el principio de </w:t>
      </w:r>
      <w:proofErr w:type="spellStart"/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>inembargabilidad</w:t>
      </w:r>
      <w:proofErr w:type="spellEnd"/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 xml:space="preserve"> de los recursos del </w:t>
      </w:r>
      <w:proofErr w:type="spellStart"/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>SGP</w:t>
      </w:r>
      <w:proofErr w:type="spellEnd"/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 xml:space="preserve"> no es absoluto, la excepción que reclama el recurrente es de aquellas que la doctrina constitucional ha reconocido, no obstante, también lo es que las salvedades constitucionales solo son oponibles a </w:t>
      </w:r>
      <w:r w:rsidRPr="007F2616">
        <w:rPr>
          <w:rFonts w:ascii="Calibri" w:eastAsia="Calibri" w:hAnsi="Calibri" w:cs="Calibri"/>
          <w:bCs/>
          <w:i/>
          <w:iCs/>
          <w:color w:val="222222"/>
          <w:sz w:val="18"/>
          <w:szCs w:val="18"/>
          <w:lang w:val="es-CO" w:eastAsia="fr-FR"/>
        </w:rPr>
        <w:t xml:space="preserve">“…créditos a cargo de las entidades territoriales…”, </w:t>
      </w:r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>esto es,</w:t>
      </w:r>
      <w:r w:rsidRPr="007F2616">
        <w:rPr>
          <w:rFonts w:ascii="Calibri" w:eastAsia="Calibri" w:hAnsi="Calibri" w:cs="Calibri"/>
          <w:bCs/>
          <w:i/>
          <w:iCs/>
          <w:color w:val="222222"/>
          <w:sz w:val="18"/>
          <w:szCs w:val="18"/>
          <w:lang w:val="es-CO" w:eastAsia="fr-FR"/>
        </w:rPr>
        <w:t xml:space="preserve"> </w:t>
      </w:r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 xml:space="preserve">al Estado en calidad de deudor, hipótesis que, no se verifica en esta oportunidad, la ejecución que aquí se adelanta es contra una entidad del sector privado y el manejo que la hace de recursos del </w:t>
      </w:r>
      <w:proofErr w:type="spellStart"/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>SGP</w:t>
      </w:r>
      <w:proofErr w:type="spellEnd"/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 xml:space="preserve">, no transforma su condición de empresa comercial, menos aún modifica la naturaleza parafiscal de dichos dineros. De tal manera ha sido entendido en providencias anteriores. Para la Corte Constitucional, la </w:t>
      </w:r>
      <w:proofErr w:type="spellStart"/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>inembargabilidad</w:t>
      </w:r>
      <w:proofErr w:type="spellEnd"/>
      <w:r w:rsidRPr="007F2616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 xml:space="preserve"> de los recursos que las entidades territoriales reciban del Sistema General de Participaciones, con destino a los sectores salud, educación y de propósito general, constituye un desarrollo legislativo razonable de lo dispuesto en el artículo 63 constitucional. De allí que la protección de estos recursos, tiene como finalidad cumplir las funciones sectoriales a cargo de las entidades territoriales, por esta razón, no pueden sujetarse a la eventualidad de medidas cautelares que obstaculicen e impidan la ejecución de los planes y programas respectivos (sentencias C-793 de 2002 y C-566 de 2003). </w:t>
      </w:r>
    </w:p>
    <w:p w:rsidR="001735E7" w:rsidRPr="007F2616" w:rsidRDefault="001735E7" w:rsidP="001735E7">
      <w:pPr>
        <w:spacing w:line="360" w:lineRule="auto"/>
        <w:ind w:firstLine="2835"/>
        <w:rPr>
          <w:rFonts w:ascii="Arial" w:hAnsi="Arial" w:cs="Arial"/>
          <w:b/>
          <w:bCs/>
          <w:sz w:val="26"/>
          <w:szCs w:val="26"/>
          <w:lang w:val="es-CO"/>
        </w:rPr>
      </w:pPr>
    </w:p>
    <w:p w:rsidR="001735E7" w:rsidRPr="00DC631D" w:rsidRDefault="001735E7" w:rsidP="001735E7">
      <w:pPr>
        <w:spacing w:line="360" w:lineRule="auto"/>
        <w:ind w:firstLine="2835"/>
        <w:rPr>
          <w:rFonts w:ascii="Arial" w:hAnsi="Arial" w:cs="Arial"/>
          <w:b/>
          <w:bCs/>
          <w:sz w:val="25"/>
          <w:szCs w:val="25"/>
        </w:rPr>
      </w:pPr>
      <w:r w:rsidRPr="00DC631D">
        <w:rPr>
          <w:rFonts w:ascii="Arial" w:hAnsi="Arial" w:cs="Arial"/>
          <w:b/>
          <w:bCs/>
          <w:sz w:val="25"/>
          <w:szCs w:val="25"/>
        </w:rPr>
        <w:t>TRIBUNAL SUPERIOR DE PEREIRA</w:t>
      </w:r>
    </w:p>
    <w:p w:rsidR="001735E7" w:rsidRPr="00DC631D" w:rsidRDefault="001735E7" w:rsidP="001735E7">
      <w:pPr>
        <w:spacing w:line="360" w:lineRule="auto"/>
        <w:ind w:firstLine="2835"/>
        <w:rPr>
          <w:rFonts w:ascii="Arial" w:hAnsi="Arial" w:cs="Arial"/>
          <w:b/>
          <w:bCs/>
          <w:sz w:val="25"/>
          <w:szCs w:val="25"/>
        </w:rPr>
      </w:pPr>
      <w:r w:rsidRPr="00DC631D">
        <w:rPr>
          <w:rFonts w:ascii="Arial" w:hAnsi="Arial" w:cs="Arial"/>
          <w:b/>
          <w:bCs/>
          <w:sz w:val="25"/>
          <w:szCs w:val="25"/>
        </w:rPr>
        <w:t>Sala de Decisión Civil Familia</w:t>
      </w:r>
    </w:p>
    <w:p w:rsidR="001735E7" w:rsidRPr="000B1BFA" w:rsidRDefault="001735E7" w:rsidP="001735E7">
      <w:pPr>
        <w:spacing w:line="360" w:lineRule="auto"/>
        <w:ind w:firstLine="2835"/>
        <w:rPr>
          <w:rFonts w:ascii="Arial" w:hAnsi="Arial" w:cs="Arial"/>
          <w:bCs/>
          <w:sz w:val="16"/>
          <w:szCs w:val="26"/>
        </w:rPr>
      </w:pPr>
    </w:p>
    <w:p w:rsidR="001735E7" w:rsidRPr="001735E7" w:rsidRDefault="001735E7" w:rsidP="001735E7">
      <w:pPr>
        <w:spacing w:line="360" w:lineRule="auto"/>
        <w:ind w:firstLine="2835"/>
        <w:rPr>
          <w:rFonts w:ascii="Arial" w:hAnsi="Arial" w:cs="Arial"/>
          <w:bCs/>
          <w:sz w:val="24"/>
          <w:szCs w:val="24"/>
        </w:rPr>
      </w:pPr>
      <w:r w:rsidRPr="001735E7">
        <w:rPr>
          <w:rFonts w:ascii="Arial" w:hAnsi="Arial" w:cs="Arial"/>
          <w:bCs/>
          <w:sz w:val="24"/>
          <w:szCs w:val="24"/>
        </w:rPr>
        <w:t xml:space="preserve">Magistrado: </w:t>
      </w:r>
      <w:proofErr w:type="spellStart"/>
      <w:r w:rsidRPr="0061509F">
        <w:rPr>
          <w:rFonts w:ascii="Arial" w:hAnsi="Arial" w:cs="Arial"/>
          <w:b/>
          <w:bCs/>
          <w:sz w:val="22"/>
          <w:szCs w:val="24"/>
        </w:rPr>
        <w:t>EDDER</w:t>
      </w:r>
      <w:proofErr w:type="spellEnd"/>
      <w:r w:rsidRPr="0061509F">
        <w:rPr>
          <w:rFonts w:ascii="Arial" w:hAnsi="Arial" w:cs="Arial"/>
          <w:b/>
          <w:bCs/>
          <w:sz w:val="22"/>
          <w:szCs w:val="24"/>
        </w:rPr>
        <w:t xml:space="preserve"> JIMMY SÁNCHEZ </w:t>
      </w:r>
      <w:proofErr w:type="spellStart"/>
      <w:r w:rsidRPr="0061509F">
        <w:rPr>
          <w:rFonts w:ascii="Arial" w:hAnsi="Arial" w:cs="Arial"/>
          <w:b/>
          <w:bCs/>
          <w:sz w:val="22"/>
          <w:szCs w:val="24"/>
        </w:rPr>
        <w:t>CALAMBÁS</w:t>
      </w:r>
      <w:proofErr w:type="spellEnd"/>
    </w:p>
    <w:p w:rsidR="001735E7" w:rsidRPr="001735E7" w:rsidRDefault="001735E7" w:rsidP="001735E7">
      <w:pPr>
        <w:spacing w:line="360" w:lineRule="auto"/>
        <w:ind w:firstLine="2835"/>
        <w:rPr>
          <w:rFonts w:ascii="Arial" w:hAnsi="Arial" w:cs="Arial"/>
          <w:bCs/>
          <w:sz w:val="24"/>
          <w:szCs w:val="24"/>
        </w:rPr>
      </w:pPr>
      <w:r w:rsidRPr="001735E7">
        <w:rPr>
          <w:rFonts w:ascii="Arial" w:hAnsi="Arial" w:cs="Arial"/>
          <w:bCs/>
          <w:sz w:val="24"/>
          <w:szCs w:val="24"/>
        </w:rPr>
        <w:t xml:space="preserve">Pereira, </w:t>
      </w:r>
      <w:r w:rsidR="00F67193">
        <w:rPr>
          <w:rFonts w:ascii="Arial" w:hAnsi="Arial" w:cs="Arial"/>
          <w:bCs/>
          <w:sz w:val="24"/>
          <w:szCs w:val="24"/>
        </w:rPr>
        <w:t>siete</w:t>
      </w:r>
      <w:r w:rsidR="00AD5C9C">
        <w:rPr>
          <w:rFonts w:ascii="Arial" w:hAnsi="Arial" w:cs="Arial"/>
          <w:bCs/>
          <w:sz w:val="24"/>
          <w:szCs w:val="24"/>
        </w:rPr>
        <w:t xml:space="preserve"> </w:t>
      </w:r>
      <w:r w:rsidR="00D011F8">
        <w:rPr>
          <w:rFonts w:ascii="Arial" w:hAnsi="Arial" w:cs="Arial"/>
          <w:bCs/>
          <w:sz w:val="24"/>
          <w:szCs w:val="24"/>
        </w:rPr>
        <w:t>(</w:t>
      </w:r>
      <w:r w:rsidR="00F67193">
        <w:rPr>
          <w:rFonts w:ascii="Arial" w:hAnsi="Arial" w:cs="Arial"/>
          <w:bCs/>
          <w:sz w:val="24"/>
          <w:szCs w:val="24"/>
        </w:rPr>
        <w:t>7</w:t>
      </w:r>
      <w:r w:rsidRPr="001735E7">
        <w:rPr>
          <w:rFonts w:ascii="Arial" w:hAnsi="Arial" w:cs="Arial"/>
          <w:bCs/>
          <w:sz w:val="24"/>
          <w:szCs w:val="24"/>
        </w:rPr>
        <w:t xml:space="preserve">) de </w:t>
      </w:r>
      <w:r w:rsidR="00AD5C9C">
        <w:rPr>
          <w:rFonts w:ascii="Arial" w:hAnsi="Arial" w:cs="Arial"/>
          <w:bCs/>
          <w:sz w:val="24"/>
          <w:szCs w:val="24"/>
        </w:rPr>
        <w:t>febrero</w:t>
      </w:r>
      <w:r w:rsidR="0004311E">
        <w:rPr>
          <w:rFonts w:ascii="Arial" w:hAnsi="Arial" w:cs="Arial"/>
          <w:bCs/>
          <w:sz w:val="24"/>
          <w:szCs w:val="24"/>
        </w:rPr>
        <w:t xml:space="preserve"> </w:t>
      </w:r>
      <w:r w:rsidRPr="001735E7">
        <w:rPr>
          <w:rFonts w:ascii="Arial" w:hAnsi="Arial" w:cs="Arial"/>
          <w:bCs/>
          <w:sz w:val="24"/>
          <w:szCs w:val="24"/>
        </w:rPr>
        <w:t>de 201</w:t>
      </w:r>
      <w:r w:rsidR="00AD5C9C">
        <w:rPr>
          <w:rFonts w:ascii="Arial" w:hAnsi="Arial" w:cs="Arial"/>
          <w:bCs/>
          <w:sz w:val="24"/>
          <w:szCs w:val="24"/>
        </w:rPr>
        <w:t>8</w:t>
      </w:r>
    </w:p>
    <w:p w:rsidR="001735E7" w:rsidRPr="001735E7" w:rsidRDefault="001735E7" w:rsidP="001735E7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1735E7">
        <w:rPr>
          <w:rFonts w:ascii="Arial" w:hAnsi="Arial" w:cs="Arial"/>
          <w:sz w:val="24"/>
          <w:szCs w:val="24"/>
        </w:rPr>
        <w:t>Expediente: 66001-31-03-00</w:t>
      </w:r>
      <w:r w:rsidR="00AD5C9C">
        <w:rPr>
          <w:rFonts w:ascii="Arial" w:hAnsi="Arial" w:cs="Arial"/>
          <w:sz w:val="24"/>
          <w:szCs w:val="24"/>
        </w:rPr>
        <w:t>3</w:t>
      </w:r>
      <w:r w:rsidR="009A25F1">
        <w:rPr>
          <w:rFonts w:ascii="Arial" w:hAnsi="Arial" w:cs="Arial"/>
          <w:sz w:val="24"/>
          <w:szCs w:val="24"/>
        </w:rPr>
        <w:t>-201</w:t>
      </w:r>
      <w:r w:rsidR="00AD5C9C">
        <w:rPr>
          <w:rFonts w:ascii="Arial" w:hAnsi="Arial" w:cs="Arial"/>
          <w:sz w:val="24"/>
          <w:szCs w:val="24"/>
        </w:rPr>
        <w:t>7</w:t>
      </w:r>
      <w:r w:rsidRPr="001735E7">
        <w:rPr>
          <w:rFonts w:ascii="Arial" w:hAnsi="Arial" w:cs="Arial"/>
          <w:sz w:val="24"/>
          <w:szCs w:val="24"/>
        </w:rPr>
        <w:t>-00</w:t>
      </w:r>
      <w:r w:rsidR="00AD5C9C">
        <w:rPr>
          <w:rFonts w:ascii="Arial" w:hAnsi="Arial" w:cs="Arial"/>
          <w:sz w:val="24"/>
          <w:szCs w:val="24"/>
        </w:rPr>
        <w:t>175</w:t>
      </w:r>
      <w:r w:rsidR="009A25F1">
        <w:rPr>
          <w:rFonts w:ascii="Arial" w:hAnsi="Arial" w:cs="Arial"/>
          <w:sz w:val="24"/>
          <w:szCs w:val="24"/>
        </w:rPr>
        <w:t>-01</w:t>
      </w:r>
    </w:p>
    <w:p w:rsidR="001735E7" w:rsidRPr="001735E7" w:rsidRDefault="001735E7" w:rsidP="001735E7">
      <w:pPr>
        <w:pStyle w:val="Sinespaciado1"/>
        <w:spacing w:line="360" w:lineRule="auto"/>
        <w:ind w:firstLine="2835"/>
        <w:rPr>
          <w:rFonts w:ascii="Arial" w:hAnsi="Arial" w:cs="Arial"/>
          <w:sz w:val="24"/>
          <w:szCs w:val="24"/>
          <w:lang w:val="es-ES" w:eastAsia="es-ES"/>
        </w:rPr>
      </w:pPr>
      <w:r w:rsidRPr="001735E7">
        <w:rPr>
          <w:rFonts w:ascii="Arial" w:hAnsi="Arial" w:cs="Arial"/>
          <w:sz w:val="24"/>
          <w:szCs w:val="24"/>
          <w:lang w:val="es-ES" w:eastAsia="es-ES"/>
        </w:rPr>
        <w:t>____________________________________</w:t>
      </w:r>
      <w:r>
        <w:rPr>
          <w:rFonts w:ascii="Arial" w:hAnsi="Arial" w:cs="Arial"/>
          <w:sz w:val="24"/>
          <w:szCs w:val="24"/>
          <w:lang w:val="es-ES" w:eastAsia="es-ES"/>
        </w:rPr>
        <w:t>______</w:t>
      </w:r>
      <w:r w:rsidRPr="001735E7">
        <w:rPr>
          <w:rFonts w:ascii="Arial" w:hAnsi="Arial" w:cs="Arial"/>
          <w:sz w:val="24"/>
          <w:szCs w:val="24"/>
          <w:lang w:val="es-ES" w:eastAsia="es-ES"/>
        </w:rPr>
        <w:t>__</w:t>
      </w:r>
    </w:p>
    <w:p w:rsidR="001735E7" w:rsidRDefault="001735E7" w:rsidP="001735E7">
      <w:pPr>
        <w:pStyle w:val="Sinespaciado1"/>
        <w:spacing w:line="360" w:lineRule="auto"/>
        <w:rPr>
          <w:rFonts w:ascii="Arial" w:hAnsi="Arial" w:cs="Arial"/>
          <w:sz w:val="26"/>
          <w:szCs w:val="26"/>
          <w:lang w:val="es-ES" w:eastAsia="es-ES"/>
        </w:rPr>
      </w:pPr>
    </w:p>
    <w:p w:rsidR="001735E7" w:rsidRPr="00AE5CB9" w:rsidRDefault="0000044B" w:rsidP="001735E7">
      <w:pPr>
        <w:pStyle w:val="Sinespaciado1"/>
        <w:spacing w:line="360" w:lineRule="auto"/>
        <w:ind w:left="2835"/>
        <w:rPr>
          <w:rFonts w:ascii="Arial" w:hAnsi="Arial" w:cs="Arial"/>
          <w:b/>
          <w:szCs w:val="26"/>
          <w:lang w:val="es-ES" w:eastAsia="es-ES"/>
        </w:rPr>
      </w:pPr>
      <w:r>
        <w:rPr>
          <w:rFonts w:ascii="Arial" w:hAnsi="Arial" w:cs="Arial"/>
          <w:b/>
          <w:szCs w:val="26"/>
          <w:lang w:val="es-ES" w:eastAsia="es-ES"/>
        </w:rPr>
        <w:t xml:space="preserve">I. </w:t>
      </w:r>
      <w:r w:rsidR="001735E7" w:rsidRPr="00AE5CB9">
        <w:rPr>
          <w:rFonts w:ascii="Arial" w:hAnsi="Arial" w:cs="Arial"/>
          <w:b/>
          <w:szCs w:val="26"/>
          <w:lang w:val="es-ES" w:eastAsia="es-ES"/>
        </w:rPr>
        <w:t>ASUNTO</w:t>
      </w:r>
    </w:p>
    <w:p w:rsidR="001735E7" w:rsidRPr="000B1BFA" w:rsidRDefault="001735E7" w:rsidP="001735E7">
      <w:pPr>
        <w:spacing w:line="360" w:lineRule="auto"/>
        <w:ind w:firstLine="1755"/>
        <w:jc w:val="both"/>
        <w:rPr>
          <w:rFonts w:ascii="Arial" w:hAnsi="Arial" w:cs="Arial"/>
          <w:sz w:val="16"/>
          <w:szCs w:val="28"/>
        </w:rPr>
      </w:pPr>
    </w:p>
    <w:p w:rsidR="0000044B" w:rsidRDefault="00305712" w:rsidP="0000044B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Decide </w:t>
      </w:r>
      <w:r w:rsidR="004532FC">
        <w:rPr>
          <w:rFonts w:ascii="Arial" w:hAnsi="Arial" w:cs="Arial"/>
          <w:bCs/>
          <w:sz w:val="26"/>
          <w:szCs w:val="26"/>
        </w:rPr>
        <w:t>esta</w:t>
      </w:r>
      <w:r>
        <w:rPr>
          <w:rFonts w:ascii="Arial" w:hAnsi="Arial" w:cs="Arial"/>
          <w:bCs/>
          <w:sz w:val="26"/>
          <w:szCs w:val="26"/>
        </w:rPr>
        <w:t xml:space="preserve"> Sala</w:t>
      </w:r>
      <w:r w:rsidR="004532FC">
        <w:rPr>
          <w:rFonts w:ascii="Arial" w:hAnsi="Arial" w:cs="Arial"/>
          <w:bCs/>
          <w:sz w:val="26"/>
          <w:szCs w:val="26"/>
        </w:rPr>
        <w:t xml:space="preserve"> Unitaria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1735E7" w:rsidRPr="000B1BFA">
        <w:rPr>
          <w:rFonts w:ascii="Arial" w:hAnsi="Arial" w:cs="Arial"/>
          <w:bCs/>
          <w:sz w:val="26"/>
          <w:szCs w:val="26"/>
        </w:rPr>
        <w:t xml:space="preserve">el recurso de apelación formulado </w:t>
      </w:r>
      <w:r w:rsidR="0076710F">
        <w:rPr>
          <w:rFonts w:ascii="Arial" w:hAnsi="Arial" w:cs="Arial"/>
          <w:bCs/>
          <w:sz w:val="26"/>
          <w:szCs w:val="26"/>
        </w:rPr>
        <w:t>a</w:t>
      </w:r>
      <w:r w:rsidR="001735E7" w:rsidRPr="000B1BFA">
        <w:rPr>
          <w:rFonts w:ascii="Arial" w:hAnsi="Arial" w:cs="Arial"/>
          <w:bCs/>
          <w:sz w:val="26"/>
          <w:szCs w:val="26"/>
        </w:rPr>
        <w:t xml:space="preserve">l auto </w:t>
      </w:r>
      <w:r w:rsidR="004532FC">
        <w:rPr>
          <w:rFonts w:ascii="Arial" w:hAnsi="Arial" w:cs="Arial"/>
          <w:bCs/>
          <w:sz w:val="26"/>
          <w:szCs w:val="26"/>
        </w:rPr>
        <w:t>d</w:t>
      </w:r>
      <w:r w:rsidR="001735E7" w:rsidRPr="000B1BFA">
        <w:rPr>
          <w:rFonts w:ascii="Arial" w:hAnsi="Arial" w:cs="Arial"/>
          <w:bCs/>
          <w:sz w:val="26"/>
          <w:szCs w:val="26"/>
        </w:rPr>
        <w:t xml:space="preserve">el </w:t>
      </w:r>
      <w:r w:rsidR="004532FC">
        <w:rPr>
          <w:rFonts w:ascii="Arial" w:hAnsi="Arial" w:cs="Arial"/>
          <w:bCs/>
          <w:sz w:val="26"/>
          <w:szCs w:val="26"/>
        </w:rPr>
        <w:t>1</w:t>
      </w:r>
      <w:r w:rsidR="001735E7">
        <w:rPr>
          <w:rFonts w:ascii="Arial" w:hAnsi="Arial" w:cs="Arial"/>
          <w:bCs/>
          <w:sz w:val="26"/>
          <w:szCs w:val="26"/>
        </w:rPr>
        <w:t xml:space="preserve"> </w:t>
      </w:r>
      <w:r w:rsidR="001735E7" w:rsidRPr="000B1BFA">
        <w:rPr>
          <w:rFonts w:ascii="Arial" w:hAnsi="Arial" w:cs="Arial"/>
          <w:bCs/>
          <w:sz w:val="26"/>
          <w:szCs w:val="26"/>
        </w:rPr>
        <w:t xml:space="preserve">de </w:t>
      </w:r>
      <w:r w:rsidR="004532FC">
        <w:rPr>
          <w:rFonts w:ascii="Arial" w:hAnsi="Arial" w:cs="Arial"/>
          <w:bCs/>
          <w:sz w:val="26"/>
          <w:szCs w:val="26"/>
        </w:rPr>
        <w:t>septiembre</w:t>
      </w:r>
      <w:r w:rsidR="001735E7" w:rsidRPr="000B1BFA">
        <w:rPr>
          <w:rFonts w:ascii="Arial" w:hAnsi="Arial" w:cs="Arial"/>
          <w:bCs/>
          <w:sz w:val="26"/>
          <w:szCs w:val="26"/>
        </w:rPr>
        <w:t xml:space="preserve"> de 201</w:t>
      </w:r>
      <w:r w:rsidR="004532FC">
        <w:rPr>
          <w:rFonts w:ascii="Arial" w:hAnsi="Arial" w:cs="Arial"/>
          <w:bCs/>
          <w:sz w:val="26"/>
          <w:szCs w:val="26"/>
        </w:rPr>
        <w:t>7</w:t>
      </w:r>
      <w:r w:rsidR="001735E7" w:rsidRPr="000B1BFA">
        <w:rPr>
          <w:rFonts w:ascii="Arial" w:hAnsi="Arial" w:cs="Arial"/>
          <w:bCs/>
          <w:sz w:val="26"/>
          <w:szCs w:val="26"/>
        </w:rPr>
        <w:t xml:space="preserve"> </w:t>
      </w:r>
      <w:r w:rsidR="004532FC">
        <w:rPr>
          <w:rFonts w:ascii="Arial" w:hAnsi="Arial" w:cs="Arial"/>
          <w:bCs/>
          <w:sz w:val="26"/>
          <w:szCs w:val="26"/>
        </w:rPr>
        <w:t xml:space="preserve">proferido </w:t>
      </w:r>
      <w:r w:rsidR="001735E7" w:rsidRPr="000B1BFA">
        <w:rPr>
          <w:rFonts w:ascii="Arial" w:hAnsi="Arial" w:cs="Arial"/>
          <w:bCs/>
          <w:sz w:val="26"/>
          <w:szCs w:val="26"/>
        </w:rPr>
        <w:t xml:space="preserve">por el Juzgado </w:t>
      </w:r>
      <w:r w:rsidR="004532FC">
        <w:rPr>
          <w:rFonts w:ascii="Arial" w:hAnsi="Arial" w:cs="Arial"/>
          <w:bCs/>
          <w:sz w:val="26"/>
          <w:szCs w:val="26"/>
        </w:rPr>
        <w:t>Tercero</w:t>
      </w:r>
      <w:r w:rsidR="00E014C7">
        <w:rPr>
          <w:rFonts w:ascii="Arial" w:hAnsi="Arial" w:cs="Arial"/>
          <w:bCs/>
          <w:sz w:val="26"/>
          <w:szCs w:val="26"/>
        </w:rPr>
        <w:t xml:space="preserve"> Civil del Circuito </w:t>
      </w:r>
      <w:r w:rsidR="001735E7">
        <w:rPr>
          <w:rFonts w:ascii="Arial" w:hAnsi="Arial" w:cs="Arial"/>
          <w:bCs/>
          <w:sz w:val="26"/>
          <w:szCs w:val="26"/>
        </w:rPr>
        <w:t>de Pereira</w:t>
      </w:r>
      <w:r w:rsidR="00B91397">
        <w:rPr>
          <w:rFonts w:ascii="Arial" w:hAnsi="Arial" w:cs="Arial"/>
          <w:bCs/>
          <w:sz w:val="26"/>
          <w:szCs w:val="26"/>
        </w:rPr>
        <w:t xml:space="preserve">, </w:t>
      </w:r>
      <w:r w:rsidR="00542277">
        <w:rPr>
          <w:rFonts w:ascii="Arial" w:hAnsi="Arial" w:cs="Arial"/>
          <w:bCs/>
          <w:sz w:val="26"/>
          <w:szCs w:val="26"/>
        </w:rPr>
        <w:t>en</w:t>
      </w:r>
      <w:r w:rsidR="00B91397">
        <w:rPr>
          <w:rFonts w:ascii="Arial" w:hAnsi="Arial" w:cs="Arial"/>
          <w:bCs/>
          <w:sz w:val="26"/>
          <w:szCs w:val="26"/>
        </w:rPr>
        <w:t xml:space="preserve"> la presente ejecución iniciada por la </w:t>
      </w:r>
      <w:r w:rsidR="00B91397">
        <w:rPr>
          <w:rFonts w:ascii="Arial" w:hAnsi="Arial" w:cs="Arial"/>
          <w:bCs/>
          <w:szCs w:val="26"/>
        </w:rPr>
        <w:t xml:space="preserve">CLÍNICA VER BIEN S.A. </w:t>
      </w:r>
      <w:r w:rsidR="00B91397">
        <w:rPr>
          <w:rFonts w:ascii="Arial" w:hAnsi="Arial" w:cs="Arial"/>
          <w:bCs/>
          <w:sz w:val="26"/>
          <w:szCs w:val="26"/>
        </w:rPr>
        <w:t xml:space="preserve">frente a </w:t>
      </w:r>
      <w:r w:rsidR="00B91397">
        <w:rPr>
          <w:rFonts w:ascii="Arial" w:hAnsi="Arial" w:cs="Arial"/>
          <w:bCs/>
          <w:szCs w:val="26"/>
        </w:rPr>
        <w:t xml:space="preserve">COOMEVA </w:t>
      </w:r>
      <w:proofErr w:type="spellStart"/>
      <w:r w:rsidR="00B91397">
        <w:rPr>
          <w:rFonts w:ascii="Arial" w:hAnsi="Arial" w:cs="Arial"/>
          <w:bCs/>
          <w:szCs w:val="26"/>
        </w:rPr>
        <w:t>EPS</w:t>
      </w:r>
      <w:proofErr w:type="spellEnd"/>
      <w:r w:rsidR="00B40055">
        <w:rPr>
          <w:rFonts w:ascii="Arial" w:hAnsi="Arial" w:cs="Arial"/>
          <w:bCs/>
          <w:szCs w:val="26"/>
        </w:rPr>
        <w:t xml:space="preserve"> S.A.</w:t>
      </w:r>
    </w:p>
    <w:p w:rsidR="0000044B" w:rsidRPr="0000044B" w:rsidRDefault="0000044B" w:rsidP="0000044B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24"/>
          <w:szCs w:val="26"/>
        </w:rPr>
      </w:pPr>
    </w:p>
    <w:p w:rsidR="0000044B" w:rsidRDefault="0000044B" w:rsidP="0000044B">
      <w:pPr>
        <w:pStyle w:val="Sinespaciado1"/>
        <w:spacing w:line="360" w:lineRule="auto"/>
        <w:ind w:firstLine="2835"/>
        <w:jc w:val="both"/>
        <w:rPr>
          <w:rFonts w:ascii="Arial" w:hAnsi="Arial" w:cs="Arial"/>
          <w:b/>
          <w:szCs w:val="26"/>
          <w:lang w:val="es-ES" w:eastAsia="es-ES"/>
        </w:rPr>
      </w:pPr>
      <w:r>
        <w:rPr>
          <w:rFonts w:ascii="Arial" w:hAnsi="Arial" w:cs="Arial"/>
          <w:b/>
          <w:szCs w:val="26"/>
          <w:lang w:val="es-ES" w:eastAsia="es-ES"/>
        </w:rPr>
        <w:t xml:space="preserve">II. </w:t>
      </w:r>
      <w:r w:rsidRPr="00AE5CB9">
        <w:rPr>
          <w:rFonts w:ascii="Arial" w:hAnsi="Arial" w:cs="Arial"/>
          <w:b/>
          <w:szCs w:val="26"/>
          <w:lang w:val="es-ES" w:eastAsia="es-ES"/>
        </w:rPr>
        <w:t>A</w:t>
      </w:r>
      <w:r>
        <w:rPr>
          <w:rFonts w:ascii="Arial" w:hAnsi="Arial" w:cs="Arial"/>
          <w:b/>
          <w:szCs w:val="26"/>
          <w:lang w:val="es-ES" w:eastAsia="es-ES"/>
        </w:rPr>
        <w:t>NTECEDENTES</w:t>
      </w:r>
    </w:p>
    <w:p w:rsidR="0000044B" w:rsidRPr="0000044B" w:rsidRDefault="0000044B" w:rsidP="0000044B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24"/>
          <w:szCs w:val="26"/>
        </w:rPr>
      </w:pPr>
    </w:p>
    <w:p w:rsidR="00DF3AF6" w:rsidRPr="00DF3AF6" w:rsidRDefault="00673917" w:rsidP="00DF3AF6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</w:t>
      </w:r>
      <w:r w:rsidR="0000044B">
        <w:rPr>
          <w:rFonts w:ascii="Arial" w:hAnsi="Arial" w:cs="Arial"/>
          <w:bCs/>
          <w:sz w:val="26"/>
          <w:szCs w:val="26"/>
        </w:rPr>
        <w:t xml:space="preserve">. </w:t>
      </w:r>
      <w:r w:rsidR="00DF3AF6" w:rsidRPr="00DF3AF6">
        <w:rPr>
          <w:rFonts w:ascii="Arial" w:hAnsi="Arial" w:cs="Arial"/>
          <w:bCs/>
          <w:sz w:val="26"/>
          <w:szCs w:val="26"/>
        </w:rPr>
        <w:t xml:space="preserve">Dentro del juicio de la referencia la </w:t>
      </w:r>
      <w:r w:rsidR="00C34138">
        <w:rPr>
          <w:rFonts w:ascii="Arial" w:hAnsi="Arial" w:cs="Arial"/>
          <w:bCs/>
          <w:szCs w:val="26"/>
        </w:rPr>
        <w:t>CLÍNICA VER BIEN S.A.</w:t>
      </w:r>
      <w:r w:rsidR="00DF3AF6" w:rsidRPr="00DF3AF6">
        <w:rPr>
          <w:rFonts w:ascii="Arial" w:hAnsi="Arial" w:cs="Arial"/>
          <w:bCs/>
          <w:sz w:val="26"/>
          <w:szCs w:val="26"/>
        </w:rPr>
        <w:t>, solicitó “</w:t>
      </w:r>
      <w:r w:rsidR="00AE3D71">
        <w:rPr>
          <w:rFonts w:ascii="Arial" w:hAnsi="Arial" w:cs="Arial"/>
          <w:bCs/>
          <w:sz w:val="26"/>
          <w:szCs w:val="26"/>
        </w:rPr>
        <w:t>El</w:t>
      </w:r>
      <w:r w:rsidR="00DF3AF6" w:rsidRPr="00DF3AF6">
        <w:rPr>
          <w:rFonts w:ascii="Arial" w:hAnsi="Arial" w:cs="Arial"/>
          <w:bCs/>
          <w:sz w:val="26"/>
          <w:szCs w:val="26"/>
        </w:rPr>
        <w:t xml:space="preserve"> embargo</w:t>
      </w:r>
      <w:r w:rsidR="00AE3D71">
        <w:rPr>
          <w:rFonts w:ascii="Arial" w:hAnsi="Arial" w:cs="Arial"/>
          <w:bCs/>
          <w:sz w:val="26"/>
          <w:szCs w:val="26"/>
        </w:rPr>
        <w:t xml:space="preserve"> de las cuentas bancarias tanto de ahorros como corrientes, y demás productos a saber </w:t>
      </w:r>
      <w:proofErr w:type="spellStart"/>
      <w:r w:rsidR="00AE3D71" w:rsidRPr="00AC00CB">
        <w:rPr>
          <w:rFonts w:ascii="Arial" w:hAnsi="Arial" w:cs="Arial"/>
          <w:bCs/>
          <w:szCs w:val="26"/>
        </w:rPr>
        <w:t>CDTS</w:t>
      </w:r>
      <w:proofErr w:type="spellEnd"/>
      <w:r w:rsidR="00AE3D71">
        <w:rPr>
          <w:rFonts w:ascii="Arial" w:hAnsi="Arial" w:cs="Arial"/>
          <w:bCs/>
          <w:sz w:val="26"/>
          <w:szCs w:val="26"/>
        </w:rPr>
        <w:t xml:space="preserve">, títulos de capitalización, </w:t>
      </w:r>
      <w:r w:rsidR="00AE3D71">
        <w:rPr>
          <w:rFonts w:ascii="Arial" w:hAnsi="Arial" w:cs="Arial"/>
          <w:bCs/>
          <w:sz w:val="26"/>
          <w:szCs w:val="26"/>
        </w:rPr>
        <w:lastRenderedPageBreak/>
        <w:t xml:space="preserve">títulos judiciales, órdenes de pago, fiducias y similares, correspondientes a la Entidad Promotora de Salud </w:t>
      </w:r>
      <w:r w:rsidR="00AE3D71">
        <w:rPr>
          <w:rFonts w:ascii="Arial" w:hAnsi="Arial" w:cs="Arial"/>
          <w:bCs/>
          <w:szCs w:val="26"/>
        </w:rPr>
        <w:t xml:space="preserve">COOMEVA </w:t>
      </w:r>
      <w:proofErr w:type="spellStart"/>
      <w:r w:rsidR="00AE3D71">
        <w:rPr>
          <w:rFonts w:ascii="Arial" w:hAnsi="Arial" w:cs="Arial"/>
          <w:bCs/>
          <w:szCs w:val="26"/>
        </w:rPr>
        <w:t>EPS</w:t>
      </w:r>
      <w:proofErr w:type="spellEnd"/>
      <w:r w:rsidR="00AE3D71">
        <w:rPr>
          <w:rFonts w:ascii="Arial" w:hAnsi="Arial" w:cs="Arial"/>
          <w:bCs/>
          <w:szCs w:val="26"/>
        </w:rPr>
        <w:t xml:space="preserve"> S.A.” </w:t>
      </w:r>
      <w:r w:rsidR="00AE3D71">
        <w:rPr>
          <w:rFonts w:ascii="Arial" w:hAnsi="Arial" w:cs="Arial"/>
          <w:bCs/>
          <w:sz w:val="26"/>
          <w:szCs w:val="26"/>
        </w:rPr>
        <w:t>e</w:t>
      </w:r>
      <w:r w:rsidR="00B7541B">
        <w:rPr>
          <w:rFonts w:ascii="Arial" w:hAnsi="Arial" w:cs="Arial"/>
          <w:bCs/>
          <w:sz w:val="26"/>
          <w:szCs w:val="26"/>
        </w:rPr>
        <w:t>n</w:t>
      </w:r>
      <w:r w:rsidR="00AE3D71">
        <w:rPr>
          <w:rFonts w:ascii="Arial" w:hAnsi="Arial" w:cs="Arial"/>
          <w:bCs/>
          <w:sz w:val="26"/>
          <w:szCs w:val="26"/>
        </w:rPr>
        <w:t xml:space="preserve"> las entidades </w:t>
      </w:r>
      <w:r w:rsidR="00F43B5B">
        <w:rPr>
          <w:rFonts w:ascii="Arial" w:hAnsi="Arial" w:cs="Arial"/>
          <w:bCs/>
          <w:sz w:val="26"/>
          <w:szCs w:val="26"/>
        </w:rPr>
        <w:t>financieras</w:t>
      </w:r>
      <w:r w:rsidR="00BE3C69">
        <w:rPr>
          <w:rFonts w:ascii="Arial" w:hAnsi="Arial" w:cs="Arial"/>
          <w:bCs/>
          <w:sz w:val="26"/>
          <w:szCs w:val="26"/>
        </w:rPr>
        <w:t xml:space="preserve"> que enlista, ubicadas </w:t>
      </w:r>
      <w:r w:rsidR="00AE3D71">
        <w:rPr>
          <w:rFonts w:ascii="Arial" w:hAnsi="Arial" w:cs="Arial"/>
          <w:bCs/>
          <w:sz w:val="26"/>
          <w:szCs w:val="26"/>
        </w:rPr>
        <w:t>en Pereira y Dosquebradas</w:t>
      </w:r>
      <w:r w:rsidR="00AC00CB">
        <w:rPr>
          <w:rFonts w:ascii="Arial" w:hAnsi="Arial" w:cs="Arial"/>
          <w:bCs/>
          <w:sz w:val="26"/>
          <w:szCs w:val="26"/>
        </w:rPr>
        <w:t xml:space="preserve"> </w:t>
      </w:r>
      <w:r w:rsidR="00AC00CB">
        <w:rPr>
          <w:rFonts w:ascii="Arial" w:hAnsi="Arial" w:cs="Arial"/>
          <w:bCs/>
          <w:szCs w:val="26"/>
        </w:rPr>
        <w:t>(</w:t>
      </w:r>
      <w:proofErr w:type="spellStart"/>
      <w:r w:rsidR="00AC00CB">
        <w:rPr>
          <w:rFonts w:ascii="Arial" w:hAnsi="Arial" w:cs="Arial"/>
          <w:bCs/>
          <w:szCs w:val="26"/>
        </w:rPr>
        <w:t>fls</w:t>
      </w:r>
      <w:proofErr w:type="spellEnd"/>
      <w:r w:rsidR="00AC00CB">
        <w:rPr>
          <w:rFonts w:ascii="Arial" w:hAnsi="Arial" w:cs="Arial"/>
          <w:bCs/>
          <w:szCs w:val="26"/>
        </w:rPr>
        <w:t xml:space="preserve">. 52-53 Cd. </w:t>
      </w:r>
      <w:proofErr w:type="spellStart"/>
      <w:r w:rsidR="00AC00CB">
        <w:rPr>
          <w:rFonts w:ascii="Arial" w:hAnsi="Arial" w:cs="Arial"/>
          <w:bCs/>
          <w:szCs w:val="26"/>
        </w:rPr>
        <w:t>ppal</w:t>
      </w:r>
      <w:proofErr w:type="spellEnd"/>
      <w:r w:rsidR="00AC00CB">
        <w:rPr>
          <w:rFonts w:ascii="Arial" w:hAnsi="Arial" w:cs="Arial"/>
          <w:bCs/>
          <w:szCs w:val="26"/>
        </w:rPr>
        <w:t>)</w:t>
      </w:r>
      <w:r w:rsidR="00DF3AF6" w:rsidRPr="00DF3AF6">
        <w:rPr>
          <w:rFonts w:ascii="Arial" w:hAnsi="Arial" w:cs="Arial"/>
          <w:bCs/>
          <w:sz w:val="26"/>
          <w:szCs w:val="26"/>
        </w:rPr>
        <w:t xml:space="preserve">. </w:t>
      </w:r>
    </w:p>
    <w:p w:rsidR="00DF3AF6" w:rsidRPr="00DF3AF6" w:rsidRDefault="00450044" w:rsidP="00DF3AF6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="00DF3AF6" w:rsidRPr="00DF3AF6">
        <w:rPr>
          <w:rFonts w:ascii="Arial" w:hAnsi="Arial" w:cs="Arial"/>
          <w:bCs/>
          <w:sz w:val="26"/>
          <w:szCs w:val="26"/>
        </w:rPr>
        <w:t>Mediante proveído de</w:t>
      </w:r>
      <w:r>
        <w:rPr>
          <w:rFonts w:ascii="Arial" w:hAnsi="Arial" w:cs="Arial"/>
          <w:bCs/>
          <w:sz w:val="26"/>
          <w:szCs w:val="26"/>
        </w:rPr>
        <w:t>l 29 de junio</w:t>
      </w:r>
      <w:r w:rsidR="002D3967">
        <w:rPr>
          <w:rFonts w:ascii="Arial" w:hAnsi="Arial" w:cs="Arial"/>
          <w:bCs/>
          <w:sz w:val="26"/>
          <w:szCs w:val="26"/>
        </w:rPr>
        <w:t xml:space="preserve"> último</w:t>
      </w:r>
      <w:r w:rsidR="00542277">
        <w:rPr>
          <w:rFonts w:ascii="Arial" w:hAnsi="Arial" w:cs="Arial"/>
          <w:bCs/>
          <w:sz w:val="26"/>
          <w:szCs w:val="26"/>
        </w:rPr>
        <w:t xml:space="preserve">, </w:t>
      </w:r>
      <w:r w:rsidR="00BE6AEA">
        <w:rPr>
          <w:rFonts w:ascii="Arial" w:hAnsi="Arial" w:cs="Arial"/>
          <w:bCs/>
          <w:sz w:val="26"/>
          <w:szCs w:val="26"/>
        </w:rPr>
        <w:t>la J</w:t>
      </w:r>
      <w:r w:rsidR="00542277">
        <w:rPr>
          <w:rFonts w:ascii="Arial" w:hAnsi="Arial" w:cs="Arial"/>
          <w:bCs/>
          <w:sz w:val="26"/>
          <w:szCs w:val="26"/>
        </w:rPr>
        <w:t>uez de instancia</w:t>
      </w:r>
      <w:r w:rsidR="005078FB">
        <w:rPr>
          <w:rFonts w:ascii="Arial" w:hAnsi="Arial" w:cs="Arial"/>
          <w:bCs/>
          <w:sz w:val="26"/>
          <w:szCs w:val="26"/>
        </w:rPr>
        <w:t xml:space="preserve"> decretó la</w:t>
      </w:r>
      <w:r w:rsidR="00DF3AF6" w:rsidRPr="00DF3AF6">
        <w:rPr>
          <w:rFonts w:ascii="Arial" w:hAnsi="Arial" w:cs="Arial"/>
          <w:bCs/>
          <w:sz w:val="26"/>
          <w:szCs w:val="26"/>
        </w:rPr>
        <w:t xml:space="preserve"> </w:t>
      </w:r>
      <w:r w:rsidR="005078FB">
        <w:rPr>
          <w:rFonts w:ascii="Arial" w:hAnsi="Arial" w:cs="Arial"/>
          <w:bCs/>
          <w:sz w:val="26"/>
          <w:szCs w:val="26"/>
        </w:rPr>
        <w:t>cautela</w:t>
      </w:r>
      <w:r>
        <w:rPr>
          <w:rFonts w:ascii="Arial" w:hAnsi="Arial" w:cs="Arial"/>
          <w:bCs/>
          <w:sz w:val="26"/>
          <w:szCs w:val="26"/>
        </w:rPr>
        <w:t xml:space="preserve"> solicitada, aclar</w:t>
      </w:r>
      <w:r w:rsidR="002B69D1">
        <w:rPr>
          <w:rFonts w:ascii="Arial" w:hAnsi="Arial" w:cs="Arial"/>
          <w:bCs/>
          <w:sz w:val="26"/>
          <w:szCs w:val="26"/>
        </w:rPr>
        <w:t>ó</w:t>
      </w:r>
      <w:r>
        <w:rPr>
          <w:rFonts w:ascii="Arial" w:hAnsi="Arial" w:cs="Arial"/>
          <w:bCs/>
          <w:sz w:val="26"/>
          <w:szCs w:val="26"/>
        </w:rPr>
        <w:t xml:space="preserve"> lo sería en la proporción autorizada por la ley y “que no pertenezcan al Sistema General de Participación en Salud”</w:t>
      </w:r>
      <w:r w:rsidR="00AC00CB">
        <w:rPr>
          <w:rFonts w:ascii="Arial" w:hAnsi="Arial" w:cs="Arial"/>
          <w:bCs/>
          <w:sz w:val="26"/>
          <w:szCs w:val="26"/>
        </w:rPr>
        <w:t xml:space="preserve"> </w:t>
      </w:r>
      <w:r w:rsidR="00AC00CB">
        <w:rPr>
          <w:rFonts w:ascii="Arial" w:hAnsi="Arial" w:cs="Arial"/>
          <w:bCs/>
          <w:szCs w:val="26"/>
        </w:rPr>
        <w:t>(</w:t>
      </w:r>
      <w:proofErr w:type="spellStart"/>
      <w:r w:rsidR="00AC00CB">
        <w:rPr>
          <w:rFonts w:ascii="Arial" w:hAnsi="Arial" w:cs="Arial"/>
          <w:bCs/>
          <w:szCs w:val="26"/>
        </w:rPr>
        <w:t>fl</w:t>
      </w:r>
      <w:proofErr w:type="spellEnd"/>
      <w:r w:rsidR="00AC00CB">
        <w:rPr>
          <w:rFonts w:ascii="Arial" w:hAnsi="Arial" w:cs="Arial"/>
          <w:bCs/>
          <w:szCs w:val="26"/>
        </w:rPr>
        <w:t xml:space="preserve">. 94 </w:t>
      </w:r>
      <w:proofErr w:type="spellStart"/>
      <w:r w:rsidR="00AC00CB">
        <w:rPr>
          <w:rFonts w:ascii="Arial" w:hAnsi="Arial" w:cs="Arial"/>
          <w:bCs/>
          <w:szCs w:val="26"/>
        </w:rPr>
        <w:t>íd</w:t>
      </w:r>
      <w:proofErr w:type="spellEnd"/>
      <w:r w:rsidR="00AC00CB">
        <w:rPr>
          <w:rFonts w:ascii="Arial" w:hAnsi="Arial" w:cs="Arial"/>
          <w:bCs/>
          <w:szCs w:val="26"/>
        </w:rPr>
        <w:t>)</w:t>
      </w:r>
      <w:r>
        <w:rPr>
          <w:rFonts w:ascii="Arial" w:hAnsi="Arial" w:cs="Arial"/>
          <w:bCs/>
          <w:sz w:val="26"/>
          <w:szCs w:val="26"/>
        </w:rPr>
        <w:t>.</w:t>
      </w:r>
    </w:p>
    <w:p w:rsidR="00DF3AF6" w:rsidRPr="00DF3AF6" w:rsidRDefault="00DF3AF6" w:rsidP="00DF3AF6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26"/>
          <w:szCs w:val="26"/>
        </w:rPr>
      </w:pPr>
    </w:p>
    <w:p w:rsidR="00450044" w:rsidRDefault="00450044" w:rsidP="00DF3AF6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3. Enseguida el abogado de la ejecutante </w:t>
      </w:r>
      <w:r w:rsidR="00592B3E">
        <w:rPr>
          <w:rFonts w:ascii="Arial" w:hAnsi="Arial" w:cs="Arial"/>
          <w:bCs/>
          <w:sz w:val="26"/>
          <w:szCs w:val="26"/>
        </w:rPr>
        <w:t>exhortó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C10B06">
        <w:rPr>
          <w:rFonts w:ascii="Arial" w:hAnsi="Arial" w:cs="Arial"/>
          <w:bCs/>
          <w:sz w:val="26"/>
          <w:szCs w:val="26"/>
        </w:rPr>
        <w:t xml:space="preserve">a que se insistiera </w:t>
      </w:r>
      <w:r w:rsidR="00A75836">
        <w:rPr>
          <w:rFonts w:ascii="Arial" w:hAnsi="Arial" w:cs="Arial"/>
          <w:bCs/>
          <w:sz w:val="26"/>
          <w:szCs w:val="26"/>
        </w:rPr>
        <w:t xml:space="preserve">al Banco Coomeva y demás entidades financieras </w:t>
      </w:r>
      <w:r w:rsidR="00C10B06">
        <w:rPr>
          <w:rFonts w:ascii="Arial" w:hAnsi="Arial" w:cs="Arial"/>
          <w:bCs/>
          <w:sz w:val="26"/>
          <w:szCs w:val="26"/>
        </w:rPr>
        <w:t>sobre el embar</w:t>
      </w:r>
      <w:r w:rsidR="00A75836">
        <w:rPr>
          <w:rFonts w:ascii="Arial" w:hAnsi="Arial" w:cs="Arial"/>
          <w:bCs/>
          <w:sz w:val="26"/>
          <w:szCs w:val="26"/>
        </w:rPr>
        <w:t>go de l</w:t>
      </w:r>
      <w:r w:rsidR="00BE6AEA">
        <w:rPr>
          <w:rFonts w:ascii="Arial" w:hAnsi="Arial" w:cs="Arial"/>
          <w:bCs/>
          <w:sz w:val="26"/>
          <w:szCs w:val="26"/>
        </w:rPr>
        <w:t>os dineros</w:t>
      </w:r>
      <w:r w:rsidR="00A75836">
        <w:rPr>
          <w:rFonts w:ascii="Arial" w:hAnsi="Arial" w:cs="Arial"/>
          <w:bCs/>
          <w:sz w:val="26"/>
          <w:szCs w:val="26"/>
        </w:rPr>
        <w:t xml:space="preserve"> de dicha </w:t>
      </w:r>
      <w:proofErr w:type="spellStart"/>
      <w:r w:rsidR="00A75836">
        <w:rPr>
          <w:rFonts w:ascii="Arial" w:hAnsi="Arial" w:cs="Arial"/>
          <w:bCs/>
          <w:sz w:val="26"/>
          <w:szCs w:val="26"/>
        </w:rPr>
        <w:t>EPS</w:t>
      </w:r>
      <w:proofErr w:type="spellEnd"/>
      <w:r w:rsidR="00A75836">
        <w:rPr>
          <w:rFonts w:ascii="Arial" w:hAnsi="Arial" w:cs="Arial"/>
          <w:bCs/>
          <w:sz w:val="26"/>
          <w:szCs w:val="26"/>
        </w:rPr>
        <w:t xml:space="preserve"> </w:t>
      </w:r>
      <w:r w:rsidR="007C5305">
        <w:rPr>
          <w:rFonts w:ascii="Arial" w:hAnsi="Arial" w:cs="Arial"/>
          <w:bCs/>
          <w:sz w:val="26"/>
          <w:szCs w:val="26"/>
        </w:rPr>
        <w:t xml:space="preserve">y subsidiariamente se ordene </w:t>
      </w:r>
      <w:r w:rsidR="00A75836">
        <w:rPr>
          <w:rFonts w:ascii="Arial" w:hAnsi="Arial" w:cs="Arial"/>
          <w:bCs/>
          <w:sz w:val="26"/>
          <w:szCs w:val="26"/>
        </w:rPr>
        <w:t>informar cual es la cuenta maestra de dicha entidad de salud, para que se embarguen las que no sean de tal característica</w:t>
      </w:r>
      <w:r w:rsidR="00AC00CB">
        <w:rPr>
          <w:rFonts w:ascii="Arial" w:hAnsi="Arial" w:cs="Arial"/>
          <w:bCs/>
          <w:sz w:val="26"/>
          <w:szCs w:val="26"/>
        </w:rPr>
        <w:t xml:space="preserve"> </w:t>
      </w:r>
      <w:r w:rsidR="00AC00CB">
        <w:rPr>
          <w:rFonts w:ascii="Arial" w:hAnsi="Arial" w:cs="Arial"/>
          <w:bCs/>
          <w:szCs w:val="26"/>
        </w:rPr>
        <w:t>(</w:t>
      </w:r>
      <w:proofErr w:type="spellStart"/>
      <w:r w:rsidR="00AC00CB">
        <w:rPr>
          <w:rFonts w:ascii="Arial" w:hAnsi="Arial" w:cs="Arial"/>
          <w:bCs/>
          <w:szCs w:val="26"/>
        </w:rPr>
        <w:t>fls</w:t>
      </w:r>
      <w:proofErr w:type="spellEnd"/>
      <w:r w:rsidR="00AC00CB">
        <w:rPr>
          <w:rFonts w:ascii="Arial" w:hAnsi="Arial" w:cs="Arial"/>
          <w:bCs/>
          <w:szCs w:val="26"/>
        </w:rPr>
        <w:t xml:space="preserve">. 55 a 95 </w:t>
      </w:r>
      <w:proofErr w:type="spellStart"/>
      <w:r w:rsidR="00AC00CB">
        <w:rPr>
          <w:rFonts w:ascii="Arial" w:hAnsi="Arial" w:cs="Arial"/>
          <w:bCs/>
          <w:szCs w:val="26"/>
        </w:rPr>
        <w:t>íd</w:t>
      </w:r>
      <w:proofErr w:type="spellEnd"/>
      <w:r w:rsidR="00AC00CB">
        <w:rPr>
          <w:rFonts w:ascii="Arial" w:hAnsi="Arial" w:cs="Arial"/>
          <w:bCs/>
          <w:szCs w:val="26"/>
        </w:rPr>
        <w:t>)</w:t>
      </w:r>
      <w:r w:rsidR="00A75836">
        <w:rPr>
          <w:rFonts w:ascii="Arial" w:hAnsi="Arial" w:cs="Arial"/>
          <w:bCs/>
          <w:sz w:val="26"/>
          <w:szCs w:val="26"/>
        </w:rPr>
        <w:t xml:space="preserve">.  </w:t>
      </w:r>
    </w:p>
    <w:p w:rsidR="00C10B06" w:rsidRPr="00CD4CB7" w:rsidRDefault="00C10B06" w:rsidP="00DF3AF6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16"/>
          <w:szCs w:val="26"/>
        </w:rPr>
      </w:pPr>
    </w:p>
    <w:p w:rsidR="006C5AE2" w:rsidRDefault="006C5AE2" w:rsidP="00DF3AF6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4.  </w:t>
      </w:r>
      <w:r w:rsidR="00BE6AEA">
        <w:rPr>
          <w:rFonts w:ascii="Arial" w:hAnsi="Arial" w:cs="Arial"/>
          <w:bCs/>
          <w:sz w:val="26"/>
          <w:szCs w:val="26"/>
        </w:rPr>
        <w:t>P</w:t>
      </w:r>
      <w:r>
        <w:rPr>
          <w:rFonts w:ascii="Arial" w:hAnsi="Arial" w:cs="Arial"/>
          <w:bCs/>
          <w:sz w:val="26"/>
          <w:szCs w:val="26"/>
        </w:rPr>
        <w:t xml:space="preserve">or auto del 1 de septiembre </w:t>
      </w:r>
      <w:r w:rsidR="00BE6AEA">
        <w:rPr>
          <w:rFonts w:ascii="Arial" w:hAnsi="Arial" w:cs="Arial"/>
          <w:bCs/>
          <w:sz w:val="26"/>
          <w:szCs w:val="26"/>
        </w:rPr>
        <w:t xml:space="preserve">el despacho judicial </w:t>
      </w:r>
      <w:r>
        <w:rPr>
          <w:rFonts w:ascii="Arial" w:hAnsi="Arial" w:cs="Arial"/>
          <w:bCs/>
          <w:sz w:val="26"/>
          <w:szCs w:val="26"/>
        </w:rPr>
        <w:t>se pronunció en igual sentido al prove</w:t>
      </w:r>
      <w:r w:rsidR="00AC00CB">
        <w:rPr>
          <w:rFonts w:ascii="Arial" w:hAnsi="Arial" w:cs="Arial"/>
          <w:bCs/>
          <w:sz w:val="26"/>
          <w:szCs w:val="26"/>
        </w:rPr>
        <w:t xml:space="preserve">ído anterior </w:t>
      </w:r>
      <w:r w:rsidR="00AC00CB">
        <w:rPr>
          <w:rFonts w:ascii="Arial" w:hAnsi="Arial" w:cs="Arial"/>
          <w:bCs/>
          <w:szCs w:val="26"/>
        </w:rPr>
        <w:t>(</w:t>
      </w:r>
      <w:proofErr w:type="spellStart"/>
      <w:r w:rsidR="00AC00CB">
        <w:rPr>
          <w:rFonts w:ascii="Arial" w:hAnsi="Arial" w:cs="Arial"/>
          <w:bCs/>
          <w:szCs w:val="26"/>
        </w:rPr>
        <w:t>fl</w:t>
      </w:r>
      <w:proofErr w:type="spellEnd"/>
      <w:r w:rsidR="00AC00CB">
        <w:rPr>
          <w:rFonts w:ascii="Arial" w:hAnsi="Arial" w:cs="Arial"/>
          <w:bCs/>
          <w:szCs w:val="26"/>
        </w:rPr>
        <w:t xml:space="preserve">. 96 </w:t>
      </w:r>
      <w:proofErr w:type="spellStart"/>
      <w:r w:rsidR="00AC00CB">
        <w:rPr>
          <w:rFonts w:ascii="Arial" w:hAnsi="Arial" w:cs="Arial"/>
          <w:bCs/>
          <w:szCs w:val="26"/>
        </w:rPr>
        <w:t>íd</w:t>
      </w:r>
      <w:proofErr w:type="spellEnd"/>
      <w:r w:rsidR="00AC00CB">
        <w:rPr>
          <w:rFonts w:ascii="Arial" w:hAnsi="Arial" w:cs="Arial"/>
          <w:bCs/>
          <w:szCs w:val="26"/>
        </w:rPr>
        <w:t>)</w:t>
      </w:r>
      <w:r>
        <w:rPr>
          <w:rFonts w:ascii="Arial" w:hAnsi="Arial" w:cs="Arial"/>
          <w:bCs/>
          <w:sz w:val="26"/>
          <w:szCs w:val="26"/>
        </w:rPr>
        <w:t xml:space="preserve">.  </w:t>
      </w:r>
    </w:p>
    <w:p w:rsidR="00CD4CB7" w:rsidRPr="00CD4CB7" w:rsidRDefault="00CD4CB7" w:rsidP="00DF3AF6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16"/>
          <w:szCs w:val="26"/>
        </w:rPr>
      </w:pPr>
    </w:p>
    <w:p w:rsidR="00F474C0" w:rsidRDefault="00CD4CB7" w:rsidP="00DF3AF6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5. </w:t>
      </w:r>
      <w:r w:rsidR="00DF3AF6" w:rsidRPr="00DF3AF6">
        <w:rPr>
          <w:rFonts w:ascii="Arial" w:hAnsi="Arial" w:cs="Arial"/>
          <w:bCs/>
          <w:sz w:val="26"/>
          <w:szCs w:val="26"/>
        </w:rPr>
        <w:t xml:space="preserve">Inconforme con lo así resuelto el extremo </w:t>
      </w:r>
      <w:r w:rsidR="00F6280A">
        <w:rPr>
          <w:rFonts w:ascii="Arial" w:hAnsi="Arial" w:cs="Arial"/>
          <w:bCs/>
          <w:sz w:val="26"/>
          <w:szCs w:val="26"/>
        </w:rPr>
        <w:t>ejecutante</w:t>
      </w:r>
      <w:r w:rsidR="00DF3AF6" w:rsidRPr="00DF3AF6">
        <w:rPr>
          <w:rFonts w:ascii="Arial" w:hAnsi="Arial" w:cs="Arial"/>
          <w:bCs/>
          <w:sz w:val="26"/>
          <w:szCs w:val="26"/>
        </w:rPr>
        <w:t xml:space="preserve"> interpuso los recursos de reposición y apelación, arguyendo que, </w:t>
      </w:r>
      <w:r w:rsidR="00F474C0">
        <w:rPr>
          <w:rFonts w:ascii="Arial" w:hAnsi="Arial" w:cs="Arial"/>
          <w:bCs/>
          <w:sz w:val="26"/>
          <w:szCs w:val="26"/>
        </w:rPr>
        <w:t>ya un órgano de cierre</w:t>
      </w:r>
      <w:r w:rsidR="00F6280A" w:rsidRPr="00F6280A">
        <w:rPr>
          <w:rFonts w:ascii="Arial" w:hAnsi="Arial" w:cs="Arial"/>
          <w:bCs/>
          <w:sz w:val="26"/>
          <w:szCs w:val="26"/>
        </w:rPr>
        <w:t xml:space="preserve"> </w:t>
      </w:r>
      <w:r w:rsidR="00F6280A" w:rsidRPr="00592B3E">
        <w:rPr>
          <w:rFonts w:ascii="Arial" w:hAnsi="Arial" w:cs="Arial"/>
          <w:bCs/>
          <w:sz w:val="24"/>
          <w:szCs w:val="26"/>
        </w:rPr>
        <w:t xml:space="preserve">(Sala de Casación Penal de la Corte Suprema de Justicia </w:t>
      </w:r>
      <w:proofErr w:type="spellStart"/>
      <w:r w:rsidR="00F6280A" w:rsidRPr="00592B3E">
        <w:rPr>
          <w:rFonts w:ascii="Arial" w:hAnsi="Arial" w:cs="Arial"/>
          <w:bCs/>
          <w:szCs w:val="26"/>
        </w:rPr>
        <w:t>AP</w:t>
      </w:r>
      <w:r w:rsidR="00F6280A" w:rsidRPr="00592B3E">
        <w:rPr>
          <w:rFonts w:ascii="Arial" w:hAnsi="Arial" w:cs="Arial"/>
          <w:bCs/>
          <w:sz w:val="24"/>
          <w:szCs w:val="26"/>
        </w:rPr>
        <w:t>4267</w:t>
      </w:r>
      <w:proofErr w:type="spellEnd"/>
      <w:r w:rsidR="00F6280A" w:rsidRPr="00592B3E">
        <w:rPr>
          <w:rFonts w:ascii="Arial" w:hAnsi="Arial" w:cs="Arial"/>
          <w:bCs/>
          <w:sz w:val="24"/>
          <w:szCs w:val="26"/>
        </w:rPr>
        <w:t>-2015)</w:t>
      </w:r>
      <w:r w:rsidR="00F474C0">
        <w:rPr>
          <w:rFonts w:ascii="Arial" w:hAnsi="Arial" w:cs="Arial"/>
          <w:bCs/>
          <w:sz w:val="26"/>
          <w:szCs w:val="26"/>
        </w:rPr>
        <w:t xml:space="preserve">, interpretó la normativa y jurisprudencia del caso, </w:t>
      </w:r>
      <w:r w:rsidR="00345F90">
        <w:rPr>
          <w:rFonts w:ascii="Arial" w:hAnsi="Arial" w:cs="Arial"/>
          <w:bCs/>
          <w:sz w:val="26"/>
          <w:szCs w:val="26"/>
        </w:rPr>
        <w:t>en el entendido</w:t>
      </w:r>
      <w:r w:rsidR="00F474C0">
        <w:rPr>
          <w:rFonts w:ascii="Arial" w:hAnsi="Arial" w:cs="Arial"/>
          <w:bCs/>
          <w:sz w:val="26"/>
          <w:szCs w:val="26"/>
        </w:rPr>
        <w:t xml:space="preserve"> que tratándose de obligaciones expresas, claras y exigibles, originadas en la prestación de un servicio de salud, sí son embargables las cuentas y recursos que pertenezcan al Sistema General de Participación en Salud. </w:t>
      </w:r>
      <w:r w:rsidR="00585FE0">
        <w:rPr>
          <w:rFonts w:ascii="Arial" w:hAnsi="Arial" w:cs="Arial"/>
          <w:bCs/>
          <w:sz w:val="26"/>
          <w:szCs w:val="26"/>
        </w:rPr>
        <w:t xml:space="preserve">Es decir que es </w:t>
      </w:r>
      <w:r w:rsidR="00585FE0" w:rsidRPr="00585FE0">
        <w:rPr>
          <w:rFonts w:ascii="Arial" w:hAnsi="Arial" w:cs="Arial"/>
          <w:bCs/>
          <w:sz w:val="26"/>
          <w:szCs w:val="26"/>
        </w:rPr>
        <w:t>dable aplicar la excepción a</w:t>
      </w:r>
      <w:r w:rsidR="00585FE0">
        <w:rPr>
          <w:rFonts w:ascii="Arial" w:hAnsi="Arial" w:cs="Arial"/>
          <w:bCs/>
          <w:sz w:val="26"/>
          <w:szCs w:val="26"/>
        </w:rPr>
        <w:t xml:space="preserve">l principio de </w:t>
      </w:r>
      <w:proofErr w:type="spellStart"/>
      <w:r w:rsidR="00585FE0">
        <w:rPr>
          <w:rFonts w:ascii="Arial" w:hAnsi="Arial" w:cs="Arial"/>
          <w:bCs/>
          <w:sz w:val="26"/>
          <w:szCs w:val="26"/>
        </w:rPr>
        <w:t>inembargabilidad</w:t>
      </w:r>
      <w:proofErr w:type="spellEnd"/>
      <w:r w:rsidR="00585FE0">
        <w:rPr>
          <w:rFonts w:ascii="Arial" w:hAnsi="Arial" w:cs="Arial"/>
          <w:bCs/>
          <w:sz w:val="26"/>
          <w:szCs w:val="26"/>
        </w:rPr>
        <w:t xml:space="preserve">.  </w:t>
      </w:r>
    </w:p>
    <w:p w:rsidR="00F474C0" w:rsidRPr="006D5076" w:rsidRDefault="00F474C0" w:rsidP="00DF3AF6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Pide se revoque la decisión </w:t>
      </w:r>
      <w:r w:rsidR="00F6280A">
        <w:rPr>
          <w:rFonts w:ascii="Arial" w:hAnsi="Arial" w:cs="Arial"/>
          <w:bCs/>
          <w:sz w:val="26"/>
          <w:szCs w:val="26"/>
        </w:rPr>
        <w:t>confutada</w:t>
      </w:r>
      <w:r>
        <w:rPr>
          <w:rFonts w:ascii="Arial" w:hAnsi="Arial" w:cs="Arial"/>
          <w:bCs/>
          <w:sz w:val="26"/>
          <w:szCs w:val="26"/>
        </w:rPr>
        <w:t xml:space="preserve"> y en su lugar se decrete la medida de embargo, inclusive sobre las </w:t>
      </w:r>
      <w:r w:rsidR="006D5076">
        <w:rPr>
          <w:rFonts w:ascii="Arial" w:hAnsi="Arial" w:cs="Arial"/>
          <w:bCs/>
          <w:sz w:val="26"/>
          <w:szCs w:val="26"/>
        </w:rPr>
        <w:t xml:space="preserve">cuentas que pertenezcan al </w:t>
      </w:r>
      <w:proofErr w:type="spellStart"/>
      <w:r w:rsidR="006D5076">
        <w:rPr>
          <w:rFonts w:ascii="Arial" w:hAnsi="Arial" w:cs="Arial"/>
          <w:bCs/>
          <w:sz w:val="26"/>
          <w:szCs w:val="26"/>
        </w:rPr>
        <w:t>SGSS</w:t>
      </w:r>
      <w:proofErr w:type="spellEnd"/>
      <w:r w:rsidR="006D5076">
        <w:rPr>
          <w:rFonts w:ascii="Arial" w:hAnsi="Arial" w:cs="Arial"/>
          <w:bCs/>
          <w:sz w:val="26"/>
          <w:szCs w:val="26"/>
        </w:rPr>
        <w:t xml:space="preserve"> </w:t>
      </w:r>
      <w:r w:rsidR="006D5076">
        <w:rPr>
          <w:rFonts w:ascii="Arial" w:hAnsi="Arial" w:cs="Arial"/>
          <w:bCs/>
          <w:szCs w:val="26"/>
        </w:rPr>
        <w:t>(</w:t>
      </w:r>
      <w:proofErr w:type="spellStart"/>
      <w:r w:rsidR="006D5076">
        <w:rPr>
          <w:rFonts w:ascii="Arial" w:hAnsi="Arial" w:cs="Arial"/>
          <w:bCs/>
          <w:szCs w:val="26"/>
        </w:rPr>
        <w:t>Fls</w:t>
      </w:r>
      <w:proofErr w:type="spellEnd"/>
      <w:r w:rsidR="006D5076">
        <w:rPr>
          <w:rFonts w:ascii="Arial" w:hAnsi="Arial" w:cs="Arial"/>
          <w:bCs/>
          <w:szCs w:val="26"/>
        </w:rPr>
        <w:t xml:space="preserve">. 97-102 </w:t>
      </w:r>
      <w:proofErr w:type="spellStart"/>
      <w:r w:rsidR="006D5076">
        <w:rPr>
          <w:rFonts w:ascii="Arial" w:hAnsi="Arial" w:cs="Arial"/>
          <w:bCs/>
          <w:szCs w:val="26"/>
        </w:rPr>
        <w:t>íd</w:t>
      </w:r>
      <w:proofErr w:type="spellEnd"/>
      <w:r w:rsidR="006D5076">
        <w:rPr>
          <w:rFonts w:ascii="Arial" w:hAnsi="Arial" w:cs="Arial"/>
          <w:bCs/>
          <w:szCs w:val="26"/>
        </w:rPr>
        <w:t>).</w:t>
      </w:r>
    </w:p>
    <w:p w:rsidR="00F474C0" w:rsidRPr="00042D93" w:rsidRDefault="00F474C0" w:rsidP="00DF3AF6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16"/>
          <w:szCs w:val="26"/>
        </w:rPr>
      </w:pPr>
    </w:p>
    <w:p w:rsidR="00DF3AF6" w:rsidRDefault="00042D93" w:rsidP="00DF3AF6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6. </w:t>
      </w:r>
      <w:r w:rsidR="00DF3AF6" w:rsidRPr="00DF3AF6">
        <w:rPr>
          <w:rFonts w:ascii="Arial" w:hAnsi="Arial" w:cs="Arial"/>
          <w:bCs/>
          <w:sz w:val="26"/>
          <w:szCs w:val="26"/>
        </w:rPr>
        <w:t>El recurso principal no logró modificar la determinación por lo cual se concedió la alzada</w:t>
      </w:r>
      <w:r w:rsidR="00DB5128">
        <w:rPr>
          <w:rFonts w:ascii="Arial" w:hAnsi="Arial" w:cs="Arial"/>
          <w:bCs/>
          <w:sz w:val="26"/>
          <w:szCs w:val="26"/>
        </w:rPr>
        <w:t>,</w:t>
      </w:r>
      <w:r w:rsidR="00DF3AF6" w:rsidRPr="00DF3AF6">
        <w:rPr>
          <w:rFonts w:ascii="Arial" w:hAnsi="Arial" w:cs="Arial"/>
          <w:bCs/>
          <w:sz w:val="26"/>
          <w:szCs w:val="26"/>
        </w:rPr>
        <w:t xml:space="preserve"> que ahora ocupa la </w:t>
      </w:r>
      <w:r w:rsidR="00DF3AF6" w:rsidRPr="00DF3AF6">
        <w:rPr>
          <w:rFonts w:ascii="Arial" w:hAnsi="Arial" w:cs="Arial"/>
          <w:bCs/>
          <w:sz w:val="26"/>
          <w:szCs w:val="26"/>
        </w:rPr>
        <w:lastRenderedPageBreak/>
        <w:t>atención de esta Corporación y que es del caso resolver previas las siguientes,</w:t>
      </w:r>
    </w:p>
    <w:p w:rsidR="007F2616" w:rsidRDefault="007F2616" w:rsidP="001735E7">
      <w:pPr>
        <w:pStyle w:val="Sinespaciado1"/>
        <w:spacing w:line="360" w:lineRule="auto"/>
        <w:ind w:firstLine="2835"/>
        <w:jc w:val="both"/>
        <w:rPr>
          <w:rFonts w:ascii="Arial" w:hAnsi="Arial" w:cs="Arial"/>
          <w:b/>
          <w:bCs/>
          <w:szCs w:val="26"/>
        </w:rPr>
      </w:pPr>
    </w:p>
    <w:p w:rsidR="001735E7" w:rsidRDefault="001735E7" w:rsidP="001735E7">
      <w:pPr>
        <w:pStyle w:val="Sinespaciado1"/>
        <w:spacing w:line="360" w:lineRule="auto"/>
        <w:ind w:firstLine="2835"/>
        <w:jc w:val="both"/>
        <w:rPr>
          <w:rFonts w:ascii="Arial" w:hAnsi="Arial" w:cs="Arial"/>
          <w:b/>
          <w:bCs/>
          <w:szCs w:val="26"/>
        </w:rPr>
      </w:pPr>
      <w:r w:rsidRPr="00EA4699">
        <w:rPr>
          <w:rFonts w:ascii="Arial" w:hAnsi="Arial" w:cs="Arial"/>
          <w:b/>
          <w:bCs/>
          <w:szCs w:val="26"/>
        </w:rPr>
        <w:t>CONSIDERACIONES</w:t>
      </w:r>
    </w:p>
    <w:p w:rsidR="001735E7" w:rsidRPr="008B0872" w:rsidRDefault="001735E7" w:rsidP="001735E7">
      <w:pPr>
        <w:pStyle w:val="Sinespaciado1"/>
        <w:spacing w:line="360" w:lineRule="auto"/>
        <w:ind w:firstLine="2835"/>
        <w:jc w:val="both"/>
        <w:rPr>
          <w:rFonts w:ascii="Arial" w:hAnsi="Arial" w:cs="Arial"/>
          <w:b/>
          <w:bCs/>
          <w:sz w:val="24"/>
          <w:szCs w:val="16"/>
        </w:rPr>
      </w:pPr>
    </w:p>
    <w:p w:rsidR="00F8281F" w:rsidRDefault="00F8281F" w:rsidP="00F8281F">
      <w:pPr>
        <w:pStyle w:val="Sinespaciado1"/>
        <w:spacing w:line="360" w:lineRule="auto"/>
        <w:ind w:firstLine="283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pacing w:val="-3"/>
          <w:sz w:val="26"/>
          <w:szCs w:val="26"/>
        </w:rPr>
        <w:t>1.</w:t>
      </w:r>
      <w:r w:rsidRPr="001F5E5A">
        <w:rPr>
          <w:rFonts w:ascii="Arial" w:hAnsi="Arial" w:cs="Arial"/>
          <w:bCs/>
          <w:sz w:val="26"/>
          <w:szCs w:val="26"/>
        </w:rPr>
        <w:t xml:space="preserve"> El auto recurrido es apelab</w:t>
      </w:r>
      <w:r w:rsidR="00B04EFC">
        <w:rPr>
          <w:rFonts w:ascii="Arial" w:hAnsi="Arial" w:cs="Arial"/>
          <w:bCs/>
          <w:sz w:val="26"/>
          <w:szCs w:val="26"/>
        </w:rPr>
        <w:t xml:space="preserve">le, por virtud del </w:t>
      </w:r>
      <w:r>
        <w:rPr>
          <w:rFonts w:ascii="Arial" w:hAnsi="Arial" w:cs="Arial"/>
          <w:bCs/>
          <w:sz w:val="26"/>
          <w:szCs w:val="26"/>
        </w:rPr>
        <w:t xml:space="preserve">artículo </w:t>
      </w:r>
      <w:r w:rsidR="00F47F62">
        <w:rPr>
          <w:rFonts w:ascii="Arial" w:hAnsi="Arial" w:cs="Arial"/>
          <w:bCs/>
          <w:sz w:val="26"/>
          <w:szCs w:val="26"/>
        </w:rPr>
        <w:t>321</w:t>
      </w:r>
      <w:r w:rsidR="00A360EF">
        <w:rPr>
          <w:rFonts w:ascii="Arial" w:hAnsi="Arial" w:cs="Arial"/>
          <w:bCs/>
          <w:sz w:val="26"/>
          <w:szCs w:val="26"/>
        </w:rPr>
        <w:t>-8</w:t>
      </w:r>
      <w:r w:rsidRPr="001F5E5A">
        <w:rPr>
          <w:rFonts w:ascii="Arial" w:hAnsi="Arial" w:cs="Arial"/>
          <w:bCs/>
          <w:sz w:val="26"/>
          <w:szCs w:val="26"/>
        </w:rPr>
        <w:t xml:space="preserve"> del </w:t>
      </w:r>
      <w:proofErr w:type="spellStart"/>
      <w:r w:rsidRPr="00EF4D76">
        <w:rPr>
          <w:rFonts w:ascii="Arial" w:hAnsi="Arial" w:cs="Arial"/>
          <w:bCs/>
          <w:sz w:val="24"/>
          <w:szCs w:val="26"/>
        </w:rPr>
        <w:t>C</w:t>
      </w:r>
      <w:r w:rsidR="00F47F62">
        <w:rPr>
          <w:rFonts w:ascii="Arial" w:hAnsi="Arial" w:cs="Arial"/>
          <w:bCs/>
          <w:sz w:val="24"/>
          <w:szCs w:val="26"/>
        </w:rPr>
        <w:t>GP</w:t>
      </w:r>
      <w:proofErr w:type="spellEnd"/>
      <w:r w:rsidR="009A0724">
        <w:rPr>
          <w:rFonts w:ascii="Arial" w:hAnsi="Arial" w:cs="Arial"/>
          <w:bCs/>
          <w:sz w:val="24"/>
          <w:szCs w:val="26"/>
        </w:rPr>
        <w:t xml:space="preserve">. </w:t>
      </w:r>
      <w:r w:rsidRPr="001F5E5A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</w:t>
      </w:r>
      <w:r w:rsidRPr="001F5E5A">
        <w:rPr>
          <w:rFonts w:ascii="Arial" w:hAnsi="Arial" w:cs="Arial"/>
          <w:sz w:val="26"/>
          <w:szCs w:val="26"/>
        </w:rPr>
        <w:t>sta Corporación tiene competencia para conoc</w:t>
      </w:r>
      <w:r w:rsidR="00CA6E24">
        <w:rPr>
          <w:rFonts w:ascii="Arial" w:hAnsi="Arial" w:cs="Arial"/>
          <w:sz w:val="26"/>
          <w:szCs w:val="26"/>
        </w:rPr>
        <w:t>e</w:t>
      </w:r>
      <w:r w:rsidRPr="001F5E5A">
        <w:rPr>
          <w:rFonts w:ascii="Arial" w:hAnsi="Arial" w:cs="Arial"/>
          <w:sz w:val="26"/>
          <w:szCs w:val="26"/>
        </w:rPr>
        <w:t>r del recurso vertical</w:t>
      </w:r>
      <w:r>
        <w:rPr>
          <w:rFonts w:ascii="Arial" w:hAnsi="Arial" w:cs="Arial"/>
          <w:sz w:val="26"/>
          <w:szCs w:val="26"/>
        </w:rPr>
        <w:t>,</w:t>
      </w:r>
      <w:r w:rsidRPr="001F5E5A">
        <w:rPr>
          <w:rFonts w:ascii="Arial" w:hAnsi="Arial" w:cs="Arial"/>
          <w:sz w:val="26"/>
          <w:szCs w:val="26"/>
        </w:rPr>
        <w:t xml:space="preserve"> es </w:t>
      </w:r>
      <w:r>
        <w:rPr>
          <w:rFonts w:ascii="Arial" w:hAnsi="Arial" w:cs="Arial"/>
          <w:sz w:val="26"/>
          <w:szCs w:val="26"/>
        </w:rPr>
        <w:t>el superior funcional del j</w:t>
      </w:r>
      <w:r w:rsidRPr="001F5E5A">
        <w:rPr>
          <w:rFonts w:ascii="Arial" w:hAnsi="Arial" w:cs="Arial"/>
          <w:sz w:val="26"/>
          <w:szCs w:val="26"/>
        </w:rPr>
        <w:t>uzgado que</w:t>
      </w:r>
      <w:r>
        <w:rPr>
          <w:rFonts w:ascii="Arial" w:hAnsi="Arial" w:cs="Arial"/>
          <w:sz w:val="26"/>
          <w:szCs w:val="26"/>
        </w:rPr>
        <w:t xml:space="preserve"> dictó la providencia confutada, además, ha sido de</w:t>
      </w:r>
      <w:r w:rsidR="0004311E">
        <w:rPr>
          <w:rFonts w:ascii="Arial" w:hAnsi="Arial" w:cs="Arial"/>
          <w:sz w:val="26"/>
          <w:szCs w:val="26"/>
        </w:rPr>
        <w:t>bidamente sustentado por quien se considera afectado</w:t>
      </w:r>
      <w:r>
        <w:rPr>
          <w:rFonts w:ascii="Arial" w:hAnsi="Arial" w:cs="Arial"/>
          <w:sz w:val="26"/>
          <w:szCs w:val="26"/>
        </w:rPr>
        <w:t>.</w:t>
      </w:r>
    </w:p>
    <w:p w:rsidR="009730D3" w:rsidRPr="009730D3" w:rsidRDefault="009730D3" w:rsidP="00F8281F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16"/>
          <w:szCs w:val="26"/>
        </w:rPr>
      </w:pPr>
    </w:p>
    <w:p w:rsidR="009A0724" w:rsidRDefault="009730D3" w:rsidP="0004311E">
      <w:pPr>
        <w:pStyle w:val="Sinespaciado1"/>
        <w:spacing w:line="360" w:lineRule="auto"/>
        <w:ind w:firstLine="2835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2. El </w:t>
      </w:r>
      <w:r w:rsidR="00CB74AF">
        <w:rPr>
          <w:rFonts w:ascii="Arial" w:hAnsi="Arial" w:cs="Arial"/>
          <w:bCs/>
          <w:iCs/>
          <w:sz w:val="26"/>
          <w:szCs w:val="26"/>
        </w:rPr>
        <w:t xml:space="preserve">problema jurídico, </w:t>
      </w:r>
      <w:r>
        <w:rPr>
          <w:rFonts w:ascii="Arial" w:hAnsi="Arial" w:cs="Arial"/>
          <w:bCs/>
          <w:iCs/>
          <w:sz w:val="26"/>
          <w:szCs w:val="26"/>
        </w:rPr>
        <w:t xml:space="preserve">se </w:t>
      </w:r>
      <w:r w:rsidR="007A6A8D">
        <w:rPr>
          <w:rFonts w:ascii="Arial" w:hAnsi="Arial" w:cs="Arial"/>
          <w:bCs/>
          <w:iCs/>
          <w:sz w:val="26"/>
          <w:szCs w:val="26"/>
        </w:rPr>
        <w:t xml:space="preserve">contrae </w:t>
      </w:r>
      <w:r w:rsidR="00CB74AF">
        <w:rPr>
          <w:rFonts w:ascii="Arial" w:hAnsi="Arial" w:cs="Arial"/>
          <w:bCs/>
          <w:iCs/>
          <w:sz w:val="26"/>
          <w:szCs w:val="26"/>
        </w:rPr>
        <w:t xml:space="preserve">a establecer </w:t>
      </w:r>
      <w:r w:rsidR="00CB74AF">
        <w:rPr>
          <w:rFonts w:ascii="Arial" w:hAnsi="Arial" w:cs="Arial"/>
          <w:spacing w:val="-3"/>
          <w:sz w:val="26"/>
          <w:szCs w:val="26"/>
        </w:rPr>
        <w:t xml:space="preserve">si </w:t>
      </w:r>
      <w:r w:rsidR="009A0724">
        <w:rPr>
          <w:rFonts w:ascii="Arial" w:hAnsi="Arial" w:cs="Arial"/>
          <w:spacing w:val="-3"/>
          <w:sz w:val="26"/>
          <w:szCs w:val="26"/>
        </w:rPr>
        <w:t xml:space="preserve">las cuentas bancarias cuyo origen son recursos del Sistema General de </w:t>
      </w:r>
      <w:r w:rsidR="0015197C">
        <w:rPr>
          <w:rFonts w:ascii="Arial" w:hAnsi="Arial" w:cs="Arial"/>
          <w:spacing w:val="-3"/>
          <w:sz w:val="26"/>
          <w:szCs w:val="26"/>
        </w:rPr>
        <w:t>Participación</w:t>
      </w:r>
      <w:r w:rsidR="00DA48C3">
        <w:rPr>
          <w:rFonts w:ascii="Arial" w:hAnsi="Arial" w:cs="Arial"/>
          <w:spacing w:val="-3"/>
          <w:sz w:val="26"/>
          <w:szCs w:val="26"/>
        </w:rPr>
        <w:t xml:space="preserve"> </w:t>
      </w:r>
      <w:r w:rsidR="009A0724">
        <w:rPr>
          <w:rFonts w:ascii="Arial" w:hAnsi="Arial" w:cs="Arial"/>
          <w:spacing w:val="-3"/>
          <w:sz w:val="26"/>
          <w:szCs w:val="26"/>
        </w:rPr>
        <w:t>son inembargables</w:t>
      </w:r>
      <w:r w:rsidR="00DA48C3">
        <w:rPr>
          <w:rFonts w:ascii="Arial" w:hAnsi="Arial" w:cs="Arial"/>
          <w:spacing w:val="-3"/>
          <w:sz w:val="26"/>
          <w:szCs w:val="26"/>
        </w:rPr>
        <w:t xml:space="preserve"> como lo señaló la juez de instancia, o si por el contrario </w:t>
      </w:r>
      <w:r w:rsidR="00DB6E45">
        <w:rPr>
          <w:rFonts w:ascii="Arial" w:hAnsi="Arial" w:cs="Arial"/>
          <w:spacing w:val="-3"/>
          <w:sz w:val="26"/>
          <w:szCs w:val="26"/>
        </w:rPr>
        <w:t xml:space="preserve">pueden ser objeto de </w:t>
      </w:r>
      <w:r w:rsidR="00D10334">
        <w:rPr>
          <w:rFonts w:ascii="Arial" w:hAnsi="Arial" w:cs="Arial"/>
          <w:spacing w:val="-3"/>
          <w:sz w:val="26"/>
          <w:szCs w:val="26"/>
        </w:rPr>
        <w:t xml:space="preserve">la </w:t>
      </w:r>
      <w:r w:rsidR="000B0345">
        <w:rPr>
          <w:rFonts w:ascii="Arial" w:hAnsi="Arial" w:cs="Arial"/>
          <w:spacing w:val="-3"/>
          <w:sz w:val="26"/>
          <w:szCs w:val="26"/>
        </w:rPr>
        <w:t>cautela</w:t>
      </w:r>
      <w:r w:rsidR="009A0724">
        <w:rPr>
          <w:rFonts w:ascii="Arial" w:hAnsi="Arial" w:cs="Arial"/>
          <w:spacing w:val="-3"/>
          <w:sz w:val="26"/>
          <w:szCs w:val="26"/>
        </w:rPr>
        <w:t xml:space="preserve">. </w:t>
      </w:r>
    </w:p>
    <w:p w:rsidR="00D815F4" w:rsidRPr="00BD3EE6" w:rsidRDefault="00D815F4" w:rsidP="0004311E">
      <w:pPr>
        <w:pStyle w:val="Sinespaciado1"/>
        <w:spacing w:line="360" w:lineRule="auto"/>
        <w:ind w:firstLine="2835"/>
        <w:jc w:val="both"/>
        <w:rPr>
          <w:rFonts w:ascii="Arial" w:hAnsi="Arial" w:cs="Arial"/>
          <w:spacing w:val="-3"/>
          <w:sz w:val="16"/>
          <w:szCs w:val="26"/>
        </w:rPr>
      </w:pPr>
    </w:p>
    <w:p w:rsidR="00D815F4" w:rsidRDefault="00D815F4" w:rsidP="0004311E">
      <w:pPr>
        <w:pStyle w:val="Sinespaciado1"/>
        <w:spacing w:line="360" w:lineRule="auto"/>
        <w:ind w:firstLine="2835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 xml:space="preserve">3. </w:t>
      </w:r>
      <w:r w:rsidR="00997A43">
        <w:rPr>
          <w:rFonts w:ascii="Arial" w:hAnsi="Arial" w:cs="Arial"/>
          <w:spacing w:val="-3"/>
          <w:sz w:val="26"/>
          <w:szCs w:val="26"/>
        </w:rPr>
        <w:t>Primeramente</w:t>
      </w:r>
      <w:r w:rsidRPr="00D815F4">
        <w:rPr>
          <w:rFonts w:ascii="Arial" w:hAnsi="Arial" w:cs="Arial"/>
          <w:spacing w:val="-3"/>
          <w:sz w:val="26"/>
          <w:szCs w:val="26"/>
        </w:rPr>
        <w:t xml:space="preserve">, se impone </w:t>
      </w:r>
      <w:r>
        <w:rPr>
          <w:rFonts w:ascii="Arial" w:hAnsi="Arial" w:cs="Arial"/>
          <w:spacing w:val="-3"/>
          <w:sz w:val="26"/>
          <w:szCs w:val="26"/>
        </w:rPr>
        <w:t xml:space="preserve"> efectuar las siguientes estimaciones jurídicas:</w:t>
      </w:r>
    </w:p>
    <w:p w:rsidR="00D815F4" w:rsidRPr="00BD3EE6" w:rsidRDefault="00D815F4" w:rsidP="0004311E">
      <w:pPr>
        <w:pStyle w:val="Sinespaciado1"/>
        <w:spacing w:line="360" w:lineRule="auto"/>
        <w:ind w:firstLine="2835"/>
        <w:jc w:val="both"/>
        <w:rPr>
          <w:rFonts w:ascii="Arial" w:hAnsi="Arial" w:cs="Arial"/>
          <w:spacing w:val="-3"/>
          <w:sz w:val="16"/>
          <w:szCs w:val="26"/>
        </w:rPr>
      </w:pPr>
    </w:p>
    <w:p w:rsidR="00A1488F" w:rsidRDefault="00833DA1" w:rsidP="00A1488F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pacing w:val="-20"/>
          <w:sz w:val="24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3</w:t>
      </w:r>
      <w:r w:rsidR="00F8281F" w:rsidRPr="00175378">
        <w:rPr>
          <w:rFonts w:ascii="Arial" w:hAnsi="Arial" w:cs="Arial"/>
          <w:bCs/>
          <w:iCs/>
          <w:sz w:val="26"/>
          <w:szCs w:val="26"/>
        </w:rPr>
        <w:t>.</w:t>
      </w:r>
      <w:r w:rsidR="00D815F4">
        <w:rPr>
          <w:rFonts w:ascii="Arial" w:hAnsi="Arial" w:cs="Arial"/>
          <w:bCs/>
          <w:iCs/>
          <w:sz w:val="26"/>
          <w:szCs w:val="26"/>
        </w:rPr>
        <w:t>1.</w:t>
      </w:r>
      <w:r w:rsidR="00F8281F" w:rsidRPr="00175378">
        <w:rPr>
          <w:rFonts w:ascii="Arial" w:hAnsi="Arial" w:cs="Arial"/>
          <w:bCs/>
          <w:iCs/>
          <w:sz w:val="26"/>
          <w:szCs w:val="26"/>
        </w:rPr>
        <w:t xml:space="preserve"> </w:t>
      </w:r>
      <w:r w:rsidR="002A038E">
        <w:rPr>
          <w:rFonts w:ascii="Arial" w:hAnsi="Arial" w:cs="Arial"/>
          <w:bCs/>
          <w:iCs/>
          <w:sz w:val="26"/>
          <w:szCs w:val="26"/>
        </w:rPr>
        <w:t>E</w:t>
      </w:r>
      <w:r w:rsidR="00A1488F" w:rsidRPr="00A1488F">
        <w:rPr>
          <w:rFonts w:ascii="Arial" w:hAnsi="Arial" w:cs="Arial"/>
          <w:bCs/>
          <w:iCs/>
          <w:sz w:val="26"/>
          <w:szCs w:val="26"/>
        </w:rPr>
        <w:t xml:space="preserve">n armonía con el artículo 63 de la Constitución Política, </w:t>
      </w:r>
      <w:r w:rsidR="00A1488F" w:rsidRPr="00D815F4">
        <w:rPr>
          <w:rFonts w:ascii="Arial" w:hAnsi="Arial" w:cs="Arial"/>
          <w:bCs/>
          <w:i/>
          <w:iCs/>
          <w:sz w:val="24"/>
          <w:szCs w:val="26"/>
        </w:rPr>
        <w:t>“los bienes de uso público, los parques naturales, las tierras comunales de grupos étnicos, las tierras de resguardo, el patrimonio arqueológico de la Nación y los demás bienes que determine la ley, son inalienables, imprescriptibles e inembargables”</w:t>
      </w:r>
      <w:r w:rsidR="00A1488F" w:rsidRPr="00A1488F">
        <w:rPr>
          <w:rFonts w:ascii="Arial" w:hAnsi="Arial" w:cs="Arial"/>
          <w:bCs/>
          <w:iCs/>
          <w:sz w:val="26"/>
          <w:szCs w:val="26"/>
        </w:rPr>
        <w:t xml:space="preserve">, privilegio que, para lo que incumbe a este litigio, únicamente recae sobre </w:t>
      </w:r>
      <w:r w:rsidR="00A1488F" w:rsidRPr="00D815F4">
        <w:rPr>
          <w:rFonts w:ascii="Arial" w:hAnsi="Arial" w:cs="Arial"/>
          <w:bCs/>
          <w:i/>
          <w:iCs/>
          <w:sz w:val="24"/>
          <w:szCs w:val="26"/>
        </w:rPr>
        <w:t>“los recursos del Sistema General de Participaciones”</w:t>
      </w:r>
      <w:r w:rsidR="00A1488F" w:rsidRPr="00D815F4">
        <w:rPr>
          <w:rFonts w:ascii="Arial" w:hAnsi="Arial" w:cs="Arial"/>
          <w:bCs/>
          <w:iCs/>
          <w:sz w:val="24"/>
          <w:szCs w:val="26"/>
        </w:rPr>
        <w:t xml:space="preserve"> </w:t>
      </w:r>
      <w:r w:rsidR="00A1488F" w:rsidRPr="00A1488F">
        <w:rPr>
          <w:rFonts w:ascii="Arial" w:hAnsi="Arial" w:cs="Arial"/>
          <w:bCs/>
          <w:iCs/>
          <w:sz w:val="24"/>
          <w:szCs w:val="26"/>
        </w:rPr>
        <w:t xml:space="preserve">(art. 21, D. 28 de 2008) </w:t>
      </w:r>
      <w:r w:rsidR="00A1488F" w:rsidRPr="00A1488F">
        <w:rPr>
          <w:rFonts w:ascii="Arial" w:hAnsi="Arial" w:cs="Arial"/>
          <w:bCs/>
          <w:iCs/>
          <w:sz w:val="26"/>
          <w:szCs w:val="26"/>
        </w:rPr>
        <w:t xml:space="preserve">y más estrictamente, sobre </w:t>
      </w:r>
      <w:r w:rsidR="00A1488F" w:rsidRPr="00D815F4">
        <w:rPr>
          <w:rFonts w:ascii="Arial" w:hAnsi="Arial" w:cs="Arial"/>
          <w:bCs/>
          <w:i/>
          <w:iCs/>
          <w:sz w:val="24"/>
          <w:szCs w:val="26"/>
        </w:rPr>
        <w:t xml:space="preserve">“los recursos del sistema general de seguridad social en salud” </w:t>
      </w:r>
      <w:r w:rsidR="00A1488F" w:rsidRPr="007F2616">
        <w:rPr>
          <w:rFonts w:ascii="Arial" w:hAnsi="Arial" w:cs="Arial"/>
          <w:bCs/>
          <w:iCs/>
          <w:spacing w:val="-20"/>
          <w:sz w:val="24"/>
          <w:szCs w:val="26"/>
        </w:rPr>
        <w:t>(art. 8º, D. 50 de 2003).</w:t>
      </w:r>
    </w:p>
    <w:p w:rsidR="007F2616" w:rsidRPr="00A1488F" w:rsidRDefault="007F2616" w:rsidP="00A1488F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24"/>
          <w:szCs w:val="26"/>
        </w:rPr>
      </w:pPr>
    </w:p>
    <w:p w:rsidR="00D10334" w:rsidRPr="00DB5128" w:rsidRDefault="008956F0" w:rsidP="00D10334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3.2. </w:t>
      </w:r>
      <w:r w:rsidR="00D10334">
        <w:rPr>
          <w:rFonts w:ascii="Arial" w:hAnsi="Arial" w:cs="Arial"/>
          <w:bCs/>
          <w:iCs/>
          <w:sz w:val="26"/>
          <w:szCs w:val="26"/>
        </w:rPr>
        <w:t>Por su parte, e</w:t>
      </w:r>
      <w:r w:rsidR="00D10334" w:rsidRPr="00616882">
        <w:rPr>
          <w:rFonts w:ascii="Arial" w:hAnsi="Arial" w:cs="Arial"/>
          <w:bCs/>
          <w:iCs/>
          <w:sz w:val="26"/>
          <w:szCs w:val="26"/>
        </w:rPr>
        <w:t xml:space="preserve">l artículo </w:t>
      </w:r>
      <w:r w:rsidR="00D10334">
        <w:rPr>
          <w:rFonts w:ascii="Arial" w:hAnsi="Arial" w:cs="Arial"/>
          <w:bCs/>
          <w:iCs/>
          <w:sz w:val="26"/>
          <w:szCs w:val="26"/>
        </w:rPr>
        <w:t>91</w:t>
      </w:r>
      <w:r w:rsidR="00D10334" w:rsidRPr="00616882">
        <w:rPr>
          <w:rFonts w:ascii="Arial" w:hAnsi="Arial" w:cs="Arial"/>
          <w:bCs/>
          <w:iCs/>
          <w:sz w:val="26"/>
          <w:szCs w:val="26"/>
        </w:rPr>
        <w:t xml:space="preserve">° de </w:t>
      </w:r>
      <w:r w:rsidR="00D10334">
        <w:rPr>
          <w:rFonts w:ascii="Arial" w:hAnsi="Arial" w:cs="Arial"/>
          <w:bCs/>
          <w:iCs/>
          <w:sz w:val="26"/>
          <w:szCs w:val="26"/>
        </w:rPr>
        <w:t>la</w:t>
      </w:r>
      <w:r w:rsidR="00D10334" w:rsidRPr="00616882">
        <w:rPr>
          <w:rFonts w:ascii="Arial" w:hAnsi="Arial" w:cs="Arial"/>
          <w:bCs/>
          <w:iCs/>
          <w:sz w:val="26"/>
          <w:szCs w:val="26"/>
        </w:rPr>
        <w:t xml:space="preserve"> Ley 715 de 2001 </w:t>
      </w:r>
      <w:r w:rsidR="00D10334" w:rsidRPr="00A1488F">
        <w:rPr>
          <w:rFonts w:ascii="Arial" w:hAnsi="Arial" w:cs="Arial"/>
          <w:bCs/>
          <w:iCs/>
          <w:sz w:val="26"/>
          <w:szCs w:val="26"/>
        </w:rPr>
        <w:t xml:space="preserve">por la cual se dictan normas orgánicas en materia de recursos y competencias </w:t>
      </w:r>
      <w:r w:rsidR="00DB5128">
        <w:rPr>
          <w:rFonts w:ascii="Arial" w:hAnsi="Arial" w:cs="Arial"/>
          <w:bCs/>
          <w:iCs/>
          <w:sz w:val="26"/>
          <w:szCs w:val="26"/>
        </w:rPr>
        <w:t xml:space="preserve">establece: </w:t>
      </w:r>
      <w:r w:rsidR="00D10334" w:rsidRPr="00DB5128">
        <w:rPr>
          <w:rFonts w:ascii="Arial" w:hAnsi="Arial" w:cs="Arial"/>
          <w:bCs/>
          <w:i/>
          <w:iCs/>
          <w:sz w:val="24"/>
          <w:szCs w:val="26"/>
        </w:rPr>
        <w:t xml:space="preserve">“Los recursos del Sistema General de Participaciones no harán unidad de caja con los demás recursos del presupuesto y su administración deberá realizarse en cuentas separadas de los recursos de la entidad y por sectores, igualmente, </w:t>
      </w:r>
      <w:r w:rsidR="00D10334" w:rsidRPr="00DB5128">
        <w:rPr>
          <w:rFonts w:ascii="Arial" w:hAnsi="Arial" w:cs="Arial"/>
          <w:bCs/>
          <w:i/>
          <w:iCs/>
          <w:sz w:val="24"/>
          <w:szCs w:val="26"/>
          <w:u w:val="single"/>
        </w:rPr>
        <w:t xml:space="preserve">por su destinación social constitucional, no </w:t>
      </w:r>
      <w:r w:rsidR="00D10334" w:rsidRPr="00DB5128">
        <w:rPr>
          <w:rFonts w:ascii="Arial" w:hAnsi="Arial" w:cs="Arial"/>
          <w:bCs/>
          <w:i/>
          <w:iCs/>
          <w:sz w:val="24"/>
          <w:szCs w:val="26"/>
          <w:u w:val="single"/>
        </w:rPr>
        <w:lastRenderedPageBreak/>
        <w:t>pueden ser sujeto de embargo</w:t>
      </w:r>
      <w:r w:rsidR="00D10334" w:rsidRPr="00DB5128">
        <w:rPr>
          <w:rFonts w:ascii="Arial" w:hAnsi="Arial" w:cs="Arial"/>
          <w:bCs/>
          <w:i/>
          <w:iCs/>
          <w:sz w:val="24"/>
          <w:szCs w:val="26"/>
        </w:rPr>
        <w:t>, titularización u otra clase de disposición financiera”</w:t>
      </w:r>
      <w:r w:rsidR="00D10334" w:rsidRPr="00DB5128">
        <w:rPr>
          <w:rFonts w:ascii="Arial" w:hAnsi="Arial" w:cs="Arial"/>
          <w:bCs/>
          <w:i/>
          <w:iCs/>
          <w:sz w:val="26"/>
          <w:szCs w:val="26"/>
        </w:rPr>
        <w:t xml:space="preserve">.  </w:t>
      </w:r>
      <w:r w:rsidR="00D10334" w:rsidRPr="00DB5128">
        <w:rPr>
          <w:rFonts w:ascii="Arial" w:hAnsi="Arial" w:cs="Arial"/>
          <w:bCs/>
          <w:iCs/>
          <w:sz w:val="26"/>
          <w:szCs w:val="26"/>
        </w:rPr>
        <w:t>Subrayas propias.</w:t>
      </w:r>
    </w:p>
    <w:p w:rsidR="00D10334" w:rsidRPr="00DB5128" w:rsidRDefault="00D10334" w:rsidP="00616882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16"/>
          <w:szCs w:val="26"/>
        </w:rPr>
      </w:pPr>
    </w:p>
    <w:p w:rsidR="006702D3" w:rsidRDefault="006702D3" w:rsidP="00616882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26"/>
          <w:szCs w:val="26"/>
        </w:rPr>
      </w:pPr>
      <w:r w:rsidRPr="006702D3">
        <w:rPr>
          <w:rFonts w:ascii="Arial" w:hAnsi="Arial" w:cs="Arial"/>
          <w:bCs/>
          <w:iCs/>
          <w:sz w:val="26"/>
          <w:szCs w:val="26"/>
        </w:rPr>
        <w:t xml:space="preserve">Por lo tanto el principio de la </w:t>
      </w:r>
      <w:proofErr w:type="spellStart"/>
      <w:r w:rsidRPr="006702D3">
        <w:rPr>
          <w:rFonts w:ascii="Arial" w:hAnsi="Arial" w:cs="Arial"/>
          <w:bCs/>
          <w:iCs/>
          <w:sz w:val="26"/>
          <w:szCs w:val="26"/>
        </w:rPr>
        <w:t>inembargabilidad</w:t>
      </w:r>
      <w:proofErr w:type="spellEnd"/>
      <w:r w:rsidRPr="006702D3">
        <w:rPr>
          <w:rFonts w:ascii="Arial" w:hAnsi="Arial" w:cs="Arial"/>
          <w:bCs/>
          <w:iCs/>
          <w:sz w:val="26"/>
          <w:szCs w:val="26"/>
        </w:rPr>
        <w:t xml:space="preserve"> presupuestal es una garantía que es necesario preservar y defender, ya que ella permite proteger los recursos financieros del Estado, destinados por definición en un Estado Social de Derecho, a satisfacer los requerimientos indispensables para la realización de la dignidad humana</w:t>
      </w:r>
      <w:r>
        <w:rPr>
          <w:rFonts w:ascii="Arial" w:hAnsi="Arial" w:cs="Arial"/>
          <w:bCs/>
          <w:iCs/>
          <w:sz w:val="26"/>
          <w:szCs w:val="26"/>
        </w:rPr>
        <w:t>.</w:t>
      </w:r>
    </w:p>
    <w:p w:rsidR="007F2616" w:rsidRDefault="007F2616" w:rsidP="00616882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26"/>
          <w:szCs w:val="26"/>
        </w:rPr>
      </w:pPr>
    </w:p>
    <w:p w:rsidR="00CF60F6" w:rsidRDefault="002A038E" w:rsidP="00616882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Y es que, l</w:t>
      </w:r>
      <w:r w:rsidRPr="00A1488F">
        <w:rPr>
          <w:rFonts w:ascii="Arial" w:hAnsi="Arial" w:cs="Arial"/>
          <w:bCs/>
          <w:iCs/>
          <w:sz w:val="26"/>
          <w:szCs w:val="26"/>
        </w:rPr>
        <w:t xml:space="preserve">a regla de </w:t>
      </w:r>
      <w:proofErr w:type="spellStart"/>
      <w:r w:rsidRPr="00A1488F">
        <w:rPr>
          <w:rFonts w:ascii="Arial" w:hAnsi="Arial" w:cs="Arial"/>
          <w:bCs/>
          <w:iCs/>
          <w:sz w:val="26"/>
          <w:szCs w:val="26"/>
        </w:rPr>
        <w:t>inembargabilidad</w:t>
      </w:r>
      <w:proofErr w:type="spellEnd"/>
      <w:r w:rsidRPr="00A1488F">
        <w:rPr>
          <w:rFonts w:ascii="Arial" w:hAnsi="Arial" w:cs="Arial"/>
          <w:bCs/>
          <w:iCs/>
          <w:sz w:val="26"/>
          <w:szCs w:val="26"/>
        </w:rPr>
        <w:t xml:space="preserve"> contempla</w:t>
      </w:r>
      <w:r w:rsidR="0035574B">
        <w:rPr>
          <w:rFonts w:ascii="Arial" w:hAnsi="Arial" w:cs="Arial"/>
          <w:bCs/>
          <w:iCs/>
          <w:sz w:val="26"/>
          <w:szCs w:val="26"/>
        </w:rPr>
        <w:t>da</w:t>
      </w:r>
      <w:r w:rsidRPr="00A1488F">
        <w:rPr>
          <w:rFonts w:ascii="Arial" w:hAnsi="Arial" w:cs="Arial"/>
          <w:bCs/>
          <w:iCs/>
          <w:sz w:val="26"/>
          <w:szCs w:val="26"/>
        </w:rPr>
        <w:t xml:space="preserve"> </w:t>
      </w:r>
      <w:r w:rsidR="0035574B">
        <w:rPr>
          <w:rFonts w:ascii="Arial" w:hAnsi="Arial" w:cs="Arial"/>
          <w:bCs/>
          <w:iCs/>
          <w:sz w:val="26"/>
          <w:szCs w:val="26"/>
        </w:rPr>
        <w:t xml:space="preserve">en </w:t>
      </w:r>
      <w:r w:rsidRPr="00A1488F">
        <w:rPr>
          <w:rFonts w:ascii="Arial" w:hAnsi="Arial" w:cs="Arial"/>
          <w:bCs/>
          <w:iCs/>
          <w:sz w:val="26"/>
          <w:szCs w:val="26"/>
        </w:rPr>
        <w:t xml:space="preserve">los artículos 21 del Decreto Ley 28 de 2008 en general para </w:t>
      </w:r>
      <w:r w:rsidRPr="00A1488F">
        <w:rPr>
          <w:rFonts w:ascii="Arial" w:hAnsi="Arial" w:cs="Arial"/>
          <w:bCs/>
          <w:i/>
          <w:iCs/>
          <w:sz w:val="24"/>
          <w:szCs w:val="26"/>
        </w:rPr>
        <w:t>“los recursos del Sistema General de Participaciones”</w:t>
      </w:r>
      <w:r w:rsidRPr="00A1488F">
        <w:rPr>
          <w:rFonts w:ascii="Arial" w:hAnsi="Arial" w:cs="Arial"/>
          <w:bCs/>
          <w:iCs/>
          <w:sz w:val="26"/>
          <w:szCs w:val="26"/>
        </w:rPr>
        <w:t xml:space="preserve"> y el 8º del Dec</w:t>
      </w:r>
      <w:r>
        <w:rPr>
          <w:rFonts w:ascii="Arial" w:hAnsi="Arial" w:cs="Arial"/>
          <w:bCs/>
          <w:iCs/>
          <w:sz w:val="26"/>
          <w:szCs w:val="26"/>
        </w:rPr>
        <w:t xml:space="preserve">reto 50 de 2003, </w:t>
      </w:r>
      <w:r w:rsidRPr="00A1488F">
        <w:rPr>
          <w:rFonts w:ascii="Arial" w:hAnsi="Arial" w:cs="Arial"/>
          <w:bCs/>
          <w:iCs/>
          <w:sz w:val="26"/>
          <w:szCs w:val="26"/>
        </w:rPr>
        <w:t xml:space="preserve">en particular para </w:t>
      </w:r>
      <w:r w:rsidRPr="006A0243">
        <w:rPr>
          <w:rFonts w:ascii="Arial" w:hAnsi="Arial" w:cs="Arial"/>
          <w:bCs/>
          <w:i/>
          <w:iCs/>
          <w:sz w:val="24"/>
          <w:szCs w:val="26"/>
        </w:rPr>
        <w:t>“los recursos del sistema general de seguridad social en salud”</w:t>
      </w:r>
      <w:r w:rsidRPr="00A1488F">
        <w:rPr>
          <w:rFonts w:ascii="Arial" w:hAnsi="Arial" w:cs="Arial"/>
          <w:bCs/>
          <w:iCs/>
          <w:sz w:val="26"/>
          <w:szCs w:val="26"/>
        </w:rPr>
        <w:t xml:space="preserve">, aplica única y exclusivamente a los dineros y derechos económicos pertenecientes a los aludidos sistemas </w:t>
      </w:r>
      <w:r w:rsidRPr="00616882">
        <w:rPr>
          <w:rFonts w:ascii="Arial" w:hAnsi="Arial" w:cs="Arial"/>
          <w:bCs/>
          <w:iCs/>
          <w:sz w:val="26"/>
          <w:szCs w:val="26"/>
        </w:rPr>
        <w:t xml:space="preserve">girados bajo la modalidad de participaciones </w:t>
      </w:r>
      <w:r w:rsidRPr="00A1488F">
        <w:rPr>
          <w:rFonts w:ascii="Arial" w:hAnsi="Arial" w:cs="Arial"/>
          <w:bCs/>
          <w:iCs/>
          <w:sz w:val="26"/>
          <w:szCs w:val="26"/>
        </w:rPr>
        <w:t xml:space="preserve">y no cobija, en forma general e indiscriminada, a todos los recursos patrimoniales pertenecientes a las distintas </w:t>
      </w:r>
      <w:proofErr w:type="spellStart"/>
      <w:r w:rsidRPr="00A1488F">
        <w:rPr>
          <w:rFonts w:ascii="Arial" w:hAnsi="Arial" w:cs="Arial"/>
          <w:bCs/>
          <w:iCs/>
          <w:sz w:val="26"/>
          <w:szCs w:val="26"/>
        </w:rPr>
        <w:t>EPS</w:t>
      </w:r>
      <w:proofErr w:type="spellEnd"/>
      <w:r>
        <w:rPr>
          <w:rFonts w:ascii="Arial" w:hAnsi="Arial" w:cs="Arial"/>
          <w:bCs/>
          <w:iCs/>
          <w:sz w:val="26"/>
          <w:szCs w:val="26"/>
        </w:rPr>
        <w:t>.</w:t>
      </w:r>
    </w:p>
    <w:p w:rsidR="00CF60F6" w:rsidRPr="00BD3EE6" w:rsidRDefault="00CF60F6" w:rsidP="00616882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16"/>
          <w:szCs w:val="26"/>
        </w:rPr>
      </w:pPr>
    </w:p>
    <w:p w:rsidR="00CF60F6" w:rsidRDefault="0035574B" w:rsidP="00616882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Asunto</w:t>
      </w:r>
      <w:r w:rsidR="00CF60F6">
        <w:rPr>
          <w:rFonts w:ascii="Arial" w:hAnsi="Arial" w:cs="Arial"/>
          <w:bCs/>
          <w:iCs/>
          <w:sz w:val="26"/>
          <w:szCs w:val="26"/>
        </w:rPr>
        <w:t xml:space="preserve"> que </w:t>
      </w:r>
      <w:r w:rsidR="00A1488F" w:rsidRPr="00A1488F">
        <w:rPr>
          <w:rFonts w:ascii="Arial" w:hAnsi="Arial" w:cs="Arial"/>
          <w:bCs/>
          <w:iCs/>
          <w:sz w:val="26"/>
          <w:szCs w:val="26"/>
        </w:rPr>
        <w:t xml:space="preserve"> </w:t>
      </w:r>
      <w:r w:rsidR="00CF60F6">
        <w:rPr>
          <w:rFonts w:ascii="Arial" w:hAnsi="Arial" w:cs="Arial"/>
          <w:bCs/>
          <w:iCs/>
          <w:sz w:val="26"/>
          <w:szCs w:val="26"/>
        </w:rPr>
        <w:t xml:space="preserve">ha dejado claro el Ministerio de Salud en </w:t>
      </w:r>
      <w:r w:rsidR="00CF60F6" w:rsidRPr="00CF60F6">
        <w:rPr>
          <w:rFonts w:ascii="Arial" w:hAnsi="Arial" w:cs="Arial"/>
          <w:bCs/>
          <w:iCs/>
          <w:sz w:val="26"/>
          <w:szCs w:val="26"/>
        </w:rPr>
        <w:t xml:space="preserve">Consulta sobre </w:t>
      </w:r>
      <w:proofErr w:type="spellStart"/>
      <w:r w:rsidR="00CF60F6" w:rsidRPr="00CF60F6">
        <w:rPr>
          <w:rFonts w:ascii="Arial" w:hAnsi="Arial" w:cs="Arial"/>
          <w:bCs/>
          <w:iCs/>
          <w:sz w:val="26"/>
          <w:szCs w:val="26"/>
        </w:rPr>
        <w:t>inembargabilidad</w:t>
      </w:r>
      <w:proofErr w:type="spellEnd"/>
      <w:r w:rsidR="00CF60F6" w:rsidRPr="00CF60F6">
        <w:rPr>
          <w:rFonts w:ascii="Arial" w:hAnsi="Arial" w:cs="Arial"/>
          <w:bCs/>
          <w:iCs/>
          <w:sz w:val="26"/>
          <w:szCs w:val="26"/>
        </w:rPr>
        <w:t xml:space="preserve"> recursos de la salud – Radicado No 201742302540812</w:t>
      </w:r>
      <w:r w:rsidR="00CF60F6">
        <w:rPr>
          <w:rFonts w:ascii="Arial" w:hAnsi="Arial" w:cs="Arial"/>
          <w:bCs/>
          <w:iCs/>
          <w:sz w:val="26"/>
          <w:szCs w:val="26"/>
        </w:rPr>
        <w:t xml:space="preserve"> del 28 de diciembre de 2017. </w:t>
      </w:r>
    </w:p>
    <w:p w:rsidR="00CF60F6" w:rsidRPr="00CF60F6" w:rsidRDefault="00CF60F6" w:rsidP="00616882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1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  </w:t>
      </w:r>
    </w:p>
    <w:p w:rsidR="002A038E" w:rsidRPr="00CF60F6" w:rsidRDefault="00CF60F6" w:rsidP="00CF60F6">
      <w:pPr>
        <w:pStyle w:val="Sinespaciado1"/>
        <w:ind w:left="851" w:right="618" w:firstLine="1984"/>
        <w:jc w:val="both"/>
        <w:rPr>
          <w:rFonts w:ascii="Arial" w:hAnsi="Arial" w:cs="Arial"/>
          <w:bCs/>
          <w:i/>
          <w:iCs/>
          <w:sz w:val="24"/>
          <w:szCs w:val="26"/>
        </w:rPr>
      </w:pPr>
      <w:r>
        <w:rPr>
          <w:rFonts w:ascii="Arial" w:hAnsi="Arial" w:cs="Arial"/>
          <w:i/>
          <w:sz w:val="24"/>
          <w:szCs w:val="26"/>
        </w:rPr>
        <w:t>“</w:t>
      </w:r>
      <w:r w:rsidRPr="00CF60F6">
        <w:rPr>
          <w:rFonts w:ascii="Arial" w:hAnsi="Arial" w:cs="Arial"/>
          <w:i/>
          <w:sz w:val="24"/>
          <w:szCs w:val="26"/>
        </w:rPr>
        <w:t xml:space="preserve">Cuando el numeral tercero del artículo 594 del </w:t>
      </w:r>
      <w:proofErr w:type="spellStart"/>
      <w:r w:rsidRPr="00CF60F6">
        <w:rPr>
          <w:rFonts w:ascii="Arial" w:hAnsi="Arial" w:cs="Arial"/>
          <w:i/>
          <w:sz w:val="24"/>
          <w:szCs w:val="26"/>
        </w:rPr>
        <w:t>CGP</w:t>
      </w:r>
      <w:proofErr w:type="spellEnd"/>
      <w:r w:rsidRPr="00CF60F6">
        <w:rPr>
          <w:rFonts w:ascii="Arial" w:hAnsi="Arial" w:cs="Arial"/>
          <w:i/>
          <w:sz w:val="24"/>
          <w:szCs w:val="26"/>
        </w:rPr>
        <w:t xml:space="preserve"> hace referencia a que se pueden embargar los ingresos brutos de la entidad particular que presta el servicio público, de salud en el caso nuestro, se está haciendo referencia, pero a los recursos de la entidad particular, no de recursos del </w:t>
      </w:r>
      <w:proofErr w:type="spellStart"/>
      <w:r w:rsidRPr="00CF60F6">
        <w:rPr>
          <w:rFonts w:ascii="Arial" w:hAnsi="Arial" w:cs="Arial"/>
          <w:i/>
          <w:sz w:val="24"/>
          <w:szCs w:val="26"/>
        </w:rPr>
        <w:t>SGSSS</w:t>
      </w:r>
      <w:proofErr w:type="spellEnd"/>
      <w:r w:rsidRPr="00CF60F6">
        <w:rPr>
          <w:rFonts w:ascii="Arial" w:hAnsi="Arial" w:cs="Arial"/>
          <w:i/>
          <w:sz w:val="24"/>
          <w:szCs w:val="26"/>
        </w:rPr>
        <w:t>, los cuales como ese mismo artículo prevé, en su numeral 1, son inembargables. Con respecto a esta pregunta, resulta relevante recordar que los recursos públicos que están destinados a atender la salud, no se pueden confundir con el patrimonio propio de la respectiva Entidad Promotora de Salud-</w:t>
      </w:r>
      <w:proofErr w:type="spellStart"/>
      <w:r w:rsidRPr="00CF60F6">
        <w:rPr>
          <w:rFonts w:ascii="Arial" w:hAnsi="Arial" w:cs="Arial"/>
          <w:i/>
          <w:sz w:val="24"/>
          <w:szCs w:val="26"/>
        </w:rPr>
        <w:t>EPS</w:t>
      </w:r>
      <w:proofErr w:type="spellEnd"/>
      <w:r w:rsidRPr="00CF60F6">
        <w:rPr>
          <w:rFonts w:ascii="Arial" w:hAnsi="Arial" w:cs="Arial"/>
          <w:i/>
          <w:sz w:val="24"/>
          <w:szCs w:val="26"/>
        </w:rPr>
        <w:t xml:space="preserve">, por eso, deben manejarse en cuentas separadas o independientes por las </w:t>
      </w:r>
      <w:proofErr w:type="spellStart"/>
      <w:r w:rsidRPr="00CF60F6">
        <w:rPr>
          <w:rFonts w:ascii="Arial" w:hAnsi="Arial" w:cs="Arial"/>
          <w:i/>
          <w:sz w:val="24"/>
          <w:szCs w:val="26"/>
        </w:rPr>
        <w:t>EPS</w:t>
      </w:r>
      <w:proofErr w:type="spellEnd"/>
      <w:r w:rsidRPr="00CF60F6">
        <w:rPr>
          <w:rFonts w:ascii="Arial" w:hAnsi="Arial" w:cs="Arial"/>
          <w:i/>
          <w:sz w:val="24"/>
          <w:szCs w:val="26"/>
        </w:rPr>
        <w:t xml:space="preserve"> de acuerdo al artículo 182 de la Ley 100 de 1993. Cuestión que se considera también, en la Circular 024 de 2016</w:t>
      </w:r>
      <w:proofErr w:type="gramStart"/>
      <w:r w:rsidRPr="00CF60F6">
        <w:rPr>
          <w:rFonts w:ascii="Arial" w:hAnsi="Arial" w:cs="Arial"/>
          <w:i/>
          <w:sz w:val="24"/>
          <w:szCs w:val="26"/>
        </w:rPr>
        <w:t>,</w:t>
      </w:r>
      <w:r>
        <w:rPr>
          <w:rFonts w:ascii="Arial" w:hAnsi="Arial" w:cs="Arial"/>
          <w:i/>
          <w:sz w:val="24"/>
          <w:szCs w:val="26"/>
        </w:rPr>
        <w:t>(</w:t>
      </w:r>
      <w:proofErr w:type="gramEnd"/>
      <w:r>
        <w:rPr>
          <w:rFonts w:ascii="Arial" w:hAnsi="Arial" w:cs="Arial"/>
          <w:i/>
          <w:sz w:val="24"/>
          <w:szCs w:val="26"/>
        </w:rPr>
        <w:t>…)”</w:t>
      </w:r>
      <w:r w:rsidRPr="00CF60F6">
        <w:rPr>
          <w:rFonts w:ascii="Arial" w:hAnsi="Arial" w:cs="Arial"/>
          <w:i/>
          <w:sz w:val="24"/>
          <w:szCs w:val="26"/>
        </w:rPr>
        <w:t>:</w:t>
      </w:r>
    </w:p>
    <w:p w:rsidR="00CF60F6" w:rsidRDefault="00CF60F6" w:rsidP="00CF60F6">
      <w:pPr>
        <w:pStyle w:val="Sinespaciado1"/>
        <w:spacing w:line="360" w:lineRule="auto"/>
        <w:ind w:left="851" w:right="618" w:firstLine="1984"/>
        <w:jc w:val="both"/>
        <w:rPr>
          <w:rFonts w:ascii="Arial" w:hAnsi="Arial" w:cs="Arial"/>
          <w:bCs/>
          <w:iCs/>
          <w:sz w:val="26"/>
          <w:szCs w:val="26"/>
        </w:rPr>
      </w:pPr>
    </w:p>
    <w:p w:rsidR="00BD3EE6" w:rsidRPr="00BD3EE6" w:rsidRDefault="008956F0" w:rsidP="00BD3EE6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3.3. También </w:t>
      </w:r>
      <w:r w:rsidR="0035574B">
        <w:rPr>
          <w:rFonts w:ascii="Arial" w:hAnsi="Arial" w:cs="Arial"/>
          <w:bCs/>
          <w:iCs/>
          <w:sz w:val="26"/>
          <w:szCs w:val="26"/>
        </w:rPr>
        <w:t>debe</w:t>
      </w:r>
      <w:r>
        <w:rPr>
          <w:rFonts w:ascii="Arial" w:hAnsi="Arial" w:cs="Arial"/>
          <w:bCs/>
          <w:iCs/>
          <w:sz w:val="26"/>
          <w:szCs w:val="26"/>
        </w:rPr>
        <w:t xml:space="preserve"> decir</w:t>
      </w:r>
      <w:r w:rsidR="0035574B">
        <w:rPr>
          <w:rFonts w:ascii="Arial" w:hAnsi="Arial" w:cs="Arial"/>
          <w:bCs/>
          <w:iCs/>
          <w:sz w:val="26"/>
          <w:szCs w:val="26"/>
        </w:rPr>
        <w:t>se</w:t>
      </w:r>
      <w:r>
        <w:rPr>
          <w:rFonts w:ascii="Arial" w:hAnsi="Arial" w:cs="Arial"/>
          <w:bCs/>
          <w:iCs/>
          <w:sz w:val="26"/>
          <w:szCs w:val="26"/>
        </w:rPr>
        <w:t>, que la Corte Constitucional</w:t>
      </w:r>
      <w:r w:rsidR="00BD3EE6" w:rsidRPr="00BD3EE6">
        <w:rPr>
          <w:rFonts w:ascii="Arial" w:hAnsi="Arial" w:cs="Arial"/>
          <w:bCs/>
          <w:iCs/>
          <w:sz w:val="26"/>
          <w:szCs w:val="26"/>
        </w:rPr>
        <w:t xml:space="preserve"> ha tenido en diversas ocasiones oportunidad de realizar </w:t>
      </w:r>
      <w:r w:rsidR="00BD3EE6" w:rsidRPr="00BD3EE6">
        <w:rPr>
          <w:rFonts w:ascii="Arial" w:hAnsi="Arial" w:cs="Arial"/>
          <w:bCs/>
          <w:iCs/>
          <w:sz w:val="26"/>
          <w:szCs w:val="26"/>
        </w:rPr>
        <w:lastRenderedPageBreak/>
        <w:t>juicios de constitucionalidad sobre variadas normas dictadas por el legislador, en ejercicio del</w:t>
      </w:r>
      <w:r w:rsidR="00A979EC">
        <w:rPr>
          <w:rFonts w:ascii="Arial" w:hAnsi="Arial" w:cs="Arial"/>
          <w:bCs/>
          <w:iCs/>
          <w:sz w:val="26"/>
          <w:szCs w:val="26"/>
        </w:rPr>
        <w:t xml:space="preserve"> </w:t>
      </w:r>
      <w:r w:rsidR="00BD3EE6" w:rsidRPr="00BD3EE6">
        <w:rPr>
          <w:rFonts w:ascii="Arial" w:hAnsi="Arial" w:cs="Arial"/>
          <w:bCs/>
          <w:iCs/>
          <w:sz w:val="26"/>
          <w:szCs w:val="26"/>
        </w:rPr>
        <w:t>artículo 63</w:t>
      </w:r>
      <w:r w:rsidR="00A979EC">
        <w:rPr>
          <w:rFonts w:ascii="Arial" w:hAnsi="Arial" w:cs="Arial"/>
          <w:bCs/>
          <w:iCs/>
          <w:sz w:val="26"/>
          <w:szCs w:val="26"/>
        </w:rPr>
        <w:t xml:space="preserve"> de la Constitución Política</w:t>
      </w:r>
      <w:r w:rsidR="00BD3EE6" w:rsidRPr="00BD3EE6">
        <w:rPr>
          <w:rFonts w:ascii="Arial" w:hAnsi="Arial" w:cs="Arial"/>
          <w:bCs/>
          <w:iCs/>
          <w:sz w:val="26"/>
          <w:szCs w:val="26"/>
        </w:rPr>
        <w:t>, y definió que este principio</w:t>
      </w:r>
      <w:r w:rsidR="00565408">
        <w:rPr>
          <w:rFonts w:ascii="Arial" w:hAnsi="Arial" w:cs="Arial"/>
          <w:bCs/>
          <w:iCs/>
          <w:sz w:val="26"/>
          <w:szCs w:val="26"/>
        </w:rPr>
        <w:t xml:space="preserve"> de </w:t>
      </w:r>
      <w:proofErr w:type="spellStart"/>
      <w:r w:rsidR="00565408">
        <w:rPr>
          <w:rFonts w:ascii="Arial" w:hAnsi="Arial" w:cs="Arial"/>
          <w:bCs/>
          <w:iCs/>
          <w:sz w:val="26"/>
          <w:szCs w:val="26"/>
        </w:rPr>
        <w:t>inembargabilidad</w:t>
      </w:r>
      <w:proofErr w:type="spellEnd"/>
      <w:r w:rsidR="00565408">
        <w:rPr>
          <w:rFonts w:ascii="Arial" w:hAnsi="Arial" w:cs="Arial"/>
          <w:bCs/>
          <w:iCs/>
          <w:sz w:val="26"/>
          <w:szCs w:val="26"/>
        </w:rPr>
        <w:t xml:space="preserve">, </w:t>
      </w:r>
      <w:r w:rsidR="00BD3EE6" w:rsidRPr="00BD3EE6">
        <w:rPr>
          <w:rFonts w:ascii="Arial" w:hAnsi="Arial" w:cs="Arial"/>
          <w:bCs/>
          <w:iCs/>
          <w:sz w:val="26"/>
          <w:szCs w:val="26"/>
        </w:rPr>
        <w:t>no es de aplicación absoluta, estatuyendo jurisprudencialmente una serie de excepciones a la regla general</w:t>
      </w:r>
      <w:r w:rsidR="007E1AC1">
        <w:rPr>
          <w:rStyle w:val="Appelnotedebasdep"/>
          <w:rFonts w:ascii="Arial" w:hAnsi="Arial" w:cs="Arial"/>
          <w:bCs/>
          <w:iCs/>
          <w:sz w:val="26"/>
          <w:szCs w:val="26"/>
        </w:rPr>
        <w:footnoteReference w:id="1"/>
      </w:r>
      <w:r w:rsidR="00BD3EE6" w:rsidRPr="00BD3EE6">
        <w:rPr>
          <w:rFonts w:ascii="Arial" w:hAnsi="Arial" w:cs="Arial"/>
          <w:bCs/>
          <w:iCs/>
          <w:sz w:val="26"/>
          <w:szCs w:val="26"/>
        </w:rPr>
        <w:t>:</w:t>
      </w:r>
    </w:p>
    <w:p w:rsidR="00BD3EE6" w:rsidRPr="0084220A" w:rsidRDefault="00BD3EE6" w:rsidP="0084220A">
      <w:pPr>
        <w:pStyle w:val="Sinespaciado1"/>
        <w:ind w:left="851" w:right="618" w:firstLine="19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4220A">
        <w:rPr>
          <w:rFonts w:ascii="Arial" w:hAnsi="Arial" w:cs="Arial"/>
          <w:bCs/>
          <w:i/>
          <w:iCs/>
          <w:sz w:val="24"/>
          <w:szCs w:val="24"/>
        </w:rPr>
        <w:t>(i)</w:t>
      </w:r>
      <w:r w:rsidRPr="0084220A">
        <w:rPr>
          <w:rFonts w:ascii="Arial" w:hAnsi="Arial" w:cs="Arial"/>
          <w:bCs/>
          <w:i/>
          <w:iCs/>
          <w:sz w:val="24"/>
          <w:szCs w:val="24"/>
        </w:rPr>
        <w:tab/>
        <w:t>Satisfacción de créditos u obligaciones de origen laboral con el fin de hacer efectivo el derecho al trabajo en condiciones dignas y justas</w:t>
      </w:r>
      <w:r w:rsidR="00654409" w:rsidRPr="00654409">
        <w:t xml:space="preserve"> </w:t>
      </w:r>
      <w:r w:rsidR="00654409" w:rsidRPr="00654409">
        <w:rPr>
          <w:rFonts w:ascii="Arial" w:hAnsi="Arial" w:cs="Arial"/>
          <w:bCs/>
          <w:i/>
          <w:iCs/>
          <w:sz w:val="24"/>
          <w:szCs w:val="24"/>
        </w:rPr>
        <w:t>[4]</w:t>
      </w:r>
      <w:r w:rsidRPr="0084220A">
        <w:rPr>
          <w:rFonts w:ascii="Arial" w:hAnsi="Arial" w:cs="Arial"/>
          <w:bCs/>
          <w:i/>
          <w:iCs/>
          <w:sz w:val="24"/>
          <w:szCs w:val="24"/>
        </w:rPr>
        <w:t xml:space="preserve">. </w:t>
      </w:r>
    </w:p>
    <w:p w:rsidR="00BD3EE6" w:rsidRPr="0084220A" w:rsidRDefault="00BD3EE6" w:rsidP="0084220A">
      <w:pPr>
        <w:pStyle w:val="Sinespaciado1"/>
        <w:ind w:left="851" w:right="618" w:firstLine="1984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BD3EE6" w:rsidRDefault="00BD3EE6" w:rsidP="0084220A">
      <w:pPr>
        <w:pStyle w:val="Sinespaciado1"/>
        <w:ind w:left="851" w:right="618" w:firstLine="19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4220A">
        <w:rPr>
          <w:rFonts w:ascii="Arial" w:hAnsi="Arial" w:cs="Arial"/>
          <w:bCs/>
          <w:i/>
          <w:iCs/>
          <w:sz w:val="24"/>
          <w:szCs w:val="24"/>
        </w:rPr>
        <w:t>(ii)</w:t>
      </w:r>
      <w:r w:rsidRPr="0084220A">
        <w:rPr>
          <w:rFonts w:ascii="Arial" w:hAnsi="Arial" w:cs="Arial"/>
          <w:bCs/>
          <w:i/>
          <w:iCs/>
          <w:sz w:val="24"/>
          <w:szCs w:val="24"/>
        </w:rPr>
        <w:tab/>
        <w:t>Pago de sentencias judiciales para garantizar la seguridad jurídica y la realización de los derechos en ellas contenidos</w:t>
      </w:r>
      <w:r w:rsidR="00654409">
        <w:rPr>
          <w:rFonts w:ascii="Arial" w:hAnsi="Arial" w:cs="Arial"/>
          <w:bCs/>
          <w:i/>
          <w:iCs/>
          <w:sz w:val="24"/>
          <w:szCs w:val="24"/>
        </w:rPr>
        <w:t xml:space="preserve"> [5</w:t>
      </w:r>
      <w:r w:rsidR="00654409" w:rsidRPr="00654409">
        <w:rPr>
          <w:rFonts w:ascii="Arial" w:hAnsi="Arial" w:cs="Arial"/>
          <w:bCs/>
          <w:i/>
          <w:iCs/>
          <w:sz w:val="24"/>
          <w:szCs w:val="24"/>
        </w:rPr>
        <w:t>]</w:t>
      </w:r>
      <w:r w:rsidR="00654409" w:rsidRPr="0084220A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654409" w:rsidRPr="0084220A" w:rsidRDefault="00654409" w:rsidP="0084220A">
      <w:pPr>
        <w:pStyle w:val="Sinespaciado1"/>
        <w:ind w:left="851" w:right="618" w:firstLine="1984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BD3EE6" w:rsidRPr="0084220A" w:rsidRDefault="00BD3EE6" w:rsidP="0084220A">
      <w:pPr>
        <w:pStyle w:val="Sinespaciado1"/>
        <w:ind w:left="851" w:right="618" w:firstLine="19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4220A">
        <w:rPr>
          <w:rFonts w:ascii="Arial" w:hAnsi="Arial" w:cs="Arial"/>
          <w:bCs/>
          <w:i/>
          <w:iCs/>
          <w:sz w:val="24"/>
          <w:szCs w:val="24"/>
        </w:rPr>
        <w:t>(iii)</w:t>
      </w:r>
      <w:r w:rsidRPr="0084220A">
        <w:rPr>
          <w:rFonts w:ascii="Arial" w:hAnsi="Arial" w:cs="Arial"/>
          <w:bCs/>
          <w:i/>
          <w:iCs/>
          <w:sz w:val="24"/>
          <w:szCs w:val="24"/>
        </w:rPr>
        <w:tab/>
        <w:t>Títulos emanados del Estado que reconocen una obligación clara, expresa y exigible</w:t>
      </w:r>
      <w:r w:rsidR="0065440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654409" w:rsidRPr="00654409">
        <w:rPr>
          <w:rFonts w:ascii="Arial" w:hAnsi="Arial" w:cs="Arial"/>
          <w:bCs/>
          <w:i/>
          <w:iCs/>
          <w:sz w:val="24"/>
          <w:szCs w:val="24"/>
        </w:rPr>
        <w:t>[</w:t>
      </w:r>
      <w:r w:rsidR="00654409">
        <w:rPr>
          <w:rFonts w:ascii="Arial" w:hAnsi="Arial" w:cs="Arial"/>
          <w:bCs/>
          <w:i/>
          <w:iCs/>
          <w:sz w:val="24"/>
          <w:szCs w:val="24"/>
        </w:rPr>
        <w:t>6</w:t>
      </w:r>
      <w:r w:rsidR="00654409" w:rsidRPr="00654409">
        <w:rPr>
          <w:rFonts w:ascii="Arial" w:hAnsi="Arial" w:cs="Arial"/>
          <w:bCs/>
          <w:i/>
          <w:iCs/>
          <w:sz w:val="24"/>
          <w:szCs w:val="24"/>
        </w:rPr>
        <w:t>]</w:t>
      </w:r>
      <w:r w:rsidR="00654409" w:rsidRPr="0084220A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BD3EE6" w:rsidRPr="0084220A" w:rsidRDefault="00BD3EE6" w:rsidP="0084220A">
      <w:pPr>
        <w:pStyle w:val="Sinespaciado1"/>
        <w:ind w:left="851" w:right="618" w:firstLine="1984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BD3EE6" w:rsidRPr="0084220A" w:rsidRDefault="00BD3EE6" w:rsidP="0084220A">
      <w:pPr>
        <w:pStyle w:val="Sinespaciado1"/>
        <w:ind w:left="851" w:right="618" w:firstLine="19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4220A">
        <w:rPr>
          <w:rFonts w:ascii="Arial" w:hAnsi="Arial" w:cs="Arial"/>
          <w:bCs/>
          <w:i/>
          <w:iCs/>
          <w:sz w:val="24"/>
          <w:szCs w:val="24"/>
        </w:rPr>
        <w:t xml:space="preserve">Las anteriores excepciones son aplicables respecto de los recursos del </w:t>
      </w:r>
      <w:proofErr w:type="spellStart"/>
      <w:r w:rsidRPr="0084220A">
        <w:rPr>
          <w:rFonts w:ascii="Arial" w:hAnsi="Arial" w:cs="Arial"/>
          <w:bCs/>
          <w:i/>
          <w:iCs/>
          <w:sz w:val="24"/>
          <w:szCs w:val="24"/>
        </w:rPr>
        <w:t>SGP</w:t>
      </w:r>
      <w:proofErr w:type="spellEnd"/>
      <w:r w:rsidRPr="0084220A">
        <w:rPr>
          <w:rFonts w:ascii="Arial" w:hAnsi="Arial" w:cs="Arial"/>
          <w:bCs/>
          <w:i/>
          <w:iCs/>
          <w:sz w:val="24"/>
          <w:szCs w:val="24"/>
        </w:rPr>
        <w:t>, siempre y cuando las obligaciones reclamadas tuvieran como fuente alguna de las actividades a las cuales estaban destinados dichos recursos (educación, salud, agua potable y saneamiento básico)</w:t>
      </w:r>
      <w:r w:rsidR="00654409">
        <w:rPr>
          <w:rFonts w:ascii="Arial" w:hAnsi="Arial" w:cs="Arial"/>
          <w:bCs/>
          <w:i/>
          <w:iCs/>
          <w:sz w:val="24"/>
          <w:szCs w:val="24"/>
        </w:rPr>
        <w:t xml:space="preserve"> [7</w:t>
      </w:r>
      <w:r w:rsidR="00654409" w:rsidRPr="00654409">
        <w:rPr>
          <w:rFonts w:ascii="Arial" w:hAnsi="Arial" w:cs="Arial"/>
          <w:bCs/>
          <w:i/>
          <w:iCs/>
          <w:sz w:val="24"/>
          <w:szCs w:val="24"/>
        </w:rPr>
        <w:t>]</w:t>
      </w:r>
      <w:r w:rsidRPr="0084220A">
        <w:rPr>
          <w:rFonts w:ascii="Arial" w:hAnsi="Arial" w:cs="Arial"/>
          <w:bCs/>
          <w:i/>
          <w:iCs/>
          <w:sz w:val="24"/>
          <w:szCs w:val="24"/>
        </w:rPr>
        <w:t xml:space="preserve">.      </w:t>
      </w:r>
    </w:p>
    <w:p w:rsidR="00BD3EE6" w:rsidRDefault="00BD3EE6" w:rsidP="0084220A">
      <w:pPr>
        <w:pStyle w:val="Sinespaciado1"/>
        <w:ind w:left="851" w:right="618" w:firstLine="1984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034BA0" w:rsidRPr="0084220A" w:rsidRDefault="00034BA0" w:rsidP="0084220A">
      <w:pPr>
        <w:pStyle w:val="Sinespaciado1"/>
        <w:ind w:left="851" w:right="618" w:firstLine="1984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034BA0" w:rsidRPr="00DD1197" w:rsidRDefault="00C55149" w:rsidP="002A038E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24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3.5</w:t>
      </w:r>
      <w:r w:rsidR="00576428">
        <w:rPr>
          <w:rFonts w:ascii="Arial" w:hAnsi="Arial" w:cs="Arial"/>
          <w:bCs/>
          <w:iCs/>
          <w:sz w:val="26"/>
          <w:szCs w:val="26"/>
        </w:rPr>
        <w:t xml:space="preserve">. </w:t>
      </w:r>
      <w:r w:rsidR="00034BA0">
        <w:rPr>
          <w:rFonts w:ascii="Arial" w:hAnsi="Arial" w:cs="Arial"/>
          <w:bCs/>
          <w:iCs/>
          <w:sz w:val="26"/>
          <w:szCs w:val="26"/>
        </w:rPr>
        <w:t>E</w:t>
      </w:r>
      <w:r w:rsidR="00034BA0" w:rsidRPr="00034BA0">
        <w:rPr>
          <w:rFonts w:ascii="Arial" w:hAnsi="Arial" w:cs="Arial"/>
          <w:bCs/>
          <w:iCs/>
          <w:sz w:val="26"/>
          <w:szCs w:val="26"/>
        </w:rPr>
        <w:t xml:space="preserve">xcepciones </w:t>
      </w:r>
      <w:r w:rsidR="00034BA0">
        <w:rPr>
          <w:rFonts w:ascii="Arial" w:hAnsi="Arial" w:cs="Arial"/>
          <w:bCs/>
          <w:iCs/>
          <w:sz w:val="26"/>
          <w:szCs w:val="26"/>
        </w:rPr>
        <w:t xml:space="preserve">que </w:t>
      </w:r>
      <w:r w:rsidR="00034BA0" w:rsidRPr="00034BA0">
        <w:rPr>
          <w:rFonts w:ascii="Arial" w:hAnsi="Arial" w:cs="Arial"/>
          <w:bCs/>
          <w:iCs/>
          <w:sz w:val="26"/>
          <w:szCs w:val="26"/>
        </w:rPr>
        <w:t>operan exclusivamente</w:t>
      </w:r>
      <w:r>
        <w:rPr>
          <w:rFonts w:ascii="Arial" w:hAnsi="Arial" w:cs="Arial"/>
          <w:bCs/>
          <w:iCs/>
          <w:sz w:val="26"/>
          <w:szCs w:val="26"/>
        </w:rPr>
        <w:t>,</w:t>
      </w:r>
      <w:r w:rsidR="00034BA0" w:rsidRPr="00034BA0">
        <w:rPr>
          <w:rFonts w:ascii="Arial" w:hAnsi="Arial" w:cs="Arial"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iCs/>
          <w:sz w:val="26"/>
          <w:szCs w:val="26"/>
        </w:rPr>
        <w:t xml:space="preserve">según </w:t>
      </w:r>
      <w:r w:rsidRPr="00C55149">
        <w:rPr>
          <w:rFonts w:ascii="Arial" w:hAnsi="Arial" w:cs="Arial"/>
          <w:bCs/>
          <w:iCs/>
          <w:sz w:val="26"/>
          <w:szCs w:val="26"/>
        </w:rPr>
        <w:t xml:space="preserve"> da cuenta entre otras la sentencia C-566 de 2003 (</w:t>
      </w:r>
      <w:r w:rsidRPr="00C55149">
        <w:rPr>
          <w:rFonts w:ascii="Arial" w:hAnsi="Arial" w:cs="Arial"/>
          <w:bCs/>
          <w:iCs/>
          <w:sz w:val="24"/>
          <w:szCs w:val="26"/>
        </w:rPr>
        <w:t>con la que se moduló el artículo 91 de la Ley 715 de 2001)</w:t>
      </w:r>
      <w:r>
        <w:rPr>
          <w:rFonts w:ascii="Arial" w:hAnsi="Arial" w:cs="Arial"/>
          <w:bCs/>
          <w:iCs/>
          <w:sz w:val="26"/>
          <w:szCs w:val="26"/>
        </w:rPr>
        <w:t xml:space="preserve"> </w:t>
      </w:r>
      <w:r w:rsidR="00034BA0" w:rsidRPr="00034BA0">
        <w:rPr>
          <w:rFonts w:ascii="Arial" w:hAnsi="Arial" w:cs="Arial"/>
          <w:bCs/>
          <w:iCs/>
          <w:sz w:val="26"/>
          <w:szCs w:val="26"/>
        </w:rPr>
        <w:t xml:space="preserve">en lo relacionado con </w:t>
      </w:r>
      <w:r w:rsidR="00034BA0" w:rsidRPr="00034BA0">
        <w:rPr>
          <w:rFonts w:ascii="Arial" w:hAnsi="Arial" w:cs="Arial"/>
          <w:bCs/>
          <w:i/>
          <w:iCs/>
          <w:sz w:val="24"/>
          <w:szCs w:val="26"/>
        </w:rPr>
        <w:t xml:space="preserve">“(…) el pago de sentencias y de las demás obligaciones claras, expresas y actualmente exigibles a </w:t>
      </w:r>
      <w:r w:rsidR="00034BA0" w:rsidRPr="00DD1197">
        <w:rPr>
          <w:rFonts w:ascii="Arial" w:hAnsi="Arial" w:cs="Arial"/>
          <w:bCs/>
          <w:i/>
          <w:iCs/>
          <w:sz w:val="24"/>
          <w:szCs w:val="26"/>
          <w:u w:val="single"/>
        </w:rPr>
        <w:t>cargo de entidades públicas</w:t>
      </w:r>
      <w:r w:rsidR="00034BA0" w:rsidRPr="00034BA0">
        <w:rPr>
          <w:rFonts w:ascii="Arial" w:hAnsi="Arial" w:cs="Arial"/>
          <w:bCs/>
          <w:i/>
          <w:iCs/>
          <w:sz w:val="24"/>
          <w:szCs w:val="26"/>
        </w:rPr>
        <w:t xml:space="preserve"> (…)”</w:t>
      </w:r>
      <w:r w:rsidR="00034BA0" w:rsidRPr="00034BA0">
        <w:rPr>
          <w:rFonts w:ascii="Arial" w:hAnsi="Arial" w:cs="Arial"/>
          <w:bCs/>
          <w:iCs/>
          <w:sz w:val="24"/>
          <w:szCs w:val="26"/>
        </w:rPr>
        <w:t xml:space="preserve"> </w:t>
      </w:r>
      <w:r w:rsidR="00034BA0" w:rsidRPr="00034BA0">
        <w:rPr>
          <w:rFonts w:ascii="Arial" w:hAnsi="Arial" w:cs="Arial"/>
          <w:bCs/>
          <w:iCs/>
          <w:sz w:val="26"/>
          <w:szCs w:val="26"/>
        </w:rPr>
        <w:t xml:space="preserve">; y es </w:t>
      </w:r>
      <w:r w:rsidR="00426E02" w:rsidRPr="00034BA0">
        <w:rPr>
          <w:rFonts w:ascii="Arial" w:hAnsi="Arial" w:cs="Arial"/>
          <w:bCs/>
          <w:iCs/>
          <w:sz w:val="26"/>
          <w:szCs w:val="26"/>
        </w:rPr>
        <w:t>factible</w:t>
      </w:r>
      <w:r w:rsidR="00034BA0" w:rsidRPr="00034BA0">
        <w:rPr>
          <w:rFonts w:ascii="Arial" w:hAnsi="Arial" w:cs="Arial"/>
          <w:bCs/>
          <w:iCs/>
          <w:sz w:val="26"/>
          <w:szCs w:val="26"/>
        </w:rPr>
        <w:t xml:space="preserve"> </w:t>
      </w:r>
      <w:r w:rsidR="00426E02">
        <w:rPr>
          <w:rFonts w:ascii="Arial" w:hAnsi="Arial" w:cs="Arial"/>
          <w:bCs/>
          <w:iCs/>
          <w:sz w:val="26"/>
          <w:szCs w:val="26"/>
        </w:rPr>
        <w:t>atenderla</w:t>
      </w:r>
      <w:r w:rsidR="00034BA0" w:rsidRPr="00034BA0">
        <w:rPr>
          <w:rFonts w:ascii="Arial" w:hAnsi="Arial" w:cs="Arial"/>
          <w:bCs/>
          <w:iCs/>
          <w:sz w:val="26"/>
          <w:szCs w:val="26"/>
        </w:rPr>
        <w:t xml:space="preserve"> sobre los recursos del </w:t>
      </w:r>
      <w:proofErr w:type="spellStart"/>
      <w:r w:rsidR="00034BA0" w:rsidRPr="00034BA0">
        <w:rPr>
          <w:rFonts w:ascii="Arial" w:hAnsi="Arial" w:cs="Arial"/>
          <w:bCs/>
          <w:iCs/>
          <w:sz w:val="26"/>
          <w:szCs w:val="26"/>
        </w:rPr>
        <w:t>SGP</w:t>
      </w:r>
      <w:proofErr w:type="spellEnd"/>
      <w:r w:rsidR="00034BA0" w:rsidRPr="00034BA0">
        <w:rPr>
          <w:rFonts w:ascii="Arial" w:hAnsi="Arial" w:cs="Arial"/>
          <w:bCs/>
          <w:iCs/>
          <w:sz w:val="26"/>
          <w:szCs w:val="26"/>
        </w:rPr>
        <w:t xml:space="preserve"> </w:t>
      </w:r>
      <w:r w:rsidR="00034BA0" w:rsidRPr="00034BA0">
        <w:rPr>
          <w:rFonts w:ascii="Arial" w:hAnsi="Arial" w:cs="Arial"/>
          <w:bCs/>
          <w:i/>
          <w:iCs/>
          <w:sz w:val="24"/>
          <w:szCs w:val="26"/>
        </w:rPr>
        <w:t xml:space="preserve">“(…) en el entendido que  los créditos a cargo de las entidades territoriales por actividades propias de cada uno de los sectores a los que se </w:t>
      </w:r>
      <w:r w:rsidR="00034BA0" w:rsidRPr="00034BA0">
        <w:rPr>
          <w:rFonts w:ascii="Arial" w:hAnsi="Arial" w:cs="Arial"/>
          <w:bCs/>
          <w:i/>
          <w:iCs/>
          <w:sz w:val="24"/>
          <w:szCs w:val="26"/>
        </w:rPr>
        <w:lastRenderedPageBreak/>
        <w:t>destinan los recursos del sistema general de participaciones (educativo, salud y propósito general), (…) deben ser pagados mediante  el procedimiento que señale la ley y que transcurrido el término  para que ellos sean exigibles, es posible adelantar ejecución, con embargo, en primer lugar, de los recursos del presupuesto destinados al pago de sentencias o conciliaciones, cuando se trate de esa clase de títulos, y, si ellos no fueren suficientes, de los recursos  de la participación  respectiva, sin que puedan verse comprometidos los recursos de</w:t>
      </w:r>
      <w:r w:rsidR="00034BA0">
        <w:rPr>
          <w:rFonts w:ascii="Arial" w:hAnsi="Arial" w:cs="Arial"/>
          <w:bCs/>
          <w:i/>
          <w:iCs/>
          <w:sz w:val="24"/>
          <w:szCs w:val="26"/>
        </w:rPr>
        <w:t xml:space="preserve"> las demás participaciones (…)”</w:t>
      </w:r>
      <w:r w:rsidR="00034BA0" w:rsidRPr="00034BA0">
        <w:rPr>
          <w:rFonts w:ascii="Arial" w:hAnsi="Arial" w:cs="Arial"/>
          <w:bCs/>
          <w:i/>
          <w:iCs/>
          <w:sz w:val="24"/>
          <w:szCs w:val="26"/>
        </w:rPr>
        <w:t>.</w:t>
      </w:r>
      <w:r w:rsidR="00DD1197">
        <w:rPr>
          <w:rFonts w:ascii="Arial" w:hAnsi="Arial" w:cs="Arial"/>
          <w:bCs/>
          <w:i/>
          <w:iCs/>
          <w:sz w:val="24"/>
          <w:szCs w:val="26"/>
        </w:rPr>
        <w:t xml:space="preserve"> </w:t>
      </w:r>
      <w:r w:rsidR="00DD1197">
        <w:rPr>
          <w:rFonts w:ascii="Arial" w:hAnsi="Arial" w:cs="Arial"/>
          <w:bCs/>
          <w:iCs/>
          <w:sz w:val="24"/>
          <w:szCs w:val="26"/>
        </w:rPr>
        <w:t>Subrayas propias.</w:t>
      </w:r>
    </w:p>
    <w:p w:rsidR="00034BA0" w:rsidRPr="005E57E3" w:rsidRDefault="00034BA0" w:rsidP="002A038E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16"/>
          <w:szCs w:val="26"/>
        </w:rPr>
      </w:pPr>
    </w:p>
    <w:p w:rsidR="00C03100" w:rsidRDefault="00C55149" w:rsidP="002A038E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4</w:t>
      </w:r>
      <w:r w:rsidR="00034BA0">
        <w:rPr>
          <w:rFonts w:ascii="Arial" w:hAnsi="Arial" w:cs="Arial"/>
          <w:bCs/>
          <w:iCs/>
          <w:sz w:val="26"/>
          <w:szCs w:val="26"/>
        </w:rPr>
        <w:t xml:space="preserve">. </w:t>
      </w:r>
      <w:r w:rsidR="002A038E" w:rsidRPr="002A038E">
        <w:rPr>
          <w:rFonts w:ascii="Arial" w:hAnsi="Arial" w:cs="Arial"/>
          <w:bCs/>
          <w:iCs/>
          <w:sz w:val="26"/>
          <w:szCs w:val="26"/>
        </w:rPr>
        <w:t>De acuerdo con el marco conceptual expuesto</w:t>
      </w:r>
      <w:r w:rsidR="00C57D6F">
        <w:rPr>
          <w:rFonts w:ascii="Arial" w:hAnsi="Arial" w:cs="Arial"/>
          <w:bCs/>
          <w:iCs/>
          <w:sz w:val="26"/>
          <w:szCs w:val="26"/>
        </w:rPr>
        <w:t>, es dable afirmar que</w:t>
      </w:r>
      <w:r w:rsidR="002A038E" w:rsidRPr="002A038E">
        <w:rPr>
          <w:rFonts w:ascii="Arial" w:hAnsi="Arial" w:cs="Arial"/>
          <w:bCs/>
          <w:iCs/>
          <w:sz w:val="26"/>
          <w:szCs w:val="26"/>
        </w:rPr>
        <w:t xml:space="preserve"> </w:t>
      </w:r>
      <w:r w:rsidR="00C03100">
        <w:rPr>
          <w:rFonts w:ascii="Arial" w:hAnsi="Arial" w:cs="Arial"/>
          <w:bCs/>
          <w:iCs/>
          <w:sz w:val="26"/>
          <w:szCs w:val="26"/>
        </w:rPr>
        <w:t>en verdad</w:t>
      </w:r>
      <w:r w:rsidR="002A038E" w:rsidRPr="002A038E">
        <w:rPr>
          <w:rFonts w:ascii="Arial" w:hAnsi="Arial" w:cs="Arial"/>
          <w:bCs/>
          <w:iCs/>
          <w:sz w:val="26"/>
          <w:szCs w:val="26"/>
        </w:rPr>
        <w:t xml:space="preserve"> la cautela </w:t>
      </w:r>
      <w:r w:rsidR="00C03100">
        <w:rPr>
          <w:rFonts w:ascii="Arial" w:hAnsi="Arial" w:cs="Arial"/>
          <w:bCs/>
          <w:iCs/>
          <w:sz w:val="26"/>
          <w:szCs w:val="26"/>
        </w:rPr>
        <w:t>solicitada, no</w:t>
      </w:r>
      <w:r w:rsidR="002A038E" w:rsidRPr="002A038E">
        <w:rPr>
          <w:rFonts w:ascii="Arial" w:hAnsi="Arial" w:cs="Arial"/>
          <w:bCs/>
          <w:iCs/>
          <w:sz w:val="26"/>
          <w:szCs w:val="26"/>
        </w:rPr>
        <w:t xml:space="preserve"> resultaba procedente,</w:t>
      </w:r>
      <w:r w:rsidR="00C03100">
        <w:rPr>
          <w:rFonts w:ascii="Arial" w:hAnsi="Arial" w:cs="Arial"/>
          <w:bCs/>
          <w:iCs/>
          <w:sz w:val="26"/>
          <w:szCs w:val="26"/>
        </w:rPr>
        <w:t xml:space="preserve"> como a bien lo consideró la </w:t>
      </w:r>
      <w:r w:rsidR="00C03100">
        <w:rPr>
          <w:rFonts w:ascii="Arial" w:hAnsi="Arial" w:cs="Arial"/>
          <w:bCs/>
          <w:i/>
          <w:iCs/>
          <w:sz w:val="26"/>
          <w:szCs w:val="26"/>
        </w:rPr>
        <w:t xml:space="preserve"> a quo, </w:t>
      </w:r>
      <w:r w:rsidR="00C03100">
        <w:rPr>
          <w:rFonts w:ascii="Arial" w:hAnsi="Arial" w:cs="Arial"/>
          <w:bCs/>
          <w:iCs/>
          <w:sz w:val="26"/>
          <w:szCs w:val="26"/>
        </w:rPr>
        <w:t xml:space="preserve"> </w:t>
      </w:r>
      <w:r w:rsidR="003F5275">
        <w:rPr>
          <w:rFonts w:ascii="Arial" w:hAnsi="Arial" w:cs="Arial"/>
          <w:bCs/>
          <w:iCs/>
          <w:sz w:val="26"/>
          <w:szCs w:val="26"/>
        </w:rPr>
        <w:t>quien accedió</w:t>
      </w:r>
      <w:r w:rsidR="00C03100">
        <w:rPr>
          <w:rFonts w:ascii="Arial" w:hAnsi="Arial" w:cs="Arial"/>
          <w:bCs/>
          <w:iCs/>
          <w:sz w:val="26"/>
          <w:szCs w:val="26"/>
        </w:rPr>
        <w:t xml:space="preserve"> al embargo de las cuentas de ahorro, corrientes y demás productos financieros de la </w:t>
      </w:r>
      <w:proofErr w:type="spellStart"/>
      <w:r w:rsidR="00C03100">
        <w:rPr>
          <w:rFonts w:ascii="Arial" w:hAnsi="Arial" w:cs="Arial"/>
          <w:bCs/>
          <w:iCs/>
          <w:sz w:val="26"/>
          <w:szCs w:val="26"/>
        </w:rPr>
        <w:t>EPS</w:t>
      </w:r>
      <w:proofErr w:type="spellEnd"/>
      <w:r w:rsidR="00C03100">
        <w:rPr>
          <w:rFonts w:ascii="Arial" w:hAnsi="Arial" w:cs="Arial"/>
          <w:bCs/>
          <w:iCs/>
          <w:sz w:val="26"/>
          <w:szCs w:val="26"/>
        </w:rPr>
        <w:t xml:space="preserve"> Coomeva, salvando de dicha medida las que pertenezcan al Sistema General de Participación en Salud. </w:t>
      </w:r>
    </w:p>
    <w:p w:rsidR="008E72CA" w:rsidRPr="00034BA0" w:rsidRDefault="008E72CA" w:rsidP="00D56D7E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16"/>
          <w:szCs w:val="26"/>
        </w:rPr>
      </w:pPr>
    </w:p>
    <w:p w:rsidR="00D56D7E" w:rsidRPr="00D56D7E" w:rsidRDefault="00D56D7E" w:rsidP="00D56D7E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Y ello es así por cuanto si bien existen excepciones </w:t>
      </w:r>
      <w:r w:rsidR="00430142">
        <w:rPr>
          <w:rFonts w:ascii="Arial" w:hAnsi="Arial" w:cs="Arial"/>
          <w:bCs/>
          <w:iCs/>
          <w:sz w:val="26"/>
          <w:szCs w:val="26"/>
        </w:rPr>
        <w:t xml:space="preserve">en torno al régimen de </w:t>
      </w:r>
      <w:proofErr w:type="spellStart"/>
      <w:r>
        <w:rPr>
          <w:rFonts w:ascii="Arial" w:hAnsi="Arial" w:cs="Arial"/>
          <w:bCs/>
          <w:iCs/>
          <w:sz w:val="26"/>
          <w:szCs w:val="26"/>
        </w:rPr>
        <w:t>inembargabilidad</w:t>
      </w:r>
      <w:proofErr w:type="spellEnd"/>
      <w:r w:rsidR="00430142">
        <w:rPr>
          <w:rFonts w:ascii="Arial" w:hAnsi="Arial" w:cs="Arial"/>
          <w:bCs/>
          <w:iCs/>
          <w:sz w:val="26"/>
          <w:szCs w:val="26"/>
        </w:rPr>
        <w:t xml:space="preserve"> del que se viene hablando</w:t>
      </w:r>
      <w:r>
        <w:rPr>
          <w:rFonts w:ascii="Arial" w:hAnsi="Arial" w:cs="Arial"/>
          <w:bCs/>
          <w:iCs/>
          <w:sz w:val="26"/>
          <w:szCs w:val="26"/>
        </w:rPr>
        <w:t>, lo cierto es que</w:t>
      </w:r>
      <w:r w:rsidRPr="00D56D7E">
        <w:rPr>
          <w:rFonts w:ascii="Arial" w:hAnsi="Arial" w:cs="Arial"/>
          <w:bCs/>
          <w:iCs/>
          <w:sz w:val="26"/>
          <w:szCs w:val="26"/>
        </w:rPr>
        <w:t>; la cita jurisprudencial que trae a colación</w:t>
      </w:r>
      <w:r>
        <w:rPr>
          <w:rFonts w:ascii="Arial" w:hAnsi="Arial" w:cs="Arial"/>
          <w:bCs/>
          <w:iCs/>
          <w:sz w:val="26"/>
          <w:szCs w:val="26"/>
        </w:rPr>
        <w:t xml:space="preserve"> el apelante</w:t>
      </w:r>
      <w:r w:rsidRPr="00D56D7E">
        <w:rPr>
          <w:rFonts w:ascii="Arial" w:hAnsi="Arial" w:cs="Arial"/>
          <w:bCs/>
          <w:iCs/>
          <w:sz w:val="26"/>
          <w:szCs w:val="26"/>
        </w:rPr>
        <w:t>, es inaplicable para este caso en particular</w:t>
      </w:r>
      <w:r w:rsidR="006C2F5F">
        <w:rPr>
          <w:rFonts w:ascii="Arial" w:hAnsi="Arial" w:cs="Arial"/>
          <w:bCs/>
          <w:iCs/>
          <w:sz w:val="26"/>
          <w:szCs w:val="26"/>
        </w:rPr>
        <w:t>.</w:t>
      </w:r>
    </w:p>
    <w:p w:rsidR="00D56D7E" w:rsidRPr="00034BA0" w:rsidRDefault="00D56D7E" w:rsidP="00D56D7E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16"/>
          <w:szCs w:val="26"/>
        </w:rPr>
      </w:pPr>
    </w:p>
    <w:p w:rsidR="003F5275" w:rsidRDefault="002120A5" w:rsidP="003F5275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En verdad </w:t>
      </w:r>
      <w:r w:rsidR="00A83CEA">
        <w:rPr>
          <w:rFonts w:ascii="Arial" w:hAnsi="Arial" w:cs="Arial"/>
          <w:bCs/>
          <w:iCs/>
          <w:sz w:val="26"/>
          <w:szCs w:val="26"/>
        </w:rPr>
        <w:t xml:space="preserve">el principio de </w:t>
      </w:r>
      <w:proofErr w:type="spellStart"/>
      <w:r w:rsidR="00A83CEA">
        <w:rPr>
          <w:rFonts w:ascii="Arial" w:hAnsi="Arial" w:cs="Arial"/>
          <w:bCs/>
          <w:iCs/>
          <w:sz w:val="26"/>
          <w:szCs w:val="26"/>
        </w:rPr>
        <w:t>inembargabilidad</w:t>
      </w:r>
      <w:proofErr w:type="spellEnd"/>
      <w:r w:rsidR="00A83CEA">
        <w:rPr>
          <w:rFonts w:ascii="Arial" w:hAnsi="Arial" w:cs="Arial"/>
          <w:bCs/>
          <w:iCs/>
          <w:sz w:val="26"/>
          <w:szCs w:val="26"/>
        </w:rPr>
        <w:t xml:space="preserve"> de los recursos del </w:t>
      </w:r>
      <w:proofErr w:type="spellStart"/>
      <w:r w:rsidR="00A83CEA">
        <w:rPr>
          <w:rFonts w:ascii="Arial" w:hAnsi="Arial" w:cs="Arial"/>
          <w:bCs/>
          <w:iCs/>
          <w:sz w:val="26"/>
          <w:szCs w:val="26"/>
        </w:rPr>
        <w:t>SGP</w:t>
      </w:r>
      <w:proofErr w:type="spellEnd"/>
      <w:r w:rsidR="00A83CEA">
        <w:rPr>
          <w:rFonts w:ascii="Arial" w:hAnsi="Arial" w:cs="Arial"/>
          <w:bCs/>
          <w:iCs/>
          <w:sz w:val="26"/>
          <w:szCs w:val="26"/>
        </w:rPr>
        <w:t xml:space="preserve"> no es absoluto</w:t>
      </w:r>
      <w:r>
        <w:rPr>
          <w:rFonts w:ascii="Arial" w:hAnsi="Arial" w:cs="Arial"/>
          <w:bCs/>
          <w:iCs/>
          <w:sz w:val="26"/>
          <w:szCs w:val="26"/>
        </w:rPr>
        <w:t xml:space="preserve">, </w:t>
      </w:r>
      <w:r w:rsidR="00EF6F8A">
        <w:rPr>
          <w:rFonts w:ascii="Arial" w:hAnsi="Arial" w:cs="Arial"/>
          <w:bCs/>
          <w:iCs/>
          <w:sz w:val="26"/>
          <w:szCs w:val="26"/>
        </w:rPr>
        <w:t xml:space="preserve">la excepción que reclama el recurrente es de aquellas </w:t>
      </w:r>
      <w:r w:rsidR="00C55149">
        <w:rPr>
          <w:rFonts w:ascii="Arial" w:hAnsi="Arial" w:cs="Arial"/>
          <w:bCs/>
          <w:iCs/>
          <w:sz w:val="26"/>
          <w:szCs w:val="26"/>
        </w:rPr>
        <w:t xml:space="preserve">que </w:t>
      </w:r>
      <w:r w:rsidR="00430142" w:rsidRPr="00430142">
        <w:rPr>
          <w:rFonts w:ascii="Arial" w:hAnsi="Arial" w:cs="Arial"/>
          <w:bCs/>
          <w:iCs/>
          <w:sz w:val="26"/>
          <w:szCs w:val="26"/>
        </w:rPr>
        <w:t xml:space="preserve">la doctrina constitucional ha reconocido, </w:t>
      </w:r>
      <w:r w:rsidR="006F7985" w:rsidRPr="006F7985">
        <w:rPr>
          <w:rFonts w:ascii="Arial" w:hAnsi="Arial" w:cs="Arial"/>
          <w:bCs/>
          <w:iCs/>
          <w:sz w:val="26"/>
          <w:szCs w:val="26"/>
        </w:rPr>
        <w:t xml:space="preserve">no obstante, también lo es que las salvedades constitucionales solo son oponibles </w:t>
      </w:r>
      <w:r w:rsidR="00430142" w:rsidRPr="00430142">
        <w:rPr>
          <w:rFonts w:ascii="Arial" w:hAnsi="Arial" w:cs="Arial"/>
          <w:bCs/>
          <w:iCs/>
          <w:sz w:val="26"/>
          <w:szCs w:val="26"/>
        </w:rPr>
        <w:t xml:space="preserve">a </w:t>
      </w:r>
      <w:r w:rsidR="00EF6F8A">
        <w:rPr>
          <w:rFonts w:ascii="Arial" w:hAnsi="Arial" w:cs="Arial"/>
          <w:bCs/>
          <w:i/>
          <w:iCs/>
          <w:sz w:val="24"/>
          <w:szCs w:val="26"/>
        </w:rPr>
        <w:t>“</w:t>
      </w:r>
      <w:r w:rsidR="00430142" w:rsidRPr="00293030">
        <w:rPr>
          <w:rFonts w:ascii="Arial" w:hAnsi="Arial" w:cs="Arial"/>
          <w:bCs/>
          <w:i/>
          <w:iCs/>
          <w:sz w:val="24"/>
          <w:szCs w:val="26"/>
        </w:rPr>
        <w:t>…créditos a cargo</w:t>
      </w:r>
      <w:r w:rsidR="00EF6F8A">
        <w:rPr>
          <w:rFonts w:ascii="Arial" w:hAnsi="Arial" w:cs="Arial"/>
          <w:bCs/>
          <w:i/>
          <w:iCs/>
          <w:sz w:val="24"/>
          <w:szCs w:val="26"/>
        </w:rPr>
        <w:t xml:space="preserve"> de las entidades territoriales</w:t>
      </w:r>
      <w:r w:rsidR="00430142" w:rsidRPr="00293030">
        <w:rPr>
          <w:rFonts w:ascii="Arial" w:hAnsi="Arial" w:cs="Arial"/>
          <w:bCs/>
          <w:i/>
          <w:iCs/>
          <w:sz w:val="24"/>
          <w:szCs w:val="26"/>
        </w:rPr>
        <w:t xml:space="preserve">…”, </w:t>
      </w:r>
      <w:r w:rsidR="006F7985" w:rsidRPr="006F7985">
        <w:rPr>
          <w:rFonts w:ascii="Arial" w:hAnsi="Arial" w:cs="Arial"/>
          <w:bCs/>
          <w:iCs/>
          <w:sz w:val="24"/>
          <w:szCs w:val="26"/>
        </w:rPr>
        <w:t>esto es,</w:t>
      </w:r>
      <w:r w:rsidR="006F7985">
        <w:rPr>
          <w:rFonts w:ascii="Arial" w:hAnsi="Arial" w:cs="Arial"/>
          <w:bCs/>
          <w:i/>
          <w:iCs/>
          <w:sz w:val="24"/>
          <w:szCs w:val="26"/>
        </w:rPr>
        <w:t xml:space="preserve"> </w:t>
      </w:r>
      <w:r w:rsidR="006F7985" w:rsidRPr="006F7985">
        <w:rPr>
          <w:rFonts w:ascii="Arial" w:hAnsi="Arial" w:cs="Arial"/>
          <w:bCs/>
          <w:iCs/>
          <w:sz w:val="26"/>
          <w:szCs w:val="26"/>
        </w:rPr>
        <w:t>al Estado en calidad de deudor</w:t>
      </w:r>
      <w:r w:rsidR="006F7985">
        <w:rPr>
          <w:rFonts w:ascii="Arial" w:hAnsi="Arial" w:cs="Arial"/>
          <w:bCs/>
          <w:iCs/>
          <w:sz w:val="26"/>
          <w:szCs w:val="26"/>
        </w:rPr>
        <w:t xml:space="preserve">, </w:t>
      </w:r>
      <w:r w:rsidR="00430142" w:rsidRPr="00430142">
        <w:rPr>
          <w:rFonts w:ascii="Arial" w:hAnsi="Arial" w:cs="Arial"/>
          <w:bCs/>
          <w:iCs/>
          <w:sz w:val="26"/>
          <w:szCs w:val="26"/>
        </w:rPr>
        <w:t>hipótesis que, no se verifica en esta oportunidad,</w:t>
      </w:r>
      <w:r w:rsidR="006C2F5F">
        <w:rPr>
          <w:rFonts w:ascii="Arial" w:hAnsi="Arial" w:cs="Arial"/>
          <w:bCs/>
          <w:iCs/>
          <w:sz w:val="26"/>
          <w:szCs w:val="26"/>
        </w:rPr>
        <w:t xml:space="preserve"> la</w:t>
      </w:r>
      <w:r w:rsidR="006C2F5F" w:rsidRPr="00034BA0">
        <w:rPr>
          <w:rFonts w:ascii="Arial" w:hAnsi="Arial" w:cs="Arial"/>
          <w:bCs/>
          <w:iCs/>
          <w:sz w:val="26"/>
          <w:szCs w:val="26"/>
        </w:rPr>
        <w:t xml:space="preserve"> ejecución que aquí se adelanta es </w:t>
      </w:r>
      <w:r w:rsidR="006F7985">
        <w:rPr>
          <w:rFonts w:ascii="Arial" w:hAnsi="Arial" w:cs="Arial"/>
          <w:bCs/>
          <w:iCs/>
          <w:sz w:val="26"/>
          <w:szCs w:val="26"/>
        </w:rPr>
        <w:t xml:space="preserve">contra una entidad </w:t>
      </w:r>
      <w:r w:rsidR="006C2F5F" w:rsidRPr="00034BA0">
        <w:rPr>
          <w:rFonts w:ascii="Arial" w:hAnsi="Arial" w:cs="Arial"/>
          <w:bCs/>
          <w:iCs/>
          <w:sz w:val="26"/>
          <w:szCs w:val="26"/>
        </w:rPr>
        <w:t>del sector privado</w:t>
      </w:r>
      <w:r w:rsidR="00E67481">
        <w:rPr>
          <w:rFonts w:ascii="Arial" w:hAnsi="Arial" w:cs="Arial"/>
          <w:bCs/>
          <w:iCs/>
          <w:sz w:val="26"/>
          <w:szCs w:val="26"/>
        </w:rPr>
        <w:t xml:space="preserve"> y e</w:t>
      </w:r>
      <w:r w:rsidR="00E67481" w:rsidRPr="00E67481">
        <w:rPr>
          <w:rFonts w:ascii="Arial" w:hAnsi="Arial" w:cs="Arial"/>
          <w:bCs/>
          <w:iCs/>
          <w:sz w:val="26"/>
          <w:szCs w:val="26"/>
        </w:rPr>
        <w:t xml:space="preserve">l manejo que la hace de recursos del </w:t>
      </w:r>
      <w:proofErr w:type="spellStart"/>
      <w:r w:rsidR="00E67481" w:rsidRPr="00E67481">
        <w:rPr>
          <w:rFonts w:ascii="Arial" w:hAnsi="Arial" w:cs="Arial"/>
          <w:bCs/>
          <w:iCs/>
          <w:sz w:val="26"/>
          <w:szCs w:val="26"/>
        </w:rPr>
        <w:t>SGP</w:t>
      </w:r>
      <w:proofErr w:type="spellEnd"/>
      <w:r w:rsidR="00E67481" w:rsidRPr="00E67481">
        <w:rPr>
          <w:rFonts w:ascii="Arial" w:hAnsi="Arial" w:cs="Arial"/>
          <w:bCs/>
          <w:iCs/>
          <w:sz w:val="26"/>
          <w:szCs w:val="26"/>
        </w:rPr>
        <w:t>, no transforma su condición de empresa comercial, menos aún modifica la naturaleza parafiscal de dichos dineros</w:t>
      </w:r>
      <w:r w:rsidR="00E82001">
        <w:rPr>
          <w:rFonts w:ascii="Arial" w:hAnsi="Arial" w:cs="Arial"/>
          <w:bCs/>
          <w:iCs/>
          <w:sz w:val="26"/>
          <w:szCs w:val="26"/>
        </w:rPr>
        <w:t>. De tal manera ha sido entendido en providencias anteriores.</w:t>
      </w:r>
      <w:r w:rsidR="00E82001">
        <w:rPr>
          <w:rStyle w:val="Appelnotedebasdep"/>
          <w:rFonts w:ascii="Arial" w:hAnsi="Arial" w:cs="Arial"/>
          <w:bCs/>
          <w:iCs/>
          <w:sz w:val="26"/>
          <w:szCs w:val="26"/>
        </w:rPr>
        <w:footnoteReference w:id="2"/>
      </w:r>
    </w:p>
    <w:p w:rsidR="003F5275" w:rsidRPr="003F5275" w:rsidRDefault="003F5275" w:rsidP="003F5275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16"/>
          <w:szCs w:val="16"/>
        </w:rPr>
      </w:pPr>
    </w:p>
    <w:p w:rsidR="00994122" w:rsidRPr="003F5275" w:rsidRDefault="00994122" w:rsidP="003F5275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24"/>
          <w:szCs w:val="26"/>
        </w:rPr>
      </w:pPr>
      <w:r w:rsidRPr="003F5275">
        <w:rPr>
          <w:rFonts w:ascii="Arial" w:hAnsi="Arial" w:cs="Arial"/>
          <w:sz w:val="26"/>
          <w:szCs w:val="26"/>
        </w:rPr>
        <w:lastRenderedPageBreak/>
        <w:t xml:space="preserve">Para la Corte Constitucional, la </w:t>
      </w:r>
      <w:proofErr w:type="spellStart"/>
      <w:r w:rsidRPr="003F5275">
        <w:rPr>
          <w:rFonts w:ascii="Arial" w:hAnsi="Arial" w:cs="Arial"/>
          <w:sz w:val="26"/>
          <w:szCs w:val="26"/>
        </w:rPr>
        <w:t>inembargabilidad</w:t>
      </w:r>
      <w:proofErr w:type="spellEnd"/>
      <w:r w:rsidRPr="003F5275">
        <w:rPr>
          <w:rFonts w:ascii="Arial" w:hAnsi="Arial" w:cs="Arial"/>
          <w:sz w:val="26"/>
          <w:szCs w:val="26"/>
        </w:rPr>
        <w:t xml:space="preserve"> de los recursos que las entidades territoriales reciban del Sistema General de Participaciones, con destino a los sectores salud, educación y de propósito general, constituye un desarrollo legislativo razonable de lo dispuesto en el artículo 63 constitucional. De allí que la protección de estos recursos, tiene como finalidad cumplir las funciones sectoriales a cargo de las entidades territoriales, por esta razón, no pueden sujetarse a la eventualidad de medidas cautelares que obstaculicen e impidan la ejecución de los planes y programas respectivos </w:t>
      </w:r>
      <w:r w:rsidRPr="003F5275">
        <w:rPr>
          <w:rFonts w:ascii="Arial" w:hAnsi="Arial" w:cs="Arial"/>
          <w:sz w:val="24"/>
          <w:szCs w:val="26"/>
        </w:rPr>
        <w:t xml:space="preserve">(sentencias C-793 de 2002 y C-566 de 2003). </w:t>
      </w:r>
    </w:p>
    <w:p w:rsidR="003F5275" w:rsidRPr="003F5275" w:rsidRDefault="003F5275" w:rsidP="006C6424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:rsidR="008351E0" w:rsidRDefault="00F77CCA" w:rsidP="006C6424">
      <w:pPr>
        <w:pStyle w:val="Sinespaciado1"/>
        <w:spacing w:line="360" w:lineRule="auto"/>
        <w:ind w:firstLine="2835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De esta manera, sin entrar en más disquisiciones, </w:t>
      </w:r>
      <w:r w:rsidR="000505EA">
        <w:rPr>
          <w:rFonts w:ascii="Arial" w:hAnsi="Arial" w:cs="Arial"/>
          <w:bCs/>
          <w:sz w:val="26"/>
          <w:szCs w:val="26"/>
        </w:rPr>
        <w:t xml:space="preserve">los argumentos expuestos son suficientes para anunciar que </w:t>
      </w:r>
      <w:r w:rsidR="008351E0">
        <w:rPr>
          <w:rFonts w:ascii="Arial" w:hAnsi="Arial" w:cs="Arial"/>
          <w:bCs/>
          <w:sz w:val="26"/>
          <w:szCs w:val="26"/>
        </w:rPr>
        <w:t xml:space="preserve">(i) </w:t>
      </w:r>
      <w:r>
        <w:rPr>
          <w:rFonts w:ascii="Arial" w:hAnsi="Arial" w:cs="Arial"/>
          <w:bCs/>
          <w:sz w:val="26"/>
          <w:szCs w:val="26"/>
        </w:rPr>
        <w:t>el auto recurrido será confirmado</w:t>
      </w:r>
      <w:r w:rsidR="000505EA" w:rsidRPr="000505EA">
        <w:rPr>
          <w:rFonts w:ascii="Arial" w:hAnsi="Arial" w:cs="Arial"/>
          <w:spacing w:val="-3"/>
          <w:sz w:val="26"/>
          <w:szCs w:val="26"/>
        </w:rPr>
        <w:t xml:space="preserve">, </w:t>
      </w:r>
      <w:r w:rsidR="008351E0">
        <w:rPr>
          <w:rFonts w:ascii="Arial" w:hAnsi="Arial" w:cs="Arial"/>
          <w:spacing w:val="-3"/>
          <w:sz w:val="26"/>
          <w:szCs w:val="26"/>
        </w:rPr>
        <w:t>(iii) s</w:t>
      </w:r>
      <w:r w:rsidR="008351E0" w:rsidRPr="008351E0">
        <w:rPr>
          <w:rFonts w:ascii="Arial" w:hAnsi="Arial" w:cs="Arial"/>
          <w:spacing w:val="-3"/>
          <w:sz w:val="26"/>
          <w:szCs w:val="26"/>
        </w:rPr>
        <w:t>e ordenará devolver el expediente</w:t>
      </w:r>
      <w:r w:rsidR="008351E0">
        <w:rPr>
          <w:rFonts w:ascii="Arial" w:hAnsi="Arial" w:cs="Arial"/>
          <w:spacing w:val="-3"/>
          <w:sz w:val="26"/>
          <w:szCs w:val="26"/>
        </w:rPr>
        <w:t xml:space="preserve"> al juzgado de origen; y, (iv) sin</w:t>
      </w:r>
      <w:r w:rsidR="008351E0" w:rsidRPr="008351E0">
        <w:rPr>
          <w:rFonts w:ascii="Arial" w:hAnsi="Arial" w:cs="Arial"/>
          <w:spacing w:val="-3"/>
          <w:sz w:val="26"/>
          <w:szCs w:val="26"/>
        </w:rPr>
        <w:t xml:space="preserve"> lugar a condena en costas porque no hay contraparte.</w:t>
      </w:r>
    </w:p>
    <w:p w:rsidR="008351E0" w:rsidRDefault="008351E0" w:rsidP="006C6424">
      <w:pPr>
        <w:pStyle w:val="Sinespaciado1"/>
        <w:spacing w:line="360" w:lineRule="auto"/>
        <w:ind w:firstLine="2835"/>
        <w:jc w:val="both"/>
        <w:rPr>
          <w:rFonts w:ascii="Arial" w:hAnsi="Arial" w:cs="Arial"/>
          <w:spacing w:val="-3"/>
          <w:sz w:val="26"/>
          <w:szCs w:val="26"/>
        </w:rPr>
      </w:pPr>
    </w:p>
    <w:p w:rsidR="008351E0" w:rsidRDefault="008351E0" w:rsidP="006C6424">
      <w:pPr>
        <w:pStyle w:val="Sinespaciado1"/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>E</w:t>
      </w:r>
      <w:r w:rsidR="00F77CCA" w:rsidRPr="008B3586">
        <w:rPr>
          <w:rFonts w:ascii="Arial" w:hAnsi="Arial" w:cs="Arial"/>
          <w:bCs/>
          <w:sz w:val="26"/>
          <w:szCs w:val="26"/>
        </w:rPr>
        <w:t xml:space="preserve">l Tribunal Superior de </w:t>
      </w:r>
      <w:r w:rsidR="00F77CCA">
        <w:rPr>
          <w:rFonts w:ascii="Arial" w:hAnsi="Arial" w:cs="Arial"/>
          <w:bCs/>
          <w:sz w:val="26"/>
          <w:szCs w:val="26"/>
        </w:rPr>
        <w:t xml:space="preserve">Pereira </w:t>
      </w:r>
      <w:r w:rsidR="00F77CCA" w:rsidRPr="008B3586">
        <w:rPr>
          <w:rFonts w:ascii="Arial" w:hAnsi="Arial" w:cs="Arial"/>
          <w:bCs/>
          <w:sz w:val="26"/>
          <w:szCs w:val="26"/>
        </w:rPr>
        <w:t>en Sala</w:t>
      </w:r>
      <w:r w:rsidR="00F77CCA">
        <w:rPr>
          <w:rFonts w:ascii="Arial" w:hAnsi="Arial" w:cs="Arial"/>
          <w:bCs/>
          <w:sz w:val="26"/>
          <w:szCs w:val="26"/>
        </w:rPr>
        <w:t xml:space="preserve"> Civil-Familia</w:t>
      </w:r>
      <w:r w:rsidR="00F77CCA" w:rsidRPr="008B3586">
        <w:rPr>
          <w:rFonts w:ascii="Arial" w:hAnsi="Arial" w:cs="Arial"/>
          <w:bCs/>
          <w:sz w:val="26"/>
          <w:szCs w:val="26"/>
        </w:rPr>
        <w:t xml:space="preserve"> Unitaria,</w:t>
      </w:r>
      <w:r w:rsidR="000505EA">
        <w:rPr>
          <w:rFonts w:ascii="Arial" w:hAnsi="Arial" w:cs="Arial"/>
          <w:sz w:val="26"/>
          <w:szCs w:val="26"/>
        </w:rPr>
        <w:t xml:space="preserve"> </w:t>
      </w:r>
      <w:r w:rsidR="00F77CCA" w:rsidRPr="000505EA">
        <w:rPr>
          <w:rFonts w:ascii="Arial" w:hAnsi="Arial" w:cs="Arial"/>
          <w:b/>
          <w:bCs/>
          <w:sz w:val="24"/>
          <w:szCs w:val="26"/>
        </w:rPr>
        <w:t>RESUELVE:</w:t>
      </w:r>
      <w:r w:rsidR="006C6424">
        <w:rPr>
          <w:rFonts w:ascii="Arial" w:hAnsi="Arial" w:cs="Arial"/>
          <w:sz w:val="26"/>
          <w:szCs w:val="26"/>
        </w:rPr>
        <w:t xml:space="preserve"> </w:t>
      </w:r>
    </w:p>
    <w:p w:rsidR="008351E0" w:rsidRDefault="008351E0" w:rsidP="006C6424">
      <w:pPr>
        <w:pStyle w:val="Sinespaciado1"/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</w:p>
    <w:p w:rsidR="00F77CCA" w:rsidRDefault="008351E0" w:rsidP="006C6424">
      <w:pPr>
        <w:pStyle w:val="Sinespaciado1"/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 w:rsidRPr="008351E0">
        <w:rPr>
          <w:rFonts w:ascii="Arial" w:hAnsi="Arial" w:cs="Arial"/>
          <w:b/>
          <w:sz w:val="26"/>
          <w:szCs w:val="26"/>
        </w:rPr>
        <w:t>Primero:</w:t>
      </w:r>
      <w:r>
        <w:rPr>
          <w:rFonts w:ascii="Arial" w:hAnsi="Arial" w:cs="Arial"/>
          <w:sz w:val="26"/>
          <w:szCs w:val="26"/>
        </w:rPr>
        <w:t xml:space="preserve"> </w:t>
      </w:r>
      <w:r w:rsidR="00F77CCA" w:rsidRPr="006C6424">
        <w:rPr>
          <w:rFonts w:ascii="Arial" w:hAnsi="Arial" w:cs="Arial"/>
          <w:b/>
          <w:sz w:val="24"/>
          <w:szCs w:val="25"/>
        </w:rPr>
        <w:t>CONFIRMAR</w:t>
      </w:r>
      <w:r w:rsidR="00F77CCA">
        <w:rPr>
          <w:rFonts w:ascii="Arial" w:hAnsi="Arial" w:cs="Arial"/>
          <w:sz w:val="26"/>
          <w:szCs w:val="26"/>
        </w:rPr>
        <w:t xml:space="preserve"> el proveído del </w:t>
      </w:r>
      <w:r w:rsidR="002C53AD">
        <w:rPr>
          <w:rFonts w:ascii="Arial" w:hAnsi="Arial" w:cs="Arial"/>
          <w:sz w:val="26"/>
          <w:szCs w:val="26"/>
        </w:rPr>
        <w:t xml:space="preserve">1 </w:t>
      </w:r>
      <w:r w:rsidR="00F77CCA">
        <w:rPr>
          <w:rFonts w:ascii="Arial" w:hAnsi="Arial" w:cs="Arial"/>
          <w:sz w:val="26"/>
          <w:szCs w:val="26"/>
        </w:rPr>
        <w:t xml:space="preserve">de </w:t>
      </w:r>
      <w:r w:rsidR="002C53AD">
        <w:rPr>
          <w:rFonts w:ascii="Arial" w:hAnsi="Arial" w:cs="Arial"/>
          <w:sz w:val="26"/>
          <w:szCs w:val="26"/>
        </w:rPr>
        <w:t>septiembre</w:t>
      </w:r>
      <w:r w:rsidR="00F77CCA">
        <w:rPr>
          <w:rFonts w:ascii="Arial" w:hAnsi="Arial" w:cs="Arial"/>
          <w:sz w:val="26"/>
          <w:szCs w:val="26"/>
        </w:rPr>
        <w:t xml:space="preserve"> de 2017, proferido por el Juzgado </w:t>
      </w:r>
      <w:r w:rsidR="002C53AD">
        <w:rPr>
          <w:rFonts w:ascii="Arial" w:hAnsi="Arial" w:cs="Arial"/>
          <w:sz w:val="26"/>
          <w:szCs w:val="26"/>
        </w:rPr>
        <w:t>Tercero</w:t>
      </w:r>
      <w:r w:rsidR="00F77CCA">
        <w:rPr>
          <w:rFonts w:ascii="Arial" w:hAnsi="Arial" w:cs="Arial"/>
          <w:sz w:val="26"/>
          <w:szCs w:val="26"/>
        </w:rPr>
        <w:t xml:space="preserve"> Civil del Circuito. </w:t>
      </w:r>
    </w:p>
    <w:p w:rsidR="008351E0" w:rsidRDefault="008351E0" w:rsidP="006C6424">
      <w:pPr>
        <w:pStyle w:val="Sinespaciado1"/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</w:p>
    <w:p w:rsidR="008351E0" w:rsidRDefault="008351E0" w:rsidP="008351E0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Segundo</w:t>
      </w:r>
      <w:r w:rsidRPr="008351E0">
        <w:rPr>
          <w:rFonts w:ascii="Arial" w:hAnsi="Arial" w:cs="Arial"/>
          <w:b/>
          <w:sz w:val="26"/>
          <w:szCs w:val="26"/>
        </w:rPr>
        <w:t>:</w:t>
      </w:r>
      <w:r w:rsidRPr="008351E0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Sin condena e</w:t>
      </w:r>
      <w:r w:rsidRPr="00594D1B">
        <w:rPr>
          <w:rFonts w:ascii="Arial" w:hAnsi="Arial" w:cs="Arial"/>
          <w:bCs/>
          <w:sz w:val="26"/>
          <w:szCs w:val="26"/>
        </w:rPr>
        <w:t>n costas</w:t>
      </w:r>
      <w:r>
        <w:rPr>
          <w:rFonts w:ascii="Arial" w:hAnsi="Arial" w:cs="Arial"/>
          <w:bCs/>
          <w:sz w:val="26"/>
          <w:szCs w:val="26"/>
        </w:rPr>
        <w:t>.</w:t>
      </w:r>
      <w:r w:rsidRPr="00594D1B">
        <w:rPr>
          <w:rFonts w:ascii="Arial" w:hAnsi="Arial" w:cs="Arial"/>
          <w:bCs/>
          <w:sz w:val="26"/>
          <w:szCs w:val="26"/>
        </w:rPr>
        <w:t xml:space="preserve"> </w:t>
      </w:r>
    </w:p>
    <w:p w:rsidR="008351E0" w:rsidRPr="006C6424" w:rsidRDefault="008351E0" w:rsidP="006C6424">
      <w:pPr>
        <w:pStyle w:val="Sinespaciado1"/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</w:p>
    <w:p w:rsidR="00F77CCA" w:rsidRPr="00422967" w:rsidRDefault="008351E0" w:rsidP="00F77CCA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Tercero: </w:t>
      </w:r>
      <w:r w:rsidR="00F77CCA" w:rsidRPr="008B3586">
        <w:rPr>
          <w:rFonts w:ascii="Arial" w:hAnsi="Arial" w:cs="Arial"/>
          <w:bCs/>
          <w:sz w:val="26"/>
          <w:szCs w:val="26"/>
        </w:rPr>
        <w:t>En su oportunidad regresen las di</w:t>
      </w:r>
      <w:r>
        <w:rPr>
          <w:rFonts w:ascii="Arial" w:hAnsi="Arial" w:cs="Arial"/>
          <w:bCs/>
          <w:sz w:val="26"/>
          <w:szCs w:val="26"/>
        </w:rPr>
        <w:t>ligencias al juzgado de origen</w:t>
      </w:r>
      <w:r w:rsidR="00F77CCA" w:rsidRPr="008B3586">
        <w:rPr>
          <w:rFonts w:ascii="Arial" w:hAnsi="Arial" w:cs="Arial"/>
          <w:bCs/>
          <w:sz w:val="26"/>
          <w:szCs w:val="26"/>
        </w:rPr>
        <w:t>.</w:t>
      </w:r>
    </w:p>
    <w:p w:rsidR="00F77CCA" w:rsidRPr="00FB4477" w:rsidRDefault="00F77CCA" w:rsidP="00F77CCA">
      <w:pPr>
        <w:pStyle w:val="Sinespaciado1"/>
        <w:spacing w:line="360" w:lineRule="auto"/>
        <w:ind w:firstLine="2835"/>
        <w:jc w:val="both"/>
        <w:rPr>
          <w:rFonts w:ascii="Arial" w:hAnsi="Arial" w:cs="Arial"/>
          <w:sz w:val="16"/>
          <w:szCs w:val="26"/>
        </w:rPr>
      </w:pPr>
    </w:p>
    <w:p w:rsidR="00F77CCA" w:rsidRDefault="00F77CCA" w:rsidP="006C6424">
      <w:pPr>
        <w:pStyle w:val="Sinespaciado1"/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 w:rsidRPr="00FF195C">
        <w:rPr>
          <w:rFonts w:ascii="Arial" w:hAnsi="Arial" w:cs="Arial"/>
          <w:bCs/>
          <w:sz w:val="26"/>
          <w:szCs w:val="26"/>
        </w:rPr>
        <w:t xml:space="preserve">Notifíquese y Cúmplase, </w:t>
      </w:r>
    </w:p>
    <w:p w:rsidR="008351E0" w:rsidRDefault="008351E0" w:rsidP="006C6424">
      <w:pPr>
        <w:pStyle w:val="Sinespaciado1"/>
        <w:spacing w:line="360" w:lineRule="auto"/>
        <w:jc w:val="both"/>
        <w:rPr>
          <w:rFonts w:ascii="Arial" w:hAnsi="Arial" w:cs="Arial"/>
          <w:szCs w:val="26"/>
        </w:rPr>
      </w:pPr>
    </w:p>
    <w:p w:rsidR="008351E0" w:rsidRPr="006C6424" w:rsidRDefault="008351E0" w:rsidP="006C6424">
      <w:pPr>
        <w:pStyle w:val="Sinespaciado1"/>
        <w:spacing w:line="360" w:lineRule="auto"/>
        <w:jc w:val="both"/>
        <w:rPr>
          <w:rFonts w:ascii="Arial" w:hAnsi="Arial" w:cs="Arial"/>
          <w:szCs w:val="26"/>
        </w:rPr>
      </w:pPr>
    </w:p>
    <w:p w:rsidR="00F77CCA" w:rsidRPr="00FF195C" w:rsidRDefault="00F77CCA" w:rsidP="00F77CCA">
      <w:pPr>
        <w:pStyle w:val="Sinespaciado1"/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proofErr w:type="spellStart"/>
      <w:r w:rsidRPr="00D5407C">
        <w:rPr>
          <w:rFonts w:ascii="Arial" w:hAnsi="Arial" w:cs="Arial"/>
          <w:b/>
          <w:spacing w:val="-3"/>
          <w:sz w:val="26"/>
          <w:szCs w:val="26"/>
        </w:rPr>
        <w:t>Edder</w:t>
      </w:r>
      <w:proofErr w:type="spellEnd"/>
      <w:r w:rsidRPr="00D5407C">
        <w:rPr>
          <w:rFonts w:ascii="Arial" w:hAnsi="Arial" w:cs="Arial"/>
          <w:b/>
          <w:spacing w:val="-3"/>
          <w:sz w:val="26"/>
          <w:szCs w:val="26"/>
        </w:rPr>
        <w:t xml:space="preserve"> Jimmy Sánchez </w:t>
      </w:r>
      <w:proofErr w:type="spellStart"/>
      <w:r w:rsidRPr="00D5407C">
        <w:rPr>
          <w:rFonts w:ascii="Arial" w:hAnsi="Arial" w:cs="Arial"/>
          <w:b/>
          <w:spacing w:val="-3"/>
          <w:sz w:val="26"/>
          <w:szCs w:val="26"/>
        </w:rPr>
        <w:t>Calambás</w:t>
      </w:r>
      <w:proofErr w:type="spellEnd"/>
    </w:p>
    <w:p w:rsidR="00F77CCA" w:rsidRPr="006C6424" w:rsidRDefault="006C6424" w:rsidP="00597DF4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24"/>
          <w:szCs w:val="26"/>
        </w:rPr>
      </w:pPr>
      <w:r w:rsidRPr="006C6424">
        <w:rPr>
          <w:rFonts w:ascii="Arial" w:hAnsi="Arial" w:cs="Arial"/>
          <w:bCs/>
          <w:sz w:val="24"/>
          <w:szCs w:val="26"/>
        </w:rPr>
        <w:t>Magistrado</w:t>
      </w:r>
    </w:p>
    <w:p w:rsidR="00F77CCA" w:rsidRDefault="00F77CCA" w:rsidP="00597DF4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26"/>
          <w:szCs w:val="26"/>
        </w:rPr>
      </w:pPr>
    </w:p>
    <w:p w:rsidR="00F77CCA" w:rsidRDefault="00476AD4" w:rsidP="00597DF4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26"/>
          <w:szCs w:val="26"/>
        </w:rPr>
      </w:pPr>
      <w:r w:rsidRPr="005B05AE">
        <w:rPr>
          <w:noProof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B2022" wp14:editId="2E1C7D5D">
                <wp:simplePos x="0" y="0"/>
                <wp:positionH relativeFrom="column">
                  <wp:posOffset>753745</wp:posOffset>
                </wp:positionH>
                <wp:positionV relativeFrom="paragraph">
                  <wp:posOffset>369090</wp:posOffset>
                </wp:positionV>
                <wp:extent cx="3308985" cy="1828800"/>
                <wp:effectExtent l="0" t="0" r="24765" b="19050"/>
                <wp:wrapTopAndBottom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182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AD4" w:rsidRPr="00D655D2" w:rsidRDefault="00476AD4" w:rsidP="00476AD4">
                            <w:pPr>
                              <w:jc w:val="both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76AD4" w:rsidRPr="00D655D2" w:rsidRDefault="00476AD4" w:rsidP="00476AD4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16"/>
                              </w:rPr>
                            </w:pPr>
                            <w:r w:rsidRPr="00D655D2">
                              <w:rPr>
                                <w:rFonts w:ascii="Arial" w:hAnsi="Arial" w:cs="Arial"/>
                                <w:color w:val="000000" w:themeColor="text1"/>
                                <w:szCs w:val="16"/>
                              </w:rPr>
                              <w:t xml:space="preserve">LA PROVIDENCIA ANTERIOR </w:t>
                            </w:r>
                          </w:p>
                          <w:p w:rsidR="00476AD4" w:rsidRDefault="00476AD4" w:rsidP="00476AD4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16"/>
                              </w:rPr>
                            </w:pPr>
                            <w:r w:rsidRPr="00D655D2">
                              <w:rPr>
                                <w:rFonts w:ascii="Arial" w:hAnsi="Arial" w:cs="Arial"/>
                                <w:color w:val="000000" w:themeColor="text1"/>
                                <w:szCs w:val="16"/>
                              </w:rPr>
                              <w:t xml:space="preserve">SE NOTIFICA POR ESTADO DEL DÍA </w:t>
                            </w:r>
                          </w:p>
                          <w:p w:rsidR="00476AD4" w:rsidRPr="00D655D2" w:rsidRDefault="00476AD4" w:rsidP="00476AD4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16"/>
                              </w:rPr>
                              <w:t>_____________________</w:t>
                            </w:r>
                          </w:p>
                          <w:p w:rsidR="00476AD4" w:rsidRPr="00D655D2" w:rsidRDefault="00476AD4" w:rsidP="00476AD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476AD4" w:rsidRPr="00D655D2" w:rsidRDefault="00476AD4" w:rsidP="00476AD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476AD4" w:rsidRPr="00D655D2" w:rsidRDefault="00476AD4" w:rsidP="00476AD4">
                            <w:pPr>
                              <w:jc w:val="both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76AD4" w:rsidRPr="005A0A82" w:rsidRDefault="00476AD4" w:rsidP="00476AD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A0A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JAÍR</w:t>
                            </w:r>
                            <w:proofErr w:type="spellEnd"/>
                            <w:r w:rsidRPr="005A0A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JESÚS HENAO MOLINA</w:t>
                            </w:r>
                          </w:p>
                          <w:p w:rsidR="00476AD4" w:rsidRPr="005A0A82" w:rsidRDefault="00476AD4" w:rsidP="00476AD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0A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 E C R E T A R I O</w:t>
                            </w:r>
                          </w:p>
                          <w:p w:rsidR="00476AD4" w:rsidRDefault="00476AD4" w:rsidP="00476AD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476AD4" w:rsidRDefault="00476AD4" w:rsidP="00476AD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476AD4" w:rsidRDefault="00476AD4" w:rsidP="00476AD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476AD4" w:rsidRPr="00D655D2" w:rsidRDefault="00476AD4" w:rsidP="00476AD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16"/>
                              </w:rPr>
                            </w:pPr>
                          </w:p>
                          <w:p w:rsidR="00476AD4" w:rsidRPr="00D655D2" w:rsidRDefault="00476AD4" w:rsidP="00476AD4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w14:anchorId="054B2022" id="Rectangle 7" o:spid="_x0000_s1026" style="position:absolute;left:0;text-align:left;margin-left:59.35pt;margin-top:29.05pt;width:260.5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" fillcolor="white [3201]" strokecolor="black [3200]" strokeweight="1pt">
                <v:textbox>
                  <w:txbxContent>
                    <w:p w:rsidR="00476AD4" w:rsidRPr="00D655D2" w:rsidRDefault="00476AD4" w:rsidP="00476AD4">
                      <w:pPr>
                        <w:jc w:val="both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76AD4" w:rsidRPr="00D655D2" w:rsidRDefault="00476AD4" w:rsidP="00476AD4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Cs w:val="16"/>
                        </w:rPr>
                      </w:pPr>
                      <w:r w:rsidRPr="00D655D2">
                        <w:rPr>
                          <w:rFonts w:ascii="Arial" w:hAnsi="Arial" w:cs="Arial"/>
                          <w:color w:val="000000" w:themeColor="text1"/>
                          <w:szCs w:val="16"/>
                        </w:rPr>
                        <w:t xml:space="preserve">LA PROVIDENCIA ANTERIOR </w:t>
                      </w:r>
                    </w:p>
                    <w:p w:rsidR="00476AD4" w:rsidRDefault="00476AD4" w:rsidP="00476AD4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Cs w:val="16"/>
                        </w:rPr>
                      </w:pPr>
                      <w:r w:rsidRPr="00D655D2">
                        <w:rPr>
                          <w:rFonts w:ascii="Arial" w:hAnsi="Arial" w:cs="Arial"/>
                          <w:color w:val="000000" w:themeColor="text1"/>
                          <w:szCs w:val="16"/>
                        </w:rPr>
                        <w:t xml:space="preserve">SE NOTIFICA POR ESTADO DEL DÍA </w:t>
                      </w:r>
                    </w:p>
                    <w:p w:rsidR="00476AD4" w:rsidRPr="00D655D2" w:rsidRDefault="00476AD4" w:rsidP="00476AD4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16"/>
                        </w:rPr>
                        <w:t>_____________________</w:t>
                      </w:r>
                    </w:p>
                    <w:p w:rsidR="00476AD4" w:rsidRPr="00D655D2" w:rsidRDefault="00476AD4" w:rsidP="00476AD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476AD4" w:rsidRPr="00D655D2" w:rsidRDefault="00476AD4" w:rsidP="00476AD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</w:p>
                    <w:p w:rsidR="00476AD4" w:rsidRPr="00D655D2" w:rsidRDefault="00476AD4" w:rsidP="00476AD4">
                      <w:pPr>
                        <w:jc w:val="both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76AD4" w:rsidRPr="005A0A82" w:rsidRDefault="00476AD4" w:rsidP="00476AD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A0A8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JAÍR DE JESÚS HENAO MOLINA</w:t>
                      </w:r>
                    </w:p>
                    <w:p w:rsidR="00476AD4" w:rsidRPr="005A0A82" w:rsidRDefault="00476AD4" w:rsidP="00476AD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A0A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 E C R E T A R I O</w:t>
                      </w:r>
                    </w:p>
                    <w:p w:rsidR="00476AD4" w:rsidRDefault="00476AD4" w:rsidP="00476AD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476AD4" w:rsidRDefault="00476AD4" w:rsidP="00476AD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476AD4" w:rsidRDefault="00476AD4" w:rsidP="00476AD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476AD4" w:rsidRPr="00D655D2" w:rsidRDefault="00476AD4" w:rsidP="00476AD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0000" w:themeColor="text1"/>
                          <w:szCs w:val="16"/>
                        </w:rPr>
                      </w:pPr>
                    </w:p>
                    <w:p w:rsidR="00476AD4" w:rsidRPr="00D655D2" w:rsidRDefault="00476AD4" w:rsidP="00476AD4">
                      <w:pPr>
                        <w:jc w:val="center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F77CCA" w:rsidSect="007F2616">
      <w:headerReference w:type="default" r:id="rId8"/>
      <w:footerReference w:type="default" r:id="rId9"/>
      <w:pgSz w:w="12242" w:h="18722" w:code="14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F0" w:rsidRDefault="00DF5AF0" w:rsidP="001735E7">
      <w:r>
        <w:separator/>
      </w:r>
    </w:p>
  </w:endnote>
  <w:endnote w:type="continuationSeparator" w:id="0">
    <w:p w:rsidR="00DF5AF0" w:rsidRDefault="00DF5AF0" w:rsidP="0017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CF" w:rsidRPr="00B97631" w:rsidRDefault="00CD2FF8">
    <w:pPr>
      <w:pStyle w:val="Pieddepage"/>
      <w:jc w:val="right"/>
      <w:rPr>
        <w:rFonts w:ascii="Arial" w:hAnsi="Arial" w:cs="Arial"/>
        <w:sz w:val="22"/>
        <w:szCs w:val="22"/>
      </w:rPr>
    </w:pPr>
    <w:r w:rsidRPr="00B97631">
      <w:rPr>
        <w:rFonts w:ascii="Arial" w:hAnsi="Arial" w:cs="Arial"/>
        <w:sz w:val="22"/>
        <w:szCs w:val="22"/>
      </w:rPr>
      <w:fldChar w:fldCharType="begin"/>
    </w:r>
    <w:r w:rsidRPr="00B97631">
      <w:rPr>
        <w:rFonts w:ascii="Arial" w:hAnsi="Arial" w:cs="Arial"/>
        <w:sz w:val="22"/>
        <w:szCs w:val="22"/>
      </w:rPr>
      <w:instrText xml:space="preserve"> PAGE   \* MERGEFORMAT </w:instrText>
    </w:r>
    <w:r w:rsidRPr="00B97631">
      <w:rPr>
        <w:rFonts w:ascii="Arial" w:hAnsi="Arial" w:cs="Arial"/>
        <w:sz w:val="22"/>
        <w:szCs w:val="22"/>
      </w:rPr>
      <w:fldChar w:fldCharType="separate"/>
    </w:r>
    <w:r w:rsidR="007F2616">
      <w:rPr>
        <w:rFonts w:ascii="Arial" w:hAnsi="Arial" w:cs="Arial"/>
        <w:noProof/>
        <w:sz w:val="22"/>
        <w:szCs w:val="22"/>
      </w:rPr>
      <w:t>1</w:t>
    </w:r>
    <w:r w:rsidRPr="00B97631">
      <w:rPr>
        <w:rFonts w:ascii="Arial" w:hAnsi="Arial" w:cs="Arial"/>
        <w:sz w:val="22"/>
        <w:szCs w:val="22"/>
      </w:rPr>
      <w:fldChar w:fldCharType="end"/>
    </w:r>
  </w:p>
  <w:p w:rsidR="00D906CF" w:rsidRDefault="00DF5A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F0" w:rsidRDefault="00DF5AF0" w:rsidP="001735E7">
      <w:r>
        <w:separator/>
      </w:r>
    </w:p>
  </w:footnote>
  <w:footnote w:type="continuationSeparator" w:id="0">
    <w:p w:rsidR="00DF5AF0" w:rsidRDefault="00DF5AF0" w:rsidP="001735E7">
      <w:r>
        <w:continuationSeparator/>
      </w:r>
    </w:p>
  </w:footnote>
  <w:footnote w:id="1">
    <w:p w:rsidR="00654409" w:rsidRDefault="007E1AC1" w:rsidP="00A66D40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7E1AC1">
        <w:rPr>
          <w:rStyle w:val="Appelnotedebasdep"/>
          <w:rFonts w:ascii="Arial" w:hAnsi="Arial" w:cs="Arial"/>
          <w:sz w:val="18"/>
          <w:szCs w:val="18"/>
        </w:rPr>
        <w:footnoteRef/>
      </w:r>
      <w:r w:rsidRPr="007E1AC1">
        <w:rPr>
          <w:rFonts w:ascii="Arial" w:hAnsi="Arial" w:cs="Arial"/>
          <w:sz w:val="18"/>
          <w:szCs w:val="18"/>
        </w:rPr>
        <w:t xml:space="preserve"> CORTE CONSTITUCIONAL C-543 del 21 de agosto de 2013; </w:t>
      </w:r>
      <w:proofErr w:type="spellStart"/>
      <w:r w:rsidRPr="007E1AC1">
        <w:rPr>
          <w:rFonts w:ascii="Arial" w:hAnsi="Arial" w:cs="Arial"/>
          <w:sz w:val="18"/>
          <w:szCs w:val="18"/>
        </w:rPr>
        <w:t>M.P</w:t>
      </w:r>
      <w:proofErr w:type="spellEnd"/>
      <w:r w:rsidRPr="007E1AC1">
        <w:rPr>
          <w:rFonts w:ascii="Arial" w:hAnsi="Arial" w:cs="Arial"/>
          <w:sz w:val="18"/>
          <w:szCs w:val="18"/>
        </w:rPr>
        <w:t xml:space="preserve">. Jorge Ignacio </w:t>
      </w:r>
      <w:proofErr w:type="spellStart"/>
      <w:r w:rsidRPr="007E1AC1">
        <w:rPr>
          <w:rFonts w:ascii="Arial" w:hAnsi="Arial" w:cs="Arial"/>
          <w:sz w:val="18"/>
          <w:szCs w:val="18"/>
        </w:rPr>
        <w:t>Pretelt</w:t>
      </w:r>
      <w:proofErr w:type="spellEnd"/>
      <w:r w:rsidRPr="007E1AC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1AC1">
        <w:rPr>
          <w:rFonts w:ascii="Arial" w:hAnsi="Arial" w:cs="Arial"/>
          <w:sz w:val="18"/>
          <w:szCs w:val="18"/>
        </w:rPr>
        <w:t>Chaljunb</w:t>
      </w:r>
      <w:proofErr w:type="spellEnd"/>
      <w:r w:rsidRPr="007E1AC1">
        <w:rPr>
          <w:rFonts w:ascii="Arial" w:hAnsi="Arial" w:cs="Arial"/>
          <w:sz w:val="18"/>
          <w:szCs w:val="18"/>
        </w:rPr>
        <w:t xml:space="preserve">. </w:t>
      </w:r>
    </w:p>
    <w:p w:rsidR="00A66D40" w:rsidRPr="00654409" w:rsidRDefault="007E1AC1" w:rsidP="00A66D40">
      <w:pPr>
        <w:pStyle w:val="Notedebasdepage"/>
        <w:jc w:val="both"/>
        <w:rPr>
          <w:rFonts w:ascii="Arial" w:hAnsi="Arial" w:cs="Arial"/>
          <w:sz w:val="8"/>
          <w:szCs w:val="18"/>
        </w:rPr>
      </w:pPr>
      <w:r w:rsidRPr="007E1AC1">
        <w:rPr>
          <w:rFonts w:ascii="Arial" w:hAnsi="Arial" w:cs="Arial"/>
          <w:sz w:val="18"/>
          <w:szCs w:val="18"/>
        </w:rPr>
        <w:t>“</w:t>
      </w:r>
      <w:r w:rsidR="00A66D40" w:rsidRPr="00A66D40">
        <w:rPr>
          <w:rFonts w:ascii="Arial" w:hAnsi="Arial" w:cs="Arial"/>
          <w:sz w:val="18"/>
          <w:szCs w:val="18"/>
        </w:rPr>
        <w:t>[4] C-546 de 1992</w:t>
      </w:r>
    </w:p>
    <w:p w:rsidR="00A66D40" w:rsidRPr="00654409" w:rsidRDefault="00A66D40" w:rsidP="00A66D40">
      <w:pPr>
        <w:pStyle w:val="Notedebasdepage"/>
        <w:jc w:val="both"/>
        <w:rPr>
          <w:rFonts w:ascii="Arial" w:hAnsi="Arial" w:cs="Arial"/>
          <w:sz w:val="12"/>
          <w:szCs w:val="18"/>
        </w:rPr>
      </w:pPr>
      <w:r w:rsidRPr="00A66D40">
        <w:rPr>
          <w:rFonts w:ascii="Arial" w:hAnsi="Arial" w:cs="Arial"/>
          <w:sz w:val="18"/>
          <w:szCs w:val="18"/>
        </w:rPr>
        <w:t xml:space="preserve">[5] En la sentencia C-354 de 1997 (Antonio Barrera Carbonell), se expuso que aunque el principio general de </w:t>
      </w:r>
      <w:proofErr w:type="spellStart"/>
      <w:r w:rsidRPr="00A66D40">
        <w:rPr>
          <w:rFonts w:ascii="Arial" w:hAnsi="Arial" w:cs="Arial"/>
          <w:sz w:val="18"/>
          <w:szCs w:val="18"/>
        </w:rPr>
        <w:t>inembargabilidad</w:t>
      </w:r>
      <w:proofErr w:type="spellEnd"/>
      <w:r w:rsidRPr="00A66D40">
        <w:rPr>
          <w:rFonts w:ascii="Arial" w:hAnsi="Arial" w:cs="Arial"/>
          <w:sz w:val="18"/>
          <w:szCs w:val="18"/>
        </w:rPr>
        <w:t xml:space="preserve"> que consagraba la norma acusada resultaba ajustada a la Constitución. Precisó que tratándose de los créditos a cargo del Estado, bien sean que consten en sentencias o en otros títulos legalmente válidos, deben ser pagados mediante el procedimiento que indica la norma acusada y que transcurridos 18 meses después de que ellos sean exigibles, es posible adelantar ejecución, con embargo de recursos del presupuesto -en primer lugar los destinados al pago de sentencias o conciliaciones, cuando se trate de esta clase de títulos- y sobre los bienes de las entidades u órganos respectivos.</w:t>
      </w:r>
    </w:p>
    <w:p w:rsidR="00A66D40" w:rsidRPr="00A66D40" w:rsidRDefault="00A66D40" w:rsidP="00A66D40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A66D40">
        <w:rPr>
          <w:rFonts w:ascii="Arial" w:hAnsi="Arial" w:cs="Arial"/>
          <w:sz w:val="18"/>
          <w:szCs w:val="18"/>
        </w:rPr>
        <w:t xml:space="preserve">[6] La sentencia C-103 de 1994 (Jorge Arango Mejía), se estableció una segunda excepción a la </w:t>
      </w:r>
      <w:proofErr w:type="spellStart"/>
      <w:r w:rsidRPr="00A66D40">
        <w:rPr>
          <w:rFonts w:ascii="Arial" w:hAnsi="Arial" w:cs="Arial"/>
          <w:sz w:val="18"/>
          <w:szCs w:val="18"/>
        </w:rPr>
        <w:t>inembargabilidad</w:t>
      </w:r>
      <w:proofErr w:type="spellEnd"/>
      <w:r w:rsidRPr="00A66D40">
        <w:rPr>
          <w:rFonts w:ascii="Arial" w:hAnsi="Arial" w:cs="Arial"/>
          <w:sz w:val="18"/>
          <w:szCs w:val="18"/>
        </w:rPr>
        <w:t xml:space="preserve"> del Presupuesto General de la Nación, así: para hacer efectiva una obligación que conste en un acto administrativo que preste mérito ejecutivo, esto es, que sea expresa, clara y exigible, procederá la ejecución después de los diez y ocho (18) meses.</w:t>
      </w:r>
    </w:p>
    <w:p w:rsidR="00A66D40" w:rsidRPr="00654409" w:rsidRDefault="00A66D40" w:rsidP="00A66D40">
      <w:pPr>
        <w:pStyle w:val="Notedebasdepage"/>
        <w:jc w:val="both"/>
        <w:rPr>
          <w:rFonts w:ascii="Arial" w:hAnsi="Arial" w:cs="Arial"/>
          <w:sz w:val="12"/>
          <w:szCs w:val="18"/>
        </w:rPr>
      </w:pPr>
      <w:r w:rsidRPr="00A66D40">
        <w:rPr>
          <w:rFonts w:ascii="Arial" w:hAnsi="Arial" w:cs="Arial"/>
          <w:sz w:val="18"/>
          <w:szCs w:val="18"/>
        </w:rPr>
        <w:t xml:space="preserve">[7] C-793 de 2002. </w:t>
      </w:r>
      <w:proofErr w:type="spellStart"/>
      <w:r w:rsidRPr="00A66D40">
        <w:rPr>
          <w:rFonts w:ascii="Arial" w:hAnsi="Arial" w:cs="Arial"/>
          <w:sz w:val="18"/>
          <w:szCs w:val="18"/>
        </w:rPr>
        <w:t>M.P</w:t>
      </w:r>
      <w:proofErr w:type="spellEnd"/>
      <w:r w:rsidRPr="00A66D40">
        <w:rPr>
          <w:rFonts w:ascii="Arial" w:hAnsi="Arial" w:cs="Arial"/>
          <w:sz w:val="18"/>
          <w:szCs w:val="18"/>
        </w:rPr>
        <w:t>. Jaime Córdoba Triviño</w:t>
      </w:r>
    </w:p>
    <w:p w:rsidR="007E1AC1" w:rsidRPr="007E1AC1" w:rsidRDefault="00A66D40" w:rsidP="00A66D40">
      <w:pPr>
        <w:pStyle w:val="Notedebasdepage"/>
        <w:jc w:val="both"/>
        <w:rPr>
          <w:rFonts w:ascii="Arial" w:hAnsi="Arial" w:cs="Arial"/>
          <w:sz w:val="18"/>
          <w:szCs w:val="18"/>
          <w:lang w:val="es-CO"/>
        </w:rPr>
      </w:pPr>
      <w:r w:rsidRPr="00A66D40">
        <w:rPr>
          <w:rFonts w:ascii="Arial" w:hAnsi="Arial" w:cs="Arial"/>
          <w:sz w:val="18"/>
          <w:szCs w:val="18"/>
        </w:rPr>
        <w:t xml:space="preserve">[8] La línea jurisprudencial que desarrolla lo atinente al principio de </w:t>
      </w:r>
      <w:proofErr w:type="spellStart"/>
      <w:r w:rsidRPr="00A66D40">
        <w:rPr>
          <w:rFonts w:ascii="Arial" w:hAnsi="Arial" w:cs="Arial"/>
          <w:sz w:val="18"/>
          <w:szCs w:val="18"/>
        </w:rPr>
        <w:t>inembargabilidad</w:t>
      </w:r>
      <w:proofErr w:type="spellEnd"/>
      <w:r w:rsidRPr="00A66D40">
        <w:rPr>
          <w:rFonts w:ascii="Arial" w:hAnsi="Arial" w:cs="Arial"/>
          <w:sz w:val="18"/>
          <w:szCs w:val="18"/>
        </w:rPr>
        <w:t xml:space="preserve"> de los bienes y recursos públicos como sus excepciones está compuesta, principalmente, por las siguientes sentencias: C-546 de 1992, C-013, C-017, C-107, C-337, C-555 de 1993, C-103 y C-263 de 1994, C-354 y C-402 de 1997, T-531 de 1999, C-427 de 2002, T-539 de 2002, C-793 de 2002, C-566, C-871 y C-1064 de 2003, C-192 de 2005, C-1154 de 2008 y C-539 de 2010.</w:t>
      </w:r>
      <w:r w:rsidR="007E1AC1" w:rsidRPr="007E1AC1">
        <w:rPr>
          <w:rFonts w:ascii="Arial" w:hAnsi="Arial" w:cs="Arial"/>
          <w:sz w:val="18"/>
          <w:szCs w:val="18"/>
        </w:rPr>
        <w:t>”.</w:t>
      </w:r>
    </w:p>
  </w:footnote>
  <w:footnote w:id="2">
    <w:p w:rsidR="00E82001" w:rsidRPr="00E82001" w:rsidRDefault="00E82001" w:rsidP="00426E02">
      <w:pPr>
        <w:pStyle w:val="Notedebasdepage"/>
        <w:jc w:val="both"/>
        <w:rPr>
          <w:lang w:val="es-CO"/>
        </w:rPr>
      </w:pPr>
      <w:r w:rsidRPr="00426E02">
        <w:rPr>
          <w:rStyle w:val="Appelnotedebasdep"/>
          <w:rFonts w:ascii="Arial" w:hAnsi="Arial" w:cs="Arial"/>
        </w:rPr>
        <w:footnoteRef/>
      </w:r>
      <w:r w:rsidRPr="00426E02">
        <w:rPr>
          <w:rFonts w:ascii="Arial" w:hAnsi="Arial" w:cs="Arial"/>
        </w:rPr>
        <w:t xml:space="preserve"> </w:t>
      </w:r>
      <w:proofErr w:type="spellStart"/>
      <w:r w:rsidR="007A655F" w:rsidRPr="00426E02">
        <w:rPr>
          <w:rFonts w:ascii="Arial" w:hAnsi="Arial" w:cs="Arial"/>
        </w:rPr>
        <w:t>TS</w:t>
      </w:r>
      <w:proofErr w:type="spellEnd"/>
      <w:r w:rsidR="007A655F" w:rsidRPr="00426E02">
        <w:rPr>
          <w:rFonts w:ascii="Arial" w:hAnsi="Arial" w:cs="Arial"/>
        </w:rPr>
        <w:t xml:space="preserve">, Pereira, Sala Unitaria Civil-Familia. Auto del 3 de agosto de 2017; </w:t>
      </w:r>
      <w:proofErr w:type="spellStart"/>
      <w:r w:rsidR="007A655F" w:rsidRPr="00426E02">
        <w:rPr>
          <w:rFonts w:ascii="Arial" w:hAnsi="Arial" w:cs="Arial"/>
        </w:rPr>
        <w:t>MP</w:t>
      </w:r>
      <w:proofErr w:type="spellEnd"/>
      <w:r w:rsidR="007A655F" w:rsidRPr="00426E02">
        <w:rPr>
          <w:rFonts w:ascii="Arial" w:hAnsi="Arial" w:cs="Arial"/>
        </w:rPr>
        <w:t xml:space="preserve">: Jaime Alberto Saraza Naranjo  </w:t>
      </w:r>
      <w:r w:rsidRPr="00426E02">
        <w:rPr>
          <w:rFonts w:ascii="Arial" w:hAnsi="Arial" w:cs="Arial"/>
        </w:rPr>
        <w:t>Expediente 66001-31-03-003-2015-01020-01</w:t>
      </w:r>
      <w:r w:rsidR="007A655F" w:rsidRPr="00426E02">
        <w:rPr>
          <w:rFonts w:ascii="Arial" w:hAnsi="Arial" w:cs="Arial"/>
        </w:rPr>
        <w:t xml:space="preserve">; Auto del 1 de diciembre de 2017; </w:t>
      </w:r>
      <w:proofErr w:type="spellStart"/>
      <w:r w:rsidR="007A655F" w:rsidRPr="00426E02">
        <w:rPr>
          <w:rFonts w:ascii="Arial" w:hAnsi="Arial" w:cs="Arial"/>
        </w:rPr>
        <w:t>MP</w:t>
      </w:r>
      <w:proofErr w:type="spellEnd"/>
      <w:r w:rsidR="007A655F" w:rsidRPr="00426E02">
        <w:rPr>
          <w:rFonts w:ascii="Arial" w:hAnsi="Arial" w:cs="Arial"/>
        </w:rPr>
        <w:t xml:space="preserve">: </w:t>
      </w:r>
      <w:proofErr w:type="spellStart"/>
      <w:r w:rsidR="007A655F" w:rsidRPr="00426E02">
        <w:rPr>
          <w:rFonts w:ascii="Arial" w:hAnsi="Arial" w:cs="Arial"/>
        </w:rPr>
        <w:t>Duberney</w:t>
      </w:r>
      <w:proofErr w:type="spellEnd"/>
      <w:r w:rsidR="007A655F" w:rsidRPr="00426E02">
        <w:rPr>
          <w:rFonts w:ascii="Arial" w:hAnsi="Arial" w:cs="Arial"/>
        </w:rPr>
        <w:t xml:space="preserve"> Grisales Herrera  Expediente 66001-31-03-002-2017-00155-01.</w:t>
      </w:r>
      <w:r w:rsidR="00426E02">
        <w:rPr>
          <w:rFonts w:ascii="Arial" w:hAnsi="Arial" w:cs="Arial"/>
        </w:rPr>
        <w:t xml:space="preserve"> </w:t>
      </w:r>
      <w:r w:rsidR="00426E02">
        <w:rPr>
          <w:rFonts w:ascii="Arial" w:hAnsi="Arial" w:cs="Arial"/>
        </w:rPr>
        <w:tab/>
      </w:r>
      <w:r w:rsidR="00426E02">
        <w:rPr>
          <w:rFonts w:ascii="Arial" w:hAnsi="Arial" w:cs="Arial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E4" w:rsidRDefault="00CD2FF8" w:rsidP="00FF26E4">
    <w:pPr>
      <w:pStyle w:val="NoSpacing1"/>
      <w:rPr>
        <w:rFonts w:ascii="Arial" w:hAnsi="Arial" w:cs="Arial"/>
        <w:sz w:val="16"/>
        <w:szCs w:val="16"/>
      </w:rPr>
    </w:pPr>
    <w:r w:rsidRPr="0032023D">
      <w:rPr>
        <w:rFonts w:cs="Arial"/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59264" behindDoc="1" locked="0" layoutInCell="1" allowOverlap="1" wp14:anchorId="383559DB" wp14:editId="71C5009F">
          <wp:simplePos x="0" y="0"/>
          <wp:positionH relativeFrom="margin">
            <wp:posOffset>-521814</wp:posOffset>
          </wp:positionH>
          <wp:positionV relativeFrom="paragraph">
            <wp:posOffset>-233752</wp:posOffset>
          </wp:positionV>
          <wp:extent cx="2831042" cy="952500"/>
          <wp:effectExtent l="0" t="0" r="7620" b="0"/>
          <wp:wrapNone/>
          <wp:docPr id="11" name="Imagen 11" descr="C:\Users\ilondoñb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ondoñb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042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</w:t>
    </w:r>
    <w:r w:rsidRPr="005643A9">
      <w:rPr>
        <w:rFonts w:ascii="Arial" w:hAnsi="Arial" w:cs="Arial"/>
        <w:sz w:val="16"/>
        <w:szCs w:val="16"/>
      </w:rPr>
      <w:t xml:space="preserve">    </w:t>
    </w:r>
  </w:p>
  <w:p w:rsidR="00FF26E4" w:rsidRDefault="00DF5AF0" w:rsidP="00FF26E4">
    <w:pPr>
      <w:pStyle w:val="NoSpacing1"/>
      <w:rPr>
        <w:rFonts w:ascii="Arial" w:hAnsi="Arial" w:cs="Arial"/>
        <w:sz w:val="16"/>
        <w:szCs w:val="16"/>
      </w:rPr>
    </w:pPr>
  </w:p>
  <w:p w:rsidR="00FF26E4" w:rsidRDefault="00DF5AF0" w:rsidP="00FF26E4">
    <w:pPr>
      <w:pStyle w:val="NoSpacing1"/>
      <w:rPr>
        <w:rFonts w:ascii="Arial" w:hAnsi="Arial" w:cs="Arial"/>
        <w:sz w:val="16"/>
        <w:szCs w:val="16"/>
      </w:rPr>
    </w:pPr>
  </w:p>
  <w:p w:rsidR="00FF26E4" w:rsidRDefault="00DF5AF0" w:rsidP="00FF26E4">
    <w:pPr>
      <w:pStyle w:val="NoSpacing1"/>
      <w:rPr>
        <w:rFonts w:ascii="Arial" w:hAnsi="Arial" w:cs="Arial"/>
        <w:sz w:val="16"/>
        <w:szCs w:val="16"/>
      </w:rPr>
    </w:pPr>
  </w:p>
  <w:p w:rsidR="00FF26E4" w:rsidRDefault="00DF5AF0" w:rsidP="00FF26E4">
    <w:pPr>
      <w:pStyle w:val="NoSpacing1"/>
      <w:rPr>
        <w:rFonts w:ascii="Arial" w:hAnsi="Arial" w:cs="Arial"/>
        <w:sz w:val="16"/>
        <w:szCs w:val="16"/>
      </w:rPr>
    </w:pPr>
  </w:p>
  <w:p w:rsidR="00DC631D" w:rsidRPr="0061509F" w:rsidRDefault="00CD2FF8" w:rsidP="00DC631D">
    <w:pPr>
      <w:pStyle w:val="NoSpacing1"/>
      <w:ind w:left="3540" w:hanging="43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61509F">
      <w:rPr>
        <w:rFonts w:ascii="Arial" w:hAnsi="Arial" w:cs="Arial"/>
        <w:sz w:val="16"/>
        <w:szCs w:val="16"/>
      </w:rPr>
      <w:t xml:space="preserve">               </w:t>
    </w:r>
    <w:proofErr w:type="spellStart"/>
    <w:r w:rsidRPr="0061509F">
      <w:rPr>
        <w:rFonts w:ascii="Arial" w:hAnsi="Arial" w:cs="Arial"/>
        <w:b/>
        <w:szCs w:val="16"/>
      </w:rPr>
      <w:t>EXP</w:t>
    </w:r>
    <w:proofErr w:type="spellEnd"/>
    <w:r w:rsidRPr="0061509F">
      <w:rPr>
        <w:rFonts w:ascii="Arial" w:hAnsi="Arial" w:cs="Arial"/>
        <w:b/>
        <w:szCs w:val="16"/>
      </w:rPr>
      <w:t xml:space="preserve">. </w:t>
    </w:r>
    <w:proofErr w:type="spellStart"/>
    <w:r w:rsidRPr="0061509F">
      <w:rPr>
        <w:rFonts w:ascii="Arial" w:hAnsi="Arial" w:cs="Arial"/>
        <w:b/>
        <w:szCs w:val="16"/>
      </w:rPr>
      <w:t>Apel</w:t>
    </w:r>
    <w:proofErr w:type="spellEnd"/>
    <w:r w:rsidRPr="0061509F">
      <w:rPr>
        <w:rFonts w:ascii="Arial" w:hAnsi="Arial" w:cs="Arial"/>
        <w:b/>
        <w:szCs w:val="16"/>
      </w:rPr>
      <w:t xml:space="preserve">. </w:t>
    </w:r>
    <w:proofErr w:type="gramStart"/>
    <w:r w:rsidRPr="0061509F">
      <w:rPr>
        <w:rFonts w:ascii="Arial" w:hAnsi="Arial" w:cs="Arial"/>
        <w:b/>
        <w:szCs w:val="16"/>
      </w:rPr>
      <w:t>auto</w:t>
    </w:r>
    <w:proofErr w:type="gramEnd"/>
    <w:r w:rsidRPr="0061509F">
      <w:rPr>
        <w:rFonts w:ascii="Arial" w:hAnsi="Arial" w:cs="Arial"/>
        <w:b/>
        <w:szCs w:val="16"/>
      </w:rPr>
      <w:t>.  66001-31-03-00</w:t>
    </w:r>
    <w:r w:rsidR="00AD5C9C">
      <w:rPr>
        <w:rFonts w:ascii="Arial" w:hAnsi="Arial" w:cs="Arial"/>
        <w:b/>
        <w:szCs w:val="16"/>
      </w:rPr>
      <w:t>3</w:t>
    </w:r>
    <w:r w:rsidRPr="0061509F">
      <w:rPr>
        <w:rFonts w:ascii="Arial" w:hAnsi="Arial" w:cs="Arial"/>
        <w:b/>
        <w:szCs w:val="16"/>
      </w:rPr>
      <w:t>-201</w:t>
    </w:r>
    <w:r w:rsidR="00AD5C9C">
      <w:rPr>
        <w:rFonts w:ascii="Arial" w:hAnsi="Arial" w:cs="Arial"/>
        <w:b/>
        <w:szCs w:val="16"/>
      </w:rPr>
      <w:t>7</w:t>
    </w:r>
    <w:r w:rsidRPr="0061509F">
      <w:rPr>
        <w:rFonts w:ascii="Arial" w:hAnsi="Arial" w:cs="Arial"/>
        <w:b/>
        <w:szCs w:val="16"/>
      </w:rPr>
      <w:t>-00</w:t>
    </w:r>
    <w:r w:rsidR="00AD5C9C">
      <w:rPr>
        <w:rFonts w:ascii="Arial" w:hAnsi="Arial" w:cs="Arial"/>
        <w:b/>
        <w:szCs w:val="16"/>
      </w:rPr>
      <w:t>175</w:t>
    </w:r>
    <w:r w:rsidRPr="0061509F">
      <w:rPr>
        <w:rFonts w:ascii="Arial" w:hAnsi="Arial" w:cs="Arial"/>
        <w:b/>
        <w:szCs w:val="16"/>
      </w:rPr>
      <w:t>-0</w:t>
    </w:r>
    <w:r w:rsidR="009A25F1" w:rsidRPr="0061509F">
      <w:rPr>
        <w:rFonts w:ascii="Arial" w:hAnsi="Arial" w:cs="Arial"/>
        <w:b/>
        <w:szCs w:val="16"/>
      </w:rPr>
      <w:t>1</w:t>
    </w:r>
    <w:r w:rsidRPr="0061509F">
      <w:rPr>
        <w:rFonts w:ascii="Arial" w:hAnsi="Arial" w:cs="Arial"/>
        <w:b/>
        <w:sz w:val="16"/>
        <w:szCs w:val="16"/>
      </w:rPr>
      <w:t xml:space="preserve">                                 </w:t>
    </w:r>
  </w:p>
  <w:p w:rsidR="00FF26E4" w:rsidRPr="009E4CF4" w:rsidRDefault="00CD2FF8" w:rsidP="00DC631D">
    <w:pPr>
      <w:pStyle w:val="NoSpacing1"/>
      <w:ind w:left="3102" w:hanging="395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</w:t>
    </w:r>
    <w:r>
      <w:t xml:space="preserve">            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E7"/>
    <w:rsid w:val="0000044B"/>
    <w:rsid w:val="00034BA0"/>
    <w:rsid w:val="00034DA0"/>
    <w:rsid w:val="00042D93"/>
    <w:rsid w:val="0004311E"/>
    <w:rsid w:val="000439B0"/>
    <w:rsid w:val="00044BED"/>
    <w:rsid w:val="00045006"/>
    <w:rsid w:val="00046B6D"/>
    <w:rsid w:val="000505EA"/>
    <w:rsid w:val="00057B74"/>
    <w:rsid w:val="0006450D"/>
    <w:rsid w:val="00071669"/>
    <w:rsid w:val="00072173"/>
    <w:rsid w:val="00074C1A"/>
    <w:rsid w:val="00076D4E"/>
    <w:rsid w:val="00093815"/>
    <w:rsid w:val="000B0345"/>
    <w:rsid w:val="000B7AE5"/>
    <w:rsid w:val="000C0037"/>
    <w:rsid w:val="000D259A"/>
    <w:rsid w:val="000E348F"/>
    <w:rsid w:val="000E3678"/>
    <w:rsid w:val="000F0886"/>
    <w:rsid w:val="0013490D"/>
    <w:rsid w:val="00144D5C"/>
    <w:rsid w:val="0015197C"/>
    <w:rsid w:val="0016592F"/>
    <w:rsid w:val="001735E7"/>
    <w:rsid w:val="00175418"/>
    <w:rsid w:val="00186A7B"/>
    <w:rsid w:val="001911D8"/>
    <w:rsid w:val="001B1921"/>
    <w:rsid w:val="001B607B"/>
    <w:rsid w:val="001E0D2D"/>
    <w:rsid w:val="001E7903"/>
    <w:rsid w:val="0020186D"/>
    <w:rsid w:val="002120A5"/>
    <w:rsid w:val="00217045"/>
    <w:rsid w:val="0022711F"/>
    <w:rsid w:val="00237D8F"/>
    <w:rsid w:val="00243F4E"/>
    <w:rsid w:val="0024404E"/>
    <w:rsid w:val="002470AA"/>
    <w:rsid w:val="002622EC"/>
    <w:rsid w:val="002917CE"/>
    <w:rsid w:val="00293030"/>
    <w:rsid w:val="002A038E"/>
    <w:rsid w:val="002A2C9D"/>
    <w:rsid w:val="002A5709"/>
    <w:rsid w:val="002B69D1"/>
    <w:rsid w:val="002C53AD"/>
    <w:rsid w:val="002D3967"/>
    <w:rsid w:val="002D4EDE"/>
    <w:rsid w:val="002E07ED"/>
    <w:rsid w:val="002F737C"/>
    <w:rsid w:val="00305712"/>
    <w:rsid w:val="00314139"/>
    <w:rsid w:val="0032244D"/>
    <w:rsid w:val="00325835"/>
    <w:rsid w:val="00343ADD"/>
    <w:rsid w:val="00345CD9"/>
    <w:rsid w:val="00345F90"/>
    <w:rsid w:val="0035574B"/>
    <w:rsid w:val="00371A7B"/>
    <w:rsid w:val="00380A6E"/>
    <w:rsid w:val="00382AB1"/>
    <w:rsid w:val="00385984"/>
    <w:rsid w:val="00390F57"/>
    <w:rsid w:val="0039725C"/>
    <w:rsid w:val="0039739F"/>
    <w:rsid w:val="003B06D1"/>
    <w:rsid w:val="003B09EA"/>
    <w:rsid w:val="003C45C5"/>
    <w:rsid w:val="003C7199"/>
    <w:rsid w:val="003E0091"/>
    <w:rsid w:val="003F2DB4"/>
    <w:rsid w:val="003F5275"/>
    <w:rsid w:val="00405727"/>
    <w:rsid w:val="00422967"/>
    <w:rsid w:val="004241EC"/>
    <w:rsid w:val="00426E02"/>
    <w:rsid w:val="00430142"/>
    <w:rsid w:val="00432083"/>
    <w:rsid w:val="00443FE5"/>
    <w:rsid w:val="00450044"/>
    <w:rsid w:val="004532FC"/>
    <w:rsid w:val="0045385E"/>
    <w:rsid w:val="00476AD4"/>
    <w:rsid w:val="004A106A"/>
    <w:rsid w:val="004A4865"/>
    <w:rsid w:val="004C7118"/>
    <w:rsid w:val="004D5152"/>
    <w:rsid w:val="004F44F8"/>
    <w:rsid w:val="004F6192"/>
    <w:rsid w:val="005078FB"/>
    <w:rsid w:val="00523587"/>
    <w:rsid w:val="005358E0"/>
    <w:rsid w:val="005371C6"/>
    <w:rsid w:val="00542277"/>
    <w:rsid w:val="005556C5"/>
    <w:rsid w:val="00565408"/>
    <w:rsid w:val="005710BB"/>
    <w:rsid w:val="00572F1A"/>
    <w:rsid w:val="00576428"/>
    <w:rsid w:val="00585FE0"/>
    <w:rsid w:val="0059137C"/>
    <w:rsid w:val="00592B3E"/>
    <w:rsid w:val="00596AED"/>
    <w:rsid w:val="00596F95"/>
    <w:rsid w:val="005978F1"/>
    <w:rsid w:val="00597DF4"/>
    <w:rsid w:val="005A5A7A"/>
    <w:rsid w:val="005D141A"/>
    <w:rsid w:val="005E40DF"/>
    <w:rsid w:val="005E57E3"/>
    <w:rsid w:val="005F39D7"/>
    <w:rsid w:val="0061509F"/>
    <w:rsid w:val="0061530A"/>
    <w:rsid w:val="00616882"/>
    <w:rsid w:val="0061768D"/>
    <w:rsid w:val="0065275D"/>
    <w:rsid w:val="00654409"/>
    <w:rsid w:val="006702D3"/>
    <w:rsid w:val="00673917"/>
    <w:rsid w:val="00692F9F"/>
    <w:rsid w:val="00697251"/>
    <w:rsid w:val="006A0243"/>
    <w:rsid w:val="006A20D0"/>
    <w:rsid w:val="006C2F5F"/>
    <w:rsid w:val="006C5AE2"/>
    <w:rsid w:val="006C6424"/>
    <w:rsid w:val="006D5076"/>
    <w:rsid w:val="006D7E55"/>
    <w:rsid w:val="006F1601"/>
    <w:rsid w:val="006F26E7"/>
    <w:rsid w:val="006F5433"/>
    <w:rsid w:val="006F7985"/>
    <w:rsid w:val="00713399"/>
    <w:rsid w:val="00714663"/>
    <w:rsid w:val="00717AB5"/>
    <w:rsid w:val="00731920"/>
    <w:rsid w:val="00733759"/>
    <w:rsid w:val="007452C8"/>
    <w:rsid w:val="00746F82"/>
    <w:rsid w:val="00747346"/>
    <w:rsid w:val="00754C65"/>
    <w:rsid w:val="00765F9C"/>
    <w:rsid w:val="0076710F"/>
    <w:rsid w:val="007914DF"/>
    <w:rsid w:val="0079245C"/>
    <w:rsid w:val="00792C3A"/>
    <w:rsid w:val="007A4021"/>
    <w:rsid w:val="007A655F"/>
    <w:rsid w:val="007A6A8D"/>
    <w:rsid w:val="007B55B7"/>
    <w:rsid w:val="007C5305"/>
    <w:rsid w:val="007E1AC1"/>
    <w:rsid w:val="007E2305"/>
    <w:rsid w:val="007F2616"/>
    <w:rsid w:val="0082380F"/>
    <w:rsid w:val="008322B0"/>
    <w:rsid w:val="00832804"/>
    <w:rsid w:val="00833DA1"/>
    <w:rsid w:val="008351E0"/>
    <w:rsid w:val="0084220A"/>
    <w:rsid w:val="00843305"/>
    <w:rsid w:val="0085079F"/>
    <w:rsid w:val="00887205"/>
    <w:rsid w:val="0089372F"/>
    <w:rsid w:val="008956F0"/>
    <w:rsid w:val="008A1A71"/>
    <w:rsid w:val="008A4AA0"/>
    <w:rsid w:val="008B0872"/>
    <w:rsid w:val="008B33E9"/>
    <w:rsid w:val="008C1382"/>
    <w:rsid w:val="008E038C"/>
    <w:rsid w:val="008E72CA"/>
    <w:rsid w:val="008F3EFA"/>
    <w:rsid w:val="009111B6"/>
    <w:rsid w:val="00917288"/>
    <w:rsid w:val="00931F74"/>
    <w:rsid w:val="009520DB"/>
    <w:rsid w:val="009679A4"/>
    <w:rsid w:val="009704D1"/>
    <w:rsid w:val="009730D3"/>
    <w:rsid w:val="00973A81"/>
    <w:rsid w:val="00980E21"/>
    <w:rsid w:val="0098290B"/>
    <w:rsid w:val="00994122"/>
    <w:rsid w:val="00997A43"/>
    <w:rsid w:val="009A0724"/>
    <w:rsid w:val="009A25F1"/>
    <w:rsid w:val="009D1BAD"/>
    <w:rsid w:val="009D58E9"/>
    <w:rsid w:val="009E3D30"/>
    <w:rsid w:val="00A1488F"/>
    <w:rsid w:val="00A22771"/>
    <w:rsid w:val="00A27FBC"/>
    <w:rsid w:val="00A32D09"/>
    <w:rsid w:val="00A360EF"/>
    <w:rsid w:val="00A5678C"/>
    <w:rsid w:val="00A66D40"/>
    <w:rsid w:val="00A75836"/>
    <w:rsid w:val="00A83CEA"/>
    <w:rsid w:val="00A95917"/>
    <w:rsid w:val="00A966CC"/>
    <w:rsid w:val="00A979EC"/>
    <w:rsid w:val="00AB255E"/>
    <w:rsid w:val="00AB3315"/>
    <w:rsid w:val="00AC00CB"/>
    <w:rsid w:val="00AC7F62"/>
    <w:rsid w:val="00AD21A4"/>
    <w:rsid w:val="00AD5C9C"/>
    <w:rsid w:val="00AE3B34"/>
    <w:rsid w:val="00AE3D71"/>
    <w:rsid w:val="00AF13F9"/>
    <w:rsid w:val="00AF4036"/>
    <w:rsid w:val="00B04EFC"/>
    <w:rsid w:val="00B14144"/>
    <w:rsid w:val="00B17C01"/>
    <w:rsid w:val="00B23834"/>
    <w:rsid w:val="00B40055"/>
    <w:rsid w:val="00B414D1"/>
    <w:rsid w:val="00B45607"/>
    <w:rsid w:val="00B5649E"/>
    <w:rsid w:val="00B74147"/>
    <w:rsid w:val="00B74B48"/>
    <w:rsid w:val="00B7541B"/>
    <w:rsid w:val="00B91397"/>
    <w:rsid w:val="00BA0A8B"/>
    <w:rsid w:val="00BC1D5D"/>
    <w:rsid w:val="00BD27F8"/>
    <w:rsid w:val="00BD3EE6"/>
    <w:rsid w:val="00BE3C69"/>
    <w:rsid w:val="00BE4408"/>
    <w:rsid w:val="00BE6AEA"/>
    <w:rsid w:val="00BE6F91"/>
    <w:rsid w:val="00BF4B09"/>
    <w:rsid w:val="00C013E0"/>
    <w:rsid w:val="00C03100"/>
    <w:rsid w:val="00C07B81"/>
    <w:rsid w:val="00C10B06"/>
    <w:rsid w:val="00C24731"/>
    <w:rsid w:val="00C33A78"/>
    <w:rsid w:val="00C34138"/>
    <w:rsid w:val="00C37EF2"/>
    <w:rsid w:val="00C42C50"/>
    <w:rsid w:val="00C54DD6"/>
    <w:rsid w:val="00C55149"/>
    <w:rsid w:val="00C57D6F"/>
    <w:rsid w:val="00C7472C"/>
    <w:rsid w:val="00C84339"/>
    <w:rsid w:val="00C86486"/>
    <w:rsid w:val="00C877B8"/>
    <w:rsid w:val="00C96F94"/>
    <w:rsid w:val="00CA2E29"/>
    <w:rsid w:val="00CA6E24"/>
    <w:rsid w:val="00CA72E1"/>
    <w:rsid w:val="00CA7AE4"/>
    <w:rsid w:val="00CB74AF"/>
    <w:rsid w:val="00CC2B97"/>
    <w:rsid w:val="00CD2FF8"/>
    <w:rsid w:val="00CD4CB7"/>
    <w:rsid w:val="00CE0C7B"/>
    <w:rsid w:val="00CE10C2"/>
    <w:rsid w:val="00CE4C0A"/>
    <w:rsid w:val="00CE6E81"/>
    <w:rsid w:val="00CE7308"/>
    <w:rsid w:val="00CF60F6"/>
    <w:rsid w:val="00D011F8"/>
    <w:rsid w:val="00D10334"/>
    <w:rsid w:val="00D15FDE"/>
    <w:rsid w:val="00D56D7E"/>
    <w:rsid w:val="00D61E9C"/>
    <w:rsid w:val="00D661C9"/>
    <w:rsid w:val="00D749E9"/>
    <w:rsid w:val="00D815F4"/>
    <w:rsid w:val="00DA3FAD"/>
    <w:rsid w:val="00DA48C3"/>
    <w:rsid w:val="00DB5128"/>
    <w:rsid w:val="00DB6E45"/>
    <w:rsid w:val="00DD1197"/>
    <w:rsid w:val="00DE077F"/>
    <w:rsid w:val="00DF3AF6"/>
    <w:rsid w:val="00DF3FD6"/>
    <w:rsid w:val="00DF57F8"/>
    <w:rsid w:val="00DF5AF0"/>
    <w:rsid w:val="00DF792F"/>
    <w:rsid w:val="00E014C7"/>
    <w:rsid w:val="00E02398"/>
    <w:rsid w:val="00E13661"/>
    <w:rsid w:val="00E1528C"/>
    <w:rsid w:val="00E22740"/>
    <w:rsid w:val="00E26074"/>
    <w:rsid w:val="00E344C9"/>
    <w:rsid w:val="00E360CC"/>
    <w:rsid w:val="00E36489"/>
    <w:rsid w:val="00E67481"/>
    <w:rsid w:val="00E76C30"/>
    <w:rsid w:val="00E82001"/>
    <w:rsid w:val="00E8467D"/>
    <w:rsid w:val="00E91AED"/>
    <w:rsid w:val="00E92029"/>
    <w:rsid w:val="00EA27EF"/>
    <w:rsid w:val="00EA5DFD"/>
    <w:rsid w:val="00EA61EC"/>
    <w:rsid w:val="00EB6AB5"/>
    <w:rsid w:val="00EE55E1"/>
    <w:rsid w:val="00EF1972"/>
    <w:rsid w:val="00EF645E"/>
    <w:rsid w:val="00EF6F8A"/>
    <w:rsid w:val="00F06C0D"/>
    <w:rsid w:val="00F11F82"/>
    <w:rsid w:val="00F1755B"/>
    <w:rsid w:val="00F43B5B"/>
    <w:rsid w:val="00F474C0"/>
    <w:rsid w:val="00F47F62"/>
    <w:rsid w:val="00F6280A"/>
    <w:rsid w:val="00F67193"/>
    <w:rsid w:val="00F73079"/>
    <w:rsid w:val="00F761FD"/>
    <w:rsid w:val="00F77CCA"/>
    <w:rsid w:val="00F8281F"/>
    <w:rsid w:val="00F9102E"/>
    <w:rsid w:val="00F93651"/>
    <w:rsid w:val="00FB287C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espaciado1">
    <w:name w:val="Sin espaciado1"/>
    <w:uiPriority w:val="99"/>
    <w:rsid w:val="001735E7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Pieddepage">
    <w:name w:val="footer"/>
    <w:basedOn w:val="Normal"/>
    <w:link w:val="PieddepageCar"/>
    <w:rsid w:val="001735E7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rsid w:val="001735E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tedebasdepage">
    <w:name w:val="footnote text"/>
    <w:basedOn w:val="Normal"/>
    <w:link w:val="NotedebasdepageCar"/>
    <w:semiHidden/>
    <w:rsid w:val="001735E7"/>
  </w:style>
  <w:style w:type="character" w:customStyle="1" w:styleId="NotedebasdepageCar">
    <w:name w:val="Note de bas de page Car"/>
    <w:basedOn w:val="Policepardfaut"/>
    <w:link w:val="Notedebasdepage"/>
    <w:semiHidden/>
    <w:rsid w:val="001735E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Appelnotedebasdep">
    <w:name w:val="footnote reference"/>
    <w:semiHidden/>
    <w:rsid w:val="001735E7"/>
    <w:rPr>
      <w:vertAlign w:val="superscript"/>
    </w:rPr>
  </w:style>
  <w:style w:type="paragraph" w:customStyle="1" w:styleId="NoSpacing1">
    <w:name w:val="No Spacing1"/>
    <w:rsid w:val="0017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F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F82"/>
    <w:rPr>
      <w:rFonts w:ascii="Segoe UI" w:eastAsia="Times New Roman" w:hAnsi="Segoe UI" w:cs="Segoe UI"/>
      <w:sz w:val="18"/>
      <w:szCs w:val="18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9A25F1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9A25F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xgmail-cuerpodeltexto3negrita">
    <w:name w:val="x_gmail-cuerpodeltexto3negrita"/>
    <w:basedOn w:val="Policepardfaut"/>
    <w:rsid w:val="005E40DF"/>
  </w:style>
  <w:style w:type="paragraph" w:styleId="Corpsdetexte">
    <w:name w:val="Body Text"/>
    <w:basedOn w:val="Normal"/>
    <w:link w:val="CorpsdetexteCar"/>
    <w:uiPriority w:val="99"/>
    <w:rsid w:val="00A83CEA"/>
    <w:pPr>
      <w:jc w:val="both"/>
    </w:pPr>
    <w:rPr>
      <w:rFonts w:ascii="Tahoma" w:hAnsi="Tahoma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A83CEA"/>
    <w:rPr>
      <w:rFonts w:ascii="Tahoma" w:eastAsia="Times New Roman" w:hAnsi="Tahoma" w:cs="Times New Roman"/>
      <w:szCs w:val="20"/>
      <w:lang w:eastAsia="es-ES"/>
    </w:rPr>
  </w:style>
  <w:style w:type="paragraph" w:styleId="Sansinterligne">
    <w:name w:val="No Spacing"/>
    <w:link w:val="SansinterligneCar"/>
    <w:uiPriority w:val="1"/>
    <w:qFormat/>
    <w:rsid w:val="00476AD4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ansinterligneCar">
    <w:name w:val="Sans interligne Car"/>
    <w:link w:val="Sansinterligne"/>
    <w:uiPriority w:val="1"/>
    <w:locked/>
    <w:rsid w:val="00476AD4"/>
    <w:rPr>
      <w:rFonts w:ascii="Calibri" w:eastAsia="Times New Roman" w:hAnsi="Calibri" w:cs="Times New Roman"/>
      <w:lang w:eastAsia="es-ES"/>
    </w:rPr>
  </w:style>
  <w:style w:type="paragraph" w:customStyle="1" w:styleId="Default">
    <w:name w:val="Default"/>
    <w:rsid w:val="00994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espaciado1">
    <w:name w:val="Sin espaciado1"/>
    <w:uiPriority w:val="99"/>
    <w:rsid w:val="001735E7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Pieddepage">
    <w:name w:val="footer"/>
    <w:basedOn w:val="Normal"/>
    <w:link w:val="PieddepageCar"/>
    <w:rsid w:val="001735E7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rsid w:val="001735E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tedebasdepage">
    <w:name w:val="footnote text"/>
    <w:basedOn w:val="Normal"/>
    <w:link w:val="NotedebasdepageCar"/>
    <w:semiHidden/>
    <w:rsid w:val="001735E7"/>
  </w:style>
  <w:style w:type="character" w:customStyle="1" w:styleId="NotedebasdepageCar">
    <w:name w:val="Note de bas de page Car"/>
    <w:basedOn w:val="Policepardfaut"/>
    <w:link w:val="Notedebasdepage"/>
    <w:semiHidden/>
    <w:rsid w:val="001735E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Appelnotedebasdep">
    <w:name w:val="footnote reference"/>
    <w:semiHidden/>
    <w:rsid w:val="001735E7"/>
    <w:rPr>
      <w:vertAlign w:val="superscript"/>
    </w:rPr>
  </w:style>
  <w:style w:type="paragraph" w:customStyle="1" w:styleId="NoSpacing1">
    <w:name w:val="No Spacing1"/>
    <w:rsid w:val="0017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F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F82"/>
    <w:rPr>
      <w:rFonts w:ascii="Segoe UI" w:eastAsia="Times New Roman" w:hAnsi="Segoe UI" w:cs="Segoe UI"/>
      <w:sz w:val="18"/>
      <w:szCs w:val="18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9A25F1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9A25F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xgmail-cuerpodeltexto3negrita">
    <w:name w:val="x_gmail-cuerpodeltexto3negrita"/>
    <w:basedOn w:val="Policepardfaut"/>
    <w:rsid w:val="005E40DF"/>
  </w:style>
  <w:style w:type="paragraph" w:styleId="Corpsdetexte">
    <w:name w:val="Body Text"/>
    <w:basedOn w:val="Normal"/>
    <w:link w:val="CorpsdetexteCar"/>
    <w:uiPriority w:val="99"/>
    <w:rsid w:val="00A83CEA"/>
    <w:pPr>
      <w:jc w:val="both"/>
    </w:pPr>
    <w:rPr>
      <w:rFonts w:ascii="Tahoma" w:hAnsi="Tahoma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A83CEA"/>
    <w:rPr>
      <w:rFonts w:ascii="Tahoma" w:eastAsia="Times New Roman" w:hAnsi="Tahoma" w:cs="Times New Roman"/>
      <w:szCs w:val="20"/>
      <w:lang w:eastAsia="es-ES"/>
    </w:rPr>
  </w:style>
  <w:style w:type="paragraph" w:styleId="Sansinterligne">
    <w:name w:val="No Spacing"/>
    <w:link w:val="SansinterligneCar"/>
    <w:uiPriority w:val="1"/>
    <w:qFormat/>
    <w:rsid w:val="00476AD4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ansinterligneCar">
    <w:name w:val="Sans interligne Car"/>
    <w:link w:val="Sansinterligne"/>
    <w:uiPriority w:val="1"/>
    <w:locked/>
    <w:rsid w:val="00476AD4"/>
    <w:rPr>
      <w:rFonts w:ascii="Calibri" w:eastAsia="Times New Roman" w:hAnsi="Calibri" w:cs="Times New Roman"/>
      <w:lang w:eastAsia="es-ES"/>
    </w:rPr>
  </w:style>
  <w:style w:type="paragraph" w:customStyle="1" w:styleId="Default">
    <w:name w:val="Default"/>
    <w:rsid w:val="00994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3242-44F5-4785-B4C3-27BA6590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1981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Edder Jimmy Sanchez Calambas</dc:creator>
  <cp:keywords/>
  <dc:description/>
  <cp:lastModifiedBy>Malucimedina</cp:lastModifiedBy>
  <cp:revision>3</cp:revision>
  <cp:lastPrinted>2018-02-07T14:17:00Z</cp:lastPrinted>
  <dcterms:created xsi:type="dcterms:W3CDTF">2018-02-07T14:50:00Z</dcterms:created>
  <dcterms:modified xsi:type="dcterms:W3CDTF">2018-03-12T11:05:00Z</dcterms:modified>
</cp:coreProperties>
</file>