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C4" w:rsidRDefault="005522C4" w:rsidP="005522C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522C4" w:rsidRDefault="005522C4" w:rsidP="005522C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5522C4" w:rsidRDefault="005522C4" w:rsidP="005522C4">
      <w:pPr>
        <w:shd w:val="clear" w:color="auto" w:fill="FFFFFF"/>
        <w:ind w:left="1843" w:hanging="1843"/>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Sentencia  – 1ª instancia – 9 de marzo de 2018</w:t>
      </w:r>
    </w:p>
    <w:p w:rsidR="005522C4" w:rsidRDefault="005522C4" w:rsidP="005522C4">
      <w:pPr>
        <w:shd w:val="clear" w:color="auto" w:fill="FFFFFF"/>
        <w:tabs>
          <w:tab w:val="left" w:pos="1843"/>
          <w:tab w:val="left" w:pos="4755"/>
        </w:tabs>
        <w:ind w:left="1843" w:hanging="1843"/>
        <w:jc w:val="both"/>
        <w:rPr>
          <w:rFonts w:ascii="Calibri" w:hAnsi="Calibri" w:cs="Calibri"/>
          <w:color w:val="222222"/>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t xml:space="preserve">Acción de Tutela – Improcedente </w:t>
      </w:r>
    </w:p>
    <w:p w:rsidR="005522C4" w:rsidRDefault="005522C4" w:rsidP="005522C4">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 </w:t>
      </w:r>
      <w:r w:rsidRPr="005522C4">
        <w:rPr>
          <w:rFonts w:ascii="Calibri" w:hAnsi="Calibri" w:cs="Calibri"/>
          <w:bCs/>
          <w:iCs/>
          <w:color w:val="222222"/>
          <w:sz w:val="18"/>
          <w:szCs w:val="18"/>
          <w:lang w:eastAsia="fr-FR"/>
        </w:rPr>
        <w:t>66001-22-13-000-2018-00049-00</w:t>
      </w:r>
    </w:p>
    <w:p w:rsidR="005522C4" w:rsidRDefault="005522C4" w:rsidP="005522C4">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Pr>
          <w:rFonts w:ascii="Calibri" w:hAnsi="Calibri" w:cs="Calibri"/>
          <w:bCs/>
          <w:iCs/>
          <w:color w:val="222222"/>
          <w:sz w:val="18"/>
          <w:szCs w:val="18"/>
          <w:lang w:eastAsia="fr-FR"/>
        </w:rPr>
        <w:tab/>
        <w:t xml:space="preserve"> </w:t>
      </w:r>
      <w:r w:rsidRPr="00950306">
        <w:rPr>
          <w:rFonts w:ascii="Calibri" w:hAnsi="Calibri" w:cs="Calibri"/>
          <w:bCs/>
          <w:iCs/>
          <w:color w:val="222222"/>
          <w:sz w:val="18"/>
          <w:szCs w:val="18"/>
          <w:lang w:eastAsia="fr-FR"/>
        </w:rPr>
        <w:t xml:space="preserve">JAVIER ELÍAS ARIAS </w:t>
      </w:r>
      <w:proofErr w:type="spellStart"/>
      <w:r w:rsidRPr="00950306">
        <w:rPr>
          <w:rFonts w:ascii="Calibri" w:hAnsi="Calibri" w:cs="Calibri"/>
          <w:bCs/>
          <w:iCs/>
          <w:color w:val="222222"/>
          <w:sz w:val="18"/>
          <w:szCs w:val="18"/>
          <w:lang w:eastAsia="fr-FR"/>
        </w:rPr>
        <w:t>IDÁRRAGA</w:t>
      </w:r>
      <w:proofErr w:type="spellEnd"/>
    </w:p>
    <w:p w:rsidR="005522C4" w:rsidRDefault="005522C4" w:rsidP="005522C4">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r>
      <w:r>
        <w:rPr>
          <w:rFonts w:ascii="Calibri" w:hAnsi="Calibri" w:cs="Calibri"/>
          <w:color w:val="222222"/>
          <w:sz w:val="18"/>
          <w:szCs w:val="18"/>
          <w:lang w:val="es-CO" w:eastAsia="fr-FR"/>
        </w:rPr>
        <w:t xml:space="preserve">  </w:t>
      </w:r>
      <w:r w:rsidRPr="005522C4">
        <w:rPr>
          <w:rFonts w:ascii="Calibri" w:hAnsi="Calibri" w:cs="Calibri"/>
          <w:color w:val="222222"/>
          <w:sz w:val="18"/>
          <w:szCs w:val="18"/>
          <w:lang w:val="es-CO" w:eastAsia="fr-FR"/>
        </w:rPr>
        <w:t xml:space="preserve">JUZGADO PROMISCUO DEL CIRCUITO DE LA VIRGINIA </w:t>
      </w:r>
      <w:r>
        <w:rPr>
          <w:rFonts w:ascii="Calibri" w:hAnsi="Calibri" w:cs="Calibri"/>
          <w:bCs/>
          <w:color w:val="222222"/>
          <w:spacing w:val="-6"/>
          <w:sz w:val="18"/>
          <w:szCs w:val="18"/>
          <w:lang w:eastAsia="fr-FR"/>
        </w:rPr>
        <w:t>y otros</w:t>
      </w:r>
    </w:p>
    <w:p w:rsidR="005522C4" w:rsidRDefault="005522C4" w:rsidP="005522C4">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Pr>
          <w:rFonts w:ascii="Calibri" w:hAnsi="Calibri" w:cs="Calibri"/>
          <w:color w:val="222222"/>
          <w:sz w:val="18"/>
          <w:szCs w:val="18"/>
          <w:lang w:val="es-CO" w:eastAsia="fr-FR"/>
        </w:rPr>
        <w:t xml:space="preserve">Magistrado Ponente: </w:t>
      </w:r>
      <w:r>
        <w:rPr>
          <w:rFonts w:ascii="Calibri" w:hAnsi="Calibri" w:cs="Calibri"/>
          <w:color w:val="222222"/>
          <w:sz w:val="18"/>
          <w:szCs w:val="18"/>
          <w:lang w:val="es-CO" w:eastAsia="fr-FR"/>
        </w:rPr>
        <w:tab/>
        <w:t xml:space="preserve">  </w:t>
      </w:r>
      <w:proofErr w:type="spellStart"/>
      <w:r>
        <w:rPr>
          <w:rFonts w:ascii="Calibri" w:hAnsi="Calibri" w:cs="Calibri"/>
          <w:bCs/>
          <w:iCs/>
          <w:color w:val="222222"/>
          <w:sz w:val="18"/>
          <w:szCs w:val="18"/>
          <w:lang w:val="es-CO" w:eastAsia="fr-FR"/>
        </w:rPr>
        <w:t>EDDER</w:t>
      </w:r>
      <w:proofErr w:type="spellEnd"/>
      <w:r>
        <w:rPr>
          <w:rFonts w:ascii="Calibri" w:hAnsi="Calibri" w:cs="Calibri"/>
          <w:bCs/>
          <w:iCs/>
          <w:color w:val="222222"/>
          <w:sz w:val="18"/>
          <w:szCs w:val="18"/>
          <w:lang w:val="es-CO" w:eastAsia="fr-FR"/>
        </w:rPr>
        <w:t xml:space="preserve"> JIMMY SÁNCHEZ </w:t>
      </w:r>
      <w:proofErr w:type="spellStart"/>
      <w:r>
        <w:rPr>
          <w:rFonts w:ascii="Calibri" w:hAnsi="Calibri" w:cs="Calibri"/>
          <w:bCs/>
          <w:iCs/>
          <w:color w:val="222222"/>
          <w:sz w:val="18"/>
          <w:szCs w:val="18"/>
          <w:lang w:val="es-CO" w:eastAsia="fr-FR"/>
        </w:rPr>
        <w:t>CALAMBÁS</w:t>
      </w:r>
      <w:proofErr w:type="spellEnd"/>
    </w:p>
    <w:p w:rsidR="005522C4" w:rsidRDefault="005522C4" w:rsidP="005522C4">
      <w:pPr>
        <w:shd w:val="clear" w:color="auto" w:fill="FFFFFF"/>
        <w:tabs>
          <w:tab w:val="left" w:pos="1843"/>
          <w:tab w:val="left" w:pos="4755"/>
        </w:tabs>
        <w:ind w:left="1843" w:hanging="1843"/>
        <w:jc w:val="both"/>
        <w:rPr>
          <w:sz w:val="16"/>
          <w:szCs w:val="16"/>
          <w:lang w:val="es-CO" w:eastAsia="fr-FR"/>
        </w:rPr>
      </w:pPr>
    </w:p>
    <w:p w:rsidR="005522C4" w:rsidRDefault="005522C4" w:rsidP="005522C4">
      <w:pPr>
        <w:jc w:val="both"/>
        <w:rPr>
          <w:rFonts w:ascii="Calibri" w:hAnsi="Calibri" w:cs="Calibri"/>
          <w:sz w:val="18"/>
          <w:szCs w:val="18"/>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ab/>
        <w:t xml:space="preserve">           DEBIDO PROCESO /</w:t>
      </w:r>
      <w:r>
        <w:rPr>
          <w:rFonts w:ascii="Calibri" w:hAnsi="Calibri" w:cs="Calibri"/>
          <w:b/>
          <w:bCs/>
          <w:iCs/>
          <w:color w:val="222222"/>
          <w:sz w:val="18"/>
          <w:szCs w:val="18"/>
          <w:lang w:eastAsia="fr-FR"/>
        </w:rPr>
        <w:t xml:space="preserve"> TUTELA CONTRA PROVIDENCIA JUDICIAL / </w:t>
      </w:r>
      <w:r w:rsidR="00501E33">
        <w:rPr>
          <w:rFonts w:ascii="Calibri" w:hAnsi="Calibri" w:cs="Calibri"/>
          <w:b/>
          <w:bCs/>
          <w:iCs/>
          <w:color w:val="222222"/>
          <w:sz w:val="18"/>
          <w:szCs w:val="18"/>
          <w:lang w:eastAsia="fr-FR"/>
        </w:rPr>
        <w:t>PROCESO EN TRÁMITE / NO FUE RECURRIDA DECISIÓN QUE RESOLVIÓ EL ASUNTO</w:t>
      </w:r>
      <w:r>
        <w:rPr>
          <w:rFonts w:ascii="Calibri" w:hAnsi="Calibri" w:cs="Calibri"/>
          <w:b/>
          <w:bCs/>
          <w:iCs/>
          <w:color w:val="222222"/>
          <w:sz w:val="18"/>
          <w:szCs w:val="18"/>
          <w:lang w:eastAsia="fr-FR"/>
        </w:rPr>
        <w:t xml:space="preserve"> / SUBSIDIARIEDAD / IMPROCEDENTE. </w:t>
      </w:r>
      <w:r w:rsidRPr="005522C4">
        <w:rPr>
          <w:rFonts w:ascii="Calibri" w:hAnsi="Calibri" w:cs="Calibri"/>
          <w:sz w:val="18"/>
          <w:szCs w:val="18"/>
        </w:rPr>
        <w:t xml:space="preserve">Vistas así las cosas, respecto a la pretensión del actor de que se aplique el artículo 121 del </w:t>
      </w:r>
      <w:proofErr w:type="spellStart"/>
      <w:r w:rsidRPr="005522C4">
        <w:rPr>
          <w:rFonts w:ascii="Calibri" w:hAnsi="Calibri" w:cs="Calibri"/>
          <w:sz w:val="18"/>
          <w:szCs w:val="18"/>
        </w:rPr>
        <w:t>CGP</w:t>
      </w:r>
      <w:proofErr w:type="spellEnd"/>
      <w:r w:rsidRPr="005522C4">
        <w:rPr>
          <w:rFonts w:ascii="Calibri" w:hAnsi="Calibri" w:cs="Calibri"/>
          <w:sz w:val="18"/>
          <w:szCs w:val="18"/>
        </w:rPr>
        <w:t>, la acción de tutela se torna improcedente, por ausencia del requisito de subsidiariedad, toda vez que, como se pudo constatar, el juzgado por auto del 9 de agosto de 2017, resolvió rechazar de plano la solicitud de n</w:t>
      </w:r>
      <w:bookmarkStart w:id="0" w:name="_GoBack"/>
      <w:bookmarkEnd w:id="0"/>
      <w:r w:rsidRPr="005522C4">
        <w:rPr>
          <w:rFonts w:ascii="Calibri" w:hAnsi="Calibri" w:cs="Calibri"/>
          <w:sz w:val="18"/>
          <w:szCs w:val="18"/>
        </w:rPr>
        <w:t>ulidad que aquel elevó, amparado en el mencionado artículo 121 del referido estatuto procesal, ya que no había transcurrido el término mencionado en dicha norma; sin embargo, no formuló recurso alguno frente a dicho proveído. Es decir, no empleó el medio ordinario de protección con que contaba en ese proceso para obtener lo que pretende sea ahora decidido por vía de tutela; debió el actor popular hacer uso de los mecanismos legales ordinarios que el ordenamiento jurídico consagra y no acudir directamente a la acción de tutela, incumpliendo así el requisito de subsidiariedad que contempla la Carta Pol</w:t>
      </w:r>
      <w:r>
        <w:rPr>
          <w:rFonts w:ascii="Calibri" w:hAnsi="Calibri" w:cs="Calibri"/>
          <w:sz w:val="18"/>
          <w:szCs w:val="18"/>
        </w:rPr>
        <w:t>ítica y el Decreto 2591 de 1991</w:t>
      </w:r>
      <w:r w:rsidRPr="009E5618">
        <w:rPr>
          <w:rFonts w:ascii="Calibri" w:hAnsi="Calibri" w:cs="Calibri"/>
          <w:sz w:val="18"/>
          <w:szCs w:val="18"/>
        </w:rPr>
        <w:t>.</w:t>
      </w:r>
    </w:p>
    <w:p w:rsidR="005522C4" w:rsidRDefault="005522C4" w:rsidP="005522C4">
      <w:pPr>
        <w:jc w:val="both"/>
        <w:rPr>
          <w:rFonts w:ascii="Calibri" w:hAnsi="Calibri" w:cs="Calibri"/>
          <w:sz w:val="18"/>
          <w:szCs w:val="18"/>
        </w:rPr>
      </w:pPr>
      <w:r>
        <w:rPr>
          <w:rFonts w:ascii="Calibri" w:hAnsi="Calibri" w:cs="Calibri"/>
          <w:sz w:val="18"/>
          <w:szCs w:val="18"/>
        </w:rPr>
        <w:t xml:space="preserve">(…) </w:t>
      </w:r>
    </w:p>
    <w:p w:rsidR="005522C4" w:rsidRDefault="005522C4" w:rsidP="005522C4">
      <w:pPr>
        <w:jc w:val="both"/>
        <w:rPr>
          <w:rFonts w:ascii="Calibri" w:hAnsi="Calibri" w:cs="Calibri"/>
          <w:sz w:val="18"/>
          <w:szCs w:val="18"/>
        </w:rPr>
      </w:pPr>
      <w:r w:rsidRPr="005522C4">
        <w:rPr>
          <w:rFonts w:ascii="Calibri" w:hAnsi="Calibri" w:cs="Calibri"/>
          <w:sz w:val="18"/>
          <w:szCs w:val="18"/>
        </w:rPr>
        <w:t>En consecuencia, se declarará improcedente el amparo constitucional frente al Juzgado Promiscuo del Circuito de La Virginia y se ordenará la desvinculación de los demás convocados a este trámite.</w:t>
      </w:r>
    </w:p>
    <w:p w:rsidR="005522C4" w:rsidRDefault="005522C4" w:rsidP="005522C4">
      <w:pPr>
        <w:jc w:val="both"/>
        <w:rPr>
          <w:rFonts w:ascii="Calibri" w:hAnsi="Calibri" w:cs="Calibri"/>
          <w:sz w:val="18"/>
          <w:szCs w:val="18"/>
        </w:rPr>
      </w:pPr>
    </w:p>
    <w:p w:rsidR="005522C4" w:rsidRDefault="005522C4" w:rsidP="005522C4">
      <w:pPr>
        <w:jc w:val="both"/>
        <w:rPr>
          <w:rFonts w:ascii="Calibri" w:hAnsi="Calibri" w:cs="Calibri"/>
          <w:sz w:val="18"/>
          <w:szCs w:val="18"/>
        </w:rPr>
      </w:pPr>
    </w:p>
    <w:p w:rsidR="005522C4" w:rsidRDefault="005522C4" w:rsidP="005522C4">
      <w:pPr>
        <w:jc w:val="both"/>
        <w:rPr>
          <w:rFonts w:ascii="Calibri" w:hAnsi="Calibri" w:cs="Calibri"/>
          <w:sz w:val="18"/>
          <w:szCs w:val="18"/>
        </w:rPr>
      </w:pPr>
    </w:p>
    <w:p w:rsidR="005522C4" w:rsidRDefault="005522C4" w:rsidP="005522C4">
      <w:pPr>
        <w:jc w:val="both"/>
        <w:rPr>
          <w:rFonts w:ascii="Calibri" w:hAnsi="Calibri" w:cs="Calibri"/>
          <w:sz w:val="18"/>
          <w:szCs w:val="18"/>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451C90" w:rsidRPr="0090313C" w:rsidRDefault="00451C90" w:rsidP="00451C9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0D5C40">
        <w:rPr>
          <w:rFonts w:ascii="Arial" w:hAnsi="Arial" w:cs="Arial"/>
          <w:bCs/>
          <w:sz w:val="24"/>
          <w:szCs w:val="24"/>
        </w:rPr>
        <w:t>nueve</w:t>
      </w:r>
      <w:r>
        <w:rPr>
          <w:rFonts w:ascii="Arial" w:hAnsi="Arial" w:cs="Arial"/>
          <w:bCs/>
          <w:sz w:val="24"/>
          <w:szCs w:val="24"/>
        </w:rPr>
        <w:t xml:space="preserve"> (</w:t>
      </w:r>
      <w:r w:rsidR="000D5C40">
        <w:rPr>
          <w:rFonts w:ascii="Arial" w:hAnsi="Arial" w:cs="Arial"/>
          <w:bCs/>
          <w:sz w:val="24"/>
          <w:szCs w:val="24"/>
        </w:rPr>
        <w:t>9</w:t>
      </w:r>
      <w:r w:rsidRPr="0090313C">
        <w:rPr>
          <w:rFonts w:ascii="Arial" w:hAnsi="Arial" w:cs="Arial"/>
          <w:bCs/>
          <w:sz w:val="24"/>
          <w:szCs w:val="24"/>
        </w:rPr>
        <w:t xml:space="preserve">) de </w:t>
      </w:r>
      <w:r w:rsidR="000D5C40">
        <w:rPr>
          <w:rFonts w:ascii="Arial" w:hAnsi="Arial" w:cs="Arial"/>
          <w:bCs/>
          <w:sz w:val="24"/>
          <w:szCs w:val="24"/>
        </w:rPr>
        <w:t>marz</w:t>
      </w:r>
      <w:r>
        <w:rPr>
          <w:rFonts w:ascii="Arial" w:hAnsi="Arial" w:cs="Arial"/>
          <w:bCs/>
          <w:sz w:val="24"/>
          <w:szCs w:val="24"/>
        </w:rPr>
        <w:t xml:space="preserve">o </w:t>
      </w:r>
      <w:r w:rsidRPr="0090313C">
        <w:rPr>
          <w:rFonts w:ascii="Arial" w:hAnsi="Arial" w:cs="Arial"/>
          <w:bCs/>
          <w:sz w:val="24"/>
          <w:szCs w:val="24"/>
        </w:rPr>
        <w:t>de dos mil dieci</w:t>
      </w:r>
      <w:r w:rsidR="000D5C40">
        <w:rPr>
          <w:rFonts w:ascii="Arial" w:hAnsi="Arial" w:cs="Arial"/>
          <w:bCs/>
          <w:sz w:val="24"/>
          <w:szCs w:val="24"/>
        </w:rPr>
        <w:t>ocho (2018</w:t>
      </w:r>
      <w:r w:rsidRPr="0090313C">
        <w:rPr>
          <w:rFonts w:ascii="Arial" w:hAnsi="Arial" w:cs="Arial"/>
          <w:bCs/>
          <w:sz w:val="24"/>
          <w:szCs w:val="24"/>
        </w:rPr>
        <w:t>)</w:t>
      </w:r>
    </w:p>
    <w:p w:rsidR="00E75165" w:rsidRPr="00984F63" w:rsidRDefault="00451C90" w:rsidP="00451C90">
      <w:pPr>
        <w:spacing w:line="360" w:lineRule="auto"/>
        <w:jc w:val="center"/>
        <w:rPr>
          <w:rFonts w:ascii="Arial" w:hAnsi="Arial" w:cs="Arial"/>
          <w:sz w:val="24"/>
          <w:szCs w:val="24"/>
        </w:rPr>
      </w:pPr>
      <w:r>
        <w:rPr>
          <w:rFonts w:ascii="Arial" w:hAnsi="Arial" w:cs="Arial"/>
          <w:sz w:val="24"/>
          <w:szCs w:val="24"/>
        </w:rPr>
        <w:t xml:space="preserve">Acta N° </w:t>
      </w:r>
      <w:r w:rsidR="009A586C">
        <w:rPr>
          <w:rFonts w:ascii="Arial" w:hAnsi="Arial" w:cs="Arial"/>
          <w:sz w:val="24"/>
          <w:szCs w:val="24"/>
        </w:rPr>
        <w:t>067</w:t>
      </w:r>
      <w:r>
        <w:rPr>
          <w:rFonts w:ascii="Arial" w:hAnsi="Arial" w:cs="Arial"/>
          <w:sz w:val="24"/>
          <w:szCs w:val="24"/>
        </w:rPr>
        <w:t xml:space="preserve"> de 0</w:t>
      </w:r>
      <w:r w:rsidR="000D5C40">
        <w:rPr>
          <w:rFonts w:ascii="Arial" w:hAnsi="Arial" w:cs="Arial"/>
          <w:sz w:val="24"/>
          <w:szCs w:val="24"/>
        </w:rPr>
        <w:t>9</w:t>
      </w:r>
      <w:r>
        <w:rPr>
          <w:rFonts w:ascii="Arial" w:hAnsi="Arial" w:cs="Arial"/>
          <w:sz w:val="24"/>
          <w:szCs w:val="24"/>
        </w:rPr>
        <w:t>-0</w:t>
      </w:r>
      <w:r w:rsidR="000D5C40">
        <w:rPr>
          <w:rFonts w:ascii="Arial" w:hAnsi="Arial" w:cs="Arial"/>
          <w:sz w:val="24"/>
          <w:szCs w:val="24"/>
        </w:rPr>
        <w:t>3</w:t>
      </w:r>
      <w:r>
        <w:rPr>
          <w:rFonts w:ascii="Arial" w:hAnsi="Arial" w:cs="Arial"/>
          <w:sz w:val="24"/>
          <w:szCs w:val="24"/>
        </w:rPr>
        <w:t>-201</w:t>
      </w:r>
      <w:r w:rsidR="000D5C40">
        <w:rPr>
          <w:rFonts w:ascii="Arial" w:hAnsi="Arial" w:cs="Arial"/>
          <w:sz w:val="24"/>
          <w:szCs w:val="24"/>
        </w:rPr>
        <w:t>8</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0D5C40">
        <w:rPr>
          <w:rFonts w:ascii="Arial" w:hAnsi="Arial" w:cs="Arial"/>
          <w:b/>
          <w:sz w:val="24"/>
          <w:szCs w:val="24"/>
        </w:rPr>
        <w:t>201</w:t>
      </w:r>
      <w:r w:rsidR="000D5C40" w:rsidRPr="000D5C40">
        <w:rPr>
          <w:rFonts w:ascii="Arial" w:hAnsi="Arial" w:cs="Arial"/>
          <w:b/>
          <w:sz w:val="24"/>
          <w:szCs w:val="24"/>
        </w:rPr>
        <w:t>8</w:t>
      </w:r>
      <w:r w:rsidR="00E75165" w:rsidRPr="000D5C40">
        <w:rPr>
          <w:rFonts w:ascii="Arial" w:hAnsi="Arial" w:cs="Arial"/>
          <w:b/>
          <w:sz w:val="24"/>
          <w:szCs w:val="24"/>
        </w:rPr>
        <w:t>-0</w:t>
      </w:r>
      <w:r w:rsidR="000D5C40" w:rsidRPr="000D5C40">
        <w:rPr>
          <w:rFonts w:ascii="Arial" w:hAnsi="Arial" w:cs="Arial"/>
          <w:b/>
          <w:sz w:val="24"/>
          <w:szCs w:val="24"/>
        </w:rPr>
        <w:t>0</w:t>
      </w:r>
      <w:r w:rsidR="00E75165" w:rsidRPr="000D5C40">
        <w:rPr>
          <w:rFonts w:ascii="Arial" w:hAnsi="Arial" w:cs="Arial"/>
          <w:b/>
          <w:sz w:val="24"/>
          <w:szCs w:val="24"/>
        </w:rPr>
        <w:t>0</w:t>
      </w:r>
      <w:r w:rsidR="000D5C40" w:rsidRPr="000D5C40">
        <w:rPr>
          <w:rFonts w:ascii="Arial" w:hAnsi="Arial" w:cs="Arial"/>
          <w:b/>
          <w:sz w:val="24"/>
          <w:szCs w:val="24"/>
        </w:rPr>
        <w:t>49</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F90163">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F9016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sidR="00EB169F">
        <w:rPr>
          <w:rFonts w:ascii="Arial" w:hAnsi="Arial" w:cs="Arial"/>
          <w:szCs w:val="28"/>
          <w:lang w:val="es-ES" w:eastAsia="es-ES"/>
        </w:rPr>
        <w:t>,</w:t>
      </w:r>
      <w:r w:rsidR="00F90163">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F90163">
        <w:rPr>
          <w:rFonts w:ascii="Arial" w:hAnsi="Arial" w:cs="Arial"/>
          <w:sz w:val="26"/>
          <w:szCs w:val="26"/>
          <w:lang w:val="es-ES" w:eastAsia="es-ES"/>
        </w:rPr>
        <w:t xml:space="preserve"> </w:t>
      </w:r>
      <w:r w:rsidRPr="002C32B0">
        <w:rPr>
          <w:rFonts w:ascii="Arial" w:hAnsi="Arial" w:cs="Arial"/>
          <w:sz w:val="26"/>
          <w:szCs w:val="26"/>
          <w:lang w:val="es-ES" w:eastAsia="es-ES"/>
        </w:rPr>
        <w:t>la</w:t>
      </w:r>
      <w:r w:rsidR="00F901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sidR="00F90163">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E LA NACIÓN</w:t>
      </w:r>
      <w:r w:rsidR="007200DF">
        <w:rPr>
          <w:rFonts w:ascii="Arial" w:hAnsi="Arial" w:cs="Arial"/>
          <w:szCs w:val="28"/>
          <w:lang w:val="es-ES" w:eastAsia="es-ES"/>
        </w:rPr>
        <w:t>,</w:t>
      </w:r>
      <w:r w:rsidR="0088040E">
        <w:rPr>
          <w:rFonts w:ascii="Arial" w:hAnsi="Arial" w:cs="Arial"/>
          <w:sz w:val="26"/>
          <w:szCs w:val="26"/>
          <w:lang w:val="es-ES" w:eastAsia="es-ES"/>
        </w:rPr>
        <w:t xml:space="preserve"> 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lastRenderedPageBreak/>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sidR="008F578F">
        <w:rPr>
          <w:rFonts w:ascii="Arial" w:hAnsi="Arial" w:cs="Arial"/>
          <w:sz w:val="26"/>
          <w:szCs w:val="26"/>
          <w:lang w:val="es-ES" w:eastAsia="es-ES"/>
        </w:rPr>
        <w:t xml:space="preserve">, la </w:t>
      </w:r>
      <w:r w:rsidR="008F578F" w:rsidRPr="008F578F">
        <w:rPr>
          <w:rFonts w:ascii="Arial" w:hAnsi="Arial" w:cs="Arial"/>
          <w:szCs w:val="26"/>
          <w:lang w:val="es-ES" w:eastAsia="es-ES"/>
        </w:rPr>
        <w:t>A</w:t>
      </w:r>
      <w:r w:rsidR="003969B4">
        <w:rPr>
          <w:rFonts w:ascii="Arial" w:hAnsi="Arial" w:cs="Arial"/>
          <w:szCs w:val="26"/>
          <w:lang w:val="es-ES" w:eastAsia="es-ES"/>
        </w:rPr>
        <w:t>LCALDÍA</w:t>
      </w:r>
      <w:r w:rsidR="008F578F">
        <w:rPr>
          <w:rFonts w:ascii="Arial" w:hAnsi="Arial" w:cs="Arial"/>
          <w:sz w:val="26"/>
          <w:szCs w:val="26"/>
          <w:lang w:val="es-ES" w:eastAsia="es-ES"/>
        </w:rPr>
        <w:t xml:space="preserve"> y la </w:t>
      </w:r>
      <w:r w:rsidR="008F578F" w:rsidRPr="008F578F">
        <w:rPr>
          <w:rFonts w:ascii="Arial" w:hAnsi="Arial" w:cs="Arial"/>
          <w:szCs w:val="26"/>
          <w:lang w:val="es-ES" w:eastAsia="es-ES"/>
        </w:rPr>
        <w:t xml:space="preserve">PERSONERÍA MUNICIPAL </w:t>
      </w:r>
      <w:r w:rsidR="008F578F">
        <w:rPr>
          <w:rFonts w:ascii="Arial" w:hAnsi="Arial" w:cs="Arial"/>
          <w:sz w:val="26"/>
          <w:szCs w:val="26"/>
          <w:lang w:val="es-ES" w:eastAsia="es-ES"/>
        </w:rPr>
        <w:t xml:space="preserve">de </w:t>
      </w:r>
      <w:r w:rsidR="00045C6A" w:rsidRPr="00045C6A">
        <w:rPr>
          <w:rFonts w:ascii="Arial" w:hAnsi="Arial" w:cs="Arial"/>
          <w:szCs w:val="26"/>
          <w:lang w:val="es-ES" w:eastAsia="es-ES"/>
        </w:rPr>
        <w:t>SANTANDER DE QUILICHAO, CAUCA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67654">
        <w:rPr>
          <w:rFonts w:ascii="Arial" w:hAnsi="Arial" w:cs="Arial"/>
          <w:sz w:val="26"/>
          <w:szCs w:val="26"/>
        </w:rPr>
        <w:t>Considera</w:t>
      </w:r>
      <w:r w:rsidR="003F159F">
        <w:rPr>
          <w:rFonts w:ascii="Arial" w:hAnsi="Arial" w:cs="Arial"/>
          <w:sz w:val="26"/>
          <w:szCs w:val="26"/>
        </w:rPr>
        <w:t xml:space="preserve">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167654" w:rsidRPr="00852319">
        <w:rPr>
          <w:rFonts w:ascii="Arial" w:hAnsi="Arial" w:cs="Arial"/>
          <w:sz w:val="26"/>
          <w:szCs w:val="26"/>
        </w:rPr>
        <w:t>el juzgado accionado</w:t>
      </w:r>
      <w:r w:rsidR="00167654" w:rsidRPr="007646B9">
        <w:rPr>
          <w:rFonts w:ascii="Arial" w:hAnsi="Arial" w:cs="Arial"/>
          <w:sz w:val="26"/>
          <w:szCs w:val="26"/>
        </w:rPr>
        <w:t xml:space="preserve"> </w:t>
      </w:r>
      <w:r w:rsidR="003F159F" w:rsidRPr="007646B9">
        <w:rPr>
          <w:rFonts w:ascii="Arial" w:hAnsi="Arial" w:cs="Arial"/>
          <w:sz w:val="26"/>
          <w:szCs w:val="26"/>
        </w:rPr>
        <w:t xml:space="preserve">vulnera sus </w:t>
      </w:r>
      <w:r w:rsidR="00190D85">
        <w:rPr>
          <w:rFonts w:ascii="Arial" w:hAnsi="Arial" w:cs="Arial"/>
          <w:sz w:val="26"/>
          <w:szCs w:val="26"/>
        </w:rPr>
        <w:t xml:space="preserve">“garantías procesales” y </w:t>
      </w:r>
      <w:r w:rsidR="003F159F" w:rsidRPr="007646B9">
        <w:rPr>
          <w:rFonts w:ascii="Arial" w:hAnsi="Arial" w:cs="Arial"/>
          <w:sz w:val="26"/>
          <w:szCs w:val="26"/>
        </w:rPr>
        <w:t>derechos fundamentales a</w:t>
      </w:r>
      <w:r w:rsidR="00722B7D">
        <w:rPr>
          <w:rFonts w:ascii="Arial" w:hAnsi="Arial" w:cs="Arial"/>
          <w:sz w:val="26"/>
          <w:szCs w:val="26"/>
        </w:rPr>
        <w:t>l debido proceso,</w:t>
      </w:r>
      <w:r w:rsidR="003F159F" w:rsidRPr="007646B9">
        <w:rPr>
          <w:rFonts w:ascii="Arial" w:hAnsi="Arial" w:cs="Arial"/>
          <w:sz w:val="26"/>
          <w:szCs w:val="26"/>
        </w:rPr>
        <w:t xml:space="preserve"> igualdad</w:t>
      </w:r>
      <w:r w:rsidR="00190D85">
        <w:rPr>
          <w:rFonts w:ascii="Arial" w:hAnsi="Arial" w:cs="Arial"/>
          <w:sz w:val="26"/>
          <w:szCs w:val="26"/>
        </w:rPr>
        <w:t xml:space="preserve"> y 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F90163">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w:t>
      </w:r>
      <w:r w:rsidR="00F90163">
        <w:rPr>
          <w:rFonts w:ascii="Arial" w:hAnsi="Arial" w:cs="Arial"/>
          <w:sz w:val="24"/>
          <w:szCs w:val="26"/>
        </w:rPr>
        <w:t>0</w:t>
      </w:r>
      <w:r w:rsidR="00190D85">
        <w:rPr>
          <w:rFonts w:ascii="Arial" w:hAnsi="Arial" w:cs="Arial"/>
          <w:b/>
          <w:sz w:val="24"/>
          <w:szCs w:val="26"/>
        </w:rPr>
        <w:t>318</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722B7D" w:rsidRPr="00413A6D" w:rsidRDefault="00E75165" w:rsidP="00722B7D">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722B7D" w:rsidRPr="000905F6">
        <w:rPr>
          <w:rFonts w:ascii="Arial" w:hAnsi="Arial" w:cs="Arial"/>
          <w:sz w:val="26"/>
          <w:szCs w:val="26"/>
        </w:rPr>
        <w:t>Adujo</w:t>
      </w:r>
      <w:r w:rsidR="00722B7D">
        <w:rPr>
          <w:rFonts w:ascii="Arial" w:hAnsi="Arial" w:cs="Arial"/>
          <w:sz w:val="26"/>
          <w:szCs w:val="26"/>
        </w:rPr>
        <w:t xml:space="preserve"> que actúa en la referida acción popular, en la cual no se profirió sentencia en el término que establece el artículo 121 del CGP</w:t>
      </w:r>
      <w:r w:rsidR="00722B7D" w:rsidRPr="00413A6D">
        <w:rPr>
          <w:rFonts w:ascii="Arial" w:hAnsi="Arial" w:cs="Arial"/>
          <w:sz w:val="26"/>
          <w:szCs w:val="26"/>
        </w:rPr>
        <w:t>.</w:t>
      </w:r>
    </w:p>
    <w:p w:rsidR="00722B7D" w:rsidRPr="00413A6D" w:rsidRDefault="00722B7D" w:rsidP="00722B7D">
      <w:pPr>
        <w:pStyle w:val="Sinespaciado1"/>
        <w:spacing w:line="360" w:lineRule="auto"/>
        <w:ind w:firstLine="2835"/>
        <w:jc w:val="both"/>
        <w:rPr>
          <w:rFonts w:ascii="Arial" w:hAnsi="Arial" w:cs="Arial"/>
          <w:sz w:val="16"/>
          <w:szCs w:val="26"/>
        </w:rPr>
      </w:pPr>
    </w:p>
    <w:p w:rsidR="00E75165" w:rsidRDefault="00722B7D" w:rsidP="00722B7D">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3. </w:t>
      </w:r>
      <w:r>
        <w:rPr>
          <w:rFonts w:ascii="Arial" w:hAnsi="Arial" w:cs="Arial"/>
          <w:sz w:val="26"/>
          <w:szCs w:val="26"/>
        </w:rPr>
        <w:t>Con fundamento en lo relatado, solicita se ordene aplicar artículo 121 del CGP de oficio y se valore el auto de la Sala Civil Familia del Tribunal Superior de Manizales que aportó; subsidiariamente, de no amparase su acción, pide “</w:t>
      </w:r>
      <w:r w:rsidRPr="00204912">
        <w:rPr>
          <w:rFonts w:ascii="Arial" w:hAnsi="Arial" w:cs="Arial"/>
          <w:i/>
          <w:sz w:val="26"/>
          <w:szCs w:val="26"/>
        </w:rPr>
        <w:t>que la sala plena profiera sentencia de unificación sobre si aplica art 121 CGP o No y si se puede aplicar art del CGP de desistimiento tacito (sic) en una Acción popular...</w:t>
      </w:r>
      <w:r>
        <w:rPr>
          <w:rFonts w:ascii="Arial" w:hAnsi="Arial" w:cs="Arial"/>
          <w:sz w:val="26"/>
          <w:szCs w:val="26"/>
        </w:rPr>
        <w:t>”. Así mismo, que se le brinde copia completa en físico de todo lo actuado para que obre en</w:t>
      </w:r>
      <w:r w:rsidR="0011037A">
        <w:rPr>
          <w:rFonts w:ascii="Arial" w:hAnsi="Arial" w:cs="Arial"/>
          <w:sz w:val="26"/>
          <w:szCs w:val="26"/>
        </w:rPr>
        <w:t xml:space="preserve"> acción </w:t>
      </w:r>
      <w:r>
        <w:rPr>
          <w:rFonts w:ascii="Arial" w:hAnsi="Arial" w:cs="Arial"/>
          <w:sz w:val="26"/>
          <w:szCs w:val="26"/>
        </w:rPr>
        <w:t>de reparación directa</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9016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F90163">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5B7B3F">
        <w:rPr>
          <w:rFonts w:ascii="Arial" w:hAnsi="Arial" w:cs="Arial"/>
          <w:sz w:val="26"/>
          <w:szCs w:val="26"/>
          <w:lang w:val="es-ES"/>
        </w:rPr>
        <w:t xml:space="preserve"> Posteriormente se vinculó a </w:t>
      </w:r>
      <w:r w:rsidR="00B602A7">
        <w:rPr>
          <w:rFonts w:ascii="Arial" w:hAnsi="Arial" w:cs="Arial"/>
          <w:sz w:val="26"/>
          <w:szCs w:val="26"/>
          <w:lang w:val="es-ES" w:eastAsia="es-ES"/>
        </w:rPr>
        <w:t xml:space="preserve">la </w:t>
      </w:r>
      <w:r w:rsidR="00B602A7" w:rsidRPr="008F578F">
        <w:rPr>
          <w:rFonts w:ascii="Arial" w:hAnsi="Arial" w:cs="Arial"/>
          <w:szCs w:val="26"/>
          <w:lang w:val="es-ES" w:eastAsia="es-ES"/>
        </w:rPr>
        <w:t>A</w:t>
      </w:r>
      <w:r w:rsidR="00B602A7">
        <w:rPr>
          <w:rFonts w:ascii="Arial" w:hAnsi="Arial" w:cs="Arial"/>
          <w:szCs w:val="26"/>
          <w:lang w:val="es-ES" w:eastAsia="es-ES"/>
        </w:rPr>
        <w:t>LCALDÍA</w:t>
      </w:r>
      <w:r w:rsidR="00B602A7">
        <w:rPr>
          <w:rFonts w:ascii="Arial" w:hAnsi="Arial" w:cs="Arial"/>
          <w:sz w:val="26"/>
          <w:szCs w:val="26"/>
          <w:lang w:val="es-ES" w:eastAsia="es-ES"/>
        </w:rPr>
        <w:t xml:space="preserve"> y la </w:t>
      </w:r>
      <w:r w:rsidR="00B602A7" w:rsidRPr="008F578F">
        <w:rPr>
          <w:rFonts w:ascii="Arial" w:hAnsi="Arial" w:cs="Arial"/>
          <w:szCs w:val="26"/>
          <w:lang w:val="es-ES" w:eastAsia="es-ES"/>
        </w:rPr>
        <w:t xml:space="preserve">PERSONERÍA MUNICIPAL </w:t>
      </w:r>
      <w:r w:rsidR="00B602A7">
        <w:rPr>
          <w:rFonts w:ascii="Arial" w:hAnsi="Arial" w:cs="Arial"/>
          <w:sz w:val="26"/>
          <w:szCs w:val="26"/>
          <w:lang w:val="es-ES" w:eastAsia="es-ES"/>
        </w:rPr>
        <w:t xml:space="preserve">de </w:t>
      </w:r>
      <w:r w:rsidR="00B602A7" w:rsidRPr="00045C6A">
        <w:rPr>
          <w:rFonts w:ascii="Arial" w:hAnsi="Arial" w:cs="Arial"/>
          <w:szCs w:val="26"/>
          <w:lang w:val="es-ES" w:eastAsia="es-ES"/>
        </w:rPr>
        <w:t>SANTANDER DE QUILICHAO, CAUCA</w:t>
      </w:r>
      <w:r w:rsidR="005B7B3F">
        <w:rPr>
          <w:rFonts w:ascii="Arial" w:hAnsi="Arial" w:cs="Arial"/>
          <w:sz w:val="26"/>
          <w:szCs w:val="26"/>
          <w:lang w:val="es-ES" w:eastAsia="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E4099C" w:rsidRPr="00D370CE">
        <w:rPr>
          <w:rFonts w:ascii="Arial" w:hAnsi="Arial" w:cs="Arial"/>
          <w:szCs w:val="26"/>
          <w:lang w:val="es-ES"/>
        </w:rPr>
        <w:t>ARIAS IDÁRRAGA</w:t>
      </w:r>
      <w:r w:rsidR="00764E35">
        <w:rPr>
          <w:rFonts w:ascii="Arial" w:hAnsi="Arial" w:cs="Arial"/>
          <w:sz w:val="26"/>
          <w:szCs w:val="26"/>
          <w:lang w:val="es-ES"/>
        </w:rPr>
        <w:t xml:space="preserve"> es ajena a es</w:t>
      </w:r>
      <w:r w:rsidR="00E4099C">
        <w:rPr>
          <w:rFonts w:ascii="Arial" w:hAnsi="Arial" w:cs="Arial"/>
          <w:sz w:val="26"/>
          <w:szCs w:val="26"/>
          <w:lang w:val="es-ES"/>
        </w:rPr>
        <w:t xml:space="preserve">a </w:t>
      </w:r>
      <w:r w:rsidR="00E4099C">
        <w:rPr>
          <w:rFonts w:ascii="Arial" w:hAnsi="Arial" w:cs="Arial"/>
          <w:sz w:val="26"/>
          <w:szCs w:val="26"/>
          <w:lang w:val="es-ES"/>
        </w:rPr>
        <w:lastRenderedPageBreak/>
        <w:t>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7478C9">
        <w:rPr>
          <w:rFonts w:ascii="Arial" w:hAnsi="Arial" w:cs="Arial"/>
          <w:sz w:val="24"/>
          <w:szCs w:val="24"/>
          <w:lang w:val="es-ES"/>
        </w:rPr>
        <w:t xml:space="preserve">fl. </w:t>
      </w:r>
      <w:r w:rsidR="00764E35">
        <w:rPr>
          <w:rFonts w:ascii="Arial" w:hAnsi="Arial" w:cs="Arial"/>
          <w:sz w:val="24"/>
          <w:szCs w:val="24"/>
          <w:lang w:val="es-ES"/>
        </w:rPr>
        <w:t>10</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Por su parte, l</w:t>
      </w:r>
      <w:r w:rsidR="00C60E35">
        <w:rPr>
          <w:rFonts w:ascii="Arial" w:hAnsi="Arial" w:cs="Arial"/>
          <w:sz w:val="26"/>
          <w:szCs w:val="26"/>
          <w:lang w:val="es-ES"/>
        </w:rPr>
        <w:t>a</w:t>
      </w:r>
      <w:r w:rsidR="00F90163">
        <w:rPr>
          <w:rFonts w:ascii="Arial" w:hAnsi="Arial" w:cs="Arial"/>
          <w:sz w:val="26"/>
          <w:szCs w:val="26"/>
          <w:lang w:val="es-ES"/>
        </w:rPr>
        <w:t xml:space="preserve"> </w:t>
      </w:r>
      <w:r w:rsidRPr="00AF5C8C">
        <w:rPr>
          <w:rFonts w:ascii="Arial" w:hAnsi="Arial" w:cs="Arial"/>
          <w:sz w:val="26"/>
          <w:szCs w:val="26"/>
          <w:lang w:val="es-ES"/>
        </w:rPr>
        <w:t>Ju</w:t>
      </w:r>
      <w:r w:rsidR="00E652F4">
        <w:rPr>
          <w:rFonts w:ascii="Arial" w:hAnsi="Arial" w:cs="Arial"/>
          <w:sz w:val="26"/>
          <w:szCs w:val="26"/>
          <w:lang w:val="es-ES"/>
        </w:rPr>
        <w:t>e</w:t>
      </w:r>
      <w:r w:rsidRPr="00AF5C8C">
        <w:rPr>
          <w:rFonts w:ascii="Arial" w:hAnsi="Arial" w:cs="Arial"/>
          <w:sz w:val="26"/>
          <w:szCs w:val="26"/>
          <w:lang w:val="es-ES"/>
        </w:rPr>
        <w:t>z</w:t>
      </w:r>
      <w:r w:rsidR="00C60E35">
        <w:rPr>
          <w:rFonts w:ascii="Arial" w:hAnsi="Arial" w:cs="Arial"/>
          <w:sz w:val="26"/>
          <w:szCs w:val="26"/>
          <w:lang w:val="es-ES"/>
        </w:rPr>
        <w:t>a</w:t>
      </w:r>
      <w:r w:rsidR="00E652F4">
        <w:rPr>
          <w:rFonts w:ascii="Arial" w:hAnsi="Arial" w:cs="Arial"/>
          <w:sz w:val="26"/>
          <w:szCs w:val="26"/>
          <w:lang w:val="es-ES"/>
        </w:rPr>
        <w:t xml:space="preserve"> Promiscuo del Circuito de La Virginia,</w:t>
      </w:r>
      <w:r w:rsidR="00C60E35">
        <w:rPr>
          <w:rFonts w:ascii="Arial" w:hAnsi="Arial" w:cs="Arial"/>
          <w:sz w:val="26"/>
          <w:szCs w:val="26"/>
          <w:lang w:val="es-ES"/>
        </w:rPr>
        <w:t xml:space="preserve"> </w:t>
      </w:r>
      <w:r w:rsidR="005B7B3F">
        <w:rPr>
          <w:rFonts w:ascii="Arial" w:hAnsi="Arial" w:cs="Arial"/>
          <w:sz w:val="26"/>
          <w:szCs w:val="26"/>
          <w:lang w:val="es-ES"/>
        </w:rPr>
        <w:t>h</w:t>
      </w:r>
      <w:r w:rsidR="00AB7BF0">
        <w:rPr>
          <w:rFonts w:ascii="Arial" w:hAnsi="Arial" w:cs="Arial"/>
          <w:sz w:val="26"/>
          <w:szCs w:val="26"/>
          <w:lang w:val="es-ES"/>
        </w:rPr>
        <w:t xml:space="preserve">izo un </w:t>
      </w:r>
      <w:r w:rsidR="00766293">
        <w:rPr>
          <w:rFonts w:ascii="Arial" w:hAnsi="Arial" w:cs="Arial"/>
          <w:sz w:val="26"/>
          <w:szCs w:val="26"/>
          <w:lang w:val="es-ES"/>
        </w:rPr>
        <w:t>recuento de lo</w:t>
      </w:r>
      <w:r w:rsidR="00AB7BF0">
        <w:rPr>
          <w:rFonts w:ascii="Arial" w:hAnsi="Arial" w:cs="Arial"/>
          <w:sz w:val="26"/>
          <w:szCs w:val="26"/>
          <w:lang w:val="es-ES"/>
        </w:rPr>
        <w:t xml:space="preserve"> actua</w:t>
      </w:r>
      <w:r w:rsidR="00766293">
        <w:rPr>
          <w:rFonts w:ascii="Arial" w:hAnsi="Arial" w:cs="Arial"/>
          <w:sz w:val="26"/>
          <w:szCs w:val="26"/>
          <w:lang w:val="es-ES"/>
        </w:rPr>
        <w:t>do</w:t>
      </w:r>
      <w:r w:rsidR="00A13EFD">
        <w:rPr>
          <w:rFonts w:ascii="Arial" w:hAnsi="Arial" w:cs="Arial"/>
          <w:sz w:val="26"/>
          <w:szCs w:val="26"/>
          <w:lang w:val="es-ES"/>
        </w:rPr>
        <w:t xml:space="preserve"> en el trámite de la acción popular</w:t>
      </w:r>
      <w:r w:rsidR="00F87F79">
        <w:rPr>
          <w:rFonts w:ascii="Arial" w:hAnsi="Arial" w:cs="Arial"/>
          <w:sz w:val="26"/>
          <w:szCs w:val="26"/>
          <w:lang w:val="es-ES"/>
        </w:rPr>
        <w:t>.</w:t>
      </w:r>
      <w:r w:rsidR="00AB7BF0">
        <w:rPr>
          <w:rFonts w:ascii="Arial" w:hAnsi="Arial" w:cs="Arial"/>
          <w:sz w:val="26"/>
          <w:szCs w:val="26"/>
          <w:lang w:val="es-ES"/>
        </w:rPr>
        <w:t xml:space="preserve"> </w:t>
      </w:r>
      <w:r w:rsidR="00F87F79">
        <w:rPr>
          <w:rFonts w:ascii="Arial" w:hAnsi="Arial" w:cs="Arial"/>
          <w:sz w:val="26"/>
          <w:szCs w:val="26"/>
          <w:lang w:val="es-ES"/>
        </w:rPr>
        <w:t>S</w:t>
      </w:r>
      <w:r w:rsidR="00ED54EE">
        <w:rPr>
          <w:rFonts w:ascii="Arial" w:hAnsi="Arial" w:cs="Arial"/>
          <w:sz w:val="26"/>
          <w:szCs w:val="26"/>
          <w:lang w:val="es-ES"/>
        </w:rPr>
        <w:t>e opuso a las pretensiones de la tutela</w:t>
      </w:r>
      <w:r w:rsidR="00DA722A">
        <w:rPr>
          <w:rFonts w:ascii="Arial" w:hAnsi="Arial" w:cs="Arial"/>
          <w:sz w:val="26"/>
          <w:szCs w:val="26"/>
          <w:lang w:val="es-ES"/>
        </w:rPr>
        <w:t xml:space="preserve">, </w:t>
      </w:r>
      <w:r w:rsidR="00A13EFD">
        <w:rPr>
          <w:rFonts w:ascii="Arial" w:hAnsi="Arial" w:cs="Arial"/>
          <w:sz w:val="26"/>
          <w:szCs w:val="26"/>
          <w:lang w:val="es-ES"/>
        </w:rPr>
        <w:t>por ser infundada y no existir vulneración de derecho fundamental alguno</w:t>
      </w:r>
      <w:r w:rsidR="00ED54EE">
        <w:rPr>
          <w:rFonts w:ascii="Arial" w:hAnsi="Arial" w:cs="Arial"/>
          <w:sz w:val="26"/>
          <w:szCs w:val="26"/>
          <w:lang w:val="es-ES"/>
        </w:rPr>
        <w:t xml:space="preserve">. </w:t>
      </w:r>
      <w:r>
        <w:rPr>
          <w:rFonts w:ascii="Arial" w:hAnsi="Arial" w:cs="Arial"/>
          <w:sz w:val="26"/>
          <w:szCs w:val="26"/>
          <w:lang w:val="es-ES"/>
        </w:rPr>
        <w:t>(fl</w:t>
      </w:r>
      <w:r w:rsidR="007478C9">
        <w:rPr>
          <w:rFonts w:ascii="Arial" w:hAnsi="Arial" w:cs="Arial"/>
          <w:sz w:val="26"/>
          <w:szCs w:val="26"/>
          <w:lang w:val="es-ES"/>
        </w:rPr>
        <w:t xml:space="preserve">. </w:t>
      </w:r>
      <w:r w:rsidR="00764E35">
        <w:rPr>
          <w:rFonts w:ascii="Arial" w:hAnsi="Arial" w:cs="Arial"/>
          <w:sz w:val="26"/>
          <w:szCs w:val="26"/>
          <w:lang w:val="es-ES"/>
        </w:rPr>
        <w:t>13</w:t>
      </w:r>
      <w:r w:rsidRPr="00AF5C8C">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E75165" w:rsidRPr="000905F6" w:rsidRDefault="00FF437B"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4.3. </w:t>
      </w:r>
      <w:r w:rsidR="00E652F4">
        <w:rPr>
          <w:rFonts w:ascii="Arial" w:hAnsi="Arial" w:cs="Arial"/>
          <w:sz w:val="26"/>
          <w:szCs w:val="26"/>
          <w:lang w:val="es-ES"/>
        </w:rPr>
        <w:t>Los demás vinculados guardaron</w:t>
      </w:r>
      <w:r w:rsidR="00E75165" w:rsidRPr="000905F6">
        <w:rPr>
          <w:rFonts w:ascii="Arial" w:hAnsi="Arial" w:cs="Arial"/>
          <w:sz w:val="26"/>
          <w:szCs w:val="26"/>
          <w:lang w:val="es-ES"/>
        </w:rPr>
        <w:t xml:space="preserve"> silencio.</w:t>
      </w:r>
    </w:p>
    <w:p w:rsidR="00BB1694" w:rsidRPr="00AB7BF0" w:rsidRDefault="00BB1694" w:rsidP="00E75165">
      <w:pPr>
        <w:pStyle w:val="Sinespaciado1"/>
        <w:spacing w:line="360" w:lineRule="auto"/>
        <w:ind w:firstLine="2835"/>
        <w:jc w:val="both"/>
        <w:rPr>
          <w:rFonts w:ascii="Arial" w:hAnsi="Arial" w:cs="Arial"/>
          <w:sz w:val="24"/>
          <w:szCs w:val="26"/>
          <w:highlight w:val="cyan"/>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BB1694">
        <w:rPr>
          <w:rFonts w:ascii="Arial" w:hAnsi="Arial" w:cs="Arial"/>
          <w:sz w:val="26"/>
          <w:szCs w:val="26"/>
        </w:rPr>
        <w:t>a</w:t>
      </w:r>
      <w:r>
        <w:rPr>
          <w:rFonts w:ascii="Arial" w:hAnsi="Arial" w:cs="Arial"/>
          <w:sz w:val="26"/>
          <w:szCs w:val="26"/>
        </w:rPr>
        <w:t xml:space="preserve">s </w:t>
      </w:r>
      <w:r w:rsidR="00BB1694">
        <w:rPr>
          <w:rFonts w:ascii="Arial" w:hAnsi="Arial" w:cs="Arial"/>
          <w:sz w:val="26"/>
          <w:szCs w:val="26"/>
        </w:rPr>
        <w:t xml:space="preserve">“garantías procesales” y </w:t>
      </w:r>
      <w:r w:rsidR="00BB1694" w:rsidRPr="007646B9">
        <w:rPr>
          <w:rFonts w:ascii="Arial" w:hAnsi="Arial" w:cs="Arial"/>
          <w:sz w:val="26"/>
          <w:szCs w:val="26"/>
        </w:rPr>
        <w:t xml:space="preserve">derechos fundamentales </w:t>
      </w:r>
      <w:r w:rsidR="00BB1694">
        <w:rPr>
          <w:rFonts w:ascii="Arial" w:hAnsi="Arial" w:cs="Arial"/>
          <w:sz w:val="26"/>
          <w:szCs w:val="26"/>
        </w:rPr>
        <w:t xml:space="preserve">del actor </w:t>
      </w:r>
      <w:r w:rsidR="00BB1694" w:rsidRPr="007646B9">
        <w:rPr>
          <w:rFonts w:ascii="Arial" w:hAnsi="Arial" w:cs="Arial"/>
          <w:sz w:val="26"/>
          <w:szCs w:val="26"/>
        </w:rPr>
        <w:t>a</w:t>
      </w:r>
      <w:r w:rsidR="00764E35">
        <w:rPr>
          <w:rFonts w:ascii="Arial" w:hAnsi="Arial" w:cs="Arial"/>
          <w:sz w:val="26"/>
          <w:szCs w:val="26"/>
        </w:rPr>
        <w:t>l debido proceso,</w:t>
      </w:r>
      <w:r w:rsidR="00BB1694" w:rsidRPr="007646B9">
        <w:rPr>
          <w:rFonts w:ascii="Arial" w:hAnsi="Arial" w:cs="Arial"/>
          <w:sz w:val="26"/>
          <w:szCs w:val="26"/>
        </w:rPr>
        <w:t xml:space="preserve"> igualdad</w:t>
      </w:r>
      <w:r w:rsidR="00BB1694">
        <w:rPr>
          <w:rFonts w:ascii="Arial" w:hAnsi="Arial" w:cs="Arial"/>
          <w:sz w:val="26"/>
          <w:szCs w:val="26"/>
        </w:rPr>
        <w:t xml:space="preserve"> y presunción de la buena fe, dentro del trámite de la acción popular</w:t>
      </w:r>
      <w:r w:rsidR="00BB1694" w:rsidRPr="000905F6">
        <w:rPr>
          <w:rFonts w:ascii="Arial" w:hAnsi="Arial" w:cs="Arial"/>
          <w:sz w:val="26"/>
          <w:szCs w:val="26"/>
        </w:rPr>
        <w:t xml:space="preserve"> radicada</w:t>
      </w:r>
      <w:r w:rsidR="00BB1694">
        <w:rPr>
          <w:rFonts w:ascii="Arial" w:hAnsi="Arial" w:cs="Arial"/>
          <w:sz w:val="26"/>
          <w:szCs w:val="26"/>
        </w:rPr>
        <w:t xml:space="preserve"> </w:t>
      </w:r>
      <w:r w:rsidR="00BB1694" w:rsidRPr="003F159F">
        <w:rPr>
          <w:rFonts w:ascii="Arial" w:hAnsi="Arial" w:cs="Arial"/>
          <w:sz w:val="26"/>
          <w:szCs w:val="26"/>
        </w:rPr>
        <w:t xml:space="preserve">bajo el número </w:t>
      </w:r>
      <w:r w:rsidR="00BB1694" w:rsidRPr="003F159F">
        <w:rPr>
          <w:rFonts w:ascii="Arial" w:hAnsi="Arial" w:cs="Arial"/>
          <w:sz w:val="24"/>
          <w:szCs w:val="26"/>
        </w:rPr>
        <w:t>2015-0</w:t>
      </w:r>
      <w:r w:rsidR="00BB1694">
        <w:rPr>
          <w:rFonts w:ascii="Arial" w:hAnsi="Arial" w:cs="Arial"/>
          <w:sz w:val="24"/>
          <w:szCs w:val="26"/>
        </w:rPr>
        <w:t>0</w:t>
      </w:r>
      <w:r w:rsidR="00BB1694">
        <w:rPr>
          <w:rFonts w:ascii="Arial" w:hAnsi="Arial" w:cs="Arial"/>
          <w:b/>
          <w:sz w:val="24"/>
          <w:szCs w:val="26"/>
        </w:rPr>
        <w:t>318</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onstitucional, al</w:t>
      </w:r>
      <w:r w:rsidR="00201F7B">
        <w:rPr>
          <w:rFonts w:ascii="Arial" w:hAnsi="Arial" w:cs="Arial"/>
          <w:sz w:val="26"/>
          <w:szCs w:val="26"/>
        </w:rPr>
        <w:t xml:space="preserve"> no </w:t>
      </w:r>
      <w:r w:rsidR="00201F7B" w:rsidRPr="00852319">
        <w:rPr>
          <w:rFonts w:ascii="Arial" w:hAnsi="Arial" w:cs="Arial"/>
          <w:sz w:val="26"/>
          <w:szCs w:val="26"/>
        </w:rPr>
        <w:t>dar aplicación al artículo 121 del Código General del Proceso</w:t>
      </w:r>
      <w:r>
        <w:rPr>
          <w:rFonts w:ascii="Arial" w:hAnsi="Arial" w:cs="Arial"/>
          <w:sz w:val="26"/>
          <w:szCs w:val="26"/>
        </w:rPr>
        <w:t xml:space="preserve">.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B1694" w:rsidRDefault="00BB1694"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AA7770" w:rsidRDefault="00AA7770" w:rsidP="00AA7770">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1. Sea lo primero aclarar que no </w:t>
      </w:r>
      <w:r>
        <w:rPr>
          <w:rFonts w:ascii="Arial" w:hAnsi="Arial" w:cs="Arial"/>
          <w:sz w:val="26"/>
          <w:szCs w:val="26"/>
        </w:rPr>
        <w:t xml:space="preserve">se ha configurado temeridad en la presente actuación, </w:t>
      </w:r>
      <w:r w:rsidRPr="00EC772A">
        <w:rPr>
          <w:rFonts w:ascii="Arial" w:hAnsi="Arial" w:cs="Arial"/>
          <w:sz w:val="26"/>
          <w:szCs w:val="26"/>
        </w:rPr>
        <w:t xml:space="preserve">porque si bien </w:t>
      </w:r>
      <w:r>
        <w:rPr>
          <w:rFonts w:ascii="Arial" w:hAnsi="Arial" w:cs="Arial"/>
          <w:sz w:val="26"/>
          <w:szCs w:val="26"/>
        </w:rPr>
        <w:t>e</w:t>
      </w:r>
      <w:r w:rsidRPr="00EC772A">
        <w:rPr>
          <w:rFonts w:ascii="Arial" w:hAnsi="Arial" w:cs="Arial"/>
          <w:sz w:val="26"/>
          <w:szCs w:val="26"/>
        </w:rPr>
        <w:t xml:space="preserve">l accionante, en pretérita oportunidad promovió </w:t>
      </w:r>
      <w:r>
        <w:rPr>
          <w:rFonts w:ascii="Arial" w:hAnsi="Arial" w:cs="Arial"/>
          <w:sz w:val="26"/>
          <w:szCs w:val="26"/>
        </w:rPr>
        <w:t xml:space="preserve">una acción de tutela </w:t>
      </w:r>
      <w:r w:rsidRPr="00EC772A">
        <w:rPr>
          <w:rFonts w:ascii="Arial" w:hAnsi="Arial" w:cs="Arial"/>
          <w:sz w:val="26"/>
          <w:szCs w:val="26"/>
        </w:rPr>
        <w:t xml:space="preserve">contra </w:t>
      </w:r>
      <w:r w:rsidRPr="00C37637">
        <w:rPr>
          <w:rFonts w:ascii="Arial" w:hAnsi="Arial" w:cs="Arial"/>
          <w:sz w:val="26"/>
          <w:szCs w:val="26"/>
        </w:rPr>
        <w:t xml:space="preserve">el Juzgado </w:t>
      </w:r>
      <w:r>
        <w:rPr>
          <w:rFonts w:ascii="Arial" w:hAnsi="Arial" w:cs="Arial"/>
          <w:sz w:val="26"/>
          <w:szCs w:val="26"/>
        </w:rPr>
        <w:t>Promiscuo del Circuito de La Virginia, por</w:t>
      </w:r>
      <w:r w:rsidRPr="00EC772A">
        <w:rPr>
          <w:rFonts w:ascii="Arial" w:hAnsi="Arial" w:cs="Arial"/>
          <w:sz w:val="26"/>
          <w:szCs w:val="26"/>
        </w:rPr>
        <w:t xml:space="preserve"> la misma</w:t>
      </w:r>
      <w:r>
        <w:rPr>
          <w:rFonts w:ascii="Arial" w:hAnsi="Arial" w:cs="Arial"/>
          <w:sz w:val="26"/>
          <w:szCs w:val="26"/>
        </w:rPr>
        <w:t xml:space="preserve"> acción popular radicada 2015</w:t>
      </w:r>
      <w:r w:rsidRPr="00287D17">
        <w:rPr>
          <w:rFonts w:ascii="Arial" w:hAnsi="Arial" w:cs="Arial"/>
          <w:sz w:val="26"/>
          <w:szCs w:val="26"/>
        </w:rPr>
        <w:t>-00</w:t>
      </w:r>
      <w:r>
        <w:rPr>
          <w:rFonts w:ascii="Arial" w:hAnsi="Arial" w:cs="Arial"/>
          <w:sz w:val="26"/>
          <w:szCs w:val="26"/>
        </w:rPr>
        <w:t xml:space="preserve">318 (fls. </w:t>
      </w:r>
      <w:r w:rsidRPr="00A57FA0">
        <w:rPr>
          <w:rFonts w:ascii="Arial" w:hAnsi="Arial" w:cs="Arial"/>
          <w:sz w:val="26"/>
          <w:szCs w:val="26"/>
        </w:rPr>
        <w:t>22-26</w:t>
      </w:r>
      <w:r>
        <w:rPr>
          <w:rFonts w:ascii="Arial" w:hAnsi="Arial" w:cs="Arial"/>
          <w:sz w:val="26"/>
          <w:szCs w:val="26"/>
        </w:rPr>
        <w:t>)</w:t>
      </w:r>
      <w:r w:rsidRPr="00EC772A">
        <w:rPr>
          <w:rFonts w:ascii="Arial" w:hAnsi="Arial" w:cs="Arial"/>
          <w:sz w:val="26"/>
          <w:szCs w:val="26"/>
        </w:rPr>
        <w:t xml:space="preserve">, al confrontarla con la que es objeto de estudio, </w:t>
      </w:r>
      <w:r>
        <w:rPr>
          <w:rFonts w:ascii="Arial" w:hAnsi="Arial" w:cs="Arial"/>
          <w:sz w:val="26"/>
          <w:szCs w:val="26"/>
        </w:rPr>
        <w:t>se concluye</w:t>
      </w:r>
      <w:r w:rsidRPr="00EC772A">
        <w:rPr>
          <w:rFonts w:ascii="Arial" w:hAnsi="Arial" w:cs="Arial"/>
          <w:sz w:val="26"/>
          <w:szCs w:val="26"/>
        </w:rPr>
        <w:t xml:space="preserve"> que </w:t>
      </w:r>
      <w:r>
        <w:rPr>
          <w:rFonts w:ascii="Arial" w:hAnsi="Arial" w:cs="Arial"/>
          <w:sz w:val="26"/>
          <w:szCs w:val="26"/>
        </w:rPr>
        <w:t>no todas la</w:t>
      </w:r>
      <w:r w:rsidRPr="00EC772A">
        <w:rPr>
          <w:rFonts w:ascii="Arial" w:hAnsi="Arial" w:cs="Arial"/>
          <w:sz w:val="26"/>
          <w:szCs w:val="26"/>
        </w:rPr>
        <w:t>s</w:t>
      </w:r>
      <w:r>
        <w:rPr>
          <w:rFonts w:ascii="Arial" w:hAnsi="Arial" w:cs="Arial"/>
          <w:sz w:val="26"/>
          <w:szCs w:val="26"/>
        </w:rPr>
        <w:t xml:space="preserve"> pretensiones son las mismas</w:t>
      </w:r>
      <w:r w:rsidRPr="00EC772A">
        <w:rPr>
          <w:rFonts w:ascii="Arial" w:hAnsi="Arial" w:cs="Arial"/>
          <w:sz w:val="26"/>
          <w:szCs w:val="26"/>
        </w:rPr>
        <w:t xml:space="preserve">, </w:t>
      </w:r>
      <w:r>
        <w:rPr>
          <w:rFonts w:ascii="Arial" w:hAnsi="Arial" w:cs="Arial"/>
          <w:sz w:val="26"/>
          <w:szCs w:val="26"/>
        </w:rPr>
        <w:t>aunado a que</w:t>
      </w:r>
      <w:r w:rsidR="001A46B3">
        <w:rPr>
          <w:rFonts w:ascii="Arial" w:hAnsi="Arial" w:cs="Arial"/>
          <w:sz w:val="26"/>
          <w:szCs w:val="26"/>
        </w:rPr>
        <w:t>,</w:t>
      </w:r>
      <w:r>
        <w:rPr>
          <w:rFonts w:ascii="Arial" w:hAnsi="Arial" w:cs="Arial"/>
          <w:sz w:val="26"/>
          <w:szCs w:val="26"/>
        </w:rPr>
        <w:t xml:space="preserve"> en aquella oportunidad el amparo se declaró improcedente por prematuro, </w:t>
      </w:r>
      <w:r w:rsidRPr="00EC772A">
        <w:rPr>
          <w:rFonts w:ascii="Arial" w:hAnsi="Arial" w:cs="Arial"/>
          <w:sz w:val="26"/>
          <w:szCs w:val="26"/>
        </w:rPr>
        <w:t>suficiente para concluir que no se trata de una actuación amañada o contraria al principio constitucional de buena fe</w:t>
      </w:r>
      <w:r>
        <w:rPr>
          <w:rFonts w:ascii="Arial" w:hAnsi="Arial" w:cs="Arial"/>
          <w:sz w:val="26"/>
          <w:szCs w:val="26"/>
        </w:rPr>
        <w:t>, lo que justifica un pronunciamiento diferente al que ya se emitió por esta corporación</w:t>
      </w:r>
      <w:r>
        <w:rPr>
          <w:rFonts w:ascii="Arial" w:hAnsi="Arial" w:cs="Arial"/>
          <w:spacing w:val="-3"/>
          <w:sz w:val="26"/>
          <w:szCs w:val="26"/>
        </w:rPr>
        <w:t>.</w:t>
      </w:r>
    </w:p>
    <w:p w:rsidR="00AA7770" w:rsidRDefault="00AA7770" w:rsidP="00AA7770">
      <w:pPr>
        <w:pStyle w:val="Sinespaciado1"/>
        <w:spacing w:line="360" w:lineRule="auto"/>
        <w:ind w:firstLine="2835"/>
        <w:jc w:val="both"/>
        <w:rPr>
          <w:rFonts w:ascii="Arial" w:hAnsi="Arial" w:cs="Arial"/>
          <w:spacing w:val="-3"/>
          <w:sz w:val="16"/>
          <w:szCs w:val="16"/>
        </w:rPr>
      </w:pPr>
    </w:p>
    <w:p w:rsidR="00E75165" w:rsidRDefault="00AA7770" w:rsidP="00AA7770">
      <w:pPr>
        <w:pStyle w:val="Sinespaciado1"/>
        <w:spacing w:line="360" w:lineRule="auto"/>
        <w:ind w:firstLine="2832"/>
        <w:jc w:val="both"/>
        <w:rPr>
          <w:rFonts w:ascii="Arial" w:hAnsi="Arial" w:cs="Arial"/>
          <w:sz w:val="26"/>
          <w:szCs w:val="26"/>
        </w:rPr>
      </w:pPr>
      <w:r>
        <w:rPr>
          <w:rFonts w:ascii="Arial" w:hAnsi="Arial" w:cs="Arial"/>
          <w:sz w:val="26"/>
          <w:szCs w:val="26"/>
        </w:rPr>
        <w:t>2</w:t>
      </w:r>
      <w:r w:rsidRPr="00413A6D">
        <w:rPr>
          <w:rFonts w:ascii="Arial" w:hAnsi="Arial" w:cs="Arial"/>
          <w:sz w:val="26"/>
          <w:szCs w:val="26"/>
        </w:rPr>
        <w:t xml:space="preserve">. </w:t>
      </w:r>
      <w:r w:rsidR="00E75165" w:rsidRPr="00F779E5">
        <w:rPr>
          <w:rFonts w:ascii="Arial" w:hAnsi="Arial" w:cs="Arial"/>
          <w:sz w:val="26"/>
          <w:szCs w:val="26"/>
        </w:rPr>
        <w:t>Examinad</w:t>
      </w:r>
      <w:r w:rsidR="00910744">
        <w:rPr>
          <w:rFonts w:ascii="Arial" w:hAnsi="Arial" w:cs="Arial"/>
          <w:sz w:val="26"/>
          <w:szCs w:val="26"/>
        </w:rPr>
        <w:t>as</w:t>
      </w:r>
      <w:r w:rsidR="00312504">
        <w:rPr>
          <w:rFonts w:ascii="Arial" w:hAnsi="Arial" w:cs="Arial"/>
          <w:sz w:val="26"/>
          <w:szCs w:val="26"/>
        </w:rPr>
        <w:t xml:space="preserve"> </w:t>
      </w:r>
      <w:r w:rsidR="00910744">
        <w:rPr>
          <w:rFonts w:ascii="Arial" w:hAnsi="Arial" w:cs="Arial"/>
          <w:sz w:val="26"/>
          <w:szCs w:val="26"/>
        </w:rPr>
        <w:t xml:space="preserve">las copias que </w:t>
      </w:r>
      <w:r w:rsidR="00312504">
        <w:rPr>
          <w:rFonts w:ascii="Arial" w:hAnsi="Arial" w:cs="Arial"/>
          <w:sz w:val="26"/>
          <w:szCs w:val="26"/>
        </w:rPr>
        <w:t>obran</w:t>
      </w:r>
      <w:r w:rsidR="00910744">
        <w:rPr>
          <w:rFonts w:ascii="Arial" w:hAnsi="Arial" w:cs="Arial"/>
          <w:sz w:val="26"/>
          <w:szCs w:val="26"/>
        </w:rPr>
        <w:t xml:space="preserve"> </w:t>
      </w:r>
      <w:r w:rsidR="00312504">
        <w:rPr>
          <w:rFonts w:ascii="Arial" w:hAnsi="Arial" w:cs="Arial"/>
          <w:sz w:val="26"/>
          <w:szCs w:val="26"/>
        </w:rPr>
        <w:t>e</w:t>
      </w:r>
      <w:r w:rsidR="00910744">
        <w:rPr>
          <w:rFonts w:ascii="Arial" w:hAnsi="Arial" w:cs="Arial"/>
          <w:sz w:val="26"/>
          <w:szCs w:val="26"/>
        </w:rPr>
        <w:t xml:space="preserve">n el </w:t>
      </w:r>
      <w:r w:rsidR="00D66BA0">
        <w:rPr>
          <w:rFonts w:ascii="Arial" w:hAnsi="Arial" w:cs="Arial"/>
          <w:sz w:val="26"/>
          <w:szCs w:val="26"/>
        </w:rPr>
        <w:t>disco compacto anexo al folio 1</w:t>
      </w:r>
      <w:r w:rsidR="00764E35">
        <w:rPr>
          <w:rFonts w:ascii="Arial" w:hAnsi="Arial" w:cs="Arial"/>
          <w:sz w:val="26"/>
          <w:szCs w:val="26"/>
        </w:rPr>
        <w:t>2</w:t>
      </w:r>
      <w:r w:rsidR="00E75165">
        <w:rPr>
          <w:rFonts w:ascii="Arial" w:hAnsi="Arial" w:cs="Arial"/>
          <w:sz w:val="26"/>
          <w:szCs w:val="26"/>
        </w:rPr>
        <w:t>,</w:t>
      </w:r>
      <w:r w:rsidR="00E75165"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00E75165" w:rsidRPr="00F779E5">
        <w:rPr>
          <w:rFonts w:ascii="Arial" w:hAnsi="Arial" w:cs="Arial"/>
          <w:sz w:val="26"/>
          <w:szCs w:val="26"/>
        </w:rPr>
        <w:t>l</w:t>
      </w:r>
      <w:r w:rsidR="00910744">
        <w:rPr>
          <w:rFonts w:ascii="Arial" w:hAnsi="Arial" w:cs="Arial"/>
          <w:sz w:val="26"/>
          <w:szCs w:val="26"/>
        </w:rPr>
        <w:t>o</w:t>
      </w:r>
      <w:r w:rsidR="00E75165" w:rsidRPr="00F779E5">
        <w:rPr>
          <w:rFonts w:ascii="Arial" w:hAnsi="Arial" w:cs="Arial"/>
          <w:sz w:val="26"/>
          <w:szCs w:val="26"/>
        </w:rPr>
        <w:t>s siguientes</w:t>
      </w:r>
      <w:r w:rsidR="00AB7BF0">
        <w:rPr>
          <w:rFonts w:ascii="Arial" w:hAnsi="Arial" w:cs="Arial"/>
          <w:sz w:val="26"/>
          <w:szCs w:val="26"/>
        </w:rPr>
        <w:t xml:space="preserve"> </w:t>
      </w:r>
      <w:r w:rsidR="00910744">
        <w:rPr>
          <w:rFonts w:ascii="Arial" w:hAnsi="Arial" w:cs="Arial"/>
          <w:sz w:val="26"/>
          <w:szCs w:val="26"/>
        </w:rPr>
        <w:t>hechos</w:t>
      </w:r>
      <w:r w:rsidR="00E75165"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9A2CA4" w:rsidRDefault="009A2CA4" w:rsidP="009A2CA4">
      <w:pPr>
        <w:pStyle w:val="Sinespaciado1"/>
        <w:spacing w:line="360" w:lineRule="auto"/>
        <w:ind w:firstLine="2832"/>
        <w:jc w:val="both"/>
        <w:rPr>
          <w:rFonts w:ascii="Arial" w:hAnsi="Arial" w:cs="Arial"/>
          <w:sz w:val="24"/>
          <w:szCs w:val="26"/>
        </w:rPr>
      </w:pPr>
      <w:r>
        <w:rPr>
          <w:rFonts w:ascii="Arial" w:hAnsi="Arial" w:cs="Arial"/>
          <w:sz w:val="26"/>
          <w:szCs w:val="26"/>
        </w:rPr>
        <w:t xml:space="preserve">(i) </w:t>
      </w:r>
      <w:r w:rsidRPr="0043529E">
        <w:rPr>
          <w:rFonts w:ascii="Arial" w:hAnsi="Arial" w:cs="Arial"/>
          <w:sz w:val="26"/>
          <w:szCs w:val="26"/>
        </w:rPr>
        <w:t xml:space="preserve">En escrito presentado el </w:t>
      </w:r>
      <w:r w:rsidR="00EC2E44">
        <w:rPr>
          <w:rFonts w:ascii="Arial" w:hAnsi="Arial" w:cs="Arial"/>
          <w:sz w:val="26"/>
          <w:szCs w:val="26"/>
        </w:rPr>
        <w:t>2</w:t>
      </w:r>
      <w:r w:rsidR="003B06FA">
        <w:rPr>
          <w:rFonts w:ascii="Arial" w:hAnsi="Arial" w:cs="Arial"/>
          <w:sz w:val="26"/>
          <w:szCs w:val="26"/>
        </w:rPr>
        <w:t>8</w:t>
      </w:r>
      <w:r w:rsidR="00EC2E44">
        <w:rPr>
          <w:rFonts w:ascii="Arial" w:hAnsi="Arial" w:cs="Arial"/>
          <w:sz w:val="26"/>
          <w:szCs w:val="26"/>
        </w:rPr>
        <w:t xml:space="preserve"> de ju</w:t>
      </w:r>
      <w:r w:rsidR="003B06FA">
        <w:rPr>
          <w:rFonts w:ascii="Arial" w:hAnsi="Arial" w:cs="Arial"/>
          <w:sz w:val="26"/>
          <w:szCs w:val="26"/>
        </w:rPr>
        <w:t>l</w:t>
      </w:r>
      <w:r w:rsidR="00EC2E44">
        <w:rPr>
          <w:rFonts w:ascii="Arial" w:hAnsi="Arial" w:cs="Arial"/>
          <w:sz w:val="26"/>
          <w:szCs w:val="26"/>
        </w:rPr>
        <w:t xml:space="preserve">io </w:t>
      </w:r>
      <w:r w:rsidRPr="0043529E">
        <w:rPr>
          <w:rFonts w:ascii="Arial" w:hAnsi="Arial" w:cs="Arial"/>
          <w:sz w:val="26"/>
          <w:szCs w:val="26"/>
        </w:rPr>
        <w:t xml:space="preserve">de </w:t>
      </w:r>
      <w:r w:rsidR="00141E91">
        <w:rPr>
          <w:rFonts w:ascii="Arial" w:hAnsi="Arial" w:cs="Arial"/>
          <w:sz w:val="26"/>
          <w:szCs w:val="26"/>
        </w:rPr>
        <w:t>2017</w:t>
      </w:r>
      <w:r w:rsidRPr="0043529E">
        <w:rPr>
          <w:rFonts w:ascii="Arial" w:hAnsi="Arial" w:cs="Arial"/>
          <w:sz w:val="26"/>
          <w:szCs w:val="26"/>
        </w:rPr>
        <w:t xml:space="preserve">, el </w:t>
      </w:r>
      <w:r w:rsidR="00EC2E44">
        <w:rPr>
          <w:rFonts w:ascii="Arial" w:hAnsi="Arial" w:cs="Arial"/>
          <w:sz w:val="26"/>
          <w:szCs w:val="26"/>
        </w:rPr>
        <w:t>señor</w:t>
      </w:r>
      <w:r w:rsidRPr="0043529E">
        <w:rPr>
          <w:rFonts w:ascii="Arial" w:hAnsi="Arial" w:cs="Arial"/>
          <w:sz w:val="26"/>
          <w:szCs w:val="26"/>
        </w:rPr>
        <w:t xml:space="preserve"> </w:t>
      </w:r>
      <w:r w:rsidRPr="0043529E">
        <w:rPr>
          <w:rFonts w:ascii="Arial" w:hAnsi="Arial" w:cs="Arial"/>
          <w:szCs w:val="26"/>
        </w:rPr>
        <w:t xml:space="preserve">JAVIER ELÍAS ARIAS IDÁRRAGA </w:t>
      </w:r>
      <w:r w:rsidRPr="0043529E">
        <w:rPr>
          <w:rFonts w:ascii="Arial" w:hAnsi="Arial" w:cs="Arial"/>
          <w:sz w:val="26"/>
          <w:szCs w:val="26"/>
        </w:rPr>
        <w:t xml:space="preserve">solicitó declarar nulidad </w:t>
      </w:r>
      <w:r w:rsidR="00EC2E44">
        <w:rPr>
          <w:rFonts w:ascii="Arial" w:hAnsi="Arial" w:cs="Arial"/>
          <w:sz w:val="26"/>
          <w:szCs w:val="26"/>
        </w:rPr>
        <w:t xml:space="preserve">amparado en </w:t>
      </w:r>
      <w:r w:rsidRPr="0043529E">
        <w:rPr>
          <w:rFonts w:ascii="Arial" w:hAnsi="Arial" w:cs="Arial"/>
          <w:sz w:val="26"/>
          <w:szCs w:val="26"/>
        </w:rPr>
        <w:t>el artículo 121 del Código General del Proceso</w:t>
      </w:r>
      <w:r w:rsidR="003B06FA">
        <w:rPr>
          <w:rFonts w:ascii="Arial" w:hAnsi="Arial" w:cs="Arial"/>
          <w:sz w:val="26"/>
          <w:szCs w:val="26"/>
        </w:rPr>
        <w:t>, así como, vigilancia judicial y administrativa y aplicar artículo 84 de la ley 472 de 1998</w:t>
      </w:r>
      <w:r>
        <w:rPr>
          <w:rFonts w:ascii="Arial" w:hAnsi="Arial" w:cs="Arial"/>
          <w:sz w:val="26"/>
          <w:szCs w:val="26"/>
        </w:rPr>
        <w:t xml:space="preserve">. (fl. </w:t>
      </w:r>
      <w:r>
        <w:rPr>
          <w:rFonts w:ascii="Arial" w:hAnsi="Arial" w:cs="Arial"/>
          <w:sz w:val="24"/>
          <w:szCs w:val="26"/>
        </w:rPr>
        <w:t>1</w:t>
      </w:r>
      <w:r w:rsidR="00EC2E44">
        <w:rPr>
          <w:rFonts w:ascii="Arial" w:hAnsi="Arial" w:cs="Arial"/>
          <w:sz w:val="24"/>
          <w:szCs w:val="26"/>
        </w:rPr>
        <w:t>5</w:t>
      </w:r>
      <w:r w:rsidR="003B06FA">
        <w:rPr>
          <w:rFonts w:ascii="Arial" w:hAnsi="Arial" w:cs="Arial"/>
          <w:sz w:val="24"/>
          <w:szCs w:val="26"/>
        </w:rPr>
        <w:t>3</w:t>
      </w:r>
      <w:r w:rsidR="00EC2E44">
        <w:rPr>
          <w:rFonts w:ascii="Arial" w:hAnsi="Arial" w:cs="Arial"/>
          <w:sz w:val="24"/>
          <w:szCs w:val="26"/>
        </w:rPr>
        <w:t xml:space="preserve"> del </w:t>
      </w:r>
      <w:r w:rsidR="003B06FA">
        <w:rPr>
          <w:rFonts w:ascii="Arial" w:hAnsi="Arial" w:cs="Arial"/>
          <w:sz w:val="24"/>
          <w:szCs w:val="26"/>
        </w:rPr>
        <w:t>CD</w:t>
      </w:r>
      <w:r>
        <w:rPr>
          <w:rFonts w:ascii="Arial" w:hAnsi="Arial" w:cs="Arial"/>
          <w:sz w:val="26"/>
          <w:szCs w:val="26"/>
        </w:rPr>
        <w:t>)</w:t>
      </w:r>
      <w:r w:rsidRPr="00834BBE">
        <w:rPr>
          <w:rFonts w:ascii="Arial" w:hAnsi="Arial" w:cs="Arial"/>
          <w:sz w:val="24"/>
          <w:szCs w:val="26"/>
        </w:rPr>
        <w:t>.</w:t>
      </w:r>
    </w:p>
    <w:p w:rsidR="009A2CA4" w:rsidRPr="0059464E" w:rsidRDefault="009A2CA4" w:rsidP="009A2CA4">
      <w:pPr>
        <w:pStyle w:val="Sinespaciado1"/>
        <w:spacing w:line="360" w:lineRule="auto"/>
        <w:ind w:firstLine="2832"/>
        <w:jc w:val="both"/>
        <w:rPr>
          <w:rFonts w:ascii="Arial" w:hAnsi="Arial" w:cs="Arial"/>
          <w:sz w:val="16"/>
          <w:szCs w:val="16"/>
        </w:rPr>
      </w:pPr>
    </w:p>
    <w:p w:rsidR="00CC7F16" w:rsidRDefault="00EC2E44" w:rsidP="002F077D">
      <w:pPr>
        <w:pStyle w:val="Sinespaciado1"/>
        <w:spacing w:line="360" w:lineRule="auto"/>
        <w:ind w:firstLine="2832"/>
        <w:jc w:val="both"/>
        <w:rPr>
          <w:rFonts w:ascii="Arial" w:hAnsi="Arial" w:cs="Arial"/>
          <w:sz w:val="26"/>
          <w:szCs w:val="26"/>
        </w:rPr>
      </w:pPr>
      <w:r>
        <w:rPr>
          <w:rFonts w:ascii="Arial" w:hAnsi="Arial" w:cs="Arial"/>
          <w:sz w:val="26"/>
          <w:szCs w:val="26"/>
        </w:rPr>
        <w:t>(ii</w:t>
      </w:r>
      <w:r w:rsidR="009A2CA4">
        <w:rPr>
          <w:rFonts w:ascii="Arial" w:hAnsi="Arial" w:cs="Arial"/>
          <w:sz w:val="26"/>
          <w:szCs w:val="26"/>
        </w:rPr>
        <w:t xml:space="preserve">) </w:t>
      </w:r>
      <w:r w:rsidR="009A2CA4">
        <w:rPr>
          <w:rFonts w:ascii="Arial" w:hAnsi="Arial" w:cs="Arial"/>
          <w:sz w:val="26"/>
          <w:szCs w:val="26"/>
          <w:lang w:val="es-ES"/>
        </w:rPr>
        <w:t xml:space="preserve">Mediante </w:t>
      </w:r>
      <w:r>
        <w:rPr>
          <w:rFonts w:ascii="Arial" w:hAnsi="Arial" w:cs="Arial"/>
          <w:sz w:val="26"/>
          <w:szCs w:val="26"/>
          <w:lang w:val="es-ES"/>
        </w:rPr>
        <w:t>auto</w:t>
      </w:r>
      <w:r w:rsidR="009A2CA4" w:rsidRPr="0002253A">
        <w:rPr>
          <w:rFonts w:ascii="Arial" w:hAnsi="Arial" w:cs="Arial"/>
          <w:sz w:val="26"/>
          <w:szCs w:val="26"/>
          <w:lang w:val="es-ES"/>
        </w:rPr>
        <w:t xml:space="preserve"> de</w:t>
      </w:r>
      <w:r w:rsidR="009A2CA4">
        <w:rPr>
          <w:rFonts w:ascii="Arial" w:hAnsi="Arial" w:cs="Arial"/>
          <w:sz w:val="26"/>
          <w:szCs w:val="26"/>
          <w:lang w:val="es-ES"/>
        </w:rPr>
        <w:t>l</w:t>
      </w:r>
      <w:r w:rsidR="009A2CA4" w:rsidRPr="0002253A">
        <w:rPr>
          <w:rFonts w:ascii="Arial" w:hAnsi="Arial" w:cs="Arial"/>
          <w:sz w:val="26"/>
          <w:szCs w:val="26"/>
          <w:lang w:val="es-ES"/>
        </w:rPr>
        <w:t xml:space="preserve"> </w:t>
      </w:r>
      <w:r w:rsidR="00756C2E">
        <w:rPr>
          <w:rFonts w:ascii="Arial" w:hAnsi="Arial" w:cs="Arial"/>
          <w:sz w:val="26"/>
          <w:szCs w:val="26"/>
          <w:lang w:val="es-ES"/>
        </w:rPr>
        <w:t>9</w:t>
      </w:r>
      <w:r>
        <w:rPr>
          <w:rFonts w:ascii="Arial" w:hAnsi="Arial" w:cs="Arial"/>
          <w:sz w:val="26"/>
          <w:szCs w:val="26"/>
          <w:lang w:val="es-ES"/>
        </w:rPr>
        <w:t xml:space="preserve"> de </w:t>
      </w:r>
      <w:r w:rsidR="00756C2E">
        <w:rPr>
          <w:rFonts w:ascii="Arial" w:hAnsi="Arial" w:cs="Arial"/>
          <w:sz w:val="26"/>
          <w:szCs w:val="26"/>
          <w:lang w:val="es-ES"/>
        </w:rPr>
        <w:t>agosto</w:t>
      </w:r>
      <w:r>
        <w:rPr>
          <w:rFonts w:ascii="Arial" w:hAnsi="Arial" w:cs="Arial"/>
          <w:sz w:val="26"/>
          <w:szCs w:val="26"/>
          <w:lang w:val="es-ES"/>
        </w:rPr>
        <w:t xml:space="preserve"> </w:t>
      </w:r>
      <w:r w:rsidR="002F077D">
        <w:rPr>
          <w:rFonts w:ascii="Arial" w:hAnsi="Arial" w:cs="Arial"/>
          <w:sz w:val="26"/>
          <w:szCs w:val="26"/>
          <w:lang w:val="es-ES"/>
        </w:rPr>
        <w:t>último</w:t>
      </w:r>
      <w:r w:rsidR="009A2CA4" w:rsidRPr="0002253A">
        <w:rPr>
          <w:rFonts w:ascii="Arial" w:hAnsi="Arial" w:cs="Arial"/>
          <w:sz w:val="26"/>
          <w:szCs w:val="26"/>
          <w:lang w:val="es-ES"/>
        </w:rPr>
        <w:t xml:space="preserve">, el </w:t>
      </w:r>
      <w:r w:rsidR="009A2CA4" w:rsidRPr="00541D87">
        <w:rPr>
          <w:rFonts w:ascii="Arial" w:hAnsi="Arial" w:cs="Arial"/>
          <w:szCs w:val="26"/>
          <w:lang w:val="es-ES" w:eastAsia="es-ES"/>
        </w:rPr>
        <w:t xml:space="preserve">JUZGADO </w:t>
      </w:r>
      <w:r w:rsidR="00042614">
        <w:rPr>
          <w:rFonts w:ascii="Arial" w:hAnsi="Arial" w:cs="Arial"/>
          <w:szCs w:val="26"/>
          <w:lang w:val="es-ES" w:eastAsia="es-ES"/>
        </w:rPr>
        <w:t xml:space="preserve">PROMISCUO </w:t>
      </w:r>
      <w:r w:rsidR="009A2CA4" w:rsidRPr="00541D87">
        <w:rPr>
          <w:rFonts w:ascii="Arial" w:hAnsi="Arial" w:cs="Arial"/>
          <w:szCs w:val="26"/>
          <w:lang w:val="es-ES" w:eastAsia="es-ES"/>
        </w:rPr>
        <w:t xml:space="preserve">DEL CIRCUITO DE </w:t>
      </w:r>
      <w:r w:rsidR="00042614">
        <w:rPr>
          <w:rFonts w:ascii="Arial" w:hAnsi="Arial" w:cs="Arial"/>
          <w:szCs w:val="26"/>
          <w:lang w:val="es-ES" w:eastAsia="es-ES"/>
        </w:rPr>
        <w:t>LA VIRGINIA</w:t>
      </w:r>
      <w:r w:rsidR="009A2CA4" w:rsidRPr="0002253A">
        <w:rPr>
          <w:rFonts w:ascii="Arial" w:hAnsi="Arial" w:cs="Arial"/>
          <w:sz w:val="26"/>
          <w:szCs w:val="26"/>
          <w:lang w:val="es-ES"/>
        </w:rPr>
        <w:t xml:space="preserve">, </w:t>
      </w:r>
      <w:r>
        <w:rPr>
          <w:rFonts w:ascii="Arial" w:hAnsi="Arial" w:cs="Arial"/>
          <w:sz w:val="26"/>
          <w:szCs w:val="26"/>
          <w:lang w:val="es-ES"/>
        </w:rPr>
        <w:t xml:space="preserve">rechazó de plano </w:t>
      </w:r>
      <w:r w:rsidR="009A2CA4" w:rsidRPr="0002253A">
        <w:rPr>
          <w:rFonts w:ascii="Arial" w:hAnsi="Arial" w:cs="Arial"/>
          <w:sz w:val="26"/>
          <w:szCs w:val="26"/>
          <w:lang w:val="es-ES"/>
        </w:rPr>
        <w:t xml:space="preserve">la solicitud de </w:t>
      </w:r>
      <w:r w:rsidR="009A2CA4" w:rsidRPr="0002253A">
        <w:rPr>
          <w:rFonts w:ascii="Arial" w:hAnsi="Arial" w:cs="Arial"/>
          <w:sz w:val="26"/>
          <w:szCs w:val="26"/>
          <w:lang w:val="es-ES"/>
        </w:rPr>
        <w:lastRenderedPageBreak/>
        <w:t xml:space="preserve">nulidad </w:t>
      </w:r>
      <w:r w:rsidR="00756C2E">
        <w:rPr>
          <w:rFonts w:ascii="Arial" w:hAnsi="Arial" w:cs="Arial"/>
          <w:sz w:val="26"/>
          <w:szCs w:val="26"/>
          <w:lang w:val="es-ES"/>
        </w:rPr>
        <w:t>impetrada</w:t>
      </w:r>
      <w:r w:rsidR="009A2CA4">
        <w:rPr>
          <w:rFonts w:ascii="Arial" w:hAnsi="Arial" w:cs="Arial"/>
          <w:sz w:val="26"/>
          <w:szCs w:val="26"/>
          <w:lang w:val="es-ES"/>
        </w:rPr>
        <w:t xml:space="preserve"> (fl. </w:t>
      </w:r>
      <w:r>
        <w:rPr>
          <w:rFonts w:ascii="Arial" w:hAnsi="Arial" w:cs="Arial"/>
          <w:sz w:val="26"/>
          <w:szCs w:val="26"/>
          <w:lang w:val="es-ES"/>
        </w:rPr>
        <w:t>1</w:t>
      </w:r>
      <w:r w:rsidR="00756C2E">
        <w:rPr>
          <w:rFonts w:ascii="Arial" w:hAnsi="Arial" w:cs="Arial"/>
          <w:sz w:val="26"/>
          <w:szCs w:val="26"/>
          <w:lang w:val="es-ES"/>
        </w:rPr>
        <w:t>5</w:t>
      </w:r>
      <w:r>
        <w:rPr>
          <w:rFonts w:ascii="Arial" w:hAnsi="Arial" w:cs="Arial"/>
          <w:sz w:val="26"/>
          <w:szCs w:val="26"/>
          <w:lang w:val="es-ES"/>
        </w:rPr>
        <w:t>5</w:t>
      </w:r>
      <w:r w:rsidR="00F451B2">
        <w:rPr>
          <w:rFonts w:ascii="Arial" w:hAnsi="Arial" w:cs="Arial"/>
          <w:sz w:val="26"/>
          <w:szCs w:val="26"/>
          <w:lang w:val="es-ES"/>
        </w:rPr>
        <w:t xml:space="preserve"> </w:t>
      </w:r>
      <w:r w:rsidR="00F451B2">
        <w:rPr>
          <w:rFonts w:ascii="Arial" w:hAnsi="Arial" w:cs="Arial"/>
          <w:sz w:val="24"/>
          <w:szCs w:val="26"/>
        </w:rPr>
        <w:t xml:space="preserve">del </w:t>
      </w:r>
      <w:r w:rsidR="00756C2E">
        <w:rPr>
          <w:rFonts w:ascii="Arial" w:hAnsi="Arial" w:cs="Arial"/>
          <w:sz w:val="24"/>
          <w:szCs w:val="26"/>
        </w:rPr>
        <w:t>CD</w:t>
      </w:r>
      <w:r w:rsidR="009A2CA4">
        <w:rPr>
          <w:rFonts w:ascii="Arial" w:hAnsi="Arial" w:cs="Arial"/>
          <w:sz w:val="26"/>
          <w:szCs w:val="26"/>
          <w:lang w:val="es-ES"/>
        </w:rPr>
        <w:t>).</w:t>
      </w:r>
      <w:r w:rsidR="00756C2E">
        <w:rPr>
          <w:rFonts w:ascii="Arial" w:hAnsi="Arial" w:cs="Arial"/>
          <w:sz w:val="26"/>
          <w:szCs w:val="26"/>
          <w:lang w:val="es-ES"/>
        </w:rPr>
        <w:t xml:space="preserve"> </w:t>
      </w:r>
      <w:r w:rsidR="002F077D">
        <w:rPr>
          <w:rFonts w:ascii="Arial" w:hAnsi="Arial" w:cs="Arial"/>
          <w:sz w:val="26"/>
          <w:szCs w:val="26"/>
        </w:rPr>
        <w:t xml:space="preserve">Notificado </w:t>
      </w:r>
      <w:r w:rsidR="00CC7F16">
        <w:rPr>
          <w:rFonts w:ascii="Arial" w:hAnsi="Arial" w:cs="Arial"/>
          <w:sz w:val="26"/>
          <w:szCs w:val="26"/>
        </w:rPr>
        <w:t xml:space="preserve">por estado del </w:t>
      </w:r>
      <w:r w:rsidR="00146FEF">
        <w:rPr>
          <w:rFonts w:ascii="Arial" w:hAnsi="Arial" w:cs="Arial"/>
          <w:sz w:val="26"/>
          <w:szCs w:val="26"/>
        </w:rPr>
        <w:t>10</w:t>
      </w:r>
      <w:r w:rsidR="00CC7F16" w:rsidRPr="000C5F30">
        <w:rPr>
          <w:rFonts w:ascii="Arial" w:hAnsi="Arial" w:cs="Arial"/>
          <w:sz w:val="26"/>
          <w:szCs w:val="26"/>
        </w:rPr>
        <w:t xml:space="preserve"> de</w:t>
      </w:r>
      <w:r w:rsidR="00CC7F16">
        <w:rPr>
          <w:rFonts w:ascii="Arial" w:hAnsi="Arial" w:cs="Arial"/>
          <w:sz w:val="26"/>
          <w:szCs w:val="26"/>
        </w:rPr>
        <w:t xml:space="preserve"> </w:t>
      </w:r>
      <w:r w:rsidR="002F077D">
        <w:rPr>
          <w:rFonts w:ascii="Arial" w:hAnsi="Arial" w:cs="Arial"/>
          <w:sz w:val="26"/>
          <w:szCs w:val="26"/>
        </w:rPr>
        <w:t>agosto siguiente</w:t>
      </w:r>
      <w:r w:rsidR="00146FEF">
        <w:rPr>
          <w:rFonts w:ascii="Arial" w:hAnsi="Arial" w:cs="Arial"/>
          <w:sz w:val="26"/>
          <w:szCs w:val="26"/>
        </w:rPr>
        <w:t>. (fl. 156</w:t>
      </w:r>
      <w:r w:rsidR="00CC7F16">
        <w:rPr>
          <w:rFonts w:ascii="Arial" w:hAnsi="Arial" w:cs="Arial"/>
          <w:sz w:val="26"/>
          <w:szCs w:val="26"/>
        </w:rPr>
        <w:t xml:space="preserve"> del CD).</w:t>
      </w:r>
    </w:p>
    <w:p w:rsidR="00CC7F16" w:rsidRPr="00B003B0" w:rsidRDefault="00CC7F16" w:rsidP="00CC7F16">
      <w:pPr>
        <w:pStyle w:val="Sinespaciado2"/>
        <w:spacing w:line="360" w:lineRule="auto"/>
        <w:ind w:firstLine="2835"/>
        <w:jc w:val="both"/>
        <w:rPr>
          <w:rFonts w:ascii="Arial" w:hAnsi="Arial" w:cs="Arial"/>
          <w:sz w:val="16"/>
          <w:szCs w:val="16"/>
        </w:rPr>
      </w:pPr>
    </w:p>
    <w:p w:rsidR="00146FEF" w:rsidRDefault="00AA7770" w:rsidP="00146FEF">
      <w:pPr>
        <w:pStyle w:val="Sinespaciado2"/>
        <w:spacing w:line="360" w:lineRule="auto"/>
        <w:ind w:firstLine="2835"/>
        <w:jc w:val="both"/>
        <w:rPr>
          <w:rFonts w:ascii="Arial" w:hAnsi="Arial" w:cs="Arial"/>
          <w:sz w:val="26"/>
          <w:szCs w:val="26"/>
        </w:rPr>
      </w:pPr>
      <w:r>
        <w:rPr>
          <w:rFonts w:ascii="Arial" w:hAnsi="Arial" w:cs="Arial"/>
          <w:sz w:val="26"/>
          <w:szCs w:val="26"/>
          <w:lang w:val="es-CO"/>
        </w:rPr>
        <w:t>3</w:t>
      </w:r>
      <w:r w:rsidR="00742060">
        <w:rPr>
          <w:rFonts w:ascii="Arial" w:hAnsi="Arial" w:cs="Arial"/>
          <w:sz w:val="26"/>
          <w:szCs w:val="26"/>
          <w:lang w:val="es-CO"/>
        </w:rPr>
        <w:t xml:space="preserve">. </w:t>
      </w:r>
      <w:r w:rsidR="00146FEF">
        <w:rPr>
          <w:rFonts w:ascii="Arial" w:hAnsi="Arial" w:cs="Arial"/>
          <w:sz w:val="26"/>
          <w:szCs w:val="26"/>
          <w:lang w:val="es-CO"/>
        </w:rPr>
        <w:t xml:space="preserve">Vistas así las cosas, </w:t>
      </w:r>
      <w:r w:rsidR="00141E91" w:rsidRPr="00141E91">
        <w:rPr>
          <w:rFonts w:ascii="Arial" w:hAnsi="Arial" w:cs="Arial"/>
          <w:sz w:val="26"/>
          <w:szCs w:val="26"/>
          <w:lang w:val="es-CO"/>
        </w:rPr>
        <w:t xml:space="preserve">respecto a la pretensión del actor de que se aplique el artículo 121 del CGP, la acción de tutela se torna improcedente, por ausencia del requisito de subsidiariedad, toda vez que, como se pudo constatar, el juzgado por auto del </w:t>
      </w:r>
      <w:r w:rsidR="00141E91">
        <w:rPr>
          <w:rFonts w:ascii="Arial" w:hAnsi="Arial" w:cs="Arial"/>
          <w:sz w:val="26"/>
          <w:szCs w:val="26"/>
          <w:lang w:val="es-CO"/>
        </w:rPr>
        <w:t>9</w:t>
      </w:r>
      <w:r w:rsidR="00141E91" w:rsidRPr="00141E91">
        <w:rPr>
          <w:rFonts w:ascii="Arial" w:hAnsi="Arial" w:cs="Arial"/>
          <w:sz w:val="26"/>
          <w:szCs w:val="26"/>
          <w:lang w:val="es-CO"/>
        </w:rPr>
        <w:t xml:space="preserve"> de </w:t>
      </w:r>
      <w:r w:rsidR="00141E91">
        <w:rPr>
          <w:rFonts w:ascii="Arial" w:hAnsi="Arial" w:cs="Arial"/>
          <w:sz w:val="26"/>
          <w:szCs w:val="26"/>
          <w:lang w:val="es-CO"/>
        </w:rPr>
        <w:t>agosto</w:t>
      </w:r>
      <w:r w:rsidR="00141E91" w:rsidRPr="00141E91">
        <w:rPr>
          <w:rFonts w:ascii="Arial" w:hAnsi="Arial" w:cs="Arial"/>
          <w:sz w:val="26"/>
          <w:szCs w:val="26"/>
          <w:lang w:val="es-CO"/>
        </w:rPr>
        <w:t xml:space="preserve"> de 2017, resolvió </w:t>
      </w:r>
      <w:r w:rsidR="00413CDF">
        <w:rPr>
          <w:rFonts w:ascii="Arial" w:hAnsi="Arial" w:cs="Arial"/>
          <w:sz w:val="26"/>
          <w:szCs w:val="26"/>
          <w:lang w:val="es-CO"/>
        </w:rPr>
        <w:t xml:space="preserve">rechazar de plano </w:t>
      </w:r>
      <w:r w:rsidR="00413CDF" w:rsidRPr="0002253A">
        <w:rPr>
          <w:rFonts w:ascii="Arial" w:hAnsi="Arial" w:cs="Arial"/>
          <w:sz w:val="26"/>
          <w:szCs w:val="26"/>
        </w:rPr>
        <w:t>la solicitud de nulidad</w:t>
      </w:r>
      <w:r w:rsidR="00413CDF">
        <w:rPr>
          <w:rFonts w:ascii="Arial" w:hAnsi="Arial" w:cs="Arial"/>
          <w:sz w:val="26"/>
          <w:szCs w:val="26"/>
          <w:lang w:val="es-CO"/>
        </w:rPr>
        <w:t xml:space="preserve"> que aquel elevó, </w:t>
      </w:r>
      <w:r w:rsidR="00413CDF">
        <w:rPr>
          <w:rFonts w:ascii="Arial" w:hAnsi="Arial" w:cs="Arial"/>
          <w:sz w:val="26"/>
          <w:szCs w:val="26"/>
        </w:rPr>
        <w:t xml:space="preserve">amparado en </w:t>
      </w:r>
      <w:r w:rsidR="00413CDF" w:rsidRPr="0043529E">
        <w:rPr>
          <w:rFonts w:ascii="Arial" w:hAnsi="Arial" w:cs="Arial"/>
          <w:sz w:val="26"/>
          <w:szCs w:val="26"/>
        </w:rPr>
        <w:t xml:space="preserve">el </w:t>
      </w:r>
      <w:r w:rsidR="00E91151">
        <w:rPr>
          <w:rFonts w:ascii="Arial" w:hAnsi="Arial" w:cs="Arial"/>
          <w:sz w:val="26"/>
          <w:szCs w:val="26"/>
        </w:rPr>
        <w:t>m</w:t>
      </w:r>
      <w:r w:rsidR="00413CDF">
        <w:rPr>
          <w:rFonts w:ascii="Arial" w:hAnsi="Arial" w:cs="Arial"/>
          <w:sz w:val="26"/>
          <w:szCs w:val="26"/>
        </w:rPr>
        <w:t xml:space="preserve">encionado </w:t>
      </w:r>
      <w:r w:rsidR="00413CDF" w:rsidRPr="0043529E">
        <w:rPr>
          <w:rFonts w:ascii="Arial" w:hAnsi="Arial" w:cs="Arial"/>
          <w:sz w:val="26"/>
          <w:szCs w:val="26"/>
        </w:rPr>
        <w:t xml:space="preserve">artículo 121 del </w:t>
      </w:r>
      <w:r w:rsidR="00413CDF">
        <w:rPr>
          <w:rFonts w:ascii="Arial" w:hAnsi="Arial" w:cs="Arial"/>
          <w:sz w:val="26"/>
          <w:szCs w:val="26"/>
        </w:rPr>
        <w:t xml:space="preserve">referido estatuto procesal, </w:t>
      </w:r>
      <w:r w:rsidR="00E91151">
        <w:rPr>
          <w:rFonts w:ascii="Arial" w:hAnsi="Arial" w:cs="Arial"/>
          <w:sz w:val="26"/>
          <w:szCs w:val="26"/>
        </w:rPr>
        <w:t>ya</w:t>
      </w:r>
      <w:r w:rsidR="00413CDF">
        <w:rPr>
          <w:rFonts w:ascii="Arial" w:hAnsi="Arial" w:cs="Arial"/>
          <w:sz w:val="26"/>
          <w:szCs w:val="26"/>
        </w:rPr>
        <w:t xml:space="preserve"> que no había transcurrido el término mencionado en dicha norma</w:t>
      </w:r>
      <w:r w:rsidR="00413CDF">
        <w:rPr>
          <w:rFonts w:ascii="Arial" w:hAnsi="Arial" w:cs="Arial"/>
          <w:sz w:val="26"/>
          <w:szCs w:val="26"/>
          <w:lang w:val="es-CO"/>
        </w:rPr>
        <w:t>;</w:t>
      </w:r>
      <w:r w:rsidR="00141E91" w:rsidRPr="00141E91">
        <w:rPr>
          <w:rFonts w:ascii="Arial" w:hAnsi="Arial" w:cs="Arial"/>
          <w:sz w:val="26"/>
          <w:szCs w:val="26"/>
          <w:lang w:val="es-CO"/>
        </w:rPr>
        <w:t xml:space="preserve"> sin embargo,</w:t>
      </w:r>
      <w:r w:rsidR="00141E91">
        <w:rPr>
          <w:rFonts w:ascii="Arial" w:hAnsi="Arial" w:cs="Arial"/>
          <w:sz w:val="26"/>
          <w:szCs w:val="26"/>
          <w:lang w:val="es-CO"/>
        </w:rPr>
        <w:t xml:space="preserve"> </w:t>
      </w:r>
      <w:r w:rsidR="0072373D">
        <w:rPr>
          <w:rFonts w:ascii="Arial" w:hAnsi="Arial" w:cs="Arial"/>
          <w:sz w:val="26"/>
          <w:szCs w:val="26"/>
          <w:lang w:val="es-CO"/>
        </w:rPr>
        <w:t>no formuló recurso alguno frente a dicho</w:t>
      </w:r>
      <w:r w:rsidR="0072373D">
        <w:rPr>
          <w:rFonts w:ascii="Arial" w:hAnsi="Arial" w:cs="Arial"/>
          <w:sz w:val="26"/>
          <w:szCs w:val="26"/>
        </w:rPr>
        <w:t xml:space="preserve"> proveído</w:t>
      </w:r>
      <w:r w:rsidR="0072373D">
        <w:rPr>
          <w:rFonts w:ascii="Arial" w:hAnsi="Arial" w:cs="Arial"/>
          <w:sz w:val="26"/>
          <w:szCs w:val="26"/>
          <w:lang w:val="es-CO"/>
        </w:rPr>
        <w:t xml:space="preserve">. </w:t>
      </w:r>
      <w:r w:rsidR="0072373D" w:rsidRPr="00F05222">
        <w:rPr>
          <w:rFonts w:ascii="Arial" w:hAnsi="Arial" w:cs="Arial"/>
          <w:sz w:val="26"/>
          <w:szCs w:val="26"/>
          <w:lang w:val="es-CO"/>
        </w:rPr>
        <w:t xml:space="preserve">Es decir, no empleó el medio ordinario de protección con que contaba en ese proceso para obtener lo que pretende sea </w:t>
      </w:r>
      <w:r w:rsidR="0072373D">
        <w:rPr>
          <w:rFonts w:ascii="Arial" w:hAnsi="Arial" w:cs="Arial"/>
          <w:sz w:val="26"/>
          <w:szCs w:val="26"/>
          <w:lang w:val="es-CO"/>
        </w:rPr>
        <w:t xml:space="preserve">ahora </w:t>
      </w:r>
      <w:r w:rsidR="0072373D" w:rsidRPr="00F05222">
        <w:rPr>
          <w:rFonts w:ascii="Arial" w:hAnsi="Arial" w:cs="Arial"/>
          <w:sz w:val="26"/>
          <w:szCs w:val="26"/>
          <w:lang w:val="es-CO"/>
        </w:rPr>
        <w:t>decidido por vía de tutela</w:t>
      </w:r>
      <w:r w:rsidR="00146FEF">
        <w:rPr>
          <w:rFonts w:ascii="Arial" w:hAnsi="Arial" w:cs="Arial"/>
          <w:sz w:val="26"/>
          <w:szCs w:val="26"/>
          <w:lang w:val="es-CO"/>
        </w:rPr>
        <w:t>; debió el actor popular hacer uso de los mecanismos legales ordinarios que el ordenamiento jurídico consagra y no acudir directamente a la acción de tutela, incumpliendo así el requisito de subsidiariedad que contempla la Carta Política y el Decreto 2591 de 1991.</w:t>
      </w:r>
      <w:r w:rsidR="00146FEF">
        <w:rPr>
          <w:rFonts w:ascii="Arial" w:hAnsi="Arial" w:cs="Arial"/>
          <w:sz w:val="26"/>
          <w:szCs w:val="26"/>
        </w:rPr>
        <w:t xml:space="preserve"> </w:t>
      </w:r>
    </w:p>
    <w:p w:rsidR="00146FEF" w:rsidRPr="00F019BF" w:rsidRDefault="00AA7770" w:rsidP="00146FEF">
      <w:pPr>
        <w:pStyle w:val="Sinespaciado2"/>
        <w:spacing w:line="360" w:lineRule="auto"/>
        <w:ind w:firstLine="2835"/>
        <w:jc w:val="both"/>
        <w:rPr>
          <w:rFonts w:ascii="Arial" w:hAnsi="Arial" w:cs="Arial"/>
          <w:sz w:val="16"/>
          <w:szCs w:val="28"/>
        </w:rPr>
      </w:pPr>
      <w:r>
        <w:rPr>
          <w:rFonts w:ascii="Arial" w:hAnsi="Arial" w:cs="Arial"/>
          <w:sz w:val="26"/>
          <w:szCs w:val="26"/>
        </w:rPr>
        <w:t>4</w:t>
      </w:r>
      <w:r w:rsidR="00146FEF">
        <w:rPr>
          <w:rFonts w:ascii="Arial" w:hAnsi="Arial" w:cs="Arial"/>
          <w:sz w:val="26"/>
          <w:szCs w:val="26"/>
        </w:rPr>
        <w:t xml:space="preserve">. </w:t>
      </w:r>
      <w:r w:rsidR="00146FEF" w:rsidRPr="00347507">
        <w:rPr>
          <w:rFonts w:ascii="Arial" w:hAnsi="Arial" w:cs="Arial"/>
          <w:sz w:val="26"/>
          <w:szCs w:val="26"/>
        </w:rPr>
        <w:t>Recuérdese que</w:t>
      </w:r>
      <w:r w:rsidR="00146FEF" w:rsidRPr="00347507">
        <w:rPr>
          <w:rFonts w:ascii="Arial" w:hAnsi="Arial" w:cs="Arial"/>
          <w:sz w:val="28"/>
          <w:szCs w:val="28"/>
        </w:rPr>
        <w:t xml:space="preserve"> </w:t>
      </w:r>
      <w:r w:rsidR="00146FEF" w:rsidRPr="00347507">
        <w:rPr>
          <w:rFonts w:ascii="Arial" w:hAnsi="Arial" w:cs="Arial"/>
          <w:i/>
          <w:sz w:val="28"/>
          <w:szCs w:val="28"/>
        </w:rPr>
        <w:t>“</w:t>
      </w:r>
      <w:r w:rsidR="00146FEF"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146FEF" w:rsidRPr="00347507">
        <w:rPr>
          <w:rStyle w:val="Refdenotaalpie"/>
          <w:rFonts w:ascii="Arial" w:hAnsi="Arial"/>
          <w:i/>
          <w:sz w:val="24"/>
          <w:szCs w:val="24"/>
        </w:rPr>
        <w:footnoteReference w:id="2"/>
      </w:r>
      <w:r w:rsidR="00146FEF" w:rsidRPr="00347507">
        <w:rPr>
          <w:rFonts w:ascii="Arial" w:hAnsi="Arial" w:cs="Arial"/>
          <w:sz w:val="28"/>
          <w:szCs w:val="28"/>
        </w:rPr>
        <w:t>.</w:t>
      </w:r>
    </w:p>
    <w:p w:rsidR="00146FEF" w:rsidRPr="00D631D5" w:rsidRDefault="00146FEF" w:rsidP="00146FEF">
      <w:pPr>
        <w:pStyle w:val="Sinespaciado2"/>
        <w:spacing w:line="360" w:lineRule="auto"/>
        <w:ind w:firstLine="2835"/>
        <w:jc w:val="both"/>
        <w:rPr>
          <w:rFonts w:ascii="Arial" w:hAnsi="Arial" w:cs="Arial"/>
          <w:sz w:val="16"/>
          <w:szCs w:val="26"/>
        </w:rPr>
      </w:pPr>
    </w:p>
    <w:p w:rsidR="002F077D" w:rsidRPr="00CC7DCF" w:rsidRDefault="00AA7770" w:rsidP="002F077D">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5</w:t>
      </w:r>
      <w:r w:rsidR="002F077D">
        <w:rPr>
          <w:rFonts w:ascii="Arial" w:hAnsi="Arial" w:cs="Arial"/>
          <w:sz w:val="26"/>
          <w:szCs w:val="26"/>
          <w:lang w:val="es-CO"/>
        </w:rPr>
        <w:t>. También ha señalado el alto tribunal Constitucional que, “</w:t>
      </w:r>
      <w:r w:rsidR="002F077D" w:rsidRPr="00C1307D">
        <w:rPr>
          <w:rFonts w:ascii="Arial" w:hAnsi="Arial" w:cs="Arial"/>
          <w:i/>
          <w:sz w:val="24"/>
          <w:szCs w:val="26"/>
        </w:rPr>
        <w:t>La subsidiariedad establece que la acción c</w:t>
      </w:r>
      <w:r w:rsidR="002F077D">
        <w:rPr>
          <w:rFonts w:ascii="Arial" w:hAnsi="Arial" w:cs="Arial"/>
          <w:i/>
          <w:sz w:val="24"/>
          <w:szCs w:val="26"/>
        </w:rPr>
        <w:t xml:space="preserve">onstitucional es improcedente, </w:t>
      </w:r>
      <w:r w:rsidR="002F077D" w:rsidRPr="00C1307D">
        <w:rPr>
          <w:rFonts w:ascii="Arial" w:hAnsi="Arial" w:cs="Arial"/>
          <w:i/>
          <w:sz w:val="24"/>
          <w:szCs w:val="26"/>
        </w:rPr>
        <w:t>si quien ha tenido a su disposición las vías judiciales ordinarias de defensa, no las utiliza ni oportuna ni adecuadamente, acudiendo en su luga</w:t>
      </w:r>
      <w:r w:rsidR="002F077D">
        <w:rPr>
          <w:rFonts w:ascii="Arial" w:hAnsi="Arial" w:cs="Arial"/>
          <w:i/>
          <w:sz w:val="24"/>
          <w:szCs w:val="26"/>
        </w:rPr>
        <w:t xml:space="preserve">r a la acción constitucional, </w:t>
      </w:r>
      <w:r w:rsidR="002F077D" w:rsidRPr="00C1307D">
        <w:rPr>
          <w:rFonts w:ascii="Arial" w:hAnsi="Arial" w:cs="Arial"/>
          <w:i/>
          <w:sz w:val="24"/>
          <w:szCs w:val="26"/>
        </w:rPr>
        <w:t xml:space="preserve">pues los medios de control ordinarios son verdaderas herramientas de protección dispuestas en el ordenamiento jurídico, a los </w:t>
      </w:r>
      <w:r w:rsidR="002F077D" w:rsidRPr="003641B6">
        <w:rPr>
          <w:rFonts w:ascii="Arial" w:hAnsi="Arial" w:cs="Arial"/>
          <w:i/>
          <w:sz w:val="24"/>
          <w:szCs w:val="26"/>
        </w:rPr>
        <w:t>cuales debe acudirse oportunamente si no se pretende evitar algún perjuicio irremediable.</w:t>
      </w:r>
      <w:r w:rsidR="002F077D">
        <w:rPr>
          <w:rFonts w:ascii="Arial" w:hAnsi="Arial" w:cs="Arial"/>
          <w:i/>
          <w:sz w:val="24"/>
          <w:szCs w:val="26"/>
        </w:rPr>
        <w:t>”</w:t>
      </w:r>
      <w:r w:rsidR="002F077D">
        <w:rPr>
          <w:rStyle w:val="Refdenotaalpie"/>
          <w:rFonts w:ascii="Arial" w:hAnsi="Arial"/>
          <w:i/>
          <w:sz w:val="24"/>
          <w:szCs w:val="26"/>
        </w:rPr>
        <w:footnoteReference w:id="3"/>
      </w:r>
    </w:p>
    <w:p w:rsidR="002F077D" w:rsidRPr="00276FCF" w:rsidRDefault="002F077D" w:rsidP="002F077D">
      <w:pPr>
        <w:pStyle w:val="Sinespaciado1"/>
        <w:spacing w:line="360" w:lineRule="auto"/>
        <w:ind w:firstLine="2832"/>
        <w:jc w:val="both"/>
        <w:rPr>
          <w:rFonts w:ascii="Arial" w:hAnsi="Arial" w:cs="Arial"/>
          <w:sz w:val="16"/>
          <w:szCs w:val="26"/>
        </w:rPr>
      </w:pPr>
    </w:p>
    <w:p w:rsidR="0042598B" w:rsidRPr="00B4565A" w:rsidRDefault="00AA7770" w:rsidP="00146FEF">
      <w:pPr>
        <w:pStyle w:val="Sinespaciado2"/>
        <w:spacing w:line="360" w:lineRule="auto"/>
        <w:ind w:firstLine="2835"/>
        <w:jc w:val="both"/>
        <w:rPr>
          <w:rFonts w:ascii="Arial" w:hAnsi="Arial" w:cs="Arial"/>
          <w:sz w:val="26"/>
          <w:szCs w:val="26"/>
          <w:lang w:val="es-ES_tradnl"/>
        </w:rPr>
      </w:pPr>
      <w:r>
        <w:rPr>
          <w:rFonts w:ascii="Arial" w:hAnsi="Arial" w:cs="Arial"/>
          <w:sz w:val="26"/>
          <w:szCs w:val="26"/>
        </w:rPr>
        <w:t>6</w:t>
      </w:r>
      <w:r w:rsidR="00146FEF" w:rsidRPr="00347507">
        <w:rPr>
          <w:rFonts w:ascii="Arial" w:hAnsi="Arial" w:cs="Arial"/>
          <w:sz w:val="26"/>
          <w:szCs w:val="26"/>
        </w:rPr>
        <w:t xml:space="preserve">. </w:t>
      </w:r>
      <w:r w:rsidR="006A6CC0">
        <w:rPr>
          <w:rFonts w:ascii="Arial" w:hAnsi="Arial" w:cs="Arial"/>
          <w:sz w:val="26"/>
          <w:szCs w:val="26"/>
        </w:rPr>
        <w:t>En consecuencia,</w:t>
      </w:r>
      <w:r w:rsidR="00146FEF">
        <w:rPr>
          <w:rFonts w:ascii="Arial" w:hAnsi="Arial" w:cs="Arial"/>
          <w:sz w:val="26"/>
          <w:szCs w:val="26"/>
        </w:rPr>
        <w:t xml:space="preserve"> se declarará improcedente </w:t>
      </w:r>
      <w:r w:rsidR="006A6CC0" w:rsidRPr="006A6CC0">
        <w:rPr>
          <w:rFonts w:ascii="Arial" w:hAnsi="Arial" w:cs="Arial"/>
          <w:spacing w:val="-3"/>
          <w:sz w:val="26"/>
          <w:szCs w:val="26"/>
        </w:rPr>
        <w:t>el amparo</w:t>
      </w:r>
      <w:r w:rsidR="006A6CC0">
        <w:rPr>
          <w:rFonts w:ascii="Arial" w:hAnsi="Arial" w:cs="Arial"/>
          <w:spacing w:val="-3"/>
          <w:sz w:val="26"/>
          <w:szCs w:val="26"/>
        </w:rPr>
        <w:t xml:space="preserve"> constitucional</w:t>
      </w:r>
      <w:r w:rsidR="00146FEF">
        <w:rPr>
          <w:rFonts w:ascii="Arial" w:hAnsi="Arial" w:cs="Arial"/>
          <w:sz w:val="26"/>
          <w:szCs w:val="26"/>
        </w:rPr>
        <w:t xml:space="preserve"> frente al </w:t>
      </w:r>
      <w:r w:rsidR="006A6CC0">
        <w:rPr>
          <w:rFonts w:ascii="Arial" w:hAnsi="Arial" w:cs="Arial"/>
          <w:sz w:val="26"/>
          <w:szCs w:val="26"/>
        </w:rPr>
        <w:t>J</w:t>
      </w:r>
      <w:r w:rsidR="006A6CC0" w:rsidRPr="006A6CC0">
        <w:rPr>
          <w:rFonts w:ascii="Arial" w:hAnsi="Arial" w:cs="Arial"/>
          <w:sz w:val="26"/>
          <w:szCs w:val="26"/>
        </w:rPr>
        <w:t xml:space="preserve">uzgado </w:t>
      </w:r>
      <w:r w:rsidR="006A6CC0">
        <w:rPr>
          <w:rFonts w:ascii="Arial" w:hAnsi="Arial" w:cs="Arial"/>
          <w:sz w:val="26"/>
          <w:szCs w:val="26"/>
        </w:rPr>
        <w:t>P</w:t>
      </w:r>
      <w:r w:rsidR="006A6CC0" w:rsidRPr="006A6CC0">
        <w:rPr>
          <w:rFonts w:ascii="Arial" w:hAnsi="Arial" w:cs="Arial"/>
          <w:sz w:val="26"/>
          <w:szCs w:val="26"/>
        </w:rPr>
        <w:t xml:space="preserve">romiscuo del </w:t>
      </w:r>
      <w:r w:rsidR="006A6CC0">
        <w:rPr>
          <w:rFonts w:ascii="Arial" w:hAnsi="Arial" w:cs="Arial"/>
          <w:sz w:val="26"/>
          <w:szCs w:val="26"/>
        </w:rPr>
        <w:t>C</w:t>
      </w:r>
      <w:r w:rsidR="006A6CC0" w:rsidRPr="006A6CC0">
        <w:rPr>
          <w:rFonts w:ascii="Arial" w:hAnsi="Arial" w:cs="Arial"/>
          <w:sz w:val="26"/>
          <w:szCs w:val="26"/>
        </w:rPr>
        <w:t xml:space="preserve">ircuito de </w:t>
      </w:r>
      <w:r w:rsidR="006A6CC0">
        <w:rPr>
          <w:rFonts w:ascii="Arial" w:hAnsi="Arial" w:cs="Arial"/>
          <w:sz w:val="26"/>
          <w:szCs w:val="26"/>
        </w:rPr>
        <w:t>L</w:t>
      </w:r>
      <w:r w:rsidR="006A6CC0" w:rsidRPr="006A6CC0">
        <w:rPr>
          <w:rFonts w:ascii="Arial" w:hAnsi="Arial" w:cs="Arial"/>
          <w:sz w:val="26"/>
          <w:szCs w:val="26"/>
        </w:rPr>
        <w:t xml:space="preserve">a </w:t>
      </w:r>
      <w:r w:rsidR="006A6CC0">
        <w:rPr>
          <w:rFonts w:ascii="Arial" w:hAnsi="Arial" w:cs="Arial"/>
          <w:sz w:val="26"/>
          <w:szCs w:val="26"/>
        </w:rPr>
        <w:t>V</w:t>
      </w:r>
      <w:r w:rsidR="006A6CC0" w:rsidRPr="006A6CC0">
        <w:rPr>
          <w:rFonts w:ascii="Arial" w:hAnsi="Arial" w:cs="Arial"/>
          <w:sz w:val="26"/>
          <w:szCs w:val="26"/>
        </w:rPr>
        <w:t>irginia</w:t>
      </w:r>
      <w:r w:rsidR="00EE3430">
        <w:rPr>
          <w:rFonts w:ascii="Arial" w:hAnsi="Arial" w:cs="Arial"/>
          <w:sz w:val="26"/>
          <w:szCs w:val="26"/>
        </w:rPr>
        <w:t xml:space="preserve"> </w:t>
      </w:r>
      <w:r w:rsidR="00146FEF">
        <w:rPr>
          <w:rFonts w:ascii="Arial" w:hAnsi="Arial" w:cs="Arial"/>
          <w:sz w:val="26"/>
          <w:szCs w:val="26"/>
        </w:rPr>
        <w:t>y se ordenará la desvinculación de los demás convocados a este trámite</w:t>
      </w:r>
      <w:r w:rsidR="0042598B">
        <w:rPr>
          <w:rFonts w:ascii="Arial" w:hAnsi="Arial" w:cs="Arial"/>
          <w:sz w:val="26"/>
          <w:szCs w:val="26"/>
        </w:rPr>
        <w:t>.</w:t>
      </w:r>
    </w:p>
    <w:p w:rsidR="0042598B" w:rsidRPr="00EE3430" w:rsidRDefault="0042598B" w:rsidP="0042598B">
      <w:pPr>
        <w:pStyle w:val="Sinespaciado1"/>
        <w:spacing w:line="360" w:lineRule="auto"/>
        <w:ind w:firstLine="2832"/>
        <w:jc w:val="both"/>
        <w:rPr>
          <w:rFonts w:ascii="Arial" w:hAnsi="Arial" w:cs="Arial"/>
          <w:sz w:val="16"/>
          <w:szCs w:val="16"/>
        </w:rPr>
      </w:pPr>
    </w:p>
    <w:p w:rsidR="00EE3430" w:rsidRDefault="00AA7770" w:rsidP="00EE3430">
      <w:pPr>
        <w:pStyle w:val="Sinespaciado2"/>
        <w:spacing w:line="360" w:lineRule="auto"/>
        <w:ind w:firstLine="2835"/>
        <w:jc w:val="both"/>
        <w:rPr>
          <w:rFonts w:ascii="Arial" w:hAnsi="Arial" w:cs="Arial"/>
          <w:sz w:val="26"/>
          <w:szCs w:val="26"/>
        </w:rPr>
      </w:pPr>
      <w:r>
        <w:rPr>
          <w:rFonts w:ascii="Arial" w:hAnsi="Arial" w:cs="Arial"/>
          <w:sz w:val="26"/>
          <w:szCs w:val="26"/>
        </w:rPr>
        <w:t>7</w:t>
      </w:r>
      <w:r w:rsidR="00EE3430">
        <w:rPr>
          <w:rFonts w:ascii="Arial" w:hAnsi="Arial" w:cs="Arial"/>
          <w:sz w:val="26"/>
          <w:szCs w:val="26"/>
        </w:rPr>
        <w:t xml:space="preserve">. </w:t>
      </w:r>
      <w:r w:rsidR="008D310E" w:rsidRPr="00ED277C">
        <w:rPr>
          <w:rFonts w:ascii="Arial" w:hAnsi="Arial" w:cs="Arial"/>
          <w:sz w:val="26"/>
          <w:szCs w:val="26"/>
        </w:rPr>
        <w:t>No se accederá a la</w:t>
      </w:r>
      <w:r w:rsidR="008D310E">
        <w:rPr>
          <w:rFonts w:ascii="Arial" w:hAnsi="Arial" w:cs="Arial"/>
          <w:sz w:val="26"/>
          <w:szCs w:val="26"/>
        </w:rPr>
        <w:t>s</w:t>
      </w:r>
      <w:r w:rsidR="008D310E" w:rsidRPr="00ED277C">
        <w:rPr>
          <w:rFonts w:ascii="Arial" w:hAnsi="Arial" w:cs="Arial"/>
          <w:sz w:val="26"/>
          <w:szCs w:val="26"/>
        </w:rPr>
        <w:t xml:space="preserve"> </w:t>
      </w:r>
      <w:r w:rsidR="008D310E">
        <w:rPr>
          <w:rFonts w:ascii="Arial" w:hAnsi="Arial" w:cs="Arial"/>
          <w:sz w:val="26"/>
          <w:szCs w:val="26"/>
        </w:rPr>
        <w:t>pretensiones del accionante relacionadas con “</w:t>
      </w:r>
      <w:r w:rsidR="008D310E" w:rsidRPr="00204912">
        <w:rPr>
          <w:rFonts w:ascii="Arial" w:hAnsi="Arial" w:cs="Arial"/>
          <w:i/>
          <w:sz w:val="26"/>
          <w:szCs w:val="26"/>
        </w:rPr>
        <w:t>que la sala plena profiera sentencia de unificación sobre si aplica art 121 CGP o No y si se puede aplicar art del CGP de desistimiento tacito (sic) en una Acción popular...</w:t>
      </w:r>
      <w:r w:rsidR="008D310E">
        <w:rPr>
          <w:rFonts w:ascii="Arial" w:hAnsi="Arial" w:cs="Arial"/>
          <w:sz w:val="26"/>
          <w:szCs w:val="26"/>
        </w:rPr>
        <w:t xml:space="preserve">”; y, que se le brinde copia completa en físico de todo lo actuado para que obre en acción de reparación directa, pues la acción de tutela no </w:t>
      </w:r>
      <w:r w:rsidR="008D310E" w:rsidRPr="00ED277C">
        <w:rPr>
          <w:rFonts w:ascii="Arial" w:hAnsi="Arial" w:cs="Arial"/>
          <w:sz w:val="26"/>
          <w:szCs w:val="26"/>
        </w:rPr>
        <w:t xml:space="preserve">está </w:t>
      </w:r>
      <w:r w:rsidR="008D310E">
        <w:rPr>
          <w:rFonts w:ascii="Arial" w:hAnsi="Arial" w:cs="Arial"/>
          <w:sz w:val="26"/>
          <w:szCs w:val="26"/>
        </w:rPr>
        <w:t>consagrad</w:t>
      </w:r>
      <w:r w:rsidR="008D310E" w:rsidRPr="00ED277C">
        <w:rPr>
          <w:rFonts w:ascii="Arial" w:hAnsi="Arial" w:cs="Arial"/>
          <w:sz w:val="26"/>
          <w:szCs w:val="26"/>
        </w:rPr>
        <w:t>a para tramitar esa clase de solicitudes</w:t>
      </w:r>
      <w:r w:rsidR="00EE3430" w:rsidRPr="00ED277C">
        <w:rPr>
          <w:rFonts w:ascii="Arial" w:hAnsi="Arial" w:cs="Arial"/>
          <w:sz w:val="26"/>
          <w:szCs w:val="26"/>
        </w:rPr>
        <w:t>.</w:t>
      </w:r>
    </w:p>
    <w:p w:rsidR="001A46B3" w:rsidRDefault="001A46B3" w:rsidP="00E75165">
      <w:pPr>
        <w:pStyle w:val="Sinespaciado1"/>
        <w:spacing w:line="360" w:lineRule="auto"/>
        <w:ind w:firstLine="2835"/>
        <w:jc w:val="both"/>
        <w:rPr>
          <w:rFonts w:ascii="Arial" w:hAnsi="Arial" w:cs="Arial"/>
          <w:b/>
          <w:bCs/>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612199" w:rsidRDefault="00612199"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 </w:t>
      </w:r>
      <w:r w:rsidR="008F54C5" w:rsidRPr="006A6CC0">
        <w:rPr>
          <w:rFonts w:ascii="Arial" w:hAnsi="Arial" w:cs="Arial"/>
          <w:spacing w:val="-3"/>
          <w:sz w:val="26"/>
          <w:szCs w:val="26"/>
        </w:rPr>
        <w:t>e</w:t>
      </w:r>
      <w:r w:rsidRPr="006A6CC0">
        <w:rPr>
          <w:rFonts w:ascii="Arial" w:hAnsi="Arial" w:cs="Arial"/>
          <w:spacing w:val="-3"/>
          <w:sz w:val="26"/>
          <w:szCs w:val="26"/>
          <w:lang w:val="es-ES"/>
        </w:rPr>
        <w:t>l amparo</w:t>
      </w:r>
      <w:r>
        <w:rPr>
          <w:rFonts w:ascii="Arial" w:hAnsi="Arial" w:cs="Arial"/>
          <w:spacing w:val="-3"/>
          <w:sz w:val="26"/>
          <w:szCs w:val="26"/>
          <w:lang w:val="es-ES"/>
        </w:rPr>
        <w:t xml:space="preserve"> constitucional invocado</w:t>
      </w:r>
      <w:r w:rsidR="00AB7BF0">
        <w:rPr>
          <w:rFonts w:ascii="Arial" w:hAnsi="Arial" w:cs="Arial"/>
          <w:spacing w:val="-3"/>
          <w:sz w:val="26"/>
          <w:szCs w:val="26"/>
          <w:lang w:val="es-ES"/>
        </w:rPr>
        <w:t xml:space="preserve"> </w:t>
      </w:r>
      <w:r w:rsidRPr="000905F6">
        <w:rPr>
          <w:rFonts w:ascii="Arial" w:hAnsi="Arial" w:cs="Arial"/>
          <w:sz w:val="26"/>
          <w:szCs w:val="26"/>
        </w:rPr>
        <w:t>por el señor</w:t>
      </w:r>
      <w:r w:rsidR="00AB7BF0">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AB7BF0">
        <w:rPr>
          <w:rFonts w:ascii="Arial" w:hAnsi="Arial" w:cs="Arial"/>
          <w:sz w:val="26"/>
          <w:szCs w:val="26"/>
          <w:lang w:val="es-ES" w:eastAsia="es-ES"/>
        </w:rPr>
        <w:t xml:space="preserve"> </w:t>
      </w:r>
      <w:r w:rsidRPr="000905F6">
        <w:rPr>
          <w:rFonts w:ascii="Arial" w:hAnsi="Arial" w:cs="Arial"/>
          <w:szCs w:val="28"/>
          <w:lang w:val="es-ES" w:eastAsia="es-ES"/>
        </w:rPr>
        <w:t>JUZGADO</w:t>
      </w:r>
      <w:r w:rsidR="00AB7BF0">
        <w:rPr>
          <w:rFonts w:ascii="Arial" w:hAnsi="Arial" w:cs="Arial"/>
          <w:szCs w:val="28"/>
          <w:lang w:val="es-ES" w:eastAsia="es-ES"/>
        </w:rPr>
        <w:t xml:space="preserve"> </w:t>
      </w:r>
      <w:r w:rsidR="0088040E">
        <w:rPr>
          <w:rFonts w:ascii="Arial" w:hAnsi="Arial" w:cs="Arial"/>
          <w:szCs w:val="28"/>
          <w:lang w:val="es-ES" w:eastAsia="es-ES"/>
        </w:rPr>
        <w:t xml:space="preserve">PROMISCUO DEL </w:t>
      </w:r>
      <w:r w:rsidRPr="000905F6">
        <w:rPr>
          <w:rFonts w:ascii="Arial" w:hAnsi="Arial" w:cs="Arial"/>
          <w:szCs w:val="28"/>
          <w:lang w:val="es-ES" w:eastAsia="es-ES"/>
        </w:rPr>
        <w:t xml:space="preserve">CIRCUITO DE </w:t>
      </w:r>
      <w:r w:rsidR="0088040E">
        <w:rPr>
          <w:rFonts w:ascii="Arial" w:hAnsi="Arial" w:cs="Arial"/>
          <w:szCs w:val="28"/>
          <w:lang w:val="es-ES" w:eastAsia="es-ES"/>
        </w:rPr>
        <w:t>LA VIRGINIA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Pr="000905F6" w:rsidRDefault="00180A63" w:rsidP="00180A63">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AB7BF0">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AB7BF0">
        <w:rPr>
          <w:rFonts w:ascii="Arial" w:hAnsi="Arial" w:cs="Arial"/>
          <w:sz w:val="26"/>
          <w:szCs w:val="26"/>
        </w:rPr>
        <w:t xml:space="preserve"> </w:t>
      </w:r>
      <w:r w:rsidRPr="002C32B0">
        <w:rPr>
          <w:rFonts w:ascii="Arial" w:hAnsi="Arial" w:cs="Arial"/>
          <w:sz w:val="26"/>
          <w:szCs w:val="26"/>
          <w:lang w:val="es-ES" w:eastAsia="es-ES"/>
        </w:rPr>
        <w:t>la</w:t>
      </w:r>
      <w:r w:rsidR="00AB7BF0">
        <w:rPr>
          <w:rFonts w:ascii="Arial" w:hAnsi="Arial" w:cs="Arial"/>
          <w:sz w:val="26"/>
          <w:szCs w:val="26"/>
          <w:lang w:val="es-ES" w:eastAsia="es-ES"/>
        </w:rPr>
        <w:t xml:space="preserve"> </w:t>
      </w:r>
      <w:r w:rsidR="007200DF">
        <w:rPr>
          <w:rFonts w:ascii="Arial" w:hAnsi="Arial" w:cs="Arial"/>
          <w:szCs w:val="28"/>
          <w:lang w:val="es-ES" w:eastAsia="es-ES"/>
        </w:rPr>
        <w:t>ALCALDÍA</w:t>
      </w:r>
      <w:r w:rsidR="007200DF" w:rsidRPr="00DD0DA6">
        <w:rPr>
          <w:rFonts w:ascii="Arial" w:hAnsi="Arial" w:cs="Arial"/>
          <w:szCs w:val="26"/>
          <w:lang w:val="es-ES" w:eastAsia="es-ES"/>
        </w:rPr>
        <w:t xml:space="preserve"> DE </w:t>
      </w:r>
      <w:r w:rsidR="007200DF">
        <w:rPr>
          <w:rFonts w:ascii="Arial" w:hAnsi="Arial" w:cs="Arial"/>
          <w:szCs w:val="26"/>
          <w:lang w:val="es-ES" w:eastAsia="es-ES"/>
        </w:rPr>
        <w:t>LA VIRGINIA</w:t>
      </w:r>
      <w:r w:rsidR="007200DF">
        <w:rPr>
          <w:rFonts w:ascii="Arial" w:hAnsi="Arial" w:cs="Arial"/>
          <w:szCs w:val="28"/>
          <w:lang w:val="es-ES" w:eastAsia="es-ES"/>
        </w:rPr>
        <w:t xml:space="preserve">, </w:t>
      </w:r>
      <w:r w:rsidR="007200DF" w:rsidRPr="00704815">
        <w:rPr>
          <w:rFonts w:ascii="Arial" w:hAnsi="Arial" w:cs="Arial"/>
          <w:sz w:val="26"/>
          <w:szCs w:val="26"/>
          <w:lang w:val="es-ES" w:eastAsia="es-ES"/>
        </w:rPr>
        <w:t>la</w:t>
      </w:r>
      <w:r w:rsidR="007200DF">
        <w:rPr>
          <w:rFonts w:ascii="Arial" w:hAnsi="Arial" w:cs="Arial"/>
          <w:sz w:val="26"/>
          <w:szCs w:val="26"/>
          <w:lang w:val="es-ES" w:eastAsia="es-ES"/>
        </w:rPr>
        <w:t xml:space="preserve"> </w:t>
      </w:r>
      <w:r w:rsidR="007200DF" w:rsidRPr="00541D87">
        <w:rPr>
          <w:rFonts w:ascii="Arial" w:hAnsi="Arial" w:cs="Arial"/>
          <w:szCs w:val="28"/>
          <w:lang w:val="es-ES" w:eastAsia="es-ES"/>
        </w:rPr>
        <w:t>PROCURADURÍA GENERAL D</w:t>
      </w:r>
      <w:r w:rsidR="007200DF">
        <w:rPr>
          <w:rFonts w:ascii="Arial" w:hAnsi="Arial" w:cs="Arial"/>
          <w:szCs w:val="28"/>
          <w:lang w:val="es-ES" w:eastAsia="es-ES"/>
        </w:rPr>
        <w:t>E LA NACIÓN,</w:t>
      </w:r>
      <w:r w:rsidR="007200DF">
        <w:rPr>
          <w:rFonts w:ascii="Arial" w:hAnsi="Arial" w:cs="Arial"/>
          <w:sz w:val="26"/>
          <w:szCs w:val="26"/>
          <w:lang w:val="es-ES" w:eastAsia="es-ES"/>
        </w:rPr>
        <w:t xml:space="preserve"> la </w:t>
      </w:r>
      <w:r w:rsidR="007200DF" w:rsidRPr="00541D87">
        <w:rPr>
          <w:rFonts w:ascii="Arial" w:hAnsi="Arial" w:cs="Arial"/>
          <w:szCs w:val="28"/>
          <w:lang w:val="es-ES" w:eastAsia="es-ES"/>
        </w:rPr>
        <w:t>DEFENSORÍA DEL PUEBLO</w:t>
      </w:r>
      <w:r w:rsidR="007200DF">
        <w:rPr>
          <w:rFonts w:ascii="Arial" w:hAnsi="Arial" w:cs="Arial"/>
          <w:szCs w:val="28"/>
          <w:lang w:val="es-ES" w:eastAsia="es-ES"/>
        </w:rPr>
        <w:t>,</w:t>
      </w:r>
      <w:r w:rsidR="007200DF" w:rsidRPr="000C5807">
        <w:rPr>
          <w:rFonts w:ascii="Arial" w:hAnsi="Arial" w:cs="Arial"/>
          <w:sz w:val="26"/>
          <w:szCs w:val="26"/>
          <w:lang w:val="es-ES" w:eastAsia="es-ES"/>
        </w:rPr>
        <w:t xml:space="preserve"> ambas de la Regional Risaralda</w:t>
      </w:r>
      <w:r w:rsidR="007200DF">
        <w:rPr>
          <w:rFonts w:ascii="Arial" w:hAnsi="Arial" w:cs="Arial"/>
          <w:sz w:val="26"/>
          <w:szCs w:val="26"/>
          <w:lang w:val="es-ES" w:eastAsia="es-ES"/>
        </w:rPr>
        <w:t xml:space="preserve">, la </w:t>
      </w:r>
      <w:r w:rsidR="007200DF" w:rsidRPr="008F578F">
        <w:rPr>
          <w:rFonts w:ascii="Arial" w:hAnsi="Arial" w:cs="Arial"/>
          <w:szCs w:val="26"/>
          <w:lang w:val="es-ES" w:eastAsia="es-ES"/>
        </w:rPr>
        <w:t>A</w:t>
      </w:r>
      <w:r w:rsidR="007200DF">
        <w:rPr>
          <w:rFonts w:ascii="Arial" w:hAnsi="Arial" w:cs="Arial"/>
          <w:szCs w:val="26"/>
          <w:lang w:val="es-ES" w:eastAsia="es-ES"/>
        </w:rPr>
        <w:t>LCALDÍA</w:t>
      </w:r>
      <w:r w:rsidR="007200DF">
        <w:rPr>
          <w:rFonts w:ascii="Arial" w:hAnsi="Arial" w:cs="Arial"/>
          <w:sz w:val="26"/>
          <w:szCs w:val="26"/>
          <w:lang w:val="es-ES" w:eastAsia="es-ES"/>
        </w:rPr>
        <w:t xml:space="preserve"> y la </w:t>
      </w:r>
      <w:r w:rsidR="007200DF" w:rsidRPr="008F578F">
        <w:rPr>
          <w:rFonts w:ascii="Arial" w:hAnsi="Arial" w:cs="Arial"/>
          <w:szCs w:val="26"/>
          <w:lang w:val="es-ES" w:eastAsia="es-ES"/>
        </w:rPr>
        <w:t xml:space="preserve">PERSONERÍA MUNICIPAL </w:t>
      </w:r>
      <w:r w:rsidR="007200DF">
        <w:rPr>
          <w:rFonts w:ascii="Arial" w:hAnsi="Arial" w:cs="Arial"/>
          <w:sz w:val="26"/>
          <w:szCs w:val="26"/>
          <w:lang w:val="es-ES" w:eastAsia="es-ES"/>
        </w:rPr>
        <w:t xml:space="preserve">de </w:t>
      </w:r>
      <w:r w:rsidR="007200DF" w:rsidRPr="00045C6A">
        <w:rPr>
          <w:rFonts w:ascii="Arial" w:hAnsi="Arial" w:cs="Arial"/>
          <w:szCs w:val="26"/>
          <w:lang w:val="es-ES" w:eastAsia="es-ES"/>
        </w:rPr>
        <w:t>SANTANDER DE QUILICHAO, CAUCA</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742060"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00180A63" w:rsidRPr="000905F6">
        <w:rPr>
          <w:rFonts w:ascii="Arial" w:hAnsi="Arial" w:cs="Arial"/>
          <w:spacing w:val="-3"/>
          <w:sz w:val="26"/>
          <w:szCs w:val="26"/>
        </w:rPr>
        <w:t xml:space="preserve">Notifíquese esta decisión a las partes por el medio más expedito posible </w:t>
      </w:r>
      <w:r w:rsidR="00180A63">
        <w:rPr>
          <w:rFonts w:ascii="Arial" w:hAnsi="Arial" w:cs="Arial"/>
          <w:spacing w:val="-3"/>
          <w:sz w:val="26"/>
          <w:szCs w:val="26"/>
        </w:rPr>
        <w:t xml:space="preserve">(art. 5º </w:t>
      </w:r>
      <w:r w:rsidR="00180A63"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742060"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AB7BF0">
        <w:rPr>
          <w:rFonts w:ascii="Arial" w:hAnsi="Arial" w:cs="Arial"/>
          <w:b/>
          <w:spacing w:val="-3"/>
          <w:sz w:val="24"/>
          <w:szCs w:val="28"/>
        </w:rPr>
        <w:t xml:space="preserve"> </w:t>
      </w:r>
      <w:r w:rsidR="00180A63"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742060"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AB7BF0">
        <w:rPr>
          <w:rFonts w:ascii="Arial" w:hAnsi="Arial" w:cs="Arial"/>
          <w:b/>
          <w:spacing w:val="-3"/>
          <w:sz w:val="24"/>
        </w:rPr>
        <w:t xml:space="preserve"> </w:t>
      </w:r>
      <w:r w:rsidR="00180A63">
        <w:rPr>
          <w:rFonts w:ascii="Arial" w:hAnsi="Arial" w:cs="Arial"/>
          <w:spacing w:val="-3"/>
          <w:sz w:val="26"/>
          <w:szCs w:val="26"/>
        </w:rPr>
        <w:t>Archivar el expediente, previa anotación</w:t>
      </w:r>
      <w:r w:rsidR="00180A63"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Pr="00E722B3" w:rsidRDefault="00D66BA0"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180A63" w:rsidRPr="00E722B3" w:rsidRDefault="00180A63" w:rsidP="00602C0C">
      <w:pPr>
        <w:pStyle w:val="Sinespaciado1"/>
        <w:ind w:firstLine="2835"/>
        <w:jc w:val="both"/>
        <w:rPr>
          <w:rFonts w:ascii="Arial" w:hAnsi="Arial" w:cs="Arial"/>
          <w:b/>
          <w:spacing w:val="-3"/>
        </w:rPr>
      </w:pP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Default="00D66BA0"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474F6C" w:rsidRDefault="00180A63" w:rsidP="00602C0C">
      <w:pPr>
        <w:pStyle w:val="Sinespaciado1"/>
        <w:ind w:left="2124" w:firstLine="708"/>
        <w:jc w:val="both"/>
        <w:rPr>
          <w:rFonts w:ascii="Arial" w:hAnsi="Arial" w:cs="Arial"/>
          <w:b/>
          <w:spacing w:val="-3"/>
        </w:rPr>
      </w:pPr>
      <w:r w:rsidRPr="00E722B3">
        <w:rPr>
          <w:rFonts w:ascii="Arial" w:hAnsi="Arial" w:cs="Arial"/>
          <w:b/>
          <w:spacing w:val="-3"/>
        </w:rPr>
        <w:t xml:space="preserve">JAIME ALBERTO SARAZA NARANJO </w:t>
      </w:r>
    </w:p>
    <w:p w:rsidR="00474F6C" w:rsidRDefault="00474F6C"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D66BA0" w:rsidRDefault="00D66BA0"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474F6C" w:rsidRDefault="00474F6C" w:rsidP="00602C0C">
      <w:pPr>
        <w:pStyle w:val="Sinespaciado1"/>
        <w:jc w:val="both"/>
        <w:rPr>
          <w:rFonts w:ascii="Arial" w:hAnsi="Arial" w:cs="Arial"/>
          <w:b/>
          <w:spacing w:val="-3"/>
        </w:rPr>
      </w:pPr>
    </w:p>
    <w:p w:rsidR="002506D8" w:rsidRPr="00834D0C" w:rsidRDefault="00180A63" w:rsidP="002506D8">
      <w:pPr>
        <w:pStyle w:val="Sinespaciado1"/>
        <w:ind w:left="2124" w:firstLine="708"/>
        <w:jc w:val="both"/>
        <w:rPr>
          <w:rFonts w:ascii="Arial" w:hAnsi="Arial" w:cs="Arial"/>
          <w:b/>
        </w:rPr>
      </w:pPr>
      <w:r w:rsidRPr="00E722B3">
        <w:rPr>
          <w:rFonts w:ascii="Arial" w:hAnsi="Arial" w:cs="Arial"/>
          <w:b/>
        </w:rPr>
        <w:t>CLAUDIA MARÍA ARCILA RÍOS</w:t>
      </w:r>
    </w:p>
    <w:sectPr w:rsidR="002506D8" w:rsidRPr="00834D0C" w:rsidSect="00A57FA0">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059" w:rsidRDefault="00D13059" w:rsidP="00E75165">
      <w:r>
        <w:separator/>
      </w:r>
    </w:p>
  </w:endnote>
  <w:endnote w:type="continuationSeparator" w:id="0">
    <w:p w:rsidR="00D13059" w:rsidRDefault="00D13059"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31CA7">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01E33">
      <w:rPr>
        <w:rFonts w:ascii="Arial" w:hAnsi="Arial" w:cs="Arial"/>
        <w:noProof/>
        <w:sz w:val="22"/>
        <w:szCs w:val="22"/>
      </w:rPr>
      <w:t>7</w:t>
    </w:r>
    <w:r w:rsidRPr="00B97631">
      <w:rPr>
        <w:rFonts w:ascii="Arial" w:hAnsi="Arial" w:cs="Arial"/>
        <w:sz w:val="22"/>
        <w:szCs w:val="22"/>
      </w:rPr>
      <w:fldChar w:fldCharType="end"/>
    </w:r>
  </w:p>
  <w:p w:rsidR="0081398C" w:rsidRDefault="00D130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059" w:rsidRDefault="00D13059" w:rsidP="00E75165">
      <w:r>
        <w:separator/>
      </w:r>
    </w:p>
  </w:footnote>
  <w:footnote w:type="continuationSeparator" w:id="0">
    <w:p w:rsidR="00D13059" w:rsidRDefault="00D13059" w:rsidP="00E75165">
      <w:r>
        <w:continuationSeparator/>
      </w:r>
    </w:p>
  </w:footnote>
  <w:footnote w:id="1">
    <w:p w:rsidR="00E75165" w:rsidRPr="00EA21EB" w:rsidRDefault="00E75165" w:rsidP="00E75165">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146FEF" w:rsidRPr="000F09CD" w:rsidRDefault="00146FEF" w:rsidP="00146FEF">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3">
    <w:p w:rsidR="002F077D" w:rsidRPr="00C1307D" w:rsidRDefault="002F077D" w:rsidP="002F077D">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00612199" w:rsidRPr="000F09CD">
        <w:rPr>
          <w:rFonts w:ascii="Arial" w:hAnsi="Arial" w:cs="Arial"/>
        </w:rPr>
        <w:t xml:space="preserve">Corte Constitucional </w:t>
      </w:r>
      <w:r w:rsidRPr="00C1307D">
        <w:rPr>
          <w:rFonts w:ascii="Arial" w:hAnsi="Arial" w:cs="Arial"/>
          <w:lang w:val="es-CO"/>
        </w:rPr>
        <w:t>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D13059" w:rsidP="002C5601">
    <w:pPr>
      <w:pStyle w:val="Sinespaciado1"/>
      <w:rPr>
        <w:rFonts w:ascii="Arial" w:hAnsi="Arial" w:cs="Arial"/>
        <w:sz w:val="16"/>
        <w:szCs w:val="16"/>
      </w:rPr>
    </w:pPr>
  </w:p>
  <w:p w:rsidR="0081398C" w:rsidRPr="005643A9" w:rsidRDefault="00D13059"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w:t>
    </w:r>
    <w:r w:rsidR="000D5C40">
      <w:rPr>
        <w:rFonts w:ascii="Arial" w:hAnsi="Arial" w:cs="Arial"/>
        <w:sz w:val="16"/>
        <w:szCs w:val="16"/>
      </w:rPr>
      <w:t>8</w:t>
    </w:r>
    <w:r w:rsidR="00095604">
      <w:rPr>
        <w:rFonts w:ascii="Arial" w:hAnsi="Arial" w:cs="Arial"/>
        <w:sz w:val="16"/>
        <w:szCs w:val="16"/>
      </w:rPr>
      <w:t>-00</w:t>
    </w:r>
    <w:r w:rsidR="000D5C40">
      <w:rPr>
        <w:rFonts w:ascii="Arial" w:hAnsi="Arial" w:cs="Arial"/>
        <w:sz w:val="16"/>
        <w:szCs w:val="16"/>
      </w:rPr>
      <w:t>049</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2288F"/>
    <w:rsid w:val="00042614"/>
    <w:rsid w:val="00045C6A"/>
    <w:rsid w:val="00095604"/>
    <w:rsid w:val="000B147A"/>
    <w:rsid w:val="000C5807"/>
    <w:rsid w:val="000D4BDA"/>
    <w:rsid w:val="000D5C40"/>
    <w:rsid w:val="000F37B0"/>
    <w:rsid w:val="0011037A"/>
    <w:rsid w:val="001256A2"/>
    <w:rsid w:val="00141E91"/>
    <w:rsid w:val="00146FEF"/>
    <w:rsid w:val="00163794"/>
    <w:rsid w:val="00167654"/>
    <w:rsid w:val="00180A63"/>
    <w:rsid w:val="00190D85"/>
    <w:rsid w:val="001A46B3"/>
    <w:rsid w:val="001C0007"/>
    <w:rsid w:val="001D5B16"/>
    <w:rsid w:val="001D71C1"/>
    <w:rsid w:val="001E518A"/>
    <w:rsid w:val="001E5F68"/>
    <w:rsid w:val="001F045C"/>
    <w:rsid w:val="00201F7B"/>
    <w:rsid w:val="00211B5B"/>
    <w:rsid w:val="00235ADC"/>
    <w:rsid w:val="00244EF2"/>
    <w:rsid w:val="002506D8"/>
    <w:rsid w:val="002C24C2"/>
    <w:rsid w:val="002C2C1B"/>
    <w:rsid w:val="002E3E9E"/>
    <w:rsid w:val="002F077D"/>
    <w:rsid w:val="002F4A16"/>
    <w:rsid w:val="002F68CF"/>
    <w:rsid w:val="00312504"/>
    <w:rsid w:val="00366CFB"/>
    <w:rsid w:val="003969B4"/>
    <w:rsid w:val="003B06FA"/>
    <w:rsid w:val="003C29B8"/>
    <w:rsid w:val="003E672A"/>
    <w:rsid w:val="003F159F"/>
    <w:rsid w:val="003F58D7"/>
    <w:rsid w:val="00403149"/>
    <w:rsid w:val="00413CDF"/>
    <w:rsid w:val="00424B29"/>
    <w:rsid w:val="0042598B"/>
    <w:rsid w:val="0043151D"/>
    <w:rsid w:val="004330C5"/>
    <w:rsid w:val="00442134"/>
    <w:rsid w:val="00451C90"/>
    <w:rsid w:val="004642DB"/>
    <w:rsid w:val="004674E4"/>
    <w:rsid w:val="004708D0"/>
    <w:rsid w:val="00474F6C"/>
    <w:rsid w:val="00481E05"/>
    <w:rsid w:val="004D7483"/>
    <w:rsid w:val="00501E33"/>
    <w:rsid w:val="00520F6D"/>
    <w:rsid w:val="0052200E"/>
    <w:rsid w:val="0054176C"/>
    <w:rsid w:val="005522C4"/>
    <w:rsid w:val="005717D5"/>
    <w:rsid w:val="00596DCB"/>
    <w:rsid w:val="005B7B3F"/>
    <w:rsid w:val="005C4807"/>
    <w:rsid w:val="005E2FAD"/>
    <w:rsid w:val="005F58EB"/>
    <w:rsid w:val="00602C0C"/>
    <w:rsid w:val="00612199"/>
    <w:rsid w:val="00627E1D"/>
    <w:rsid w:val="00654DC0"/>
    <w:rsid w:val="00670E2D"/>
    <w:rsid w:val="006A3E7D"/>
    <w:rsid w:val="006A6CC0"/>
    <w:rsid w:val="006B686C"/>
    <w:rsid w:val="006F247E"/>
    <w:rsid w:val="006F24AE"/>
    <w:rsid w:val="007019C4"/>
    <w:rsid w:val="007118B6"/>
    <w:rsid w:val="007120EB"/>
    <w:rsid w:val="007200DF"/>
    <w:rsid w:val="00722B7D"/>
    <w:rsid w:val="0072373D"/>
    <w:rsid w:val="00742060"/>
    <w:rsid w:val="007478C9"/>
    <w:rsid w:val="00756C2E"/>
    <w:rsid w:val="00764E35"/>
    <w:rsid w:val="00766293"/>
    <w:rsid w:val="008170CD"/>
    <w:rsid w:val="0082262E"/>
    <w:rsid w:val="00831CA7"/>
    <w:rsid w:val="00834D0C"/>
    <w:rsid w:val="00835861"/>
    <w:rsid w:val="00851E01"/>
    <w:rsid w:val="00852319"/>
    <w:rsid w:val="00876E16"/>
    <w:rsid w:val="0088040E"/>
    <w:rsid w:val="008B750F"/>
    <w:rsid w:val="008D310E"/>
    <w:rsid w:val="008F54C5"/>
    <w:rsid w:val="008F578F"/>
    <w:rsid w:val="008F6030"/>
    <w:rsid w:val="00910744"/>
    <w:rsid w:val="00923833"/>
    <w:rsid w:val="009479B2"/>
    <w:rsid w:val="00996516"/>
    <w:rsid w:val="009A2CA4"/>
    <w:rsid w:val="009A586C"/>
    <w:rsid w:val="009B78A6"/>
    <w:rsid w:val="009C3ECD"/>
    <w:rsid w:val="009E561D"/>
    <w:rsid w:val="00A13EFD"/>
    <w:rsid w:val="00A57FA0"/>
    <w:rsid w:val="00A72975"/>
    <w:rsid w:val="00A74193"/>
    <w:rsid w:val="00AA7770"/>
    <w:rsid w:val="00AB7BF0"/>
    <w:rsid w:val="00B253C8"/>
    <w:rsid w:val="00B27D7B"/>
    <w:rsid w:val="00B602A7"/>
    <w:rsid w:val="00B62D88"/>
    <w:rsid w:val="00B73EEF"/>
    <w:rsid w:val="00BA28CD"/>
    <w:rsid w:val="00BB1694"/>
    <w:rsid w:val="00BD4A52"/>
    <w:rsid w:val="00BE29B6"/>
    <w:rsid w:val="00BE48AF"/>
    <w:rsid w:val="00C25FC6"/>
    <w:rsid w:val="00C342A9"/>
    <w:rsid w:val="00C37637"/>
    <w:rsid w:val="00C54BC8"/>
    <w:rsid w:val="00C60E35"/>
    <w:rsid w:val="00C91954"/>
    <w:rsid w:val="00CA1BF9"/>
    <w:rsid w:val="00CB2F47"/>
    <w:rsid w:val="00CC7DCF"/>
    <w:rsid w:val="00CC7F16"/>
    <w:rsid w:val="00D04B8C"/>
    <w:rsid w:val="00D13059"/>
    <w:rsid w:val="00D370CE"/>
    <w:rsid w:val="00D46AAE"/>
    <w:rsid w:val="00D5764A"/>
    <w:rsid w:val="00D633ED"/>
    <w:rsid w:val="00D66BA0"/>
    <w:rsid w:val="00D7420F"/>
    <w:rsid w:val="00D932F2"/>
    <w:rsid w:val="00DA369F"/>
    <w:rsid w:val="00DA722A"/>
    <w:rsid w:val="00DF2F5E"/>
    <w:rsid w:val="00E4099C"/>
    <w:rsid w:val="00E54EBD"/>
    <w:rsid w:val="00E62BBA"/>
    <w:rsid w:val="00E652F4"/>
    <w:rsid w:val="00E75165"/>
    <w:rsid w:val="00E91151"/>
    <w:rsid w:val="00EA2D46"/>
    <w:rsid w:val="00EB169F"/>
    <w:rsid w:val="00EB5830"/>
    <w:rsid w:val="00EC2D2B"/>
    <w:rsid w:val="00EC2E44"/>
    <w:rsid w:val="00EC2F2D"/>
    <w:rsid w:val="00ED54EE"/>
    <w:rsid w:val="00EE3430"/>
    <w:rsid w:val="00F177BF"/>
    <w:rsid w:val="00F2527C"/>
    <w:rsid w:val="00F26877"/>
    <w:rsid w:val="00F416CE"/>
    <w:rsid w:val="00F451B2"/>
    <w:rsid w:val="00F61EA8"/>
    <w:rsid w:val="00F71C02"/>
    <w:rsid w:val="00F754BA"/>
    <w:rsid w:val="00F77BE6"/>
    <w:rsid w:val="00F87F79"/>
    <w:rsid w:val="00F90163"/>
    <w:rsid w:val="00FB532E"/>
    <w:rsid w:val="00FC4A35"/>
    <w:rsid w:val="00FD481E"/>
    <w:rsid w:val="00FE05BE"/>
    <w:rsid w:val="00FE46CF"/>
    <w:rsid w:val="00FE6D5D"/>
    <w:rsid w:val="00FF437B"/>
    <w:rsid w:val="00FF71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51308-6A25-42A7-910A-339E8F8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1738</Words>
  <Characters>9560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17</cp:revision>
  <cp:lastPrinted>2018-03-08T22:19:00Z</cp:lastPrinted>
  <dcterms:created xsi:type="dcterms:W3CDTF">2018-03-07T18:51:00Z</dcterms:created>
  <dcterms:modified xsi:type="dcterms:W3CDTF">2018-04-16T13:19:00Z</dcterms:modified>
</cp:coreProperties>
</file>