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94" w:rsidRPr="000D6533" w:rsidRDefault="00B22294" w:rsidP="00ED3CE6">
      <w:pPr>
        <w:spacing w:line="360" w:lineRule="auto"/>
        <w:ind w:firstLine="2835"/>
        <w:rPr>
          <w:rFonts w:ascii="Arial" w:hAnsi="Arial" w:cs="Arial"/>
          <w:b/>
          <w:bCs/>
          <w:sz w:val="26"/>
          <w:szCs w:val="26"/>
        </w:rPr>
      </w:pPr>
      <w:r w:rsidRPr="000D6533">
        <w:rPr>
          <w:rFonts w:ascii="Arial" w:hAnsi="Arial" w:cs="Arial"/>
          <w:b/>
          <w:bCs/>
          <w:sz w:val="26"/>
          <w:szCs w:val="26"/>
        </w:rPr>
        <w:t>TRIBUNAL SUPERIOR DE PEREIRA</w:t>
      </w:r>
    </w:p>
    <w:p w:rsidR="00B22294" w:rsidRPr="006009F7" w:rsidRDefault="00B22294" w:rsidP="00476302">
      <w:pPr>
        <w:spacing w:line="360" w:lineRule="auto"/>
        <w:ind w:left="2832" w:firstLine="3"/>
        <w:rPr>
          <w:rFonts w:ascii="Arial" w:hAnsi="Arial" w:cs="Arial"/>
          <w:bCs/>
          <w:sz w:val="26"/>
          <w:szCs w:val="26"/>
        </w:rPr>
      </w:pPr>
      <w:r>
        <w:rPr>
          <w:rFonts w:ascii="Arial" w:hAnsi="Arial" w:cs="Arial"/>
          <w:bCs/>
          <w:sz w:val="26"/>
          <w:szCs w:val="26"/>
        </w:rPr>
        <w:t xml:space="preserve">Sala </w:t>
      </w:r>
      <w:r w:rsidR="000D6533">
        <w:rPr>
          <w:rFonts w:ascii="Arial" w:hAnsi="Arial" w:cs="Arial"/>
          <w:bCs/>
          <w:sz w:val="26"/>
          <w:szCs w:val="26"/>
        </w:rPr>
        <w:t>Civil Familia</w:t>
      </w:r>
      <w:r>
        <w:rPr>
          <w:rFonts w:ascii="Arial" w:hAnsi="Arial" w:cs="Arial"/>
          <w:bCs/>
          <w:sz w:val="26"/>
          <w:szCs w:val="26"/>
        </w:rPr>
        <w:t xml:space="preserve"> Unitaria</w:t>
      </w:r>
    </w:p>
    <w:p w:rsidR="00B22294" w:rsidRPr="0067349E" w:rsidRDefault="00B22294" w:rsidP="00ED3CE6">
      <w:pPr>
        <w:spacing w:line="360" w:lineRule="auto"/>
        <w:ind w:firstLine="2835"/>
        <w:rPr>
          <w:rFonts w:ascii="Arial" w:hAnsi="Arial" w:cs="Arial"/>
          <w:bCs/>
          <w:sz w:val="22"/>
          <w:szCs w:val="26"/>
        </w:rPr>
      </w:pP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bCs/>
          <w:sz w:val="24"/>
          <w:szCs w:val="24"/>
        </w:rPr>
        <w:t xml:space="preserve">Magistrado: </w:t>
      </w:r>
    </w:p>
    <w:p w:rsidR="00B22294" w:rsidRPr="000D6533" w:rsidRDefault="00B22294" w:rsidP="00ED3CE6">
      <w:pPr>
        <w:spacing w:line="360" w:lineRule="auto"/>
        <w:ind w:firstLine="2835"/>
        <w:rPr>
          <w:rFonts w:ascii="Arial" w:hAnsi="Arial" w:cs="Arial"/>
          <w:b/>
          <w:bCs/>
          <w:sz w:val="24"/>
          <w:szCs w:val="24"/>
        </w:rPr>
      </w:pPr>
      <w:r w:rsidRPr="000D6533">
        <w:rPr>
          <w:rFonts w:ascii="Arial" w:hAnsi="Arial" w:cs="Arial"/>
          <w:b/>
          <w:bCs/>
          <w:sz w:val="24"/>
          <w:szCs w:val="24"/>
        </w:rPr>
        <w:t>EDDER JIMMY SÁNCHEZ CALAMBÁS</w:t>
      </w: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bCs/>
          <w:sz w:val="24"/>
          <w:szCs w:val="24"/>
        </w:rPr>
        <w:t xml:space="preserve">Pereira, </w:t>
      </w:r>
      <w:r w:rsidR="00B92E83">
        <w:rPr>
          <w:rFonts w:ascii="Arial" w:hAnsi="Arial" w:cs="Arial"/>
          <w:bCs/>
          <w:sz w:val="24"/>
          <w:szCs w:val="24"/>
        </w:rPr>
        <w:t>2</w:t>
      </w:r>
      <w:r w:rsidR="00943F5D">
        <w:rPr>
          <w:rFonts w:ascii="Arial" w:hAnsi="Arial" w:cs="Arial"/>
          <w:bCs/>
          <w:sz w:val="24"/>
          <w:szCs w:val="24"/>
        </w:rPr>
        <w:t>4</w:t>
      </w:r>
      <w:r w:rsidRPr="0010145A">
        <w:rPr>
          <w:rFonts w:ascii="Arial" w:hAnsi="Arial" w:cs="Arial"/>
          <w:bCs/>
          <w:sz w:val="24"/>
          <w:szCs w:val="24"/>
        </w:rPr>
        <w:t xml:space="preserve"> de </w:t>
      </w:r>
      <w:r w:rsidR="00B92E83">
        <w:rPr>
          <w:rFonts w:ascii="Arial" w:hAnsi="Arial" w:cs="Arial"/>
          <w:bCs/>
          <w:sz w:val="24"/>
          <w:szCs w:val="24"/>
        </w:rPr>
        <w:t>mayo</w:t>
      </w:r>
      <w:r w:rsidR="000D6533">
        <w:rPr>
          <w:rFonts w:ascii="Arial" w:hAnsi="Arial" w:cs="Arial"/>
          <w:bCs/>
          <w:sz w:val="24"/>
          <w:szCs w:val="24"/>
        </w:rPr>
        <w:t xml:space="preserve"> </w:t>
      </w:r>
      <w:r w:rsidRPr="0010145A">
        <w:rPr>
          <w:rFonts w:ascii="Arial" w:hAnsi="Arial" w:cs="Arial"/>
          <w:bCs/>
          <w:sz w:val="24"/>
          <w:szCs w:val="24"/>
        </w:rPr>
        <w:t xml:space="preserve">de </w:t>
      </w:r>
      <w:r w:rsidR="00272C07">
        <w:rPr>
          <w:rFonts w:ascii="Arial" w:hAnsi="Arial" w:cs="Arial"/>
          <w:bCs/>
          <w:sz w:val="24"/>
          <w:szCs w:val="24"/>
        </w:rPr>
        <w:t>2018</w:t>
      </w: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sz w:val="24"/>
          <w:szCs w:val="24"/>
        </w:rPr>
        <w:t xml:space="preserve">Referencia: </w:t>
      </w:r>
      <w:r w:rsidR="00A57196">
        <w:rPr>
          <w:rFonts w:ascii="Arial" w:hAnsi="Arial" w:cs="Arial"/>
          <w:sz w:val="24"/>
          <w:szCs w:val="24"/>
        </w:rPr>
        <w:t>66001</w:t>
      </w:r>
      <w:r w:rsidRPr="0010145A">
        <w:rPr>
          <w:rFonts w:ascii="Arial" w:hAnsi="Arial" w:cs="Arial"/>
          <w:sz w:val="24"/>
          <w:szCs w:val="24"/>
        </w:rPr>
        <w:t>-31-</w:t>
      </w:r>
      <w:r w:rsidR="000D6533">
        <w:rPr>
          <w:rFonts w:ascii="Arial" w:hAnsi="Arial" w:cs="Arial"/>
          <w:sz w:val="24"/>
          <w:szCs w:val="24"/>
        </w:rPr>
        <w:t>0</w:t>
      </w:r>
      <w:r w:rsidR="00EB1937">
        <w:rPr>
          <w:rFonts w:ascii="Arial" w:hAnsi="Arial" w:cs="Arial"/>
          <w:sz w:val="24"/>
          <w:szCs w:val="24"/>
        </w:rPr>
        <w:t>3</w:t>
      </w:r>
      <w:r w:rsidRPr="0010145A">
        <w:rPr>
          <w:rFonts w:ascii="Arial" w:hAnsi="Arial" w:cs="Arial"/>
          <w:sz w:val="24"/>
          <w:szCs w:val="24"/>
        </w:rPr>
        <w:t>-00</w:t>
      </w:r>
      <w:r w:rsidR="00B92E83">
        <w:rPr>
          <w:rFonts w:ascii="Arial" w:hAnsi="Arial" w:cs="Arial"/>
          <w:sz w:val="24"/>
          <w:szCs w:val="24"/>
        </w:rPr>
        <w:t>3</w:t>
      </w:r>
      <w:r w:rsidRPr="0010145A">
        <w:rPr>
          <w:rFonts w:ascii="Arial" w:hAnsi="Arial" w:cs="Arial"/>
          <w:sz w:val="24"/>
          <w:szCs w:val="24"/>
        </w:rPr>
        <w:t>-</w:t>
      </w:r>
      <w:r w:rsidRPr="000D6533">
        <w:rPr>
          <w:rFonts w:ascii="Arial" w:hAnsi="Arial" w:cs="Arial"/>
          <w:b/>
          <w:sz w:val="24"/>
          <w:szCs w:val="24"/>
        </w:rPr>
        <w:t>201</w:t>
      </w:r>
      <w:r w:rsidR="00272C07">
        <w:rPr>
          <w:rFonts w:ascii="Arial" w:hAnsi="Arial" w:cs="Arial"/>
          <w:b/>
          <w:sz w:val="24"/>
          <w:szCs w:val="24"/>
        </w:rPr>
        <w:t>8</w:t>
      </w:r>
      <w:r w:rsidRPr="000D6533">
        <w:rPr>
          <w:rFonts w:ascii="Arial" w:hAnsi="Arial" w:cs="Arial"/>
          <w:b/>
          <w:sz w:val="24"/>
          <w:szCs w:val="24"/>
        </w:rPr>
        <w:t>-00</w:t>
      </w:r>
      <w:r w:rsidR="00B92E83">
        <w:rPr>
          <w:rFonts w:ascii="Arial" w:hAnsi="Arial" w:cs="Arial"/>
          <w:b/>
          <w:sz w:val="24"/>
          <w:szCs w:val="24"/>
        </w:rPr>
        <w:t>032</w:t>
      </w:r>
      <w:r w:rsidRPr="0010145A">
        <w:rPr>
          <w:rFonts w:ascii="Arial" w:hAnsi="Arial" w:cs="Arial"/>
          <w:sz w:val="24"/>
          <w:szCs w:val="24"/>
        </w:rPr>
        <w:t>-01</w:t>
      </w:r>
    </w:p>
    <w:p w:rsidR="00B22294" w:rsidRPr="00B86BB3" w:rsidRDefault="00B22294" w:rsidP="00601521">
      <w:pPr>
        <w:pStyle w:val="Sinespaciado1"/>
        <w:spacing w:line="360" w:lineRule="auto"/>
        <w:ind w:firstLine="2835"/>
        <w:rPr>
          <w:rFonts w:ascii="Arial" w:hAnsi="Arial" w:cs="Arial"/>
          <w:sz w:val="20"/>
          <w:szCs w:val="26"/>
          <w:lang w:val="es-ES" w:eastAsia="es-ES"/>
        </w:rPr>
      </w:pPr>
    </w:p>
    <w:p w:rsidR="00B22294" w:rsidRPr="00B86BB3" w:rsidRDefault="00B22294" w:rsidP="00601521">
      <w:pPr>
        <w:pStyle w:val="Sinespaciado1"/>
        <w:spacing w:line="360" w:lineRule="auto"/>
        <w:ind w:firstLine="2835"/>
        <w:rPr>
          <w:rFonts w:ascii="Arial" w:hAnsi="Arial" w:cs="Arial"/>
          <w:sz w:val="20"/>
          <w:szCs w:val="26"/>
          <w:lang w:val="es-ES" w:eastAsia="es-ES"/>
        </w:rPr>
      </w:pPr>
    </w:p>
    <w:p w:rsidR="00B22294" w:rsidRPr="00521157" w:rsidRDefault="00B22294" w:rsidP="00601521">
      <w:pPr>
        <w:pStyle w:val="Sinespaciado1"/>
        <w:spacing w:line="360" w:lineRule="auto"/>
        <w:ind w:firstLine="2835"/>
        <w:rPr>
          <w:rFonts w:ascii="Arial" w:hAnsi="Arial" w:cs="Arial"/>
          <w:b/>
          <w:szCs w:val="26"/>
          <w:lang w:val="es-ES" w:eastAsia="es-ES"/>
        </w:rPr>
      </w:pPr>
      <w:r w:rsidRPr="00521157">
        <w:rPr>
          <w:rFonts w:ascii="Arial" w:hAnsi="Arial" w:cs="Arial"/>
          <w:b/>
          <w:szCs w:val="26"/>
          <w:lang w:val="es-ES" w:eastAsia="es-ES"/>
        </w:rPr>
        <w:t>I. ASUNTO</w:t>
      </w:r>
    </w:p>
    <w:p w:rsidR="00B22294" w:rsidRPr="00842F59" w:rsidRDefault="00B22294" w:rsidP="00601521">
      <w:pPr>
        <w:pStyle w:val="Sinespaciado1"/>
        <w:spacing w:line="360" w:lineRule="auto"/>
        <w:ind w:firstLine="2835"/>
        <w:rPr>
          <w:rFonts w:ascii="Arial" w:hAnsi="Arial" w:cs="Arial"/>
          <w:sz w:val="16"/>
          <w:szCs w:val="26"/>
          <w:lang w:val="es-ES" w:eastAsia="es-ES"/>
        </w:rPr>
      </w:pPr>
    </w:p>
    <w:p w:rsidR="00B22294" w:rsidRPr="00B815DC" w:rsidRDefault="00B22294" w:rsidP="00B22294">
      <w:pPr>
        <w:suppressAutoHyphens/>
        <w:spacing w:line="360" w:lineRule="auto"/>
        <w:ind w:firstLine="2835"/>
        <w:jc w:val="both"/>
        <w:rPr>
          <w:rFonts w:ascii="Arial" w:hAnsi="Arial" w:cs="Arial"/>
          <w:sz w:val="26"/>
          <w:szCs w:val="26"/>
        </w:rPr>
      </w:pPr>
      <w:r w:rsidRPr="00B815DC">
        <w:rPr>
          <w:rFonts w:ascii="Arial" w:hAnsi="Arial" w:cs="Arial"/>
          <w:sz w:val="26"/>
          <w:szCs w:val="26"/>
        </w:rPr>
        <w:t xml:space="preserve">Correspondería al Tribunal decidir la impugnación interpuesta frente al fallo proferido el </w:t>
      </w:r>
      <w:r w:rsidR="00983FC0">
        <w:rPr>
          <w:rFonts w:ascii="Arial" w:hAnsi="Arial" w:cs="Arial"/>
          <w:sz w:val="26"/>
          <w:szCs w:val="26"/>
        </w:rPr>
        <w:t>9</w:t>
      </w:r>
      <w:r w:rsidRPr="00B815DC">
        <w:rPr>
          <w:rFonts w:ascii="Arial" w:hAnsi="Arial" w:cs="Arial"/>
          <w:sz w:val="26"/>
          <w:szCs w:val="26"/>
        </w:rPr>
        <w:t xml:space="preserve"> de </w:t>
      </w:r>
      <w:r w:rsidR="00983FC0">
        <w:rPr>
          <w:rFonts w:ascii="Arial" w:hAnsi="Arial" w:cs="Arial"/>
          <w:sz w:val="26"/>
          <w:szCs w:val="26"/>
        </w:rPr>
        <w:t>abril</w:t>
      </w:r>
      <w:r w:rsidRPr="00B815DC">
        <w:rPr>
          <w:rFonts w:ascii="Arial" w:hAnsi="Arial" w:cs="Arial"/>
          <w:sz w:val="26"/>
          <w:szCs w:val="26"/>
        </w:rPr>
        <w:t xml:space="preserve"> de 201</w:t>
      </w:r>
      <w:r w:rsidR="00272C07">
        <w:rPr>
          <w:rFonts w:ascii="Arial" w:hAnsi="Arial" w:cs="Arial"/>
          <w:sz w:val="26"/>
          <w:szCs w:val="26"/>
        </w:rPr>
        <w:t>8</w:t>
      </w:r>
      <w:r w:rsidRPr="00B815DC">
        <w:rPr>
          <w:rFonts w:ascii="Arial" w:hAnsi="Arial" w:cs="Arial"/>
          <w:sz w:val="26"/>
          <w:szCs w:val="26"/>
        </w:rPr>
        <w:t xml:space="preserve"> por el Juzgado </w:t>
      </w:r>
      <w:r w:rsidR="00983FC0">
        <w:rPr>
          <w:rFonts w:ascii="Arial" w:hAnsi="Arial" w:cs="Arial"/>
          <w:sz w:val="26"/>
          <w:szCs w:val="26"/>
        </w:rPr>
        <w:t>Tercer</w:t>
      </w:r>
      <w:r w:rsidR="00582576">
        <w:rPr>
          <w:rFonts w:ascii="Arial" w:hAnsi="Arial" w:cs="Arial"/>
          <w:sz w:val="26"/>
          <w:szCs w:val="26"/>
        </w:rPr>
        <w:t>o</w:t>
      </w:r>
      <w:r w:rsidR="00EB1937">
        <w:rPr>
          <w:rFonts w:ascii="Arial" w:hAnsi="Arial" w:cs="Arial"/>
          <w:sz w:val="26"/>
          <w:szCs w:val="26"/>
        </w:rPr>
        <w:t xml:space="preserve"> Civil del Circuito</w:t>
      </w:r>
      <w:r w:rsidR="00582576">
        <w:rPr>
          <w:rFonts w:ascii="Arial" w:hAnsi="Arial" w:cs="Arial"/>
          <w:sz w:val="26"/>
          <w:szCs w:val="26"/>
        </w:rPr>
        <w:t xml:space="preserve"> </w:t>
      </w:r>
      <w:r w:rsidRPr="00B815DC">
        <w:rPr>
          <w:rFonts w:ascii="Arial" w:hAnsi="Arial" w:cs="Arial"/>
          <w:sz w:val="26"/>
          <w:szCs w:val="26"/>
        </w:rPr>
        <w:t xml:space="preserve">de </w:t>
      </w:r>
      <w:r w:rsidR="00A57196">
        <w:rPr>
          <w:rFonts w:ascii="Arial" w:hAnsi="Arial" w:cs="Arial"/>
          <w:sz w:val="26"/>
          <w:szCs w:val="26"/>
        </w:rPr>
        <w:t>esta ciudad</w:t>
      </w:r>
      <w:r w:rsidRPr="00B815DC">
        <w:rPr>
          <w:rFonts w:ascii="Arial" w:hAnsi="Arial" w:cs="Arial"/>
          <w:sz w:val="26"/>
          <w:szCs w:val="26"/>
        </w:rPr>
        <w:t>, dentro de la acción de tutela promovida por</w:t>
      </w:r>
      <w:r w:rsidR="00F02F5C">
        <w:rPr>
          <w:rFonts w:ascii="Arial" w:hAnsi="Arial" w:cs="Arial"/>
          <w:sz w:val="26"/>
          <w:szCs w:val="26"/>
        </w:rPr>
        <w:t xml:space="preserve"> </w:t>
      </w:r>
      <w:r w:rsidR="00A57196">
        <w:rPr>
          <w:rFonts w:ascii="Arial" w:hAnsi="Arial" w:cs="Arial"/>
          <w:sz w:val="26"/>
          <w:szCs w:val="26"/>
        </w:rPr>
        <w:t>l</w:t>
      </w:r>
      <w:r w:rsidR="00272C07">
        <w:rPr>
          <w:rFonts w:ascii="Arial" w:hAnsi="Arial" w:cs="Arial"/>
          <w:sz w:val="26"/>
          <w:szCs w:val="26"/>
        </w:rPr>
        <w:t>a</w:t>
      </w:r>
      <w:r w:rsidR="00582576">
        <w:rPr>
          <w:rFonts w:ascii="Arial" w:hAnsi="Arial" w:cs="Arial"/>
          <w:sz w:val="26"/>
          <w:szCs w:val="26"/>
        </w:rPr>
        <w:t xml:space="preserve"> señor</w:t>
      </w:r>
      <w:r w:rsidR="00272C07">
        <w:rPr>
          <w:rFonts w:ascii="Arial" w:hAnsi="Arial" w:cs="Arial"/>
          <w:sz w:val="26"/>
          <w:szCs w:val="26"/>
        </w:rPr>
        <w:t>a</w:t>
      </w:r>
      <w:r w:rsidR="00A57196">
        <w:rPr>
          <w:rFonts w:ascii="Arial" w:hAnsi="Arial" w:cs="Arial"/>
          <w:sz w:val="26"/>
          <w:szCs w:val="26"/>
        </w:rPr>
        <w:t xml:space="preserve"> </w:t>
      </w:r>
      <w:r w:rsidR="00983FC0">
        <w:rPr>
          <w:rFonts w:ascii="Arial" w:hAnsi="Arial" w:cs="Arial"/>
          <w:sz w:val="26"/>
          <w:szCs w:val="26"/>
        </w:rPr>
        <w:t>Carolina Arias Hoyos</w:t>
      </w:r>
      <w:r>
        <w:rPr>
          <w:rFonts w:ascii="Arial" w:hAnsi="Arial" w:cs="Arial"/>
          <w:sz w:val="26"/>
          <w:szCs w:val="26"/>
        </w:rPr>
        <w:t>,</w:t>
      </w:r>
      <w:r w:rsidRPr="00B815DC">
        <w:rPr>
          <w:rFonts w:ascii="Arial" w:hAnsi="Arial" w:cs="Arial"/>
          <w:sz w:val="26"/>
          <w:szCs w:val="26"/>
        </w:rPr>
        <w:t xml:space="preserve"> contra</w:t>
      </w:r>
      <w:r w:rsidR="00582576">
        <w:rPr>
          <w:rFonts w:ascii="Arial" w:hAnsi="Arial" w:cs="Arial"/>
          <w:sz w:val="26"/>
          <w:szCs w:val="26"/>
        </w:rPr>
        <w:t xml:space="preserve"> </w:t>
      </w:r>
      <w:r w:rsidR="00983FC0">
        <w:rPr>
          <w:rFonts w:ascii="Arial" w:hAnsi="Arial" w:cs="Arial"/>
          <w:sz w:val="26"/>
          <w:szCs w:val="26"/>
        </w:rPr>
        <w:t>el Juzgado Segundo Civil Municipal de Pereira</w:t>
      </w:r>
      <w:r w:rsidR="00746206">
        <w:rPr>
          <w:rFonts w:ascii="Arial" w:hAnsi="Arial" w:cs="Arial"/>
          <w:sz w:val="26"/>
          <w:szCs w:val="26"/>
        </w:rPr>
        <w:t>,</w:t>
      </w:r>
      <w:r w:rsidR="004852F8">
        <w:rPr>
          <w:rFonts w:ascii="Arial" w:hAnsi="Arial" w:cs="Arial"/>
          <w:sz w:val="26"/>
          <w:szCs w:val="26"/>
        </w:rPr>
        <w:t xml:space="preserve"> </w:t>
      </w:r>
      <w:r w:rsidR="00746206">
        <w:rPr>
          <w:rFonts w:ascii="Arial" w:hAnsi="Arial" w:cs="Arial"/>
          <w:sz w:val="26"/>
          <w:szCs w:val="26"/>
        </w:rPr>
        <w:t xml:space="preserve">trámite al que se vinculó a la </w:t>
      </w:r>
      <w:r w:rsidR="00272C07">
        <w:rPr>
          <w:rFonts w:ascii="Arial" w:hAnsi="Arial" w:cs="Arial"/>
          <w:sz w:val="26"/>
          <w:szCs w:val="26"/>
        </w:rPr>
        <w:t>Unidad</w:t>
      </w:r>
      <w:r w:rsidR="00983FC0">
        <w:rPr>
          <w:rFonts w:ascii="Arial" w:hAnsi="Arial" w:cs="Arial"/>
          <w:sz w:val="26"/>
          <w:szCs w:val="26"/>
        </w:rPr>
        <w:t xml:space="preserve"> Residencial Torres de Fegove PH y el señor Jairo Ceballos Grisales</w:t>
      </w:r>
      <w:r w:rsidR="004852F8">
        <w:rPr>
          <w:rFonts w:ascii="Arial" w:hAnsi="Arial" w:cs="Arial"/>
          <w:sz w:val="26"/>
          <w:szCs w:val="26"/>
        </w:rPr>
        <w:t>,</w:t>
      </w:r>
      <w:r w:rsidR="00BB5F3B">
        <w:rPr>
          <w:rFonts w:ascii="Arial" w:hAnsi="Arial" w:cs="Arial"/>
          <w:sz w:val="26"/>
          <w:szCs w:val="26"/>
        </w:rPr>
        <w:t xml:space="preserve"> </w:t>
      </w:r>
      <w:r w:rsidRPr="00B815DC">
        <w:rPr>
          <w:rFonts w:ascii="Arial" w:hAnsi="Arial" w:cs="Arial"/>
          <w:sz w:val="26"/>
          <w:szCs w:val="26"/>
        </w:rPr>
        <w:t xml:space="preserve">si no fuera porque en primera instancia se incurrió en la causal de nulidad prevista en el numeral 8 del artículo 133 del Código General del Proceso, que afecta la actuación cumplida hasta este momento, como pasa a </w:t>
      </w:r>
      <w:r w:rsidR="00F02F5C">
        <w:rPr>
          <w:rFonts w:ascii="Arial" w:hAnsi="Arial" w:cs="Arial"/>
          <w:sz w:val="26"/>
          <w:szCs w:val="26"/>
        </w:rPr>
        <w:t>explicar</w:t>
      </w:r>
      <w:r w:rsidRPr="00B815DC">
        <w:rPr>
          <w:rFonts w:ascii="Arial" w:hAnsi="Arial" w:cs="Arial"/>
          <w:sz w:val="26"/>
          <w:szCs w:val="26"/>
        </w:rPr>
        <w:t>se:</w:t>
      </w:r>
    </w:p>
    <w:p w:rsidR="00B22294" w:rsidRDefault="00B22294" w:rsidP="00B22294">
      <w:pPr>
        <w:pStyle w:val="Sinespaciado1"/>
        <w:spacing w:line="360" w:lineRule="auto"/>
        <w:ind w:firstLine="2835"/>
        <w:rPr>
          <w:rFonts w:ascii="Arial" w:hAnsi="Arial" w:cs="Arial"/>
          <w:sz w:val="16"/>
          <w:szCs w:val="26"/>
          <w:lang w:val="es-ES" w:eastAsia="es-ES"/>
        </w:rPr>
      </w:pPr>
    </w:p>
    <w:p w:rsidR="00F02F5C" w:rsidRPr="00F02F5C" w:rsidRDefault="00F02F5C" w:rsidP="00F02F5C">
      <w:pPr>
        <w:suppressAutoHyphens/>
        <w:spacing w:line="360" w:lineRule="auto"/>
        <w:ind w:firstLine="2835"/>
        <w:jc w:val="both"/>
        <w:rPr>
          <w:rFonts w:ascii="Arial" w:hAnsi="Arial" w:cs="Arial"/>
          <w:bCs/>
          <w:sz w:val="22"/>
          <w:szCs w:val="26"/>
          <w:lang w:val="es-ES_tradnl"/>
        </w:rPr>
      </w:pPr>
      <w:r w:rsidRPr="005C0F2B">
        <w:rPr>
          <w:rFonts w:ascii="Arial" w:hAnsi="Arial" w:cs="Arial"/>
          <w:b/>
          <w:sz w:val="22"/>
          <w:szCs w:val="26"/>
        </w:rPr>
        <w:t>II. ANTECEDENTES</w:t>
      </w:r>
    </w:p>
    <w:p w:rsidR="00F02F5C" w:rsidRPr="00B86BB3" w:rsidRDefault="00F02F5C" w:rsidP="00B22294">
      <w:pPr>
        <w:pStyle w:val="Sinespaciado1"/>
        <w:spacing w:line="360" w:lineRule="auto"/>
        <w:ind w:firstLine="2835"/>
        <w:rPr>
          <w:rFonts w:ascii="Arial" w:hAnsi="Arial" w:cs="Arial"/>
          <w:sz w:val="16"/>
          <w:szCs w:val="26"/>
          <w:lang w:val="es-ES" w:eastAsia="es-ES"/>
        </w:rPr>
      </w:pPr>
    </w:p>
    <w:p w:rsidR="00BB5F3B" w:rsidRDefault="00B22294" w:rsidP="000A4F22">
      <w:pPr>
        <w:pStyle w:val="Sinespaciado1"/>
        <w:spacing w:line="360" w:lineRule="auto"/>
        <w:ind w:firstLine="2835"/>
        <w:jc w:val="both"/>
        <w:rPr>
          <w:rFonts w:ascii="Arial" w:hAnsi="Arial" w:cs="Arial"/>
          <w:sz w:val="26"/>
          <w:szCs w:val="26"/>
        </w:rPr>
      </w:pPr>
      <w:r w:rsidRPr="006009F7">
        <w:rPr>
          <w:rFonts w:ascii="Arial" w:hAnsi="Arial" w:cs="Arial"/>
          <w:sz w:val="26"/>
          <w:szCs w:val="26"/>
        </w:rPr>
        <w:t xml:space="preserve">1. </w:t>
      </w:r>
      <w:r w:rsidR="00EF6C24">
        <w:rPr>
          <w:rFonts w:ascii="Arial" w:hAnsi="Arial" w:cs="Arial"/>
          <w:spacing w:val="-3"/>
          <w:sz w:val="26"/>
          <w:szCs w:val="26"/>
        </w:rPr>
        <w:t>La</w:t>
      </w:r>
      <w:r w:rsidR="000A4F22">
        <w:rPr>
          <w:rFonts w:ascii="Arial" w:hAnsi="Arial" w:cs="Arial"/>
          <w:spacing w:val="-3"/>
          <w:sz w:val="26"/>
          <w:szCs w:val="26"/>
        </w:rPr>
        <w:t xml:space="preserve"> </w:t>
      </w:r>
      <w:r w:rsidR="000A4F22" w:rsidRPr="0032186E">
        <w:rPr>
          <w:rFonts w:ascii="Arial" w:hAnsi="Arial" w:cs="Arial"/>
          <w:sz w:val="26"/>
          <w:szCs w:val="26"/>
        </w:rPr>
        <w:t>actor</w:t>
      </w:r>
      <w:r w:rsidR="00EF6C24">
        <w:rPr>
          <w:rFonts w:ascii="Arial" w:hAnsi="Arial" w:cs="Arial"/>
          <w:sz w:val="26"/>
          <w:szCs w:val="26"/>
        </w:rPr>
        <w:t>a</w:t>
      </w:r>
      <w:r w:rsidR="000A4F22">
        <w:rPr>
          <w:rFonts w:ascii="Arial" w:hAnsi="Arial" w:cs="Arial"/>
          <w:sz w:val="26"/>
          <w:szCs w:val="26"/>
        </w:rPr>
        <w:t xml:space="preserve"> </w:t>
      </w:r>
      <w:r w:rsidR="000A4F22" w:rsidRPr="0032186E">
        <w:rPr>
          <w:rFonts w:ascii="Arial" w:hAnsi="Arial" w:cs="Arial"/>
          <w:sz w:val="26"/>
          <w:szCs w:val="26"/>
        </w:rPr>
        <w:t xml:space="preserve">promovió acción de tutela contra </w:t>
      </w:r>
      <w:r w:rsidR="00983FC0">
        <w:rPr>
          <w:rFonts w:ascii="Arial" w:hAnsi="Arial" w:cs="Arial"/>
          <w:sz w:val="26"/>
          <w:szCs w:val="26"/>
        </w:rPr>
        <w:t>el Juzgado Segundo Civil Municipal de Pereira</w:t>
      </w:r>
      <w:r w:rsidR="00EF6C24">
        <w:rPr>
          <w:rFonts w:ascii="Arial" w:hAnsi="Arial" w:cs="Arial"/>
          <w:sz w:val="26"/>
          <w:szCs w:val="26"/>
        </w:rPr>
        <w:t xml:space="preserve">, </w:t>
      </w:r>
      <w:r w:rsidR="000A4F22" w:rsidRPr="0032186E">
        <w:rPr>
          <w:rFonts w:ascii="Arial" w:hAnsi="Arial" w:cs="Arial"/>
          <w:sz w:val="26"/>
          <w:szCs w:val="26"/>
        </w:rPr>
        <w:t>por considerar que</w:t>
      </w:r>
      <w:r w:rsidR="00471FE9">
        <w:rPr>
          <w:rFonts w:ascii="Arial" w:hAnsi="Arial" w:cs="Arial"/>
          <w:sz w:val="26"/>
          <w:szCs w:val="26"/>
        </w:rPr>
        <w:t xml:space="preserve"> e</w:t>
      </w:r>
      <w:r w:rsidR="000A4F22">
        <w:rPr>
          <w:rFonts w:ascii="Arial" w:hAnsi="Arial" w:cs="Arial"/>
          <w:sz w:val="26"/>
          <w:szCs w:val="26"/>
        </w:rPr>
        <w:t>st</w:t>
      </w:r>
      <w:r w:rsidR="00983FC0">
        <w:rPr>
          <w:rFonts w:ascii="Arial" w:hAnsi="Arial" w:cs="Arial"/>
          <w:sz w:val="26"/>
          <w:szCs w:val="26"/>
        </w:rPr>
        <w:t>e</w:t>
      </w:r>
      <w:r w:rsidR="000A4F22">
        <w:rPr>
          <w:rFonts w:ascii="Arial" w:hAnsi="Arial" w:cs="Arial"/>
          <w:sz w:val="26"/>
          <w:szCs w:val="26"/>
        </w:rPr>
        <w:t xml:space="preserve"> </w:t>
      </w:r>
      <w:r w:rsidR="000A4F22" w:rsidRPr="0032186E">
        <w:rPr>
          <w:rFonts w:ascii="Arial" w:hAnsi="Arial" w:cs="Arial"/>
          <w:sz w:val="26"/>
          <w:szCs w:val="26"/>
        </w:rPr>
        <w:t>vulnera su</w:t>
      </w:r>
      <w:r w:rsidR="00EF6C24">
        <w:rPr>
          <w:rFonts w:ascii="Arial" w:hAnsi="Arial" w:cs="Arial"/>
          <w:sz w:val="26"/>
          <w:szCs w:val="26"/>
        </w:rPr>
        <w:t>s</w:t>
      </w:r>
      <w:r w:rsidR="000A4F22">
        <w:rPr>
          <w:rFonts w:ascii="Arial" w:hAnsi="Arial" w:cs="Arial"/>
          <w:sz w:val="26"/>
          <w:szCs w:val="26"/>
        </w:rPr>
        <w:t xml:space="preserve"> derecho</w:t>
      </w:r>
      <w:r w:rsidR="00EF6C24">
        <w:rPr>
          <w:rFonts w:ascii="Arial" w:hAnsi="Arial" w:cs="Arial"/>
          <w:sz w:val="26"/>
          <w:szCs w:val="26"/>
        </w:rPr>
        <w:t>s</w:t>
      </w:r>
      <w:r w:rsidR="000A4F22" w:rsidRPr="0032186E">
        <w:rPr>
          <w:rFonts w:ascii="Arial" w:hAnsi="Arial" w:cs="Arial"/>
          <w:sz w:val="26"/>
          <w:szCs w:val="26"/>
        </w:rPr>
        <w:t xml:space="preserve"> fundamental</w:t>
      </w:r>
      <w:r w:rsidR="00EF6C24">
        <w:rPr>
          <w:rFonts w:ascii="Arial" w:hAnsi="Arial" w:cs="Arial"/>
          <w:sz w:val="26"/>
          <w:szCs w:val="26"/>
        </w:rPr>
        <w:t xml:space="preserve">es al debido proceso, </w:t>
      </w:r>
      <w:r w:rsidR="00983FC0">
        <w:rPr>
          <w:rFonts w:ascii="Arial" w:hAnsi="Arial" w:cs="Arial"/>
          <w:sz w:val="26"/>
          <w:szCs w:val="26"/>
        </w:rPr>
        <w:t>defensa y contradicción</w:t>
      </w:r>
      <w:r w:rsidR="00EF6C24">
        <w:rPr>
          <w:rFonts w:ascii="Arial" w:hAnsi="Arial" w:cs="Arial"/>
          <w:sz w:val="26"/>
          <w:szCs w:val="26"/>
        </w:rPr>
        <w:t>,</w:t>
      </w:r>
      <w:r w:rsidR="000A4F22">
        <w:rPr>
          <w:rFonts w:ascii="Arial" w:hAnsi="Arial" w:cs="Arial"/>
          <w:sz w:val="26"/>
          <w:szCs w:val="26"/>
        </w:rPr>
        <w:t xml:space="preserve"> </w:t>
      </w:r>
      <w:r w:rsidR="00526232">
        <w:rPr>
          <w:rFonts w:ascii="Arial" w:hAnsi="Arial" w:cs="Arial"/>
          <w:sz w:val="26"/>
          <w:szCs w:val="26"/>
        </w:rPr>
        <w:t xml:space="preserve">al </w:t>
      </w:r>
      <w:r w:rsidR="00A97A07">
        <w:rPr>
          <w:rFonts w:ascii="Arial" w:hAnsi="Arial" w:cs="Arial"/>
          <w:sz w:val="26"/>
          <w:szCs w:val="26"/>
        </w:rPr>
        <w:t xml:space="preserve">ser vinculada como litisconsorte cuasinecesario en el proceso ejecutivo radicado en ese despacho bajo el número 2012-00056, adelantado por la </w:t>
      </w:r>
      <w:r w:rsidR="00A97A07">
        <w:rPr>
          <w:rFonts w:ascii="Arial" w:hAnsi="Arial" w:cs="Arial"/>
          <w:sz w:val="26"/>
          <w:szCs w:val="26"/>
        </w:rPr>
        <w:t>Unidad R</w:t>
      </w:r>
      <w:r w:rsidR="00A97A07">
        <w:rPr>
          <w:rFonts w:ascii="Arial" w:hAnsi="Arial" w:cs="Arial"/>
          <w:sz w:val="26"/>
          <w:szCs w:val="26"/>
        </w:rPr>
        <w:t>esidencial Torres de Fegove PH, contra</w:t>
      </w:r>
      <w:r w:rsidR="00A97A07">
        <w:rPr>
          <w:rFonts w:ascii="Arial" w:hAnsi="Arial" w:cs="Arial"/>
          <w:sz w:val="26"/>
          <w:szCs w:val="26"/>
        </w:rPr>
        <w:t xml:space="preserve"> el señor Jairo Ceballos Grisales</w:t>
      </w:r>
      <w:r w:rsidR="00A97A07">
        <w:rPr>
          <w:rFonts w:ascii="Arial" w:hAnsi="Arial" w:cs="Arial"/>
          <w:sz w:val="26"/>
          <w:szCs w:val="26"/>
        </w:rPr>
        <w:t>.</w:t>
      </w:r>
    </w:p>
    <w:p w:rsidR="00B22294" w:rsidRPr="00B94073" w:rsidRDefault="00B22294" w:rsidP="00B22294">
      <w:pPr>
        <w:pStyle w:val="Sinespaciado1"/>
        <w:spacing w:line="360" w:lineRule="auto"/>
        <w:ind w:left="426"/>
        <w:jc w:val="both"/>
        <w:rPr>
          <w:rFonts w:ascii="Arial" w:hAnsi="Arial" w:cs="Arial"/>
          <w:sz w:val="16"/>
          <w:szCs w:val="26"/>
        </w:rPr>
      </w:pPr>
    </w:p>
    <w:p w:rsidR="004F5355" w:rsidRDefault="00B22294" w:rsidP="00B22294">
      <w:pPr>
        <w:pStyle w:val="Sinespaciado1"/>
        <w:spacing w:line="360" w:lineRule="auto"/>
        <w:ind w:firstLine="2835"/>
        <w:jc w:val="both"/>
        <w:rPr>
          <w:rFonts w:ascii="Arial" w:hAnsi="Arial" w:cs="Arial"/>
          <w:spacing w:val="-3"/>
          <w:sz w:val="26"/>
          <w:szCs w:val="26"/>
        </w:rPr>
      </w:pPr>
      <w:r w:rsidRPr="006009F7">
        <w:rPr>
          <w:rFonts w:ascii="Arial" w:hAnsi="Arial" w:cs="Arial"/>
          <w:sz w:val="26"/>
          <w:szCs w:val="26"/>
        </w:rPr>
        <w:t>2. R</w:t>
      </w:r>
      <w:r>
        <w:rPr>
          <w:rFonts w:ascii="Arial" w:hAnsi="Arial" w:cs="Arial"/>
          <w:sz w:val="26"/>
          <w:szCs w:val="26"/>
        </w:rPr>
        <w:t>evisado el trámite de la primera instancia, así como los documentos obrantes en la presente diligencia, se observa que l</w:t>
      </w:r>
      <w:r w:rsidR="00A353B5">
        <w:rPr>
          <w:rFonts w:ascii="Arial" w:hAnsi="Arial" w:cs="Arial"/>
          <w:sz w:val="26"/>
          <w:szCs w:val="26"/>
        </w:rPr>
        <w:t>a</w:t>
      </w:r>
      <w:r>
        <w:rPr>
          <w:rFonts w:ascii="Arial" w:hAnsi="Arial" w:cs="Arial"/>
          <w:sz w:val="26"/>
          <w:szCs w:val="26"/>
        </w:rPr>
        <w:t xml:space="preserve"> </w:t>
      </w:r>
      <w:r w:rsidRPr="00AB2D86">
        <w:rPr>
          <w:rFonts w:ascii="Arial" w:hAnsi="Arial" w:cs="Arial"/>
          <w:i/>
          <w:spacing w:val="-3"/>
          <w:sz w:val="26"/>
          <w:szCs w:val="26"/>
        </w:rPr>
        <w:t>a quo</w:t>
      </w:r>
      <w:r w:rsidRPr="006009F7">
        <w:rPr>
          <w:rFonts w:ascii="Arial" w:hAnsi="Arial" w:cs="Arial"/>
          <w:spacing w:val="-3"/>
          <w:sz w:val="26"/>
          <w:szCs w:val="26"/>
        </w:rPr>
        <w:t xml:space="preserve"> asumió el conocimiento del amparo</w:t>
      </w:r>
      <w:r w:rsidR="00F02F5C">
        <w:rPr>
          <w:rFonts w:ascii="Arial" w:hAnsi="Arial" w:cs="Arial"/>
          <w:spacing w:val="-3"/>
          <w:sz w:val="26"/>
          <w:szCs w:val="26"/>
        </w:rPr>
        <w:t xml:space="preserve"> el </w:t>
      </w:r>
      <w:r w:rsidR="00210FC1">
        <w:rPr>
          <w:rFonts w:ascii="Arial" w:hAnsi="Arial" w:cs="Arial"/>
          <w:spacing w:val="-3"/>
          <w:sz w:val="26"/>
          <w:szCs w:val="26"/>
        </w:rPr>
        <w:t>2</w:t>
      </w:r>
      <w:r w:rsidR="00983FC0">
        <w:rPr>
          <w:rFonts w:ascii="Arial" w:hAnsi="Arial" w:cs="Arial"/>
          <w:spacing w:val="-3"/>
          <w:sz w:val="26"/>
          <w:szCs w:val="26"/>
        </w:rPr>
        <w:t>0</w:t>
      </w:r>
      <w:r w:rsidR="004F5355">
        <w:rPr>
          <w:rFonts w:ascii="Arial" w:hAnsi="Arial" w:cs="Arial"/>
          <w:spacing w:val="-3"/>
          <w:sz w:val="26"/>
          <w:szCs w:val="26"/>
        </w:rPr>
        <w:t xml:space="preserve"> de </w:t>
      </w:r>
      <w:r w:rsidR="00983FC0">
        <w:rPr>
          <w:rFonts w:ascii="Arial" w:hAnsi="Arial" w:cs="Arial"/>
          <w:spacing w:val="-3"/>
          <w:sz w:val="26"/>
          <w:szCs w:val="26"/>
        </w:rPr>
        <w:t>marz</w:t>
      </w:r>
      <w:r w:rsidR="00471FE9">
        <w:rPr>
          <w:rFonts w:ascii="Arial" w:hAnsi="Arial" w:cs="Arial"/>
          <w:spacing w:val="-3"/>
          <w:sz w:val="26"/>
          <w:szCs w:val="26"/>
        </w:rPr>
        <w:t>o</w:t>
      </w:r>
      <w:r w:rsidR="00F02F5C">
        <w:rPr>
          <w:rFonts w:ascii="Arial" w:hAnsi="Arial" w:cs="Arial"/>
          <w:spacing w:val="-3"/>
          <w:sz w:val="26"/>
          <w:szCs w:val="26"/>
        </w:rPr>
        <w:t xml:space="preserve"> de 201</w:t>
      </w:r>
      <w:r w:rsidR="00210FC1">
        <w:rPr>
          <w:rFonts w:ascii="Arial" w:hAnsi="Arial" w:cs="Arial"/>
          <w:spacing w:val="-3"/>
          <w:sz w:val="26"/>
          <w:szCs w:val="26"/>
        </w:rPr>
        <w:t>8</w:t>
      </w:r>
      <w:r w:rsidR="004F5355">
        <w:rPr>
          <w:rFonts w:ascii="Arial" w:hAnsi="Arial" w:cs="Arial"/>
          <w:spacing w:val="-3"/>
          <w:sz w:val="26"/>
          <w:szCs w:val="26"/>
        </w:rPr>
        <w:t xml:space="preserve">, contra </w:t>
      </w:r>
      <w:r w:rsidR="00F02F5C">
        <w:rPr>
          <w:rFonts w:ascii="Arial" w:hAnsi="Arial" w:cs="Arial"/>
          <w:sz w:val="26"/>
          <w:szCs w:val="26"/>
        </w:rPr>
        <w:t>la</w:t>
      </w:r>
      <w:r w:rsidR="00471FE9">
        <w:rPr>
          <w:rFonts w:ascii="Arial" w:hAnsi="Arial" w:cs="Arial"/>
          <w:sz w:val="26"/>
          <w:szCs w:val="26"/>
        </w:rPr>
        <w:t xml:space="preserve"> </w:t>
      </w:r>
      <w:r w:rsidR="00471FE9">
        <w:rPr>
          <w:rFonts w:ascii="Arial" w:hAnsi="Arial" w:cs="Arial"/>
          <w:sz w:val="26"/>
          <w:szCs w:val="26"/>
        </w:rPr>
        <w:lastRenderedPageBreak/>
        <w:t>precitada</w:t>
      </w:r>
      <w:r w:rsidR="00983FC0">
        <w:rPr>
          <w:rFonts w:ascii="Arial" w:hAnsi="Arial" w:cs="Arial"/>
          <w:sz w:val="26"/>
          <w:szCs w:val="26"/>
        </w:rPr>
        <w:t xml:space="preserve"> autoridad judicial y</w:t>
      </w:r>
      <w:r w:rsidR="004F5355">
        <w:rPr>
          <w:rFonts w:ascii="Arial" w:hAnsi="Arial" w:cs="Arial"/>
          <w:spacing w:val="-3"/>
          <w:sz w:val="26"/>
          <w:szCs w:val="26"/>
        </w:rPr>
        <w:t xml:space="preserve"> </w:t>
      </w:r>
      <w:r w:rsidR="00FD66F7">
        <w:rPr>
          <w:rFonts w:ascii="Arial" w:hAnsi="Arial" w:cs="Arial"/>
          <w:spacing w:val="-3"/>
          <w:sz w:val="26"/>
          <w:szCs w:val="26"/>
        </w:rPr>
        <w:t xml:space="preserve">ordenó la vinculación de </w:t>
      </w:r>
      <w:r w:rsidR="00983FC0">
        <w:rPr>
          <w:rFonts w:ascii="Arial" w:hAnsi="Arial" w:cs="Arial"/>
          <w:sz w:val="26"/>
          <w:szCs w:val="26"/>
        </w:rPr>
        <w:t>la Unidad Residencial Torres de Fegove PH y del señor Jairo Ceballos Grisales</w:t>
      </w:r>
      <w:r w:rsidR="00752976">
        <w:rPr>
          <w:rFonts w:ascii="Arial" w:hAnsi="Arial" w:cs="Arial"/>
          <w:spacing w:val="-3"/>
          <w:sz w:val="26"/>
          <w:szCs w:val="26"/>
        </w:rPr>
        <w:t xml:space="preserve"> (fl. </w:t>
      </w:r>
      <w:r w:rsidR="00983FC0">
        <w:rPr>
          <w:rFonts w:ascii="Arial" w:hAnsi="Arial" w:cs="Arial"/>
          <w:spacing w:val="-3"/>
          <w:sz w:val="26"/>
          <w:szCs w:val="26"/>
        </w:rPr>
        <w:t>90</w:t>
      </w:r>
      <w:r w:rsidR="004F5355">
        <w:rPr>
          <w:rFonts w:ascii="Arial" w:hAnsi="Arial" w:cs="Arial"/>
          <w:spacing w:val="-3"/>
          <w:sz w:val="26"/>
          <w:szCs w:val="26"/>
        </w:rPr>
        <w:t xml:space="preserve"> Cd. de Tutela).</w:t>
      </w:r>
    </w:p>
    <w:p w:rsidR="00737219" w:rsidRPr="00737219" w:rsidRDefault="00737219" w:rsidP="00B22294">
      <w:pPr>
        <w:pStyle w:val="Sinespaciado1"/>
        <w:spacing w:line="360" w:lineRule="auto"/>
        <w:ind w:firstLine="2835"/>
        <w:jc w:val="both"/>
        <w:rPr>
          <w:rFonts w:ascii="Arial" w:hAnsi="Arial" w:cs="Arial"/>
          <w:spacing w:val="-3"/>
          <w:sz w:val="16"/>
          <w:szCs w:val="26"/>
        </w:rPr>
      </w:pPr>
    </w:p>
    <w:p w:rsidR="00264688" w:rsidRDefault="00BC0952" w:rsidP="00EE0930">
      <w:pPr>
        <w:pStyle w:val="Sinespaciado1"/>
        <w:spacing w:line="360" w:lineRule="auto"/>
        <w:ind w:firstLine="2835"/>
        <w:jc w:val="both"/>
        <w:rPr>
          <w:rFonts w:ascii="Arial" w:eastAsia="Batang" w:hAnsi="Arial" w:cs="Arial"/>
          <w:sz w:val="26"/>
          <w:szCs w:val="26"/>
        </w:rPr>
      </w:pPr>
      <w:r>
        <w:rPr>
          <w:rFonts w:ascii="Arial" w:eastAsia="Batang" w:hAnsi="Arial" w:cs="Arial"/>
          <w:sz w:val="26"/>
          <w:szCs w:val="26"/>
        </w:rPr>
        <w:t xml:space="preserve">3. </w:t>
      </w:r>
      <w:r w:rsidR="00737219">
        <w:rPr>
          <w:rFonts w:ascii="Arial" w:eastAsia="Batang" w:hAnsi="Arial" w:cs="Arial"/>
          <w:sz w:val="26"/>
          <w:szCs w:val="26"/>
        </w:rPr>
        <w:t>El auxilio constitucional fue notificado</w:t>
      </w:r>
      <w:r w:rsidR="004F5355">
        <w:rPr>
          <w:rFonts w:ascii="Arial" w:eastAsia="Batang" w:hAnsi="Arial" w:cs="Arial"/>
          <w:sz w:val="26"/>
          <w:szCs w:val="26"/>
        </w:rPr>
        <w:t xml:space="preserve"> a</w:t>
      </w:r>
      <w:r w:rsidR="00983FC0">
        <w:rPr>
          <w:rFonts w:ascii="Arial" w:eastAsia="Batang" w:hAnsi="Arial" w:cs="Arial"/>
          <w:sz w:val="26"/>
          <w:szCs w:val="26"/>
        </w:rPr>
        <w:t xml:space="preserve">l </w:t>
      </w:r>
      <w:r w:rsidR="00983FC0">
        <w:rPr>
          <w:rFonts w:ascii="Arial" w:hAnsi="Arial" w:cs="Arial"/>
          <w:sz w:val="26"/>
          <w:szCs w:val="26"/>
        </w:rPr>
        <w:t>Juzgado Segundo Civil Municipal de Pereira y a la Unidad Residencial Torres de Fegove PH</w:t>
      </w:r>
      <w:r w:rsidR="00454020">
        <w:rPr>
          <w:rFonts w:ascii="Arial" w:hAnsi="Arial" w:cs="Arial"/>
          <w:sz w:val="26"/>
          <w:szCs w:val="26"/>
        </w:rPr>
        <w:t xml:space="preserve"> (fls. 91-92 ib.)</w:t>
      </w:r>
      <w:r w:rsidR="00F504A8">
        <w:rPr>
          <w:rFonts w:ascii="Arial" w:eastAsia="Batang" w:hAnsi="Arial" w:cs="Arial"/>
          <w:sz w:val="26"/>
          <w:szCs w:val="26"/>
        </w:rPr>
        <w:t>, no así a</w:t>
      </w:r>
      <w:r w:rsidR="00983FC0">
        <w:rPr>
          <w:rFonts w:ascii="Arial" w:eastAsia="Batang" w:hAnsi="Arial" w:cs="Arial"/>
          <w:sz w:val="26"/>
          <w:szCs w:val="26"/>
        </w:rPr>
        <w:t xml:space="preserve">l señor </w:t>
      </w:r>
      <w:r w:rsidR="003D36DE">
        <w:rPr>
          <w:rFonts w:ascii="Arial" w:eastAsia="Batang" w:hAnsi="Arial" w:cs="Arial"/>
          <w:sz w:val="26"/>
          <w:szCs w:val="26"/>
        </w:rPr>
        <w:t>Jairo Ceballos Grisales,</w:t>
      </w:r>
      <w:r w:rsidR="000F135F">
        <w:rPr>
          <w:rFonts w:ascii="Arial" w:eastAsia="Batang" w:hAnsi="Arial" w:cs="Arial"/>
          <w:sz w:val="26"/>
          <w:szCs w:val="26"/>
        </w:rPr>
        <w:t xml:space="preserve"> quien según constancia de secretaría actúo en el proceso objeto de amparo por medio de curador ad-litem, por lo que mediante auto del 2 de abril pasado,</w:t>
      </w:r>
      <w:r w:rsidR="00454020">
        <w:rPr>
          <w:rFonts w:ascii="Arial" w:eastAsia="Batang" w:hAnsi="Arial" w:cs="Arial"/>
          <w:sz w:val="26"/>
          <w:szCs w:val="26"/>
        </w:rPr>
        <w:t xml:space="preserve"> la </w:t>
      </w:r>
      <w:r w:rsidR="00454020" w:rsidRPr="00454020">
        <w:rPr>
          <w:rFonts w:ascii="Arial" w:eastAsia="Batang" w:hAnsi="Arial" w:cs="Arial"/>
          <w:i/>
          <w:sz w:val="26"/>
          <w:szCs w:val="26"/>
        </w:rPr>
        <w:t>a</w:t>
      </w:r>
      <w:r w:rsidR="000F135F" w:rsidRPr="00454020">
        <w:rPr>
          <w:rFonts w:ascii="Arial" w:eastAsia="Batang" w:hAnsi="Arial" w:cs="Arial"/>
          <w:i/>
          <w:sz w:val="26"/>
          <w:szCs w:val="26"/>
        </w:rPr>
        <w:t xml:space="preserve"> </w:t>
      </w:r>
      <w:r w:rsidR="000F135F" w:rsidRPr="00454020">
        <w:rPr>
          <w:rFonts w:ascii="Arial" w:hAnsi="Arial" w:cs="Arial"/>
          <w:i/>
          <w:spacing w:val="-3"/>
          <w:sz w:val="26"/>
          <w:szCs w:val="26"/>
        </w:rPr>
        <w:t>quo</w:t>
      </w:r>
      <w:r w:rsidR="000F135F">
        <w:rPr>
          <w:rFonts w:ascii="Arial" w:hAnsi="Arial" w:cs="Arial"/>
          <w:spacing w:val="-3"/>
          <w:sz w:val="26"/>
          <w:szCs w:val="26"/>
        </w:rPr>
        <w:t xml:space="preserve"> orden</w:t>
      </w:r>
      <w:r w:rsidR="000F135F" w:rsidRPr="006009F7">
        <w:rPr>
          <w:rFonts w:ascii="Arial" w:hAnsi="Arial" w:cs="Arial"/>
          <w:spacing w:val="-3"/>
          <w:sz w:val="26"/>
          <w:szCs w:val="26"/>
        </w:rPr>
        <w:t>ó</w:t>
      </w:r>
      <w:r w:rsidR="00454020">
        <w:rPr>
          <w:rFonts w:ascii="Arial" w:hAnsi="Arial" w:cs="Arial"/>
          <w:spacing w:val="-3"/>
          <w:sz w:val="26"/>
          <w:szCs w:val="26"/>
        </w:rPr>
        <w:t xml:space="preserve"> notificarlo por edicto (fl. 109 ib.), el cual, únicamente se fijó en la secretaría del juzgado (fl. 110 vto. ib.)</w:t>
      </w:r>
      <w:r w:rsidR="005E5733">
        <w:rPr>
          <w:rFonts w:ascii="Arial" w:hAnsi="Arial" w:cs="Arial"/>
          <w:spacing w:val="-3"/>
          <w:sz w:val="26"/>
          <w:szCs w:val="26"/>
        </w:rPr>
        <w:t xml:space="preserve">, sin que </w:t>
      </w:r>
      <w:r w:rsidR="005E5733" w:rsidRPr="005E5733">
        <w:rPr>
          <w:rFonts w:ascii="Arial" w:hAnsi="Arial" w:cs="Arial"/>
          <w:spacing w:val="-3"/>
          <w:sz w:val="26"/>
          <w:szCs w:val="26"/>
        </w:rPr>
        <w:t>se publicará en un medio escrito de amplia circulación nacional o local, o en cualquier otro medio masivo de comunicación, a criterio de</w:t>
      </w:r>
      <w:r w:rsidR="005E5733">
        <w:rPr>
          <w:rFonts w:ascii="Arial" w:hAnsi="Arial" w:cs="Arial"/>
          <w:spacing w:val="-3"/>
          <w:sz w:val="26"/>
          <w:szCs w:val="26"/>
        </w:rPr>
        <w:t xml:space="preserve"> </w:t>
      </w:r>
      <w:r w:rsidR="005E5733" w:rsidRPr="005E5733">
        <w:rPr>
          <w:rFonts w:ascii="Arial" w:hAnsi="Arial" w:cs="Arial"/>
          <w:spacing w:val="-3"/>
          <w:sz w:val="26"/>
          <w:szCs w:val="26"/>
        </w:rPr>
        <w:t>l</w:t>
      </w:r>
      <w:r w:rsidR="005E5733">
        <w:rPr>
          <w:rFonts w:ascii="Arial" w:hAnsi="Arial" w:cs="Arial"/>
          <w:spacing w:val="-3"/>
          <w:sz w:val="26"/>
          <w:szCs w:val="26"/>
        </w:rPr>
        <w:t>a</w:t>
      </w:r>
      <w:r w:rsidR="005E5733" w:rsidRPr="005E5733">
        <w:rPr>
          <w:rFonts w:ascii="Arial" w:hAnsi="Arial" w:cs="Arial"/>
          <w:spacing w:val="-3"/>
          <w:sz w:val="26"/>
          <w:szCs w:val="26"/>
        </w:rPr>
        <w:t xml:space="preserve"> juez,</w:t>
      </w:r>
      <w:r w:rsidR="005E5733">
        <w:rPr>
          <w:rFonts w:ascii="Arial" w:hAnsi="Arial" w:cs="Arial"/>
          <w:spacing w:val="-3"/>
          <w:sz w:val="26"/>
          <w:szCs w:val="26"/>
        </w:rPr>
        <w:t xml:space="preserve"> como</w:t>
      </w:r>
      <w:r w:rsidR="00D271B5">
        <w:rPr>
          <w:rFonts w:ascii="Arial" w:hAnsi="Arial" w:cs="Arial"/>
          <w:spacing w:val="-3"/>
          <w:sz w:val="26"/>
          <w:szCs w:val="26"/>
        </w:rPr>
        <w:t xml:space="preserve"> por ejemplo,</w:t>
      </w:r>
      <w:r w:rsidR="005E5733">
        <w:rPr>
          <w:rFonts w:ascii="Arial" w:hAnsi="Arial" w:cs="Arial"/>
          <w:spacing w:val="-3"/>
          <w:sz w:val="26"/>
          <w:szCs w:val="26"/>
        </w:rPr>
        <w:t xml:space="preserve"> </w:t>
      </w:r>
      <w:r w:rsidR="005E5733" w:rsidRPr="005E5733">
        <w:rPr>
          <w:rFonts w:ascii="Arial" w:hAnsi="Arial" w:cs="Arial"/>
          <w:spacing w:val="-3"/>
          <w:sz w:val="26"/>
          <w:szCs w:val="26"/>
        </w:rPr>
        <w:t xml:space="preserve">la página web de la Rama Judicial </w:t>
      </w:r>
      <w:r w:rsidR="005E5733">
        <w:rPr>
          <w:rFonts w:ascii="Arial" w:hAnsi="Arial" w:cs="Arial"/>
          <w:spacing w:val="-3"/>
          <w:sz w:val="26"/>
          <w:szCs w:val="26"/>
        </w:rPr>
        <w:t>“</w:t>
      </w:r>
      <w:r w:rsidR="005E5733" w:rsidRPr="005E5733">
        <w:rPr>
          <w:rFonts w:ascii="Arial" w:hAnsi="Arial" w:cs="Arial"/>
          <w:spacing w:val="-3"/>
          <w:sz w:val="26"/>
          <w:szCs w:val="26"/>
        </w:rPr>
        <w:t>url.www</w:t>
      </w:r>
      <w:r w:rsidR="005E5733">
        <w:rPr>
          <w:rFonts w:ascii="Arial" w:hAnsi="Arial" w:cs="Arial"/>
          <w:spacing w:val="-3"/>
          <w:sz w:val="26"/>
          <w:szCs w:val="26"/>
        </w:rPr>
        <w:t>.ramajudicial.gov.co –novedades”</w:t>
      </w:r>
      <w:r w:rsidR="00264688">
        <w:rPr>
          <w:rFonts w:ascii="Arial" w:eastAsia="Batang" w:hAnsi="Arial" w:cs="Arial"/>
          <w:sz w:val="26"/>
          <w:szCs w:val="26"/>
        </w:rPr>
        <w:t>.</w:t>
      </w:r>
      <w:r w:rsidR="001D7319">
        <w:rPr>
          <w:rFonts w:ascii="Arial" w:eastAsia="Batang" w:hAnsi="Arial" w:cs="Arial"/>
          <w:sz w:val="26"/>
          <w:szCs w:val="26"/>
        </w:rPr>
        <w:t xml:space="preserve"> </w:t>
      </w:r>
    </w:p>
    <w:p w:rsidR="00264688" w:rsidRPr="00264688" w:rsidRDefault="00264688" w:rsidP="00EE0930">
      <w:pPr>
        <w:pStyle w:val="Sinespaciado1"/>
        <w:spacing w:line="360" w:lineRule="auto"/>
        <w:ind w:firstLine="2835"/>
        <w:jc w:val="both"/>
        <w:rPr>
          <w:rFonts w:ascii="Arial" w:eastAsia="Batang" w:hAnsi="Arial" w:cs="Arial"/>
          <w:sz w:val="16"/>
          <w:szCs w:val="16"/>
        </w:rPr>
      </w:pPr>
    </w:p>
    <w:p w:rsidR="00BC0952" w:rsidRPr="0032186E" w:rsidRDefault="00DC3883" w:rsidP="00EE0930">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4. </w:t>
      </w:r>
      <w:r w:rsidR="00264688">
        <w:rPr>
          <w:rFonts w:ascii="Arial" w:hAnsi="Arial" w:cs="Arial"/>
          <w:spacing w:val="-3"/>
          <w:sz w:val="26"/>
          <w:szCs w:val="26"/>
        </w:rPr>
        <w:t>C</w:t>
      </w:r>
      <w:r w:rsidR="00EB4D52">
        <w:rPr>
          <w:rFonts w:ascii="Arial" w:hAnsi="Arial" w:cs="Arial"/>
          <w:spacing w:val="-3"/>
          <w:sz w:val="26"/>
          <w:szCs w:val="26"/>
        </w:rPr>
        <w:t>on proveído de</w:t>
      </w:r>
      <w:r w:rsidR="009E11CB">
        <w:rPr>
          <w:rFonts w:ascii="Arial" w:hAnsi="Arial" w:cs="Arial"/>
          <w:spacing w:val="-3"/>
          <w:sz w:val="26"/>
          <w:szCs w:val="26"/>
        </w:rPr>
        <w:t xml:space="preserve">l </w:t>
      </w:r>
      <w:r w:rsidR="003D36DE">
        <w:rPr>
          <w:rFonts w:ascii="Arial" w:hAnsi="Arial" w:cs="Arial"/>
          <w:spacing w:val="-3"/>
          <w:sz w:val="26"/>
          <w:szCs w:val="26"/>
        </w:rPr>
        <w:t>9</w:t>
      </w:r>
      <w:r w:rsidR="00264688">
        <w:rPr>
          <w:rFonts w:ascii="Arial" w:hAnsi="Arial" w:cs="Arial"/>
          <w:spacing w:val="-3"/>
          <w:sz w:val="26"/>
          <w:szCs w:val="26"/>
        </w:rPr>
        <w:t xml:space="preserve"> de </w:t>
      </w:r>
      <w:r w:rsidR="003D36DE">
        <w:rPr>
          <w:rFonts w:ascii="Arial" w:hAnsi="Arial" w:cs="Arial"/>
          <w:spacing w:val="-3"/>
          <w:sz w:val="26"/>
          <w:szCs w:val="26"/>
        </w:rPr>
        <w:t>abril</w:t>
      </w:r>
      <w:r w:rsidR="00264688">
        <w:rPr>
          <w:rFonts w:ascii="Arial" w:hAnsi="Arial" w:cs="Arial"/>
          <w:spacing w:val="-3"/>
          <w:sz w:val="26"/>
          <w:szCs w:val="26"/>
        </w:rPr>
        <w:t xml:space="preserve"> último</w:t>
      </w:r>
      <w:r w:rsidR="00BC0952">
        <w:rPr>
          <w:rFonts w:ascii="Arial" w:hAnsi="Arial" w:cs="Arial"/>
          <w:spacing w:val="-3"/>
          <w:sz w:val="26"/>
          <w:szCs w:val="26"/>
        </w:rPr>
        <w:t xml:space="preserve">, </w:t>
      </w:r>
      <w:r w:rsidR="00A353B5">
        <w:rPr>
          <w:rFonts w:ascii="Arial" w:hAnsi="Arial" w:cs="Arial"/>
          <w:spacing w:val="-3"/>
          <w:sz w:val="26"/>
          <w:szCs w:val="26"/>
        </w:rPr>
        <w:t>la Jueza de primera instancia</w:t>
      </w:r>
      <w:r w:rsidR="003D36DE">
        <w:rPr>
          <w:rFonts w:ascii="Arial" w:hAnsi="Arial" w:cs="Arial"/>
          <w:spacing w:val="-3"/>
          <w:sz w:val="26"/>
          <w:szCs w:val="26"/>
        </w:rPr>
        <w:t xml:space="preserve"> resolvió</w:t>
      </w:r>
      <w:r w:rsidR="00A353B5">
        <w:rPr>
          <w:rFonts w:ascii="Arial" w:hAnsi="Arial" w:cs="Arial"/>
          <w:spacing w:val="-3"/>
          <w:sz w:val="26"/>
          <w:szCs w:val="26"/>
        </w:rPr>
        <w:t xml:space="preserve"> </w:t>
      </w:r>
      <w:r w:rsidR="00764D1D">
        <w:rPr>
          <w:rFonts w:ascii="Arial" w:hAnsi="Arial" w:cs="Arial"/>
          <w:spacing w:val="-3"/>
          <w:sz w:val="26"/>
          <w:szCs w:val="26"/>
        </w:rPr>
        <w:t>“</w:t>
      </w:r>
      <w:r w:rsidR="003D36DE" w:rsidRPr="003D36DE">
        <w:rPr>
          <w:rFonts w:ascii="Arial" w:hAnsi="Arial" w:cs="Arial"/>
          <w:spacing w:val="-3"/>
          <w:szCs w:val="26"/>
        </w:rPr>
        <w:t>NO TUTELAR</w:t>
      </w:r>
      <w:r w:rsidR="00DD1573">
        <w:rPr>
          <w:rFonts w:ascii="Arial" w:hAnsi="Arial" w:cs="Arial"/>
          <w:spacing w:val="-3"/>
          <w:sz w:val="26"/>
          <w:szCs w:val="26"/>
        </w:rPr>
        <w:t xml:space="preserve">” los derechos fundamentales invocados por </w:t>
      </w:r>
      <w:r w:rsidR="002F1407">
        <w:rPr>
          <w:rFonts w:ascii="Arial" w:hAnsi="Arial" w:cs="Arial"/>
          <w:spacing w:val="-3"/>
          <w:sz w:val="26"/>
          <w:szCs w:val="26"/>
        </w:rPr>
        <w:t>l</w:t>
      </w:r>
      <w:r w:rsidR="009E11CB">
        <w:rPr>
          <w:rFonts w:ascii="Arial" w:hAnsi="Arial" w:cs="Arial"/>
          <w:spacing w:val="-3"/>
          <w:sz w:val="26"/>
          <w:szCs w:val="26"/>
        </w:rPr>
        <w:t>a</w:t>
      </w:r>
      <w:r w:rsidR="002F1407">
        <w:rPr>
          <w:rFonts w:ascii="Arial" w:hAnsi="Arial" w:cs="Arial"/>
          <w:spacing w:val="-3"/>
          <w:sz w:val="26"/>
          <w:szCs w:val="26"/>
        </w:rPr>
        <w:t xml:space="preserve"> accionante</w:t>
      </w:r>
      <w:r w:rsidR="00BC0952">
        <w:rPr>
          <w:rFonts w:ascii="Arial" w:hAnsi="Arial" w:cs="Arial"/>
          <w:spacing w:val="-3"/>
          <w:sz w:val="26"/>
          <w:szCs w:val="26"/>
        </w:rPr>
        <w:t>.</w:t>
      </w:r>
      <w:r w:rsidR="008600EC">
        <w:rPr>
          <w:rFonts w:ascii="Arial" w:hAnsi="Arial" w:cs="Arial"/>
          <w:spacing w:val="-3"/>
          <w:sz w:val="26"/>
          <w:szCs w:val="26"/>
        </w:rPr>
        <w:t xml:space="preserve"> </w:t>
      </w:r>
      <w:r w:rsidR="008600EC" w:rsidRPr="00DB0ED7">
        <w:rPr>
          <w:rFonts w:ascii="Arial" w:hAnsi="Arial" w:cs="Arial"/>
          <w:spacing w:val="-3"/>
          <w:sz w:val="26"/>
          <w:szCs w:val="26"/>
        </w:rPr>
        <w:t>Sentencia que tam</w:t>
      </w:r>
      <w:r w:rsidR="00DB0ED7" w:rsidRPr="00DB0ED7">
        <w:rPr>
          <w:rFonts w:ascii="Arial" w:hAnsi="Arial" w:cs="Arial"/>
          <w:spacing w:val="-3"/>
          <w:sz w:val="26"/>
          <w:szCs w:val="26"/>
        </w:rPr>
        <w:t xml:space="preserve">bién </w:t>
      </w:r>
      <w:r w:rsidR="008600EC" w:rsidRPr="00DB0ED7">
        <w:rPr>
          <w:rFonts w:ascii="Arial" w:hAnsi="Arial" w:cs="Arial"/>
          <w:spacing w:val="-3"/>
          <w:sz w:val="26"/>
          <w:szCs w:val="26"/>
        </w:rPr>
        <w:t xml:space="preserve">fue notificada </w:t>
      </w:r>
      <w:r w:rsidR="00DB0ED7">
        <w:rPr>
          <w:rFonts w:ascii="Arial" w:eastAsia="Batang" w:hAnsi="Arial" w:cs="Arial"/>
          <w:sz w:val="26"/>
          <w:szCs w:val="26"/>
        </w:rPr>
        <w:t>al señor Jairo Ceballos Grisales</w:t>
      </w:r>
      <w:r w:rsidR="00DB0ED7">
        <w:rPr>
          <w:rFonts w:ascii="Arial" w:eastAsia="Batang" w:hAnsi="Arial" w:cs="Arial"/>
          <w:sz w:val="26"/>
          <w:szCs w:val="26"/>
        </w:rPr>
        <w:t xml:space="preserve"> </w:t>
      </w:r>
      <w:r w:rsidR="00ED6274">
        <w:rPr>
          <w:rFonts w:ascii="Arial" w:eastAsia="Batang" w:hAnsi="Arial" w:cs="Arial"/>
          <w:sz w:val="26"/>
          <w:szCs w:val="26"/>
        </w:rPr>
        <w:t>por edicto, en las mismas condiciones referidas en el párrafo anterior</w:t>
      </w:r>
      <w:r w:rsidR="008600EC">
        <w:rPr>
          <w:rFonts w:ascii="Arial" w:eastAsia="Batang" w:hAnsi="Arial" w:cs="Arial"/>
          <w:sz w:val="26"/>
          <w:szCs w:val="26"/>
        </w:rPr>
        <w:t>.</w:t>
      </w:r>
      <w:r w:rsidR="00BC0952">
        <w:rPr>
          <w:rFonts w:ascii="Arial" w:hAnsi="Arial" w:cs="Arial"/>
          <w:spacing w:val="-3"/>
          <w:sz w:val="26"/>
          <w:szCs w:val="26"/>
        </w:rPr>
        <w:t xml:space="preserve"> </w:t>
      </w:r>
      <w:r w:rsidR="00EE0930" w:rsidRPr="0032186E">
        <w:rPr>
          <w:rFonts w:ascii="Arial" w:hAnsi="Arial" w:cs="Arial"/>
          <w:spacing w:val="-3"/>
          <w:sz w:val="26"/>
          <w:szCs w:val="26"/>
        </w:rPr>
        <w:t xml:space="preserve">Decisión impugnada por </w:t>
      </w:r>
      <w:r w:rsidR="00A07D6B">
        <w:rPr>
          <w:rFonts w:ascii="Arial" w:hAnsi="Arial" w:cs="Arial"/>
          <w:spacing w:val="-3"/>
          <w:sz w:val="26"/>
          <w:szCs w:val="26"/>
        </w:rPr>
        <w:t>la actora</w:t>
      </w:r>
      <w:r w:rsidR="00EE0930" w:rsidRPr="0032186E">
        <w:rPr>
          <w:rFonts w:ascii="Arial" w:hAnsi="Arial" w:cs="Arial"/>
          <w:spacing w:val="-3"/>
          <w:sz w:val="26"/>
          <w:szCs w:val="26"/>
        </w:rPr>
        <w:t xml:space="preserve"> para desatar la segunda instancia</w:t>
      </w:r>
      <w:r w:rsidR="00BC0952" w:rsidRPr="0032186E">
        <w:rPr>
          <w:rFonts w:ascii="Arial" w:hAnsi="Arial" w:cs="Arial"/>
          <w:spacing w:val="-3"/>
          <w:sz w:val="26"/>
          <w:szCs w:val="26"/>
        </w:rPr>
        <w:t>.</w:t>
      </w:r>
    </w:p>
    <w:p w:rsidR="00BC0952" w:rsidRPr="00EE0930" w:rsidRDefault="00BC0952" w:rsidP="00BC0952">
      <w:pPr>
        <w:suppressAutoHyphens/>
        <w:spacing w:line="360" w:lineRule="auto"/>
        <w:ind w:firstLine="2835"/>
        <w:jc w:val="both"/>
        <w:rPr>
          <w:rFonts w:ascii="Arial" w:hAnsi="Arial" w:cs="Arial"/>
          <w:spacing w:val="-3"/>
          <w:sz w:val="16"/>
          <w:szCs w:val="16"/>
          <w:highlight w:val="darkGray"/>
        </w:rPr>
      </w:pPr>
    </w:p>
    <w:p w:rsidR="00BC0952" w:rsidRPr="0032186E" w:rsidRDefault="00BC0952" w:rsidP="00BC0952">
      <w:pPr>
        <w:suppressAutoHyphens/>
        <w:spacing w:line="360" w:lineRule="auto"/>
        <w:ind w:firstLine="2835"/>
        <w:jc w:val="both"/>
        <w:rPr>
          <w:rFonts w:ascii="Arial" w:hAnsi="Arial" w:cs="Arial"/>
          <w:b/>
          <w:sz w:val="26"/>
          <w:szCs w:val="26"/>
        </w:rPr>
      </w:pPr>
      <w:r w:rsidRPr="0032186E">
        <w:rPr>
          <w:rFonts w:ascii="Arial" w:hAnsi="Arial" w:cs="Arial"/>
          <w:b/>
          <w:sz w:val="26"/>
          <w:szCs w:val="26"/>
        </w:rPr>
        <w:t>III. Consideraciones</w:t>
      </w:r>
    </w:p>
    <w:p w:rsidR="00B22294" w:rsidRDefault="00B22294" w:rsidP="00B22294">
      <w:pPr>
        <w:pStyle w:val="Sinespaciado1"/>
        <w:spacing w:line="360" w:lineRule="auto"/>
        <w:ind w:firstLine="2835"/>
        <w:jc w:val="both"/>
        <w:rPr>
          <w:rFonts w:ascii="Arial" w:eastAsia="Batang" w:hAnsi="Arial" w:cs="Arial"/>
          <w:sz w:val="16"/>
          <w:szCs w:val="26"/>
        </w:rPr>
      </w:pPr>
    </w:p>
    <w:p w:rsidR="00EE0930" w:rsidRDefault="00EE0930" w:rsidP="00EE0930">
      <w:pPr>
        <w:suppressAutoHyphens/>
        <w:spacing w:line="360" w:lineRule="auto"/>
        <w:ind w:firstLine="2835"/>
        <w:jc w:val="both"/>
        <w:rPr>
          <w:rFonts w:ascii="Arial" w:hAnsi="Arial" w:cs="Arial"/>
          <w:sz w:val="16"/>
          <w:szCs w:val="26"/>
        </w:rPr>
      </w:pPr>
      <w:r w:rsidRPr="0032186E">
        <w:rPr>
          <w:rFonts w:ascii="Arial" w:hAnsi="Arial" w:cs="Arial"/>
          <w:sz w:val="26"/>
          <w:szCs w:val="26"/>
        </w:rPr>
        <w:t xml:space="preserve">1. </w:t>
      </w:r>
      <w:r>
        <w:rPr>
          <w:rFonts w:ascii="Arial" w:hAnsi="Arial" w:cs="Arial"/>
          <w:sz w:val="26"/>
          <w:szCs w:val="26"/>
        </w:rPr>
        <w:t>E</w:t>
      </w:r>
      <w:r w:rsidRPr="00541705">
        <w:rPr>
          <w:rFonts w:ascii="Arial" w:hAnsi="Arial" w:cs="Arial"/>
          <w:sz w:val="26"/>
          <w:szCs w:val="26"/>
        </w:rPr>
        <w:t>n virtud de las garantías fundamentales que deben respetarse en todo procedimiento, se debe garantizar el derecho de defensa y contradicción a todos aquellos que puedan verse perjudicados con la sentencia o sean destinatarios directos de las órdenes constitucionales que lleguen a impartirse, siendo obligatorio notificarles la admisión de la rogativa, para que, si a bien lo tienen, se pronuncien sobre la misma.</w:t>
      </w:r>
    </w:p>
    <w:p w:rsidR="00EE0930" w:rsidRPr="003D3614" w:rsidRDefault="00EE0930" w:rsidP="00EE0930">
      <w:pPr>
        <w:suppressAutoHyphens/>
        <w:spacing w:line="360" w:lineRule="auto"/>
        <w:ind w:firstLine="2835"/>
        <w:jc w:val="both"/>
        <w:rPr>
          <w:rFonts w:ascii="Arial" w:hAnsi="Arial" w:cs="Arial"/>
          <w:sz w:val="16"/>
          <w:szCs w:val="26"/>
        </w:rPr>
      </w:pPr>
    </w:p>
    <w:p w:rsidR="00EE0930" w:rsidRPr="00A2720C" w:rsidRDefault="00EE0930" w:rsidP="00EE0930">
      <w:pPr>
        <w:suppressAutoHyphens/>
        <w:spacing w:line="360" w:lineRule="auto"/>
        <w:ind w:firstLine="2835"/>
        <w:jc w:val="both"/>
        <w:rPr>
          <w:rFonts w:ascii="Arial" w:hAnsi="Arial" w:cs="Arial"/>
          <w:sz w:val="26"/>
          <w:szCs w:val="26"/>
        </w:rPr>
      </w:pPr>
      <w:r w:rsidRPr="00726D83">
        <w:rPr>
          <w:rFonts w:ascii="Arial" w:hAnsi="Arial" w:cs="Arial"/>
          <w:sz w:val="26"/>
          <w:szCs w:val="26"/>
        </w:rPr>
        <w:t>De acuerdo con ello,</w:t>
      </w:r>
      <w:r>
        <w:rPr>
          <w:rFonts w:ascii="Arial" w:hAnsi="Arial" w:cs="Arial"/>
          <w:sz w:val="26"/>
          <w:szCs w:val="26"/>
        </w:rPr>
        <w:t xml:space="preserve"> cuando </w:t>
      </w:r>
      <w:r w:rsidRPr="0032186E">
        <w:rPr>
          <w:rFonts w:ascii="Arial" w:hAnsi="Arial" w:cs="Arial"/>
          <w:spacing w:val="-1"/>
          <w:sz w:val="26"/>
          <w:szCs w:val="26"/>
          <w:lang w:val="es-ES_tradnl"/>
        </w:rPr>
        <w:t>no se practica en legal forma la notificación del auto ad</w:t>
      </w:r>
      <w:r w:rsidRPr="0032186E">
        <w:rPr>
          <w:rFonts w:ascii="Arial" w:hAnsi="Arial" w:cs="Arial"/>
          <w:spacing w:val="-2"/>
          <w:sz w:val="26"/>
          <w:szCs w:val="26"/>
          <w:lang w:val="es-ES_tradnl"/>
        </w:rPr>
        <w:t xml:space="preserve">misorio de la demanda a personas </w:t>
      </w:r>
      <w:r w:rsidRPr="0032186E">
        <w:rPr>
          <w:rFonts w:ascii="Arial" w:hAnsi="Arial" w:cs="Arial"/>
          <w:spacing w:val="-2"/>
          <w:sz w:val="26"/>
          <w:szCs w:val="26"/>
          <w:lang w:val="es-ES_tradnl"/>
        </w:rPr>
        <w:lastRenderedPageBreak/>
        <w:t>determinadas</w:t>
      </w:r>
      <w:r>
        <w:rPr>
          <w:rFonts w:ascii="Arial" w:hAnsi="Arial" w:cs="Arial"/>
          <w:spacing w:val="-2"/>
          <w:sz w:val="26"/>
          <w:szCs w:val="26"/>
          <w:lang w:val="es-ES_tradnl"/>
        </w:rPr>
        <w:t xml:space="preserve">, </w:t>
      </w:r>
      <w:r w:rsidRPr="00726D83">
        <w:rPr>
          <w:rFonts w:ascii="Arial" w:hAnsi="Arial" w:cs="Arial"/>
          <w:sz w:val="26"/>
          <w:szCs w:val="26"/>
        </w:rPr>
        <w:t xml:space="preserve">se estructura la causal de nulidad establecida en el precepto </w:t>
      </w:r>
      <w:r>
        <w:rPr>
          <w:rFonts w:ascii="Arial" w:hAnsi="Arial" w:cs="Arial"/>
          <w:sz w:val="26"/>
          <w:szCs w:val="26"/>
        </w:rPr>
        <w:t>133</w:t>
      </w:r>
      <w:r w:rsidRPr="00726D83">
        <w:rPr>
          <w:rFonts w:ascii="Arial" w:hAnsi="Arial" w:cs="Arial"/>
          <w:sz w:val="26"/>
          <w:szCs w:val="26"/>
        </w:rPr>
        <w:t xml:space="preserve"> numeral </w:t>
      </w:r>
      <w:r>
        <w:rPr>
          <w:rFonts w:ascii="Arial" w:hAnsi="Arial" w:cs="Arial"/>
          <w:sz w:val="26"/>
          <w:szCs w:val="26"/>
        </w:rPr>
        <w:t>8</w:t>
      </w:r>
      <w:r w:rsidRPr="00726D83">
        <w:rPr>
          <w:rFonts w:ascii="Arial" w:hAnsi="Arial" w:cs="Arial"/>
          <w:sz w:val="26"/>
          <w:szCs w:val="26"/>
        </w:rPr>
        <w:t>°</w:t>
      </w:r>
      <w:r w:rsidRPr="0032186E">
        <w:rPr>
          <w:rStyle w:val="Refdenotaalpie"/>
          <w:rFonts w:ascii="Arial" w:hAnsi="Arial" w:cs="Arial"/>
          <w:sz w:val="26"/>
          <w:szCs w:val="26"/>
        </w:rPr>
        <w:footnoteReference w:id="1"/>
      </w:r>
      <w:r w:rsidRPr="00726D83">
        <w:rPr>
          <w:rFonts w:ascii="Arial" w:hAnsi="Arial" w:cs="Arial"/>
          <w:sz w:val="26"/>
          <w:szCs w:val="26"/>
        </w:rPr>
        <w:t xml:space="preserve"> del </w:t>
      </w:r>
      <w:r w:rsidRPr="003D3614">
        <w:rPr>
          <w:rFonts w:ascii="Arial" w:hAnsi="Arial" w:cs="Arial"/>
          <w:sz w:val="22"/>
          <w:szCs w:val="26"/>
        </w:rPr>
        <w:t>CGP</w:t>
      </w:r>
      <w:r>
        <w:rPr>
          <w:rFonts w:ascii="Arial" w:hAnsi="Arial" w:cs="Arial"/>
          <w:sz w:val="26"/>
          <w:szCs w:val="26"/>
        </w:rPr>
        <w:t>.</w:t>
      </w:r>
    </w:p>
    <w:p w:rsidR="00EE0930" w:rsidRPr="00B86BB3" w:rsidRDefault="00EE0930" w:rsidP="00B22294">
      <w:pPr>
        <w:pStyle w:val="Sinespaciado1"/>
        <w:spacing w:line="360" w:lineRule="auto"/>
        <w:ind w:firstLine="2835"/>
        <w:jc w:val="both"/>
        <w:rPr>
          <w:rFonts w:ascii="Arial" w:eastAsia="Batang" w:hAnsi="Arial" w:cs="Arial"/>
          <w:sz w:val="16"/>
          <w:szCs w:val="26"/>
        </w:rPr>
      </w:pPr>
    </w:p>
    <w:p w:rsidR="00B22294" w:rsidRDefault="00EE0930" w:rsidP="00B22294">
      <w:pPr>
        <w:suppressAutoHyphens/>
        <w:spacing w:line="360" w:lineRule="auto"/>
        <w:ind w:firstLine="2835"/>
        <w:jc w:val="both"/>
        <w:rPr>
          <w:rFonts w:ascii="Arial" w:hAnsi="Arial" w:cs="Arial"/>
          <w:sz w:val="26"/>
          <w:szCs w:val="26"/>
        </w:rPr>
      </w:pPr>
      <w:r>
        <w:rPr>
          <w:rFonts w:ascii="Arial" w:hAnsi="Arial" w:cs="Arial"/>
          <w:sz w:val="26"/>
          <w:szCs w:val="26"/>
        </w:rPr>
        <w:t>2</w:t>
      </w:r>
      <w:r w:rsidR="00B22294" w:rsidRPr="00A40B64">
        <w:rPr>
          <w:rFonts w:ascii="Arial" w:hAnsi="Arial" w:cs="Arial"/>
          <w:sz w:val="26"/>
          <w:szCs w:val="26"/>
        </w:rPr>
        <w:t>. Recientemente</w:t>
      </w:r>
      <w:r w:rsidR="00B22294">
        <w:rPr>
          <w:rFonts w:ascii="Arial" w:hAnsi="Arial" w:cs="Arial"/>
          <w:sz w:val="26"/>
          <w:szCs w:val="26"/>
        </w:rPr>
        <w:t>,</w:t>
      </w:r>
      <w:r w:rsidR="00B22294" w:rsidRPr="00A40B64">
        <w:rPr>
          <w:rFonts w:ascii="Arial" w:hAnsi="Arial" w:cs="Arial"/>
          <w:sz w:val="26"/>
          <w:szCs w:val="26"/>
        </w:rPr>
        <w:t xml:space="preserve"> la Sala de Casació</w:t>
      </w:r>
      <w:r w:rsidR="00B22294">
        <w:rPr>
          <w:rFonts w:ascii="Arial" w:hAnsi="Arial" w:cs="Arial"/>
          <w:sz w:val="26"/>
          <w:szCs w:val="26"/>
        </w:rPr>
        <w:t>n Civil de la Corte Suprema de J</w:t>
      </w:r>
      <w:r w:rsidR="00B22294" w:rsidRPr="00A40B64">
        <w:rPr>
          <w:rFonts w:ascii="Arial" w:hAnsi="Arial" w:cs="Arial"/>
          <w:sz w:val="26"/>
          <w:szCs w:val="26"/>
        </w:rPr>
        <w:t xml:space="preserve">usticia, en asunto </w:t>
      </w:r>
      <w:r w:rsidR="00B22294">
        <w:rPr>
          <w:rFonts w:ascii="Arial" w:hAnsi="Arial" w:cs="Arial"/>
          <w:sz w:val="26"/>
          <w:szCs w:val="26"/>
        </w:rPr>
        <w:t xml:space="preserve">similar </w:t>
      </w:r>
      <w:r w:rsidR="00B22294" w:rsidRPr="00A40B64">
        <w:rPr>
          <w:rFonts w:ascii="Arial" w:hAnsi="Arial" w:cs="Arial"/>
          <w:sz w:val="26"/>
          <w:szCs w:val="26"/>
        </w:rPr>
        <w:t>decidido por esta Corporación declaró la nulidad, bajo el sustento que, el artículo 16 del Decreto 2591 de 1991 establece que las actuaciones que se surten dentro del rito constitucional deben ser notificadas “</w:t>
      </w:r>
      <w:r w:rsidR="00B22294" w:rsidRPr="00A40B64">
        <w:rPr>
          <w:rFonts w:ascii="Arial" w:hAnsi="Arial" w:cs="Arial"/>
          <w:i/>
          <w:sz w:val="24"/>
          <w:szCs w:val="26"/>
        </w:rPr>
        <w:t>a las partes o intervinientes</w:t>
      </w:r>
      <w:r w:rsidR="00B22294" w:rsidRPr="00A40B64">
        <w:rPr>
          <w:rFonts w:ascii="Arial" w:hAnsi="Arial" w:cs="Arial"/>
          <w:i/>
          <w:sz w:val="26"/>
          <w:szCs w:val="26"/>
        </w:rPr>
        <w:t xml:space="preserve">”, </w:t>
      </w:r>
      <w:r w:rsidR="00B22294" w:rsidRPr="00A40B64">
        <w:rPr>
          <w:rFonts w:ascii="Arial" w:hAnsi="Arial" w:cs="Arial"/>
          <w:sz w:val="26"/>
          <w:szCs w:val="26"/>
        </w:rPr>
        <w:t>con lo que se garantiza la citación al trámite de los terceros determinados o determinables con interés legítimo en el mismo, con el fin de que puedan ejercer su defensa y, por ende, se dé cumplimiento al debido proceso, protegiendo sus intereses</w:t>
      </w:r>
      <w:r w:rsidR="00B22294">
        <w:rPr>
          <w:rFonts w:ascii="Arial" w:hAnsi="Arial" w:cs="Arial"/>
          <w:sz w:val="26"/>
          <w:szCs w:val="26"/>
        </w:rPr>
        <w:t>.</w:t>
      </w:r>
    </w:p>
    <w:p w:rsidR="00B22294" w:rsidRPr="00601521" w:rsidRDefault="00B22294" w:rsidP="00B22294">
      <w:pPr>
        <w:suppressAutoHyphens/>
        <w:spacing w:line="360" w:lineRule="auto"/>
        <w:ind w:firstLine="2835"/>
        <w:jc w:val="both"/>
        <w:rPr>
          <w:rFonts w:ascii="Arial" w:hAnsi="Arial" w:cs="Arial"/>
          <w:sz w:val="16"/>
          <w:szCs w:val="26"/>
        </w:rPr>
      </w:pPr>
    </w:p>
    <w:p w:rsidR="006B4577" w:rsidRDefault="006B4577" w:rsidP="006B4577">
      <w:pPr>
        <w:suppressAutoHyphens/>
        <w:spacing w:line="360" w:lineRule="auto"/>
        <w:ind w:firstLine="2835"/>
        <w:jc w:val="both"/>
        <w:rPr>
          <w:rFonts w:ascii="Arial" w:hAnsi="Arial" w:cs="Arial"/>
          <w:sz w:val="26"/>
          <w:szCs w:val="26"/>
        </w:rPr>
      </w:pPr>
      <w:r>
        <w:rPr>
          <w:rFonts w:ascii="Arial" w:hAnsi="Arial" w:cs="Arial"/>
          <w:sz w:val="26"/>
          <w:szCs w:val="26"/>
        </w:rPr>
        <w:t>3. En este caso, la demanda de amparo fue admitida frente</w:t>
      </w:r>
      <w:r w:rsidR="008770C1">
        <w:rPr>
          <w:rFonts w:ascii="Arial" w:hAnsi="Arial" w:cs="Arial"/>
          <w:sz w:val="26"/>
          <w:szCs w:val="26"/>
        </w:rPr>
        <w:t xml:space="preserve"> </w:t>
      </w:r>
      <w:r w:rsidR="00DD1573">
        <w:rPr>
          <w:rFonts w:ascii="Arial" w:eastAsia="Batang" w:hAnsi="Arial" w:cs="Arial"/>
          <w:sz w:val="26"/>
          <w:szCs w:val="26"/>
        </w:rPr>
        <w:t xml:space="preserve">al </w:t>
      </w:r>
      <w:r w:rsidR="00DD1573">
        <w:rPr>
          <w:rFonts w:ascii="Arial" w:hAnsi="Arial" w:cs="Arial"/>
          <w:sz w:val="26"/>
          <w:szCs w:val="26"/>
        </w:rPr>
        <w:t>Juzgado Segundo Civil Municipal de Pereira</w:t>
      </w:r>
      <w:r w:rsidR="00724D42">
        <w:rPr>
          <w:rFonts w:ascii="Arial" w:hAnsi="Arial" w:cs="Arial"/>
          <w:sz w:val="26"/>
          <w:szCs w:val="26"/>
        </w:rPr>
        <w:t xml:space="preserve">, trámite al que se vinculó </w:t>
      </w:r>
      <w:r w:rsidR="00DD1573">
        <w:rPr>
          <w:rFonts w:ascii="Arial" w:hAnsi="Arial" w:cs="Arial"/>
          <w:sz w:val="26"/>
          <w:szCs w:val="26"/>
        </w:rPr>
        <w:t>a la Unidad Res</w:t>
      </w:r>
      <w:r w:rsidR="00E706DF">
        <w:rPr>
          <w:rFonts w:ascii="Arial" w:hAnsi="Arial" w:cs="Arial"/>
          <w:sz w:val="26"/>
          <w:szCs w:val="26"/>
        </w:rPr>
        <w:t>idencial Torres de Fegove PH y a</w:t>
      </w:r>
      <w:r w:rsidR="00DD1573">
        <w:rPr>
          <w:rFonts w:ascii="Arial" w:hAnsi="Arial" w:cs="Arial"/>
          <w:sz w:val="26"/>
          <w:szCs w:val="26"/>
        </w:rPr>
        <w:t>l señor Jairo Ceballos Grisales</w:t>
      </w:r>
      <w:r w:rsidR="00724D42">
        <w:rPr>
          <w:rFonts w:ascii="Arial" w:hAnsi="Arial" w:cs="Arial"/>
          <w:spacing w:val="-3"/>
          <w:sz w:val="26"/>
          <w:szCs w:val="26"/>
        </w:rPr>
        <w:t xml:space="preserve">, </w:t>
      </w:r>
      <w:r>
        <w:rPr>
          <w:rFonts w:ascii="Arial" w:hAnsi="Arial" w:cs="Arial"/>
          <w:sz w:val="26"/>
          <w:szCs w:val="26"/>
        </w:rPr>
        <w:t>sin embargo</w:t>
      </w:r>
      <w:r w:rsidR="0009729D">
        <w:rPr>
          <w:rFonts w:ascii="Arial" w:hAnsi="Arial" w:cs="Arial"/>
          <w:sz w:val="26"/>
          <w:szCs w:val="26"/>
        </w:rPr>
        <w:t>,</w:t>
      </w:r>
      <w:r>
        <w:rPr>
          <w:rFonts w:ascii="Arial" w:hAnsi="Arial" w:cs="Arial"/>
          <w:sz w:val="26"/>
          <w:szCs w:val="26"/>
        </w:rPr>
        <w:t xml:space="preserve"> </w:t>
      </w:r>
      <w:r w:rsidR="00DD1573">
        <w:rPr>
          <w:rFonts w:ascii="Arial" w:hAnsi="Arial" w:cs="Arial"/>
          <w:sz w:val="26"/>
          <w:szCs w:val="26"/>
        </w:rPr>
        <w:t>este último</w:t>
      </w:r>
      <w:r w:rsidR="0009729D">
        <w:rPr>
          <w:rFonts w:ascii="Arial" w:eastAsia="Batang" w:hAnsi="Arial" w:cs="Arial"/>
          <w:sz w:val="26"/>
          <w:szCs w:val="26"/>
        </w:rPr>
        <w:t>,</w:t>
      </w:r>
      <w:r w:rsidR="00E706DF">
        <w:rPr>
          <w:rFonts w:ascii="Arial" w:eastAsia="Batang" w:hAnsi="Arial" w:cs="Arial"/>
          <w:sz w:val="26"/>
          <w:szCs w:val="26"/>
        </w:rPr>
        <w:t xml:space="preserve"> no fue</w:t>
      </w:r>
      <w:r w:rsidR="00E706DF" w:rsidRPr="00E706DF">
        <w:rPr>
          <w:rFonts w:ascii="Arial" w:eastAsia="Batang" w:hAnsi="Arial" w:cs="Arial"/>
          <w:sz w:val="26"/>
          <w:szCs w:val="26"/>
        </w:rPr>
        <w:t xml:space="preserve"> debidamente notificado</w:t>
      </w:r>
      <w:r w:rsidR="0009729D" w:rsidRPr="00E706DF">
        <w:rPr>
          <w:rFonts w:ascii="Arial" w:eastAsia="Batang" w:hAnsi="Arial" w:cs="Arial"/>
          <w:sz w:val="26"/>
          <w:szCs w:val="26"/>
        </w:rPr>
        <w:t xml:space="preserve">, pues como se dijo, </w:t>
      </w:r>
      <w:r w:rsidR="00E706DF">
        <w:rPr>
          <w:rFonts w:ascii="Arial" w:eastAsia="Batang" w:hAnsi="Arial" w:cs="Arial"/>
          <w:sz w:val="26"/>
          <w:szCs w:val="26"/>
        </w:rPr>
        <w:t xml:space="preserve">se </w:t>
      </w:r>
      <w:r w:rsidR="00E706DF">
        <w:rPr>
          <w:rFonts w:ascii="Arial" w:hAnsi="Arial" w:cs="Arial"/>
          <w:spacing w:val="-3"/>
          <w:sz w:val="26"/>
          <w:szCs w:val="26"/>
        </w:rPr>
        <w:t>orden</w:t>
      </w:r>
      <w:r w:rsidR="00E706DF" w:rsidRPr="006009F7">
        <w:rPr>
          <w:rFonts w:ascii="Arial" w:hAnsi="Arial" w:cs="Arial"/>
          <w:spacing w:val="-3"/>
          <w:sz w:val="26"/>
          <w:szCs w:val="26"/>
        </w:rPr>
        <w:t>ó</w:t>
      </w:r>
      <w:r w:rsidR="00E706DF">
        <w:rPr>
          <w:rFonts w:ascii="Arial" w:hAnsi="Arial" w:cs="Arial"/>
          <w:spacing w:val="-3"/>
          <w:sz w:val="26"/>
          <w:szCs w:val="26"/>
        </w:rPr>
        <w:t xml:space="preserve"> </w:t>
      </w:r>
      <w:r w:rsidR="00E706DF">
        <w:rPr>
          <w:rFonts w:ascii="Arial" w:hAnsi="Arial" w:cs="Arial"/>
          <w:spacing w:val="-3"/>
          <w:sz w:val="26"/>
          <w:szCs w:val="26"/>
        </w:rPr>
        <w:t>hacerlo</w:t>
      </w:r>
      <w:r w:rsidR="00E706DF">
        <w:rPr>
          <w:rFonts w:ascii="Arial" w:hAnsi="Arial" w:cs="Arial"/>
          <w:spacing w:val="-3"/>
          <w:sz w:val="26"/>
          <w:szCs w:val="26"/>
        </w:rPr>
        <w:t xml:space="preserve"> por edicto, </w:t>
      </w:r>
      <w:r w:rsidR="00E706DF">
        <w:rPr>
          <w:rFonts w:ascii="Arial" w:hAnsi="Arial" w:cs="Arial"/>
          <w:spacing w:val="-3"/>
          <w:sz w:val="26"/>
          <w:szCs w:val="26"/>
        </w:rPr>
        <w:t>pero</w:t>
      </w:r>
      <w:r w:rsidR="00E706DF">
        <w:rPr>
          <w:rFonts w:ascii="Arial" w:hAnsi="Arial" w:cs="Arial"/>
          <w:spacing w:val="-3"/>
          <w:sz w:val="26"/>
          <w:szCs w:val="26"/>
        </w:rPr>
        <w:t xml:space="preserve"> únicamente se fijó en la secretaría del juzgado, sin que </w:t>
      </w:r>
      <w:r w:rsidR="00E706DF" w:rsidRPr="005E5733">
        <w:rPr>
          <w:rFonts w:ascii="Arial" w:hAnsi="Arial" w:cs="Arial"/>
          <w:spacing w:val="-3"/>
          <w:sz w:val="26"/>
          <w:szCs w:val="26"/>
        </w:rPr>
        <w:t xml:space="preserve">se publicará en un medio escrito de amplia circulación nacional o local, o en cualquier otro medio masivo de comunicación, </w:t>
      </w:r>
      <w:r w:rsidR="00E706DF">
        <w:rPr>
          <w:rFonts w:ascii="Arial" w:hAnsi="Arial" w:cs="Arial"/>
          <w:spacing w:val="-3"/>
          <w:sz w:val="26"/>
          <w:szCs w:val="26"/>
        </w:rPr>
        <w:t>c</w:t>
      </w:r>
      <w:r w:rsidR="00E706DF">
        <w:rPr>
          <w:rFonts w:ascii="Arial" w:hAnsi="Arial" w:cs="Arial"/>
          <w:spacing w:val="-3"/>
          <w:sz w:val="26"/>
          <w:szCs w:val="26"/>
        </w:rPr>
        <w:t xml:space="preserve">omo por ejemplo, </w:t>
      </w:r>
      <w:r w:rsidR="00E706DF" w:rsidRPr="005E5733">
        <w:rPr>
          <w:rFonts w:ascii="Arial" w:hAnsi="Arial" w:cs="Arial"/>
          <w:spacing w:val="-3"/>
          <w:sz w:val="26"/>
          <w:szCs w:val="26"/>
        </w:rPr>
        <w:t xml:space="preserve">la página web de la Rama Judicial </w:t>
      </w:r>
      <w:r w:rsidR="00E706DF">
        <w:rPr>
          <w:rFonts w:ascii="Arial" w:hAnsi="Arial" w:cs="Arial"/>
          <w:spacing w:val="-3"/>
          <w:sz w:val="26"/>
          <w:szCs w:val="26"/>
        </w:rPr>
        <w:t>“</w:t>
      </w:r>
      <w:r w:rsidR="00E706DF" w:rsidRPr="005E5733">
        <w:rPr>
          <w:rFonts w:ascii="Arial" w:hAnsi="Arial" w:cs="Arial"/>
          <w:spacing w:val="-3"/>
          <w:sz w:val="26"/>
          <w:szCs w:val="26"/>
        </w:rPr>
        <w:t>url.www</w:t>
      </w:r>
      <w:r w:rsidR="00E706DF">
        <w:rPr>
          <w:rFonts w:ascii="Arial" w:hAnsi="Arial" w:cs="Arial"/>
          <w:spacing w:val="-3"/>
          <w:sz w:val="26"/>
          <w:szCs w:val="26"/>
        </w:rPr>
        <w:t>.ramajudicial.gov.co –novedades”</w:t>
      </w:r>
      <w:r w:rsidR="00724D42">
        <w:rPr>
          <w:rFonts w:ascii="Arial" w:hAnsi="Arial" w:cs="Arial"/>
          <w:sz w:val="26"/>
          <w:szCs w:val="26"/>
        </w:rPr>
        <w:t>.</w:t>
      </w:r>
    </w:p>
    <w:p w:rsidR="006B4577" w:rsidRPr="00DB2805" w:rsidRDefault="006B4577" w:rsidP="006B4577">
      <w:pPr>
        <w:suppressAutoHyphens/>
        <w:spacing w:line="360" w:lineRule="auto"/>
        <w:ind w:firstLine="2835"/>
        <w:jc w:val="both"/>
        <w:rPr>
          <w:rFonts w:ascii="Arial" w:hAnsi="Arial" w:cs="Arial"/>
          <w:spacing w:val="-3"/>
          <w:sz w:val="16"/>
          <w:szCs w:val="26"/>
        </w:rPr>
      </w:pPr>
    </w:p>
    <w:p w:rsidR="00B22294" w:rsidRDefault="00737219" w:rsidP="00601521">
      <w:pPr>
        <w:suppressAutoHyphens/>
        <w:spacing w:line="360" w:lineRule="auto"/>
        <w:ind w:firstLine="2835"/>
        <w:jc w:val="both"/>
        <w:rPr>
          <w:rFonts w:ascii="Arial" w:hAnsi="Arial" w:cs="Arial"/>
          <w:sz w:val="26"/>
          <w:szCs w:val="26"/>
        </w:rPr>
      </w:pPr>
      <w:r w:rsidRPr="00482390">
        <w:rPr>
          <w:rFonts w:ascii="Arial" w:hAnsi="Arial" w:cs="Arial"/>
          <w:sz w:val="26"/>
          <w:szCs w:val="26"/>
        </w:rPr>
        <w:t>4</w:t>
      </w:r>
      <w:r w:rsidR="00B22294" w:rsidRPr="00482390">
        <w:rPr>
          <w:rFonts w:ascii="Arial" w:hAnsi="Arial" w:cs="Arial"/>
          <w:sz w:val="26"/>
          <w:szCs w:val="26"/>
        </w:rPr>
        <w:t xml:space="preserve">. Así las cosas, la circunstancia que viene de advertirse, como ya se dijo, genera la nulidad de todo lo actuado a partir </w:t>
      </w:r>
      <w:r w:rsidR="006F0029">
        <w:rPr>
          <w:rFonts w:ascii="Arial" w:hAnsi="Arial" w:cs="Arial"/>
          <w:sz w:val="26"/>
          <w:szCs w:val="26"/>
        </w:rPr>
        <w:t>del fallo que se revisa, inclusive, para que l</w:t>
      </w:r>
      <w:r w:rsidR="00395494">
        <w:rPr>
          <w:rFonts w:ascii="Arial" w:hAnsi="Arial" w:cs="Arial"/>
          <w:sz w:val="26"/>
          <w:szCs w:val="26"/>
        </w:rPr>
        <w:t>a</w:t>
      </w:r>
      <w:r w:rsidR="006F0029">
        <w:rPr>
          <w:rFonts w:ascii="Arial" w:hAnsi="Arial" w:cs="Arial"/>
          <w:sz w:val="26"/>
          <w:szCs w:val="26"/>
        </w:rPr>
        <w:t xml:space="preserve"> juez</w:t>
      </w:r>
      <w:r w:rsidR="00395494">
        <w:rPr>
          <w:rFonts w:ascii="Arial" w:hAnsi="Arial" w:cs="Arial"/>
          <w:sz w:val="26"/>
          <w:szCs w:val="26"/>
        </w:rPr>
        <w:t>a</w:t>
      </w:r>
      <w:r w:rsidR="006F0029">
        <w:rPr>
          <w:rFonts w:ascii="Arial" w:hAnsi="Arial" w:cs="Arial"/>
          <w:sz w:val="26"/>
          <w:szCs w:val="26"/>
        </w:rPr>
        <w:t xml:space="preserve"> de instancia proceda a efectuar en debida forma la notificación </w:t>
      </w:r>
      <w:r w:rsidR="006F0029" w:rsidRPr="00482390">
        <w:rPr>
          <w:rFonts w:ascii="Arial" w:hAnsi="Arial" w:cs="Arial"/>
          <w:sz w:val="26"/>
          <w:szCs w:val="26"/>
        </w:rPr>
        <w:t>del auto admisorio de la demanda de tutela</w:t>
      </w:r>
      <w:r w:rsidR="00D16B29">
        <w:rPr>
          <w:rFonts w:ascii="Arial" w:hAnsi="Arial" w:cs="Arial"/>
          <w:sz w:val="26"/>
          <w:szCs w:val="26"/>
        </w:rPr>
        <w:t xml:space="preserve"> a</w:t>
      </w:r>
      <w:r w:rsidR="00887177">
        <w:rPr>
          <w:rFonts w:ascii="Arial" w:hAnsi="Arial" w:cs="Arial"/>
          <w:sz w:val="26"/>
          <w:szCs w:val="26"/>
        </w:rPr>
        <w:t>l señor Jairo Ceballos Grisales</w:t>
      </w:r>
      <w:r w:rsidR="0058563D">
        <w:rPr>
          <w:rFonts w:ascii="Arial" w:hAnsi="Arial" w:cs="Arial"/>
          <w:sz w:val="26"/>
          <w:szCs w:val="26"/>
        </w:rPr>
        <w:t xml:space="preserve">; lo anterior </w:t>
      </w:r>
      <w:r w:rsidR="006F0029">
        <w:rPr>
          <w:rFonts w:ascii="Arial" w:hAnsi="Arial" w:cs="Arial"/>
          <w:sz w:val="26"/>
          <w:szCs w:val="26"/>
        </w:rPr>
        <w:t xml:space="preserve">sin perjuicio </w:t>
      </w:r>
      <w:r w:rsidR="006F0029" w:rsidRPr="001A6B3B">
        <w:rPr>
          <w:rFonts w:ascii="Arial" w:hAnsi="Arial" w:cs="Arial"/>
          <w:sz w:val="26"/>
          <w:szCs w:val="26"/>
        </w:rPr>
        <w:t xml:space="preserve">de la validez de las pruebas </w:t>
      </w:r>
      <w:r w:rsidR="006F0029">
        <w:rPr>
          <w:rFonts w:ascii="Arial" w:hAnsi="Arial" w:cs="Arial"/>
          <w:sz w:val="26"/>
          <w:szCs w:val="26"/>
        </w:rPr>
        <w:t xml:space="preserve">recaudadas </w:t>
      </w:r>
      <w:r w:rsidR="006F0029" w:rsidRPr="001A6B3B">
        <w:rPr>
          <w:rFonts w:ascii="Arial" w:hAnsi="Arial" w:cs="Arial"/>
          <w:sz w:val="26"/>
          <w:szCs w:val="26"/>
        </w:rPr>
        <w:t xml:space="preserve">en los términos </w:t>
      </w:r>
      <w:r w:rsidR="006F0029">
        <w:rPr>
          <w:rFonts w:ascii="Arial" w:hAnsi="Arial" w:cs="Arial"/>
          <w:sz w:val="26"/>
          <w:szCs w:val="26"/>
        </w:rPr>
        <w:t>del</w:t>
      </w:r>
      <w:r w:rsidR="00482390" w:rsidRPr="00482390">
        <w:rPr>
          <w:rFonts w:ascii="Arial" w:hAnsi="Arial" w:cs="Arial"/>
          <w:sz w:val="26"/>
          <w:szCs w:val="26"/>
        </w:rPr>
        <w:t xml:space="preserve"> inciso 2º del artículo 138</w:t>
      </w:r>
      <w:r w:rsidR="00B22294" w:rsidRPr="00482390">
        <w:rPr>
          <w:rFonts w:ascii="Arial" w:hAnsi="Arial" w:cs="Arial"/>
          <w:sz w:val="26"/>
          <w:szCs w:val="26"/>
        </w:rPr>
        <w:t xml:space="preserve"> de la </w:t>
      </w:r>
      <w:r w:rsidR="00B22294" w:rsidRPr="00482390">
        <w:rPr>
          <w:rFonts w:ascii="Arial" w:hAnsi="Arial" w:cs="Arial"/>
          <w:sz w:val="26"/>
          <w:szCs w:val="26"/>
        </w:rPr>
        <w:lastRenderedPageBreak/>
        <w:t>Ley de Enjuiciamiento Civil vigente, toda vez que se le impidió a</w:t>
      </w:r>
      <w:r w:rsidR="006B4577">
        <w:rPr>
          <w:rFonts w:ascii="Arial" w:hAnsi="Arial" w:cs="Arial"/>
          <w:sz w:val="26"/>
          <w:szCs w:val="26"/>
        </w:rPr>
        <w:t xml:space="preserve"> </w:t>
      </w:r>
      <w:r w:rsidR="006F0029">
        <w:rPr>
          <w:rFonts w:ascii="Arial" w:hAnsi="Arial" w:cs="Arial"/>
          <w:sz w:val="26"/>
          <w:szCs w:val="26"/>
        </w:rPr>
        <w:t>est</w:t>
      </w:r>
      <w:r w:rsidR="00887177">
        <w:rPr>
          <w:rFonts w:ascii="Arial" w:hAnsi="Arial" w:cs="Arial"/>
          <w:sz w:val="26"/>
          <w:szCs w:val="26"/>
        </w:rPr>
        <w:t>e</w:t>
      </w:r>
      <w:r w:rsidR="00B22294" w:rsidRPr="00482390">
        <w:rPr>
          <w:rFonts w:ascii="Arial" w:hAnsi="Arial" w:cs="Arial"/>
          <w:sz w:val="26"/>
          <w:szCs w:val="26"/>
        </w:rPr>
        <w:t>, como parte interesada, intervenir en este particular escenario, exponer sus argumentos y, de ser el caso, aportar las pruebas que pretendiera hacer valer.</w:t>
      </w:r>
    </w:p>
    <w:p w:rsidR="00B22294" w:rsidRPr="00B86BB3" w:rsidRDefault="00B22294" w:rsidP="00B22294">
      <w:pPr>
        <w:suppressAutoHyphens/>
        <w:spacing w:line="360" w:lineRule="auto"/>
        <w:ind w:firstLine="2835"/>
        <w:jc w:val="both"/>
        <w:rPr>
          <w:rFonts w:ascii="Arial" w:hAnsi="Arial" w:cs="Arial"/>
          <w:sz w:val="16"/>
          <w:szCs w:val="26"/>
        </w:rPr>
      </w:pPr>
    </w:p>
    <w:p w:rsidR="00564C23" w:rsidRPr="0032186E" w:rsidRDefault="00173729" w:rsidP="00564C23">
      <w:pPr>
        <w:suppressAutoHyphens/>
        <w:spacing w:line="360" w:lineRule="auto"/>
        <w:ind w:firstLine="2835"/>
        <w:jc w:val="both"/>
        <w:rPr>
          <w:rFonts w:ascii="Arial" w:hAnsi="Arial" w:cs="Arial"/>
          <w:sz w:val="26"/>
          <w:szCs w:val="26"/>
        </w:rPr>
      </w:pPr>
      <w:r>
        <w:rPr>
          <w:rFonts w:ascii="Arial" w:hAnsi="Arial" w:cs="Arial"/>
          <w:sz w:val="26"/>
          <w:szCs w:val="26"/>
        </w:rPr>
        <w:t>5</w:t>
      </w:r>
      <w:r w:rsidR="00B22294">
        <w:rPr>
          <w:rFonts w:ascii="Arial" w:hAnsi="Arial" w:cs="Arial"/>
          <w:sz w:val="26"/>
          <w:szCs w:val="26"/>
        </w:rPr>
        <w:t xml:space="preserve">. </w:t>
      </w:r>
      <w:r w:rsidR="00564C23" w:rsidRPr="0032186E">
        <w:rPr>
          <w:rFonts w:ascii="Arial" w:hAnsi="Arial" w:cs="Arial"/>
          <w:sz w:val="26"/>
          <w:szCs w:val="26"/>
        </w:rPr>
        <w:t>El anterior razonamiento guarda armonía con lo expuesto por la Corte Constitucional:</w:t>
      </w:r>
    </w:p>
    <w:p w:rsidR="00564C23" w:rsidRPr="00167339" w:rsidRDefault="00564C23" w:rsidP="00564C23">
      <w:pPr>
        <w:pStyle w:val="Sinespaciado1"/>
        <w:spacing w:line="360" w:lineRule="auto"/>
        <w:jc w:val="both"/>
        <w:rPr>
          <w:rFonts w:ascii="Arial" w:hAnsi="Arial" w:cs="Arial"/>
          <w:sz w:val="16"/>
          <w:szCs w:val="26"/>
          <w:highlight w:val="darkGray"/>
          <w:lang w:val="es-ES" w:eastAsia="es-ES"/>
        </w:rPr>
      </w:pPr>
    </w:p>
    <w:p w:rsidR="00564C23" w:rsidRDefault="00564C23" w:rsidP="00564C23">
      <w:pPr>
        <w:pStyle w:val="Sinespaciado1"/>
        <w:ind w:left="567" w:right="618"/>
        <w:jc w:val="both"/>
        <w:rPr>
          <w:rFonts w:ascii="Arial" w:hAnsi="Arial" w:cs="Arial"/>
          <w:i/>
          <w:sz w:val="24"/>
          <w:szCs w:val="26"/>
          <w:lang w:val="es-ES" w:eastAsia="es-ES"/>
        </w:rPr>
      </w:pPr>
      <w:r w:rsidRPr="00176E1D">
        <w:rPr>
          <w:rFonts w:ascii="Arial" w:hAnsi="Arial" w:cs="Arial"/>
          <w:i/>
          <w:sz w:val="24"/>
          <w:szCs w:val="26"/>
          <w:lang w:val="es-ES" w:eastAsia="es-ES"/>
        </w:rPr>
        <w:t>“Esta Corporación ha señalado antes que si bien en la acción tutela rige el principio de informalidad, éste no es absoluto y es necesario satisfacer ciertos presupuestos básicos para evitar una decisión que no proteja los derechos fundamentales, entre ellos la integración de la causa pasiva. Al respecto ha señalado “(…) el principio de informalidad adquiere marcada relevancia en los procedimientos de tutela y debe prestarse especial cuidado en la integración de la causa pasiva y del legítimo contradictorio toda vez que, en ciertos eventos, la demanda se formula en contra de quien no ha incurrido en la conducta imputada, o no se vincula a la totalidad de los sujetos procesales. Tal circunstancia se presenta, generalmente, porque el particular no conoce, ni puede exigírsele conocer, la complicada y variable estructura del Estado, ni de ciertas organizaciones privadas encargadas de la prestación de un servicio público. Pero el juez, que cuenta con la preparación y las herramientas jurídicas para suplir tal deficiencia, está en la obligación de conformar el legítimo contradictorio, no solo en virtud del principio de informalidad, sino también, atendiendo el principio de oficiosidad que orienta los procedimientos de tutela.”</w:t>
      </w:r>
      <w:r w:rsidRPr="00176E1D">
        <w:rPr>
          <w:rStyle w:val="Refdenotaalpie"/>
          <w:rFonts w:ascii="Arial" w:hAnsi="Arial" w:cs="Arial"/>
          <w:i/>
          <w:sz w:val="24"/>
          <w:szCs w:val="26"/>
          <w:lang w:val="es-ES" w:eastAsia="es-ES"/>
        </w:rPr>
        <w:footnoteReference w:id="2"/>
      </w:r>
    </w:p>
    <w:p w:rsidR="00564C23" w:rsidRPr="0062765F" w:rsidRDefault="00564C23" w:rsidP="00564C23">
      <w:pPr>
        <w:pStyle w:val="Sinespaciado1"/>
        <w:ind w:left="567" w:right="618"/>
        <w:jc w:val="both"/>
        <w:rPr>
          <w:rFonts w:ascii="Arial" w:hAnsi="Arial" w:cs="Arial"/>
          <w:i/>
          <w:sz w:val="16"/>
          <w:szCs w:val="26"/>
          <w:lang w:val="es-ES" w:eastAsia="es-ES"/>
        </w:rPr>
      </w:pPr>
    </w:p>
    <w:p w:rsidR="00564C23" w:rsidRPr="00DD242B" w:rsidRDefault="00564C23" w:rsidP="00564C23">
      <w:pPr>
        <w:pStyle w:val="Sinespaciado1"/>
        <w:ind w:left="709" w:right="618" w:firstLine="2126"/>
        <w:jc w:val="both"/>
        <w:rPr>
          <w:rFonts w:ascii="Arial" w:hAnsi="Arial" w:cs="Arial"/>
          <w:sz w:val="16"/>
          <w:szCs w:val="26"/>
          <w:lang w:val="es-ES" w:eastAsia="es-ES"/>
        </w:rPr>
      </w:pPr>
    </w:p>
    <w:p w:rsidR="00173729" w:rsidRDefault="00A07D6B" w:rsidP="00173729">
      <w:pPr>
        <w:suppressAutoHyphens/>
        <w:spacing w:line="360" w:lineRule="auto"/>
        <w:ind w:firstLine="2835"/>
        <w:jc w:val="both"/>
        <w:rPr>
          <w:rFonts w:ascii="Arial" w:hAnsi="Arial" w:cs="Arial"/>
          <w:sz w:val="26"/>
          <w:szCs w:val="26"/>
        </w:rPr>
      </w:pPr>
      <w:r>
        <w:rPr>
          <w:rFonts w:ascii="Arial" w:hAnsi="Arial" w:cs="Arial"/>
          <w:sz w:val="26"/>
          <w:szCs w:val="26"/>
        </w:rPr>
        <w:t>6</w:t>
      </w:r>
      <w:r w:rsidR="00564C23" w:rsidRPr="0032186E">
        <w:rPr>
          <w:rFonts w:ascii="Arial" w:hAnsi="Arial" w:cs="Arial"/>
          <w:sz w:val="26"/>
          <w:szCs w:val="26"/>
        </w:rPr>
        <w:t xml:space="preserve">. </w:t>
      </w:r>
      <w:r w:rsidR="00173729">
        <w:rPr>
          <w:rFonts w:ascii="Arial" w:hAnsi="Arial" w:cs="Arial"/>
          <w:sz w:val="26"/>
          <w:szCs w:val="26"/>
        </w:rPr>
        <w:t xml:space="preserve">No se dará aplicación a lo previsto en el artículo 137 del </w:t>
      </w:r>
      <w:r w:rsidR="00173729" w:rsidRPr="003963CC">
        <w:rPr>
          <w:rFonts w:ascii="Arial" w:hAnsi="Arial" w:cs="Arial"/>
          <w:sz w:val="24"/>
          <w:szCs w:val="26"/>
        </w:rPr>
        <w:t>CGP</w:t>
      </w:r>
      <w:r w:rsidR="00173729">
        <w:rPr>
          <w:rFonts w:ascii="Arial" w:hAnsi="Arial" w:cs="Arial"/>
          <w:sz w:val="26"/>
          <w:szCs w:val="26"/>
        </w:rPr>
        <w:t>, por cuanto que contraría los principios de celeridad y eficacia de la acción de tutela, los cuales obligadamente, ya se encuentran comprometidos con la nulidad que aquí se decreta, conforme así lo ha resuelto la Corte Suprema de Justicia.</w:t>
      </w:r>
    </w:p>
    <w:p w:rsidR="00173729" w:rsidRPr="00B86BB3" w:rsidRDefault="00173729" w:rsidP="00173729">
      <w:pPr>
        <w:suppressAutoHyphens/>
        <w:spacing w:line="360" w:lineRule="auto"/>
        <w:ind w:firstLine="2835"/>
        <w:jc w:val="both"/>
        <w:rPr>
          <w:rFonts w:ascii="Arial" w:hAnsi="Arial" w:cs="Arial"/>
          <w:sz w:val="16"/>
          <w:szCs w:val="26"/>
        </w:rPr>
      </w:pPr>
    </w:p>
    <w:p w:rsidR="00DD242B" w:rsidRPr="006B7B67" w:rsidRDefault="00A07D6B" w:rsidP="006B7B67">
      <w:pPr>
        <w:suppressAutoHyphens/>
        <w:spacing w:line="360" w:lineRule="auto"/>
        <w:ind w:firstLine="2835"/>
        <w:jc w:val="both"/>
        <w:rPr>
          <w:rFonts w:ascii="Arial" w:hAnsi="Arial" w:cs="Arial"/>
          <w:sz w:val="26"/>
          <w:szCs w:val="26"/>
        </w:rPr>
      </w:pPr>
      <w:r>
        <w:rPr>
          <w:rFonts w:ascii="Arial" w:hAnsi="Arial" w:cs="Arial"/>
          <w:sz w:val="26"/>
          <w:szCs w:val="26"/>
        </w:rPr>
        <w:t>7</w:t>
      </w:r>
      <w:r w:rsidR="00173729">
        <w:rPr>
          <w:rFonts w:ascii="Arial" w:hAnsi="Arial" w:cs="Arial"/>
          <w:sz w:val="26"/>
          <w:szCs w:val="26"/>
        </w:rPr>
        <w:t xml:space="preserve">. </w:t>
      </w:r>
      <w:r w:rsidR="00B22294">
        <w:rPr>
          <w:rFonts w:ascii="Arial" w:hAnsi="Arial" w:cs="Arial"/>
          <w:sz w:val="26"/>
          <w:szCs w:val="26"/>
        </w:rPr>
        <w:t xml:space="preserve">En consecuencia, se ordenará devolver el expediente a la </w:t>
      </w:r>
      <w:r w:rsidR="0020091E" w:rsidRPr="00B815DC">
        <w:rPr>
          <w:rFonts w:ascii="Arial" w:hAnsi="Arial" w:cs="Arial"/>
          <w:sz w:val="26"/>
          <w:szCs w:val="26"/>
        </w:rPr>
        <w:t xml:space="preserve">Juzgado </w:t>
      </w:r>
      <w:r w:rsidR="00DD1573">
        <w:rPr>
          <w:rFonts w:ascii="Arial" w:hAnsi="Arial" w:cs="Arial"/>
          <w:sz w:val="26"/>
          <w:szCs w:val="26"/>
        </w:rPr>
        <w:t xml:space="preserve">Tercero Civil del Circuito </w:t>
      </w:r>
      <w:r w:rsidR="00DD1573" w:rsidRPr="00B815DC">
        <w:rPr>
          <w:rFonts w:ascii="Arial" w:hAnsi="Arial" w:cs="Arial"/>
          <w:sz w:val="26"/>
          <w:szCs w:val="26"/>
        </w:rPr>
        <w:t xml:space="preserve">de </w:t>
      </w:r>
      <w:r w:rsidR="00DD1573">
        <w:rPr>
          <w:rFonts w:ascii="Arial" w:hAnsi="Arial" w:cs="Arial"/>
          <w:sz w:val="26"/>
          <w:szCs w:val="26"/>
        </w:rPr>
        <w:t>esta ciudad</w:t>
      </w:r>
      <w:r w:rsidR="00B22294">
        <w:rPr>
          <w:rFonts w:ascii="Arial" w:hAnsi="Arial" w:cs="Arial"/>
          <w:sz w:val="26"/>
          <w:szCs w:val="26"/>
        </w:rPr>
        <w:t>, para que adelante nuevamente la actuación que por esta vía se invalida.</w:t>
      </w:r>
    </w:p>
    <w:p w:rsidR="00DD242B" w:rsidRDefault="00DD242B" w:rsidP="00B22294">
      <w:pPr>
        <w:suppressAutoHyphens/>
        <w:spacing w:line="360" w:lineRule="auto"/>
        <w:ind w:firstLine="2835"/>
        <w:jc w:val="both"/>
        <w:rPr>
          <w:rFonts w:ascii="Arial" w:hAnsi="Arial" w:cs="Arial"/>
          <w:sz w:val="16"/>
          <w:szCs w:val="16"/>
        </w:rPr>
      </w:pPr>
    </w:p>
    <w:p w:rsidR="0058563D" w:rsidRPr="00943F5D" w:rsidRDefault="0058563D" w:rsidP="00B22294">
      <w:pPr>
        <w:suppressAutoHyphens/>
        <w:spacing w:line="360" w:lineRule="auto"/>
        <w:ind w:firstLine="2835"/>
        <w:jc w:val="both"/>
        <w:rPr>
          <w:rFonts w:ascii="Arial" w:hAnsi="Arial" w:cs="Arial"/>
          <w:sz w:val="22"/>
          <w:szCs w:val="22"/>
        </w:rPr>
      </w:pPr>
    </w:p>
    <w:p w:rsidR="00B22294" w:rsidRPr="00943F5D" w:rsidRDefault="001F1851" w:rsidP="00B22294">
      <w:pPr>
        <w:pStyle w:val="Sinespaciado1"/>
        <w:spacing w:line="360" w:lineRule="auto"/>
        <w:ind w:firstLine="2835"/>
        <w:jc w:val="both"/>
        <w:rPr>
          <w:rFonts w:ascii="Arial" w:hAnsi="Arial" w:cs="Arial"/>
          <w:b/>
          <w:bCs/>
        </w:rPr>
      </w:pPr>
      <w:r w:rsidRPr="00943F5D">
        <w:rPr>
          <w:rFonts w:ascii="Arial" w:hAnsi="Arial" w:cs="Arial"/>
          <w:b/>
          <w:bCs/>
        </w:rPr>
        <w:t>IV</w:t>
      </w:r>
      <w:r w:rsidR="00B22294" w:rsidRPr="00943F5D">
        <w:rPr>
          <w:rFonts w:ascii="Arial" w:hAnsi="Arial" w:cs="Arial"/>
          <w:b/>
          <w:bCs/>
        </w:rPr>
        <w:t>. DECISIÓN</w:t>
      </w:r>
    </w:p>
    <w:p w:rsidR="00B22294" w:rsidRPr="00943F5D" w:rsidRDefault="00B22294" w:rsidP="00B22294">
      <w:pPr>
        <w:pStyle w:val="Sinespaciado1"/>
        <w:spacing w:line="360" w:lineRule="auto"/>
        <w:ind w:firstLine="2835"/>
        <w:jc w:val="both"/>
        <w:rPr>
          <w:rFonts w:ascii="Arial" w:hAnsi="Arial" w:cs="Arial"/>
          <w:bCs/>
        </w:rPr>
      </w:pPr>
    </w:p>
    <w:p w:rsidR="00B22294" w:rsidRPr="006009F7" w:rsidRDefault="00B22294" w:rsidP="00B22294">
      <w:pPr>
        <w:pStyle w:val="Sinespaciado1"/>
        <w:spacing w:line="360" w:lineRule="auto"/>
        <w:ind w:firstLine="2835"/>
        <w:jc w:val="both"/>
        <w:rPr>
          <w:rFonts w:ascii="Arial" w:hAnsi="Arial" w:cs="Arial"/>
          <w:sz w:val="26"/>
          <w:szCs w:val="26"/>
        </w:rPr>
      </w:pPr>
      <w:r w:rsidRPr="006009F7">
        <w:rPr>
          <w:rFonts w:ascii="Arial" w:hAnsi="Arial" w:cs="Arial"/>
          <w:sz w:val="26"/>
          <w:szCs w:val="26"/>
        </w:rPr>
        <w:t>En mér</w:t>
      </w:r>
      <w:r>
        <w:rPr>
          <w:rFonts w:ascii="Arial" w:hAnsi="Arial" w:cs="Arial"/>
          <w:sz w:val="26"/>
          <w:szCs w:val="26"/>
        </w:rPr>
        <w:t>ito de lo expuesto, la Sala</w:t>
      </w:r>
      <w:r w:rsidR="0009729D">
        <w:rPr>
          <w:rFonts w:ascii="Arial" w:hAnsi="Arial" w:cs="Arial"/>
          <w:sz w:val="26"/>
          <w:szCs w:val="26"/>
        </w:rPr>
        <w:t xml:space="preserve"> Civil Familia</w:t>
      </w:r>
      <w:r w:rsidR="00476302">
        <w:rPr>
          <w:rFonts w:ascii="Arial" w:hAnsi="Arial" w:cs="Arial"/>
          <w:bCs/>
          <w:sz w:val="26"/>
          <w:szCs w:val="26"/>
        </w:rPr>
        <w:t xml:space="preserve"> Unitaria</w:t>
      </w:r>
      <w:r w:rsidR="00476302" w:rsidRPr="006009F7">
        <w:rPr>
          <w:rFonts w:ascii="Arial" w:hAnsi="Arial" w:cs="Arial"/>
          <w:sz w:val="26"/>
          <w:szCs w:val="26"/>
        </w:rPr>
        <w:t xml:space="preserve"> </w:t>
      </w:r>
      <w:r w:rsidRPr="006009F7">
        <w:rPr>
          <w:rFonts w:ascii="Arial" w:hAnsi="Arial" w:cs="Arial"/>
          <w:sz w:val="26"/>
          <w:szCs w:val="26"/>
        </w:rPr>
        <w:t xml:space="preserve">del Tribunal Superior de Pereira,  </w:t>
      </w:r>
    </w:p>
    <w:p w:rsidR="00B22294" w:rsidRPr="00943F5D" w:rsidRDefault="00B22294" w:rsidP="00B22294">
      <w:pPr>
        <w:pStyle w:val="Sinespaciado1"/>
        <w:spacing w:line="360" w:lineRule="auto"/>
        <w:ind w:firstLine="2835"/>
        <w:jc w:val="both"/>
        <w:rPr>
          <w:rFonts w:ascii="Arial" w:hAnsi="Arial" w:cs="Arial"/>
        </w:rPr>
      </w:pPr>
    </w:p>
    <w:p w:rsidR="00B22294" w:rsidRPr="00943F5D" w:rsidRDefault="00B22294" w:rsidP="00B22294">
      <w:pPr>
        <w:pStyle w:val="Sinespaciado1"/>
        <w:spacing w:line="360" w:lineRule="auto"/>
        <w:ind w:firstLine="2835"/>
        <w:jc w:val="both"/>
        <w:rPr>
          <w:rFonts w:ascii="Arial" w:hAnsi="Arial" w:cs="Arial"/>
          <w:spacing w:val="-3"/>
        </w:rPr>
      </w:pPr>
      <w:r w:rsidRPr="00943F5D">
        <w:rPr>
          <w:rFonts w:ascii="Arial" w:hAnsi="Arial" w:cs="Arial"/>
          <w:b/>
          <w:spacing w:val="-3"/>
        </w:rPr>
        <w:t>RESUELVE</w:t>
      </w:r>
      <w:r w:rsidRPr="00943F5D">
        <w:rPr>
          <w:rFonts w:ascii="Arial" w:hAnsi="Arial" w:cs="Arial"/>
          <w:spacing w:val="-3"/>
        </w:rPr>
        <w:t>:</w:t>
      </w:r>
    </w:p>
    <w:p w:rsidR="00476302" w:rsidRPr="00943F5D" w:rsidRDefault="00476302" w:rsidP="00B22294">
      <w:pPr>
        <w:pStyle w:val="Sinespaciado1"/>
        <w:spacing w:line="360" w:lineRule="auto"/>
        <w:ind w:firstLine="2835"/>
        <w:jc w:val="both"/>
        <w:rPr>
          <w:rFonts w:ascii="Arial" w:hAnsi="Arial" w:cs="Arial"/>
          <w:spacing w:val="-3"/>
        </w:rPr>
      </w:pPr>
    </w:p>
    <w:p w:rsidR="00564C23" w:rsidRDefault="00B22294" w:rsidP="00B22294">
      <w:pPr>
        <w:pStyle w:val="Sinespaciado1"/>
        <w:spacing w:line="360" w:lineRule="auto"/>
        <w:ind w:firstLine="2835"/>
        <w:jc w:val="both"/>
        <w:rPr>
          <w:rFonts w:ascii="Arial" w:hAnsi="Arial" w:cs="Arial"/>
          <w:sz w:val="26"/>
          <w:szCs w:val="26"/>
        </w:rPr>
      </w:pPr>
      <w:r w:rsidRPr="0009729D">
        <w:rPr>
          <w:rFonts w:ascii="Arial" w:hAnsi="Arial" w:cs="Arial"/>
          <w:b/>
          <w:spacing w:val="-3"/>
          <w:sz w:val="26"/>
          <w:szCs w:val="26"/>
        </w:rPr>
        <w:t>Primero:</w:t>
      </w:r>
      <w:r w:rsidRPr="0009729D">
        <w:rPr>
          <w:rFonts w:ascii="Arial" w:hAnsi="Arial" w:cs="Arial"/>
          <w:spacing w:val="-3"/>
          <w:sz w:val="24"/>
          <w:szCs w:val="26"/>
        </w:rPr>
        <w:t xml:space="preserve"> </w:t>
      </w:r>
      <w:r w:rsidRPr="003F3C7D">
        <w:rPr>
          <w:rFonts w:ascii="Arial" w:hAnsi="Arial" w:cs="Arial"/>
          <w:spacing w:val="-3"/>
          <w:sz w:val="24"/>
          <w:szCs w:val="26"/>
        </w:rPr>
        <w:t>DECLARAR</w:t>
      </w:r>
      <w:r w:rsidRPr="006009F7">
        <w:rPr>
          <w:rFonts w:ascii="Arial" w:hAnsi="Arial" w:cs="Arial"/>
          <w:spacing w:val="-3"/>
          <w:sz w:val="26"/>
          <w:szCs w:val="26"/>
        </w:rPr>
        <w:t xml:space="preserve"> la nulidad de</w:t>
      </w:r>
      <w:r>
        <w:rPr>
          <w:rFonts w:ascii="Arial" w:hAnsi="Arial" w:cs="Arial"/>
          <w:spacing w:val="-3"/>
          <w:sz w:val="26"/>
          <w:szCs w:val="26"/>
        </w:rPr>
        <w:t xml:space="preserve"> todo lo actuado en el amparo arriba referido, </w:t>
      </w:r>
      <w:r w:rsidRPr="001A6B3B">
        <w:rPr>
          <w:rFonts w:ascii="Arial" w:hAnsi="Arial" w:cs="Arial"/>
          <w:sz w:val="26"/>
          <w:szCs w:val="26"/>
        </w:rPr>
        <w:t xml:space="preserve">a partir </w:t>
      </w:r>
      <w:r w:rsidR="006F0029">
        <w:rPr>
          <w:rFonts w:ascii="Arial" w:hAnsi="Arial" w:cs="Arial"/>
          <w:sz w:val="26"/>
          <w:szCs w:val="26"/>
        </w:rPr>
        <w:t xml:space="preserve">del </w:t>
      </w:r>
      <w:r w:rsidR="00564C23">
        <w:rPr>
          <w:rFonts w:ascii="Arial" w:hAnsi="Arial" w:cs="Arial"/>
          <w:sz w:val="26"/>
          <w:szCs w:val="26"/>
        </w:rPr>
        <w:t>fallo que se revisa, inclusive, conforme a lo expuesto.</w:t>
      </w:r>
    </w:p>
    <w:p w:rsidR="00B22294" w:rsidRPr="00B86BB3" w:rsidRDefault="00B22294" w:rsidP="00B22294">
      <w:pPr>
        <w:pStyle w:val="Sinespaciado1"/>
        <w:spacing w:line="360" w:lineRule="auto"/>
        <w:ind w:firstLine="2835"/>
        <w:jc w:val="both"/>
        <w:rPr>
          <w:rFonts w:ascii="Arial" w:hAnsi="Arial" w:cs="Arial"/>
          <w:sz w:val="16"/>
          <w:szCs w:val="26"/>
        </w:rPr>
      </w:pPr>
    </w:p>
    <w:p w:rsidR="00B22294" w:rsidRPr="006009F7" w:rsidRDefault="00B22294" w:rsidP="00B22294">
      <w:pPr>
        <w:pStyle w:val="Sinespaciado1"/>
        <w:spacing w:line="360" w:lineRule="auto"/>
        <w:ind w:firstLine="2835"/>
        <w:jc w:val="both"/>
        <w:rPr>
          <w:rFonts w:ascii="Arial" w:hAnsi="Arial" w:cs="Arial"/>
          <w:spacing w:val="-3"/>
          <w:sz w:val="26"/>
          <w:szCs w:val="26"/>
        </w:rPr>
      </w:pPr>
      <w:r w:rsidRPr="0009729D">
        <w:rPr>
          <w:rFonts w:ascii="Arial" w:hAnsi="Arial" w:cs="Arial"/>
          <w:b/>
          <w:spacing w:val="-3"/>
          <w:sz w:val="26"/>
          <w:szCs w:val="26"/>
        </w:rPr>
        <w:t>Segundo:</w:t>
      </w:r>
      <w:r w:rsidRPr="006009F7">
        <w:rPr>
          <w:rFonts w:ascii="Arial" w:hAnsi="Arial" w:cs="Arial"/>
          <w:spacing w:val="-3"/>
          <w:sz w:val="26"/>
          <w:szCs w:val="26"/>
        </w:rPr>
        <w:t xml:space="preserve"> Devuélvase el expediente a</w:t>
      </w:r>
      <w:r>
        <w:rPr>
          <w:rFonts w:ascii="Arial" w:hAnsi="Arial" w:cs="Arial"/>
          <w:spacing w:val="-3"/>
          <w:sz w:val="26"/>
          <w:szCs w:val="26"/>
        </w:rPr>
        <w:t xml:space="preserve">l </w:t>
      </w:r>
      <w:r w:rsidR="0020091E" w:rsidRPr="00B815DC">
        <w:rPr>
          <w:rFonts w:ascii="Arial" w:hAnsi="Arial" w:cs="Arial"/>
          <w:sz w:val="26"/>
          <w:szCs w:val="26"/>
        </w:rPr>
        <w:t xml:space="preserve">Juzgado </w:t>
      </w:r>
      <w:r w:rsidR="00DD1573">
        <w:rPr>
          <w:rFonts w:ascii="Arial" w:hAnsi="Arial" w:cs="Arial"/>
          <w:sz w:val="26"/>
          <w:szCs w:val="26"/>
        </w:rPr>
        <w:t>Tercero Civil del Circuito</w:t>
      </w:r>
      <w:r w:rsidR="006B7B67">
        <w:rPr>
          <w:rFonts w:ascii="Arial" w:hAnsi="Arial" w:cs="Arial"/>
          <w:sz w:val="26"/>
          <w:szCs w:val="26"/>
        </w:rPr>
        <w:t xml:space="preserve"> </w:t>
      </w:r>
      <w:r>
        <w:rPr>
          <w:rFonts w:ascii="Arial" w:hAnsi="Arial" w:cs="Arial"/>
          <w:spacing w:val="-3"/>
          <w:sz w:val="26"/>
          <w:szCs w:val="26"/>
        </w:rPr>
        <w:t xml:space="preserve">de </w:t>
      </w:r>
      <w:r w:rsidR="00601521">
        <w:rPr>
          <w:rFonts w:ascii="Arial" w:hAnsi="Arial" w:cs="Arial"/>
          <w:spacing w:val="-3"/>
          <w:sz w:val="26"/>
          <w:szCs w:val="26"/>
        </w:rPr>
        <w:t>Pereira</w:t>
      </w:r>
      <w:r w:rsidRPr="006009F7">
        <w:rPr>
          <w:rFonts w:ascii="Arial" w:hAnsi="Arial" w:cs="Arial"/>
          <w:spacing w:val="-3"/>
          <w:sz w:val="26"/>
          <w:szCs w:val="26"/>
        </w:rPr>
        <w:t xml:space="preserve">, para que </w:t>
      </w:r>
      <w:r w:rsidR="00564C23">
        <w:rPr>
          <w:rFonts w:ascii="Arial" w:hAnsi="Arial" w:cs="Arial"/>
          <w:spacing w:val="-3"/>
          <w:sz w:val="26"/>
          <w:szCs w:val="26"/>
        </w:rPr>
        <w:t xml:space="preserve">reponga la actuación, según </w:t>
      </w:r>
      <w:r>
        <w:rPr>
          <w:rFonts w:ascii="Arial" w:hAnsi="Arial" w:cs="Arial"/>
          <w:spacing w:val="-3"/>
          <w:sz w:val="26"/>
          <w:szCs w:val="26"/>
        </w:rPr>
        <w:t>lo anotado en la parte motiva de esta providencia.</w:t>
      </w:r>
    </w:p>
    <w:p w:rsidR="00B22294" w:rsidRPr="001E4D4F" w:rsidRDefault="00B22294" w:rsidP="00B22294">
      <w:pPr>
        <w:pStyle w:val="Sinespaciado1"/>
        <w:spacing w:line="360" w:lineRule="auto"/>
        <w:ind w:firstLine="2835"/>
        <w:jc w:val="both"/>
        <w:rPr>
          <w:rFonts w:ascii="Arial" w:hAnsi="Arial" w:cs="Arial"/>
          <w:spacing w:val="-3"/>
          <w:sz w:val="20"/>
          <w:szCs w:val="26"/>
        </w:rPr>
      </w:pPr>
    </w:p>
    <w:p w:rsidR="00B22294" w:rsidRPr="006009F7" w:rsidRDefault="00B22294" w:rsidP="00B22294">
      <w:pPr>
        <w:pStyle w:val="Sinespaciado1"/>
        <w:spacing w:line="360" w:lineRule="auto"/>
        <w:ind w:firstLine="2835"/>
        <w:jc w:val="both"/>
        <w:rPr>
          <w:rFonts w:ascii="Arial" w:hAnsi="Arial" w:cs="Arial"/>
          <w:sz w:val="26"/>
          <w:szCs w:val="26"/>
          <w:lang w:val="es-ES" w:eastAsia="es-ES"/>
        </w:rPr>
      </w:pPr>
      <w:r w:rsidRPr="001A4DB1">
        <w:rPr>
          <w:rFonts w:ascii="Arial" w:hAnsi="Arial" w:cs="Arial"/>
          <w:b/>
          <w:spacing w:val="-3"/>
          <w:sz w:val="26"/>
          <w:szCs w:val="26"/>
        </w:rPr>
        <w:t>Tercero:</w:t>
      </w:r>
      <w:r w:rsidRPr="006009F7">
        <w:rPr>
          <w:rFonts w:ascii="Arial" w:hAnsi="Arial" w:cs="Arial"/>
          <w:spacing w:val="-3"/>
          <w:sz w:val="26"/>
          <w:szCs w:val="26"/>
        </w:rPr>
        <w:t xml:space="preserve"> Notifíquese esta decisión a las partes por el medio más expedito posible (</w:t>
      </w:r>
      <w:r w:rsidRPr="00740A6C">
        <w:rPr>
          <w:rFonts w:ascii="Arial" w:hAnsi="Arial" w:cs="Arial"/>
          <w:spacing w:val="-3"/>
          <w:sz w:val="24"/>
          <w:szCs w:val="26"/>
        </w:rPr>
        <w:t>Art. 5o. del Decreto 306 de 1992</w:t>
      </w:r>
      <w:r w:rsidRPr="006009F7">
        <w:rPr>
          <w:rFonts w:ascii="Arial" w:hAnsi="Arial" w:cs="Arial"/>
          <w:spacing w:val="-3"/>
          <w:sz w:val="26"/>
          <w:szCs w:val="26"/>
        </w:rPr>
        <w:t xml:space="preserve">). </w:t>
      </w:r>
    </w:p>
    <w:p w:rsidR="00B22294" w:rsidRPr="00DD242B" w:rsidRDefault="00B22294" w:rsidP="00B22294">
      <w:pPr>
        <w:pStyle w:val="Sinespaciado1"/>
        <w:spacing w:line="360" w:lineRule="auto"/>
        <w:ind w:firstLine="2835"/>
        <w:jc w:val="both"/>
        <w:rPr>
          <w:rFonts w:ascii="Arial" w:hAnsi="Arial" w:cs="Arial"/>
          <w:spacing w:val="-3"/>
          <w:sz w:val="24"/>
          <w:szCs w:val="24"/>
        </w:rPr>
      </w:pPr>
    </w:p>
    <w:p w:rsidR="00B22294" w:rsidRPr="006009F7" w:rsidRDefault="00B22294" w:rsidP="00B22294">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6009F7">
        <w:rPr>
          <w:rFonts w:ascii="Arial" w:hAnsi="Arial" w:cs="Arial"/>
          <w:spacing w:val="-3"/>
          <w:sz w:val="26"/>
          <w:szCs w:val="26"/>
        </w:rPr>
        <w:t>otifíquese</w:t>
      </w:r>
      <w:r>
        <w:rPr>
          <w:rFonts w:ascii="Arial" w:hAnsi="Arial" w:cs="Arial"/>
          <w:spacing w:val="-3"/>
          <w:sz w:val="26"/>
          <w:szCs w:val="26"/>
        </w:rPr>
        <w:t xml:space="preserve"> y cúmplase</w:t>
      </w:r>
    </w:p>
    <w:p w:rsidR="00B22294" w:rsidRDefault="00B22294" w:rsidP="00B22294">
      <w:pPr>
        <w:pStyle w:val="Sinespaciado1"/>
        <w:spacing w:line="360" w:lineRule="auto"/>
        <w:ind w:firstLine="2835"/>
        <w:jc w:val="both"/>
        <w:rPr>
          <w:rFonts w:ascii="Arial" w:hAnsi="Arial" w:cs="Arial"/>
          <w:spacing w:val="-3"/>
          <w:sz w:val="26"/>
          <w:szCs w:val="26"/>
        </w:rPr>
      </w:pPr>
    </w:p>
    <w:p w:rsidR="00B22294" w:rsidRPr="006009F7" w:rsidRDefault="00B22294" w:rsidP="00B22294">
      <w:pPr>
        <w:pStyle w:val="Sinespaciado1"/>
        <w:spacing w:line="360" w:lineRule="auto"/>
        <w:ind w:firstLine="2835"/>
        <w:jc w:val="both"/>
        <w:rPr>
          <w:rFonts w:ascii="Arial" w:hAnsi="Arial" w:cs="Arial"/>
          <w:spacing w:val="-3"/>
          <w:sz w:val="26"/>
          <w:szCs w:val="26"/>
        </w:rPr>
      </w:pPr>
    </w:p>
    <w:p w:rsidR="00173729" w:rsidRDefault="00173729" w:rsidP="00B22294">
      <w:pPr>
        <w:pStyle w:val="Sinespaciado1"/>
        <w:spacing w:line="360" w:lineRule="auto"/>
        <w:ind w:firstLine="2835"/>
        <w:jc w:val="both"/>
        <w:rPr>
          <w:rFonts w:ascii="Arial" w:hAnsi="Arial" w:cs="Arial"/>
          <w:b/>
          <w:spacing w:val="-3"/>
        </w:rPr>
      </w:pPr>
    </w:p>
    <w:p w:rsidR="00DD242B" w:rsidRDefault="00DD242B" w:rsidP="00B22294">
      <w:pPr>
        <w:pStyle w:val="Sinespaciado1"/>
        <w:spacing w:line="360" w:lineRule="auto"/>
        <w:ind w:firstLine="2835"/>
        <w:jc w:val="both"/>
        <w:rPr>
          <w:rFonts w:ascii="Arial" w:hAnsi="Arial" w:cs="Arial"/>
          <w:b/>
          <w:spacing w:val="-3"/>
        </w:rPr>
      </w:pPr>
    </w:p>
    <w:p w:rsidR="00B22294" w:rsidRPr="001A4DB1" w:rsidRDefault="00B22294" w:rsidP="00B22294">
      <w:pPr>
        <w:pStyle w:val="Sinespaciado1"/>
        <w:spacing w:line="360" w:lineRule="auto"/>
        <w:ind w:firstLine="2835"/>
        <w:jc w:val="both"/>
        <w:rPr>
          <w:rFonts w:ascii="Arial" w:hAnsi="Arial" w:cs="Arial"/>
          <w:b/>
          <w:spacing w:val="-3"/>
        </w:rPr>
      </w:pPr>
      <w:bookmarkStart w:id="0" w:name="_GoBack"/>
      <w:bookmarkEnd w:id="0"/>
      <w:r w:rsidRPr="001A4DB1">
        <w:rPr>
          <w:rFonts w:ascii="Arial" w:hAnsi="Arial" w:cs="Arial"/>
          <w:b/>
          <w:spacing w:val="-3"/>
        </w:rPr>
        <w:t>EDDER JIMMY SÁNCHEZ CALAMBÁS</w:t>
      </w:r>
    </w:p>
    <w:p w:rsidR="00173729" w:rsidRDefault="00B22294" w:rsidP="00173729">
      <w:pPr>
        <w:pStyle w:val="Sinespaciado1"/>
        <w:spacing w:line="360" w:lineRule="auto"/>
        <w:ind w:firstLine="2835"/>
        <w:jc w:val="both"/>
        <w:rPr>
          <w:rFonts w:ascii="Arial" w:hAnsi="Arial" w:cs="Arial"/>
          <w:spacing w:val="-3"/>
        </w:rPr>
      </w:pPr>
      <w:r>
        <w:rPr>
          <w:rFonts w:ascii="Arial" w:hAnsi="Arial" w:cs="Arial"/>
          <w:spacing w:val="-3"/>
        </w:rPr>
        <w:t>Magistrado</w:t>
      </w:r>
    </w:p>
    <w:sectPr w:rsidR="00173729" w:rsidSect="0058563D">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079" w:rsidRDefault="000A0079" w:rsidP="00B22294">
      <w:r>
        <w:separator/>
      </w:r>
    </w:p>
  </w:endnote>
  <w:endnote w:type="continuationSeparator" w:id="0">
    <w:p w:rsidR="000A0079" w:rsidRDefault="000A0079" w:rsidP="00B2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751129"/>
      <w:docPartObj>
        <w:docPartGallery w:val="Page Numbers (Bottom of Page)"/>
        <w:docPartUnique/>
      </w:docPartObj>
    </w:sdtPr>
    <w:sdtEndPr/>
    <w:sdtContent>
      <w:p w:rsidR="004F5355" w:rsidRDefault="004F5355">
        <w:pPr>
          <w:pStyle w:val="Piedepgina"/>
          <w:jc w:val="right"/>
        </w:pPr>
        <w:r>
          <w:fldChar w:fldCharType="begin"/>
        </w:r>
        <w:r>
          <w:instrText>PAGE   \* MERGEFORMAT</w:instrText>
        </w:r>
        <w:r>
          <w:fldChar w:fldCharType="separate"/>
        </w:r>
        <w:r w:rsidR="00943F5D">
          <w:rPr>
            <w:noProof/>
          </w:rPr>
          <w:t>4</w:t>
        </w:r>
        <w:r>
          <w:fldChar w:fldCharType="end"/>
        </w:r>
      </w:p>
    </w:sdtContent>
  </w:sdt>
  <w:p w:rsidR="004F5355" w:rsidRDefault="004F53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079" w:rsidRDefault="000A0079" w:rsidP="00B22294">
      <w:r>
        <w:separator/>
      </w:r>
    </w:p>
  </w:footnote>
  <w:footnote w:type="continuationSeparator" w:id="0">
    <w:p w:rsidR="000A0079" w:rsidRDefault="000A0079" w:rsidP="00B22294">
      <w:r>
        <w:continuationSeparator/>
      </w:r>
    </w:p>
  </w:footnote>
  <w:footnote w:id="1">
    <w:p w:rsidR="00EE0930" w:rsidRPr="00BA02FB" w:rsidRDefault="00EE0930" w:rsidP="00EE0930">
      <w:pPr>
        <w:widowControl w:val="0"/>
        <w:shd w:val="clear" w:color="auto" w:fill="FFFFFF"/>
        <w:tabs>
          <w:tab w:val="left" w:pos="389"/>
        </w:tabs>
        <w:autoSpaceDE w:val="0"/>
        <w:autoSpaceDN w:val="0"/>
        <w:adjustRightInd w:val="0"/>
        <w:spacing w:before="120"/>
        <w:ind w:right="45"/>
        <w:jc w:val="both"/>
        <w:rPr>
          <w:rFonts w:ascii="Arial" w:hAnsi="Arial" w:cs="Arial"/>
          <w:spacing w:val="-12"/>
          <w:lang w:val="es-ES_tradnl"/>
        </w:rPr>
      </w:pPr>
      <w:r w:rsidRPr="00BA02FB">
        <w:rPr>
          <w:rStyle w:val="Refdenotaalpie"/>
          <w:rFonts w:ascii="Arial" w:hAnsi="Arial" w:cs="Arial"/>
        </w:rPr>
        <w:footnoteRef/>
      </w:r>
      <w:r w:rsidRPr="00BA02FB">
        <w:rPr>
          <w:rFonts w:ascii="Arial" w:hAnsi="Arial" w:cs="Arial"/>
        </w:rPr>
        <w:t xml:space="preserve"> </w:t>
      </w:r>
      <w:r w:rsidRPr="00BA02FB">
        <w:rPr>
          <w:rFonts w:ascii="Arial" w:hAnsi="Arial" w:cs="Arial"/>
          <w:spacing w:val="-1"/>
          <w:lang w:val="es-ES_tradnl"/>
        </w:rPr>
        <w:t>Cuando no se practica en legal forma la notificación del auto ad</w:t>
      </w:r>
      <w:r w:rsidRPr="00BA02FB">
        <w:rPr>
          <w:rFonts w:ascii="Arial" w:hAnsi="Arial" w:cs="Arial"/>
          <w:spacing w:val="-2"/>
          <w:lang w:val="es-ES_tradnl"/>
        </w:rPr>
        <w:t xml:space="preserve">misorio de la demanda a personas determinadas, o el emplazamiento de </w:t>
      </w:r>
      <w:r w:rsidRPr="00BA02FB">
        <w:rPr>
          <w:rFonts w:ascii="Arial" w:hAnsi="Arial" w:cs="Arial"/>
          <w:spacing w:val="-1"/>
          <w:lang w:val="es-ES_tradnl"/>
        </w:rPr>
        <w:t xml:space="preserve">las demás personas aunque sean indeterminadas, que deban ser citadas </w:t>
      </w:r>
      <w:r w:rsidRPr="00BA02FB">
        <w:rPr>
          <w:rFonts w:ascii="Arial" w:hAnsi="Arial" w:cs="Arial"/>
          <w:spacing w:val="-3"/>
          <w:lang w:val="es-ES_tradnl"/>
        </w:rPr>
        <w:t xml:space="preserve">como partes, o de aquellas que deban suceder en el proceso a cualquiera de las partes, cuando la ley así lo ordena, o no se cita en debida forma al </w:t>
      </w:r>
      <w:r w:rsidRPr="00BA02FB">
        <w:rPr>
          <w:rFonts w:ascii="Arial" w:hAnsi="Arial" w:cs="Arial"/>
          <w:spacing w:val="-2"/>
          <w:lang w:val="es-ES_tradnl"/>
        </w:rPr>
        <w:t xml:space="preserve">Ministerio Público o a cualquier otra persona o entidad que de acuerdo </w:t>
      </w:r>
      <w:r w:rsidRPr="00BA02FB">
        <w:rPr>
          <w:rFonts w:ascii="Arial" w:hAnsi="Arial" w:cs="Arial"/>
          <w:spacing w:val="-1"/>
          <w:lang w:val="es-ES_tradnl"/>
        </w:rPr>
        <w:t>con la ley debió ser citado.</w:t>
      </w:r>
    </w:p>
  </w:footnote>
  <w:footnote w:id="2">
    <w:p w:rsidR="00564C23" w:rsidRPr="007144CF" w:rsidRDefault="00564C23" w:rsidP="00564C23">
      <w:pPr>
        <w:pStyle w:val="Textonotapie"/>
        <w:jc w:val="both"/>
        <w:rPr>
          <w:rFonts w:ascii="Arial" w:hAnsi="Arial" w:cs="Arial"/>
          <w:lang w:val="es-CO"/>
        </w:rPr>
      </w:pPr>
      <w:r w:rsidRPr="007144CF">
        <w:rPr>
          <w:rStyle w:val="Refdenotaalpie"/>
          <w:rFonts w:ascii="Arial" w:hAnsi="Arial" w:cs="Arial"/>
        </w:rPr>
        <w:footnoteRef/>
      </w:r>
      <w:r w:rsidRPr="007144CF">
        <w:rPr>
          <w:rFonts w:ascii="Arial" w:hAnsi="Arial" w:cs="Arial"/>
        </w:rPr>
        <w:t xml:space="preserve"> </w:t>
      </w:r>
      <w:r w:rsidRPr="007144CF">
        <w:rPr>
          <w:rFonts w:ascii="Arial" w:hAnsi="Arial" w:cs="Arial"/>
          <w:lang w:val="es-CO"/>
        </w:rPr>
        <w:t xml:space="preserve">Corte Constitucional. Auto 315 de 2006. MP. Clara Inés Vargas Hernández. </w:t>
      </w:r>
    </w:p>
    <w:p w:rsidR="00564C23" w:rsidRPr="007144CF" w:rsidRDefault="00564C23" w:rsidP="00564C23">
      <w:pPr>
        <w:pStyle w:val="Textonotapie"/>
        <w:jc w:val="both"/>
        <w:rPr>
          <w:rFonts w:ascii="Arial" w:hAnsi="Arial" w:cs="Arial"/>
          <w:lang w:val="es-CO"/>
        </w:rPr>
      </w:pPr>
      <w:r w:rsidRPr="007144CF">
        <w:rPr>
          <w:rFonts w:ascii="Arial" w:hAnsi="Arial" w:cs="Arial"/>
          <w:lang w:val="es-CO"/>
        </w:rPr>
        <w:t>“Cuando, durante el proceso de tutela, en la primera y segunda instancia, la causa pasiva ha sido integrada incorrectamente o una parte con un interés legítimo no ha sido notificada, la Corte Constitucional ha encontrado que se configura una causal de nulidad del proceso de tutela y ha considerado que el procedimiento adecuado consiste en devolver el expediente al juez de instancia con la finalidad que subsane el vicio y se integre correctamente el contradictorio”</w:t>
      </w:r>
    </w:p>
    <w:p w:rsidR="00564C23" w:rsidRPr="000572D2" w:rsidRDefault="00564C23" w:rsidP="00564C23">
      <w:pPr>
        <w:pStyle w:val="Textonotapie"/>
        <w:jc w:val="both"/>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4"/>
    <w:rsid w:val="00010403"/>
    <w:rsid w:val="00010679"/>
    <w:rsid w:val="0009729D"/>
    <w:rsid w:val="000A0079"/>
    <w:rsid w:val="000A4F22"/>
    <w:rsid w:val="000C1FAE"/>
    <w:rsid w:val="000D6533"/>
    <w:rsid w:val="000F135F"/>
    <w:rsid w:val="000F2A34"/>
    <w:rsid w:val="00173729"/>
    <w:rsid w:val="00195906"/>
    <w:rsid w:val="001A4DB1"/>
    <w:rsid w:val="001D0E6F"/>
    <w:rsid w:val="001D7319"/>
    <w:rsid w:val="001E50C8"/>
    <w:rsid w:val="001F1851"/>
    <w:rsid w:val="0020091E"/>
    <w:rsid w:val="00210FC1"/>
    <w:rsid w:val="00264688"/>
    <w:rsid w:val="002712F3"/>
    <w:rsid w:val="00272C07"/>
    <w:rsid w:val="00275718"/>
    <w:rsid w:val="002E65BA"/>
    <w:rsid w:val="002F1407"/>
    <w:rsid w:val="00307013"/>
    <w:rsid w:val="00333618"/>
    <w:rsid w:val="00391185"/>
    <w:rsid w:val="003939CE"/>
    <w:rsid w:val="00395494"/>
    <w:rsid w:val="003D36DE"/>
    <w:rsid w:val="00441AC6"/>
    <w:rsid w:val="00454020"/>
    <w:rsid w:val="00471FE9"/>
    <w:rsid w:val="004749C1"/>
    <w:rsid w:val="00476302"/>
    <w:rsid w:val="00482390"/>
    <w:rsid w:val="004852F8"/>
    <w:rsid w:val="004E4CB4"/>
    <w:rsid w:val="004F5355"/>
    <w:rsid w:val="00511F54"/>
    <w:rsid w:val="00526232"/>
    <w:rsid w:val="00564C23"/>
    <w:rsid w:val="00582576"/>
    <w:rsid w:val="0058563D"/>
    <w:rsid w:val="005C2B9F"/>
    <w:rsid w:val="005D07D8"/>
    <w:rsid w:val="005E5733"/>
    <w:rsid w:val="00601521"/>
    <w:rsid w:val="0061190D"/>
    <w:rsid w:val="006323F1"/>
    <w:rsid w:val="006A50F1"/>
    <w:rsid w:val="006B4577"/>
    <w:rsid w:val="006B7B67"/>
    <w:rsid w:val="006E4BAB"/>
    <w:rsid w:val="006F0029"/>
    <w:rsid w:val="00724D42"/>
    <w:rsid w:val="0073299B"/>
    <w:rsid w:val="00737219"/>
    <w:rsid w:val="00746206"/>
    <w:rsid w:val="00747603"/>
    <w:rsid w:val="00752976"/>
    <w:rsid w:val="00764D1D"/>
    <w:rsid w:val="00770F85"/>
    <w:rsid w:val="007C7F60"/>
    <w:rsid w:val="007F13D0"/>
    <w:rsid w:val="008600EC"/>
    <w:rsid w:val="008770C1"/>
    <w:rsid w:val="00887177"/>
    <w:rsid w:val="00897F94"/>
    <w:rsid w:val="008A771D"/>
    <w:rsid w:val="00943F5D"/>
    <w:rsid w:val="00960B30"/>
    <w:rsid w:val="00983FC0"/>
    <w:rsid w:val="009E11CB"/>
    <w:rsid w:val="00A07D6B"/>
    <w:rsid w:val="00A353B5"/>
    <w:rsid w:val="00A57196"/>
    <w:rsid w:val="00A903D2"/>
    <w:rsid w:val="00A97A07"/>
    <w:rsid w:val="00B22294"/>
    <w:rsid w:val="00B92E83"/>
    <w:rsid w:val="00BA02FB"/>
    <w:rsid w:val="00BB5F3B"/>
    <w:rsid w:val="00BC0952"/>
    <w:rsid w:val="00BE4616"/>
    <w:rsid w:val="00C0082D"/>
    <w:rsid w:val="00C7450C"/>
    <w:rsid w:val="00D16B29"/>
    <w:rsid w:val="00D271B5"/>
    <w:rsid w:val="00D60363"/>
    <w:rsid w:val="00D84919"/>
    <w:rsid w:val="00DA26FC"/>
    <w:rsid w:val="00DB0ED7"/>
    <w:rsid w:val="00DC3883"/>
    <w:rsid w:val="00DD1573"/>
    <w:rsid w:val="00DD242B"/>
    <w:rsid w:val="00E706DF"/>
    <w:rsid w:val="00E91E88"/>
    <w:rsid w:val="00EB1937"/>
    <w:rsid w:val="00EB4D52"/>
    <w:rsid w:val="00ED3CE6"/>
    <w:rsid w:val="00ED6274"/>
    <w:rsid w:val="00ED6FB3"/>
    <w:rsid w:val="00EE0930"/>
    <w:rsid w:val="00EF3F4B"/>
    <w:rsid w:val="00EF6C24"/>
    <w:rsid w:val="00F02F5C"/>
    <w:rsid w:val="00F504A8"/>
    <w:rsid w:val="00F62A1D"/>
    <w:rsid w:val="00F848AE"/>
    <w:rsid w:val="00F9360D"/>
    <w:rsid w:val="00FD586B"/>
    <w:rsid w:val="00FD66F7"/>
    <w:rsid w:val="00FE04FC"/>
    <w:rsid w:val="00FE289A"/>
    <w:rsid w:val="00FE3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A6B9-37DE-40E9-91DF-1B06DCA1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9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B22294"/>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B2229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B22294"/>
    <w:rPr>
      <w:vertAlign w:val="superscript"/>
    </w:rPr>
  </w:style>
  <w:style w:type="paragraph" w:customStyle="1" w:styleId="Sinespaciado1">
    <w:name w:val="Sin espaciado1"/>
    <w:link w:val="NoSpacingChar"/>
    <w:uiPriority w:val="99"/>
    <w:rsid w:val="00B2229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B22294"/>
    <w:rPr>
      <w:rFonts w:ascii="Calibri" w:eastAsia="Times New Roman" w:hAnsi="Calibri" w:cs="Times New Roman"/>
      <w:lang w:val="es-CO"/>
    </w:rPr>
  </w:style>
  <w:style w:type="paragraph" w:styleId="Piedepgina">
    <w:name w:val="footer"/>
    <w:basedOn w:val="Normal"/>
    <w:link w:val="PiedepginaCar"/>
    <w:uiPriority w:val="99"/>
    <w:unhideWhenUsed/>
    <w:rsid w:val="00B22294"/>
    <w:pPr>
      <w:tabs>
        <w:tab w:val="center" w:pos="4252"/>
        <w:tab w:val="right" w:pos="8504"/>
      </w:tabs>
    </w:pPr>
  </w:style>
  <w:style w:type="character" w:customStyle="1" w:styleId="PiedepginaCar">
    <w:name w:val="Pie de página Car"/>
    <w:basedOn w:val="Fuentedeprrafopredeter"/>
    <w:link w:val="Piedepgina"/>
    <w:uiPriority w:val="99"/>
    <w:rsid w:val="00B2229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603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363"/>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1D7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93D1-C00A-4C89-A3F9-8CEF27F9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1178</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Manuel Antonio Montilla Ortiz</cp:lastModifiedBy>
  <cp:revision>15</cp:revision>
  <cp:lastPrinted>2018-05-24T13:41:00Z</cp:lastPrinted>
  <dcterms:created xsi:type="dcterms:W3CDTF">2018-05-23T14:22:00Z</dcterms:created>
  <dcterms:modified xsi:type="dcterms:W3CDTF">2018-05-24T13:46:00Z</dcterms:modified>
</cp:coreProperties>
</file>