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14" w:rsidRPr="009A78CD" w:rsidRDefault="00940414" w:rsidP="0094041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940414" w:rsidRPr="009A78CD" w:rsidRDefault="00940414" w:rsidP="0094041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940414" w:rsidRPr="009A78CD" w:rsidRDefault="00940414" w:rsidP="00940414">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12</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940414" w:rsidRPr="009A78CD" w:rsidRDefault="00940414" w:rsidP="00940414">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940414" w:rsidRPr="009A78CD" w:rsidRDefault="00940414" w:rsidP="0094041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940414">
        <w:rPr>
          <w:rFonts w:ascii="Arial" w:hAnsi="Arial" w:cs="Arial"/>
          <w:color w:val="222222"/>
          <w:sz w:val="18"/>
          <w:szCs w:val="18"/>
          <w:lang w:val="es-CO" w:eastAsia="fr-FR"/>
        </w:rPr>
        <w:t>66001-22-13-000-2018-00305-00</w:t>
      </w:r>
    </w:p>
    <w:p w:rsidR="00940414" w:rsidRPr="009A78CD" w:rsidRDefault="00940414" w:rsidP="0094041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940414" w:rsidRPr="009A78CD" w:rsidRDefault="00940414" w:rsidP="00940414">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3</w:t>
      </w:r>
      <w:r w:rsidRPr="008721B0">
        <w:rPr>
          <w:rFonts w:ascii="Arial" w:hAnsi="Arial" w:cs="Arial"/>
          <w:sz w:val="18"/>
          <w:szCs w:val="28"/>
        </w:rPr>
        <w:t>º CIVIL DEL CIRCUITO DE PEREIRA</w:t>
      </w:r>
    </w:p>
    <w:p w:rsidR="00940414" w:rsidRPr="009A78CD" w:rsidRDefault="00940414" w:rsidP="00940414">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940414" w:rsidRDefault="00940414" w:rsidP="00940414">
      <w:pPr>
        <w:shd w:val="clear" w:color="auto" w:fill="FFFFFF"/>
        <w:tabs>
          <w:tab w:val="left" w:pos="1843"/>
          <w:tab w:val="left" w:pos="4755"/>
        </w:tabs>
        <w:ind w:left="1843" w:hanging="1843"/>
        <w:jc w:val="both"/>
        <w:rPr>
          <w:rFonts w:ascii="Arial" w:hAnsi="Arial" w:cs="Arial"/>
          <w:sz w:val="18"/>
          <w:szCs w:val="18"/>
          <w:lang w:val="es-CO" w:eastAsia="fr-FR"/>
        </w:rPr>
      </w:pPr>
    </w:p>
    <w:p w:rsidR="00940414" w:rsidRPr="009A78CD" w:rsidRDefault="00940414" w:rsidP="00940414">
      <w:pPr>
        <w:shd w:val="clear" w:color="auto" w:fill="FFFFFF"/>
        <w:tabs>
          <w:tab w:val="left" w:pos="1843"/>
          <w:tab w:val="left" w:pos="4755"/>
        </w:tabs>
        <w:ind w:left="1843" w:hanging="1843"/>
        <w:jc w:val="both"/>
        <w:rPr>
          <w:rFonts w:ascii="Arial" w:hAnsi="Arial" w:cs="Arial"/>
          <w:sz w:val="18"/>
          <w:szCs w:val="18"/>
          <w:lang w:val="es-CO" w:eastAsia="fr-FR"/>
        </w:rPr>
      </w:pPr>
    </w:p>
    <w:p w:rsidR="00940414" w:rsidRPr="007F49CD" w:rsidRDefault="00940414" w:rsidP="00940414">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NO SE HIZO REQUERIMIENTO PREVIO AL JUZGADO / COMPETENCIA / PENDIENTE DE RESOLVER / IMPROCEDENTE / </w:t>
      </w:r>
      <w:r w:rsidRPr="00940414">
        <w:rPr>
          <w:rFonts w:ascii="Arial" w:hAnsi="Arial" w:cs="Arial"/>
          <w:bCs/>
          <w:iCs/>
          <w:color w:val="222222"/>
          <w:sz w:val="18"/>
          <w:szCs w:val="18"/>
          <w:lang w:eastAsia="fr-FR"/>
        </w:rPr>
        <w:t xml:space="preserve">Manifiesta el actor que la autoridad judicial encartada vulnera sus derechos fundamentales “art 86 </w:t>
      </w:r>
      <w:proofErr w:type="spellStart"/>
      <w:r w:rsidRPr="00940414">
        <w:rPr>
          <w:rFonts w:ascii="Arial" w:hAnsi="Arial" w:cs="Arial"/>
          <w:bCs/>
          <w:iCs/>
          <w:color w:val="222222"/>
          <w:sz w:val="18"/>
          <w:szCs w:val="18"/>
          <w:lang w:eastAsia="fr-FR"/>
        </w:rPr>
        <w:t>CN</w:t>
      </w:r>
      <w:proofErr w:type="spellEnd"/>
      <w:r w:rsidRPr="00940414">
        <w:rPr>
          <w:rFonts w:ascii="Arial" w:hAnsi="Arial" w:cs="Arial"/>
          <w:bCs/>
          <w:iCs/>
          <w:color w:val="222222"/>
          <w:sz w:val="18"/>
          <w:szCs w:val="18"/>
          <w:lang w:eastAsia="fr-FR"/>
        </w:rPr>
        <w:t>”, dentro del trámite de la acción popular radicada bajo el número 2018-00136.</w:t>
      </w:r>
    </w:p>
    <w:p w:rsidR="00940414" w:rsidRPr="007F49CD" w:rsidRDefault="00940414" w:rsidP="00940414">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940414" w:rsidRPr="00940414" w:rsidRDefault="00940414" w:rsidP="00940414">
      <w:pPr>
        <w:jc w:val="both"/>
        <w:rPr>
          <w:rFonts w:ascii="Arial" w:hAnsi="Arial" w:cs="Arial"/>
          <w:sz w:val="18"/>
          <w:szCs w:val="18"/>
        </w:rPr>
      </w:pPr>
      <w:r w:rsidRPr="00940414">
        <w:rPr>
          <w:rFonts w:ascii="Arial" w:hAnsi="Arial" w:cs="Arial"/>
          <w:sz w:val="18"/>
          <w:szCs w:val="18"/>
        </w:rPr>
        <w:t>1. Examinadas las copias arrimadas al proceso, que obran a folios 7 al 9, esta Corporación advierte las siguientes actuaciones relevantes:</w:t>
      </w:r>
    </w:p>
    <w:p w:rsidR="00940414" w:rsidRPr="00940414" w:rsidRDefault="00940414" w:rsidP="00940414">
      <w:pPr>
        <w:jc w:val="both"/>
        <w:rPr>
          <w:rFonts w:ascii="Arial" w:hAnsi="Arial" w:cs="Arial"/>
          <w:sz w:val="18"/>
          <w:szCs w:val="18"/>
        </w:rPr>
      </w:pPr>
      <w:r w:rsidRPr="00940414">
        <w:rPr>
          <w:rFonts w:ascii="Arial" w:hAnsi="Arial" w:cs="Arial"/>
          <w:sz w:val="18"/>
          <w:szCs w:val="18"/>
        </w:rPr>
        <w:t xml:space="preserve">(i) En la acción popular referida, en la que funge como demandante el señor </w:t>
      </w:r>
      <w:proofErr w:type="spellStart"/>
      <w:r w:rsidRPr="00940414">
        <w:rPr>
          <w:rFonts w:ascii="Arial" w:hAnsi="Arial" w:cs="Arial"/>
          <w:sz w:val="18"/>
          <w:szCs w:val="18"/>
        </w:rPr>
        <w:t>UNER</w:t>
      </w:r>
      <w:proofErr w:type="spellEnd"/>
      <w:r w:rsidRPr="00940414">
        <w:rPr>
          <w:rFonts w:ascii="Arial" w:hAnsi="Arial" w:cs="Arial"/>
          <w:sz w:val="18"/>
          <w:szCs w:val="18"/>
        </w:rPr>
        <w:t xml:space="preserve"> AUGUSTO BECERRA LARGO y demandado BANCOLOMBIA, el juzgado accionado por auto del 24 de mayo pasado, la rechazó por falta de competencia, al establecer por medio de la página web de la entidad demandada que su domicilio principal se encuentra en Medellín y la vulneración se da en esa misma ciudad. Ordenó su remisión para que fuera repartida entre los Juzgados Civiles del Circuito de Medellín. Providencia notificada por estado el 25 de mayo siguiente. (</w:t>
      </w:r>
      <w:proofErr w:type="spellStart"/>
      <w:r w:rsidRPr="00940414">
        <w:rPr>
          <w:rFonts w:ascii="Arial" w:hAnsi="Arial" w:cs="Arial"/>
          <w:sz w:val="18"/>
          <w:szCs w:val="18"/>
        </w:rPr>
        <w:t>fl</w:t>
      </w:r>
      <w:proofErr w:type="spellEnd"/>
      <w:r w:rsidRPr="00940414">
        <w:rPr>
          <w:rFonts w:ascii="Arial" w:hAnsi="Arial" w:cs="Arial"/>
          <w:sz w:val="18"/>
          <w:szCs w:val="18"/>
        </w:rPr>
        <w:t>. 9).</w:t>
      </w:r>
    </w:p>
    <w:p w:rsidR="00940414" w:rsidRPr="00940414" w:rsidRDefault="00940414" w:rsidP="00940414">
      <w:pPr>
        <w:jc w:val="both"/>
        <w:rPr>
          <w:rFonts w:ascii="Arial" w:hAnsi="Arial" w:cs="Arial"/>
          <w:sz w:val="18"/>
          <w:szCs w:val="18"/>
        </w:rPr>
      </w:pPr>
      <w:bookmarkStart w:id="0" w:name="_GoBack"/>
      <w:bookmarkEnd w:id="0"/>
      <w:r w:rsidRPr="00940414">
        <w:rPr>
          <w:rFonts w:ascii="Arial" w:hAnsi="Arial" w:cs="Arial"/>
          <w:sz w:val="18"/>
          <w:szCs w:val="18"/>
        </w:rPr>
        <w:t xml:space="preserve">(ii) El 25 de mayo de 2018, el señor </w:t>
      </w:r>
      <w:proofErr w:type="spellStart"/>
      <w:r w:rsidRPr="00940414">
        <w:rPr>
          <w:rFonts w:ascii="Arial" w:hAnsi="Arial" w:cs="Arial"/>
          <w:sz w:val="18"/>
          <w:szCs w:val="18"/>
        </w:rPr>
        <w:t>UNER</w:t>
      </w:r>
      <w:proofErr w:type="spellEnd"/>
      <w:r w:rsidRPr="00940414">
        <w:rPr>
          <w:rFonts w:ascii="Arial" w:hAnsi="Arial" w:cs="Arial"/>
          <w:sz w:val="18"/>
          <w:szCs w:val="18"/>
        </w:rPr>
        <w:t xml:space="preserve"> AUGUSTO BECERRA LARGO, formuló la acción de tutela. (</w:t>
      </w:r>
      <w:proofErr w:type="spellStart"/>
      <w:r w:rsidRPr="00940414">
        <w:rPr>
          <w:rFonts w:ascii="Arial" w:hAnsi="Arial" w:cs="Arial"/>
          <w:sz w:val="18"/>
          <w:szCs w:val="18"/>
        </w:rPr>
        <w:t>fl</w:t>
      </w:r>
      <w:proofErr w:type="spellEnd"/>
      <w:r w:rsidRPr="00940414">
        <w:rPr>
          <w:rFonts w:ascii="Arial" w:hAnsi="Arial" w:cs="Arial"/>
          <w:sz w:val="18"/>
          <w:szCs w:val="18"/>
        </w:rPr>
        <w:t>. 1 vto.).</w:t>
      </w:r>
    </w:p>
    <w:p w:rsidR="00940414" w:rsidRPr="00940414" w:rsidRDefault="00940414" w:rsidP="00940414">
      <w:pPr>
        <w:jc w:val="both"/>
        <w:rPr>
          <w:rFonts w:ascii="Arial" w:hAnsi="Arial" w:cs="Arial"/>
          <w:sz w:val="18"/>
          <w:szCs w:val="18"/>
        </w:rPr>
      </w:pPr>
    </w:p>
    <w:p w:rsidR="00940414" w:rsidRDefault="00940414" w:rsidP="00940414">
      <w:pPr>
        <w:jc w:val="both"/>
        <w:rPr>
          <w:rFonts w:ascii="Arial" w:hAnsi="Arial" w:cs="Arial"/>
          <w:sz w:val="18"/>
          <w:szCs w:val="18"/>
        </w:rPr>
      </w:pPr>
      <w:r w:rsidRPr="00940414">
        <w:rPr>
          <w:rFonts w:ascii="Arial" w:hAnsi="Arial" w:cs="Arial"/>
          <w:sz w:val="18"/>
          <w:szCs w:val="18"/>
        </w:rPr>
        <w:t>2. Así las cosas, no hay duda que la presente acción constitucional es improcedente, toda vez que, como se pudo constatar, la solicitud de amparo se torna prematura, por dos razones específicas; la primera de ellas, por cuanto la misma fue interpuesta el 25 de mayo pasado, esto es, cuando ni siquiera empezaba a transcurrir el término de ejecutoria del auto del 24 de mayo, mediante el cual, el juzgado accionado resolvió rechazar la acción popular por falta de competencia; debió esperar el actor para formular el recurso respectivo frente a dicho proveído y no acudir directamente a la acción de tutela. Y la segunda,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w:t>
      </w:r>
    </w:p>
    <w:p w:rsidR="00940414" w:rsidRDefault="00940414" w:rsidP="00940414">
      <w:pPr>
        <w:jc w:val="both"/>
        <w:rPr>
          <w:rFonts w:ascii="Arial" w:hAnsi="Arial" w:cs="Arial"/>
          <w:sz w:val="18"/>
          <w:szCs w:val="18"/>
        </w:rPr>
      </w:pPr>
    </w:p>
    <w:p w:rsidR="00940414" w:rsidRDefault="00940414" w:rsidP="00940414">
      <w:pPr>
        <w:jc w:val="both"/>
        <w:rPr>
          <w:rFonts w:ascii="Arial" w:hAnsi="Arial" w:cs="Arial"/>
          <w:sz w:val="18"/>
          <w:szCs w:val="18"/>
        </w:rPr>
      </w:pPr>
    </w:p>
    <w:p w:rsidR="00940414" w:rsidRDefault="00940414" w:rsidP="00940414">
      <w:pPr>
        <w:jc w:val="both"/>
        <w:rPr>
          <w:rFonts w:ascii="Arial" w:hAnsi="Arial" w:cs="Arial"/>
          <w:sz w:val="18"/>
          <w:szCs w:val="18"/>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E27009" w:rsidRDefault="00E27009" w:rsidP="00E27009">
      <w:pPr>
        <w:spacing w:line="360" w:lineRule="auto"/>
        <w:ind w:left="708" w:firstLine="708"/>
        <w:jc w:val="both"/>
        <w:rPr>
          <w:rFonts w:ascii="Arial" w:hAnsi="Arial" w:cs="Arial"/>
          <w:bCs/>
          <w:sz w:val="24"/>
          <w:szCs w:val="24"/>
        </w:rPr>
      </w:pPr>
      <w:r>
        <w:rPr>
          <w:rFonts w:ascii="Arial" w:hAnsi="Arial" w:cs="Arial"/>
          <w:bCs/>
          <w:sz w:val="24"/>
          <w:szCs w:val="24"/>
        </w:rPr>
        <w:t>Pereira, doce (12) de junio de dos mil dieciocho (2018)</w:t>
      </w:r>
    </w:p>
    <w:p w:rsidR="00AE243A" w:rsidRPr="00984F63" w:rsidRDefault="00E27009" w:rsidP="00E27009">
      <w:pPr>
        <w:spacing w:line="360" w:lineRule="auto"/>
        <w:jc w:val="center"/>
        <w:rPr>
          <w:rFonts w:ascii="Arial" w:hAnsi="Arial" w:cs="Arial"/>
          <w:sz w:val="24"/>
          <w:szCs w:val="24"/>
        </w:rPr>
      </w:pPr>
      <w:r>
        <w:rPr>
          <w:rFonts w:ascii="Arial" w:hAnsi="Arial" w:cs="Arial"/>
          <w:sz w:val="24"/>
          <w:szCs w:val="24"/>
        </w:rPr>
        <w:t>Acta Nº 201 de 12-06-2018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1C673C">
        <w:rPr>
          <w:rFonts w:ascii="Arial" w:hAnsi="Arial" w:cs="Arial"/>
          <w:b/>
          <w:sz w:val="24"/>
          <w:szCs w:val="24"/>
        </w:rPr>
        <w:t>305</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w:t>
      </w:r>
      <w:r w:rsidR="00D34FC9">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00D34FC9">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563A3">
        <w:rPr>
          <w:rFonts w:ascii="Arial" w:hAnsi="Arial" w:cs="Arial"/>
          <w:sz w:val="26"/>
          <w:szCs w:val="26"/>
        </w:rPr>
        <w:t>vulnera su</w:t>
      </w:r>
      <w:r w:rsidR="00B7004B">
        <w:rPr>
          <w:rFonts w:ascii="Arial" w:hAnsi="Arial" w:cs="Arial"/>
          <w:sz w:val="26"/>
          <w:szCs w:val="26"/>
        </w:rPr>
        <w:t>s</w:t>
      </w:r>
      <w:r w:rsidR="00F325FE" w:rsidRPr="007646B9">
        <w:rPr>
          <w:rFonts w:ascii="Arial" w:hAnsi="Arial" w:cs="Arial"/>
          <w:sz w:val="26"/>
          <w:szCs w:val="26"/>
        </w:rPr>
        <w:t xml:space="preserve"> derecho</w:t>
      </w:r>
      <w:r w:rsidR="00B7004B">
        <w:rPr>
          <w:rFonts w:ascii="Arial" w:hAnsi="Arial" w:cs="Arial"/>
          <w:sz w:val="26"/>
          <w:szCs w:val="26"/>
        </w:rPr>
        <w:t>s</w:t>
      </w:r>
      <w:r w:rsidR="00F325FE" w:rsidRPr="007646B9">
        <w:rPr>
          <w:rFonts w:ascii="Arial" w:hAnsi="Arial" w:cs="Arial"/>
          <w:sz w:val="26"/>
          <w:szCs w:val="26"/>
        </w:rPr>
        <w:t xml:space="preserve"> fundamental</w:t>
      </w:r>
      <w:r w:rsidR="00B7004B">
        <w:rPr>
          <w:rFonts w:ascii="Arial" w:hAnsi="Arial" w:cs="Arial"/>
          <w:sz w:val="26"/>
          <w:szCs w:val="26"/>
        </w:rPr>
        <w:t>es “art 86 CN”</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11181A">
        <w:rPr>
          <w:rFonts w:ascii="Arial" w:hAnsi="Arial" w:cs="Arial"/>
          <w:b/>
          <w:sz w:val="24"/>
          <w:szCs w:val="26"/>
        </w:rPr>
        <w:t>1</w:t>
      </w:r>
      <w:r w:rsidR="001C673C">
        <w:rPr>
          <w:rFonts w:ascii="Arial" w:hAnsi="Arial" w:cs="Arial"/>
          <w:b/>
          <w:sz w:val="24"/>
          <w:szCs w:val="26"/>
        </w:rPr>
        <w:t>36</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1C39A0">
        <w:rPr>
          <w:rFonts w:ascii="Arial" w:hAnsi="Arial" w:cs="Arial"/>
          <w:sz w:val="26"/>
          <w:szCs w:val="26"/>
        </w:rPr>
        <w:t xml:space="preserve"> le correspondió por reparto al despacho accionado</w:t>
      </w:r>
      <w:r w:rsidR="00684398">
        <w:rPr>
          <w:rFonts w:ascii="Arial" w:hAnsi="Arial" w:cs="Arial"/>
          <w:sz w:val="26"/>
          <w:szCs w:val="26"/>
        </w:rPr>
        <w:t xml:space="preserve"> </w:t>
      </w:r>
      <w:r w:rsidR="001C39A0">
        <w:rPr>
          <w:rFonts w:ascii="Arial" w:hAnsi="Arial" w:cs="Arial"/>
          <w:sz w:val="26"/>
          <w:szCs w:val="26"/>
        </w:rPr>
        <w:t>la referida acción popular, y</w:t>
      </w:r>
      <w:r w:rsidR="006F2871">
        <w:rPr>
          <w:rFonts w:ascii="Arial" w:hAnsi="Arial" w:cs="Arial"/>
          <w:sz w:val="26"/>
          <w:szCs w:val="26"/>
        </w:rPr>
        <w:t xml:space="preserve"> l</w:t>
      </w:r>
      <w:r w:rsidR="00437B37">
        <w:rPr>
          <w:rFonts w:ascii="Arial" w:hAnsi="Arial" w:cs="Arial"/>
          <w:sz w:val="26"/>
          <w:szCs w:val="26"/>
        </w:rPr>
        <w:t>a</w:t>
      </w:r>
      <w:r w:rsidR="001C39A0">
        <w:rPr>
          <w:rFonts w:ascii="Arial" w:hAnsi="Arial" w:cs="Arial"/>
          <w:sz w:val="26"/>
          <w:szCs w:val="26"/>
        </w:rPr>
        <w:t xml:space="preserve"> a quo cree poder remitirla por falta de competencia, olvidando que no es parte y desconociendo centenar</w:t>
      </w:r>
      <w:r w:rsidR="000229BA">
        <w:rPr>
          <w:rFonts w:ascii="Arial" w:hAnsi="Arial" w:cs="Arial"/>
          <w:sz w:val="26"/>
          <w:szCs w:val="26"/>
        </w:rPr>
        <w:t xml:space="preserve">es de conflictos </w:t>
      </w:r>
      <w:r w:rsidR="0011181A">
        <w:rPr>
          <w:rFonts w:ascii="Arial" w:hAnsi="Arial" w:cs="Arial"/>
          <w:sz w:val="26"/>
          <w:szCs w:val="26"/>
        </w:rPr>
        <w:t xml:space="preserve">de </w:t>
      </w:r>
      <w:r w:rsidR="00E70DA9">
        <w:rPr>
          <w:rFonts w:ascii="Arial" w:hAnsi="Arial" w:cs="Arial"/>
          <w:sz w:val="26"/>
          <w:szCs w:val="26"/>
        </w:rPr>
        <w:t xml:space="preserve">la Corte Suprema de </w:t>
      </w:r>
      <w:r w:rsidR="003F30CF">
        <w:rPr>
          <w:rFonts w:ascii="Arial" w:hAnsi="Arial" w:cs="Arial"/>
          <w:sz w:val="26"/>
          <w:szCs w:val="26"/>
        </w:rPr>
        <w:t>Justicia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E96B7F">
        <w:rPr>
          <w:rFonts w:ascii="Arial" w:hAnsi="Arial" w:cs="Arial"/>
          <w:sz w:val="26"/>
          <w:szCs w:val="26"/>
        </w:rPr>
        <w:t>: (i)</w:t>
      </w:r>
      <w:r w:rsidR="006F2871">
        <w:rPr>
          <w:rFonts w:ascii="Arial" w:hAnsi="Arial" w:cs="Arial"/>
          <w:sz w:val="26"/>
          <w:szCs w:val="26"/>
        </w:rPr>
        <w:t xml:space="preserve"> </w:t>
      </w:r>
      <w:r w:rsidR="00E96B7F">
        <w:rPr>
          <w:rFonts w:ascii="Arial" w:hAnsi="Arial" w:cs="Arial"/>
          <w:sz w:val="26"/>
          <w:szCs w:val="26"/>
        </w:rPr>
        <w:t xml:space="preserve">se ordene a la funcionaria accionada </w:t>
      </w:r>
      <w:r w:rsidR="00051BA6">
        <w:rPr>
          <w:rFonts w:ascii="Arial" w:hAnsi="Arial" w:cs="Arial"/>
          <w:sz w:val="26"/>
          <w:szCs w:val="26"/>
        </w:rPr>
        <w:t>no dilatar</w:t>
      </w:r>
      <w:r w:rsidR="000229BA">
        <w:rPr>
          <w:rFonts w:ascii="Arial" w:hAnsi="Arial" w:cs="Arial"/>
          <w:sz w:val="26"/>
          <w:szCs w:val="26"/>
        </w:rPr>
        <w:t xml:space="preserve"> ni entorpe</w:t>
      </w:r>
      <w:r w:rsidR="00051BA6">
        <w:rPr>
          <w:rFonts w:ascii="Arial" w:hAnsi="Arial" w:cs="Arial"/>
          <w:sz w:val="26"/>
          <w:szCs w:val="26"/>
        </w:rPr>
        <w:t>cer</w:t>
      </w:r>
      <w:r w:rsidR="000229BA">
        <w:rPr>
          <w:rFonts w:ascii="Arial" w:hAnsi="Arial" w:cs="Arial"/>
          <w:sz w:val="26"/>
          <w:szCs w:val="26"/>
        </w:rPr>
        <w:t xml:space="preserve"> </w:t>
      </w:r>
      <w:r w:rsidR="00051BA6">
        <w:rPr>
          <w:rFonts w:ascii="Arial" w:hAnsi="Arial" w:cs="Arial"/>
          <w:sz w:val="26"/>
          <w:szCs w:val="26"/>
        </w:rPr>
        <w:t>su</w:t>
      </w:r>
      <w:r w:rsidR="000229BA">
        <w:rPr>
          <w:rFonts w:ascii="Arial" w:hAnsi="Arial" w:cs="Arial"/>
          <w:sz w:val="26"/>
          <w:szCs w:val="26"/>
        </w:rPr>
        <w:t xml:space="preserve"> trámite</w:t>
      </w:r>
      <w:r w:rsidR="00051BA6">
        <w:rPr>
          <w:rFonts w:ascii="Arial" w:hAnsi="Arial" w:cs="Arial"/>
          <w:sz w:val="26"/>
          <w:szCs w:val="26"/>
        </w:rPr>
        <w:t>, ni</w:t>
      </w:r>
      <w:r w:rsidR="000229BA">
        <w:rPr>
          <w:rFonts w:ascii="Arial" w:hAnsi="Arial" w:cs="Arial"/>
          <w:sz w:val="26"/>
          <w:szCs w:val="26"/>
        </w:rPr>
        <w:t xml:space="preserve"> descono</w:t>
      </w:r>
      <w:r w:rsidR="00051BA6">
        <w:rPr>
          <w:rFonts w:ascii="Arial" w:hAnsi="Arial" w:cs="Arial"/>
          <w:sz w:val="26"/>
          <w:szCs w:val="26"/>
        </w:rPr>
        <w:t>cer</w:t>
      </w:r>
      <w:r w:rsidR="000229BA">
        <w:rPr>
          <w:rFonts w:ascii="Arial" w:hAnsi="Arial" w:cs="Arial"/>
          <w:sz w:val="26"/>
          <w:szCs w:val="26"/>
        </w:rPr>
        <w:t xml:space="preserve"> las órdenes que le ha dado </w:t>
      </w:r>
      <w:r w:rsidR="00E96B7F">
        <w:rPr>
          <w:rFonts w:ascii="Arial" w:hAnsi="Arial" w:cs="Arial"/>
          <w:sz w:val="26"/>
          <w:szCs w:val="26"/>
        </w:rPr>
        <w:t>la Corte Suprema de Justicia</w:t>
      </w:r>
      <w:r w:rsidR="000229BA">
        <w:rPr>
          <w:rFonts w:ascii="Arial" w:hAnsi="Arial" w:cs="Arial"/>
          <w:sz w:val="26"/>
          <w:szCs w:val="26"/>
        </w:rPr>
        <w:t>; (ii) consignar</w:t>
      </w:r>
      <w:r w:rsidR="00A061D8">
        <w:rPr>
          <w:rFonts w:ascii="Arial" w:hAnsi="Arial" w:cs="Arial"/>
          <w:sz w:val="26"/>
          <w:szCs w:val="26"/>
        </w:rPr>
        <w:t xml:space="preserve">, con </w:t>
      </w:r>
      <w:r w:rsidR="00B22DA3">
        <w:rPr>
          <w:rFonts w:ascii="Arial" w:hAnsi="Arial" w:cs="Arial"/>
          <w:sz w:val="26"/>
          <w:szCs w:val="26"/>
        </w:rPr>
        <w:t>su</w:t>
      </w:r>
      <w:r w:rsidR="00A061D8">
        <w:rPr>
          <w:rFonts w:ascii="Arial" w:hAnsi="Arial" w:cs="Arial"/>
          <w:sz w:val="26"/>
          <w:szCs w:val="26"/>
        </w:rPr>
        <w:t xml:space="preserve"> radicado,</w:t>
      </w:r>
      <w:r w:rsidR="000229BA">
        <w:rPr>
          <w:rFonts w:ascii="Arial" w:hAnsi="Arial" w:cs="Arial"/>
          <w:sz w:val="26"/>
          <w:szCs w:val="26"/>
        </w:rPr>
        <w:t xml:space="preserve"> cuantas acciones populares tramita el despacho contra </w:t>
      </w:r>
      <w:r w:rsidR="000229BA" w:rsidRPr="00A061D8">
        <w:rPr>
          <w:rFonts w:ascii="Arial" w:hAnsi="Arial" w:cs="Arial"/>
          <w:szCs w:val="26"/>
        </w:rPr>
        <w:t>BA</w:t>
      </w:r>
      <w:r w:rsidR="00E94509">
        <w:rPr>
          <w:rFonts w:ascii="Arial" w:hAnsi="Arial" w:cs="Arial"/>
          <w:szCs w:val="26"/>
        </w:rPr>
        <w:t>N</w:t>
      </w:r>
      <w:r w:rsidR="000229BA" w:rsidRPr="00A061D8">
        <w:rPr>
          <w:rFonts w:ascii="Arial" w:hAnsi="Arial" w:cs="Arial"/>
          <w:szCs w:val="26"/>
        </w:rPr>
        <w:t>COLOMBIA</w:t>
      </w:r>
      <w:r w:rsidR="00B22DA3">
        <w:rPr>
          <w:rFonts w:ascii="Arial" w:hAnsi="Arial" w:cs="Arial"/>
          <w:szCs w:val="26"/>
        </w:rPr>
        <w:t>,</w:t>
      </w:r>
      <w:r w:rsidR="000229BA">
        <w:rPr>
          <w:rFonts w:ascii="Arial" w:hAnsi="Arial" w:cs="Arial"/>
          <w:sz w:val="26"/>
          <w:szCs w:val="26"/>
        </w:rPr>
        <w:t xml:space="preserve"> por orden</w:t>
      </w:r>
      <w:r w:rsidR="00E94509">
        <w:rPr>
          <w:rFonts w:ascii="Arial" w:hAnsi="Arial" w:cs="Arial"/>
          <w:sz w:val="26"/>
          <w:szCs w:val="26"/>
        </w:rPr>
        <w:t xml:space="preserve"> de</w:t>
      </w:r>
      <w:r w:rsidR="000229BA">
        <w:rPr>
          <w:rFonts w:ascii="Arial" w:hAnsi="Arial" w:cs="Arial"/>
          <w:sz w:val="26"/>
          <w:szCs w:val="26"/>
        </w:rPr>
        <w:t xml:space="preserve"> la Corte Suprema de Justicia</w:t>
      </w:r>
      <w:r w:rsidR="00B7004B">
        <w:rPr>
          <w:rFonts w:ascii="Arial" w:hAnsi="Arial" w:cs="Arial"/>
          <w:sz w:val="26"/>
          <w:szCs w:val="26"/>
        </w:rPr>
        <w:t>, aportando</w:t>
      </w:r>
      <w:r w:rsidR="00A061D8">
        <w:rPr>
          <w:rFonts w:ascii="Arial" w:hAnsi="Arial" w:cs="Arial"/>
          <w:sz w:val="26"/>
          <w:szCs w:val="26"/>
        </w:rPr>
        <w:t xml:space="preserve"> copia de los conflictos </w:t>
      </w:r>
      <w:r w:rsidR="00051BA6">
        <w:rPr>
          <w:rFonts w:ascii="Arial" w:hAnsi="Arial" w:cs="Arial"/>
          <w:sz w:val="26"/>
          <w:szCs w:val="26"/>
        </w:rPr>
        <w:t>de competencia que referenci</w:t>
      </w:r>
      <w:r w:rsidR="00A061D8">
        <w:rPr>
          <w:rFonts w:ascii="Arial" w:hAnsi="Arial" w:cs="Arial"/>
          <w:sz w:val="26"/>
          <w:szCs w:val="26"/>
        </w:rPr>
        <w:t>ó</w:t>
      </w:r>
      <w:r w:rsidR="00B22DA3">
        <w:rPr>
          <w:rFonts w:ascii="Arial" w:hAnsi="Arial" w:cs="Arial"/>
          <w:sz w:val="26"/>
          <w:szCs w:val="26"/>
        </w:rPr>
        <w:t xml:space="preserve">, </w:t>
      </w:r>
      <w:r w:rsidR="008A58CB">
        <w:rPr>
          <w:rFonts w:ascii="Arial" w:hAnsi="Arial" w:cs="Arial"/>
          <w:sz w:val="26"/>
          <w:szCs w:val="26"/>
        </w:rPr>
        <w:t>y</w:t>
      </w:r>
      <w:r w:rsidR="00B7004B">
        <w:rPr>
          <w:rFonts w:ascii="Arial" w:hAnsi="Arial" w:cs="Arial"/>
          <w:sz w:val="26"/>
          <w:szCs w:val="26"/>
        </w:rPr>
        <w:t xml:space="preserve"> </w:t>
      </w:r>
      <w:r w:rsidR="00B22DA3">
        <w:rPr>
          <w:rFonts w:ascii="Arial" w:hAnsi="Arial" w:cs="Arial"/>
          <w:sz w:val="26"/>
          <w:szCs w:val="26"/>
        </w:rPr>
        <w:t>el número de tutelas que se han impetrado desde el año 2015, con motivo de sus decisiones en acciones populares</w:t>
      </w:r>
      <w:r w:rsidR="00051BA6">
        <w:rPr>
          <w:rFonts w:ascii="Arial" w:hAnsi="Arial" w:cs="Arial"/>
          <w:sz w:val="26"/>
          <w:szCs w:val="26"/>
        </w:rPr>
        <w:t>; y, (iii) ordenar al Procurado</w:t>
      </w:r>
      <w:r w:rsidR="00E94509">
        <w:rPr>
          <w:rFonts w:ascii="Arial" w:hAnsi="Arial" w:cs="Arial"/>
          <w:sz w:val="26"/>
          <w:szCs w:val="26"/>
        </w:rPr>
        <w:t>r</w:t>
      </w:r>
      <w:r w:rsidR="00051BA6">
        <w:rPr>
          <w:rFonts w:ascii="Arial" w:hAnsi="Arial" w:cs="Arial"/>
          <w:sz w:val="26"/>
          <w:szCs w:val="26"/>
        </w:rPr>
        <w:t xml:space="preserve"> Judicial que se pronuncie</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0246" w:rsidRPr="009C2885" w:rsidRDefault="004B0246" w:rsidP="004B0246">
      <w:pPr>
        <w:pStyle w:val="Sinespaciado1"/>
        <w:spacing w:line="360" w:lineRule="auto"/>
        <w:ind w:firstLine="2832"/>
        <w:jc w:val="both"/>
        <w:rPr>
          <w:rFonts w:ascii="Arial" w:hAnsi="Arial" w:cs="Arial"/>
          <w:sz w:val="26"/>
          <w:szCs w:val="26"/>
          <w:lang w:val="es-ES"/>
        </w:rPr>
      </w:pPr>
      <w:r w:rsidRPr="009C2885">
        <w:rPr>
          <w:rFonts w:ascii="Arial" w:hAnsi="Arial" w:cs="Arial"/>
          <w:sz w:val="26"/>
          <w:szCs w:val="26"/>
          <w:lang w:val="es-ES"/>
        </w:rPr>
        <w:t>4.1. La Alcaldía de Pereira, por intermedio de apoderada judicial, invoca como excepciones la falta de legitimación en la causa por pasiva y el principio de autonomía judicial. Pidió no tutelar las pretensiones de la parte accionante y su desvinculación. (fls. 1</w:t>
      </w:r>
      <w:r>
        <w:rPr>
          <w:rFonts w:ascii="Arial" w:hAnsi="Arial" w:cs="Arial"/>
          <w:sz w:val="26"/>
          <w:szCs w:val="26"/>
          <w:lang w:val="es-ES"/>
        </w:rPr>
        <w:t>0</w:t>
      </w:r>
      <w:r w:rsidRPr="009C2885">
        <w:rPr>
          <w:rFonts w:ascii="Arial" w:hAnsi="Arial" w:cs="Arial"/>
          <w:sz w:val="26"/>
          <w:szCs w:val="26"/>
          <w:lang w:val="es-ES"/>
        </w:rPr>
        <w:t>-1</w:t>
      </w:r>
      <w:r>
        <w:rPr>
          <w:rFonts w:ascii="Arial" w:hAnsi="Arial" w:cs="Arial"/>
          <w:sz w:val="26"/>
          <w:szCs w:val="26"/>
          <w:lang w:val="es-ES"/>
        </w:rPr>
        <w:t>1</w:t>
      </w:r>
      <w:r w:rsidRPr="009C2885">
        <w:rPr>
          <w:rFonts w:ascii="Arial" w:hAnsi="Arial" w:cs="Arial"/>
          <w:sz w:val="26"/>
          <w:szCs w:val="26"/>
          <w:lang w:val="es-ES"/>
        </w:rPr>
        <w:t>).</w:t>
      </w:r>
    </w:p>
    <w:p w:rsidR="004B0246" w:rsidRPr="00B22DA3" w:rsidRDefault="004B0246" w:rsidP="004B0246">
      <w:pPr>
        <w:pStyle w:val="Sinespaciado1"/>
        <w:spacing w:line="360" w:lineRule="auto"/>
        <w:ind w:firstLine="2832"/>
        <w:jc w:val="both"/>
        <w:rPr>
          <w:rFonts w:ascii="Arial" w:hAnsi="Arial" w:cs="Arial"/>
          <w:sz w:val="16"/>
          <w:szCs w:val="16"/>
          <w:lang w:val="es-ES"/>
        </w:rPr>
      </w:pPr>
    </w:p>
    <w:p w:rsidR="000E3CFC" w:rsidRPr="00185EFF" w:rsidRDefault="004B0246" w:rsidP="004B0246">
      <w:pPr>
        <w:pStyle w:val="Sinespaciado1"/>
        <w:spacing w:line="360" w:lineRule="auto"/>
        <w:ind w:firstLine="2832"/>
        <w:jc w:val="both"/>
        <w:rPr>
          <w:rFonts w:ascii="Arial" w:hAnsi="Arial" w:cs="Arial"/>
          <w:sz w:val="28"/>
          <w:szCs w:val="28"/>
          <w:lang w:val="es-ES"/>
        </w:rPr>
      </w:pPr>
      <w:r w:rsidRPr="009C2885">
        <w:rPr>
          <w:rFonts w:ascii="Arial" w:hAnsi="Arial" w:cs="Arial"/>
          <w:sz w:val="26"/>
          <w:szCs w:val="26"/>
          <w:lang w:val="es-ES"/>
        </w:rPr>
        <w:t>4.2. La Procuraduría Regional de Risaralda señaló</w:t>
      </w:r>
      <w:r w:rsidR="000E3CFC">
        <w:rPr>
          <w:rFonts w:ascii="Arial" w:hAnsi="Arial" w:cs="Arial"/>
          <w:sz w:val="26"/>
          <w:szCs w:val="26"/>
          <w:lang w:val="es-ES"/>
        </w:rPr>
        <w:t xml:space="preserve">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11181A">
        <w:rPr>
          <w:rFonts w:ascii="Arial" w:hAnsi="Arial" w:cs="Arial"/>
          <w:szCs w:val="24"/>
          <w:lang w:val="es-ES" w:eastAsia="es-ES"/>
        </w:rPr>
        <w:t>BECERRA LARGO</w:t>
      </w:r>
      <w:r w:rsidR="0011181A">
        <w:rPr>
          <w:rFonts w:ascii="Arial" w:hAnsi="Arial" w:cs="Arial"/>
          <w:sz w:val="26"/>
          <w:szCs w:val="26"/>
          <w:lang w:val="es-ES"/>
        </w:rPr>
        <w:t xml:space="preserve"> </w:t>
      </w:r>
      <w:r w:rsidR="000E3CFC">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0E3CFC" w:rsidRPr="000905F6">
        <w:rPr>
          <w:rFonts w:ascii="Arial" w:hAnsi="Arial" w:cs="Arial"/>
          <w:sz w:val="26"/>
          <w:szCs w:val="26"/>
          <w:lang w:val="es-ES"/>
        </w:rPr>
        <w:t>.</w:t>
      </w:r>
      <w:r w:rsidR="000E3CFC"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19</w:t>
      </w:r>
      <w:r w:rsidR="000E3CFC"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4B0246" w:rsidRPr="00185EFF" w:rsidRDefault="004B0246" w:rsidP="00B22DA3">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B22DA3">
        <w:rPr>
          <w:rFonts w:ascii="Arial" w:hAnsi="Arial" w:cs="Arial"/>
          <w:sz w:val="26"/>
          <w:szCs w:val="26"/>
          <w:lang w:val="es-ES"/>
        </w:rPr>
        <w:t xml:space="preserve">El </w:t>
      </w:r>
      <w:r w:rsidR="00B22DA3">
        <w:rPr>
          <w:rFonts w:ascii="Arial" w:hAnsi="Arial" w:cs="Arial"/>
          <w:sz w:val="26"/>
          <w:szCs w:val="26"/>
          <w:lang w:val="es-ES" w:eastAsia="es-ES"/>
        </w:rPr>
        <w:t xml:space="preserve">doctor </w:t>
      </w:r>
      <w:r w:rsidR="00B22DA3">
        <w:rPr>
          <w:rFonts w:ascii="Arial" w:hAnsi="Arial" w:cs="Arial"/>
          <w:szCs w:val="26"/>
          <w:lang w:val="es-ES" w:eastAsia="es-ES"/>
        </w:rPr>
        <w:t>OSCAR JAVIER TÉLLEZ LIZARAZO</w:t>
      </w:r>
      <w:r w:rsidR="00B22DA3">
        <w:rPr>
          <w:rFonts w:ascii="Arial" w:hAnsi="Arial" w:cs="Arial"/>
          <w:sz w:val="26"/>
          <w:szCs w:val="26"/>
          <w:lang w:val="es-ES" w:eastAsia="es-ES"/>
        </w:rPr>
        <w:t>, Procurador 12 Judicial II Para Asuntos Civiles</w:t>
      </w:r>
      <w:r w:rsidR="00B22DA3">
        <w:rPr>
          <w:rFonts w:ascii="Arial" w:hAnsi="Arial" w:cs="Arial"/>
          <w:sz w:val="26"/>
          <w:szCs w:val="26"/>
          <w:lang w:val="es-ES"/>
        </w:rPr>
        <w:t>, solicitó negar el amparo</w:t>
      </w:r>
      <w:r w:rsidR="00B22DA3" w:rsidRPr="00485864">
        <w:rPr>
          <w:rFonts w:ascii="Arial" w:hAnsi="Arial" w:cs="Arial"/>
          <w:sz w:val="26"/>
          <w:szCs w:val="26"/>
          <w:lang w:val="es-ES"/>
        </w:rPr>
        <w:t xml:space="preserve"> </w:t>
      </w:r>
      <w:r w:rsidR="00B22DA3" w:rsidRPr="00B22DA3">
        <w:rPr>
          <w:rFonts w:ascii="Arial" w:hAnsi="Arial" w:cs="Arial"/>
          <w:sz w:val="26"/>
          <w:szCs w:val="26"/>
          <w:lang w:val="es-ES"/>
        </w:rPr>
        <w:t>toda vez que independiente del acierto</w:t>
      </w:r>
      <w:r w:rsidR="00B22DA3">
        <w:rPr>
          <w:rFonts w:ascii="Arial" w:hAnsi="Arial" w:cs="Arial"/>
          <w:sz w:val="26"/>
          <w:szCs w:val="26"/>
          <w:lang w:val="es-ES"/>
        </w:rPr>
        <w:t xml:space="preserve"> </w:t>
      </w:r>
      <w:r w:rsidR="00B22DA3" w:rsidRPr="00B22DA3">
        <w:rPr>
          <w:rFonts w:ascii="Arial" w:hAnsi="Arial" w:cs="Arial"/>
          <w:sz w:val="26"/>
          <w:szCs w:val="26"/>
          <w:lang w:val="es-ES"/>
        </w:rPr>
        <w:t>o</w:t>
      </w:r>
      <w:r w:rsidR="00B22DA3" w:rsidRPr="00B22DA3">
        <w:rPr>
          <w:rFonts w:ascii="Arial" w:hAnsi="Arial" w:cs="Arial"/>
          <w:sz w:val="26"/>
          <w:szCs w:val="26"/>
          <w:lang w:val="es-ES"/>
        </w:rPr>
        <w:tab/>
        <w:t xml:space="preserve">no de la determinación adoptada por el </w:t>
      </w:r>
      <w:r w:rsidR="008A58CB">
        <w:rPr>
          <w:rFonts w:ascii="Arial" w:hAnsi="Arial" w:cs="Arial"/>
          <w:sz w:val="26"/>
          <w:szCs w:val="26"/>
          <w:lang w:val="es-ES"/>
        </w:rPr>
        <w:t>despacho accionado</w:t>
      </w:r>
      <w:r w:rsidR="00B22DA3" w:rsidRPr="00B22DA3">
        <w:rPr>
          <w:rFonts w:ascii="Arial" w:hAnsi="Arial" w:cs="Arial"/>
          <w:sz w:val="26"/>
          <w:szCs w:val="26"/>
          <w:lang w:val="es-ES"/>
        </w:rPr>
        <w:t xml:space="preserve">, la misma pudo ser combatida por el actor popular </w:t>
      </w:r>
      <w:r w:rsidR="00B22DA3">
        <w:rPr>
          <w:rFonts w:ascii="Arial" w:hAnsi="Arial" w:cs="Arial"/>
          <w:sz w:val="26"/>
          <w:szCs w:val="26"/>
          <w:lang w:val="es-ES"/>
        </w:rPr>
        <w:t>interponiendo</w:t>
      </w:r>
      <w:r w:rsidR="00B22DA3" w:rsidRPr="00B22DA3">
        <w:rPr>
          <w:rFonts w:ascii="Arial" w:hAnsi="Arial" w:cs="Arial"/>
          <w:sz w:val="26"/>
          <w:szCs w:val="26"/>
          <w:lang w:val="es-ES"/>
        </w:rPr>
        <w:t xml:space="preserve"> recurso de reposición y así no procedió, tal omisión no puede ser subsanada con la </w:t>
      </w:r>
      <w:r w:rsidR="00AE38FB">
        <w:rPr>
          <w:rFonts w:ascii="Arial" w:hAnsi="Arial" w:cs="Arial"/>
          <w:sz w:val="26"/>
          <w:szCs w:val="26"/>
          <w:lang w:val="es-ES"/>
        </w:rPr>
        <w:t>formulac</w:t>
      </w:r>
      <w:r w:rsidR="00B22DA3" w:rsidRPr="00B22DA3">
        <w:rPr>
          <w:rFonts w:ascii="Arial" w:hAnsi="Arial" w:cs="Arial"/>
          <w:sz w:val="26"/>
          <w:szCs w:val="26"/>
          <w:lang w:val="es-ES"/>
        </w:rPr>
        <w:t>ión de la presente acción de tutela, en atención a</w:t>
      </w:r>
      <w:r w:rsidR="008A58CB">
        <w:rPr>
          <w:rFonts w:ascii="Arial" w:hAnsi="Arial" w:cs="Arial"/>
          <w:sz w:val="26"/>
          <w:szCs w:val="26"/>
          <w:lang w:val="es-ES"/>
        </w:rPr>
        <w:t xml:space="preserve"> su</w:t>
      </w:r>
      <w:r w:rsidR="00B22DA3" w:rsidRPr="00B22DA3">
        <w:rPr>
          <w:rFonts w:ascii="Arial" w:hAnsi="Arial" w:cs="Arial"/>
          <w:sz w:val="26"/>
          <w:szCs w:val="26"/>
          <w:lang w:val="es-ES"/>
        </w:rPr>
        <w:t xml:space="preserve"> carácter eminentemente subsidiario</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fls. </w:t>
      </w:r>
      <w:r w:rsidR="007353A8">
        <w:rPr>
          <w:rFonts w:ascii="Arial" w:hAnsi="Arial" w:cs="Arial"/>
          <w:sz w:val="24"/>
          <w:szCs w:val="24"/>
          <w:lang w:val="es-ES"/>
        </w:rPr>
        <w:t>22</w:t>
      </w:r>
      <w:r>
        <w:rPr>
          <w:rFonts w:ascii="Arial" w:hAnsi="Arial" w:cs="Arial"/>
          <w:sz w:val="24"/>
          <w:szCs w:val="24"/>
          <w:lang w:val="es-ES"/>
        </w:rPr>
        <w:t>-</w:t>
      </w:r>
      <w:r w:rsidR="007353A8">
        <w:rPr>
          <w:rFonts w:ascii="Arial" w:hAnsi="Arial" w:cs="Arial"/>
          <w:sz w:val="24"/>
          <w:szCs w:val="24"/>
          <w:lang w:val="es-ES"/>
        </w:rPr>
        <w:t>23</w:t>
      </w:r>
      <w:r w:rsidRPr="000905F6">
        <w:rPr>
          <w:rFonts w:ascii="Arial" w:hAnsi="Arial" w:cs="Arial"/>
          <w:sz w:val="28"/>
          <w:szCs w:val="28"/>
          <w:lang w:val="es-ES"/>
        </w:rPr>
        <w:t>).</w:t>
      </w:r>
    </w:p>
    <w:p w:rsidR="004B0246" w:rsidRPr="00B8748D" w:rsidRDefault="004B0246" w:rsidP="004B0246">
      <w:pPr>
        <w:pStyle w:val="Sinespaciado1"/>
        <w:spacing w:line="360" w:lineRule="auto"/>
        <w:ind w:firstLine="2832"/>
        <w:jc w:val="both"/>
        <w:rPr>
          <w:rFonts w:ascii="Arial" w:hAnsi="Arial" w:cs="Arial"/>
          <w:sz w:val="16"/>
          <w:szCs w:val="16"/>
          <w:lang w:val="es-ES"/>
        </w:rPr>
      </w:pPr>
    </w:p>
    <w:p w:rsidR="00AE243A" w:rsidRPr="000905F6" w:rsidRDefault="004B0246"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C39A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E27009">
        <w:rPr>
          <w:rFonts w:ascii="Arial" w:hAnsi="Arial" w:cs="Arial"/>
          <w:sz w:val="26"/>
          <w:szCs w:val="26"/>
        </w:rPr>
        <w:t>os</w:t>
      </w:r>
      <w:r w:rsidR="006A68C7">
        <w:rPr>
          <w:rFonts w:ascii="Arial" w:hAnsi="Arial" w:cs="Arial"/>
          <w:sz w:val="26"/>
          <w:szCs w:val="26"/>
        </w:rPr>
        <w:t xml:space="preserve"> </w:t>
      </w:r>
      <w:r w:rsidR="006A68C7" w:rsidRPr="007646B9">
        <w:rPr>
          <w:rFonts w:ascii="Arial" w:hAnsi="Arial" w:cs="Arial"/>
          <w:sz w:val="26"/>
          <w:szCs w:val="26"/>
        </w:rPr>
        <w:t>derecho</w:t>
      </w:r>
      <w:r w:rsidR="00E27009">
        <w:rPr>
          <w:rFonts w:ascii="Arial" w:hAnsi="Arial" w:cs="Arial"/>
          <w:sz w:val="26"/>
          <w:szCs w:val="26"/>
        </w:rPr>
        <w:t>s</w:t>
      </w:r>
      <w:r w:rsidR="006A68C7" w:rsidRPr="007646B9">
        <w:rPr>
          <w:rFonts w:ascii="Arial" w:hAnsi="Arial" w:cs="Arial"/>
          <w:sz w:val="26"/>
          <w:szCs w:val="26"/>
        </w:rPr>
        <w:t xml:space="preserve"> fundamental</w:t>
      </w:r>
      <w:r w:rsidR="00E27009">
        <w:rPr>
          <w:rFonts w:ascii="Arial" w:hAnsi="Arial" w:cs="Arial"/>
          <w:sz w:val="26"/>
          <w:szCs w:val="26"/>
        </w:rPr>
        <w:t>es</w:t>
      </w:r>
      <w:r w:rsidR="006A68C7" w:rsidRPr="007646B9">
        <w:rPr>
          <w:rFonts w:ascii="Arial" w:hAnsi="Arial" w:cs="Arial"/>
          <w:sz w:val="26"/>
          <w:szCs w:val="26"/>
        </w:rPr>
        <w:t xml:space="preserve"> </w:t>
      </w:r>
      <w:r w:rsidR="006A68C7">
        <w:rPr>
          <w:rFonts w:ascii="Arial" w:hAnsi="Arial" w:cs="Arial"/>
          <w:sz w:val="26"/>
          <w:szCs w:val="26"/>
        </w:rPr>
        <w:t>del actor</w:t>
      </w:r>
      <w:r w:rsidR="00C63060">
        <w:rPr>
          <w:rFonts w:ascii="Arial" w:hAnsi="Arial" w:cs="Arial"/>
          <w:sz w:val="26"/>
          <w:szCs w:val="26"/>
        </w:rPr>
        <w:t>, dentro del trámite de la acción popular</w:t>
      </w:r>
      <w:r w:rsidR="00C63060" w:rsidRPr="000905F6">
        <w:rPr>
          <w:rFonts w:ascii="Arial" w:hAnsi="Arial" w:cs="Arial"/>
          <w:sz w:val="26"/>
          <w:szCs w:val="26"/>
        </w:rPr>
        <w:t xml:space="preserve"> radicada bajo </w:t>
      </w:r>
      <w:r w:rsidR="00C63060">
        <w:rPr>
          <w:rFonts w:ascii="Arial" w:hAnsi="Arial" w:cs="Arial"/>
          <w:sz w:val="26"/>
          <w:szCs w:val="26"/>
        </w:rPr>
        <w:t xml:space="preserve">el número </w:t>
      </w:r>
      <w:r w:rsidR="00C63060" w:rsidRPr="00C37D0B">
        <w:rPr>
          <w:rFonts w:ascii="Arial" w:hAnsi="Arial" w:cs="Arial"/>
          <w:b/>
          <w:sz w:val="24"/>
          <w:szCs w:val="26"/>
        </w:rPr>
        <w:t>2018-00</w:t>
      </w:r>
      <w:r w:rsidR="00C63060">
        <w:rPr>
          <w:rFonts w:ascii="Arial" w:hAnsi="Arial" w:cs="Arial"/>
          <w:b/>
          <w:sz w:val="24"/>
          <w:szCs w:val="26"/>
        </w:rPr>
        <w:t>1</w:t>
      </w:r>
      <w:r w:rsidR="001C673C">
        <w:rPr>
          <w:rFonts w:ascii="Arial" w:hAnsi="Arial" w:cs="Arial"/>
          <w:b/>
          <w:sz w:val="24"/>
          <w:szCs w:val="26"/>
        </w:rPr>
        <w:t>36</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C63060">
        <w:rPr>
          <w:rFonts w:ascii="Arial" w:hAnsi="Arial" w:cs="Arial"/>
          <w:sz w:val="26"/>
          <w:szCs w:val="26"/>
        </w:rPr>
        <w:t>7</w:t>
      </w:r>
      <w:r w:rsidR="007D5894" w:rsidRPr="00A64EFC">
        <w:rPr>
          <w:rFonts w:ascii="Arial" w:hAnsi="Arial" w:cs="Arial"/>
          <w:sz w:val="26"/>
          <w:szCs w:val="26"/>
        </w:rPr>
        <w:t xml:space="preserve"> al </w:t>
      </w:r>
      <w:r w:rsidR="00C63060">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C63060">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63060">
        <w:rPr>
          <w:rFonts w:ascii="Arial" w:hAnsi="Arial" w:cs="Arial"/>
          <w:sz w:val="26"/>
          <w:szCs w:val="26"/>
        </w:rPr>
        <w:t>24</w:t>
      </w:r>
      <w:r w:rsidR="000C3964">
        <w:rPr>
          <w:rFonts w:ascii="Arial" w:hAnsi="Arial" w:cs="Arial"/>
          <w:sz w:val="26"/>
          <w:szCs w:val="26"/>
        </w:rPr>
        <w:t xml:space="preserve"> de </w:t>
      </w:r>
      <w:r w:rsidR="00C63060">
        <w:rPr>
          <w:rFonts w:ascii="Arial" w:hAnsi="Arial" w:cs="Arial"/>
          <w:sz w:val="26"/>
          <w:szCs w:val="26"/>
        </w:rPr>
        <w:t>mayo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w:t>
      </w:r>
      <w:r w:rsidR="00FB50E7">
        <w:rPr>
          <w:rFonts w:ascii="Arial" w:hAnsi="Arial" w:cs="Arial"/>
          <w:sz w:val="26"/>
          <w:szCs w:val="26"/>
        </w:rPr>
        <w:t xml:space="preserve"> entidad demandada</w:t>
      </w:r>
      <w:r w:rsidR="000C3964" w:rsidRPr="00E475F4">
        <w:rPr>
          <w:rFonts w:ascii="Arial" w:hAnsi="Arial" w:cs="Arial"/>
          <w:sz w:val="26"/>
          <w:szCs w:val="26"/>
        </w:rPr>
        <w:t xml:space="preserve"> que </w:t>
      </w:r>
      <w:r w:rsidR="00FB50E7">
        <w:rPr>
          <w:rFonts w:ascii="Arial" w:hAnsi="Arial" w:cs="Arial"/>
          <w:sz w:val="26"/>
          <w:szCs w:val="26"/>
        </w:rPr>
        <w:t>su</w:t>
      </w:r>
      <w:r w:rsidR="000C3964" w:rsidRPr="00E475F4">
        <w:rPr>
          <w:rFonts w:ascii="Arial" w:hAnsi="Arial" w:cs="Arial"/>
          <w:sz w:val="26"/>
          <w:szCs w:val="26"/>
        </w:rPr>
        <w:t xml:space="preserve"> domicilio principal se encuentra e</w:t>
      </w:r>
      <w:r w:rsidR="000D26FF">
        <w:rPr>
          <w:rFonts w:ascii="Arial" w:hAnsi="Arial" w:cs="Arial"/>
          <w:sz w:val="26"/>
          <w:szCs w:val="26"/>
        </w:rPr>
        <w:t xml:space="preserve">n </w:t>
      </w:r>
      <w:r w:rsidR="00FB50E7">
        <w:rPr>
          <w:rFonts w:ascii="Arial" w:hAnsi="Arial" w:cs="Arial"/>
          <w:sz w:val="26"/>
          <w:szCs w:val="26"/>
        </w:rPr>
        <w:t xml:space="preserve">Medellín </w:t>
      </w:r>
      <w:r w:rsidR="002A4761">
        <w:rPr>
          <w:rFonts w:ascii="Arial" w:hAnsi="Arial" w:cs="Arial"/>
          <w:sz w:val="26"/>
          <w:szCs w:val="26"/>
        </w:rPr>
        <w:t>y la vulneración</w:t>
      </w:r>
      <w:r w:rsidR="000D26FF">
        <w:rPr>
          <w:rFonts w:ascii="Arial" w:hAnsi="Arial" w:cs="Arial"/>
          <w:sz w:val="26"/>
          <w:szCs w:val="26"/>
        </w:rPr>
        <w:t xml:space="preserve"> </w:t>
      </w:r>
      <w:r w:rsidR="002A4761">
        <w:rPr>
          <w:rFonts w:ascii="Arial" w:hAnsi="Arial" w:cs="Arial"/>
          <w:sz w:val="26"/>
          <w:szCs w:val="26"/>
        </w:rPr>
        <w:t xml:space="preserve">se da </w:t>
      </w:r>
      <w:r w:rsidR="000D26FF">
        <w:rPr>
          <w:rFonts w:ascii="Arial" w:hAnsi="Arial" w:cs="Arial"/>
          <w:sz w:val="26"/>
          <w:szCs w:val="26"/>
        </w:rPr>
        <w:t xml:space="preserve">en </w:t>
      </w:r>
      <w:r w:rsidR="008A58CB">
        <w:rPr>
          <w:rFonts w:ascii="Arial" w:hAnsi="Arial" w:cs="Arial"/>
          <w:sz w:val="26"/>
          <w:szCs w:val="26"/>
        </w:rPr>
        <w:t>esa mism</w:t>
      </w:r>
      <w:r w:rsidR="000D26FF">
        <w:rPr>
          <w:rFonts w:ascii="Arial" w:hAnsi="Arial" w:cs="Arial"/>
          <w:sz w:val="26"/>
          <w:szCs w:val="26"/>
        </w:rPr>
        <w:t>a</w:t>
      </w:r>
      <w:r w:rsidR="00E3691E">
        <w:rPr>
          <w:rFonts w:ascii="Arial" w:hAnsi="Arial" w:cs="Arial"/>
          <w:sz w:val="26"/>
          <w:szCs w:val="26"/>
        </w:rPr>
        <w:t xml:space="preserve"> </w:t>
      </w:r>
      <w:r w:rsidR="000C3964" w:rsidRPr="00E475F4">
        <w:rPr>
          <w:rFonts w:ascii="Arial" w:hAnsi="Arial" w:cs="Arial"/>
          <w:sz w:val="26"/>
          <w:szCs w:val="26"/>
        </w:rPr>
        <w:t>ciudad.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FB50E7">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FB50E7">
        <w:rPr>
          <w:rFonts w:ascii="Arial" w:hAnsi="Arial" w:cs="Arial"/>
          <w:sz w:val="26"/>
          <w:szCs w:val="26"/>
          <w:lang w:val="es-CO"/>
        </w:rPr>
        <w:t xml:space="preserve">25 </w:t>
      </w:r>
      <w:r w:rsidR="009613B4">
        <w:rPr>
          <w:rFonts w:ascii="Arial" w:hAnsi="Arial" w:cs="Arial"/>
          <w:sz w:val="26"/>
          <w:szCs w:val="26"/>
          <w:lang w:val="es-CO"/>
        </w:rPr>
        <w:t xml:space="preserve">de </w:t>
      </w:r>
      <w:r w:rsidR="00FB50E7">
        <w:rPr>
          <w:rFonts w:ascii="Arial" w:hAnsi="Arial" w:cs="Arial"/>
          <w:sz w:val="26"/>
          <w:szCs w:val="26"/>
          <w:lang w:val="es-CO"/>
        </w:rPr>
        <w:t>mayo</w:t>
      </w:r>
      <w:r w:rsidR="009613B4">
        <w:rPr>
          <w:rFonts w:ascii="Arial" w:hAnsi="Arial" w:cs="Arial"/>
          <w:sz w:val="26"/>
          <w:szCs w:val="26"/>
          <w:lang w:val="es-CO"/>
        </w:rPr>
        <w:t xml:space="preserve"> siguiente. </w:t>
      </w:r>
      <w:r w:rsidR="00FB50E7">
        <w:rPr>
          <w:rFonts w:ascii="Arial" w:hAnsi="Arial" w:cs="Arial"/>
          <w:sz w:val="26"/>
          <w:szCs w:val="26"/>
        </w:rPr>
        <w:t>(fl</w:t>
      </w:r>
      <w:r w:rsidR="000C3964">
        <w:rPr>
          <w:rFonts w:ascii="Arial" w:hAnsi="Arial" w:cs="Arial"/>
          <w:sz w:val="26"/>
          <w:szCs w:val="26"/>
        </w:rPr>
        <w:t xml:space="preserve">. </w:t>
      </w:r>
      <w:r w:rsidR="00FB50E7">
        <w:rPr>
          <w:rFonts w:ascii="Arial" w:hAnsi="Arial" w:cs="Arial"/>
          <w:sz w:val="26"/>
          <w:szCs w:val="26"/>
        </w:rPr>
        <w:t>9</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 </w:t>
      </w:r>
      <w:r w:rsidR="00FB50E7">
        <w:rPr>
          <w:rFonts w:ascii="Arial" w:hAnsi="Arial" w:cs="Arial"/>
          <w:sz w:val="26"/>
          <w:szCs w:val="26"/>
        </w:rPr>
        <w:t>El 25</w:t>
      </w:r>
      <w:r w:rsidRPr="000C5F30">
        <w:rPr>
          <w:rFonts w:ascii="Arial" w:hAnsi="Arial" w:cs="Arial"/>
          <w:sz w:val="26"/>
          <w:szCs w:val="26"/>
        </w:rPr>
        <w:t xml:space="preserve"> de</w:t>
      </w:r>
      <w:r>
        <w:rPr>
          <w:rFonts w:ascii="Arial" w:hAnsi="Arial" w:cs="Arial"/>
          <w:sz w:val="26"/>
          <w:szCs w:val="26"/>
        </w:rPr>
        <w:t xml:space="preserve"> </w:t>
      </w:r>
      <w:r w:rsidR="00FB50E7">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 xml:space="preserve">formuló la acción de tutela. (fl. </w:t>
      </w:r>
      <w:r w:rsidR="00FB50E7">
        <w:rPr>
          <w:rFonts w:ascii="Arial" w:hAnsi="Arial" w:cs="Arial"/>
          <w:sz w:val="26"/>
          <w:szCs w:val="26"/>
        </w:rPr>
        <w:t>1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9D418C">
        <w:rPr>
          <w:rFonts w:ascii="Arial" w:hAnsi="Arial" w:cs="Arial"/>
          <w:sz w:val="26"/>
          <w:szCs w:val="26"/>
          <w:lang w:val="es-CO"/>
        </w:rPr>
        <w:t xml:space="preserve">fue interpuesta el </w:t>
      </w:r>
      <w:r w:rsidR="00E94509">
        <w:rPr>
          <w:rFonts w:ascii="Arial" w:hAnsi="Arial" w:cs="Arial"/>
          <w:sz w:val="26"/>
          <w:szCs w:val="26"/>
          <w:lang w:val="es-CO"/>
        </w:rPr>
        <w:t>25</w:t>
      </w:r>
      <w:r w:rsidR="009D418C">
        <w:rPr>
          <w:rFonts w:ascii="Arial" w:hAnsi="Arial" w:cs="Arial"/>
          <w:sz w:val="26"/>
          <w:szCs w:val="26"/>
          <w:lang w:val="es-CO"/>
        </w:rPr>
        <w:t xml:space="preserve"> de </w:t>
      </w:r>
      <w:r w:rsidR="00E94509">
        <w:rPr>
          <w:rFonts w:ascii="Arial" w:hAnsi="Arial" w:cs="Arial"/>
          <w:sz w:val="26"/>
          <w:szCs w:val="26"/>
          <w:lang w:val="es-CO"/>
        </w:rPr>
        <w:t>mayo</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 xml:space="preserve">del auto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E94509">
        <w:rPr>
          <w:rFonts w:ascii="Arial" w:hAnsi="Arial" w:cs="Arial"/>
          <w:sz w:val="26"/>
          <w:szCs w:val="26"/>
        </w:rPr>
        <w:t>24</w:t>
      </w:r>
      <w:r w:rsidR="009D418C">
        <w:rPr>
          <w:rFonts w:ascii="Arial" w:hAnsi="Arial" w:cs="Arial"/>
          <w:sz w:val="26"/>
          <w:szCs w:val="26"/>
        </w:rPr>
        <w:t xml:space="preserve"> de </w:t>
      </w:r>
      <w:r w:rsidR="00E94509">
        <w:rPr>
          <w:rFonts w:ascii="Arial" w:hAnsi="Arial" w:cs="Arial"/>
          <w:sz w:val="26"/>
          <w:szCs w:val="26"/>
        </w:rPr>
        <w:t>mayo</w:t>
      </w:r>
      <w:r w:rsidR="009D418C">
        <w:rPr>
          <w:rFonts w:ascii="Arial" w:hAnsi="Arial" w:cs="Arial"/>
          <w:sz w:val="26"/>
          <w:szCs w:val="26"/>
        </w:rPr>
        <w:t>,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633E9E">
        <w:rPr>
          <w:rFonts w:ascii="Arial" w:hAnsi="Arial" w:cs="Arial"/>
          <w:sz w:val="26"/>
          <w:szCs w:val="26"/>
        </w:rPr>
        <w:t xml:space="preserve"> proveído</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 xml:space="preserve">o Civil del Circuito de </w:t>
      </w:r>
      <w:r w:rsidR="00E94509">
        <w:rPr>
          <w:rFonts w:ascii="Arial" w:hAnsi="Arial" w:cs="Arial"/>
          <w:sz w:val="26"/>
          <w:szCs w:val="26"/>
        </w:rPr>
        <w:t xml:space="preserve">Medellín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E94509" w:rsidRPr="00E94509" w:rsidRDefault="00E94509"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w:t>
      </w:r>
      <w:r w:rsidR="000C3964" w:rsidRPr="00347507">
        <w:rPr>
          <w:rFonts w:ascii="Arial" w:hAnsi="Arial" w:cs="Arial"/>
          <w:sz w:val="26"/>
          <w:szCs w:val="26"/>
        </w:rPr>
        <w:lastRenderedPageBreak/>
        <w:t>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 improcedente la referida acción d</w:t>
      </w:r>
      <w:r w:rsidR="001C39A0">
        <w:rPr>
          <w:rFonts w:ascii="Arial" w:hAnsi="Arial" w:cs="Arial"/>
          <w:sz w:val="26"/>
          <w:szCs w:val="26"/>
        </w:rPr>
        <w:t>e tutela frente al Juzgado Tercer</w:t>
      </w:r>
      <w:r w:rsidR="000C3964">
        <w:rPr>
          <w:rFonts w:ascii="Arial" w:hAnsi="Arial" w:cs="Arial"/>
          <w:sz w:val="26"/>
          <w:szCs w:val="26"/>
        </w:rPr>
        <w: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w:t>
      </w:r>
      <w:r w:rsidR="00E94509">
        <w:rPr>
          <w:rFonts w:ascii="Arial" w:hAnsi="Arial" w:cs="Arial"/>
          <w:sz w:val="26"/>
          <w:szCs w:val="26"/>
        </w:rPr>
        <w:t xml:space="preserve">consigne, con número de radicado, cuantas acciones populares tramita contra </w:t>
      </w:r>
      <w:r w:rsidR="00E94509" w:rsidRPr="00A061D8">
        <w:rPr>
          <w:rFonts w:ascii="Arial" w:hAnsi="Arial" w:cs="Arial"/>
          <w:sz w:val="22"/>
          <w:szCs w:val="26"/>
        </w:rPr>
        <w:t>BA</w:t>
      </w:r>
      <w:r w:rsidR="00E94509">
        <w:rPr>
          <w:rFonts w:ascii="Arial" w:hAnsi="Arial" w:cs="Arial"/>
          <w:sz w:val="22"/>
          <w:szCs w:val="26"/>
        </w:rPr>
        <w:t>N</w:t>
      </w:r>
      <w:r w:rsidR="00E94509" w:rsidRPr="00A061D8">
        <w:rPr>
          <w:rFonts w:ascii="Arial" w:hAnsi="Arial" w:cs="Arial"/>
          <w:sz w:val="22"/>
          <w:szCs w:val="26"/>
        </w:rPr>
        <w:t>COLOMBIA</w:t>
      </w:r>
      <w:r w:rsidR="00E94509">
        <w:rPr>
          <w:rFonts w:ascii="Arial" w:hAnsi="Arial" w:cs="Arial"/>
          <w:sz w:val="26"/>
          <w:szCs w:val="26"/>
        </w:rPr>
        <w:t xml:space="preserve"> por orden de la Corte Suprema de Justicia y aportar copia de los conflictos de competencia que referenció</w:t>
      </w:r>
      <w:r w:rsidR="008A58CB">
        <w:rPr>
          <w:rFonts w:ascii="Arial" w:hAnsi="Arial" w:cs="Arial"/>
          <w:sz w:val="26"/>
          <w:szCs w:val="26"/>
        </w:rPr>
        <w:t>, y el número de tutelas que se han impetrado desde el año 2015, con motivo de sus decisiones en acciones populares</w:t>
      </w:r>
      <w:r w:rsidR="00E94509">
        <w:rPr>
          <w:rFonts w:ascii="Arial" w:hAnsi="Arial" w:cs="Arial"/>
          <w:sz w:val="26"/>
          <w:szCs w:val="26"/>
        </w:rPr>
        <w:t>; y, al Procurador Judicial que se pronuncie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E94509">
        <w:rPr>
          <w:rFonts w:ascii="Arial" w:hAnsi="Arial" w:cs="Arial"/>
          <w:sz w:val="26"/>
          <w:szCs w:val="26"/>
        </w:rPr>
        <w:t xml:space="preserve"> ante dichas autoridades</w:t>
      </w:r>
      <w:r>
        <w:rPr>
          <w:rFonts w:ascii="Arial" w:hAnsi="Arial" w:cs="Arial"/>
          <w:sz w:val="26"/>
          <w:szCs w:val="26"/>
        </w:rPr>
        <w:t>.</w:t>
      </w:r>
    </w:p>
    <w:p w:rsidR="00E27009" w:rsidRPr="00E27009" w:rsidRDefault="00E27009" w:rsidP="00020FD4">
      <w:pPr>
        <w:pStyle w:val="Sinespaciado2"/>
        <w:spacing w:line="360" w:lineRule="auto"/>
        <w:ind w:firstLine="2835"/>
        <w:jc w:val="both"/>
        <w:rPr>
          <w:rFonts w:ascii="Arial" w:hAnsi="Arial" w:cs="Arial"/>
          <w:sz w:val="16"/>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20FD4" w:rsidRDefault="00AE243A" w:rsidP="00AE243A">
      <w:pPr>
        <w:pStyle w:val="Sinespaciado1"/>
        <w:spacing w:line="360" w:lineRule="auto"/>
        <w:ind w:firstLine="2835"/>
        <w:jc w:val="both"/>
        <w:rPr>
          <w:rFonts w:ascii="Arial" w:hAnsi="Arial" w:cs="Arial"/>
          <w:bCs/>
          <w:sz w:val="16"/>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FF414E" w:rsidRDefault="00766F63" w:rsidP="00AE243A">
      <w:pPr>
        <w:pStyle w:val="Sinespaciado1"/>
        <w:spacing w:line="360" w:lineRule="auto"/>
        <w:ind w:firstLine="2835"/>
        <w:jc w:val="both"/>
        <w:rPr>
          <w:rFonts w:ascii="Arial" w:hAnsi="Arial" w:cs="Arial"/>
          <w:sz w:val="16"/>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20FD4" w:rsidRDefault="00AE243A" w:rsidP="00AE243A">
      <w:pPr>
        <w:pStyle w:val="Sinespaciado1"/>
        <w:spacing w:line="360" w:lineRule="auto"/>
        <w:ind w:firstLine="2835"/>
        <w:jc w:val="both"/>
        <w:rPr>
          <w:rFonts w:ascii="Arial" w:hAnsi="Arial" w:cs="Arial"/>
          <w:spacing w:val="-3"/>
          <w:sz w:val="16"/>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D34FC9" w:rsidRPr="00541D87">
        <w:rPr>
          <w:rFonts w:ascii="Arial" w:hAnsi="Arial" w:cs="Arial"/>
          <w:szCs w:val="26"/>
          <w:lang w:val="es-ES" w:eastAsia="es-ES"/>
        </w:rPr>
        <w:t xml:space="preserve">JUZGADO </w:t>
      </w:r>
      <w:r w:rsidR="00D34FC9">
        <w:rPr>
          <w:rFonts w:ascii="Arial" w:hAnsi="Arial" w:cs="Arial"/>
          <w:szCs w:val="26"/>
          <w:lang w:val="es-ES" w:eastAsia="es-ES"/>
        </w:rPr>
        <w:t xml:space="preserve">TERCERO </w:t>
      </w:r>
      <w:r w:rsidR="00D34FC9"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20FD4" w:rsidRDefault="00AE243A" w:rsidP="00AE243A">
      <w:pPr>
        <w:pStyle w:val="Sinespaciado1"/>
        <w:spacing w:line="360" w:lineRule="auto"/>
        <w:ind w:firstLine="2835"/>
        <w:jc w:val="both"/>
        <w:rPr>
          <w:rFonts w:ascii="Arial" w:hAnsi="Arial" w:cs="Arial"/>
          <w:spacing w:val="-3"/>
          <w:sz w:val="16"/>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FF414E">
      <w:pPr>
        <w:pStyle w:val="Sinespaciado1"/>
        <w:ind w:firstLine="2835"/>
        <w:jc w:val="both"/>
        <w:rPr>
          <w:rFonts w:ascii="Arial" w:hAnsi="Arial" w:cs="Arial"/>
          <w:spacing w:val="-3"/>
          <w:sz w:val="16"/>
          <w:szCs w:val="26"/>
        </w:rPr>
      </w:pPr>
    </w:p>
    <w:p w:rsidR="00AE243A" w:rsidRPr="000905F6" w:rsidRDefault="00AE243A" w:rsidP="00FF414E">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FF414E">
      <w:pPr>
        <w:pStyle w:val="Sinespaciado1"/>
        <w:ind w:firstLine="2835"/>
        <w:jc w:val="both"/>
        <w:rPr>
          <w:rFonts w:ascii="Arial" w:hAnsi="Arial" w:cs="Arial"/>
          <w:spacing w:val="-3"/>
          <w:sz w:val="16"/>
          <w:szCs w:val="26"/>
        </w:rPr>
      </w:pPr>
    </w:p>
    <w:p w:rsidR="00AE243A" w:rsidRPr="00020FD4" w:rsidRDefault="00AE243A" w:rsidP="00FF414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FF414E">
      <w:pPr>
        <w:pStyle w:val="Sinespaciado1"/>
        <w:ind w:firstLine="2835"/>
        <w:jc w:val="both"/>
        <w:rPr>
          <w:rFonts w:ascii="Arial" w:hAnsi="Arial" w:cs="Arial"/>
          <w:spacing w:val="-3"/>
        </w:rPr>
      </w:pPr>
    </w:p>
    <w:p w:rsidR="006D2DC9" w:rsidRDefault="006D2DC9" w:rsidP="00FF414E">
      <w:pPr>
        <w:pStyle w:val="Sinespaciado1"/>
        <w:jc w:val="both"/>
        <w:rPr>
          <w:rFonts w:ascii="Arial" w:hAnsi="Arial" w:cs="Arial"/>
          <w:b/>
          <w:spacing w:val="-3"/>
        </w:rPr>
      </w:pPr>
    </w:p>
    <w:p w:rsidR="00FF414E" w:rsidRPr="00020FD4" w:rsidRDefault="00FF414E" w:rsidP="00FF414E">
      <w:pPr>
        <w:pStyle w:val="Sinespaciado1"/>
        <w:jc w:val="both"/>
        <w:rPr>
          <w:rFonts w:ascii="Arial" w:hAnsi="Arial" w:cs="Arial"/>
          <w:b/>
          <w:spacing w:val="-3"/>
        </w:rPr>
      </w:pPr>
    </w:p>
    <w:p w:rsidR="00AE243A" w:rsidRPr="00020FD4" w:rsidRDefault="00AE243A"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AE243A" w:rsidP="00FF414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Pr="00020FD4" w:rsidRDefault="0065369F"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D34FC9" w:rsidRDefault="00AE243A" w:rsidP="00FF414E">
      <w:pPr>
        <w:pStyle w:val="Sinespaciado1"/>
        <w:jc w:val="both"/>
        <w:rPr>
          <w:rFonts w:ascii="Arial" w:hAnsi="Arial" w:cs="Arial"/>
          <w:b/>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r w:rsidR="004D6E01" w:rsidRPr="00020FD4">
        <w:rPr>
          <w:rFonts w:ascii="Arial" w:hAnsi="Arial" w:cs="Arial"/>
          <w:b/>
        </w:rPr>
        <w:t>CLAUDIA MARÍA ARCILA RÍOS</w:t>
      </w:r>
    </w:p>
    <w:p w:rsidR="00020FD4" w:rsidRPr="00020FD4" w:rsidRDefault="004D6E01" w:rsidP="00FF414E">
      <w:pPr>
        <w:pStyle w:val="Sinespaciado1"/>
        <w:ind w:firstLine="708"/>
        <w:jc w:val="both"/>
        <w:rPr>
          <w:rFonts w:ascii="Arial" w:hAnsi="Arial" w:cs="Arial"/>
          <w:b/>
        </w:rPr>
      </w:pPr>
      <w:r w:rsidRPr="00B01CCF">
        <w:rPr>
          <w:rFonts w:ascii="Arial" w:hAnsi="Arial" w:cs="Arial"/>
          <w:sz w:val="24"/>
        </w:rPr>
        <w:t>(con ausencia justificada)</w:t>
      </w:r>
    </w:p>
    <w:sectPr w:rsidR="00020FD4"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17" w:rsidRDefault="003A5F17" w:rsidP="00AE243A">
      <w:r>
        <w:separator/>
      </w:r>
    </w:p>
  </w:endnote>
  <w:endnote w:type="continuationSeparator" w:id="0">
    <w:p w:rsidR="003A5F17" w:rsidRDefault="003A5F17"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40414">
      <w:rPr>
        <w:rFonts w:ascii="Arial" w:hAnsi="Arial" w:cs="Arial"/>
        <w:noProof/>
        <w:sz w:val="22"/>
        <w:szCs w:val="22"/>
      </w:rPr>
      <w:t>7</w:t>
    </w:r>
    <w:r w:rsidRPr="00B97631">
      <w:rPr>
        <w:rFonts w:ascii="Arial" w:hAnsi="Arial" w:cs="Arial"/>
        <w:sz w:val="22"/>
        <w:szCs w:val="22"/>
      </w:rPr>
      <w:fldChar w:fldCharType="end"/>
    </w:r>
  </w:p>
  <w:p w:rsidR="0081398C" w:rsidRDefault="003A5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17" w:rsidRDefault="003A5F17" w:rsidP="00AE243A">
      <w:r>
        <w:separator/>
      </w:r>
    </w:p>
  </w:footnote>
  <w:footnote w:type="continuationSeparator" w:id="0">
    <w:p w:rsidR="003A5F17" w:rsidRDefault="003A5F17"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3A5F17" w:rsidP="002C5601">
    <w:pPr>
      <w:pStyle w:val="Sinespaciado1"/>
      <w:rPr>
        <w:rFonts w:ascii="Arial" w:hAnsi="Arial" w:cs="Arial"/>
        <w:sz w:val="16"/>
        <w:szCs w:val="16"/>
      </w:rPr>
    </w:pPr>
  </w:p>
  <w:p w:rsidR="0081398C" w:rsidRPr="005643A9" w:rsidRDefault="003A5F17"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1C673C">
      <w:rPr>
        <w:rFonts w:ascii="Arial" w:hAnsi="Arial" w:cs="Arial"/>
        <w:sz w:val="16"/>
        <w:szCs w:val="16"/>
      </w:rPr>
      <w:t>305</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229BA"/>
    <w:rsid w:val="00051AAC"/>
    <w:rsid w:val="00051BA6"/>
    <w:rsid w:val="000625EF"/>
    <w:rsid w:val="0007278E"/>
    <w:rsid w:val="00081AFC"/>
    <w:rsid w:val="000C3964"/>
    <w:rsid w:val="000C42C4"/>
    <w:rsid w:val="000D15E9"/>
    <w:rsid w:val="000D26FF"/>
    <w:rsid w:val="000E3CFC"/>
    <w:rsid w:val="0011181A"/>
    <w:rsid w:val="00132ABC"/>
    <w:rsid w:val="00164C0B"/>
    <w:rsid w:val="001905DA"/>
    <w:rsid w:val="001A4168"/>
    <w:rsid w:val="001A7C70"/>
    <w:rsid w:val="001C2400"/>
    <w:rsid w:val="001C39A0"/>
    <w:rsid w:val="001C673C"/>
    <w:rsid w:val="001D15B3"/>
    <w:rsid w:val="002A4761"/>
    <w:rsid w:val="002A72C4"/>
    <w:rsid w:val="002B76FB"/>
    <w:rsid w:val="002E4B4A"/>
    <w:rsid w:val="002F7C30"/>
    <w:rsid w:val="00312D34"/>
    <w:rsid w:val="00345946"/>
    <w:rsid w:val="00350BCA"/>
    <w:rsid w:val="00357698"/>
    <w:rsid w:val="00364745"/>
    <w:rsid w:val="00367510"/>
    <w:rsid w:val="003A5F17"/>
    <w:rsid w:val="003E27A5"/>
    <w:rsid w:val="003F2EC4"/>
    <w:rsid w:val="003F30CF"/>
    <w:rsid w:val="003F5FC2"/>
    <w:rsid w:val="00423C2B"/>
    <w:rsid w:val="00432137"/>
    <w:rsid w:val="00435E28"/>
    <w:rsid w:val="00437B37"/>
    <w:rsid w:val="00457404"/>
    <w:rsid w:val="004747D5"/>
    <w:rsid w:val="004B0246"/>
    <w:rsid w:val="004B0C81"/>
    <w:rsid w:val="004B3EE1"/>
    <w:rsid w:val="004D6E01"/>
    <w:rsid w:val="0051211F"/>
    <w:rsid w:val="005305C1"/>
    <w:rsid w:val="00531EC7"/>
    <w:rsid w:val="0054132A"/>
    <w:rsid w:val="00550956"/>
    <w:rsid w:val="005967CA"/>
    <w:rsid w:val="005A5FC9"/>
    <w:rsid w:val="005B36E7"/>
    <w:rsid w:val="005F1344"/>
    <w:rsid w:val="005F26B0"/>
    <w:rsid w:val="0060339E"/>
    <w:rsid w:val="006169E2"/>
    <w:rsid w:val="00633E9E"/>
    <w:rsid w:val="0065369F"/>
    <w:rsid w:val="00674B15"/>
    <w:rsid w:val="00684398"/>
    <w:rsid w:val="00685755"/>
    <w:rsid w:val="00690547"/>
    <w:rsid w:val="00695158"/>
    <w:rsid w:val="006A2865"/>
    <w:rsid w:val="006A68C7"/>
    <w:rsid w:val="006A7EF2"/>
    <w:rsid w:val="006B13EF"/>
    <w:rsid w:val="006D2DC9"/>
    <w:rsid w:val="006F2871"/>
    <w:rsid w:val="007008FE"/>
    <w:rsid w:val="007353A8"/>
    <w:rsid w:val="00744E75"/>
    <w:rsid w:val="007563A3"/>
    <w:rsid w:val="00765914"/>
    <w:rsid w:val="00766F63"/>
    <w:rsid w:val="00767108"/>
    <w:rsid w:val="007736EE"/>
    <w:rsid w:val="007A2441"/>
    <w:rsid w:val="007A6E29"/>
    <w:rsid w:val="007B53F8"/>
    <w:rsid w:val="007C4697"/>
    <w:rsid w:val="007D5894"/>
    <w:rsid w:val="007D7F72"/>
    <w:rsid w:val="00803058"/>
    <w:rsid w:val="00841F26"/>
    <w:rsid w:val="00857AD0"/>
    <w:rsid w:val="00886833"/>
    <w:rsid w:val="008A58CB"/>
    <w:rsid w:val="008D6BEF"/>
    <w:rsid w:val="0091731B"/>
    <w:rsid w:val="00930E69"/>
    <w:rsid w:val="00940414"/>
    <w:rsid w:val="00956D74"/>
    <w:rsid w:val="009613B4"/>
    <w:rsid w:val="00972E98"/>
    <w:rsid w:val="009826AE"/>
    <w:rsid w:val="009933CD"/>
    <w:rsid w:val="009A043E"/>
    <w:rsid w:val="009D418C"/>
    <w:rsid w:val="009E32AB"/>
    <w:rsid w:val="009F52BE"/>
    <w:rsid w:val="00A061D8"/>
    <w:rsid w:val="00A3179D"/>
    <w:rsid w:val="00A33337"/>
    <w:rsid w:val="00A36CB3"/>
    <w:rsid w:val="00A4591A"/>
    <w:rsid w:val="00A55E34"/>
    <w:rsid w:val="00A64EFC"/>
    <w:rsid w:val="00A660B9"/>
    <w:rsid w:val="00A8477E"/>
    <w:rsid w:val="00AB3444"/>
    <w:rsid w:val="00AE243A"/>
    <w:rsid w:val="00AE31C4"/>
    <w:rsid w:val="00AE38FB"/>
    <w:rsid w:val="00B22DA3"/>
    <w:rsid w:val="00B47DE8"/>
    <w:rsid w:val="00B50912"/>
    <w:rsid w:val="00B61F99"/>
    <w:rsid w:val="00B7004B"/>
    <w:rsid w:val="00B71639"/>
    <w:rsid w:val="00B96AD1"/>
    <w:rsid w:val="00BA20C9"/>
    <w:rsid w:val="00C37D0B"/>
    <w:rsid w:val="00C52D41"/>
    <w:rsid w:val="00C54A59"/>
    <w:rsid w:val="00C63060"/>
    <w:rsid w:val="00C66E8B"/>
    <w:rsid w:val="00C73EB1"/>
    <w:rsid w:val="00C924B7"/>
    <w:rsid w:val="00CA5C17"/>
    <w:rsid w:val="00CB0752"/>
    <w:rsid w:val="00CB5056"/>
    <w:rsid w:val="00CC3BFA"/>
    <w:rsid w:val="00D11191"/>
    <w:rsid w:val="00D34FC9"/>
    <w:rsid w:val="00D3550E"/>
    <w:rsid w:val="00D42CD8"/>
    <w:rsid w:val="00D54574"/>
    <w:rsid w:val="00D61848"/>
    <w:rsid w:val="00D900B5"/>
    <w:rsid w:val="00DB3464"/>
    <w:rsid w:val="00DC5EB8"/>
    <w:rsid w:val="00DD1E33"/>
    <w:rsid w:val="00DD325F"/>
    <w:rsid w:val="00DE03EF"/>
    <w:rsid w:val="00DF378D"/>
    <w:rsid w:val="00DF72A3"/>
    <w:rsid w:val="00E04A72"/>
    <w:rsid w:val="00E27009"/>
    <w:rsid w:val="00E31A0A"/>
    <w:rsid w:val="00E34062"/>
    <w:rsid w:val="00E3691E"/>
    <w:rsid w:val="00E462C4"/>
    <w:rsid w:val="00E55A19"/>
    <w:rsid w:val="00E61E0F"/>
    <w:rsid w:val="00E70DA9"/>
    <w:rsid w:val="00E94509"/>
    <w:rsid w:val="00E96B7F"/>
    <w:rsid w:val="00EC3191"/>
    <w:rsid w:val="00F325FE"/>
    <w:rsid w:val="00F5507E"/>
    <w:rsid w:val="00F90902"/>
    <w:rsid w:val="00F91129"/>
    <w:rsid w:val="00FB50E7"/>
    <w:rsid w:val="00FF41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7</cp:revision>
  <cp:lastPrinted>2018-06-12T13:11:00Z</cp:lastPrinted>
  <dcterms:created xsi:type="dcterms:W3CDTF">2018-06-07T20:49:00Z</dcterms:created>
  <dcterms:modified xsi:type="dcterms:W3CDTF">2018-07-24T19:35:00Z</dcterms:modified>
</cp:coreProperties>
</file>