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E1E" w:rsidRPr="0054294B" w:rsidRDefault="00415E1E" w:rsidP="00415E1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54294B">
        <w:rPr>
          <w:rFonts w:ascii="Calibri" w:hAnsi="Calibri" w:cs="Calibri"/>
          <w:color w:val="FF0000"/>
          <w:spacing w:val="-8"/>
          <w:sz w:val="16"/>
          <w:szCs w:val="16"/>
          <w:lang w:val="es-CO" w:eastAsia="fr-FR"/>
        </w:rPr>
        <w:t>El siguiente e</w:t>
      </w:r>
      <w:r>
        <w:rPr>
          <w:rFonts w:ascii="Calibri" w:hAnsi="Calibri" w:cs="Calibri"/>
          <w:color w:val="FF0000"/>
          <w:spacing w:val="-8"/>
          <w:sz w:val="16"/>
          <w:szCs w:val="16"/>
          <w:lang w:val="es-CO" w:eastAsia="fr-FR"/>
        </w:rPr>
        <w:t>s el documento presentado por la Magistrada</w:t>
      </w:r>
      <w:r w:rsidRPr="0054294B">
        <w:rPr>
          <w:rFonts w:ascii="Calibri" w:hAnsi="Calibri" w:cs="Calibri"/>
          <w:color w:val="FF0000"/>
          <w:spacing w:val="-8"/>
          <w:sz w:val="16"/>
          <w:szCs w:val="16"/>
          <w:lang w:val="es-CO" w:eastAsia="fr-FR"/>
        </w:rPr>
        <w:t xml:space="preserve"> Ponente que sirvió de base para proferir la providencia dentro del presente proceso.</w:t>
      </w:r>
    </w:p>
    <w:p w:rsidR="00415E1E" w:rsidRPr="0054294B" w:rsidRDefault="00415E1E" w:rsidP="00415E1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54294B">
        <w:rPr>
          <w:rFonts w:ascii="Calibri" w:hAnsi="Calibri" w:cs="Calibri"/>
          <w:color w:val="FF0000"/>
          <w:sz w:val="16"/>
          <w:szCs w:val="16"/>
          <w:lang w:val="es-CO" w:eastAsia="fr-FR"/>
        </w:rPr>
        <w:t>El contenido total y fiel de la decisión debe ser verificado en la Secretaría de esta Sala.</w:t>
      </w:r>
    </w:p>
    <w:p w:rsidR="001368C3" w:rsidRPr="00C3070F" w:rsidRDefault="001368C3" w:rsidP="00C307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bookmarkStart w:id="0" w:name="_GoBack"/>
      <w:bookmarkEnd w:id="0"/>
      <w:r w:rsidRPr="00C3070F">
        <w:rPr>
          <w:rFonts w:ascii="Verdana" w:hAnsi="Verdana"/>
          <w:b/>
          <w:sz w:val="24"/>
          <w:szCs w:val="24"/>
        </w:rPr>
        <w:t>TRIBUNAL SUPERIOR DEL DISTRITO JUDICIAL</w:t>
      </w:r>
    </w:p>
    <w:p w:rsidR="001368C3" w:rsidRPr="00C3070F" w:rsidRDefault="001368C3" w:rsidP="00C307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C3070F">
        <w:rPr>
          <w:rFonts w:ascii="Verdana" w:hAnsi="Verdana"/>
          <w:b/>
          <w:sz w:val="24"/>
          <w:szCs w:val="24"/>
        </w:rPr>
        <w:t>SALA DE DECISIÓN CIVIL FAMILIA</w:t>
      </w:r>
    </w:p>
    <w:p w:rsidR="007D1AEA" w:rsidRPr="00A00E1E" w:rsidRDefault="007D1AEA" w:rsidP="00C307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8A3104" w:rsidRPr="00C3070F" w:rsidRDefault="007D1AEA" w:rsidP="00C307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C3070F">
        <w:rPr>
          <w:rFonts w:ascii="Verdana" w:hAnsi="Verdana"/>
          <w:sz w:val="24"/>
          <w:szCs w:val="24"/>
        </w:rPr>
        <w:tab/>
      </w:r>
      <w:r w:rsidR="008A3104" w:rsidRPr="00C3070F">
        <w:rPr>
          <w:rFonts w:ascii="Verdana" w:hAnsi="Verdana"/>
          <w:sz w:val="24"/>
          <w:szCs w:val="24"/>
        </w:rPr>
        <w:t>Magistrada Ponente: Claudia María Arcila Ríos</w:t>
      </w:r>
    </w:p>
    <w:p w:rsidR="008A3104" w:rsidRPr="00C3070F" w:rsidRDefault="008A3104" w:rsidP="00C307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C3070F">
        <w:rPr>
          <w:rFonts w:ascii="Verdana" w:hAnsi="Verdana"/>
          <w:sz w:val="24"/>
          <w:szCs w:val="24"/>
        </w:rPr>
        <w:tab/>
        <w:t xml:space="preserve">Pereira, </w:t>
      </w:r>
      <w:r w:rsidR="00B42570" w:rsidRPr="00C3070F">
        <w:rPr>
          <w:rFonts w:ascii="Verdana" w:hAnsi="Verdana"/>
          <w:sz w:val="24"/>
          <w:szCs w:val="24"/>
        </w:rPr>
        <w:t xml:space="preserve">mayo </w:t>
      </w:r>
      <w:r w:rsidR="00E47216">
        <w:rPr>
          <w:rFonts w:ascii="Verdana" w:hAnsi="Verdana"/>
          <w:sz w:val="24"/>
          <w:szCs w:val="24"/>
        </w:rPr>
        <w:t>veintiuno</w:t>
      </w:r>
      <w:r w:rsidR="00A32D4B" w:rsidRPr="00C3070F">
        <w:rPr>
          <w:rFonts w:ascii="Verdana" w:hAnsi="Verdana"/>
          <w:sz w:val="24"/>
          <w:szCs w:val="24"/>
        </w:rPr>
        <w:t xml:space="preserve"> </w:t>
      </w:r>
      <w:r w:rsidR="00DE4BA6" w:rsidRPr="00C3070F">
        <w:rPr>
          <w:rFonts w:ascii="Verdana" w:hAnsi="Verdana"/>
          <w:sz w:val="24"/>
          <w:szCs w:val="24"/>
        </w:rPr>
        <w:t>(</w:t>
      </w:r>
      <w:r w:rsidR="00E47216">
        <w:rPr>
          <w:rFonts w:ascii="Verdana" w:hAnsi="Verdana"/>
          <w:sz w:val="24"/>
          <w:szCs w:val="24"/>
        </w:rPr>
        <w:t>21</w:t>
      </w:r>
      <w:r w:rsidR="0081368E" w:rsidRPr="00C3070F">
        <w:rPr>
          <w:rFonts w:ascii="Verdana" w:hAnsi="Verdana"/>
          <w:sz w:val="24"/>
          <w:szCs w:val="24"/>
        </w:rPr>
        <w:t>)</w:t>
      </w:r>
      <w:r w:rsidR="00DE4BA6" w:rsidRPr="00C3070F">
        <w:rPr>
          <w:rFonts w:ascii="Verdana" w:hAnsi="Verdana"/>
          <w:sz w:val="24"/>
          <w:szCs w:val="24"/>
        </w:rPr>
        <w:t xml:space="preserve"> de dos mil dieciocho</w:t>
      </w:r>
      <w:r w:rsidR="00142B33" w:rsidRPr="00C3070F">
        <w:rPr>
          <w:rFonts w:ascii="Verdana" w:hAnsi="Verdana"/>
          <w:sz w:val="24"/>
          <w:szCs w:val="24"/>
        </w:rPr>
        <w:t xml:space="preserve"> (2018</w:t>
      </w:r>
      <w:r w:rsidRPr="00C3070F">
        <w:rPr>
          <w:rFonts w:ascii="Verdana" w:hAnsi="Verdana"/>
          <w:sz w:val="24"/>
          <w:szCs w:val="24"/>
        </w:rPr>
        <w:t>)</w:t>
      </w:r>
    </w:p>
    <w:p w:rsidR="008A3104" w:rsidRPr="00C3070F" w:rsidRDefault="008A3104" w:rsidP="00C307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C3070F">
        <w:rPr>
          <w:rFonts w:ascii="Verdana" w:hAnsi="Verdana"/>
          <w:sz w:val="24"/>
          <w:szCs w:val="24"/>
        </w:rPr>
        <w:t xml:space="preserve">     </w:t>
      </w:r>
      <w:r w:rsidRPr="00C3070F">
        <w:rPr>
          <w:rFonts w:ascii="Verdana" w:hAnsi="Verdana"/>
          <w:sz w:val="24"/>
          <w:szCs w:val="24"/>
        </w:rPr>
        <w:tab/>
      </w:r>
      <w:r w:rsidR="00844B61" w:rsidRPr="00C3070F">
        <w:rPr>
          <w:rFonts w:ascii="Verdana" w:hAnsi="Verdana"/>
          <w:sz w:val="24"/>
          <w:szCs w:val="24"/>
        </w:rPr>
        <w:t>Acta No.</w:t>
      </w:r>
      <w:r w:rsidR="00B42570" w:rsidRPr="00C3070F">
        <w:rPr>
          <w:rFonts w:ascii="Verdana" w:hAnsi="Verdana"/>
          <w:sz w:val="24"/>
          <w:szCs w:val="24"/>
        </w:rPr>
        <w:t xml:space="preserve"> </w:t>
      </w:r>
      <w:r w:rsidR="00E47216">
        <w:rPr>
          <w:rFonts w:ascii="Verdana" w:hAnsi="Verdana"/>
          <w:sz w:val="24"/>
          <w:szCs w:val="24"/>
        </w:rPr>
        <w:t>170</w:t>
      </w:r>
      <w:r w:rsidR="00A32D4B" w:rsidRPr="00C3070F">
        <w:rPr>
          <w:rFonts w:ascii="Verdana" w:hAnsi="Verdana"/>
          <w:sz w:val="24"/>
          <w:szCs w:val="24"/>
        </w:rPr>
        <w:t xml:space="preserve"> </w:t>
      </w:r>
      <w:r w:rsidRPr="00C3070F">
        <w:rPr>
          <w:rFonts w:ascii="Verdana" w:hAnsi="Verdana"/>
          <w:sz w:val="24"/>
          <w:szCs w:val="24"/>
        </w:rPr>
        <w:t>de</w:t>
      </w:r>
      <w:r w:rsidR="00365527" w:rsidRPr="00C3070F">
        <w:rPr>
          <w:rFonts w:ascii="Verdana" w:hAnsi="Verdana"/>
          <w:sz w:val="24"/>
          <w:szCs w:val="24"/>
        </w:rPr>
        <w:t>l</w:t>
      </w:r>
      <w:r w:rsidR="00142B33" w:rsidRPr="00C3070F">
        <w:rPr>
          <w:rFonts w:ascii="Verdana" w:hAnsi="Verdana"/>
          <w:sz w:val="24"/>
          <w:szCs w:val="24"/>
        </w:rPr>
        <w:t xml:space="preserve"> </w:t>
      </w:r>
      <w:r w:rsidR="00E47216">
        <w:rPr>
          <w:rFonts w:ascii="Verdana" w:hAnsi="Verdana"/>
          <w:sz w:val="24"/>
          <w:szCs w:val="24"/>
        </w:rPr>
        <w:t>21</w:t>
      </w:r>
      <w:r w:rsidR="00B42570" w:rsidRPr="00C3070F">
        <w:rPr>
          <w:rFonts w:ascii="Verdana" w:hAnsi="Verdana"/>
          <w:sz w:val="24"/>
          <w:szCs w:val="24"/>
        </w:rPr>
        <w:t xml:space="preserve"> </w:t>
      </w:r>
      <w:r w:rsidRPr="00C3070F">
        <w:rPr>
          <w:rFonts w:ascii="Verdana" w:hAnsi="Verdana"/>
          <w:sz w:val="24"/>
          <w:szCs w:val="24"/>
        </w:rPr>
        <w:t xml:space="preserve">de </w:t>
      </w:r>
      <w:r w:rsidR="00B42570" w:rsidRPr="00C3070F">
        <w:rPr>
          <w:rFonts w:ascii="Verdana" w:hAnsi="Verdana"/>
          <w:sz w:val="24"/>
          <w:szCs w:val="24"/>
        </w:rPr>
        <w:t>mayo</w:t>
      </w:r>
      <w:r w:rsidR="00142B33" w:rsidRPr="00C3070F">
        <w:rPr>
          <w:rFonts w:ascii="Verdana" w:hAnsi="Verdana"/>
          <w:sz w:val="24"/>
          <w:szCs w:val="24"/>
        </w:rPr>
        <w:t xml:space="preserve"> de 2018</w:t>
      </w:r>
    </w:p>
    <w:p w:rsidR="001368C3" w:rsidRPr="00C3070F" w:rsidRDefault="002C38B5" w:rsidP="00C307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C3070F">
        <w:rPr>
          <w:rFonts w:ascii="Verdana" w:hAnsi="Verdana"/>
          <w:sz w:val="24"/>
          <w:szCs w:val="24"/>
        </w:rPr>
        <w:tab/>
      </w:r>
      <w:r w:rsidR="001368C3" w:rsidRPr="00C3070F">
        <w:rPr>
          <w:rFonts w:ascii="Verdana" w:hAnsi="Verdana"/>
          <w:sz w:val="24"/>
          <w:szCs w:val="24"/>
        </w:rPr>
        <w:t>Exped</w:t>
      </w:r>
      <w:r w:rsidR="00081E08" w:rsidRPr="00C3070F">
        <w:rPr>
          <w:rFonts w:ascii="Verdana" w:hAnsi="Verdana"/>
          <w:sz w:val="24"/>
          <w:szCs w:val="24"/>
        </w:rPr>
        <w:t>iente No.</w:t>
      </w:r>
      <w:r w:rsidR="000124EC" w:rsidRPr="00C3070F">
        <w:rPr>
          <w:rFonts w:ascii="Verdana" w:hAnsi="Verdana"/>
          <w:sz w:val="24"/>
          <w:szCs w:val="24"/>
        </w:rPr>
        <w:t xml:space="preserve"> </w:t>
      </w:r>
      <w:r w:rsidR="00C54403" w:rsidRPr="00C3070F">
        <w:rPr>
          <w:rFonts w:ascii="Verdana" w:hAnsi="Verdana"/>
          <w:sz w:val="24"/>
          <w:szCs w:val="24"/>
        </w:rPr>
        <w:t>66001-22-</w:t>
      </w:r>
      <w:r w:rsidR="00DE134C" w:rsidRPr="00C3070F">
        <w:rPr>
          <w:rFonts w:ascii="Verdana" w:hAnsi="Verdana"/>
          <w:sz w:val="24"/>
          <w:szCs w:val="24"/>
        </w:rPr>
        <w:t>1</w:t>
      </w:r>
      <w:r w:rsidR="00142B33" w:rsidRPr="00C3070F">
        <w:rPr>
          <w:rFonts w:ascii="Verdana" w:hAnsi="Verdana"/>
          <w:sz w:val="24"/>
          <w:szCs w:val="24"/>
        </w:rPr>
        <w:t>3-000-2018</w:t>
      </w:r>
      <w:r w:rsidR="00B27F81" w:rsidRPr="00C3070F">
        <w:rPr>
          <w:rFonts w:ascii="Verdana" w:hAnsi="Verdana"/>
          <w:sz w:val="24"/>
          <w:szCs w:val="24"/>
        </w:rPr>
        <w:t>-0</w:t>
      </w:r>
      <w:r w:rsidR="000124EC" w:rsidRPr="00C3070F">
        <w:rPr>
          <w:rFonts w:ascii="Verdana" w:hAnsi="Verdana"/>
          <w:sz w:val="24"/>
          <w:szCs w:val="24"/>
        </w:rPr>
        <w:t>0214</w:t>
      </w:r>
      <w:r w:rsidR="001368C3" w:rsidRPr="00C3070F">
        <w:rPr>
          <w:rFonts w:ascii="Verdana" w:hAnsi="Verdana"/>
          <w:sz w:val="24"/>
          <w:szCs w:val="24"/>
        </w:rPr>
        <w:t>-00</w:t>
      </w:r>
    </w:p>
    <w:p w:rsidR="00365527" w:rsidRPr="00A00E1E" w:rsidRDefault="00365527" w:rsidP="00C3070F">
      <w:pPr>
        <w:spacing w:line="360" w:lineRule="auto"/>
        <w:jc w:val="both"/>
        <w:rPr>
          <w:rFonts w:ascii="Verdana" w:hAnsi="Verdana"/>
          <w:sz w:val="24"/>
          <w:szCs w:val="24"/>
        </w:rPr>
      </w:pPr>
    </w:p>
    <w:p w:rsidR="00473942" w:rsidRPr="00C3070F" w:rsidRDefault="000124EC" w:rsidP="00C3070F">
      <w:pPr>
        <w:spacing w:line="360" w:lineRule="auto"/>
        <w:jc w:val="both"/>
        <w:rPr>
          <w:rFonts w:ascii="Verdana" w:hAnsi="Verdana"/>
          <w:sz w:val="24"/>
          <w:szCs w:val="24"/>
        </w:rPr>
      </w:pPr>
      <w:r w:rsidRPr="00C3070F">
        <w:rPr>
          <w:rFonts w:ascii="Verdana" w:hAnsi="Verdana"/>
          <w:sz w:val="24"/>
          <w:szCs w:val="24"/>
        </w:rPr>
        <w:t>Se decide</w:t>
      </w:r>
      <w:r w:rsidR="001368C3" w:rsidRPr="00C3070F">
        <w:rPr>
          <w:rFonts w:ascii="Verdana" w:hAnsi="Verdana"/>
          <w:sz w:val="24"/>
          <w:szCs w:val="24"/>
        </w:rPr>
        <w:t xml:space="preserve"> en</w:t>
      </w:r>
      <w:r w:rsidR="00AE488F" w:rsidRPr="00C3070F">
        <w:rPr>
          <w:rFonts w:ascii="Verdana" w:hAnsi="Verdana"/>
          <w:sz w:val="24"/>
          <w:szCs w:val="24"/>
        </w:rPr>
        <w:t xml:space="preserve"> primera instancia </w:t>
      </w:r>
      <w:r w:rsidRPr="00C3070F">
        <w:rPr>
          <w:rFonts w:ascii="Verdana" w:hAnsi="Verdana"/>
          <w:sz w:val="24"/>
          <w:szCs w:val="24"/>
        </w:rPr>
        <w:t>la acción</w:t>
      </w:r>
      <w:r w:rsidR="001368C3" w:rsidRPr="00C3070F">
        <w:rPr>
          <w:rFonts w:ascii="Verdana" w:hAnsi="Verdana"/>
          <w:sz w:val="24"/>
          <w:szCs w:val="24"/>
        </w:rPr>
        <w:t xml:space="preserve"> de tut</w:t>
      </w:r>
      <w:r w:rsidRPr="00C3070F">
        <w:rPr>
          <w:rFonts w:ascii="Verdana" w:hAnsi="Verdana"/>
          <w:sz w:val="24"/>
          <w:szCs w:val="24"/>
        </w:rPr>
        <w:t>ela de la referencia, promovida</w:t>
      </w:r>
      <w:r w:rsidR="001368C3" w:rsidRPr="00C3070F">
        <w:rPr>
          <w:rFonts w:ascii="Verdana" w:hAnsi="Verdana"/>
          <w:sz w:val="24"/>
          <w:szCs w:val="24"/>
        </w:rPr>
        <w:t xml:space="preserve"> por el señor</w:t>
      </w:r>
      <w:r w:rsidRPr="00C3070F">
        <w:rPr>
          <w:rFonts w:ascii="Verdana" w:hAnsi="Verdana"/>
          <w:sz w:val="24"/>
          <w:szCs w:val="24"/>
        </w:rPr>
        <w:t xml:space="preserve"> Javier Elías Arias Idárraga </w:t>
      </w:r>
      <w:r w:rsidR="001368C3" w:rsidRPr="00C3070F">
        <w:rPr>
          <w:rFonts w:ascii="Verdana" w:hAnsi="Verdana"/>
          <w:sz w:val="24"/>
          <w:szCs w:val="24"/>
        </w:rPr>
        <w:t xml:space="preserve">contra </w:t>
      </w:r>
      <w:r w:rsidR="00805374" w:rsidRPr="00C3070F">
        <w:rPr>
          <w:rFonts w:ascii="Verdana" w:hAnsi="Verdana"/>
          <w:sz w:val="24"/>
          <w:szCs w:val="24"/>
          <w:lang w:val="es-ES"/>
        </w:rPr>
        <w:t>el Juzgado</w:t>
      </w:r>
      <w:r w:rsidRPr="00C3070F">
        <w:rPr>
          <w:rFonts w:ascii="Verdana" w:hAnsi="Verdana"/>
          <w:sz w:val="24"/>
          <w:szCs w:val="24"/>
          <w:lang w:val="es-ES"/>
        </w:rPr>
        <w:t xml:space="preserve"> Cuarto</w:t>
      </w:r>
      <w:r w:rsidR="00805374" w:rsidRPr="00C3070F">
        <w:rPr>
          <w:rFonts w:ascii="Verdana" w:hAnsi="Verdana"/>
          <w:sz w:val="24"/>
          <w:szCs w:val="24"/>
          <w:lang w:val="es-ES"/>
        </w:rPr>
        <w:t xml:space="preserve"> </w:t>
      </w:r>
      <w:r w:rsidR="0053285A" w:rsidRPr="00C3070F">
        <w:rPr>
          <w:rFonts w:ascii="Verdana" w:hAnsi="Verdana"/>
          <w:sz w:val="24"/>
          <w:szCs w:val="24"/>
          <w:lang w:val="es-ES"/>
        </w:rPr>
        <w:t>Civil del Circuito</w:t>
      </w:r>
      <w:r w:rsidR="002B062D" w:rsidRPr="00C3070F">
        <w:rPr>
          <w:rFonts w:ascii="Verdana" w:hAnsi="Verdana"/>
          <w:sz w:val="24"/>
          <w:szCs w:val="24"/>
          <w:lang w:val="es-ES"/>
        </w:rPr>
        <w:t xml:space="preserve"> de</w:t>
      </w:r>
      <w:r w:rsidRPr="00C3070F">
        <w:rPr>
          <w:rFonts w:ascii="Verdana" w:hAnsi="Verdana"/>
          <w:sz w:val="24"/>
          <w:szCs w:val="24"/>
          <w:lang w:val="es-ES"/>
        </w:rPr>
        <w:t xml:space="preserve"> Pereira</w:t>
      </w:r>
      <w:r w:rsidR="00352EE8" w:rsidRPr="00C3070F">
        <w:rPr>
          <w:rFonts w:ascii="Verdana" w:hAnsi="Verdana"/>
          <w:sz w:val="24"/>
          <w:szCs w:val="24"/>
          <w:lang w:val="es-ES"/>
        </w:rPr>
        <w:t xml:space="preserve"> y el agente del Ministerio Público local</w:t>
      </w:r>
      <w:r w:rsidR="00FE31C2" w:rsidRPr="00C3070F">
        <w:rPr>
          <w:rFonts w:ascii="Verdana" w:hAnsi="Verdana"/>
          <w:sz w:val="24"/>
          <w:szCs w:val="24"/>
        </w:rPr>
        <w:t>, a la</w:t>
      </w:r>
      <w:r w:rsidR="004740CA" w:rsidRPr="00C3070F">
        <w:rPr>
          <w:rFonts w:ascii="Verdana" w:hAnsi="Verdana"/>
          <w:sz w:val="24"/>
          <w:szCs w:val="24"/>
        </w:rPr>
        <w:t>s</w:t>
      </w:r>
      <w:r w:rsidR="00FE31C2" w:rsidRPr="00C3070F">
        <w:rPr>
          <w:rFonts w:ascii="Verdana" w:hAnsi="Verdana"/>
          <w:sz w:val="24"/>
          <w:szCs w:val="24"/>
        </w:rPr>
        <w:t xml:space="preserve"> que fueron</w:t>
      </w:r>
      <w:r w:rsidR="00955515" w:rsidRPr="00C3070F">
        <w:rPr>
          <w:rFonts w:ascii="Verdana" w:hAnsi="Verdana"/>
          <w:sz w:val="24"/>
          <w:szCs w:val="24"/>
        </w:rPr>
        <w:t xml:space="preserve"> vinculado</w:t>
      </w:r>
      <w:r w:rsidR="00F822D3" w:rsidRPr="00C3070F">
        <w:rPr>
          <w:rFonts w:ascii="Verdana" w:hAnsi="Verdana"/>
          <w:sz w:val="24"/>
          <w:szCs w:val="24"/>
        </w:rPr>
        <w:t>s</w:t>
      </w:r>
      <w:r w:rsidR="00FE31C2" w:rsidRPr="00C3070F">
        <w:rPr>
          <w:rFonts w:ascii="Verdana" w:hAnsi="Verdana"/>
          <w:sz w:val="24"/>
          <w:szCs w:val="24"/>
        </w:rPr>
        <w:t xml:space="preserve"> </w:t>
      </w:r>
      <w:r w:rsidR="00F822D3" w:rsidRPr="00C3070F">
        <w:rPr>
          <w:rFonts w:ascii="Verdana" w:hAnsi="Verdana"/>
          <w:sz w:val="24"/>
          <w:szCs w:val="24"/>
        </w:rPr>
        <w:t>la Alcaldía de</w:t>
      </w:r>
      <w:r w:rsidR="002B062D" w:rsidRPr="00C3070F">
        <w:rPr>
          <w:rFonts w:ascii="Verdana" w:hAnsi="Verdana"/>
          <w:sz w:val="24"/>
          <w:szCs w:val="24"/>
        </w:rPr>
        <w:t xml:space="preserve"> esa localidad</w:t>
      </w:r>
      <w:r w:rsidR="00FE31C2" w:rsidRPr="00C3070F">
        <w:rPr>
          <w:rFonts w:ascii="Verdana" w:hAnsi="Verdana"/>
          <w:sz w:val="24"/>
          <w:szCs w:val="24"/>
        </w:rPr>
        <w:t>, el Procurador y el Defensor del Pueblo, ambos de la Regional Risaralda</w:t>
      </w:r>
      <w:r w:rsidR="0061162F" w:rsidRPr="00C3070F">
        <w:rPr>
          <w:rFonts w:ascii="Verdana" w:hAnsi="Verdana"/>
          <w:sz w:val="24"/>
          <w:szCs w:val="24"/>
        </w:rPr>
        <w:t>.</w:t>
      </w:r>
    </w:p>
    <w:p w:rsidR="00E471D6" w:rsidRPr="00C3070F" w:rsidRDefault="00E471D6" w:rsidP="00C3070F">
      <w:pPr>
        <w:spacing w:line="360" w:lineRule="auto"/>
        <w:jc w:val="both"/>
        <w:rPr>
          <w:rFonts w:ascii="Verdana" w:hAnsi="Verdana"/>
          <w:sz w:val="24"/>
          <w:szCs w:val="24"/>
        </w:rPr>
      </w:pPr>
    </w:p>
    <w:p w:rsidR="00E471D6" w:rsidRPr="00C3070F" w:rsidRDefault="00E471D6" w:rsidP="00C3070F">
      <w:pPr>
        <w:spacing w:line="360" w:lineRule="auto"/>
        <w:jc w:val="both"/>
        <w:rPr>
          <w:rFonts w:ascii="Verdana" w:hAnsi="Verdana"/>
          <w:b/>
          <w:sz w:val="24"/>
          <w:szCs w:val="24"/>
        </w:rPr>
      </w:pPr>
      <w:r w:rsidRPr="00C3070F">
        <w:rPr>
          <w:rFonts w:ascii="Verdana" w:hAnsi="Verdana"/>
          <w:b/>
          <w:sz w:val="24"/>
          <w:szCs w:val="24"/>
        </w:rPr>
        <w:t>A N T E C E D E N T E S</w:t>
      </w:r>
    </w:p>
    <w:p w:rsidR="00E471D6" w:rsidRPr="00C3070F" w:rsidRDefault="00E471D6" w:rsidP="00C3070F">
      <w:pPr>
        <w:spacing w:line="360" w:lineRule="auto"/>
        <w:jc w:val="both"/>
        <w:rPr>
          <w:rFonts w:ascii="Verdana" w:hAnsi="Verdana"/>
          <w:sz w:val="24"/>
          <w:szCs w:val="24"/>
        </w:rPr>
      </w:pPr>
    </w:p>
    <w:p w:rsidR="00FE602C" w:rsidRPr="00C3070F" w:rsidRDefault="00FE602C" w:rsidP="00C3070F">
      <w:pPr>
        <w:spacing w:line="360" w:lineRule="auto"/>
        <w:jc w:val="both"/>
        <w:rPr>
          <w:rFonts w:ascii="Verdana" w:hAnsi="Verdana"/>
          <w:sz w:val="24"/>
          <w:szCs w:val="24"/>
        </w:rPr>
      </w:pPr>
      <w:r w:rsidRPr="00C3070F">
        <w:rPr>
          <w:rFonts w:ascii="Verdana" w:hAnsi="Verdana"/>
          <w:sz w:val="24"/>
          <w:szCs w:val="24"/>
        </w:rPr>
        <w:t>1. Relató el actor que en la acción popular que instauró, radicada bajo el número “2016-506”, el juzgado accionado le exigió aportar el certificado de existencia y representación de la entidad demandada, a pesar de que manifestó que el domicilio de esta se localizaba en Pereira y que de conformidad con el artículo 16 de la Ley 472 de 1998 el accionante puede escoger a prevención el sitio donde presentar la demanda. Frente a esa decisión formuló recurso de reposición, en subsidio apelación pero “la Juez no repone y se niega a conceder mi alzada amparada en el inciso tercero del Código General del Proceso”, en desconocimiento del precedente del Consejo de Estado que establece que esa clase de decisiones sí son susceptibles del recurso de apelación. De igual forma, ese despacho judicial procedió a rechazar la demanda con sustento en aquel requisito, el cual no está contemplado en el artículo 18 de la citada ley.</w:t>
      </w:r>
    </w:p>
    <w:p w:rsidR="00FE602C" w:rsidRPr="00C3070F" w:rsidRDefault="00FE602C" w:rsidP="00C3070F">
      <w:pPr>
        <w:spacing w:line="360" w:lineRule="auto"/>
        <w:jc w:val="both"/>
        <w:rPr>
          <w:rFonts w:ascii="Verdana" w:hAnsi="Verdana"/>
          <w:sz w:val="24"/>
          <w:szCs w:val="24"/>
        </w:rPr>
      </w:pPr>
    </w:p>
    <w:p w:rsidR="00FE602C" w:rsidRPr="00C3070F" w:rsidRDefault="00FE602C" w:rsidP="00C3070F">
      <w:pPr>
        <w:spacing w:line="360" w:lineRule="auto"/>
        <w:jc w:val="both"/>
        <w:rPr>
          <w:rFonts w:ascii="Verdana" w:hAnsi="Verdana"/>
          <w:sz w:val="24"/>
          <w:szCs w:val="24"/>
        </w:rPr>
      </w:pPr>
      <w:r w:rsidRPr="00C3070F">
        <w:rPr>
          <w:rFonts w:ascii="Verdana" w:hAnsi="Verdana"/>
          <w:sz w:val="24"/>
          <w:szCs w:val="24"/>
        </w:rPr>
        <w:lastRenderedPageBreak/>
        <w:t xml:space="preserve">2. Considera lesionadas sus garantías procesales. Para su protección, solicita se ordene: a) al juzgado accionado </w:t>
      </w:r>
      <w:r w:rsidR="007A096A" w:rsidRPr="00C3070F">
        <w:rPr>
          <w:rFonts w:ascii="Verdana" w:hAnsi="Verdana"/>
          <w:sz w:val="24"/>
          <w:szCs w:val="24"/>
        </w:rPr>
        <w:t xml:space="preserve">aplicar el artículo 16 de la Ley 472 de 1998, </w:t>
      </w:r>
      <w:r w:rsidRPr="00C3070F">
        <w:rPr>
          <w:rFonts w:ascii="Verdana" w:hAnsi="Verdana"/>
          <w:sz w:val="24"/>
          <w:szCs w:val="24"/>
        </w:rPr>
        <w:t>admitir inmediatam</w:t>
      </w:r>
      <w:r w:rsidR="007A096A" w:rsidRPr="00C3070F">
        <w:rPr>
          <w:rFonts w:ascii="Verdana" w:hAnsi="Verdana"/>
          <w:sz w:val="24"/>
          <w:szCs w:val="24"/>
        </w:rPr>
        <w:t>ente la acción popular o conceder el recurso de apelación</w:t>
      </w:r>
      <w:r w:rsidRPr="00C3070F">
        <w:rPr>
          <w:rFonts w:ascii="Verdana" w:hAnsi="Verdana"/>
          <w:sz w:val="24"/>
          <w:szCs w:val="24"/>
        </w:rPr>
        <w:t xml:space="preserve"> y aportar un listado de todas las acciones populares que ha rechazado con sustento en requisitos inexistentes y b) al Procurador Delegado del Ministerio Público para que se pronuncie en derecho acerca de la legalidad del auto que no da trámite a su demanda popular.</w:t>
      </w:r>
    </w:p>
    <w:p w:rsidR="00FE602C" w:rsidRPr="00C3070F" w:rsidRDefault="00FE602C" w:rsidP="00C3070F">
      <w:pPr>
        <w:spacing w:line="360" w:lineRule="auto"/>
        <w:jc w:val="both"/>
        <w:rPr>
          <w:rFonts w:ascii="Verdana" w:hAnsi="Verdana"/>
          <w:sz w:val="24"/>
          <w:szCs w:val="24"/>
        </w:rPr>
      </w:pPr>
    </w:p>
    <w:p w:rsidR="00E471D6" w:rsidRPr="00C3070F" w:rsidRDefault="00E471D6" w:rsidP="00C3070F">
      <w:pPr>
        <w:spacing w:line="360" w:lineRule="auto"/>
        <w:jc w:val="both"/>
        <w:rPr>
          <w:rFonts w:ascii="Verdana" w:hAnsi="Verdana"/>
          <w:b/>
          <w:sz w:val="24"/>
          <w:szCs w:val="24"/>
        </w:rPr>
      </w:pPr>
      <w:r w:rsidRPr="00C3070F">
        <w:rPr>
          <w:rFonts w:ascii="Verdana" w:hAnsi="Verdana"/>
          <w:b/>
          <w:sz w:val="24"/>
          <w:szCs w:val="24"/>
        </w:rPr>
        <w:t>A</w:t>
      </w:r>
      <w:r w:rsidR="00206F3B" w:rsidRPr="00C3070F">
        <w:rPr>
          <w:rFonts w:ascii="Verdana" w:hAnsi="Verdana"/>
          <w:b/>
          <w:sz w:val="24"/>
          <w:szCs w:val="24"/>
        </w:rPr>
        <w:t xml:space="preserve"> </w:t>
      </w:r>
      <w:r w:rsidRPr="00C3070F">
        <w:rPr>
          <w:rFonts w:ascii="Verdana" w:hAnsi="Verdana"/>
          <w:b/>
          <w:sz w:val="24"/>
          <w:szCs w:val="24"/>
        </w:rPr>
        <w:t>C</w:t>
      </w:r>
      <w:r w:rsidR="00206F3B" w:rsidRPr="00C3070F">
        <w:rPr>
          <w:rFonts w:ascii="Verdana" w:hAnsi="Verdana"/>
          <w:b/>
          <w:sz w:val="24"/>
          <w:szCs w:val="24"/>
        </w:rPr>
        <w:t xml:space="preserve"> </w:t>
      </w:r>
      <w:r w:rsidRPr="00C3070F">
        <w:rPr>
          <w:rFonts w:ascii="Verdana" w:hAnsi="Verdana"/>
          <w:b/>
          <w:sz w:val="24"/>
          <w:szCs w:val="24"/>
        </w:rPr>
        <w:t>T</w:t>
      </w:r>
      <w:r w:rsidR="00206F3B" w:rsidRPr="00C3070F">
        <w:rPr>
          <w:rFonts w:ascii="Verdana" w:hAnsi="Verdana"/>
          <w:b/>
          <w:sz w:val="24"/>
          <w:szCs w:val="24"/>
        </w:rPr>
        <w:t xml:space="preserve"> </w:t>
      </w:r>
      <w:r w:rsidRPr="00C3070F">
        <w:rPr>
          <w:rFonts w:ascii="Verdana" w:hAnsi="Verdana"/>
          <w:b/>
          <w:sz w:val="24"/>
          <w:szCs w:val="24"/>
        </w:rPr>
        <w:t>U</w:t>
      </w:r>
      <w:r w:rsidR="00206F3B" w:rsidRPr="00C3070F">
        <w:rPr>
          <w:rFonts w:ascii="Verdana" w:hAnsi="Verdana"/>
          <w:b/>
          <w:sz w:val="24"/>
          <w:szCs w:val="24"/>
        </w:rPr>
        <w:t xml:space="preserve"> </w:t>
      </w:r>
      <w:r w:rsidRPr="00C3070F">
        <w:rPr>
          <w:rFonts w:ascii="Verdana" w:hAnsi="Verdana"/>
          <w:b/>
          <w:sz w:val="24"/>
          <w:szCs w:val="24"/>
        </w:rPr>
        <w:t>A</w:t>
      </w:r>
      <w:r w:rsidR="00206F3B" w:rsidRPr="00C3070F">
        <w:rPr>
          <w:rFonts w:ascii="Verdana" w:hAnsi="Verdana"/>
          <w:b/>
          <w:sz w:val="24"/>
          <w:szCs w:val="24"/>
        </w:rPr>
        <w:t xml:space="preserve"> </w:t>
      </w:r>
      <w:r w:rsidRPr="00C3070F">
        <w:rPr>
          <w:rFonts w:ascii="Verdana" w:hAnsi="Verdana"/>
          <w:b/>
          <w:sz w:val="24"/>
          <w:szCs w:val="24"/>
        </w:rPr>
        <w:t>C</w:t>
      </w:r>
      <w:r w:rsidR="00206F3B" w:rsidRPr="00C3070F">
        <w:rPr>
          <w:rFonts w:ascii="Verdana" w:hAnsi="Verdana"/>
          <w:b/>
          <w:sz w:val="24"/>
          <w:szCs w:val="24"/>
        </w:rPr>
        <w:t xml:space="preserve"> </w:t>
      </w:r>
      <w:r w:rsidRPr="00C3070F">
        <w:rPr>
          <w:rFonts w:ascii="Verdana" w:hAnsi="Verdana"/>
          <w:b/>
          <w:sz w:val="24"/>
          <w:szCs w:val="24"/>
        </w:rPr>
        <w:t>I</w:t>
      </w:r>
      <w:r w:rsidR="00206F3B" w:rsidRPr="00C3070F">
        <w:rPr>
          <w:rFonts w:ascii="Verdana" w:hAnsi="Verdana"/>
          <w:b/>
          <w:sz w:val="24"/>
          <w:szCs w:val="24"/>
        </w:rPr>
        <w:t xml:space="preserve"> </w:t>
      </w:r>
      <w:r w:rsidRPr="00C3070F">
        <w:rPr>
          <w:rFonts w:ascii="Verdana" w:hAnsi="Verdana"/>
          <w:b/>
          <w:sz w:val="24"/>
          <w:szCs w:val="24"/>
        </w:rPr>
        <w:t>Ó</w:t>
      </w:r>
      <w:r w:rsidR="00206F3B" w:rsidRPr="00C3070F">
        <w:rPr>
          <w:rFonts w:ascii="Verdana" w:hAnsi="Verdana"/>
          <w:b/>
          <w:sz w:val="24"/>
          <w:szCs w:val="24"/>
        </w:rPr>
        <w:t xml:space="preserve"> </w:t>
      </w:r>
      <w:r w:rsidRPr="00C3070F">
        <w:rPr>
          <w:rFonts w:ascii="Verdana" w:hAnsi="Verdana"/>
          <w:b/>
          <w:sz w:val="24"/>
          <w:szCs w:val="24"/>
        </w:rPr>
        <w:t xml:space="preserve">N </w:t>
      </w:r>
      <w:r w:rsidR="00FE602C" w:rsidRPr="00C3070F">
        <w:rPr>
          <w:rFonts w:ascii="Verdana" w:hAnsi="Verdana"/>
          <w:b/>
          <w:sz w:val="24"/>
          <w:szCs w:val="24"/>
        </w:rPr>
        <w:t xml:space="preserve">    </w:t>
      </w:r>
      <w:r w:rsidR="00206F3B" w:rsidRPr="00C3070F">
        <w:rPr>
          <w:rFonts w:ascii="Verdana" w:hAnsi="Verdana"/>
          <w:b/>
          <w:sz w:val="24"/>
          <w:szCs w:val="24"/>
        </w:rPr>
        <w:t xml:space="preserve">  </w:t>
      </w:r>
      <w:r w:rsidRPr="00C3070F">
        <w:rPr>
          <w:rFonts w:ascii="Verdana" w:hAnsi="Verdana"/>
          <w:b/>
          <w:sz w:val="24"/>
          <w:szCs w:val="24"/>
        </w:rPr>
        <w:t>P</w:t>
      </w:r>
      <w:r w:rsidR="00206F3B" w:rsidRPr="00C3070F">
        <w:rPr>
          <w:rFonts w:ascii="Verdana" w:hAnsi="Verdana"/>
          <w:b/>
          <w:sz w:val="24"/>
          <w:szCs w:val="24"/>
        </w:rPr>
        <w:t xml:space="preserve"> </w:t>
      </w:r>
      <w:r w:rsidRPr="00C3070F">
        <w:rPr>
          <w:rFonts w:ascii="Verdana" w:hAnsi="Verdana"/>
          <w:b/>
          <w:sz w:val="24"/>
          <w:szCs w:val="24"/>
        </w:rPr>
        <w:t>R</w:t>
      </w:r>
      <w:r w:rsidR="00206F3B" w:rsidRPr="00C3070F">
        <w:rPr>
          <w:rFonts w:ascii="Verdana" w:hAnsi="Verdana"/>
          <w:b/>
          <w:sz w:val="24"/>
          <w:szCs w:val="24"/>
        </w:rPr>
        <w:t xml:space="preserve"> </w:t>
      </w:r>
      <w:r w:rsidRPr="00C3070F">
        <w:rPr>
          <w:rFonts w:ascii="Verdana" w:hAnsi="Verdana"/>
          <w:b/>
          <w:sz w:val="24"/>
          <w:szCs w:val="24"/>
        </w:rPr>
        <w:t>O</w:t>
      </w:r>
      <w:r w:rsidR="00206F3B" w:rsidRPr="00C3070F">
        <w:rPr>
          <w:rFonts w:ascii="Verdana" w:hAnsi="Verdana"/>
          <w:b/>
          <w:sz w:val="24"/>
          <w:szCs w:val="24"/>
        </w:rPr>
        <w:t xml:space="preserve"> </w:t>
      </w:r>
      <w:r w:rsidRPr="00C3070F">
        <w:rPr>
          <w:rFonts w:ascii="Verdana" w:hAnsi="Verdana"/>
          <w:b/>
          <w:sz w:val="24"/>
          <w:szCs w:val="24"/>
        </w:rPr>
        <w:t>C</w:t>
      </w:r>
      <w:r w:rsidR="00206F3B" w:rsidRPr="00C3070F">
        <w:rPr>
          <w:rFonts w:ascii="Verdana" w:hAnsi="Verdana"/>
          <w:b/>
          <w:sz w:val="24"/>
          <w:szCs w:val="24"/>
        </w:rPr>
        <w:t xml:space="preserve"> </w:t>
      </w:r>
      <w:r w:rsidRPr="00C3070F">
        <w:rPr>
          <w:rFonts w:ascii="Verdana" w:hAnsi="Verdana"/>
          <w:b/>
          <w:sz w:val="24"/>
          <w:szCs w:val="24"/>
        </w:rPr>
        <w:t>E</w:t>
      </w:r>
      <w:r w:rsidR="00206F3B" w:rsidRPr="00C3070F">
        <w:rPr>
          <w:rFonts w:ascii="Verdana" w:hAnsi="Verdana"/>
          <w:b/>
          <w:sz w:val="24"/>
          <w:szCs w:val="24"/>
        </w:rPr>
        <w:t xml:space="preserve"> </w:t>
      </w:r>
      <w:r w:rsidRPr="00C3070F">
        <w:rPr>
          <w:rFonts w:ascii="Verdana" w:hAnsi="Verdana"/>
          <w:b/>
          <w:sz w:val="24"/>
          <w:szCs w:val="24"/>
        </w:rPr>
        <w:t>S</w:t>
      </w:r>
      <w:r w:rsidR="00206F3B" w:rsidRPr="00C3070F">
        <w:rPr>
          <w:rFonts w:ascii="Verdana" w:hAnsi="Verdana"/>
          <w:b/>
          <w:sz w:val="24"/>
          <w:szCs w:val="24"/>
        </w:rPr>
        <w:t xml:space="preserve"> </w:t>
      </w:r>
      <w:r w:rsidRPr="00C3070F">
        <w:rPr>
          <w:rFonts w:ascii="Verdana" w:hAnsi="Verdana"/>
          <w:b/>
          <w:sz w:val="24"/>
          <w:szCs w:val="24"/>
        </w:rPr>
        <w:t>A</w:t>
      </w:r>
      <w:r w:rsidR="00206F3B" w:rsidRPr="00C3070F">
        <w:rPr>
          <w:rFonts w:ascii="Verdana" w:hAnsi="Verdana"/>
          <w:b/>
          <w:sz w:val="24"/>
          <w:szCs w:val="24"/>
        </w:rPr>
        <w:t xml:space="preserve"> </w:t>
      </w:r>
      <w:r w:rsidRPr="00C3070F">
        <w:rPr>
          <w:rFonts w:ascii="Verdana" w:hAnsi="Verdana"/>
          <w:b/>
          <w:sz w:val="24"/>
          <w:szCs w:val="24"/>
        </w:rPr>
        <w:t>L</w:t>
      </w:r>
    </w:p>
    <w:p w:rsidR="00E471D6" w:rsidRPr="00C3070F" w:rsidRDefault="00E471D6" w:rsidP="00C3070F">
      <w:pPr>
        <w:spacing w:line="360" w:lineRule="auto"/>
        <w:jc w:val="both"/>
        <w:rPr>
          <w:rFonts w:ascii="Verdana" w:hAnsi="Verdana"/>
          <w:sz w:val="24"/>
          <w:szCs w:val="24"/>
        </w:rPr>
      </w:pPr>
    </w:p>
    <w:p w:rsidR="00E471D6" w:rsidRPr="00C3070F" w:rsidRDefault="007417BC" w:rsidP="00C3070F">
      <w:pPr>
        <w:spacing w:line="360" w:lineRule="auto"/>
        <w:jc w:val="both"/>
        <w:rPr>
          <w:rFonts w:ascii="Verdana" w:hAnsi="Verdana"/>
          <w:sz w:val="24"/>
          <w:szCs w:val="24"/>
        </w:rPr>
      </w:pPr>
      <w:r w:rsidRPr="00C3070F">
        <w:rPr>
          <w:rFonts w:ascii="Verdana" w:hAnsi="Verdana"/>
          <w:sz w:val="24"/>
          <w:szCs w:val="24"/>
        </w:rPr>
        <w:t xml:space="preserve">1. </w:t>
      </w:r>
      <w:r w:rsidR="00DA5092" w:rsidRPr="00C3070F">
        <w:rPr>
          <w:rFonts w:ascii="Verdana" w:hAnsi="Verdana"/>
          <w:sz w:val="24"/>
          <w:szCs w:val="24"/>
        </w:rPr>
        <w:t xml:space="preserve">Mediante proveído del pasado 7 de mayo se admitió la acción </w:t>
      </w:r>
      <w:r w:rsidR="00E471D6" w:rsidRPr="00C3070F">
        <w:rPr>
          <w:rFonts w:ascii="Verdana" w:hAnsi="Verdana"/>
          <w:sz w:val="24"/>
          <w:szCs w:val="24"/>
        </w:rPr>
        <w:t xml:space="preserve"> de tutela y se ordenó vincular a la Alcaldía de</w:t>
      </w:r>
      <w:r w:rsidR="000A721C" w:rsidRPr="00C3070F">
        <w:rPr>
          <w:rFonts w:ascii="Verdana" w:hAnsi="Verdana"/>
          <w:sz w:val="24"/>
          <w:szCs w:val="24"/>
        </w:rPr>
        <w:t xml:space="preserve"> Pereira, </w:t>
      </w:r>
      <w:r w:rsidR="00B001AB" w:rsidRPr="00C3070F">
        <w:rPr>
          <w:rFonts w:ascii="Verdana" w:hAnsi="Verdana"/>
          <w:sz w:val="24"/>
          <w:szCs w:val="24"/>
        </w:rPr>
        <w:t>al Procurador y al Defensor</w:t>
      </w:r>
      <w:r w:rsidR="00E471D6" w:rsidRPr="00C3070F">
        <w:rPr>
          <w:rFonts w:ascii="Verdana" w:hAnsi="Verdana"/>
          <w:sz w:val="24"/>
          <w:szCs w:val="24"/>
        </w:rPr>
        <w:t xml:space="preserve"> del Pueblo</w:t>
      </w:r>
      <w:r w:rsidR="00B001AB" w:rsidRPr="00C3070F">
        <w:rPr>
          <w:rFonts w:ascii="Verdana" w:hAnsi="Verdana"/>
          <w:sz w:val="24"/>
          <w:szCs w:val="24"/>
        </w:rPr>
        <w:t xml:space="preserve">, </w:t>
      </w:r>
      <w:r w:rsidR="00E471D6" w:rsidRPr="00C3070F">
        <w:rPr>
          <w:rFonts w:ascii="Verdana" w:hAnsi="Verdana"/>
          <w:sz w:val="24"/>
          <w:szCs w:val="24"/>
        </w:rPr>
        <w:t>ambos de la Regional Risaralda. No se ordenó hacerlo respecto de</w:t>
      </w:r>
      <w:r w:rsidR="000A721C" w:rsidRPr="00C3070F">
        <w:rPr>
          <w:rFonts w:ascii="Verdana" w:hAnsi="Verdana"/>
          <w:sz w:val="24"/>
          <w:szCs w:val="24"/>
        </w:rPr>
        <w:t xml:space="preserve"> la entidad</w:t>
      </w:r>
      <w:r w:rsidR="00C4618B" w:rsidRPr="00C3070F">
        <w:rPr>
          <w:rFonts w:ascii="Verdana" w:hAnsi="Verdana"/>
          <w:sz w:val="24"/>
          <w:szCs w:val="24"/>
        </w:rPr>
        <w:t xml:space="preserve"> </w:t>
      </w:r>
      <w:r w:rsidR="000A721C" w:rsidRPr="00C3070F">
        <w:rPr>
          <w:rFonts w:ascii="Verdana" w:hAnsi="Verdana"/>
          <w:sz w:val="24"/>
          <w:szCs w:val="24"/>
        </w:rPr>
        <w:t>accionada</w:t>
      </w:r>
      <w:r w:rsidR="004740CA" w:rsidRPr="00C3070F">
        <w:rPr>
          <w:rFonts w:ascii="Verdana" w:hAnsi="Verdana"/>
          <w:sz w:val="24"/>
          <w:szCs w:val="24"/>
        </w:rPr>
        <w:t xml:space="preserve"> </w:t>
      </w:r>
      <w:r w:rsidR="000A721C" w:rsidRPr="00C3070F">
        <w:rPr>
          <w:rFonts w:ascii="Verdana" w:hAnsi="Verdana"/>
          <w:sz w:val="24"/>
          <w:szCs w:val="24"/>
        </w:rPr>
        <w:t>en el proceso</w:t>
      </w:r>
      <w:r w:rsidR="00CB4D35" w:rsidRPr="00C3070F">
        <w:rPr>
          <w:rFonts w:ascii="Verdana" w:hAnsi="Verdana"/>
          <w:sz w:val="24"/>
          <w:szCs w:val="24"/>
        </w:rPr>
        <w:t xml:space="preserve"> en</w:t>
      </w:r>
      <w:r w:rsidR="000A721C" w:rsidRPr="00C3070F">
        <w:rPr>
          <w:rFonts w:ascii="Verdana" w:hAnsi="Verdana"/>
          <w:sz w:val="24"/>
          <w:szCs w:val="24"/>
        </w:rPr>
        <w:t xml:space="preserve"> el</w:t>
      </w:r>
      <w:r w:rsidR="007679F2" w:rsidRPr="00C3070F">
        <w:rPr>
          <w:rFonts w:ascii="Verdana" w:hAnsi="Verdana"/>
          <w:sz w:val="24"/>
          <w:szCs w:val="24"/>
        </w:rPr>
        <w:t xml:space="preserve"> </w:t>
      </w:r>
      <w:r w:rsidR="00CB4D35" w:rsidRPr="00C3070F">
        <w:rPr>
          <w:rFonts w:ascii="Verdana" w:hAnsi="Verdana"/>
          <w:sz w:val="24"/>
          <w:szCs w:val="24"/>
        </w:rPr>
        <w:t xml:space="preserve">que encuentra el actor vulnerados sus derechos, </w:t>
      </w:r>
      <w:r w:rsidR="00C5135C" w:rsidRPr="00C3070F">
        <w:rPr>
          <w:rFonts w:ascii="Verdana" w:hAnsi="Verdana"/>
          <w:sz w:val="24"/>
          <w:szCs w:val="24"/>
        </w:rPr>
        <w:t>porque de</w:t>
      </w:r>
      <w:r w:rsidR="007679F2" w:rsidRPr="00C3070F">
        <w:rPr>
          <w:rFonts w:ascii="Verdana" w:hAnsi="Verdana"/>
          <w:sz w:val="24"/>
          <w:szCs w:val="24"/>
        </w:rPr>
        <w:t xml:space="preserve"> </w:t>
      </w:r>
      <w:r w:rsidR="00C5135C" w:rsidRPr="00C3070F">
        <w:rPr>
          <w:rFonts w:ascii="Verdana" w:hAnsi="Verdana"/>
          <w:sz w:val="24"/>
          <w:szCs w:val="24"/>
        </w:rPr>
        <w:t>acuerdo con lo</w:t>
      </w:r>
      <w:r w:rsidR="00E471D6" w:rsidRPr="00C3070F">
        <w:rPr>
          <w:rFonts w:ascii="Verdana" w:hAnsi="Verdana"/>
          <w:sz w:val="24"/>
          <w:szCs w:val="24"/>
        </w:rPr>
        <w:t xml:space="preserve">s </w:t>
      </w:r>
      <w:r w:rsidR="00C5135C" w:rsidRPr="00C3070F">
        <w:rPr>
          <w:rFonts w:ascii="Verdana" w:hAnsi="Verdana"/>
          <w:sz w:val="24"/>
          <w:szCs w:val="24"/>
        </w:rPr>
        <w:t>documentos aportados</w:t>
      </w:r>
      <w:r w:rsidR="00E471D6" w:rsidRPr="00C3070F">
        <w:rPr>
          <w:rFonts w:ascii="Verdana" w:hAnsi="Verdana"/>
          <w:sz w:val="24"/>
          <w:szCs w:val="24"/>
        </w:rPr>
        <w:t>, la demanda fue rechazada</w:t>
      </w:r>
      <w:r w:rsidR="00CB3D40" w:rsidRPr="00C3070F">
        <w:rPr>
          <w:rFonts w:ascii="Verdana" w:hAnsi="Verdana"/>
          <w:sz w:val="24"/>
          <w:szCs w:val="24"/>
        </w:rPr>
        <w:t xml:space="preserve"> </w:t>
      </w:r>
      <w:r w:rsidR="00E471D6" w:rsidRPr="00C3070F">
        <w:rPr>
          <w:rFonts w:ascii="Verdana" w:hAnsi="Verdana"/>
          <w:sz w:val="24"/>
          <w:szCs w:val="24"/>
        </w:rPr>
        <w:t>y por ende</w:t>
      </w:r>
      <w:r w:rsidR="004740CA" w:rsidRPr="00C3070F">
        <w:rPr>
          <w:rFonts w:ascii="Verdana" w:hAnsi="Verdana"/>
          <w:sz w:val="24"/>
          <w:szCs w:val="24"/>
        </w:rPr>
        <w:t xml:space="preserve">, </w:t>
      </w:r>
      <w:r w:rsidR="002374A6" w:rsidRPr="00C3070F">
        <w:rPr>
          <w:rFonts w:ascii="Verdana" w:hAnsi="Verdana"/>
          <w:sz w:val="24"/>
          <w:szCs w:val="24"/>
        </w:rPr>
        <w:t>no</w:t>
      </w:r>
      <w:r w:rsidR="00102498" w:rsidRPr="00C3070F">
        <w:rPr>
          <w:rFonts w:ascii="Verdana" w:hAnsi="Verdana"/>
          <w:sz w:val="24"/>
          <w:szCs w:val="24"/>
        </w:rPr>
        <w:t xml:space="preserve"> ha</w:t>
      </w:r>
      <w:r w:rsidR="00E471D6" w:rsidRPr="00C3070F">
        <w:rPr>
          <w:rFonts w:ascii="Verdana" w:hAnsi="Verdana"/>
          <w:sz w:val="24"/>
          <w:szCs w:val="24"/>
        </w:rPr>
        <w:t xml:space="preserve"> </w:t>
      </w:r>
      <w:r w:rsidR="00AD3EC6" w:rsidRPr="00C3070F">
        <w:rPr>
          <w:rFonts w:ascii="Verdana" w:hAnsi="Verdana"/>
          <w:sz w:val="24"/>
          <w:szCs w:val="24"/>
        </w:rPr>
        <w:t>concurrido a</w:t>
      </w:r>
      <w:r w:rsidR="007679F2" w:rsidRPr="00C3070F">
        <w:rPr>
          <w:rFonts w:ascii="Verdana" w:hAnsi="Verdana"/>
          <w:sz w:val="24"/>
          <w:szCs w:val="24"/>
        </w:rPr>
        <w:t xml:space="preserve"> </w:t>
      </w:r>
      <w:r w:rsidR="00102498" w:rsidRPr="00C3070F">
        <w:rPr>
          <w:rFonts w:ascii="Verdana" w:hAnsi="Verdana"/>
          <w:sz w:val="24"/>
          <w:szCs w:val="24"/>
        </w:rPr>
        <w:t>esa actuación</w:t>
      </w:r>
      <w:r w:rsidR="00E471D6" w:rsidRPr="00C3070F">
        <w:rPr>
          <w:rFonts w:ascii="Verdana" w:hAnsi="Verdana"/>
          <w:sz w:val="24"/>
          <w:szCs w:val="24"/>
        </w:rPr>
        <w:t>.</w:t>
      </w:r>
    </w:p>
    <w:p w:rsidR="00E471D6" w:rsidRPr="00C3070F" w:rsidRDefault="00E471D6" w:rsidP="00C3070F">
      <w:pPr>
        <w:spacing w:line="360" w:lineRule="auto"/>
        <w:jc w:val="both"/>
        <w:rPr>
          <w:rFonts w:ascii="Verdana" w:hAnsi="Verdana"/>
          <w:sz w:val="24"/>
          <w:szCs w:val="24"/>
        </w:rPr>
      </w:pPr>
      <w:r w:rsidRPr="00C3070F">
        <w:rPr>
          <w:rFonts w:ascii="Verdana" w:hAnsi="Verdana"/>
          <w:sz w:val="24"/>
          <w:szCs w:val="24"/>
        </w:rPr>
        <w:t xml:space="preserve"> </w:t>
      </w:r>
    </w:p>
    <w:p w:rsidR="00784B70" w:rsidRPr="00C3070F" w:rsidRDefault="00784B70" w:rsidP="00C3070F">
      <w:pPr>
        <w:spacing w:line="360" w:lineRule="auto"/>
        <w:jc w:val="both"/>
        <w:rPr>
          <w:rFonts w:ascii="Verdana" w:hAnsi="Verdana"/>
          <w:sz w:val="24"/>
          <w:szCs w:val="24"/>
          <w:lang w:val="es-ES"/>
        </w:rPr>
      </w:pPr>
      <w:r w:rsidRPr="00C3070F">
        <w:rPr>
          <w:rFonts w:ascii="Verdana" w:hAnsi="Verdana"/>
          <w:sz w:val="24"/>
          <w:szCs w:val="24"/>
          <w:lang w:val="es-ES"/>
        </w:rPr>
        <w:t xml:space="preserve">2. En el </w:t>
      </w:r>
      <w:r w:rsidR="001975C7" w:rsidRPr="00C3070F">
        <w:rPr>
          <w:rFonts w:ascii="Verdana" w:hAnsi="Verdana"/>
          <w:sz w:val="24"/>
          <w:szCs w:val="24"/>
          <w:lang w:val="es-ES"/>
        </w:rPr>
        <w:t>curso</w:t>
      </w:r>
      <w:r w:rsidRPr="00C3070F">
        <w:rPr>
          <w:rFonts w:ascii="Verdana" w:hAnsi="Verdana"/>
          <w:sz w:val="24"/>
          <w:szCs w:val="24"/>
          <w:lang w:val="es-ES"/>
        </w:rPr>
        <w:t xml:space="preserve"> de esta instancia, se produjeron los siguientes pronunciamientos:</w:t>
      </w:r>
    </w:p>
    <w:p w:rsidR="00784B70" w:rsidRPr="00C3070F" w:rsidRDefault="00784B70" w:rsidP="00C3070F">
      <w:pPr>
        <w:spacing w:line="360" w:lineRule="auto"/>
        <w:jc w:val="both"/>
        <w:rPr>
          <w:rFonts w:ascii="Verdana" w:hAnsi="Verdana"/>
          <w:sz w:val="24"/>
          <w:szCs w:val="24"/>
          <w:lang w:val="es-ES"/>
        </w:rPr>
      </w:pPr>
    </w:p>
    <w:p w:rsidR="00784B70" w:rsidRPr="00C3070F" w:rsidRDefault="00784B70" w:rsidP="00C3070F">
      <w:pPr>
        <w:spacing w:line="360" w:lineRule="auto"/>
        <w:jc w:val="both"/>
        <w:rPr>
          <w:rFonts w:ascii="Verdana" w:hAnsi="Verdana"/>
          <w:sz w:val="24"/>
          <w:szCs w:val="24"/>
          <w:lang w:val="es-ES"/>
        </w:rPr>
      </w:pPr>
      <w:r w:rsidRPr="00C3070F">
        <w:rPr>
          <w:rFonts w:ascii="Verdana" w:hAnsi="Verdana"/>
          <w:sz w:val="24"/>
          <w:szCs w:val="24"/>
          <w:lang w:val="es-ES"/>
        </w:rPr>
        <w:t xml:space="preserve">2.1 </w:t>
      </w:r>
      <w:r w:rsidR="00352EE8" w:rsidRPr="00C3070F">
        <w:rPr>
          <w:rFonts w:ascii="Verdana" w:hAnsi="Verdana"/>
          <w:sz w:val="24"/>
          <w:szCs w:val="24"/>
          <w:lang w:val="es-ES"/>
        </w:rPr>
        <w:t>La Asesora G-19 de la Procuraduría</w:t>
      </w:r>
      <w:r w:rsidRPr="00C3070F">
        <w:rPr>
          <w:rFonts w:ascii="Verdana" w:hAnsi="Verdana"/>
          <w:sz w:val="24"/>
          <w:szCs w:val="24"/>
          <w:lang w:val="es-ES"/>
        </w:rPr>
        <w:t xml:space="preserve"> Regional de Risaralda señaló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345A57" w:rsidRPr="00C3070F" w:rsidRDefault="00345A57" w:rsidP="00C3070F">
      <w:pPr>
        <w:spacing w:line="360" w:lineRule="auto"/>
        <w:jc w:val="both"/>
        <w:rPr>
          <w:rFonts w:ascii="Verdana" w:hAnsi="Verdana"/>
          <w:sz w:val="24"/>
          <w:szCs w:val="24"/>
          <w:lang w:val="es-ES"/>
        </w:rPr>
      </w:pPr>
    </w:p>
    <w:p w:rsidR="00345A57" w:rsidRPr="00C3070F" w:rsidRDefault="00345A57" w:rsidP="00C3070F">
      <w:pPr>
        <w:spacing w:line="360" w:lineRule="auto"/>
        <w:jc w:val="both"/>
        <w:rPr>
          <w:rFonts w:ascii="Verdana" w:hAnsi="Verdana"/>
          <w:sz w:val="24"/>
          <w:szCs w:val="24"/>
          <w:lang w:val="es-ES"/>
        </w:rPr>
      </w:pPr>
      <w:r w:rsidRPr="00C3070F">
        <w:rPr>
          <w:rFonts w:ascii="Verdana" w:hAnsi="Verdana"/>
          <w:sz w:val="24"/>
          <w:szCs w:val="24"/>
          <w:lang w:val="es-ES"/>
        </w:rPr>
        <w:lastRenderedPageBreak/>
        <w:t>2.2 El Alcalde del Municipio de Pereira, por medio de apoderada, alegó que no ha tenido injerencia en la actuación desplegada en el juzgado accionado, razón por la cual carece de legitimación en la causa por pasiva.</w:t>
      </w:r>
    </w:p>
    <w:p w:rsidR="00654D3F" w:rsidRPr="00C3070F" w:rsidRDefault="00654D3F" w:rsidP="00C3070F">
      <w:pPr>
        <w:spacing w:line="360" w:lineRule="auto"/>
        <w:jc w:val="both"/>
        <w:rPr>
          <w:rFonts w:ascii="Verdana" w:hAnsi="Verdana"/>
          <w:sz w:val="24"/>
          <w:szCs w:val="24"/>
          <w:lang w:val="es-ES"/>
        </w:rPr>
      </w:pPr>
    </w:p>
    <w:p w:rsidR="00764E88" w:rsidRPr="00C3070F" w:rsidRDefault="00764E88" w:rsidP="00C3070F">
      <w:pPr>
        <w:spacing w:line="360" w:lineRule="auto"/>
        <w:jc w:val="both"/>
        <w:rPr>
          <w:rFonts w:ascii="Verdana" w:hAnsi="Verdana"/>
          <w:sz w:val="24"/>
          <w:szCs w:val="24"/>
        </w:rPr>
      </w:pPr>
      <w:r w:rsidRPr="00C3070F">
        <w:rPr>
          <w:rFonts w:ascii="Verdana" w:hAnsi="Verdana"/>
          <w:sz w:val="24"/>
          <w:szCs w:val="24"/>
        </w:rPr>
        <w:t>2.3</w:t>
      </w:r>
      <w:r w:rsidR="00654D3F" w:rsidRPr="00C3070F">
        <w:rPr>
          <w:rFonts w:ascii="Verdana" w:hAnsi="Verdana"/>
          <w:sz w:val="24"/>
          <w:szCs w:val="24"/>
        </w:rPr>
        <w:t xml:space="preserve"> La titular del juzgado accionado</w:t>
      </w:r>
      <w:r w:rsidR="00352EE8" w:rsidRPr="00C3070F">
        <w:rPr>
          <w:rFonts w:ascii="Verdana" w:hAnsi="Verdana"/>
          <w:sz w:val="24"/>
          <w:szCs w:val="24"/>
        </w:rPr>
        <w:t xml:space="preserve"> y l</w:t>
      </w:r>
      <w:r w:rsidR="000403FC" w:rsidRPr="00C3070F">
        <w:rPr>
          <w:rFonts w:ascii="Verdana" w:hAnsi="Verdana"/>
          <w:sz w:val="24"/>
          <w:szCs w:val="24"/>
        </w:rPr>
        <w:t>os demás vinculados</w:t>
      </w:r>
      <w:r w:rsidRPr="00C3070F">
        <w:rPr>
          <w:rFonts w:ascii="Verdana" w:hAnsi="Verdana"/>
          <w:sz w:val="24"/>
          <w:szCs w:val="24"/>
        </w:rPr>
        <w:t xml:space="preserve"> guardaron silencio.</w:t>
      </w:r>
    </w:p>
    <w:p w:rsidR="000403FC" w:rsidRPr="00C3070F" w:rsidRDefault="000403FC" w:rsidP="00C3070F">
      <w:pPr>
        <w:spacing w:line="360" w:lineRule="auto"/>
        <w:jc w:val="both"/>
        <w:rPr>
          <w:rFonts w:ascii="Verdana" w:hAnsi="Verdana"/>
          <w:sz w:val="24"/>
          <w:szCs w:val="24"/>
        </w:rPr>
      </w:pPr>
    </w:p>
    <w:p w:rsidR="00E471D6" w:rsidRPr="00C3070F" w:rsidRDefault="00E471D6" w:rsidP="00C3070F">
      <w:pPr>
        <w:spacing w:line="360" w:lineRule="auto"/>
        <w:jc w:val="both"/>
        <w:rPr>
          <w:rFonts w:ascii="Verdana" w:hAnsi="Verdana"/>
          <w:b/>
          <w:sz w:val="24"/>
          <w:szCs w:val="24"/>
        </w:rPr>
      </w:pPr>
      <w:r w:rsidRPr="00C3070F">
        <w:rPr>
          <w:rFonts w:ascii="Verdana" w:hAnsi="Verdana"/>
          <w:b/>
          <w:sz w:val="24"/>
          <w:szCs w:val="24"/>
        </w:rPr>
        <w:t xml:space="preserve">C O N S I D E R A C I O N E S </w:t>
      </w:r>
    </w:p>
    <w:p w:rsidR="0024395C" w:rsidRPr="00C3070F" w:rsidRDefault="0024395C" w:rsidP="00C3070F">
      <w:pPr>
        <w:spacing w:line="360" w:lineRule="auto"/>
        <w:jc w:val="both"/>
        <w:rPr>
          <w:rFonts w:ascii="Verdana" w:hAnsi="Verdana"/>
          <w:sz w:val="24"/>
          <w:szCs w:val="24"/>
        </w:rPr>
      </w:pPr>
    </w:p>
    <w:p w:rsidR="005C571C" w:rsidRPr="00C3070F" w:rsidRDefault="005C571C" w:rsidP="00C3070F">
      <w:pPr>
        <w:spacing w:line="360" w:lineRule="auto"/>
        <w:jc w:val="both"/>
        <w:rPr>
          <w:rFonts w:ascii="Verdana" w:hAnsi="Verdana"/>
          <w:sz w:val="24"/>
          <w:szCs w:val="24"/>
        </w:rPr>
      </w:pPr>
      <w:r w:rsidRPr="00C3070F">
        <w:rPr>
          <w:rFonts w:ascii="Verdana" w:hAnsi="Verdana"/>
          <w:sz w:val="24"/>
          <w:szCs w:val="24"/>
        </w:rPr>
        <w:t>1. El fin de la acción de tutela es la protección inmediata de los derechos constitucionales fundamentales, concedida a todas las personas por el artículo 86 de la Constitución Política, ante su vulneración o amenaza generada por cualquier autoridad pública y aun por los particulares en los casos previstos por el artículo 42 del Decreto 2591 de 1991.</w:t>
      </w:r>
    </w:p>
    <w:p w:rsidR="005C571C" w:rsidRPr="00C3070F" w:rsidRDefault="005C571C" w:rsidP="00C3070F">
      <w:pPr>
        <w:spacing w:line="360" w:lineRule="auto"/>
        <w:jc w:val="both"/>
        <w:rPr>
          <w:rFonts w:ascii="Verdana" w:hAnsi="Verdana"/>
          <w:sz w:val="24"/>
          <w:szCs w:val="24"/>
        </w:rPr>
      </w:pPr>
    </w:p>
    <w:p w:rsidR="005C571C" w:rsidRPr="00C3070F" w:rsidRDefault="005C571C" w:rsidP="00C307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C3070F">
        <w:rPr>
          <w:rFonts w:ascii="Verdana" w:hAnsi="Verdana"/>
          <w:sz w:val="24"/>
          <w:szCs w:val="24"/>
        </w:rPr>
        <w:t>2. Correspondería a esta Sala determinar si procede la tutela contra la</w:t>
      </w:r>
      <w:r w:rsidR="0079585F" w:rsidRPr="00C3070F">
        <w:rPr>
          <w:rFonts w:ascii="Verdana" w:hAnsi="Verdana"/>
          <w:sz w:val="24"/>
          <w:szCs w:val="24"/>
        </w:rPr>
        <w:t>s decisiones</w:t>
      </w:r>
      <w:r w:rsidRPr="00C3070F">
        <w:rPr>
          <w:rFonts w:ascii="Verdana" w:hAnsi="Verdana"/>
          <w:sz w:val="24"/>
          <w:szCs w:val="24"/>
        </w:rPr>
        <w:t xml:space="preserve"> del juzgado accionado de</w:t>
      </w:r>
      <w:r w:rsidR="0079585F" w:rsidRPr="00C3070F">
        <w:rPr>
          <w:rFonts w:ascii="Verdana" w:hAnsi="Verdana"/>
          <w:sz w:val="24"/>
          <w:szCs w:val="24"/>
        </w:rPr>
        <w:t xml:space="preserve"> inadmitir y</w:t>
      </w:r>
      <w:r w:rsidRPr="00C3070F">
        <w:rPr>
          <w:rFonts w:ascii="Verdana" w:hAnsi="Verdana"/>
          <w:sz w:val="24"/>
          <w:szCs w:val="24"/>
        </w:rPr>
        <w:t xml:space="preserve"> rechazar la acción popular formulada por el actor y si con ello ese despacho incurrió en lesió</w:t>
      </w:r>
      <w:r w:rsidR="0079585F" w:rsidRPr="00C3070F">
        <w:rPr>
          <w:rFonts w:ascii="Verdana" w:hAnsi="Verdana"/>
          <w:sz w:val="24"/>
          <w:szCs w:val="24"/>
        </w:rPr>
        <w:t>n de sus derechos</w:t>
      </w:r>
      <w:r w:rsidRPr="00C3070F">
        <w:rPr>
          <w:rFonts w:ascii="Verdana" w:hAnsi="Verdana"/>
          <w:sz w:val="24"/>
          <w:szCs w:val="24"/>
        </w:rPr>
        <w:t>. Sin embargo, en primer lugar, se establecerá si el actuar del accionante es temerario, de acuerdo con lo que enseñan las pruebas recogidas.</w:t>
      </w:r>
    </w:p>
    <w:p w:rsidR="005C571C" w:rsidRPr="00C3070F" w:rsidRDefault="005C571C" w:rsidP="00C307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5C571C" w:rsidRPr="00C3070F" w:rsidRDefault="005C571C" w:rsidP="00C307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C3070F">
        <w:rPr>
          <w:rFonts w:ascii="Verdana" w:hAnsi="Verdana"/>
          <w:sz w:val="24"/>
          <w:szCs w:val="24"/>
        </w:rPr>
        <w:t>3. En este caso está</w:t>
      </w:r>
      <w:r w:rsidR="000B31C7">
        <w:rPr>
          <w:rFonts w:ascii="Verdana" w:hAnsi="Verdana"/>
          <w:sz w:val="24"/>
          <w:szCs w:val="24"/>
        </w:rPr>
        <w:t>n</w:t>
      </w:r>
      <w:r w:rsidRPr="00C3070F">
        <w:rPr>
          <w:rFonts w:ascii="Verdana" w:hAnsi="Verdana"/>
          <w:sz w:val="24"/>
          <w:szCs w:val="24"/>
        </w:rPr>
        <w:t xml:space="preserve"> demostrado</w:t>
      </w:r>
      <w:r w:rsidR="000B31C7">
        <w:rPr>
          <w:rFonts w:ascii="Verdana" w:hAnsi="Verdana"/>
          <w:sz w:val="24"/>
          <w:szCs w:val="24"/>
        </w:rPr>
        <w:t xml:space="preserve">s los siguientes hechos: </w:t>
      </w:r>
    </w:p>
    <w:p w:rsidR="005C571C" w:rsidRPr="00C3070F" w:rsidRDefault="005C571C" w:rsidP="00C307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5C571C" w:rsidRPr="00C3070F" w:rsidRDefault="005C571C" w:rsidP="00C307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C3070F">
        <w:rPr>
          <w:rFonts w:ascii="Verdana" w:hAnsi="Verdana"/>
          <w:sz w:val="24"/>
          <w:szCs w:val="24"/>
        </w:rPr>
        <w:t xml:space="preserve">3.1 El señor </w:t>
      </w:r>
      <w:r w:rsidR="008C3595" w:rsidRPr="00C3070F">
        <w:rPr>
          <w:rFonts w:ascii="Verdana" w:hAnsi="Verdana"/>
          <w:sz w:val="24"/>
          <w:szCs w:val="24"/>
        </w:rPr>
        <w:t>Javier Elías Arias Idárraga</w:t>
      </w:r>
      <w:r w:rsidR="000709F6" w:rsidRPr="00C3070F">
        <w:rPr>
          <w:rFonts w:ascii="Verdana" w:hAnsi="Verdana"/>
          <w:sz w:val="24"/>
          <w:szCs w:val="24"/>
        </w:rPr>
        <w:t>, el 2 de diciembre de 2016</w:t>
      </w:r>
      <w:r w:rsidRPr="00C3070F">
        <w:rPr>
          <w:rFonts w:ascii="Verdana" w:hAnsi="Verdana"/>
          <w:sz w:val="24"/>
          <w:szCs w:val="24"/>
        </w:rPr>
        <w:t xml:space="preserve">, formuló acción de tutela con el fin de obtener se ordenara al Juzgado </w:t>
      </w:r>
      <w:r w:rsidR="000709F6" w:rsidRPr="00C3070F">
        <w:rPr>
          <w:rFonts w:ascii="Verdana" w:hAnsi="Verdana"/>
          <w:sz w:val="24"/>
          <w:szCs w:val="24"/>
        </w:rPr>
        <w:t xml:space="preserve">Cuarto </w:t>
      </w:r>
      <w:r w:rsidRPr="00C3070F">
        <w:rPr>
          <w:rFonts w:ascii="Verdana" w:hAnsi="Verdana"/>
          <w:sz w:val="24"/>
          <w:szCs w:val="24"/>
        </w:rPr>
        <w:t xml:space="preserve">Civil del Circuito de </w:t>
      </w:r>
      <w:r w:rsidR="000709F6" w:rsidRPr="00C3070F">
        <w:rPr>
          <w:rFonts w:ascii="Verdana" w:hAnsi="Verdana"/>
          <w:sz w:val="24"/>
          <w:szCs w:val="24"/>
        </w:rPr>
        <w:t>Pereira</w:t>
      </w:r>
      <w:r w:rsidRPr="00C3070F">
        <w:rPr>
          <w:rFonts w:ascii="Verdana" w:hAnsi="Verdana"/>
          <w:sz w:val="24"/>
          <w:szCs w:val="24"/>
        </w:rPr>
        <w:t xml:space="preserve"> admitir la acción p</w:t>
      </w:r>
      <w:r w:rsidR="000709F6" w:rsidRPr="00C3070F">
        <w:rPr>
          <w:rFonts w:ascii="Verdana" w:hAnsi="Verdana"/>
          <w:sz w:val="24"/>
          <w:szCs w:val="24"/>
        </w:rPr>
        <w:t>opular radicada bajo el No. 2016-00506</w:t>
      </w:r>
      <w:r w:rsidRPr="00C3070F">
        <w:rPr>
          <w:rFonts w:ascii="Verdana" w:hAnsi="Verdana"/>
          <w:sz w:val="24"/>
          <w:szCs w:val="24"/>
        </w:rPr>
        <w:t>, la cual fue rechazada</w:t>
      </w:r>
      <w:r w:rsidR="008F3968" w:rsidRPr="00C3070F">
        <w:rPr>
          <w:rFonts w:ascii="Verdana" w:hAnsi="Verdana"/>
          <w:sz w:val="24"/>
          <w:szCs w:val="24"/>
        </w:rPr>
        <w:t xml:space="preserve"> porque no se aportó el certificado de existencia y representación legal de la entidad accionada, a</w:t>
      </w:r>
      <w:r w:rsidRPr="00C3070F">
        <w:rPr>
          <w:rFonts w:ascii="Verdana" w:hAnsi="Verdana"/>
          <w:sz w:val="24"/>
          <w:szCs w:val="24"/>
        </w:rPr>
        <w:t xml:space="preserve"> pesar de que </w:t>
      </w:r>
      <w:r w:rsidR="008F3968" w:rsidRPr="00C3070F">
        <w:rPr>
          <w:rFonts w:ascii="Verdana" w:hAnsi="Verdana"/>
          <w:sz w:val="24"/>
          <w:szCs w:val="24"/>
        </w:rPr>
        <w:t xml:space="preserve">se informó que el domicilio de esta </w:t>
      </w:r>
      <w:r w:rsidR="009E395C">
        <w:rPr>
          <w:rFonts w:ascii="Verdana" w:hAnsi="Verdana"/>
          <w:sz w:val="24"/>
          <w:szCs w:val="24"/>
        </w:rPr>
        <w:t>última se encuentra en Pereira</w:t>
      </w:r>
      <w:r w:rsidR="00C3070F" w:rsidRPr="00C3070F">
        <w:rPr>
          <w:rFonts w:ascii="Verdana" w:hAnsi="Verdana"/>
          <w:sz w:val="24"/>
          <w:szCs w:val="24"/>
        </w:rPr>
        <w:t xml:space="preserve"> y que ese requisito no está contemplado en el artículo 18 de la Ley 472 de 1998.</w:t>
      </w:r>
      <w:r w:rsidR="009E395C">
        <w:rPr>
          <w:rFonts w:ascii="Verdana" w:hAnsi="Verdana"/>
          <w:sz w:val="24"/>
          <w:szCs w:val="24"/>
        </w:rPr>
        <w:t xml:space="preserve"> Además solicitó, de manera </w:t>
      </w:r>
      <w:r w:rsidR="009E395C">
        <w:rPr>
          <w:rFonts w:ascii="Verdana" w:hAnsi="Verdana"/>
          <w:sz w:val="24"/>
          <w:szCs w:val="24"/>
        </w:rPr>
        <w:lastRenderedPageBreak/>
        <w:t xml:space="preserve">subsidiaria, se ordenara al despacho accionado conceder </w:t>
      </w:r>
      <w:r w:rsidR="00C3070F" w:rsidRPr="00C3070F">
        <w:rPr>
          <w:rFonts w:ascii="Verdana" w:hAnsi="Verdana"/>
          <w:sz w:val="24"/>
          <w:szCs w:val="24"/>
        </w:rPr>
        <w:t>el recurso de apelación</w:t>
      </w:r>
      <w:r w:rsidR="009E395C">
        <w:rPr>
          <w:rFonts w:ascii="Verdana" w:hAnsi="Verdana"/>
          <w:sz w:val="24"/>
          <w:szCs w:val="24"/>
        </w:rPr>
        <w:t xml:space="preserve"> formulado</w:t>
      </w:r>
      <w:r w:rsidR="00C3070F" w:rsidRPr="00C3070F">
        <w:rPr>
          <w:rFonts w:ascii="Verdana" w:hAnsi="Verdana"/>
          <w:sz w:val="24"/>
          <w:szCs w:val="24"/>
        </w:rPr>
        <w:t xml:space="preserve"> y aportar </w:t>
      </w:r>
      <w:r w:rsidR="007360FC">
        <w:rPr>
          <w:rFonts w:ascii="Verdana" w:hAnsi="Verdana"/>
          <w:sz w:val="24"/>
          <w:szCs w:val="24"/>
        </w:rPr>
        <w:t>un listado de</w:t>
      </w:r>
      <w:r w:rsidR="00C3070F" w:rsidRPr="00C3070F">
        <w:rPr>
          <w:rFonts w:ascii="Verdana" w:hAnsi="Verdana"/>
          <w:sz w:val="24"/>
          <w:szCs w:val="24"/>
        </w:rPr>
        <w:t xml:space="preserve"> las acciones populares que ha rechazado con sustento en requisitos inexistentes y</w:t>
      </w:r>
      <w:r w:rsidR="007360FC">
        <w:rPr>
          <w:rFonts w:ascii="Verdana" w:hAnsi="Verdana"/>
          <w:sz w:val="24"/>
          <w:szCs w:val="24"/>
        </w:rPr>
        <w:t xml:space="preserve"> que el </w:t>
      </w:r>
      <w:r w:rsidR="00C3070F" w:rsidRPr="00C3070F">
        <w:rPr>
          <w:rFonts w:ascii="Verdana" w:hAnsi="Verdana"/>
          <w:sz w:val="24"/>
          <w:szCs w:val="24"/>
        </w:rPr>
        <w:t xml:space="preserve"> Procurador Deleg</w:t>
      </w:r>
      <w:r w:rsidR="007360FC">
        <w:rPr>
          <w:rFonts w:ascii="Verdana" w:hAnsi="Verdana"/>
          <w:sz w:val="24"/>
          <w:szCs w:val="24"/>
        </w:rPr>
        <w:t>ado del Ministerio Público s</w:t>
      </w:r>
      <w:r w:rsidR="004155B6">
        <w:rPr>
          <w:rFonts w:ascii="Verdana" w:hAnsi="Verdana"/>
          <w:sz w:val="24"/>
          <w:szCs w:val="24"/>
        </w:rPr>
        <w:t>e pronunciara</w:t>
      </w:r>
      <w:r w:rsidR="00C3070F" w:rsidRPr="00C3070F">
        <w:rPr>
          <w:rFonts w:ascii="Verdana" w:hAnsi="Verdana"/>
          <w:sz w:val="24"/>
          <w:szCs w:val="24"/>
        </w:rPr>
        <w:t xml:space="preserve"> </w:t>
      </w:r>
      <w:r w:rsidR="007360FC">
        <w:rPr>
          <w:rFonts w:ascii="Verdana" w:hAnsi="Verdana"/>
          <w:sz w:val="24"/>
          <w:szCs w:val="24"/>
        </w:rPr>
        <w:t xml:space="preserve">sobre </w:t>
      </w:r>
      <w:r w:rsidR="00C3070F" w:rsidRPr="00C3070F">
        <w:rPr>
          <w:rFonts w:ascii="Verdana" w:hAnsi="Verdana"/>
          <w:sz w:val="24"/>
          <w:szCs w:val="24"/>
        </w:rPr>
        <w:t xml:space="preserve">la legalidad del auto que no </w:t>
      </w:r>
      <w:r w:rsidR="007360FC">
        <w:rPr>
          <w:rFonts w:ascii="Verdana" w:hAnsi="Verdana"/>
          <w:sz w:val="24"/>
          <w:szCs w:val="24"/>
        </w:rPr>
        <w:t>da trámite a su demanda popular</w:t>
      </w:r>
      <w:r w:rsidRPr="00C3070F">
        <w:rPr>
          <w:rFonts w:ascii="Verdana" w:hAnsi="Verdana"/>
          <w:sz w:val="24"/>
          <w:szCs w:val="24"/>
          <w:vertAlign w:val="superscript"/>
        </w:rPr>
        <w:footnoteReference w:id="1"/>
      </w:r>
      <w:r w:rsidRPr="00C3070F">
        <w:rPr>
          <w:rFonts w:ascii="Verdana" w:hAnsi="Verdana"/>
          <w:sz w:val="24"/>
          <w:szCs w:val="24"/>
        </w:rPr>
        <w:t xml:space="preserve">. </w:t>
      </w:r>
    </w:p>
    <w:p w:rsidR="005C571C" w:rsidRPr="00C3070F" w:rsidRDefault="005C571C" w:rsidP="00C307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5C571C" w:rsidRPr="00C3070F" w:rsidRDefault="00A04B45" w:rsidP="00C307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Pr>
          <w:rFonts w:ascii="Verdana" w:hAnsi="Verdana"/>
          <w:sz w:val="24"/>
          <w:szCs w:val="24"/>
        </w:rPr>
        <w:t>3.2 Mediante fallo del 11</w:t>
      </w:r>
      <w:r w:rsidR="005C571C" w:rsidRPr="00C3070F">
        <w:rPr>
          <w:rFonts w:ascii="Verdana" w:hAnsi="Verdana"/>
          <w:sz w:val="24"/>
          <w:szCs w:val="24"/>
        </w:rPr>
        <w:t xml:space="preserve"> de</w:t>
      </w:r>
      <w:r>
        <w:rPr>
          <w:rFonts w:ascii="Verdana" w:hAnsi="Verdana"/>
          <w:sz w:val="24"/>
          <w:szCs w:val="24"/>
        </w:rPr>
        <w:t xml:space="preserve"> enero </w:t>
      </w:r>
      <w:r w:rsidR="005C571C" w:rsidRPr="00C3070F">
        <w:rPr>
          <w:rFonts w:ascii="Verdana" w:hAnsi="Verdana"/>
          <w:sz w:val="24"/>
          <w:szCs w:val="24"/>
        </w:rPr>
        <w:t>de 2017, esta Sala decidió, en trámite acumulado, declarar improcedente el amparo</w:t>
      </w:r>
      <w:r w:rsidR="005C571C" w:rsidRPr="00C3070F">
        <w:rPr>
          <w:rFonts w:ascii="Verdana" w:hAnsi="Verdana"/>
          <w:sz w:val="24"/>
          <w:szCs w:val="24"/>
          <w:vertAlign w:val="superscript"/>
        </w:rPr>
        <w:footnoteReference w:id="2"/>
      </w:r>
      <w:r w:rsidR="005C571C" w:rsidRPr="00C3070F">
        <w:rPr>
          <w:rFonts w:ascii="Verdana" w:hAnsi="Verdana"/>
          <w:sz w:val="24"/>
          <w:szCs w:val="24"/>
        </w:rPr>
        <w:t>.</w:t>
      </w:r>
    </w:p>
    <w:p w:rsidR="005C571C" w:rsidRPr="00C3070F" w:rsidRDefault="005C571C" w:rsidP="00C307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5C571C" w:rsidRPr="00C3070F" w:rsidRDefault="00A04B45" w:rsidP="004A29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i/>
          <w:sz w:val="24"/>
          <w:szCs w:val="24"/>
        </w:rPr>
      </w:pPr>
      <w:r>
        <w:rPr>
          <w:rFonts w:ascii="Verdana" w:hAnsi="Verdana"/>
          <w:sz w:val="24"/>
          <w:szCs w:val="24"/>
        </w:rPr>
        <w:t xml:space="preserve">3.3 </w:t>
      </w:r>
      <w:r w:rsidR="000B31C7">
        <w:rPr>
          <w:rFonts w:ascii="Verdana" w:hAnsi="Verdana"/>
          <w:sz w:val="24"/>
          <w:szCs w:val="24"/>
        </w:rPr>
        <w:t xml:space="preserve">En </w:t>
      </w:r>
      <w:r>
        <w:rPr>
          <w:rFonts w:ascii="Verdana" w:hAnsi="Verdana"/>
          <w:sz w:val="24"/>
          <w:szCs w:val="24"/>
        </w:rPr>
        <w:t>sentencia del 17</w:t>
      </w:r>
      <w:r w:rsidR="005C571C" w:rsidRPr="00C3070F">
        <w:rPr>
          <w:rFonts w:ascii="Verdana" w:hAnsi="Verdana"/>
          <w:sz w:val="24"/>
          <w:szCs w:val="24"/>
        </w:rPr>
        <w:t xml:space="preserve"> de</w:t>
      </w:r>
      <w:r>
        <w:rPr>
          <w:rFonts w:ascii="Verdana" w:hAnsi="Verdana"/>
          <w:sz w:val="24"/>
          <w:szCs w:val="24"/>
        </w:rPr>
        <w:t xml:space="preserve"> febrero de 2017</w:t>
      </w:r>
      <w:r w:rsidR="005C571C" w:rsidRPr="00C3070F">
        <w:rPr>
          <w:rFonts w:ascii="Verdana" w:hAnsi="Verdana"/>
          <w:sz w:val="24"/>
          <w:szCs w:val="24"/>
        </w:rPr>
        <w:t xml:space="preserve">, la Sala Civil de la Corte Suprema de Justicia resolvió confirmar esa decisión, impugnada por el accionante, con sustento en que </w:t>
      </w:r>
      <w:r w:rsidR="005C571C" w:rsidRPr="00C3070F">
        <w:rPr>
          <w:rFonts w:ascii="Verdana" w:hAnsi="Verdana"/>
          <w:i/>
          <w:sz w:val="24"/>
          <w:szCs w:val="24"/>
        </w:rPr>
        <w:t>“</w:t>
      </w:r>
      <w:r w:rsidR="004A29B9" w:rsidRPr="004A29B9">
        <w:rPr>
          <w:rFonts w:ascii="Verdana" w:hAnsi="Verdana"/>
          <w:i/>
          <w:sz w:val="24"/>
          <w:szCs w:val="24"/>
        </w:rPr>
        <w:t>En el presente asunto, sin duda, la queja va dirigida contra los proveídos de 22 de noviembre de 2016, por medio de los cuales el Juzgado Cuarto Civil del Circuito de Pereira dispuso «RECHAZA[R]» las acciones populares que el quejoso promovió en contra del Audifarma S.A., pues en sentir de éste, no estaba en la obligación de brindar información adicional a la aportada en el escrito genitor, conforme a lo previsto en el artículo 18 de la Ley 472 de 1998</w:t>
      </w:r>
      <w:r w:rsidR="004A29B9">
        <w:rPr>
          <w:rFonts w:ascii="Verdana" w:hAnsi="Verdana"/>
          <w:i/>
          <w:sz w:val="24"/>
          <w:szCs w:val="24"/>
        </w:rPr>
        <w:t xml:space="preserve">… </w:t>
      </w:r>
      <w:r w:rsidR="004A29B9" w:rsidRPr="004A29B9">
        <w:rPr>
          <w:rFonts w:ascii="Verdana" w:hAnsi="Verdana"/>
          <w:i/>
          <w:sz w:val="24"/>
          <w:szCs w:val="24"/>
        </w:rPr>
        <w:t>Sin embargo, la Sala de cara a las inconformidades aducidas con respecto a la providencia citada, considera que surge patente la improcedencia del amparo reclamado, si se tiene en cuenta que las cuestiones planteadas por el peticionario resultan ajenas al campo de actuación del juez constitucional, toda vez que dentro de la prenotada controversia el actor no hizo uso de las herramientas de defensa que tuvo a su alcance para obtener lo aquí pretendido, tal y como lo prevé el inciso 3º del artículo 86 de la Constitución Política, en concordancia con el numeral 1º del artículo 6º del Decreto 2591 de 1991</w:t>
      </w:r>
      <w:r w:rsidR="008F621B">
        <w:rPr>
          <w:rFonts w:ascii="Verdana" w:hAnsi="Verdana"/>
          <w:i/>
          <w:sz w:val="24"/>
          <w:szCs w:val="24"/>
        </w:rPr>
        <w:t>…</w:t>
      </w:r>
      <w:r w:rsidR="004A29B9" w:rsidRPr="004A29B9">
        <w:rPr>
          <w:rFonts w:ascii="Verdana" w:hAnsi="Verdana"/>
          <w:i/>
          <w:sz w:val="24"/>
          <w:szCs w:val="24"/>
        </w:rPr>
        <w:t xml:space="preserve"> En efecto, se arriba a tal conclusión, pues de acuerdo a las documentales adosadas y el informe del Juzgado convocado, la decisión reprochada no fue objeto del recurso ordinario previsto por el legislador, esto es, el de reposición, de conformidad con lo previsto en el artículo 36 de la Ley 472 de 1998, </w:t>
      </w:r>
      <w:r w:rsidR="004A29B9" w:rsidRPr="004A29B9">
        <w:rPr>
          <w:rFonts w:ascii="Verdana" w:hAnsi="Verdana"/>
          <w:i/>
          <w:sz w:val="24"/>
          <w:szCs w:val="24"/>
        </w:rPr>
        <w:lastRenderedPageBreak/>
        <w:t>mecanismo de impugnación que estaba a su disposición para debatir ante el juez natural las inconformidades aquí traídas, de forma que no le es dado acudir a esta acción constitucional, sin que se haya agotado el medio procesal contemplado en la ley, para controvertir la determinación que estima lesiv</w:t>
      </w:r>
      <w:r w:rsidR="008F621B">
        <w:rPr>
          <w:rFonts w:ascii="Verdana" w:hAnsi="Verdana"/>
          <w:i/>
          <w:sz w:val="24"/>
          <w:szCs w:val="24"/>
        </w:rPr>
        <w:t>a de sus derechos fundamentales</w:t>
      </w:r>
      <w:r w:rsidR="004A29B9">
        <w:rPr>
          <w:rFonts w:ascii="Verdana" w:hAnsi="Verdana"/>
          <w:i/>
          <w:sz w:val="24"/>
          <w:szCs w:val="24"/>
        </w:rPr>
        <w:t>”</w:t>
      </w:r>
      <w:r w:rsidR="005C571C" w:rsidRPr="00C3070F">
        <w:rPr>
          <w:rFonts w:ascii="Verdana" w:hAnsi="Verdana"/>
          <w:sz w:val="24"/>
          <w:szCs w:val="24"/>
          <w:vertAlign w:val="superscript"/>
        </w:rPr>
        <w:footnoteReference w:id="3"/>
      </w:r>
      <w:r w:rsidR="005C571C" w:rsidRPr="00C3070F">
        <w:rPr>
          <w:rFonts w:ascii="Verdana" w:hAnsi="Verdana"/>
          <w:sz w:val="24"/>
          <w:szCs w:val="24"/>
        </w:rPr>
        <w:t xml:space="preserve">. </w:t>
      </w:r>
    </w:p>
    <w:p w:rsidR="005C571C" w:rsidRPr="00C3070F" w:rsidRDefault="005C571C" w:rsidP="00C307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206F3B" w:rsidRPr="00C3070F" w:rsidRDefault="00206F3B" w:rsidP="00C307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C3070F">
        <w:rPr>
          <w:rFonts w:ascii="Verdana" w:hAnsi="Verdana"/>
          <w:sz w:val="24"/>
          <w:szCs w:val="24"/>
        </w:rPr>
        <w:t>4. Confrontada esa acción de amparo con la que es objeto de estudio, se concluye que en ambas intervienen las mismas partes, pues fueron promovidas por el señor Javier Elías Arias Idárraga contra el Juzgado</w:t>
      </w:r>
      <w:r w:rsidR="003F7DBF">
        <w:rPr>
          <w:rFonts w:ascii="Verdana" w:hAnsi="Verdana"/>
          <w:sz w:val="24"/>
          <w:szCs w:val="24"/>
        </w:rPr>
        <w:t xml:space="preserve"> Cuarto</w:t>
      </w:r>
      <w:r w:rsidRPr="00C3070F">
        <w:rPr>
          <w:rFonts w:ascii="Verdana" w:hAnsi="Verdana"/>
          <w:sz w:val="24"/>
          <w:szCs w:val="24"/>
        </w:rPr>
        <w:t xml:space="preserve"> Civil del Circuito de </w:t>
      </w:r>
      <w:r w:rsidR="003F7DBF">
        <w:rPr>
          <w:rFonts w:ascii="Verdana" w:hAnsi="Verdana"/>
          <w:sz w:val="24"/>
          <w:szCs w:val="24"/>
        </w:rPr>
        <w:t>esta ciudad</w:t>
      </w:r>
      <w:r w:rsidRPr="00C3070F">
        <w:rPr>
          <w:rFonts w:ascii="Verdana" w:hAnsi="Verdana"/>
          <w:sz w:val="24"/>
          <w:szCs w:val="24"/>
        </w:rPr>
        <w:t xml:space="preserve">; se fundamentaron en los mismos hechos, concretamente en la inconformidad con el rechazo de la demanda popular y pretenden obtener similares declaraciones.  </w:t>
      </w:r>
    </w:p>
    <w:p w:rsidR="00206F3B" w:rsidRPr="00C3070F" w:rsidRDefault="00206F3B" w:rsidP="00C307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206F3B" w:rsidRPr="00C3070F" w:rsidRDefault="00206F3B" w:rsidP="00C307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C3070F">
        <w:rPr>
          <w:rFonts w:ascii="Verdana" w:hAnsi="Verdana"/>
          <w:sz w:val="24"/>
          <w:szCs w:val="24"/>
        </w:rPr>
        <w:t>En este punto, es válido señalar que en relación con esas circunstancias, no se adujeron situaciones nuevas que justifiquen pronunciamiento diferente al que ya se emitió por este Tribunal.</w:t>
      </w:r>
    </w:p>
    <w:p w:rsidR="00206F3B" w:rsidRPr="00C3070F" w:rsidRDefault="00206F3B" w:rsidP="00C307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206F3B" w:rsidRPr="00C3070F" w:rsidRDefault="00206F3B" w:rsidP="00C3070F">
      <w:pPr>
        <w:spacing w:line="360" w:lineRule="auto"/>
        <w:jc w:val="both"/>
        <w:rPr>
          <w:rFonts w:ascii="Verdana" w:hAnsi="Verdana"/>
          <w:i/>
          <w:sz w:val="24"/>
          <w:szCs w:val="24"/>
        </w:rPr>
      </w:pPr>
      <w:r w:rsidRPr="00C3070F">
        <w:rPr>
          <w:rFonts w:ascii="Verdana" w:hAnsi="Verdana"/>
          <w:sz w:val="24"/>
          <w:szCs w:val="24"/>
        </w:rPr>
        <w:t xml:space="preserve">El artículo 38 del Decreto 2591 de 1991 dice: </w:t>
      </w:r>
      <w:r w:rsidRPr="00C3070F">
        <w:rPr>
          <w:rFonts w:ascii="Verdana" w:hAnsi="Verdana"/>
          <w:szCs w:val="24"/>
        </w:rPr>
        <w:t>“</w:t>
      </w:r>
      <w:r w:rsidRPr="00C3070F">
        <w:rPr>
          <w:rFonts w:ascii="Verdana" w:hAnsi="Verdana"/>
          <w:i/>
          <w:sz w:val="24"/>
          <w:szCs w:val="24"/>
        </w:rPr>
        <w:t>Cuando, sin motivo expresamente justificado, la misma acción de tutela sea presentada por la misma persona o su representante ante varios jueces o tribunales, se rechazarán o decidirán desfavorablemente todas las solicitudes.”</w:t>
      </w:r>
    </w:p>
    <w:p w:rsidR="00206F3B" w:rsidRPr="00C3070F" w:rsidRDefault="00206F3B" w:rsidP="00C3070F">
      <w:pPr>
        <w:spacing w:line="360" w:lineRule="auto"/>
        <w:jc w:val="both"/>
        <w:rPr>
          <w:rFonts w:ascii="Verdana" w:hAnsi="Verdana"/>
          <w:sz w:val="24"/>
          <w:szCs w:val="24"/>
        </w:rPr>
      </w:pPr>
    </w:p>
    <w:p w:rsidR="00206F3B" w:rsidRPr="00C3070F" w:rsidRDefault="00206F3B" w:rsidP="00C3070F">
      <w:pPr>
        <w:spacing w:line="360" w:lineRule="auto"/>
        <w:jc w:val="both"/>
        <w:rPr>
          <w:rFonts w:ascii="Verdana" w:hAnsi="Verdana"/>
          <w:sz w:val="24"/>
          <w:szCs w:val="24"/>
        </w:rPr>
      </w:pPr>
      <w:r w:rsidRPr="00C3070F">
        <w:rPr>
          <w:rFonts w:ascii="Verdana" w:hAnsi="Verdana"/>
          <w:sz w:val="24"/>
          <w:szCs w:val="24"/>
        </w:rPr>
        <w:t>Sobre el contenido de esa disposición ha dicho la Sala de Casación Civil de la Corte Suprema de Justicia, que:</w:t>
      </w:r>
    </w:p>
    <w:p w:rsidR="00206F3B" w:rsidRPr="00C3070F" w:rsidRDefault="00206F3B" w:rsidP="00C3070F">
      <w:pPr>
        <w:pStyle w:val="Sinespaciado1"/>
        <w:spacing w:line="360" w:lineRule="auto"/>
        <w:ind w:right="51"/>
        <w:jc w:val="both"/>
        <w:rPr>
          <w:rFonts w:ascii="Verdana" w:hAnsi="Verdana"/>
        </w:rPr>
      </w:pPr>
    </w:p>
    <w:p w:rsidR="00206F3B" w:rsidRPr="00F90283" w:rsidRDefault="00206F3B" w:rsidP="00C3070F">
      <w:pPr>
        <w:overflowPunct/>
        <w:autoSpaceDE/>
        <w:adjustRightInd/>
        <w:spacing w:line="360" w:lineRule="auto"/>
        <w:jc w:val="both"/>
        <w:rPr>
          <w:rFonts w:ascii="Verdana" w:hAnsi="Verdana" w:cs="Arial"/>
          <w:spacing w:val="4"/>
          <w:lang w:val="es-ES"/>
        </w:rPr>
      </w:pPr>
      <w:r w:rsidRPr="00C3070F">
        <w:rPr>
          <w:rFonts w:ascii="Verdana" w:hAnsi="Verdana" w:cs="Arial"/>
        </w:rPr>
        <w:t xml:space="preserve">    </w:t>
      </w:r>
      <w:r w:rsidRPr="00F90283">
        <w:rPr>
          <w:rFonts w:ascii="Verdana" w:hAnsi="Verdana" w:cs="Arial"/>
          <w:spacing w:val="4"/>
        </w:rPr>
        <w:t>“</w:t>
      </w:r>
      <w:r w:rsidRPr="00F90283">
        <w:rPr>
          <w:rFonts w:ascii="Verdana" w:hAnsi="Verdana"/>
          <w:spacing w:val="4"/>
          <w:lang w:val="es-ES"/>
        </w:rPr>
        <w:t xml:space="preserve">La Corporación, </w:t>
      </w:r>
      <w:r w:rsidRPr="00F90283">
        <w:rPr>
          <w:rFonts w:ascii="Verdana" w:hAnsi="Verdana" w:cs="Arial"/>
          <w:spacing w:val="4"/>
          <w:lang w:val="es-ES"/>
        </w:rPr>
        <w:t xml:space="preserve">frente al tema, viene señalando que, </w:t>
      </w:r>
    </w:p>
    <w:p w:rsidR="00206F3B" w:rsidRPr="00F90283" w:rsidRDefault="00206F3B" w:rsidP="00C3070F">
      <w:pPr>
        <w:overflowPunct/>
        <w:autoSpaceDE/>
        <w:adjustRightInd/>
        <w:spacing w:line="360" w:lineRule="auto"/>
        <w:ind w:firstLine="709"/>
        <w:jc w:val="both"/>
        <w:rPr>
          <w:rFonts w:ascii="Verdana" w:hAnsi="Verdana" w:cs="Arial"/>
          <w:spacing w:val="4"/>
          <w:lang w:val="es-CO"/>
        </w:rPr>
      </w:pPr>
    </w:p>
    <w:p w:rsidR="00206F3B" w:rsidRPr="00F90283" w:rsidRDefault="00206F3B" w:rsidP="00C3070F">
      <w:pPr>
        <w:overflowPunct/>
        <w:autoSpaceDE/>
        <w:adjustRightInd/>
        <w:spacing w:line="360" w:lineRule="auto"/>
        <w:ind w:left="993" w:right="708"/>
        <w:jc w:val="both"/>
        <w:rPr>
          <w:rFonts w:ascii="Verdana" w:hAnsi="Verdana" w:cs="Arial"/>
          <w:i/>
          <w:spacing w:val="4"/>
          <w:lang w:val="es-ES"/>
        </w:rPr>
      </w:pPr>
      <w:r w:rsidRPr="00F90283">
        <w:rPr>
          <w:rFonts w:ascii="Verdana" w:hAnsi="Verdana" w:cs="Arial"/>
          <w:spacing w:val="4"/>
          <w:lang w:val="es-ES"/>
        </w:rPr>
        <w:t>(…)</w:t>
      </w:r>
      <w:r w:rsidRPr="00F90283">
        <w:rPr>
          <w:rFonts w:ascii="Verdana" w:hAnsi="Verdana" w:cs="Arial"/>
          <w:i/>
          <w:spacing w:val="4"/>
          <w:lang w:val="es-ES"/>
        </w:rPr>
        <w:t xml:space="preserve"> la acción de tutela está sujeta al principio de la unicidad de su promoción, que prohíbe que la idéntica queja constitucional sea presentada en varias oportunidades y por la misma persona o su representante, o que su reiterada invocación se realice sin </w:t>
      </w:r>
      <w:r w:rsidRPr="00F90283">
        <w:rPr>
          <w:rFonts w:ascii="Verdana" w:hAnsi="Verdana" w:cs="Arial"/>
          <w:i/>
          <w:spacing w:val="4"/>
          <w:lang w:val="es-ES"/>
        </w:rPr>
        <w:lastRenderedPageBreak/>
        <w:t xml:space="preserve">motivo expresamente justificado; precepto que tipifica una forma de temeridad en esta materia y que conlleva a examinar si la 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w:t>
      </w:r>
      <w:r w:rsidRPr="00F90283">
        <w:rPr>
          <w:rFonts w:ascii="Verdana" w:hAnsi="Verdana" w:cs="Arial"/>
          <w:spacing w:val="4"/>
          <w:lang w:val="es-ES"/>
        </w:rPr>
        <w:t>(</w:t>
      </w:r>
      <w:r w:rsidRPr="00F90283">
        <w:rPr>
          <w:rFonts w:ascii="Verdana" w:hAnsi="Verdana"/>
          <w:spacing w:val="4"/>
          <w:lang w:val="es-ES"/>
        </w:rPr>
        <w:t xml:space="preserve">CSJ, STC 21 oct. 2009, rad. 01841-00, citada en </w:t>
      </w:r>
      <w:r w:rsidRPr="00F90283">
        <w:rPr>
          <w:rFonts w:ascii="Verdana" w:hAnsi="Verdana" w:cs="Arial"/>
          <w:spacing w:val="4"/>
          <w:lang w:val="es-ES"/>
        </w:rPr>
        <w:t>STC16579-2015, 2 dic., rad. 00442-01)</w:t>
      </w:r>
      <w:r w:rsidRPr="00F90283">
        <w:rPr>
          <w:rFonts w:ascii="Verdana" w:hAnsi="Verdana" w:cs="Arial"/>
          <w:i/>
          <w:spacing w:val="4"/>
          <w:lang w:val="es-ES"/>
        </w:rPr>
        <w:t>.</w:t>
      </w:r>
    </w:p>
    <w:p w:rsidR="00206F3B" w:rsidRPr="00F90283" w:rsidRDefault="00206F3B" w:rsidP="00C3070F">
      <w:pPr>
        <w:overflowPunct/>
        <w:autoSpaceDE/>
        <w:adjustRightInd/>
        <w:spacing w:line="360" w:lineRule="auto"/>
        <w:ind w:left="630"/>
        <w:jc w:val="both"/>
        <w:rPr>
          <w:rFonts w:ascii="Verdana" w:hAnsi="Verdana" w:cs="Arial"/>
          <w:i/>
          <w:spacing w:val="4"/>
        </w:rPr>
      </w:pPr>
    </w:p>
    <w:p w:rsidR="00206F3B" w:rsidRPr="00F90283" w:rsidRDefault="00206F3B" w:rsidP="00C3070F">
      <w:pPr>
        <w:overflowPunct/>
        <w:autoSpaceDE/>
        <w:adjustRightInd/>
        <w:spacing w:line="360" w:lineRule="auto"/>
        <w:ind w:left="284" w:right="335"/>
        <w:jc w:val="both"/>
        <w:rPr>
          <w:rFonts w:ascii="Verdana" w:hAnsi="Verdana" w:cs="Arial"/>
          <w:spacing w:val="4"/>
          <w:lang w:val="es-ES"/>
        </w:rPr>
      </w:pPr>
      <w:r w:rsidRPr="00F90283">
        <w:rPr>
          <w:rFonts w:ascii="Verdana" w:hAnsi="Verdana" w:cs="Arial"/>
          <w:spacing w:val="4"/>
          <w:lang w:val="es-ES"/>
        </w:rPr>
        <w:t xml:space="preserve">Respecto de esa figura jurídica se ha explicado que, </w:t>
      </w:r>
    </w:p>
    <w:p w:rsidR="00206F3B" w:rsidRPr="00F90283" w:rsidRDefault="00206F3B" w:rsidP="00C3070F">
      <w:pPr>
        <w:overflowPunct/>
        <w:autoSpaceDE/>
        <w:adjustRightInd/>
        <w:spacing w:line="360" w:lineRule="auto"/>
        <w:ind w:left="284" w:right="335"/>
        <w:jc w:val="both"/>
        <w:rPr>
          <w:rFonts w:ascii="Verdana" w:hAnsi="Verdana" w:cs="Arial"/>
          <w:spacing w:val="4"/>
          <w:lang w:val="es-ES"/>
        </w:rPr>
      </w:pPr>
    </w:p>
    <w:p w:rsidR="00206F3B" w:rsidRPr="00F90283" w:rsidRDefault="00206F3B" w:rsidP="00C3070F">
      <w:pPr>
        <w:overflowPunct/>
        <w:autoSpaceDE/>
        <w:adjustRightInd/>
        <w:spacing w:line="360" w:lineRule="auto"/>
        <w:ind w:left="708" w:right="708"/>
        <w:jc w:val="both"/>
        <w:rPr>
          <w:rFonts w:ascii="Verdana" w:hAnsi="Verdana" w:cs="Arial"/>
          <w:spacing w:val="4"/>
          <w:lang w:val="es-ES"/>
        </w:rPr>
      </w:pPr>
      <w:r w:rsidRPr="00F90283">
        <w:rPr>
          <w:rFonts w:ascii="Verdana" w:hAnsi="Verdana" w:cs="Arial"/>
          <w:spacing w:val="4"/>
          <w:lang w:val="es-ES"/>
        </w:rPr>
        <w:t>(…)</w:t>
      </w:r>
      <w:r w:rsidRPr="00F90283">
        <w:rPr>
          <w:rFonts w:ascii="Verdana" w:hAnsi="Verdana" w:cs="Arial"/>
          <w:i/>
          <w:spacing w:val="4"/>
          <w:lang w:val="es-ES"/>
        </w:rPr>
        <w:t xml:space="preserve"> la temeridad relacionada en la norma antes citada, conlleva a examinar si la nueva acción es igual a la anterior, vale decir, si entre ambas existe identidad de hechos y derechos, así como las partes accionante y accionada, no importa que tengan algunas diferencias incidentales </w:t>
      </w:r>
      <w:r w:rsidRPr="00F90283">
        <w:rPr>
          <w:rFonts w:ascii="Verdana" w:hAnsi="Verdana" w:cs="Arial"/>
          <w:spacing w:val="4"/>
          <w:lang w:val="es-ES"/>
        </w:rPr>
        <w:t>(CSJ STC, 31 de jul. 2014, rad. 01590-00, reiterada en STC13601-2015, 10 oct., rad. 02281-00).</w:t>
      </w:r>
    </w:p>
    <w:p w:rsidR="00206F3B" w:rsidRPr="00F90283" w:rsidRDefault="00206F3B" w:rsidP="00C3070F">
      <w:pPr>
        <w:overflowPunct/>
        <w:autoSpaceDE/>
        <w:adjustRightInd/>
        <w:spacing w:line="360" w:lineRule="auto"/>
        <w:ind w:left="708"/>
        <w:jc w:val="both"/>
        <w:rPr>
          <w:rFonts w:ascii="Verdana" w:hAnsi="Verdana" w:cs="Arial"/>
          <w:spacing w:val="4"/>
          <w:lang w:val="es-ES"/>
        </w:rPr>
      </w:pPr>
    </w:p>
    <w:p w:rsidR="00206F3B" w:rsidRPr="00F90283" w:rsidRDefault="00206F3B" w:rsidP="00C3070F">
      <w:pPr>
        <w:tabs>
          <w:tab w:val="left" w:pos="7938"/>
        </w:tabs>
        <w:overflowPunct/>
        <w:autoSpaceDE/>
        <w:adjustRightInd/>
        <w:spacing w:line="360" w:lineRule="auto"/>
        <w:ind w:left="284" w:right="335"/>
        <w:jc w:val="both"/>
        <w:rPr>
          <w:rFonts w:ascii="Verdana" w:hAnsi="Verdana"/>
          <w:spacing w:val="4"/>
          <w:lang w:val="es-CO"/>
        </w:rPr>
      </w:pPr>
      <w:r w:rsidRPr="00F90283">
        <w:rPr>
          <w:rFonts w:ascii="Verdana" w:hAnsi="Verdana"/>
          <w:spacing w:val="4"/>
          <w:lang w:val="es-CO"/>
        </w:rPr>
        <w:t>La situación descrita se presenta en este caso, pues, en la sentencia STC1602 de 11 de febrero de 2016, radicado 00608-01, entre otras, la Sala estudió un resguardo del mismo demandante Javier Elías Arias Idárraga, porque «</w:t>
      </w:r>
      <w:r w:rsidRPr="00F90283">
        <w:rPr>
          <w:rFonts w:ascii="Verdana" w:hAnsi="Verdana"/>
          <w:i/>
          <w:spacing w:val="4"/>
          <w:lang w:val="es-CO"/>
        </w:rPr>
        <w:t>la Defensoría del Pueblo se ha negado (…) a cumplir con su (…) deber de impetrar tutelas a [su] nombre</w:t>
      </w:r>
      <w:r w:rsidRPr="00F90283">
        <w:rPr>
          <w:rFonts w:ascii="Verdana" w:hAnsi="Verdana"/>
          <w:spacing w:val="4"/>
          <w:lang w:val="es-CO"/>
        </w:rPr>
        <w:t>», con lo cual dijo transgredirse «</w:t>
      </w:r>
      <w:r w:rsidRPr="00F90283">
        <w:rPr>
          <w:rFonts w:ascii="Verdana" w:hAnsi="Verdana"/>
          <w:i/>
          <w:spacing w:val="4"/>
          <w:lang w:val="es-CO"/>
        </w:rPr>
        <w:t>los derechos al debido proceso, igualdad y acceso a la administración de justicia</w:t>
      </w:r>
      <w:r w:rsidRPr="00F90283">
        <w:rPr>
          <w:rFonts w:ascii="Verdana" w:hAnsi="Verdana"/>
          <w:spacing w:val="4"/>
          <w:lang w:val="es-CO"/>
        </w:rPr>
        <w:t xml:space="preserve">», concluyéndose que no podía progresar debido a </w:t>
      </w:r>
    </w:p>
    <w:p w:rsidR="00206F3B" w:rsidRPr="00F90283" w:rsidRDefault="00206F3B" w:rsidP="00C3070F">
      <w:pPr>
        <w:overflowPunct/>
        <w:autoSpaceDE/>
        <w:adjustRightInd/>
        <w:spacing w:line="360" w:lineRule="auto"/>
        <w:ind w:left="708"/>
        <w:jc w:val="both"/>
        <w:rPr>
          <w:rFonts w:ascii="Verdana" w:hAnsi="Verdana"/>
          <w:spacing w:val="4"/>
          <w:lang w:val="es-CO"/>
        </w:rPr>
      </w:pPr>
    </w:p>
    <w:p w:rsidR="00206F3B" w:rsidRPr="00F90283" w:rsidRDefault="00206F3B" w:rsidP="00C3070F">
      <w:pPr>
        <w:overflowPunct/>
        <w:autoSpaceDE/>
        <w:adjustRightInd/>
        <w:spacing w:line="360" w:lineRule="auto"/>
        <w:ind w:left="708" w:right="708"/>
        <w:jc w:val="both"/>
        <w:rPr>
          <w:rFonts w:ascii="Verdana" w:hAnsi="Verdana"/>
          <w:spacing w:val="4"/>
          <w:lang w:val="es-CO"/>
        </w:rPr>
      </w:pPr>
      <w:r w:rsidRPr="00F90283">
        <w:rPr>
          <w:rFonts w:ascii="Verdana" w:hAnsi="Verdana"/>
          <w:i/>
          <w:spacing w:val="4"/>
          <w:lang w:val="es-CO"/>
        </w:rPr>
        <w:t>(…) la ausencia de evidencia probatoria que permita colegir lesión de prerrogativas fundamentales por parte de la Defensoría del Pueblo, pues no obra en el plenario material de convicción del cual se desprenda que esa entidad menoscabó las garantías invocadas</w:t>
      </w:r>
      <w:r w:rsidRPr="00F90283">
        <w:rPr>
          <w:rFonts w:ascii="Verdana" w:hAnsi="Verdana"/>
          <w:spacing w:val="4"/>
          <w:lang w:val="es-ES"/>
        </w:rPr>
        <w:t xml:space="preserve"> </w:t>
      </w:r>
      <w:r w:rsidRPr="00F90283">
        <w:rPr>
          <w:rFonts w:ascii="Verdana" w:hAnsi="Verdana"/>
          <w:i/>
          <w:spacing w:val="4"/>
          <w:lang w:val="es-CO"/>
        </w:rPr>
        <w:t xml:space="preserve">o se negó a formular demandas constitucionales a petición del aquí solicitante </w:t>
      </w:r>
      <w:r w:rsidRPr="00F90283">
        <w:rPr>
          <w:rFonts w:ascii="Verdana" w:hAnsi="Verdana"/>
          <w:spacing w:val="4"/>
          <w:lang w:val="es-CO"/>
        </w:rPr>
        <w:t>(STC15201-2015, reiterada 11 feb. 2016, rad. STC1602-2016).</w:t>
      </w:r>
    </w:p>
    <w:p w:rsidR="00206F3B" w:rsidRPr="00F90283" w:rsidRDefault="00206F3B" w:rsidP="00C3070F">
      <w:pPr>
        <w:overflowPunct/>
        <w:autoSpaceDE/>
        <w:adjustRightInd/>
        <w:spacing w:line="360" w:lineRule="auto"/>
        <w:ind w:firstLine="709"/>
        <w:jc w:val="both"/>
        <w:rPr>
          <w:rFonts w:ascii="Verdana" w:hAnsi="Verdana"/>
          <w:spacing w:val="4"/>
          <w:lang w:val="es-CO"/>
        </w:rPr>
      </w:pPr>
    </w:p>
    <w:p w:rsidR="00206F3B" w:rsidRPr="00F90283" w:rsidRDefault="00206F3B" w:rsidP="00C3070F">
      <w:pPr>
        <w:spacing w:line="360" w:lineRule="auto"/>
        <w:ind w:left="284" w:right="335"/>
        <w:jc w:val="both"/>
        <w:rPr>
          <w:rFonts w:ascii="Verdana" w:hAnsi="Verdana"/>
          <w:spacing w:val="4"/>
          <w:lang w:val="es-CO"/>
        </w:rPr>
      </w:pPr>
      <w:r w:rsidRPr="00F90283">
        <w:rPr>
          <w:rFonts w:ascii="Verdana" w:hAnsi="Verdana"/>
          <w:spacing w:val="4"/>
          <w:lang w:val="es-CO"/>
        </w:rPr>
        <w:t>En este asunto, como en aquél, se invoca «</w:t>
      </w:r>
      <w:r w:rsidRPr="00F90283">
        <w:rPr>
          <w:rFonts w:ascii="Verdana" w:hAnsi="Verdana"/>
          <w:i/>
          <w:spacing w:val="4"/>
          <w:lang w:val="es-CO"/>
        </w:rPr>
        <w:t>el debido proceso</w:t>
      </w:r>
      <w:r w:rsidRPr="00F90283">
        <w:rPr>
          <w:rFonts w:ascii="Verdana" w:hAnsi="Verdana"/>
          <w:spacing w:val="4"/>
          <w:lang w:val="es-CO"/>
        </w:rPr>
        <w:t xml:space="preserve">», presuntamente afrentado con la negativa de aquella entidad de interponer tutelas a nombre del interesado. Por ende, el conflicto y los presupuestos fácticos son idénticos. </w:t>
      </w:r>
    </w:p>
    <w:p w:rsidR="00206F3B" w:rsidRPr="00F90283" w:rsidRDefault="00206F3B" w:rsidP="00C3070F">
      <w:pPr>
        <w:spacing w:line="360" w:lineRule="auto"/>
        <w:ind w:left="284" w:right="335"/>
        <w:jc w:val="both"/>
        <w:rPr>
          <w:rFonts w:ascii="Verdana" w:hAnsi="Verdana"/>
          <w:spacing w:val="4"/>
          <w:lang w:val="es-CO"/>
        </w:rPr>
      </w:pPr>
    </w:p>
    <w:p w:rsidR="00206F3B" w:rsidRPr="00F90283" w:rsidRDefault="00206F3B" w:rsidP="00C3070F">
      <w:pPr>
        <w:spacing w:line="360" w:lineRule="auto"/>
        <w:ind w:left="284" w:right="335"/>
        <w:jc w:val="both"/>
        <w:rPr>
          <w:rFonts w:ascii="Verdana" w:hAnsi="Verdana"/>
          <w:spacing w:val="4"/>
        </w:rPr>
      </w:pPr>
      <w:r w:rsidRPr="00F90283">
        <w:rPr>
          <w:rFonts w:ascii="Verdana" w:hAnsi="Verdana"/>
          <w:spacing w:val="4"/>
          <w:lang w:val="es-CO"/>
        </w:rPr>
        <w:t>Entonces, ante la coincidencia en sujetos procesales, hechos y derechos, la salvaguarda resulta temeraria de manera parcial, es decir, únicamente en lo referente a la Defensoría del Pueblo Regional Caldas, toda vez que simplemente replantea un tema que previamente había sido sometido al escrutinio de la jurisdicción constitucional.”</w:t>
      </w:r>
      <w:r w:rsidRPr="00F90283">
        <w:rPr>
          <w:rStyle w:val="Refdenotaalpie"/>
          <w:rFonts w:ascii="Verdana" w:hAnsi="Verdana"/>
          <w:spacing w:val="4"/>
          <w:lang w:val="es-CO"/>
        </w:rPr>
        <w:footnoteReference w:id="4"/>
      </w:r>
      <w:r w:rsidRPr="00F90283">
        <w:rPr>
          <w:rFonts w:ascii="Verdana" w:hAnsi="Verdana"/>
          <w:spacing w:val="4"/>
        </w:rPr>
        <w:t xml:space="preserve">  </w:t>
      </w:r>
      <w:r w:rsidRPr="00F90283">
        <w:rPr>
          <w:rFonts w:ascii="Verdana" w:hAnsi="Verdana"/>
          <w:spacing w:val="4"/>
        </w:rPr>
        <w:tab/>
      </w:r>
    </w:p>
    <w:p w:rsidR="00206F3B" w:rsidRPr="00F90283" w:rsidRDefault="00206F3B" w:rsidP="00C3070F">
      <w:pPr>
        <w:spacing w:line="360" w:lineRule="auto"/>
        <w:jc w:val="both"/>
        <w:rPr>
          <w:rFonts w:ascii="Verdana" w:hAnsi="Verdana"/>
          <w:sz w:val="25"/>
          <w:szCs w:val="25"/>
        </w:rPr>
      </w:pPr>
    </w:p>
    <w:p w:rsidR="00206F3B" w:rsidRDefault="00206F3B" w:rsidP="00C3070F">
      <w:pPr>
        <w:spacing w:line="360" w:lineRule="auto"/>
        <w:jc w:val="both"/>
        <w:rPr>
          <w:rFonts w:ascii="Verdana" w:hAnsi="Verdana"/>
          <w:sz w:val="24"/>
          <w:szCs w:val="24"/>
        </w:rPr>
      </w:pPr>
      <w:r w:rsidRPr="00C3070F">
        <w:rPr>
          <w:rFonts w:ascii="Verdana" w:hAnsi="Verdana"/>
          <w:sz w:val="24"/>
          <w:szCs w:val="24"/>
        </w:rPr>
        <w:t xml:space="preserve">En este caso, al ser evidente que se presentaron sin justificación dos acciones de tutela con sustento en unos mismos hechos y en las que elevaron </w:t>
      </w:r>
      <w:r w:rsidR="004155B6">
        <w:rPr>
          <w:rFonts w:ascii="Verdana" w:hAnsi="Verdana"/>
          <w:sz w:val="24"/>
          <w:szCs w:val="24"/>
        </w:rPr>
        <w:t>iguales</w:t>
      </w:r>
      <w:r w:rsidRPr="00C3070F">
        <w:rPr>
          <w:rFonts w:ascii="Verdana" w:hAnsi="Verdana"/>
          <w:sz w:val="24"/>
          <w:szCs w:val="24"/>
        </w:rPr>
        <w:t xml:space="preserve"> pretensiones, el actuar del accionante se puede calificar de temerario, pues es notorio el abuso que de este medio excepcional hizo, al acudir al mismo sin interesarle si ya lo había ejercido por iguales circunstancias. Además, no está acreditado que se halle en circunstancia excepcional de vulnerabilidad o de ignorancia, a las que hace alusión la jurisprudencia de la Corte Constitucional</w:t>
      </w:r>
      <w:r w:rsidRPr="00C3070F">
        <w:rPr>
          <w:rStyle w:val="Refdenotaalpie"/>
          <w:rFonts w:ascii="Verdana" w:hAnsi="Verdana"/>
          <w:sz w:val="24"/>
          <w:szCs w:val="24"/>
          <w:lang w:val="es-419"/>
        </w:rPr>
        <w:footnoteReference w:id="5"/>
      </w:r>
      <w:r w:rsidRPr="00C3070F">
        <w:rPr>
          <w:rFonts w:ascii="Verdana" w:hAnsi="Verdana"/>
          <w:sz w:val="24"/>
          <w:szCs w:val="24"/>
        </w:rPr>
        <w:t xml:space="preserve">, que le </w:t>
      </w:r>
      <w:r w:rsidR="000B31C7">
        <w:rPr>
          <w:rFonts w:ascii="Verdana" w:hAnsi="Verdana"/>
          <w:sz w:val="24"/>
          <w:szCs w:val="24"/>
        </w:rPr>
        <w:t xml:space="preserve">permitan proceder de esa forma; por el </w:t>
      </w:r>
      <w:r w:rsidRPr="00C3070F">
        <w:rPr>
          <w:rFonts w:ascii="Verdana" w:hAnsi="Verdana"/>
          <w:sz w:val="24"/>
          <w:szCs w:val="24"/>
        </w:rPr>
        <w:t xml:space="preserve"> contrario, debido a los varios trámites judiciales que adelanta, se concluye con facilidad que conoce con suficiencia el derrotero de las acciones constitucionales. </w:t>
      </w:r>
    </w:p>
    <w:p w:rsidR="003F7DBF" w:rsidRPr="00F90283" w:rsidRDefault="003F7DBF" w:rsidP="00C3070F">
      <w:pPr>
        <w:spacing w:line="360" w:lineRule="auto"/>
        <w:jc w:val="both"/>
        <w:rPr>
          <w:rFonts w:ascii="Verdana" w:hAnsi="Verdana"/>
          <w:sz w:val="25"/>
          <w:szCs w:val="25"/>
        </w:rPr>
      </w:pPr>
    </w:p>
    <w:p w:rsidR="00206F3B" w:rsidRPr="00C3070F" w:rsidRDefault="00206F3B" w:rsidP="00C307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C3070F">
        <w:rPr>
          <w:rFonts w:ascii="Verdana" w:hAnsi="Verdana"/>
          <w:sz w:val="24"/>
          <w:szCs w:val="24"/>
        </w:rPr>
        <w:t>Por ello, la Sala no solo d</w:t>
      </w:r>
      <w:r w:rsidR="000B31C7">
        <w:rPr>
          <w:rFonts w:ascii="Verdana" w:hAnsi="Verdana"/>
          <w:sz w:val="24"/>
          <w:szCs w:val="24"/>
        </w:rPr>
        <w:t xml:space="preserve">eclarará improcedente el amparo; además </w:t>
      </w:r>
      <w:r w:rsidRPr="00C3070F">
        <w:rPr>
          <w:rFonts w:ascii="Verdana" w:hAnsi="Verdana"/>
          <w:sz w:val="24"/>
          <w:szCs w:val="24"/>
        </w:rPr>
        <w:t xml:space="preserve"> deberá imponer la sanción a que haya lugar, de conformidad con el inciso 3º del artículo 25 del Decreto 2591 de 1991 que dispone: </w:t>
      </w:r>
      <w:r w:rsidRPr="00C3070F">
        <w:rPr>
          <w:rFonts w:ascii="Verdana" w:hAnsi="Verdana"/>
          <w:i/>
          <w:sz w:val="24"/>
          <w:szCs w:val="24"/>
        </w:rPr>
        <w:t>“Si la tutela fuere rechazada o denegada por el juez, éste condenará al solicitante al pago de las costas cuando estimare fundadamente que incurrió en temeridad”</w:t>
      </w:r>
      <w:r w:rsidRPr="00C3070F">
        <w:rPr>
          <w:rFonts w:ascii="Verdana" w:hAnsi="Verdana"/>
          <w:sz w:val="24"/>
          <w:szCs w:val="24"/>
        </w:rPr>
        <w:t xml:space="preserve"> y siguiendo de cerca el precedente de la Sala de Casación Laboral de la Corte Suprema de Justicia que en un caso similar al presente expresó: </w:t>
      </w:r>
    </w:p>
    <w:p w:rsidR="00206F3B" w:rsidRPr="00F90283" w:rsidRDefault="00206F3B" w:rsidP="00C307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5"/>
          <w:szCs w:val="25"/>
        </w:rPr>
      </w:pPr>
    </w:p>
    <w:p w:rsidR="00206F3B" w:rsidRPr="008E601F" w:rsidRDefault="00206F3B" w:rsidP="00C3070F">
      <w:pPr>
        <w:spacing w:line="360" w:lineRule="auto"/>
        <w:ind w:left="284" w:right="283"/>
        <w:jc w:val="both"/>
        <w:rPr>
          <w:rFonts w:ascii="Verdana" w:hAnsi="Verdana" w:cs="Arial"/>
          <w:spacing w:val="2"/>
          <w:lang w:val="es-CO" w:eastAsia="es-CO"/>
        </w:rPr>
      </w:pPr>
      <w:r w:rsidRPr="008E601F">
        <w:rPr>
          <w:rFonts w:ascii="Verdana" w:hAnsi="Verdana"/>
          <w:spacing w:val="2"/>
          <w:sz w:val="24"/>
          <w:szCs w:val="24"/>
          <w:lang w:val="es-CO"/>
        </w:rPr>
        <w:t>“</w:t>
      </w:r>
      <w:r w:rsidRPr="008E601F">
        <w:rPr>
          <w:rFonts w:ascii="Verdana" w:hAnsi="Verdana" w:cs="Arial"/>
          <w:spacing w:val="2"/>
        </w:rPr>
        <w:t>Del análisis de los hechos expuestos en la tutela, de entrada se observa que la queja elevada contra</w:t>
      </w:r>
      <w:r w:rsidRPr="008E601F">
        <w:rPr>
          <w:rFonts w:ascii="Verdana" w:hAnsi="Verdana" w:cs="Arial"/>
          <w:spacing w:val="2"/>
          <w:lang w:val="es-CO" w:eastAsia="es-CO"/>
        </w:rPr>
        <w:t xml:space="preserve"> la Defensoría del Pueblo </w:t>
      </w:r>
      <w:r w:rsidRPr="008E601F">
        <w:rPr>
          <w:rFonts w:ascii="Verdana" w:hAnsi="Verdana" w:cs="Arial"/>
          <w:spacing w:val="2"/>
        </w:rPr>
        <w:t>Regional Caldas</w:t>
      </w:r>
      <w:r w:rsidRPr="008E601F">
        <w:rPr>
          <w:rFonts w:ascii="Verdana" w:hAnsi="Verdana" w:cs="Arial"/>
          <w:spacing w:val="2"/>
          <w:lang w:val="es-CO" w:eastAsia="es-CO"/>
        </w:rPr>
        <w:t xml:space="preserve"> por asuntos relacionados con auxilios como este, es del todo improcedente.</w:t>
      </w:r>
    </w:p>
    <w:p w:rsidR="00206F3B" w:rsidRPr="008E601F" w:rsidRDefault="00206F3B" w:rsidP="00C3070F">
      <w:pPr>
        <w:spacing w:line="360" w:lineRule="auto"/>
        <w:ind w:left="284" w:right="283"/>
        <w:jc w:val="both"/>
        <w:rPr>
          <w:rFonts w:ascii="Verdana" w:hAnsi="Verdana" w:cs="Arial"/>
          <w:spacing w:val="2"/>
          <w:sz w:val="25"/>
          <w:szCs w:val="25"/>
          <w:lang w:val="es-CO" w:eastAsia="es-CO"/>
        </w:rPr>
      </w:pPr>
      <w:r w:rsidRPr="008E601F">
        <w:rPr>
          <w:rFonts w:ascii="Verdana" w:hAnsi="Verdana" w:cs="Arial"/>
          <w:spacing w:val="2"/>
          <w:lang w:val="es-CO" w:eastAsia="es-CO"/>
        </w:rPr>
        <w:t xml:space="preserve">  </w:t>
      </w:r>
      <w:r w:rsidRPr="008E601F">
        <w:rPr>
          <w:rFonts w:ascii="Verdana" w:hAnsi="Verdana" w:cs="Arial"/>
          <w:spacing w:val="2"/>
          <w:lang w:val="es-CO" w:eastAsia="es-CO"/>
        </w:rPr>
        <w:tab/>
      </w:r>
      <w:r w:rsidRPr="008E601F">
        <w:rPr>
          <w:rFonts w:ascii="Verdana" w:hAnsi="Verdana" w:cs="Arial"/>
          <w:spacing w:val="2"/>
          <w:lang w:val="es-CO" w:eastAsia="es-CO"/>
        </w:rPr>
        <w:tab/>
      </w:r>
      <w:r w:rsidRPr="008E601F">
        <w:rPr>
          <w:rFonts w:ascii="Verdana" w:hAnsi="Verdana" w:cs="Arial"/>
          <w:spacing w:val="2"/>
          <w:lang w:val="es-CO" w:eastAsia="es-CO"/>
        </w:rPr>
        <w:tab/>
      </w:r>
    </w:p>
    <w:p w:rsidR="00206F3B" w:rsidRPr="008E601F" w:rsidRDefault="00206F3B" w:rsidP="00C3070F">
      <w:pPr>
        <w:spacing w:line="360" w:lineRule="auto"/>
        <w:ind w:left="284" w:right="283"/>
        <w:jc w:val="both"/>
        <w:rPr>
          <w:rFonts w:ascii="Verdana" w:hAnsi="Verdana" w:cs="Arial"/>
          <w:spacing w:val="2"/>
          <w:lang w:val="es-CO" w:eastAsia="es-CO"/>
        </w:rPr>
      </w:pPr>
      <w:r w:rsidRPr="008E601F">
        <w:rPr>
          <w:rFonts w:ascii="Verdana" w:hAnsi="Verdana" w:cs="Arial"/>
          <w:spacing w:val="2"/>
          <w:lang w:val="es-CO" w:eastAsia="es-CO"/>
        </w:rPr>
        <w:lastRenderedPageBreak/>
        <w:t xml:space="preserve">Para ello basta manifestar que en reciente oportunidad, sentencia </w:t>
      </w:r>
      <w:r w:rsidRPr="008E601F">
        <w:rPr>
          <w:rFonts w:ascii="Verdana" w:hAnsi="Verdana" w:cs="Arial"/>
          <w:spacing w:val="2"/>
        </w:rPr>
        <w:t xml:space="preserve">STC14565-2016, de 12 de octubre, rad. </w:t>
      </w:r>
      <w:r w:rsidRPr="008E601F">
        <w:rPr>
          <w:rFonts w:ascii="Verdana" w:hAnsi="Verdana" w:cs="Arial"/>
          <w:spacing w:val="2"/>
          <w:lang w:val="es-CO" w:eastAsia="x-none"/>
        </w:rPr>
        <w:t>02887-00, en un asuntó que guarda total similitud con el presente, esta Sala de Casación sostuvo:</w:t>
      </w:r>
    </w:p>
    <w:p w:rsidR="00206F3B" w:rsidRPr="008E601F" w:rsidRDefault="00206F3B" w:rsidP="00C3070F">
      <w:pPr>
        <w:spacing w:line="360" w:lineRule="auto"/>
        <w:ind w:left="567" w:right="567"/>
        <w:jc w:val="both"/>
        <w:rPr>
          <w:rFonts w:ascii="Verdana" w:hAnsi="Verdana" w:cs="Arial"/>
          <w:spacing w:val="2"/>
          <w:lang w:val="es-CO" w:eastAsia="es-CO"/>
        </w:rPr>
      </w:pPr>
      <w:r w:rsidRPr="008E601F">
        <w:rPr>
          <w:rFonts w:ascii="Verdana" w:hAnsi="Verdana" w:cs="Arial"/>
          <w:spacing w:val="2"/>
          <w:lang w:val="es-CO" w:eastAsia="es-CO"/>
        </w:rPr>
        <w:t>“2. Liminarmente, se advierte que el ataque contra la segunda de las mencionadas autoridades no tiene vocación de prosperidad por dos razones.</w:t>
      </w:r>
    </w:p>
    <w:p w:rsidR="00206F3B" w:rsidRPr="008E601F" w:rsidRDefault="00206F3B" w:rsidP="00C3070F">
      <w:pPr>
        <w:spacing w:line="360" w:lineRule="auto"/>
        <w:ind w:left="567" w:right="567"/>
        <w:jc w:val="both"/>
        <w:rPr>
          <w:rFonts w:ascii="Verdana" w:hAnsi="Verdana"/>
          <w:spacing w:val="2"/>
          <w:sz w:val="24"/>
          <w:szCs w:val="24"/>
        </w:rPr>
      </w:pPr>
      <w:r w:rsidRPr="008E601F">
        <w:rPr>
          <w:rFonts w:ascii="Verdana" w:hAnsi="Verdana"/>
          <w:spacing w:val="2"/>
        </w:rPr>
        <w:t xml:space="preserve"> </w:t>
      </w:r>
      <w:r w:rsidRPr="008E601F">
        <w:rPr>
          <w:rFonts w:ascii="Verdana" w:hAnsi="Verdana"/>
          <w:spacing w:val="2"/>
        </w:rPr>
        <w:tab/>
      </w:r>
      <w:r w:rsidRPr="008E601F">
        <w:rPr>
          <w:rFonts w:ascii="Verdana" w:hAnsi="Verdana"/>
          <w:spacing w:val="2"/>
        </w:rPr>
        <w:tab/>
      </w:r>
      <w:r w:rsidRPr="008E601F">
        <w:rPr>
          <w:rFonts w:ascii="Verdana" w:hAnsi="Verdana"/>
          <w:spacing w:val="2"/>
        </w:rPr>
        <w:tab/>
      </w:r>
    </w:p>
    <w:p w:rsidR="00206F3B" w:rsidRPr="008E601F" w:rsidRDefault="00206F3B" w:rsidP="00C3070F">
      <w:pPr>
        <w:spacing w:line="360" w:lineRule="auto"/>
        <w:ind w:left="567" w:right="567"/>
        <w:jc w:val="both"/>
        <w:rPr>
          <w:rFonts w:ascii="Verdana" w:hAnsi="Verdana"/>
          <w:spacing w:val="2"/>
        </w:rPr>
      </w:pPr>
      <w:r w:rsidRPr="008E601F">
        <w:rPr>
          <w:rFonts w:ascii="Verdana" w:hAnsi="Verdana" w:cs="Arial"/>
          <w:spacing w:val="2"/>
          <w:lang w:val="es-CO" w:eastAsia="es-CO"/>
        </w:rPr>
        <w:t>“Primero porque el peticionario no expresó en detalle cuáles demandas de amparo se negó a formular en su nombre ese ente y en qué época; ello para explicitar los verdaderos motivos del reparo tutelar.</w:t>
      </w:r>
      <w:r w:rsidRPr="008E601F">
        <w:rPr>
          <w:rFonts w:ascii="Verdana" w:hAnsi="Verdana"/>
          <w:spacing w:val="2"/>
        </w:rPr>
        <w:t xml:space="preserve"> </w:t>
      </w:r>
    </w:p>
    <w:p w:rsidR="00206F3B" w:rsidRPr="008E601F" w:rsidRDefault="00206F3B" w:rsidP="00C3070F">
      <w:pPr>
        <w:spacing w:line="360" w:lineRule="auto"/>
        <w:ind w:left="567" w:right="567"/>
        <w:jc w:val="both"/>
        <w:rPr>
          <w:rFonts w:ascii="Verdana" w:hAnsi="Verdana"/>
          <w:spacing w:val="2"/>
          <w:sz w:val="24"/>
          <w:szCs w:val="24"/>
        </w:rPr>
      </w:pPr>
      <w:r w:rsidRPr="008E601F">
        <w:rPr>
          <w:rFonts w:ascii="Verdana" w:hAnsi="Verdana"/>
          <w:spacing w:val="2"/>
        </w:rPr>
        <w:t xml:space="preserve">  </w:t>
      </w:r>
      <w:r w:rsidRPr="008E601F">
        <w:rPr>
          <w:rFonts w:ascii="Verdana" w:hAnsi="Verdana"/>
          <w:spacing w:val="2"/>
        </w:rPr>
        <w:tab/>
      </w:r>
      <w:r w:rsidRPr="008E601F">
        <w:rPr>
          <w:rFonts w:ascii="Verdana" w:hAnsi="Verdana"/>
          <w:spacing w:val="2"/>
        </w:rPr>
        <w:tab/>
      </w:r>
      <w:r w:rsidRPr="008E601F">
        <w:rPr>
          <w:rFonts w:ascii="Verdana" w:hAnsi="Verdana"/>
          <w:spacing w:val="2"/>
        </w:rPr>
        <w:tab/>
      </w:r>
    </w:p>
    <w:p w:rsidR="00206F3B" w:rsidRPr="008E601F" w:rsidRDefault="00206F3B" w:rsidP="00C3070F">
      <w:pPr>
        <w:spacing w:line="360" w:lineRule="auto"/>
        <w:ind w:left="567" w:right="567"/>
        <w:jc w:val="both"/>
        <w:rPr>
          <w:rFonts w:ascii="Verdana" w:hAnsi="Verdana" w:cs="Arial"/>
          <w:spacing w:val="2"/>
          <w:lang w:val="es-CO" w:eastAsia="es-CO"/>
        </w:rPr>
      </w:pPr>
      <w:r w:rsidRPr="008E601F">
        <w:rPr>
          <w:rFonts w:ascii="Verdana" w:hAnsi="Verdana" w:cs="Arial"/>
          <w:spacing w:val="2"/>
          <w:lang w:val="es-CO" w:eastAsia="es-CO"/>
        </w:rPr>
        <w:t>“Y, segundo, dado que el promotor ha acudido en múltiples oportunidades a esta especial jurisdicción, planteando, sin ninguna diferencia, la queja endilgada a la Defensoría del Pueblo -Regional Caldas-» (ff. 44 a 48)”.</w:t>
      </w:r>
    </w:p>
    <w:p w:rsidR="00206F3B" w:rsidRPr="008E601F" w:rsidRDefault="00206F3B" w:rsidP="00C3070F">
      <w:pPr>
        <w:spacing w:line="360" w:lineRule="auto"/>
        <w:ind w:left="567" w:right="567"/>
        <w:jc w:val="both"/>
        <w:rPr>
          <w:rFonts w:ascii="Verdana" w:hAnsi="Verdana"/>
          <w:spacing w:val="2"/>
          <w:sz w:val="24"/>
          <w:szCs w:val="24"/>
          <w:lang w:eastAsia="x-none"/>
        </w:rPr>
      </w:pPr>
      <w:r w:rsidRPr="008E601F">
        <w:rPr>
          <w:rFonts w:ascii="Verdana" w:hAnsi="Verdana"/>
          <w:spacing w:val="2"/>
          <w:lang w:eastAsia="x-none"/>
        </w:rPr>
        <w:t xml:space="preserve"> </w:t>
      </w:r>
      <w:r w:rsidRPr="008E601F">
        <w:rPr>
          <w:rFonts w:ascii="Verdana" w:hAnsi="Verdana"/>
          <w:spacing w:val="2"/>
          <w:lang w:eastAsia="x-none"/>
        </w:rPr>
        <w:tab/>
      </w:r>
      <w:r w:rsidRPr="008E601F">
        <w:rPr>
          <w:rFonts w:ascii="Verdana" w:hAnsi="Verdana"/>
          <w:spacing w:val="2"/>
          <w:lang w:eastAsia="x-none"/>
        </w:rPr>
        <w:tab/>
      </w:r>
      <w:r w:rsidRPr="008E601F">
        <w:rPr>
          <w:rFonts w:ascii="Verdana" w:hAnsi="Verdana"/>
          <w:spacing w:val="2"/>
          <w:lang w:eastAsia="x-none"/>
        </w:rPr>
        <w:tab/>
      </w:r>
    </w:p>
    <w:p w:rsidR="00206F3B" w:rsidRPr="008E601F" w:rsidRDefault="00206F3B" w:rsidP="00C3070F">
      <w:pPr>
        <w:spacing w:line="360" w:lineRule="auto"/>
        <w:ind w:left="567" w:right="567"/>
        <w:jc w:val="both"/>
        <w:rPr>
          <w:rFonts w:ascii="Verdana" w:hAnsi="Verdana" w:cs="Arial"/>
          <w:spacing w:val="2"/>
        </w:rPr>
      </w:pPr>
      <w:r w:rsidRPr="008E601F">
        <w:rPr>
          <w:rFonts w:ascii="Verdana" w:hAnsi="Verdana"/>
          <w:spacing w:val="2"/>
          <w:lang w:eastAsia="x-none"/>
        </w:rPr>
        <w:t xml:space="preserve">Se trata, entonces de una queja constitucional reiterada, lo que basta para su rechazo en aplicación del </w:t>
      </w:r>
      <w:r w:rsidRPr="008E601F">
        <w:rPr>
          <w:rFonts w:ascii="Verdana" w:hAnsi="Verdana" w:cs="Arial"/>
          <w:spacing w:val="2"/>
        </w:rPr>
        <w:t>artículo 38 del decreto 2591 de 1991.</w:t>
      </w:r>
    </w:p>
    <w:p w:rsidR="00206F3B" w:rsidRPr="008E601F" w:rsidRDefault="00206F3B" w:rsidP="00C3070F">
      <w:pPr>
        <w:spacing w:line="360" w:lineRule="auto"/>
        <w:ind w:left="284" w:right="283"/>
        <w:jc w:val="both"/>
        <w:rPr>
          <w:rFonts w:ascii="Verdana" w:hAnsi="Verdana" w:cs="Arial"/>
          <w:spacing w:val="2"/>
          <w:sz w:val="24"/>
          <w:szCs w:val="24"/>
        </w:rPr>
      </w:pPr>
      <w:r w:rsidRPr="008E601F">
        <w:rPr>
          <w:rFonts w:ascii="Verdana" w:hAnsi="Verdana" w:cs="Arial"/>
          <w:spacing w:val="2"/>
        </w:rPr>
        <w:t xml:space="preserve">  </w:t>
      </w:r>
      <w:r w:rsidRPr="008E601F">
        <w:rPr>
          <w:rFonts w:ascii="Verdana" w:hAnsi="Verdana" w:cs="Arial"/>
          <w:spacing w:val="2"/>
        </w:rPr>
        <w:tab/>
      </w:r>
      <w:r w:rsidRPr="008E601F">
        <w:rPr>
          <w:rFonts w:ascii="Verdana" w:hAnsi="Verdana" w:cs="Arial"/>
          <w:spacing w:val="2"/>
        </w:rPr>
        <w:tab/>
      </w:r>
      <w:r w:rsidRPr="008E601F">
        <w:rPr>
          <w:rFonts w:ascii="Verdana" w:hAnsi="Verdana" w:cs="Arial"/>
          <w:spacing w:val="2"/>
        </w:rPr>
        <w:tab/>
      </w:r>
    </w:p>
    <w:p w:rsidR="00206F3B" w:rsidRPr="00C3070F" w:rsidRDefault="00206F3B" w:rsidP="00C3070F">
      <w:pPr>
        <w:spacing w:line="360" w:lineRule="auto"/>
        <w:ind w:left="284" w:right="283"/>
        <w:jc w:val="both"/>
        <w:rPr>
          <w:rFonts w:ascii="Verdana" w:hAnsi="Verdana" w:cs="Estrangelo Edessa"/>
        </w:rPr>
      </w:pPr>
      <w:r w:rsidRPr="008E601F">
        <w:rPr>
          <w:rFonts w:ascii="Verdana" w:hAnsi="Verdana" w:cs="Arial"/>
          <w:spacing w:val="2"/>
        </w:rPr>
        <w:t xml:space="preserve">Por todo lo anterior, la Sala declarará la improcedencia de la tutela dado que la actuación del actor se configura en lo descrito en el artículo 38 del Decreto 2591 de 1991, </w:t>
      </w:r>
      <w:r w:rsidRPr="008E601F">
        <w:rPr>
          <w:rFonts w:ascii="Verdana" w:hAnsi="Verdana" w:cs="Estrangelo Edessa"/>
          <w:spacing w:val="2"/>
        </w:rPr>
        <w:t>además de imponer las costas establecidas en el precepto 25 ibidem, que expresamente señala que «</w:t>
      </w:r>
      <w:r w:rsidRPr="008E601F">
        <w:rPr>
          <w:rFonts w:ascii="Verdana" w:hAnsi="Verdana" w:cs="Arial"/>
          <w:spacing w:val="2"/>
          <w:shd w:val="clear" w:color="auto" w:fill="FFFFFF"/>
        </w:rPr>
        <w:t>Si la tutela fuere rechazada o denegada por el juez, éste condenará al solicitante al pago de las costas cuando estimare fundadamente que incurrió en temeridad»</w:t>
      </w:r>
      <w:r w:rsidRPr="008E601F">
        <w:rPr>
          <w:rFonts w:ascii="Verdana" w:hAnsi="Verdana" w:cs="Estrangelo Edessa"/>
          <w:spacing w:val="2"/>
        </w:rPr>
        <w:t xml:space="preserve">, suma que será tasada en cuantía de un (1) salario mínimo legal mensual vigente y estará a cargo de Javier Elías Arias Idárraga, el cual se identifica con C.C. 10.141.947. Los dineros deberán ser pagados </w:t>
      </w:r>
      <w:r w:rsidRPr="008E601F">
        <w:rPr>
          <w:rFonts w:ascii="Verdana" w:eastAsia="Dotum" w:hAnsi="Verdana"/>
          <w:spacing w:val="2"/>
        </w:rPr>
        <w:t>a favor de la Nación – Consejo Superior de la Judicatura, Banco Agrario…</w:t>
      </w:r>
      <w:r w:rsidRPr="008E601F">
        <w:rPr>
          <w:rFonts w:ascii="Verdana" w:hAnsi="Verdana" w:cs="Arial"/>
          <w:spacing w:val="2"/>
        </w:rPr>
        <w:t>”</w:t>
      </w:r>
      <w:r w:rsidRPr="008E601F">
        <w:rPr>
          <w:rStyle w:val="Refdenotaalpie"/>
          <w:rFonts w:ascii="Verdana" w:hAnsi="Verdana"/>
          <w:spacing w:val="2"/>
        </w:rPr>
        <w:footnoteReference w:id="6"/>
      </w:r>
    </w:p>
    <w:p w:rsidR="00206F3B" w:rsidRPr="008E601F" w:rsidRDefault="00206F3B" w:rsidP="00C3070F">
      <w:pPr>
        <w:spacing w:line="360" w:lineRule="auto"/>
        <w:ind w:right="51"/>
        <w:jc w:val="both"/>
        <w:rPr>
          <w:rFonts w:ascii="Verdana" w:hAnsi="Verdana"/>
          <w:sz w:val="26"/>
          <w:szCs w:val="26"/>
          <w:lang w:val="es-MX"/>
        </w:rPr>
      </w:pPr>
    </w:p>
    <w:p w:rsidR="00206F3B" w:rsidRPr="00C3070F" w:rsidRDefault="00206F3B" w:rsidP="00C3070F">
      <w:pPr>
        <w:spacing w:line="360" w:lineRule="auto"/>
        <w:ind w:right="51"/>
        <w:jc w:val="both"/>
        <w:rPr>
          <w:rFonts w:ascii="Verdana" w:hAnsi="Verdana"/>
          <w:sz w:val="24"/>
          <w:szCs w:val="24"/>
        </w:rPr>
      </w:pPr>
      <w:r w:rsidRPr="00C3070F">
        <w:rPr>
          <w:rFonts w:ascii="Verdana" w:hAnsi="Verdana"/>
          <w:sz w:val="24"/>
          <w:szCs w:val="24"/>
        </w:rPr>
        <w:t>Así las cosas el amparo será declarado improcedente y se impondrá al demandante una condena en costas, asimilable a una multa a favor de la Rama Judicial</w:t>
      </w:r>
      <w:r w:rsidRPr="00C3070F">
        <w:rPr>
          <w:rStyle w:val="Refdenotaalpie"/>
          <w:rFonts w:ascii="Verdana" w:hAnsi="Verdana"/>
          <w:sz w:val="24"/>
          <w:szCs w:val="24"/>
        </w:rPr>
        <w:footnoteReference w:id="7"/>
      </w:r>
      <w:r w:rsidRPr="00C3070F">
        <w:rPr>
          <w:rFonts w:ascii="Verdana" w:hAnsi="Verdana"/>
          <w:sz w:val="24"/>
          <w:szCs w:val="24"/>
        </w:rPr>
        <w:t>, por valor de un (1)</w:t>
      </w:r>
      <w:r w:rsidRPr="00C3070F">
        <w:rPr>
          <w:rFonts w:ascii="Verdana" w:hAnsi="Verdana"/>
        </w:rPr>
        <w:t xml:space="preserve"> </w:t>
      </w:r>
      <w:r w:rsidRPr="00C3070F">
        <w:rPr>
          <w:rFonts w:ascii="Verdana" w:hAnsi="Verdana"/>
          <w:sz w:val="24"/>
          <w:szCs w:val="24"/>
        </w:rPr>
        <w:t xml:space="preserve">salario mínimo legal </w:t>
      </w:r>
      <w:r w:rsidRPr="00C3070F">
        <w:rPr>
          <w:rFonts w:ascii="Verdana" w:hAnsi="Verdana"/>
          <w:sz w:val="24"/>
          <w:szCs w:val="24"/>
        </w:rPr>
        <w:lastRenderedPageBreak/>
        <w:t>mensual vigente, suma que consignará en la cuenta “CSJ- Multas y sus rendimientos –CUN” No. 3-0820-000640-8 del Banco Agrario.</w:t>
      </w:r>
    </w:p>
    <w:p w:rsidR="00206F3B" w:rsidRPr="00DA3BBD" w:rsidRDefault="00206F3B" w:rsidP="00C3070F">
      <w:pPr>
        <w:spacing w:line="360" w:lineRule="auto"/>
        <w:jc w:val="both"/>
        <w:rPr>
          <w:rFonts w:ascii="Verdana" w:hAnsi="Verdana"/>
          <w:spacing w:val="2"/>
          <w:sz w:val="24"/>
          <w:szCs w:val="24"/>
        </w:rPr>
      </w:pPr>
      <w:r w:rsidRPr="00DA3BBD">
        <w:rPr>
          <w:rFonts w:ascii="Verdana" w:hAnsi="Verdana"/>
          <w:spacing w:val="2"/>
          <w:sz w:val="24"/>
          <w:szCs w:val="24"/>
        </w:rPr>
        <w:t>En mérito de lo expuesto, la Sala Civil Familia del Tribunal Superior de Pereira, Risaralda, administrando justicia en nombre de la República y por autoridad de la ley,</w:t>
      </w:r>
    </w:p>
    <w:p w:rsidR="00DC150F" w:rsidRPr="00DA3BBD" w:rsidRDefault="00DC150F" w:rsidP="00C3070F">
      <w:pPr>
        <w:spacing w:line="360" w:lineRule="auto"/>
        <w:jc w:val="both"/>
        <w:rPr>
          <w:rFonts w:ascii="Verdana" w:hAnsi="Verdana"/>
          <w:b/>
          <w:spacing w:val="2"/>
          <w:sz w:val="27"/>
          <w:szCs w:val="27"/>
        </w:rPr>
      </w:pPr>
    </w:p>
    <w:p w:rsidR="00206F3B" w:rsidRPr="00DA3BBD" w:rsidRDefault="00206F3B" w:rsidP="00C3070F">
      <w:pPr>
        <w:spacing w:line="360" w:lineRule="auto"/>
        <w:jc w:val="both"/>
        <w:rPr>
          <w:rFonts w:ascii="Verdana" w:hAnsi="Verdana"/>
          <w:b/>
          <w:spacing w:val="2"/>
          <w:sz w:val="24"/>
          <w:szCs w:val="24"/>
        </w:rPr>
      </w:pPr>
      <w:r w:rsidRPr="00DA3BBD">
        <w:rPr>
          <w:rFonts w:ascii="Verdana" w:hAnsi="Verdana"/>
          <w:b/>
          <w:spacing w:val="2"/>
          <w:sz w:val="24"/>
          <w:szCs w:val="24"/>
        </w:rPr>
        <w:t>R E S U E L V E </w:t>
      </w:r>
    </w:p>
    <w:p w:rsidR="00206F3B" w:rsidRPr="00DA3BBD" w:rsidRDefault="00206F3B" w:rsidP="00C3070F">
      <w:pPr>
        <w:spacing w:line="360" w:lineRule="auto"/>
        <w:jc w:val="both"/>
        <w:rPr>
          <w:rFonts w:ascii="Verdana" w:hAnsi="Verdana"/>
          <w:spacing w:val="2"/>
          <w:sz w:val="27"/>
          <w:szCs w:val="27"/>
        </w:rPr>
      </w:pPr>
    </w:p>
    <w:p w:rsidR="00206F3B" w:rsidRPr="00DA3BBD" w:rsidRDefault="00206F3B" w:rsidP="00C3070F">
      <w:pPr>
        <w:spacing w:line="360" w:lineRule="auto"/>
        <w:jc w:val="both"/>
        <w:rPr>
          <w:rFonts w:ascii="Verdana" w:hAnsi="Verdana"/>
          <w:spacing w:val="2"/>
          <w:sz w:val="24"/>
          <w:szCs w:val="24"/>
        </w:rPr>
      </w:pPr>
      <w:r w:rsidRPr="00DA3BBD">
        <w:rPr>
          <w:rFonts w:ascii="Verdana" w:hAnsi="Verdana"/>
          <w:b/>
          <w:spacing w:val="2"/>
          <w:sz w:val="24"/>
          <w:szCs w:val="24"/>
        </w:rPr>
        <w:t>PRIMERO:</w:t>
      </w:r>
      <w:r w:rsidRPr="00DA3BBD">
        <w:rPr>
          <w:rFonts w:ascii="Verdana" w:hAnsi="Verdana"/>
          <w:spacing w:val="2"/>
          <w:sz w:val="24"/>
          <w:szCs w:val="24"/>
        </w:rPr>
        <w:t xml:space="preserve"> Declarar improcedente la acción de tutela propuesta </w:t>
      </w:r>
      <w:r w:rsidR="0062108D" w:rsidRPr="00DA3BBD">
        <w:rPr>
          <w:rFonts w:ascii="Verdana" w:hAnsi="Verdana"/>
          <w:spacing w:val="2"/>
          <w:sz w:val="24"/>
          <w:szCs w:val="24"/>
        </w:rPr>
        <w:t xml:space="preserve">   </w:t>
      </w:r>
      <w:r w:rsidRPr="00DA3BBD">
        <w:rPr>
          <w:rFonts w:ascii="Verdana" w:hAnsi="Verdana"/>
          <w:spacing w:val="2"/>
          <w:sz w:val="24"/>
          <w:szCs w:val="24"/>
        </w:rPr>
        <w:t xml:space="preserve">por el señor </w:t>
      </w:r>
      <w:r w:rsidR="00BA7DC7" w:rsidRPr="00DA3BBD">
        <w:rPr>
          <w:rFonts w:ascii="Verdana" w:hAnsi="Verdana"/>
          <w:spacing w:val="2"/>
          <w:sz w:val="24"/>
          <w:szCs w:val="24"/>
        </w:rPr>
        <w:t xml:space="preserve">Javier Elías Arias Idárraga contra el Juzgado </w:t>
      </w:r>
      <w:r w:rsidR="0062108D" w:rsidRPr="00DA3BBD">
        <w:rPr>
          <w:rFonts w:ascii="Verdana" w:hAnsi="Verdana"/>
          <w:spacing w:val="2"/>
          <w:sz w:val="24"/>
          <w:szCs w:val="24"/>
        </w:rPr>
        <w:t xml:space="preserve">            </w:t>
      </w:r>
      <w:r w:rsidR="00BA7DC7" w:rsidRPr="00DA3BBD">
        <w:rPr>
          <w:rFonts w:ascii="Verdana" w:hAnsi="Verdana"/>
          <w:spacing w:val="2"/>
          <w:sz w:val="24"/>
          <w:szCs w:val="24"/>
        </w:rPr>
        <w:t xml:space="preserve">Cuarto Civil del Circuito de Pereira y el agente del Ministerio </w:t>
      </w:r>
      <w:r w:rsidR="0062108D" w:rsidRPr="00DA3BBD">
        <w:rPr>
          <w:rFonts w:ascii="Verdana" w:hAnsi="Verdana"/>
          <w:spacing w:val="2"/>
          <w:sz w:val="24"/>
          <w:szCs w:val="24"/>
        </w:rPr>
        <w:t xml:space="preserve">     </w:t>
      </w:r>
      <w:r w:rsidR="00BA7DC7" w:rsidRPr="00DA3BBD">
        <w:rPr>
          <w:rFonts w:ascii="Verdana" w:hAnsi="Verdana"/>
          <w:spacing w:val="2"/>
          <w:sz w:val="24"/>
          <w:szCs w:val="24"/>
        </w:rPr>
        <w:t xml:space="preserve">Público local, a las que fueron vinculados la Alcaldía de esa </w:t>
      </w:r>
      <w:r w:rsidR="0062108D" w:rsidRPr="00DA3BBD">
        <w:rPr>
          <w:rFonts w:ascii="Verdana" w:hAnsi="Verdana"/>
          <w:spacing w:val="2"/>
          <w:sz w:val="24"/>
          <w:szCs w:val="24"/>
        </w:rPr>
        <w:t xml:space="preserve">    </w:t>
      </w:r>
      <w:r w:rsidR="00BA7DC7" w:rsidRPr="00DA3BBD">
        <w:rPr>
          <w:rFonts w:ascii="Verdana" w:hAnsi="Verdana"/>
          <w:spacing w:val="2"/>
          <w:sz w:val="24"/>
          <w:szCs w:val="24"/>
        </w:rPr>
        <w:t>localidad, el Procurador y el Defensor del Pueblo, ambos de la Regional Risaralda.</w:t>
      </w:r>
    </w:p>
    <w:p w:rsidR="00BA7DC7" w:rsidRPr="00DA3BBD" w:rsidRDefault="00BA7DC7" w:rsidP="00C3070F">
      <w:pPr>
        <w:spacing w:line="360" w:lineRule="auto"/>
        <w:jc w:val="both"/>
        <w:rPr>
          <w:rFonts w:ascii="Verdana" w:hAnsi="Verdana"/>
          <w:b/>
          <w:spacing w:val="2"/>
          <w:sz w:val="27"/>
          <w:szCs w:val="27"/>
        </w:rPr>
      </w:pPr>
    </w:p>
    <w:p w:rsidR="00206F3B" w:rsidRPr="00DA3BBD" w:rsidRDefault="00206F3B" w:rsidP="00C3070F">
      <w:pPr>
        <w:spacing w:line="360" w:lineRule="auto"/>
        <w:jc w:val="both"/>
        <w:rPr>
          <w:rFonts w:ascii="Verdana" w:hAnsi="Verdana"/>
          <w:spacing w:val="2"/>
          <w:sz w:val="24"/>
          <w:szCs w:val="24"/>
          <w:lang w:val="es-CO"/>
        </w:rPr>
      </w:pPr>
      <w:r w:rsidRPr="00DA3BBD">
        <w:rPr>
          <w:rFonts w:ascii="Verdana" w:hAnsi="Verdana"/>
          <w:b/>
          <w:spacing w:val="2"/>
          <w:sz w:val="24"/>
          <w:szCs w:val="24"/>
        </w:rPr>
        <w:t xml:space="preserve">SEGUNDO: </w:t>
      </w:r>
      <w:r w:rsidRPr="00DA3BBD">
        <w:rPr>
          <w:rFonts w:ascii="Verdana" w:hAnsi="Verdana"/>
          <w:spacing w:val="2"/>
          <w:sz w:val="24"/>
          <w:szCs w:val="24"/>
          <w:lang w:val="es-CO"/>
        </w:rPr>
        <w:t xml:space="preserve">Se impone condena en costas al accionante </w:t>
      </w:r>
      <w:r w:rsidRPr="00DA3BBD">
        <w:rPr>
          <w:rFonts w:ascii="Verdana" w:hAnsi="Verdana"/>
          <w:spacing w:val="2"/>
          <w:sz w:val="24"/>
          <w:szCs w:val="24"/>
        </w:rPr>
        <w:t xml:space="preserve">Javier </w:t>
      </w:r>
      <w:r w:rsidR="0062108D" w:rsidRPr="00DA3BBD">
        <w:rPr>
          <w:rFonts w:ascii="Verdana" w:hAnsi="Verdana"/>
          <w:spacing w:val="2"/>
          <w:sz w:val="24"/>
          <w:szCs w:val="24"/>
        </w:rPr>
        <w:t xml:space="preserve">     </w:t>
      </w:r>
      <w:r w:rsidRPr="00DA3BBD">
        <w:rPr>
          <w:rFonts w:ascii="Verdana" w:hAnsi="Verdana"/>
          <w:spacing w:val="2"/>
          <w:sz w:val="24"/>
          <w:szCs w:val="24"/>
        </w:rPr>
        <w:t xml:space="preserve">Elías Arias Idárraga identificado con cédula de ciudadanía 10.141.947, cuya única dirección de contacto conocida es el </w:t>
      </w:r>
      <w:r w:rsidR="0062108D" w:rsidRPr="00DA3BBD">
        <w:rPr>
          <w:rFonts w:ascii="Verdana" w:hAnsi="Verdana"/>
          <w:spacing w:val="2"/>
          <w:sz w:val="24"/>
          <w:szCs w:val="24"/>
        </w:rPr>
        <w:t xml:space="preserve">       </w:t>
      </w:r>
      <w:r w:rsidRPr="00DA3BBD">
        <w:rPr>
          <w:rFonts w:ascii="Verdana" w:hAnsi="Verdana"/>
          <w:spacing w:val="2"/>
          <w:sz w:val="24"/>
          <w:szCs w:val="24"/>
        </w:rPr>
        <w:t>correo electrónico dinosaurio013@hotmail.com,</w:t>
      </w:r>
      <w:r w:rsidRPr="00DA3BBD">
        <w:rPr>
          <w:rFonts w:ascii="Verdana" w:hAnsi="Verdana"/>
          <w:spacing w:val="2"/>
          <w:sz w:val="24"/>
          <w:szCs w:val="24"/>
          <w:lang w:val="es-CO"/>
        </w:rPr>
        <w:t xml:space="preserve"> por la suma de </w:t>
      </w:r>
      <w:r w:rsidR="0062108D" w:rsidRPr="00DA3BBD">
        <w:rPr>
          <w:rFonts w:ascii="Verdana" w:hAnsi="Verdana"/>
          <w:spacing w:val="2"/>
          <w:sz w:val="24"/>
          <w:szCs w:val="24"/>
          <w:lang w:val="es-CO"/>
        </w:rPr>
        <w:t xml:space="preserve">      </w:t>
      </w:r>
      <w:r w:rsidRPr="00DA3BBD">
        <w:rPr>
          <w:rFonts w:ascii="Verdana" w:hAnsi="Verdana"/>
          <w:spacing w:val="2"/>
          <w:sz w:val="24"/>
          <w:szCs w:val="24"/>
          <w:lang w:val="es-CO"/>
        </w:rPr>
        <w:t xml:space="preserve">un (1) salario mínimo legal mensual vigente, valor asimilable </w:t>
      </w:r>
      <w:r w:rsidR="0062108D" w:rsidRPr="00DA3BBD">
        <w:rPr>
          <w:rFonts w:ascii="Verdana" w:hAnsi="Verdana"/>
          <w:spacing w:val="2"/>
          <w:sz w:val="24"/>
          <w:szCs w:val="24"/>
          <w:lang w:val="es-CO"/>
        </w:rPr>
        <w:t xml:space="preserve">              </w:t>
      </w:r>
      <w:r w:rsidRPr="00DA3BBD">
        <w:rPr>
          <w:rFonts w:ascii="Verdana" w:hAnsi="Verdana"/>
          <w:spacing w:val="2"/>
          <w:sz w:val="24"/>
          <w:szCs w:val="24"/>
          <w:lang w:val="es-CO"/>
        </w:rPr>
        <w:t>a una multa en</w:t>
      </w:r>
      <w:r w:rsidRPr="00DA3BBD">
        <w:rPr>
          <w:rFonts w:ascii="Verdana" w:hAnsi="Verdana"/>
          <w:spacing w:val="2"/>
          <w:sz w:val="24"/>
          <w:szCs w:val="24"/>
        </w:rPr>
        <w:t xml:space="preserve"> favor de la Rama Judicial</w:t>
      </w:r>
      <w:r w:rsidRPr="00DA3BBD">
        <w:rPr>
          <w:rFonts w:ascii="Verdana" w:hAnsi="Verdana"/>
          <w:spacing w:val="2"/>
          <w:sz w:val="24"/>
          <w:szCs w:val="24"/>
          <w:lang w:val="es-CO"/>
        </w:rPr>
        <w:t xml:space="preserve">, cuya </w:t>
      </w:r>
      <w:r w:rsidRPr="00DA3BBD">
        <w:rPr>
          <w:rFonts w:ascii="Verdana" w:hAnsi="Verdana"/>
          <w:spacing w:val="2"/>
          <w:sz w:val="24"/>
          <w:szCs w:val="24"/>
        </w:rPr>
        <w:t xml:space="preserve">cuenta es </w:t>
      </w:r>
      <w:r w:rsidR="0062108D" w:rsidRPr="00DA3BBD">
        <w:rPr>
          <w:rFonts w:ascii="Verdana" w:hAnsi="Verdana"/>
          <w:spacing w:val="2"/>
          <w:sz w:val="24"/>
          <w:szCs w:val="24"/>
        </w:rPr>
        <w:t xml:space="preserve">               </w:t>
      </w:r>
      <w:r w:rsidRPr="00DA3BBD">
        <w:rPr>
          <w:rFonts w:ascii="Verdana" w:hAnsi="Verdana"/>
          <w:spacing w:val="2"/>
          <w:sz w:val="24"/>
          <w:szCs w:val="24"/>
        </w:rPr>
        <w:t>“CSJ- Multas y sus rendimientos –CUN” No. 3-0820-000640-8 del Banco Agrario</w:t>
      </w:r>
      <w:r w:rsidRPr="00DA3BBD">
        <w:rPr>
          <w:rFonts w:ascii="Verdana" w:hAnsi="Verdana"/>
          <w:spacing w:val="2"/>
          <w:sz w:val="24"/>
          <w:szCs w:val="24"/>
          <w:lang w:val="es-CO"/>
        </w:rPr>
        <w:t xml:space="preserve">. Dicho pagó deberá consignarse dentro de los </w:t>
      </w:r>
      <w:r w:rsidR="0062108D" w:rsidRPr="00DA3BBD">
        <w:rPr>
          <w:rFonts w:ascii="Verdana" w:hAnsi="Verdana"/>
          <w:spacing w:val="2"/>
          <w:sz w:val="24"/>
          <w:szCs w:val="24"/>
          <w:lang w:val="es-CO"/>
        </w:rPr>
        <w:t xml:space="preserve">          </w:t>
      </w:r>
      <w:r w:rsidRPr="00DA3BBD">
        <w:rPr>
          <w:rFonts w:ascii="Verdana" w:hAnsi="Verdana"/>
          <w:spacing w:val="2"/>
          <w:sz w:val="24"/>
          <w:szCs w:val="24"/>
          <w:lang w:val="es-CO"/>
        </w:rPr>
        <w:t xml:space="preserve">diez (10) días siguientes a la notificación que de esta sentencia </w:t>
      </w:r>
      <w:r w:rsidR="0062108D" w:rsidRPr="00DA3BBD">
        <w:rPr>
          <w:rFonts w:ascii="Verdana" w:hAnsi="Verdana"/>
          <w:spacing w:val="2"/>
          <w:sz w:val="24"/>
          <w:szCs w:val="24"/>
          <w:lang w:val="es-CO"/>
        </w:rPr>
        <w:t xml:space="preserve">        </w:t>
      </w:r>
      <w:r w:rsidRPr="00DA3BBD">
        <w:rPr>
          <w:rFonts w:ascii="Verdana" w:hAnsi="Verdana"/>
          <w:spacing w:val="2"/>
          <w:sz w:val="24"/>
          <w:szCs w:val="24"/>
          <w:lang w:val="es-CO"/>
        </w:rPr>
        <w:t xml:space="preserve">se le haga. Vencido el cual, sino lo ha efectuado y una vez en </w:t>
      </w:r>
      <w:r w:rsidR="0062108D" w:rsidRPr="00DA3BBD">
        <w:rPr>
          <w:rFonts w:ascii="Verdana" w:hAnsi="Verdana"/>
          <w:spacing w:val="2"/>
          <w:sz w:val="24"/>
          <w:szCs w:val="24"/>
          <w:lang w:val="es-CO"/>
        </w:rPr>
        <w:t xml:space="preserve">       </w:t>
      </w:r>
      <w:r w:rsidRPr="00DA3BBD">
        <w:rPr>
          <w:rFonts w:ascii="Verdana" w:hAnsi="Verdana"/>
          <w:spacing w:val="2"/>
          <w:sz w:val="24"/>
          <w:szCs w:val="24"/>
          <w:lang w:val="es-CO"/>
        </w:rPr>
        <w:t xml:space="preserve">firme esta providencia, se dispondrá la remisión de copias con las constancias respectivas ante la Oficina de Cobro Coactivo de la Dirección Ejecutiva Seccional de Administración Judicial, para lo </w:t>
      </w:r>
      <w:r w:rsidR="0062108D" w:rsidRPr="00DA3BBD">
        <w:rPr>
          <w:rFonts w:ascii="Verdana" w:hAnsi="Verdana"/>
          <w:spacing w:val="2"/>
          <w:sz w:val="24"/>
          <w:szCs w:val="24"/>
          <w:lang w:val="es-CO"/>
        </w:rPr>
        <w:t xml:space="preserve">      </w:t>
      </w:r>
      <w:r w:rsidRPr="00DA3BBD">
        <w:rPr>
          <w:rFonts w:ascii="Verdana" w:hAnsi="Verdana"/>
          <w:spacing w:val="2"/>
          <w:sz w:val="24"/>
          <w:szCs w:val="24"/>
          <w:lang w:val="es-CO"/>
        </w:rPr>
        <w:t>de su cargo.</w:t>
      </w:r>
    </w:p>
    <w:p w:rsidR="00206F3B" w:rsidRPr="00DA3BBD" w:rsidRDefault="00206F3B" w:rsidP="00C3070F">
      <w:pPr>
        <w:spacing w:line="360" w:lineRule="auto"/>
        <w:jc w:val="both"/>
        <w:rPr>
          <w:rFonts w:ascii="Verdana" w:hAnsi="Verdana"/>
          <w:b/>
          <w:spacing w:val="2"/>
          <w:sz w:val="27"/>
          <w:szCs w:val="27"/>
        </w:rPr>
      </w:pPr>
    </w:p>
    <w:p w:rsidR="00206F3B" w:rsidRPr="00DA3BBD" w:rsidRDefault="00206F3B" w:rsidP="00C3070F">
      <w:pPr>
        <w:spacing w:line="360" w:lineRule="auto"/>
        <w:ind w:right="51"/>
        <w:jc w:val="both"/>
        <w:rPr>
          <w:rFonts w:ascii="Verdana" w:hAnsi="Verdana"/>
          <w:b/>
          <w:spacing w:val="2"/>
          <w:sz w:val="24"/>
          <w:szCs w:val="24"/>
        </w:rPr>
      </w:pPr>
      <w:r w:rsidRPr="00DA3BBD">
        <w:rPr>
          <w:rFonts w:ascii="Verdana" w:hAnsi="Verdana"/>
          <w:b/>
          <w:spacing w:val="2"/>
          <w:sz w:val="24"/>
          <w:szCs w:val="24"/>
        </w:rPr>
        <w:lastRenderedPageBreak/>
        <w:t xml:space="preserve">TERCERO: </w:t>
      </w:r>
      <w:r w:rsidRPr="00DA3BBD">
        <w:rPr>
          <w:rFonts w:ascii="Verdana" w:hAnsi="Verdana"/>
          <w:spacing w:val="2"/>
          <w:sz w:val="24"/>
          <w:szCs w:val="24"/>
          <w:lang w:val="es-ES"/>
        </w:rPr>
        <w:t xml:space="preserve">Expídase al accionante copia de todo lo actuado en este proceso, a su costa. </w:t>
      </w:r>
    </w:p>
    <w:p w:rsidR="00206F3B" w:rsidRPr="00DA3BBD" w:rsidRDefault="00206F3B" w:rsidP="00C3070F">
      <w:pPr>
        <w:spacing w:line="360" w:lineRule="auto"/>
        <w:ind w:right="51"/>
        <w:jc w:val="both"/>
        <w:rPr>
          <w:rFonts w:ascii="Verdana" w:hAnsi="Verdana"/>
          <w:spacing w:val="2"/>
          <w:sz w:val="27"/>
          <w:szCs w:val="27"/>
        </w:rPr>
      </w:pPr>
    </w:p>
    <w:p w:rsidR="00206F3B" w:rsidRPr="00DA3BBD" w:rsidRDefault="00206F3B" w:rsidP="00C3070F">
      <w:pPr>
        <w:spacing w:line="360" w:lineRule="auto"/>
        <w:ind w:right="51"/>
        <w:jc w:val="both"/>
        <w:rPr>
          <w:rFonts w:ascii="Verdana" w:hAnsi="Verdana"/>
          <w:spacing w:val="2"/>
          <w:sz w:val="24"/>
          <w:szCs w:val="24"/>
        </w:rPr>
      </w:pPr>
      <w:r w:rsidRPr="00DA3BBD">
        <w:rPr>
          <w:rFonts w:ascii="Verdana" w:hAnsi="Verdana"/>
          <w:b/>
          <w:spacing w:val="2"/>
          <w:sz w:val="24"/>
          <w:szCs w:val="24"/>
        </w:rPr>
        <w:t>CUARTO:</w:t>
      </w:r>
      <w:r w:rsidRPr="00DA3BBD">
        <w:rPr>
          <w:rFonts w:ascii="Verdana" w:hAnsi="Verdana"/>
          <w:spacing w:val="2"/>
          <w:sz w:val="24"/>
          <w:szCs w:val="24"/>
        </w:rPr>
        <w:t xml:space="preserve"> Notifíquese esta decisión a las partes conforme lo previene el artículo 30 del Decreto 2591 de 1991.</w:t>
      </w:r>
    </w:p>
    <w:p w:rsidR="00206F3B" w:rsidRPr="00DA3BBD" w:rsidRDefault="004E4953" w:rsidP="00DA3BBD">
      <w:pPr>
        <w:jc w:val="both"/>
        <w:rPr>
          <w:rFonts w:ascii="Verdana" w:hAnsi="Verdana"/>
          <w:i/>
          <w:spacing w:val="2"/>
          <w:szCs w:val="21"/>
        </w:rPr>
      </w:pPr>
      <w:r w:rsidRPr="00DA3BBD">
        <w:rPr>
          <w:rFonts w:ascii="Verdana" w:hAnsi="Verdana"/>
          <w:i/>
          <w:spacing w:val="2"/>
          <w:szCs w:val="21"/>
        </w:rPr>
        <w:t xml:space="preserve">(Continúa </w:t>
      </w:r>
      <w:r w:rsidR="00DA3BBD" w:rsidRPr="00DA3BBD">
        <w:rPr>
          <w:rFonts w:ascii="Verdana" w:hAnsi="Verdana"/>
          <w:i/>
          <w:spacing w:val="2"/>
          <w:szCs w:val="21"/>
        </w:rPr>
        <w:t>parte resolutiva de sentencia de primera instancia proferida en la acción de tutela radicada 66001-22-13-000-2018-00214-00)</w:t>
      </w:r>
    </w:p>
    <w:p w:rsidR="004E4953" w:rsidRPr="00DA3BBD" w:rsidRDefault="004E4953" w:rsidP="00C3070F">
      <w:pPr>
        <w:spacing w:line="360" w:lineRule="auto"/>
        <w:jc w:val="both"/>
        <w:rPr>
          <w:rFonts w:ascii="Verdana" w:hAnsi="Verdana"/>
          <w:b/>
          <w:spacing w:val="2"/>
          <w:sz w:val="14"/>
          <w:szCs w:val="21"/>
        </w:rPr>
      </w:pPr>
    </w:p>
    <w:p w:rsidR="004E4953" w:rsidRPr="00DA3BBD" w:rsidRDefault="004E4953" w:rsidP="00C3070F">
      <w:pPr>
        <w:spacing w:line="360" w:lineRule="auto"/>
        <w:jc w:val="both"/>
        <w:rPr>
          <w:rFonts w:ascii="Verdana" w:hAnsi="Verdana"/>
          <w:b/>
          <w:spacing w:val="2"/>
          <w:sz w:val="21"/>
          <w:szCs w:val="21"/>
        </w:rPr>
      </w:pPr>
    </w:p>
    <w:p w:rsidR="00206F3B" w:rsidRPr="00DA3BBD" w:rsidRDefault="00206F3B" w:rsidP="00C3070F">
      <w:pPr>
        <w:spacing w:line="360" w:lineRule="auto"/>
        <w:jc w:val="both"/>
        <w:rPr>
          <w:rFonts w:ascii="Verdana" w:hAnsi="Verdana"/>
          <w:b/>
          <w:spacing w:val="2"/>
          <w:sz w:val="24"/>
          <w:szCs w:val="24"/>
        </w:rPr>
      </w:pPr>
      <w:r w:rsidRPr="00DA3BBD">
        <w:rPr>
          <w:rFonts w:ascii="Verdana" w:hAnsi="Verdana"/>
          <w:b/>
          <w:spacing w:val="2"/>
          <w:sz w:val="24"/>
          <w:szCs w:val="24"/>
        </w:rPr>
        <w:t xml:space="preserve">QUINTO: </w:t>
      </w:r>
      <w:r w:rsidRPr="00DA3BBD">
        <w:rPr>
          <w:rFonts w:ascii="Verdana" w:hAnsi="Verdana"/>
          <w:spacing w:val="2"/>
          <w:sz w:val="24"/>
          <w:szCs w:val="24"/>
        </w:rPr>
        <w:t>De no ser impugnada esta decisión, envíese el expediente a la Corte Constitucional para su eventual revisión conforme lo dispone el artículo 32 del Decreto 2591 de 1991.</w:t>
      </w:r>
    </w:p>
    <w:p w:rsidR="00206F3B" w:rsidRPr="00DA3BBD" w:rsidRDefault="00206F3B" w:rsidP="00C3070F">
      <w:pPr>
        <w:spacing w:line="360" w:lineRule="auto"/>
        <w:jc w:val="both"/>
        <w:rPr>
          <w:rFonts w:ascii="Verdana" w:hAnsi="Verdana"/>
          <w:spacing w:val="2"/>
          <w:sz w:val="21"/>
          <w:szCs w:val="21"/>
        </w:rPr>
      </w:pPr>
    </w:p>
    <w:p w:rsidR="00206F3B" w:rsidRPr="00DA3BBD" w:rsidRDefault="00206F3B" w:rsidP="00C3070F">
      <w:pPr>
        <w:spacing w:line="360" w:lineRule="auto"/>
        <w:jc w:val="both"/>
        <w:rPr>
          <w:rFonts w:ascii="Verdana" w:hAnsi="Verdana"/>
          <w:b/>
          <w:spacing w:val="2"/>
          <w:sz w:val="24"/>
          <w:szCs w:val="24"/>
        </w:rPr>
      </w:pPr>
      <w:r w:rsidRPr="00DA3BBD">
        <w:rPr>
          <w:rFonts w:ascii="Verdana" w:hAnsi="Verdana"/>
          <w:b/>
          <w:spacing w:val="2"/>
          <w:sz w:val="24"/>
          <w:szCs w:val="24"/>
        </w:rPr>
        <w:t>NOTIFÍQUESE Y CÚMPLASE.</w:t>
      </w:r>
    </w:p>
    <w:p w:rsidR="00206F3B" w:rsidRPr="00DA3BBD" w:rsidRDefault="00206F3B" w:rsidP="00C3070F">
      <w:pPr>
        <w:spacing w:line="360" w:lineRule="auto"/>
        <w:jc w:val="both"/>
        <w:rPr>
          <w:rFonts w:ascii="Verdana" w:hAnsi="Verdana"/>
          <w:spacing w:val="2"/>
          <w:sz w:val="21"/>
          <w:szCs w:val="21"/>
        </w:rPr>
      </w:pPr>
    </w:p>
    <w:p w:rsidR="00206F3B" w:rsidRPr="00DA3BBD" w:rsidRDefault="00206F3B" w:rsidP="00C3070F">
      <w:pPr>
        <w:spacing w:line="360" w:lineRule="auto"/>
        <w:jc w:val="both"/>
        <w:rPr>
          <w:rFonts w:ascii="Verdana" w:hAnsi="Verdana"/>
          <w:spacing w:val="2"/>
          <w:sz w:val="24"/>
          <w:szCs w:val="24"/>
        </w:rPr>
      </w:pPr>
      <w:r w:rsidRPr="00DA3BBD">
        <w:rPr>
          <w:rFonts w:ascii="Verdana" w:hAnsi="Verdana"/>
          <w:spacing w:val="2"/>
          <w:sz w:val="24"/>
          <w:szCs w:val="24"/>
        </w:rPr>
        <w:t>Los Magistrados,</w:t>
      </w:r>
    </w:p>
    <w:p w:rsidR="00206F3B" w:rsidRPr="00DA3BBD" w:rsidRDefault="00206F3B" w:rsidP="00C3070F">
      <w:pPr>
        <w:tabs>
          <w:tab w:val="left" w:pos="-720"/>
        </w:tabs>
        <w:suppressAutoHyphens/>
        <w:spacing w:line="360" w:lineRule="auto"/>
        <w:jc w:val="both"/>
        <w:rPr>
          <w:rFonts w:ascii="Verdana" w:hAnsi="Verdana"/>
          <w:b/>
          <w:spacing w:val="2"/>
          <w:sz w:val="38"/>
          <w:szCs w:val="38"/>
        </w:rPr>
      </w:pPr>
    </w:p>
    <w:p w:rsidR="00206F3B" w:rsidRPr="00DA3BBD" w:rsidRDefault="00206F3B" w:rsidP="00C3070F">
      <w:pPr>
        <w:tabs>
          <w:tab w:val="left" w:pos="-720"/>
        </w:tabs>
        <w:suppressAutoHyphens/>
        <w:spacing w:line="360" w:lineRule="auto"/>
        <w:jc w:val="both"/>
        <w:rPr>
          <w:rFonts w:ascii="Verdana" w:hAnsi="Verdana"/>
          <w:b/>
          <w:spacing w:val="2"/>
          <w:sz w:val="38"/>
          <w:szCs w:val="38"/>
        </w:rPr>
      </w:pPr>
    </w:p>
    <w:p w:rsidR="00DA3BBD" w:rsidRPr="00DA3BBD" w:rsidRDefault="00DA3BBD" w:rsidP="00C3070F">
      <w:pPr>
        <w:tabs>
          <w:tab w:val="left" w:pos="-720"/>
        </w:tabs>
        <w:suppressAutoHyphens/>
        <w:spacing w:line="360" w:lineRule="auto"/>
        <w:jc w:val="both"/>
        <w:rPr>
          <w:rFonts w:ascii="Verdana" w:hAnsi="Verdana"/>
          <w:b/>
          <w:spacing w:val="2"/>
          <w:sz w:val="38"/>
          <w:szCs w:val="38"/>
        </w:rPr>
      </w:pPr>
    </w:p>
    <w:p w:rsidR="00DA3BBD" w:rsidRPr="00DA3BBD" w:rsidRDefault="00DA3BBD" w:rsidP="00C3070F">
      <w:pPr>
        <w:tabs>
          <w:tab w:val="left" w:pos="-720"/>
        </w:tabs>
        <w:suppressAutoHyphens/>
        <w:spacing w:line="360" w:lineRule="auto"/>
        <w:jc w:val="both"/>
        <w:rPr>
          <w:rFonts w:ascii="Verdana" w:hAnsi="Verdana"/>
          <w:b/>
          <w:spacing w:val="2"/>
          <w:sz w:val="38"/>
          <w:szCs w:val="38"/>
        </w:rPr>
      </w:pPr>
    </w:p>
    <w:p w:rsidR="00206F3B" w:rsidRPr="00DA3BBD" w:rsidRDefault="00206F3B" w:rsidP="00C307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24"/>
          <w:szCs w:val="24"/>
        </w:rPr>
      </w:pPr>
      <w:r w:rsidRPr="00DA3BBD">
        <w:rPr>
          <w:rFonts w:ascii="Verdana" w:hAnsi="Verdana"/>
          <w:b/>
          <w:spacing w:val="2"/>
          <w:sz w:val="24"/>
          <w:szCs w:val="24"/>
        </w:rPr>
        <w:tab/>
      </w:r>
      <w:r w:rsidRPr="00DA3BBD">
        <w:rPr>
          <w:rFonts w:ascii="Verdana" w:hAnsi="Verdana"/>
          <w:b/>
          <w:spacing w:val="2"/>
          <w:sz w:val="24"/>
          <w:szCs w:val="24"/>
        </w:rPr>
        <w:tab/>
      </w:r>
      <w:r w:rsidRPr="00DA3BBD">
        <w:rPr>
          <w:rFonts w:ascii="Verdana" w:hAnsi="Verdana"/>
          <w:b/>
          <w:spacing w:val="2"/>
          <w:sz w:val="24"/>
          <w:szCs w:val="24"/>
        </w:rPr>
        <w:tab/>
        <w:t>CLAUDIA MARÍA ARCILA RÍOS</w:t>
      </w:r>
    </w:p>
    <w:p w:rsidR="00206F3B" w:rsidRPr="00DA3BBD" w:rsidRDefault="00206F3B" w:rsidP="00C3070F">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2"/>
          <w:sz w:val="38"/>
          <w:szCs w:val="38"/>
        </w:rPr>
      </w:pPr>
    </w:p>
    <w:p w:rsidR="00BA7DC7" w:rsidRPr="00DA3BBD" w:rsidRDefault="00BA7DC7" w:rsidP="00C3070F">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2"/>
          <w:sz w:val="38"/>
          <w:szCs w:val="38"/>
        </w:rPr>
      </w:pPr>
    </w:p>
    <w:p w:rsidR="00206F3B" w:rsidRPr="00DA3BBD" w:rsidRDefault="00206F3B" w:rsidP="00C3070F">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2"/>
          <w:sz w:val="38"/>
          <w:szCs w:val="38"/>
        </w:rPr>
      </w:pPr>
    </w:p>
    <w:p w:rsidR="00DA3BBD" w:rsidRPr="00DA3BBD" w:rsidRDefault="00DA3BBD" w:rsidP="00C3070F">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2"/>
          <w:sz w:val="38"/>
          <w:szCs w:val="38"/>
        </w:rPr>
      </w:pPr>
    </w:p>
    <w:p w:rsidR="00206F3B" w:rsidRPr="00DA3BBD" w:rsidRDefault="00206F3B" w:rsidP="00C3070F">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2"/>
          <w:sz w:val="24"/>
          <w:szCs w:val="24"/>
        </w:rPr>
      </w:pPr>
      <w:r w:rsidRPr="00DA3BBD">
        <w:rPr>
          <w:rFonts w:ascii="Verdana" w:hAnsi="Verdana"/>
          <w:b/>
          <w:spacing w:val="2"/>
          <w:sz w:val="24"/>
          <w:szCs w:val="24"/>
        </w:rPr>
        <w:tab/>
      </w:r>
      <w:r w:rsidRPr="00DA3BBD">
        <w:rPr>
          <w:rFonts w:ascii="Verdana" w:hAnsi="Verdana"/>
          <w:b/>
          <w:spacing w:val="2"/>
          <w:sz w:val="24"/>
          <w:szCs w:val="24"/>
        </w:rPr>
        <w:tab/>
      </w:r>
      <w:r w:rsidRPr="00DA3BBD">
        <w:rPr>
          <w:rFonts w:ascii="Verdana" w:hAnsi="Verdana"/>
          <w:b/>
          <w:spacing w:val="2"/>
          <w:sz w:val="24"/>
          <w:szCs w:val="24"/>
        </w:rPr>
        <w:tab/>
        <w:t>DUBERNEY GRISALES HERRERA</w:t>
      </w:r>
    </w:p>
    <w:p w:rsidR="00206F3B" w:rsidRPr="00DA3BBD" w:rsidRDefault="00206F3B" w:rsidP="00C307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38"/>
          <w:szCs w:val="38"/>
        </w:rPr>
      </w:pPr>
    </w:p>
    <w:p w:rsidR="00BA7DC7" w:rsidRPr="00DA3BBD" w:rsidRDefault="00BA7DC7" w:rsidP="00C307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38"/>
          <w:szCs w:val="38"/>
        </w:rPr>
      </w:pPr>
    </w:p>
    <w:p w:rsidR="00206F3B" w:rsidRPr="00DA3BBD" w:rsidRDefault="00206F3B" w:rsidP="00C307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38"/>
          <w:szCs w:val="38"/>
        </w:rPr>
      </w:pPr>
    </w:p>
    <w:p w:rsidR="00DA3BBD" w:rsidRPr="00DA3BBD" w:rsidRDefault="00DA3BBD" w:rsidP="00C307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38"/>
          <w:szCs w:val="38"/>
        </w:rPr>
      </w:pPr>
    </w:p>
    <w:p w:rsidR="00206F3B" w:rsidRPr="00DA3BBD" w:rsidRDefault="00206F3B" w:rsidP="00C307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24"/>
          <w:szCs w:val="24"/>
        </w:rPr>
      </w:pPr>
      <w:r w:rsidRPr="00DA3BBD">
        <w:rPr>
          <w:rFonts w:ascii="Verdana" w:hAnsi="Verdana"/>
          <w:b/>
          <w:spacing w:val="2"/>
          <w:sz w:val="24"/>
          <w:szCs w:val="24"/>
        </w:rPr>
        <w:tab/>
      </w:r>
      <w:r w:rsidRPr="00DA3BBD">
        <w:rPr>
          <w:rFonts w:ascii="Verdana" w:hAnsi="Verdana"/>
          <w:b/>
          <w:spacing w:val="2"/>
          <w:sz w:val="24"/>
          <w:szCs w:val="24"/>
        </w:rPr>
        <w:tab/>
      </w:r>
      <w:r w:rsidRPr="00DA3BBD">
        <w:rPr>
          <w:rFonts w:ascii="Verdana" w:hAnsi="Verdana"/>
          <w:b/>
          <w:spacing w:val="2"/>
          <w:sz w:val="24"/>
          <w:szCs w:val="24"/>
        </w:rPr>
        <w:tab/>
        <w:t>EDDER JIMMY SÁNCHEZ CALAMBÁS</w:t>
      </w:r>
    </w:p>
    <w:sectPr w:rsidR="00206F3B" w:rsidRPr="00DA3BBD" w:rsidSect="00BC5915">
      <w:footerReference w:type="default" r:id="rId8"/>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56C" w:rsidRDefault="004A056C">
      <w:r>
        <w:separator/>
      </w:r>
    </w:p>
  </w:endnote>
  <w:endnote w:type="continuationSeparator" w:id="0">
    <w:p w:rsidR="004A056C" w:rsidRDefault="004A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415E1E">
      <w:rPr>
        <w:rStyle w:val="Nmerodepgina"/>
        <w:rFonts w:ascii="Verdana" w:hAnsi="Verdana"/>
        <w:noProof/>
      </w:rPr>
      <w:t>2</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56C" w:rsidRDefault="004A056C">
      <w:r>
        <w:separator/>
      </w:r>
    </w:p>
  </w:footnote>
  <w:footnote w:type="continuationSeparator" w:id="0">
    <w:p w:rsidR="004A056C" w:rsidRDefault="004A056C">
      <w:r>
        <w:continuationSeparator/>
      </w:r>
    </w:p>
  </w:footnote>
  <w:footnote w:id="1">
    <w:p w:rsidR="005C571C" w:rsidRDefault="005C571C" w:rsidP="005C571C">
      <w:pPr>
        <w:pStyle w:val="Textonotapie"/>
        <w:jc w:val="both"/>
        <w:rPr>
          <w:rFonts w:ascii="Verdana" w:hAnsi="Verdana"/>
          <w:sz w:val="17"/>
          <w:szCs w:val="17"/>
          <w:lang w:val="es-CO"/>
        </w:rPr>
      </w:pPr>
      <w:r>
        <w:rPr>
          <w:rStyle w:val="Refdenotaalpie"/>
          <w:rFonts w:ascii="Verdana" w:hAnsi="Verdana"/>
          <w:sz w:val="17"/>
          <w:szCs w:val="17"/>
        </w:rPr>
        <w:footnoteRef/>
      </w:r>
      <w:r w:rsidR="00A04B45">
        <w:rPr>
          <w:rFonts w:ascii="Verdana" w:hAnsi="Verdana"/>
          <w:sz w:val="17"/>
          <w:szCs w:val="17"/>
        </w:rPr>
        <w:t xml:space="preserve"> Folio 35</w:t>
      </w:r>
      <w:r>
        <w:rPr>
          <w:rFonts w:ascii="Verdana" w:hAnsi="Verdana"/>
          <w:sz w:val="17"/>
          <w:szCs w:val="17"/>
        </w:rPr>
        <w:t xml:space="preserve"> </w:t>
      </w:r>
    </w:p>
  </w:footnote>
  <w:footnote w:id="2">
    <w:p w:rsidR="005C571C" w:rsidRDefault="005C571C" w:rsidP="005C571C">
      <w:pPr>
        <w:pStyle w:val="Textonotapie"/>
        <w:jc w:val="both"/>
        <w:rPr>
          <w:rFonts w:ascii="Verdana" w:hAnsi="Verdana"/>
          <w:sz w:val="17"/>
          <w:szCs w:val="17"/>
          <w:lang w:val="es-CO"/>
        </w:rPr>
      </w:pPr>
      <w:r>
        <w:rPr>
          <w:rStyle w:val="Refdenotaalpie"/>
          <w:rFonts w:ascii="Verdana" w:hAnsi="Verdana"/>
          <w:sz w:val="17"/>
          <w:szCs w:val="17"/>
        </w:rPr>
        <w:footnoteRef/>
      </w:r>
      <w:r>
        <w:rPr>
          <w:rFonts w:ascii="Verdana" w:hAnsi="Verdana"/>
          <w:sz w:val="17"/>
          <w:szCs w:val="17"/>
        </w:rPr>
        <w:t xml:space="preserve"> Folios </w:t>
      </w:r>
      <w:r w:rsidR="00A04B45">
        <w:rPr>
          <w:rFonts w:ascii="Verdana" w:hAnsi="Verdana"/>
          <w:sz w:val="17"/>
          <w:szCs w:val="17"/>
        </w:rPr>
        <w:t>39 a 42</w:t>
      </w:r>
    </w:p>
  </w:footnote>
  <w:footnote w:id="3">
    <w:p w:rsidR="005C571C" w:rsidRDefault="005C571C" w:rsidP="005C571C">
      <w:pPr>
        <w:pStyle w:val="Textonotapie"/>
        <w:jc w:val="both"/>
        <w:rPr>
          <w:rFonts w:ascii="Verdana" w:hAnsi="Verdana"/>
          <w:sz w:val="17"/>
          <w:szCs w:val="17"/>
          <w:lang w:val="es-CO"/>
        </w:rPr>
      </w:pPr>
      <w:r>
        <w:rPr>
          <w:rStyle w:val="Refdenotaalpie"/>
          <w:rFonts w:ascii="Verdana" w:hAnsi="Verdana"/>
          <w:sz w:val="17"/>
          <w:szCs w:val="17"/>
        </w:rPr>
        <w:footnoteRef/>
      </w:r>
      <w:r w:rsidR="004155B6">
        <w:rPr>
          <w:rFonts w:ascii="Verdana" w:hAnsi="Verdana"/>
          <w:sz w:val="17"/>
          <w:szCs w:val="17"/>
        </w:rPr>
        <w:t xml:space="preserve"> Folios 43 a 46</w:t>
      </w:r>
    </w:p>
  </w:footnote>
  <w:footnote w:id="4">
    <w:p w:rsidR="00206F3B" w:rsidRPr="00B52C54" w:rsidRDefault="00206F3B" w:rsidP="008E601F">
      <w:pPr>
        <w:jc w:val="both"/>
        <w:rPr>
          <w:rFonts w:ascii="Verdana" w:hAnsi="Verdana"/>
          <w:color w:val="385623"/>
          <w:sz w:val="16"/>
          <w:szCs w:val="17"/>
        </w:rPr>
      </w:pPr>
      <w:r w:rsidRPr="00B52C54">
        <w:rPr>
          <w:rStyle w:val="Refdenotaalpie"/>
          <w:rFonts w:ascii="Verdana" w:hAnsi="Verdana"/>
          <w:sz w:val="16"/>
          <w:szCs w:val="17"/>
        </w:rPr>
        <w:footnoteRef/>
      </w:r>
      <w:r w:rsidRPr="00B52C54">
        <w:rPr>
          <w:rFonts w:ascii="Verdana" w:hAnsi="Verdana"/>
          <w:sz w:val="16"/>
          <w:szCs w:val="17"/>
        </w:rPr>
        <w:t xml:space="preserve"> Sentencia de tutela del 9 de junio de 2016. MP Fernando Giraldo Gutiérrez, radicado No. 66001-22-13-000-2016-00497-00. </w:t>
      </w:r>
    </w:p>
  </w:footnote>
  <w:footnote w:id="5">
    <w:p w:rsidR="00206F3B" w:rsidRPr="00B52C54" w:rsidRDefault="00206F3B" w:rsidP="008E601F">
      <w:pPr>
        <w:pStyle w:val="Textonotapie"/>
        <w:jc w:val="both"/>
        <w:rPr>
          <w:rFonts w:ascii="Verdana" w:hAnsi="Verdana"/>
          <w:sz w:val="16"/>
          <w:szCs w:val="17"/>
          <w:lang w:val="es-419"/>
        </w:rPr>
      </w:pPr>
      <w:r w:rsidRPr="00B52C54">
        <w:rPr>
          <w:rStyle w:val="Refdenotaalpie"/>
          <w:rFonts w:ascii="Verdana" w:hAnsi="Verdana"/>
          <w:sz w:val="16"/>
          <w:szCs w:val="17"/>
        </w:rPr>
        <w:footnoteRef/>
      </w:r>
      <w:r w:rsidRPr="00B52C54">
        <w:rPr>
          <w:rFonts w:ascii="Verdana" w:hAnsi="Verdana"/>
          <w:sz w:val="16"/>
          <w:szCs w:val="17"/>
        </w:rPr>
        <w:t xml:space="preserve"> </w:t>
      </w:r>
      <w:r w:rsidRPr="00B52C54">
        <w:rPr>
          <w:rFonts w:ascii="Verdana" w:hAnsi="Verdana"/>
          <w:sz w:val="16"/>
          <w:szCs w:val="17"/>
          <w:lang w:val="es-419"/>
        </w:rPr>
        <w:t>Sentencia T-001-2016</w:t>
      </w:r>
    </w:p>
  </w:footnote>
  <w:footnote w:id="6">
    <w:p w:rsidR="00206F3B" w:rsidRPr="00B52C54" w:rsidRDefault="00206F3B" w:rsidP="008E601F">
      <w:pPr>
        <w:pStyle w:val="Textonotapie"/>
        <w:spacing w:line="276" w:lineRule="auto"/>
        <w:jc w:val="both"/>
        <w:rPr>
          <w:rFonts w:ascii="Verdana" w:hAnsi="Verdana"/>
          <w:sz w:val="16"/>
          <w:szCs w:val="17"/>
          <w:lang w:val="es-CO"/>
        </w:rPr>
      </w:pPr>
      <w:r w:rsidRPr="00B52C54">
        <w:rPr>
          <w:rStyle w:val="Refdenotaalpie"/>
          <w:rFonts w:ascii="Verdana" w:hAnsi="Verdana"/>
          <w:sz w:val="16"/>
          <w:szCs w:val="17"/>
        </w:rPr>
        <w:footnoteRef/>
      </w:r>
      <w:r w:rsidRPr="00B52C54">
        <w:rPr>
          <w:rFonts w:ascii="Verdana" w:hAnsi="Verdana"/>
          <w:sz w:val="16"/>
          <w:szCs w:val="17"/>
        </w:rPr>
        <w:t xml:space="preserve"> Sentencia de tutela del 16 de noviembre de 2016. MP Fernando Castillo Cadena, expediente STL16749-2016.</w:t>
      </w:r>
    </w:p>
  </w:footnote>
  <w:footnote w:id="7">
    <w:p w:rsidR="00206F3B" w:rsidRPr="00B52C54" w:rsidRDefault="00206F3B" w:rsidP="008E601F">
      <w:pPr>
        <w:pStyle w:val="Textonotapie"/>
        <w:spacing w:line="276" w:lineRule="auto"/>
        <w:jc w:val="both"/>
        <w:rPr>
          <w:rFonts w:ascii="Verdana" w:hAnsi="Verdana"/>
          <w:sz w:val="16"/>
          <w:szCs w:val="17"/>
        </w:rPr>
      </w:pPr>
      <w:r w:rsidRPr="00B52C54">
        <w:rPr>
          <w:rStyle w:val="Refdenotaalpie"/>
          <w:rFonts w:ascii="Verdana" w:hAnsi="Verdana"/>
          <w:sz w:val="16"/>
          <w:szCs w:val="17"/>
        </w:rPr>
        <w:footnoteRef/>
      </w:r>
      <w:r w:rsidRPr="00B52C54">
        <w:rPr>
          <w:rFonts w:ascii="Verdana" w:hAnsi="Verdana"/>
          <w:sz w:val="16"/>
          <w:szCs w:val="17"/>
        </w:rPr>
        <w:t xml:space="preserve"> De conformidad con el precedente de la Sala Civil de la Corte Suprema de Justicia que en sentencia de tutela STC11363-2017 de 2 de agosto de 2017 especificó que: “</w:t>
      </w:r>
      <w:r w:rsidRPr="00B52C54">
        <w:rPr>
          <w:rFonts w:ascii="Verdana" w:hAnsi="Verdana" w:cs="Arial"/>
          <w:sz w:val="16"/>
          <w:szCs w:val="17"/>
        </w:rPr>
        <w:t>la «</w:t>
      </w:r>
      <w:r w:rsidRPr="00B52C54">
        <w:rPr>
          <w:rFonts w:ascii="Verdana" w:hAnsi="Verdana" w:cs="Arial"/>
          <w:i/>
          <w:sz w:val="16"/>
          <w:szCs w:val="17"/>
        </w:rPr>
        <w:t>condena en costas</w:t>
      </w:r>
      <w:r w:rsidRPr="00B52C54">
        <w:rPr>
          <w:rFonts w:ascii="Verdana" w:hAnsi="Verdana" w:cs="Arial"/>
          <w:sz w:val="16"/>
          <w:szCs w:val="17"/>
        </w:rPr>
        <w:t xml:space="preserve">» impuesta por el </w:t>
      </w:r>
      <w:r w:rsidRPr="00B52C54">
        <w:rPr>
          <w:rFonts w:ascii="Verdana" w:hAnsi="Verdana" w:cs="Arial"/>
          <w:i/>
          <w:sz w:val="16"/>
          <w:szCs w:val="17"/>
        </w:rPr>
        <w:t xml:space="preserve">a-quo </w:t>
      </w:r>
      <w:r w:rsidRPr="00B52C54">
        <w:rPr>
          <w:rFonts w:ascii="Verdana" w:hAnsi="Verdana" w:cs="Arial"/>
          <w:sz w:val="16"/>
          <w:szCs w:val="17"/>
        </w:rPr>
        <w:t>constitucional en contra de Javier Elías Arias Idárraga se asemeja, en palabras de la Corte Constitucional, a una multa a favor de la administración de justicia.”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C7"/>
    <w:rsid w:val="000023F0"/>
    <w:rsid w:val="00002745"/>
    <w:rsid w:val="0000288D"/>
    <w:rsid w:val="00002DBC"/>
    <w:rsid w:val="0000343C"/>
    <w:rsid w:val="00004074"/>
    <w:rsid w:val="00004F34"/>
    <w:rsid w:val="000064A4"/>
    <w:rsid w:val="00010C10"/>
    <w:rsid w:val="00011AF5"/>
    <w:rsid w:val="00011F75"/>
    <w:rsid w:val="000124EC"/>
    <w:rsid w:val="00012C63"/>
    <w:rsid w:val="00013892"/>
    <w:rsid w:val="00013EAC"/>
    <w:rsid w:val="00014938"/>
    <w:rsid w:val="00014A09"/>
    <w:rsid w:val="000150F5"/>
    <w:rsid w:val="000151B8"/>
    <w:rsid w:val="00015365"/>
    <w:rsid w:val="00015B67"/>
    <w:rsid w:val="00016D0E"/>
    <w:rsid w:val="00016EEE"/>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EC8"/>
    <w:rsid w:val="0003632B"/>
    <w:rsid w:val="000367FD"/>
    <w:rsid w:val="000368C1"/>
    <w:rsid w:val="00036DDE"/>
    <w:rsid w:val="000371D2"/>
    <w:rsid w:val="000403FC"/>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11C8"/>
    <w:rsid w:val="00062126"/>
    <w:rsid w:val="00062285"/>
    <w:rsid w:val="000638C4"/>
    <w:rsid w:val="000646C5"/>
    <w:rsid w:val="00064B09"/>
    <w:rsid w:val="000656EE"/>
    <w:rsid w:val="0006572B"/>
    <w:rsid w:val="00065F9C"/>
    <w:rsid w:val="0006672E"/>
    <w:rsid w:val="00067D08"/>
    <w:rsid w:val="000709F6"/>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6918"/>
    <w:rsid w:val="000A708D"/>
    <w:rsid w:val="000A721C"/>
    <w:rsid w:val="000B0BD2"/>
    <w:rsid w:val="000B1676"/>
    <w:rsid w:val="000B18BA"/>
    <w:rsid w:val="000B1B15"/>
    <w:rsid w:val="000B20CF"/>
    <w:rsid w:val="000B31C7"/>
    <w:rsid w:val="000B31DA"/>
    <w:rsid w:val="000B46F3"/>
    <w:rsid w:val="000B4D49"/>
    <w:rsid w:val="000B605F"/>
    <w:rsid w:val="000B7032"/>
    <w:rsid w:val="000B7C7F"/>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E7D"/>
    <w:rsid w:val="000F3A49"/>
    <w:rsid w:val="000F4BD5"/>
    <w:rsid w:val="000F50E9"/>
    <w:rsid w:val="000F5371"/>
    <w:rsid w:val="000F5EAA"/>
    <w:rsid w:val="000F662F"/>
    <w:rsid w:val="000F6AC0"/>
    <w:rsid w:val="000F6D73"/>
    <w:rsid w:val="000F6FD6"/>
    <w:rsid w:val="000F7F72"/>
    <w:rsid w:val="00100B50"/>
    <w:rsid w:val="00101596"/>
    <w:rsid w:val="00102498"/>
    <w:rsid w:val="00103F02"/>
    <w:rsid w:val="00104804"/>
    <w:rsid w:val="001054DC"/>
    <w:rsid w:val="00105E24"/>
    <w:rsid w:val="00105E43"/>
    <w:rsid w:val="00106252"/>
    <w:rsid w:val="001062DE"/>
    <w:rsid w:val="001066FB"/>
    <w:rsid w:val="001075A2"/>
    <w:rsid w:val="00107AEA"/>
    <w:rsid w:val="001110BA"/>
    <w:rsid w:val="00111D78"/>
    <w:rsid w:val="00111DBE"/>
    <w:rsid w:val="00112855"/>
    <w:rsid w:val="0011359E"/>
    <w:rsid w:val="001139EB"/>
    <w:rsid w:val="00113AA6"/>
    <w:rsid w:val="00113E01"/>
    <w:rsid w:val="00113EF3"/>
    <w:rsid w:val="00114D2C"/>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6B3"/>
    <w:rsid w:val="001239E3"/>
    <w:rsid w:val="00124E45"/>
    <w:rsid w:val="00124EA8"/>
    <w:rsid w:val="001264FB"/>
    <w:rsid w:val="00127614"/>
    <w:rsid w:val="00130322"/>
    <w:rsid w:val="00130D20"/>
    <w:rsid w:val="0013128F"/>
    <w:rsid w:val="00131864"/>
    <w:rsid w:val="001326BE"/>
    <w:rsid w:val="00134487"/>
    <w:rsid w:val="001349BE"/>
    <w:rsid w:val="001368C3"/>
    <w:rsid w:val="001405EE"/>
    <w:rsid w:val="00140868"/>
    <w:rsid w:val="001408F2"/>
    <w:rsid w:val="00140C92"/>
    <w:rsid w:val="00140E8F"/>
    <w:rsid w:val="001422B8"/>
    <w:rsid w:val="00142B33"/>
    <w:rsid w:val="00142E77"/>
    <w:rsid w:val="00143FDB"/>
    <w:rsid w:val="0014683D"/>
    <w:rsid w:val="001469EF"/>
    <w:rsid w:val="00146A44"/>
    <w:rsid w:val="00146ADD"/>
    <w:rsid w:val="00146CE1"/>
    <w:rsid w:val="001475BB"/>
    <w:rsid w:val="00147830"/>
    <w:rsid w:val="00147AA7"/>
    <w:rsid w:val="0015013A"/>
    <w:rsid w:val="00150436"/>
    <w:rsid w:val="00150FF0"/>
    <w:rsid w:val="001511B1"/>
    <w:rsid w:val="00151225"/>
    <w:rsid w:val="001539B8"/>
    <w:rsid w:val="00154655"/>
    <w:rsid w:val="00154C11"/>
    <w:rsid w:val="00155170"/>
    <w:rsid w:val="00155B23"/>
    <w:rsid w:val="00155FC7"/>
    <w:rsid w:val="001572A5"/>
    <w:rsid w:val="00157644"/>
    <w:rsid w:val="0015771C"/>
    <w:rsid w:val="0016175B"/>
    <w:rsid w:val="001622DC"/>
    <w:rsid w:val="00162BB6"/>
    <w:rsid w:val="00162CAD"/>
    <w:rsid w:val="00164F01"/>
    <w:rsid w:val="00165048"/>
    <w:rsid w:val="00165B99"/>
    <w:rsid w:val="00165C3F"/>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25E"/>
    <w:rsid w:val="0017354C"/>
    <w:rsid w:val="00173558"/>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28E0"/>
    <w:rsid w:val="00182AB9"/>
    <w:rsid w:val="00182AE1"/>
    <w:rsid w:val="001834FC"/>
    <w:rsid w:val="00183997"/>
    <w:rsid w:val="00183B51"/>
    <w:rsid w:val="001843DF"/>
    <w:rsid w:val="001851E2"/>
    <w:rsid w:val="00186E0B"/>
    <w:rsid w:val="0018745E"/>
    <w:rsid w:val="00187775"/>
    <w:rsid w:val="00187C0D"/>
    <w:rsid w:val="00192EB0"/>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174F"/>
    <w:rsid w:val="001B2053"/>
    <w:rsid w:val="001B2A0C"/>
    <w:rsid w:val="001B2D01"/>
    <w:rsid w:val="001B5A05"/>
    <w:rsid w:val="001B5FCD"/>
    <w:rsid w:val="001B600C"/>
    <w:rsid w:val="001B618E"/>
    <w:rsid w:val="001B6904"/>
    <w:rsid w:val="001B6E17"/>
    <w:rsid w:val="001B7866"/>
    <w:rsid w:val="001B7972"/>
    <w:rsid w:val="001C005D"/>
    <w:rsid w:val="001C0366"/>
    <w:rsid w:val="001C03EE"/>
    <w:rsid w:val="001C10D6"/>
    <w:rsid w:val="001C2D4C"/>
    <w:rsid w:val="001C395C"/>
    <w:rsid w:val="001C3CE5"/>
    <w:rsid w:val="001C406E"/>
    <w:rsid w:val="001C41F5"/>
    <w:rsid w:val="001C4FDF"/>
    <w:rsid w:val="001C532C"/>
    <w:rsid w:val="001C5436"/>
    <w:rsid w:val="001C60FA"/>
    <w:rsid w:val="001C6396"/>
    <w:rsid w:val="001C6510"/>
    <w:rsid w:val="001C6EC1"/>
    <w:rsid w:val="001C7D09"/>
    <w:rsid w:val="001C7DC1"/>
    <w:rsid w:val="001D0CCA"/>
    <w:rsid w:val="001D3143"/>
    <w:rsid w:val="001D373C"/>
    <w:rsid w:val="001D3834"/>
    <w:rsid w:val="001D3F6D"/>
    <w:rsid w:val="001D55B7"/>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20004F"/>
    <w:rsid w:val="00200415"/>
    <w:rsid w:val="00200544"/>
    <w:rsid w:val="00201F6E"/>
    <w:rsid w:val="0020250D"/>
    <w:rsid w:val="00202842"/>
    <w:rsid w:val="00202D76"/>
    <w:rsid w:val="00202F7B"/>
    <w:rsid w:val="00203B6A"/>
    <w:rsid w:val="00203DC9"/>
    <w:rsid w:val="0020425E"/>
    <w:rsid w:val="0020510C"/>
    <w:rsid w:val="002051D4"/>
    <w:rsid w:val="00205DAD"/>
    <w:rsid w:val="00206D5B"/>
    <w:rsid w:val="00206F3B"/>
    <w:rsid w:val="00207792"/>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495A"/>
    <w:rsid w:val="00225035"/>
    <w:rsid w:val="002251EE"/>
    <w:rsid w:val="00226115"/>
    <w:rsid w:val="00227D77"/>
    <w:rsid w:val="00230B28"/>
    <w:rsid w:val="00230DCE"/>
    <w:rsid w:val="00231D03"/>
    <w:rsid w:val="0023242C"/>
    <w:rsid w:val="00233053"/>
    <w:rsid w:val="00234800"/>
    <w:rsid w:val="00235683"/>
    <w:rsid w:val="00235B12"/>
    <w:rsid w:val="00235E52"/>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3F60"/>
    <w:rsid w:val="00254F16"/>
    <w:rsid w:val="00255BAB"/>
    <w:rsid w:val="00256506"/>
    <w:rsid w:val="00256C9F"/>
    <w:rsid w:val="00257326"/>
    <w:rsid w:val="00257F16"/>
    <w:rsid w:val="00257FDD"/>
    <w:rsid w:val="00260407"/>
    <w:rsid w:val="002617B9"/>
    <w:rsid w:val="002633D7"/>
    <w:rsid w:val="00264381"/>
    <w:rsid w:val="002648D1"/>
    <w:rsid w:val="00264DC1"/>
    <w:rsid w:val="00265DDF"/>
    <w:rsid w:val="00265E77"/>
    <w:rsid w:val="002661E8"/>
    <w:rsid w:val="00266AF8"/>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3D3"/>
    <w:rsid w:val="002844D0"/>
    <w:rsid w:val="002845D9"/>
    <w:rsid w:val="002848AC"/>
    <w:rsid w:val="00284B7E"/>
    <w:rsid w:val="002870B5"/>
    <w:rsid w:val="00287BB5"/>
    <w:rsid w:val="00287BFD"/>
    <w:rsid w:val="0029067A"/>
    <w:rsid w:val="00291653"/>
    <w:rsid w:val="0029382F"/>
    <w:rsid w:val="002953F1"/>
    <w:rsid w:val="0029571E"/>
    <w:rsid w:val="00297011"/>
    <w:rsid w:val="00297564"/>
    <w:rsid w:val="002976EE"/>
    <w:rsid w:val="00297A96"/>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062D"/>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2E8"/>
    <w:rsid w:val="002C267E"/>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7DE"/>
    <w:rsid w:val="002D3FDD"/>
    <w:rsid w:val="002D54D0"/>
    <w:rsid w:val="002D761E"/>
    <w:rsid w:val="002D77F6"/>
    <w:rsid w:val="002D78BF"/>
    <w:rsid w:val="002D7F89"/>
    <w:rsid w:val="002E16E9"/>
    <w:rsid w:val="002E3609"/>
    <w:rsid w:val="002E3E82"/>
    <w:rsid w:val="002E4DB9"/>
    <w:rsid w:val="002E54CE"/>
    <w:rsid w:val="002E5D20"/>
    <w:rsid w:val="002E5D40"/>
    <w:rsid w:val="002E6196"/>
    <w:rsid w:val="002F0DA2"/>
    <w:rsid w:val="002F1904"/>
    <w:rsid w:val="002F2759"/>
    <w:rsid w:val="002F27F2"/>
    <w:rsid w:val="002F2F3E"/>
    <w:rsid w:val="002F306F"/>
    <w:rsid w:val="002F30E8"/>
    <w:rsid w:val="002F412A"/>
    <w:rsid w:val="002F4736"/>
    <w:rsid w:val="002F49A4"/>
    <w:rsid w:val="002F535B"/>
    <w:rsid w:val="002F5360"/>
    <w:rsid w:val="002F58B9"/>
    <w:rsid w:val="002F6848"/>
    <w:rsid w:val="00300E98"/>
    <w:rsid w:val="003014EC"/>
    <w:rsid w:val="003024EE"/>
    <w:rsid w:val="00302C34"/>
    <w:rsid w:val="00305255"/>
    <w:rsid w:val="003054A9"/>
    <w:rsid w:val="003061B6"/>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3BAB"/>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48F"/>
    <w:rsid w:val="00336A08"/>
    <w:rsid w:val="00336A34"/>
    <w:rsid w:val="00336EC8"/>
    <w:rsid w:val="003376B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A57"/>
    <w:rsid w:val="00345C3A"/>
    <w:rsid w:val="0034719B"/>
    <w:rsid w:val="003505AC"/>
    <w:rsid w:val="00350CA9"/>
    <w:rsid w:val="00350F39"/>
    <w:rsid w:val="00351C80"/>
    <w:rsid w:val="00351F11"/>
    <w:rsid w:val="00352EE8"/>
    <w:rsid w:val="00353387"/>
    <w:rsid w:val="0035340F"/>
    <w:rsid w:val="00353B24"/>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5527"/>
    <w:rsid w:val="0036619D"/>
    <w:rsid w:val="00366E3C"/>
    <w:rsid w:val="00366E41"/>
    <w:rsid w:val="00366E68"/>
    <w:rsid w:val="003670D0"/>
    <w:rsid w:val="00367716"/>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1BD"/>
    <w:rsid w:val="00380A8F"/>
    <w:rsid w:val="0038281A"/>
    <w:rsid w:val="00382B06"/>
    <w:rsid w:val="0038308E"/>
    <w:rsid w:val="00383B9F"/>
    <w:rsid w:val="00383DA9"/>
    <w:rsid w:val="00384D0D"/>
    <w:rsid w:val="003850B3"/>
    <w:rsid w:val="00387BF4"/>
    <w:rsid w:val="00390014"/>
    <w:rsid w:val="00390695"/>
    <w:rsid w:val="00391839"/>
    <w:rsid w:val="00391FB7"/>
    <w:rsid w:val="003924BD"/>
    <w:rsid w:val="003925A5"/>
    <w:rsid w:val="00393DD7"/>
    <w:rsid w:val="003944C7"/>
    <w:rsid w:val="00394580"/>
    <w:rsid w:val="00394CFD"/>
    <w:rsid w:val="00395A6D"/>
    <w:rsid w:val="00395D70"/>
    <w:rsid w:val="00395EDA"/>
    <w:rsid w:val="003967A8"/>
    <w:rsid w:val="00396958"/>
    <w:rsid w:val="003976C5"/>
    <w:rsid w:val="00397704"/>
    <w:rsid w:val="00397AF1"/>
    <w:rsid w:val="003A0CF6"/>
    <w:rsid w:val="003A0EAC"/>
    <w:rsid w:val="003A117A"/>
    <w:rsid w:val="003A19CD"/>
    <w:rsid w:val="003A1E86"/>
    <w:rsid w:val="003A20D0"/>
    <w:rsid w:val="003A24A1"/>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EC7"/>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A8C"/>
    <w:rsid w:val="003F1FDB"/>
    <w:rsid w:val="003F2CAE"/>
    <w:rsid w:val="003F31CF"/>
    <w:rsid w:val="003F32AB"/>
    <w:rsid w:val="003F34C5"/>
    <w:rsid w:val="003F4A5B"/>
    <w:rsid w:val="003F4EDC"/>
    <w:rsid w:val="003F5F2C"/>
    <w:rsid w:val="003F6222"/>
    <w:rsid w:val="003F6F28"/>
    <w:rsid w:val="003F772A"/>
    <w:rsid w:val="003F7BF9"/>
    <w:rsid w:val="003F7DBF"/>
    <w:rsid w:val="0040058A"/>
    <w:rsid w:val="00400982"/>
    <w:rsid w:val="00400CC6"/>
    <w:rsid w:val="0040133B"/>
    <w:rsid w:val="00402056"/>
    <w:rsid w:val="0040286F"/>
    <w:rsid w:val="00402874"/>
    <w:rsid w:val="0040416A"/>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B6"/>
    <w:rsid w:val="004155F6"/>
    <w:rsid w:val="004157DC"/>
    <w:rsid w:val="004159FE"/>
    <w:rsid w:val="00415B5D"/>
    <w:rsid w:val="00415D24"/>
    <w:rsid w:val="00415E1E"/>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838"/>
    <w:rsid w:val="00470AB2"/>
    <w:rsid w:val="00471A24"/>
    <w:rsid w:val="004726C3"/>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5DA9"/>
    <w:rsid w:val="00486D62"/>
    <w:rsid w:val="004874FE"/>
    <w:rsid w:val="00490008"/>
    <w:rsid w:val="00490AA0"/>
    <w:rsid w:val="00490C9A"/>
    <w:rsid w:val="0049135E"/>
    <w:rsid w:val="00491554"/>
    <w:rsid w:val="0049199D"/>
    <w:rsid w:val="00492189"/>
    <w:rsid w:val="00492DF1"/>
    <w:rsid w:val="00493D4B"/>
    <w:rsid w:val="00496211"/>
    <w:rsid w:val="00497DBF"/>
    <w:rsid w:val="00497F2F"/>
    <w:rsid w:val="004A056C"/>
    <w:rsid w:val="004A09D9"/>
    <w:rsid w:val="004A22F8"/>
    <w:rsid w:val="004A2351"/>
    <w:rsid w:val="004A29B9"/>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39CF"/>
    <w:rsid w:val="004E3CBE"/>
    <w:rsid w:val="004E4008"/>
    <w:rsid w:val="004E4953"/>
    <w:rsid w:val="004E4B7C"/>
    <w:rsid w:val="004E5D88"/>
    <w:rsid w:val="004E5F10"/>
    <w:rsid w:val="004E5F35"/>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6FDF"/>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243"/>
    <w:rsid w:val="00516423"/>
    <w:rsid w:val="0051684C"/>
    <w:rsid w:val="0051725E"/>
    <w:rsid w:val="005178B2"/>
    <w:rsid w:val="00520123"/>
    <w:rsid w:val="00520AA9"/>
    <w:rsid w:val="00521057"/>
    <w:rsid w:val="00521075"/>
    <w:rsid w:val="00522AE1"/>
    <w:rsid w:val="00522B6F"/>
    <w:rsid w:val="00522DEE"/>
    <w:rsid w:val="00523EE3"/>
    <w:rsid w:val="005246BF"/>
    <w:rsid w:val="005246E7"/>
    <w:rsid w:val="00524A8B"/>
    <w:rsid w:val="0052534E"/>
    <w:rsid w:val="00525407"/>
    <w:rsid w:val="005255D3"/>
    <w:rsid w:val="0053037B"/>
    <w:rsid w:val="005319D9"/>
    <w:rsid w:val="005326BC"/>
    <w:rsid w:val="0053285A"/>
    <w:rsid w:val="005351E7"/>
    <w:rsid w:val="005358DC"/>
    <w:rsid w:val="005373A0"/>
    <w:rsid w:val="00537D0A"/>
    <w:rsid w:val="005418ED"/>
    <w:rsid w:val="00542291"/>
    <w:rsid w:val="0054231A"/>
    <w:rsid w:val="00542763"/>
    <w:rsid w:val="00543338"/>
    <w:rsid w:val="005436D9"/>
    <w:rsid w:val="005438CF"/>
    <w:rsid w:val="0054404B"/>
    <w:rsid w:val="00544290"/>
    <w:rsid w:val="00544376"/>
    <w:rsid w:val="00545ABE"/>
    <w:rsid w:val="005466F6"/>
    <w:rsid w:val="00547A50"/>
    <w:rsid w:val="00547F93"/>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78E7"/>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C44"/>
    <w:rsid w:val="00595C8A"/>
    <w:rsid w:val="0059689D"/>
    <w:rsid w:val="0059762E"/>
    <w:rsid w:val="005A009B"/>
    <w:rsid w:val="005A05EA"/>
    <w:rsid w:val="005A123F"/>
    <w:rsid w:val="005A1445"/>
    <w:rsid w:val="005A21D3"/>
    <w:rsid w:val="005A36DC"/>
    <w:rsid w:val="005A42DE"/>
    <w:rsid w:val="005A506D"/>
    <w:rsid w:val="005A5ECA"/>
    <w:rsid w:val="005A661E"/>
    <w:rsid w:val="005A734A"/>
    <w:rsid w:val="005A793E"/>
    <w:rsid w:val="005A7B3F"/>
    <w:rsid w:val="005B0F12"/>
    <w:rsid w:val="005B17F7"/>
    <w:rsid w:val="005B2B0B"/>
    <w:rsid w:val="005B462F"/>
    <w:rsid w:val="005B4718"/>
    <w:rsid w:val="005B4B8B"/>
    <w:rsid w:val="005B4DAC"/>
    <w:rsid w:val="005B6FEC"/>
    <w:rsid w:val="005B74BD"/>
    <w:rsid w:val="005B7F7C"/>
    <w:rsid w:val="005C0279"/>
    <w:rsid w:val="005C034C"/>
    <w:rsid w:val="005C04C7"/>
    <w:rsid w:val="005C3098"/>
    <w:rsid w:val="005C3EC5"/>
    <w:rsid w:val="005C4C33"/>
    <w:rsid w:val="005C4CF2"/>
    <w:rsid w:val="005C571C"/>
    <w:rsid w:val="005C59E2"/>
    <w:rsid w:val="005C5D00"/>
    <w:rsid w:val="005C5EF9"/>
    <w:rsid w:val="005C7BBA"/>
    <w:rsid w:val="005D0170"/>
    <w:rsid w:val="005D0ED7"/>
    <w:rsid w:val="005D123C"/>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108D"/>
    <w:rsid w:val="006219CF"/>
    <w:rsid w:val="006228A9"/>
    <w:rsid w:val="0062465F"/>
    <w:rsid w:val="00624795"/>
    <w:rsid w:val="00624A65"/>
    <w:rsid w:val="006257B2"/>
    <w:rsid w:val="00625A0D"/>
    <w:rsid w:val="00627FFE"/>
    <w:rsid w:val="006300D8"/>
    <w:rsid w:val="00630C7E"/>
    <w:rsid w:val="00631062"/>
    <w:rsid w:val="006318CE"/>
    <w:rsid w:val="00632334"/>
    <w:rsid w:val="00632A6B"/>
    <w:rsid w:val="00633AC0"/>
    <w:rsid w:val="00633EA3"/>
    <w:rsid w:val="006340CC"/>
    <w:rsid w:val="00635816"/>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951"/>
    <w:rsid w:val="0065163E"/>
    <w:rsid w:val="00651D95"/>
    <w:rsid w:val="006521A6"/>
    <w:rsid w:val="006534A6"/>
    <w:rsid w:val="0065400E"/>
    <w:rsid w:val="00654199"/>
    <w:rsid w:val="00654D3F"/>
    <w:rsid w:val="00655E80"/>
    <w:rsid w:val="00656E21"/>
    <w:rsid w:val="00656E42"/>
    <w:rsid w:val="006572DB"/>
    <w:rsid w:val="0065770D"/>
    <w:rsid w:val="00657970"/>
    <w:rsid w:val="00657C70"/>
    <w:rsid w:val="0066019B"/>
    <w:rsid w:val="0066024C"/>
    <w:rsid w:val="00662EB2"/>
    <w:rsid w:val="00662F77"/>
    <w:rsid w:val="00663356"/>
    <w:rsid w:val="00663A6E"/>
    <w:rsid w:val="00663CDE"/>
    <w:rsid w:val="00664424"/>
    <w:rsid w:val="00664679"/>
    <w:rsid w:val="00664714"/>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DFF"/>
    <w:rsid w:val="00682EB3"/>
    <w:rsid w:val="006845C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6876"/>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57A7"/>
    <w:rsid w:val="006E66AC"/>
    <w:rsid w:val="006E786E"/>
    <w:rsid w:val="006F0D46"/>
    <w:rsid w:val="006F1DC6"/>
    <w:rsid w:val="006F2345"/>
    <w:rsid w:val="006F2EA6"/>
    <w:rsid w:val="006F3EA4"/>
    <w:rsid w:val="006F4A3A"/>
    <w:rsid w:val="006F4D8C"/>
    <w:rsid w:val="006F4E2F"/>
    <w:rsid w:val="006F530B"/>
    <w:rsid w:val="006F5EBE"/>
    <w:rsid w:val="006F611C"/>
    <w:rsid w:val="006F6EC5"/>
    <w:rsid w:val="006F6ED4"/>
    <w:rsid w:val="006F7900"/>
    <w:rsid w:val="006F7BAA"/>
    <w:rsid w:val="006F7CF6"/>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B84"/>
    <w:rsid w:val="00715D36"/>
    <w:rsid w:val="0071771C"/>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C1A"/>
    <w:rsid w:val="00734EA1"/>
    <w:rsid w:val="007357D9"/>
    <w:rsid w:val="00735A8D"/>
    <w:rsid w:val="00735FB2"/>
    <w:rsid w:val="00736040"/>
    <w:rsid w:val="007360FC"/>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E86"/>
    <w:rsid w:val="00753667"/>
    <w:rsid w:val="00753C91"/>
    <w:rsid w:val="00753F9E"/>
    <w:rsid w:val="0075523F"/>
    <w:rsid w:val="007560A9"/>
    <w:rsid w:val="00756224"/>
    <w:rsid w:val="0075693D"/>
    <w:rsid w:val="00757BBA"/>
    <w:rsid w:val="00757F5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7460"/>
    <w:rsid w:val="007679F2"/>
    <w:rsid w:val="00767A77"/>
    <w:rsid w:val="00767F9F"/>
    <w:rsid w:val="00771120"/>
    <w:rsid w:val="007713DF"/>
    <w:rsid w:val="0077183D"/>
    <w:rsid w:val="00771ECC"/>
    <w:rsid w:val="00772834"/>
    <w:rsid w:val="00773F7B"/>
    <w:rsid w:val="00774522"/>
    <w:rsid w:val="00775DA7"/>
    <w:rsid w:val="00775EEF"/>
    <w:rsid w:val="00776484"/>
    <w:rsid w:val="007765CC"/>
    <w:rsid w:val="00776FD5"/>
    <w:rsid w:val="00777969"/>
    <w:rsid w:val="00777DC9"/>
    <w:rsid w:val="00780073"/>
    <w:rsid w:val="007800AB"/>
    <w:rsid w:val="00782381"/>
    <w:rsid w:val="007837C1"/>
    <w:rsid w:val="00783EED"/>
    <w:rsid w:val="00784B70"/>
    <w:rsid w:val="007851C9"/>
    <w:rsid w:val="007868A6"/>
    <w:rsid w:val="00786A9A"/>
    <w:rsid w:val="007871A1"/>
    <w:rsid w:val="007905CF"/>
    <w:rsid w:val="00790AD5"/>
    <w:rsid w:val="00791557"/>
    <w:rsid w:val="0079233D"/>
    <w:rsid w:val="00792DBF"/>
    <w:rsid w:val="00793662"/>
    <w:rsid w:val="007936BD"/>
    <w:rsid w:val="0079487D"/>
    <w:rsid w:val="00794C1A"/>
    <w:rsid w:val="00794D13"/>
    <w:rsid w:val="0079585F"/>
    <w:rsid w:val="00796823"/>
    <w:rsid w:val="00796918"/>
    <w:rsid w:val="00796D40"/>
    <w:rsid w:val="00796E40"/>
    <w:rsid w:val="00797BE2"/>
    <w:rsid w:val="00797CE3"/>
    <w:rsid w:val="007A0213"/>
    <w:rsid w:val="007A096A"/>
    <w:rsid w:val="007A183D"/>
    <w:rsid w:val="007A1BF9"/>
    <w:rsid w:val="007A2965"/>
    <w:rsid w:val="007A3666"/>
    <w:rsid w:val="007A380D"/>
    <w:rsid w:val="007A3C59"/>
    <w:rsid w:val="007A423C"/>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6A"/>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4FCE"/>
    <w:rsid w:val="00805374"/>
    <w:rsid w:val="00805591"/>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55FC"/>
    <w:rsid w:val="0082612C"/>
    <w:rsid w:val="00826A3A"/>
    <w:rsid w:val="00826C75"/>
    <w:rsid w:val="008278C6"/>
    <w:rsid w:val="008300EF"/>
    <w:rsid w:val="00831095"/>
    <w:rsid w:val="008310C1"/>
    <w:rsid w:val="00831229"/>
    <w:rsid w:val="00831363"/>
    <w:rsid w:val="0083186D"/>
    <w:rsid w:val="00832626"/>
    <w:rsid w:val="00832E0C"/>
    <w:rsid w:val="00832EC0"/>
    <w:rsid w:val="00833560"/>
    <w:rsid w:val="00833F2F"/>
    <w:rsid w:val="00834BD9"/>
    <w:rsid w:val="00834FAC"/>
    <w:rsid w:val="00836986"/>
    <w:rsid w:val="008370FA"/>
    <w:rsid w:val="00837699"/>
    <w:rsid w:val="008403C4"/>
    <w:rsid w:val="008403F3"/>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BE8"/>
    <w:rsid w:val="00857A59"/>
    <w:rsid w:val="00860316"/>
    <w:rsid w:val="008618A5"/>
    <w:rsid w:val="00862768"/>
    <w:rsid w:val="0086278A"/>
    <w:rsid w:val="0086301E"/>
    <w:rsid w:val="008636A3"/>
    <w:rsid w:val="00863AFD"/>
    <w:rsid w:val="00864930"/>
    <w:rsid w:val="00864CCD"/>
    <w:rsid w:val="00865C97"/>
    <w:rsid w:val="00866446"/>
    <w:rsid w:val="0086659B"/>
    <w:rsid w:val="008670AA"/>
    <w:rsid w:val="008671EB"/>
    <w:rsid w:val="00870143"/>
    <w:rsid w:val="00870A9B"/>
    <w:rsid w:val="00870B8C"/>
    <w:rsid w:val="00870C9B"/>
    <w:rsid w:val="00870E0B"/>
    <w:rsid w:val="0087119D"/>
    <w:rsid w:val="008725D5"/>
    <w:rsid w:val="00872C6A"/>
    <w:rsid w:val="00872DE3"/>
    <w:rsid w:val="00873D07"/>
    <w:rsid w:val="00874C2E"/>
    <w:rsid w:val="00875798"/>
    <w:rsid w:val="008763F3"/>
    <w:rsid w:val="008801E3"/>
    <w:rsid w:val="00880217"/>
    <w:rsid w:val="00880429"/>
    <w:rsid w:val="00880D6A"/>
    <w:rsid w:val="0088278D"/>
    <w:rsid w:val="00883B5B"/>
    <w:rsid w:val="00884AF9"/>
    <w:rsid w:val="00884C39"/>
    <w:rsid w:val="0088535B"/>
    <w:rsid w:val="00885914"/>
    <w:rsid w:val="00885951"/>
    <w:rsid w:val="00885952"/>
    <w:rsid w:val="00885DDB"/>
    <w:rsid w:val="008861CF"/>
    <w:rsid w:val="00886348"/>
    <w:rsid w:val="008865A6"/>
    <w:rsid w:val="0088680E"/>
    <w:rsid w:val="00886917"/>
    <w:rsid w:val="00890BC9"/>
    <w:rsid w:val="00890C32"/>
    <w:rsid w:val="00891439"/>
    <w:rsid w:val="00892355"/>
    <w:rsid w:val="0089298E"/>
    <w:rsid w:val="008932B8"/>
    <w:rsid w:val="008934D0"/>
    <w:rsid w:val="0089495D"/>
    <w:rsid w:val="00895AD7"/>
    <w:rsid w:val="00896C91"/>
    <w:rsid w:val="00897271"/>
    <w:rsid w:val="008A0C14"/>
    <w:rsid w:val="008A16F5"/>
    <w:rsid w:val="008A1EDF"/>
    <w:rsid w:val="008A2560"/>
    <w:rsid w:val="008A2C3F"/>
    <w:rsid w:val="008A3104"/>
    <w:rsid w:val="008A506C"/>
    <w:rsid w:val="008A5246"/>
    <w:rsid w:val="008A5400"/>
    <w:rsid w:val="008A5738"/>
    <w:rsid w:val="008A58C2"/>
    <w:rsid w:val="008A7414"/>
    <w:rsid w:val="008B03D4"/>
    <w:rsid w:val="008B069A"/>
    <w:rsid w:val="008B0DFC"/>
    <w:rsid w:val="008B110A"/>
    <w:rsid w:val="008B11A1"/>
    <w:rsid w:val="008B1C21"/>
    <w:rsid w:val="008B4170"/>
    <w:rsid w:val="008B46A7"/>
    <w:rsid w:val="008B5A03"/>
    <w:rsid w:val="008B5C98"/>
    <w:rsid w:val="008B6184"/>
    <w:rsid w:val="008B65B6"/>
    <w:rsid w:val="008B6631"/>
    <w:rsid w:val="008B7578"/>
    <w:rsid w:val="008B77E9"/>
    <w:rsid w:val="008B78F2"/>
    <w:rsid w:val="008C098E"/>
    <w:rsid w:val="008C0CF7"/>
    <w:rsid w:val="008C14F1"/>
    <w:rsid w:val="008C18A4"/>
    <w:rsid w:val="008C2001"/>
    <w:rsid w:val="008C2203"/>
    <w:rsid w:val="008C3595"/>
    <w:rsid w:val="008C370C"/>
    <w:rsid w:val="008C3A93"/>
    <w:rsid w:val="008C3FA6"/>
    <w:rsid w:val="008C40E9"/>
    <w:rsid w:val="008C40F0"/>
    <w:rsid w:val="008C4B37"/>
    <w:rsid w:val="008C5EBB"/>
    <w:rsid w:val="008C616E"/>
    <w:rsid w:val="008C632B"/>
    <w:rsid w:val="008C65E2"/>
    <w:rsid w:val="008C7395"/>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56BA"/>
    <w:rsid w:val="008E601F"/>
    <w:rsid w:val="008E68DB"/>
    <w:rsid w:val="008E6A14"/>
    <w:rsid w:val="008E6BBE"/>
    <w:rsid w:val="008E7181"/>
    <w:rsid w:val="008E7B76"/>
    <w:rsid w:val="008E7BB0"/>
    <w:rsid w:val="008F025D"/>
    <w:rsid w:val="008F02DE"/>
    <w:rsid w:val="008F116A"/>
    <w:rsid w:val="008F2840"/>
    <w:rsid w:val="008F377A"/>
    <w:rsid w:val="008F3968"/>
    <w:rsid w:val="008F39DB"/>
    <w:rsid w:val="008F39F6"/>
    <w:rsid w:val="008F4072"/>
    <w:rsid w:val="008F4B84"/>
    <w:rsid w:val="008F5362"/>
    <w:rsid w:val="008F5C16"/>
    <w:rsid w:val="008F5CBF"/>
    <w:rsid w:val="008F621B"/>
    <w:rsid w:val="008F65B5"/>
    <w:rsid w:val="008F6868"/>
    <w:rsid w:val="008F69BF"/>
    <w:rsid w:val="00900732"/>
    <w:rsid w:val="00900F2A"/>
    <w:rsid w:val="00900F80"/>
    <w:rsid w:val="00901BA9"/>
    <w:rsid w:val="00901BFB"/>
    <w:rsid w:val="00901C6E"/>
    <w:rsid w:val="0090279C"/>
    <w:rsid w:val="00902A6C"/>
    <w:rsid w:val="00902B05"/>
    <w:rsid w:val="0090392A"/>
    <w:rsid w:val="009040FD"/>
    <w:rsid w:val="00904B8D"/>
    <w:rsid w:val="00904E01"/>
    <w:rsid w:val="00905609"/>
    <w:rsid w:val="00905F48"/>
    <w:rsid w:val="009064B3"/>
    <w:rsid w:val="00906ADB"/>
    <w:rsid w:val="009073DC"/>
    <w:rsid w:val="009114BE"/>
    <w:rsid w:val="00913E48"/>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1D4"/>
    <w:rsid w:val="00935771"/>
    <w:rsid w:val="009359B9"/>
    <w:rsid w:val="00935C86"/>
    <w:rsid w:val="00935F48"/>
    <w:rsid w:val="00935FB5"/>
    <w:rsid w:val="00937305"/>
    <w:rsid w:val="00937377"/>
    <w:rsid w:val="009375C1"/>
    <w:rsid w:val="00937973"/>
    <w:rsid w:val="00940725"/>
    <w:rsid w:val="009412AB"/>
    <w:rsid w:val="00941CB4"/>
    <w:rsid w:val="0094210A"/>
    <w:rsid w:val="0094301D"/>
    <w:rsid w:val="00943ADB"/>
    <w:rsid w:val="00944264"/>
    <w:rsid w:val="009444C6"/>
    <w:rsid w:val="00946DC8"/>
    <w:rsid w:val="009479DA"/>
    <w:rsid w:val="00947BB1"/>
    <w:rsid w:val="00950683"/>
    <w:rsid w:val="009510E0"/>
    <w:rsid w:val="00951E41"/>
    <w:rsid w:val="009550C7"/>
    <w:rsid w:val="00955515"/>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5BA"/>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7862"/>
    <w:rsid w:val="009A065E"/>
    <w:rsid w:val="009A2584"/>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3515"/>
    <w:rsid w:val="009C3E48"/>
    <w:rsid w:val="009C4945"/>
    <w:rsid w:val="009C5F38"/>
    <w:rsid w:val="009C76F8"/>
    <w:rsid w:val="009C7951"/>
    <w:rsid w:val="009D07A4"/>
    <w:rsid w:val="009D0C0F"/>
    <w:rsid w:val="009D0C49"/>
    <w:rsid w:val="009D133B"/>
    <w:rsid w:val="009D154B"/>
    <w:rsid w:val="009D18B2"/>
    <w:rsid w:val="009D1FC3"/>
    <w:rsid w:val="009D234E"/>
    <w:rsid w:val="009D237A"/>
    <w:rsid w:val="009D2B99"/>
    <w:rsid w:val="009D2FC8"/>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95C"/>
    <w:rsid w:val="009E397E"/>
    <w:rsid w:val="009E4C72"/>
    <w:rsid w:val="009E50DB"/>
    <w:rsid w:val="009E5448"/>
    <w:rsid w:val="009E5DB1"/>
    <w:rsid w:val="009E78CE"/>
    <w:rsid w:val="009F020E"/>
    <w:rsid w:val="009F05AE"/>
    <w:rsid w:val="009F3268"/>
    <w:rsid w:val="009F3836"/>
    <w:rsid w:val="009F4C92"/>
    <w:rsid w:val="009F57D9"/>
    <w:rsid w:val="009F6AD4"/>
    <w:rsid w:val="009F7404"/>
    <w:rsid w:val="009F7C0C"/>
    <w:rsid w:val="00A00234"/>
    <w:rsid w:val="00A002FD"/>
    <w:rsid w:val="00A00E1E"/>
    <w:rsid w:val="00A00F56"/>
    <w:rsid w:val="00A0144E"/>
    <w:rsid w:val="00A0175F"/>
    <w:rsid w:val="00A01E3D"/>
    <w:rsid w:val="00A020F1"/>
    <w:rsid w:val="00A02572"/>
    <w:rsid w:val="00A02854"/>
    <w:rsid w:val="00A02E45"/>
    <w:rsid w:val="00A0300D"/>
    <w:rsid w:val="00A030D4"/>
    <w:rsid w:val="00A0385B"/>
    <w:rsid w:val="00A04960"/>
    <w:rsid w:val="00A04B45"/>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72"/>
    <w:rsid w:val="00A337C3"/>
    <w:rsid w:val="00A343AA"/>
    <w:rsid w:val="00A35379"/>
    <w:rsid w:val="00A35428"/>
    <w:rsid w:val="00A35A92"/>
    <w:rsid w:val="00A36251"/>
    <w:rsid w:val="00A36DF8"/>
    <w:rsid w:val="00A40066"/>
    <w:rsid w:val="00A40773"/>
    <w:rsid w:val="00A41164"/>
    <w:rsid w:val="00A4269C"/>
    <w:rsid w:val="00A42F6B"/>
    <w:rsid w:val="00A43CC8"/>
    <w:rsid w:val="00A4449F"/>
    <w:rsid w:val="00A46150"/>
    <w:rsid w:val="00A46CA1"/>
    <w:rsid w:val="00A471E6"/>
    <w:rsid w:val="00A47295"/>
    <w:rsid w:val="00A4772D"/>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622E"/>
    <w:rsid w:val="00A76941"/>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5289"/>
    <w:rsid w:val="00A8734A"/>
    <w:rsid w:val="00A8764F"/>
    <w:rsid w:val="00A8788B"/>
    <w:rsid w:val="00A90AF5"/>
    <w:rsid w:val="00A90F59"/>
    <w:rsid w:val="00A916AA"/>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20AD"/>
    <w:rsid w:val="00AE2341"/>
    <w:rsid w:val="00AE29BC"/>
    <w:rsid w:val="00AE2C18"/>
    <w:rsid w:val="00AE32B1"/>
    <w:rsid w:val="00AE488F"/>
    <w:rsid w:val="00AE5ACA"/>
    <w:rsid w:val="00AE66B9"/>
    <w:rsid w:val="00AE77F8"/>
    <w:rsid w:val="00AE78EA"/>
    <w:rsid w:val="00AE79B1"/>
    <w:rsid w:val="00AF1598"/>
    <w:rsid w:val="00AF1D23"/>
    <w:rsid w:val="00AF29F5"/>
    <w:rsid w:val="00AF2F34"/>
    <w:rsid w:val="00AF2FB7"/>
    <w:rsid w:val="00AF332B"/>
    <w:rsid w:val="00AF3D2D"/>
    <w:rsid w:val="00AF3DFD"/>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311"/>
    <w:rsid w:val="00B05534"/>
    <w:rsid w:val="00B0590C"/>
    <w:rsid w:val="00B05DA4"/>
    <w:rsid w:val="00B061A9"/>
    <w:rsid w:val="00B061B3"/>
    <w:rsid w:val="00B06459"/>
    <w:rsid w:val="00B06EF2"/>
    <w:rsid w:val="00B070F2"/>
    <w:rsid w:val="00B07390"/>
    <w:rsid w:val="00B1027E"/>
    <w:rsid w:val="00B12FFA"/>
    <w:rsid w:val="00B1452B"/>
    <w:rsid w:val="00B14702"/>
    <w:rsid w:val="00B156C2"/>
    <w:rsid w:val="00B1662B"/>
    <w:rsid w:val="00B171C3"/>
    <w:rsid w:val="00B20339"/>
    <w:rsid w:val="00B2140E"/>
    <w:rsid w:val="00B21C48"/>
    <w:rsid w:val="00B21E9E"/>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E5D"/>
    <w:rsid w:val="00B36873"/>
    <w:rsid w:val="00B37154"/>
    <w:rsid w:val="00B3725E"/>
    <w:rsid w:val="00B37B18"/>
    <w:rsid w:val="00B40629"/>
    <w:rsid w:val="00B42570"/>
    <w:rsid w:val="00B432AE"/>
    <w:rsid w:val="00B438C1"/>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5031"/>
    <w:rsid w:val="00B651A4"/>
    <w:rsid w:val="00B659F6"/>
    <w:rsid w:val="00B65DD3"/>
    <w:rsid w:val="00B66A6A"/>
    <w:rsid w:val="00B66C0F"/>
    <w:rsid w:val="00B710BF"/>
    <w:rsid w:val="00B7177B"/>
    <w:rsid w:val="00B7247F"/>
    <w:rsid w:val="00B734B5"/>
    <w:rsid w:val="00B747BE"/>
    <w:rsid w:val="00B7598A"/>
    <w:rsid w:val="00B77200"/>
    <w:rsid w:val="00B77678"/>
    <w:rsid w:val="00B77CF4"/>
    <w:rsid w:val="00B77E36"/>
    <w:rsid w:val="00B77E78"/>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FFB"/>
    <w:rsid w:val="00BA3DC0"/>
    <w:rsid w:val="00BA3E1F"/>
    <w:rsid w:val="00BA42CC"/>
    <w:rsid w:val="00BA4873"/>
    <w:rsid w:val="00BA494F"/>
    <w:rsid w:val="00BA5A26"/>
    <w:rsid w:val="00BA5A91"/>
    <w:rsid w:val="00BA5B9D"/>
    <w:rsid w:val="00BA63D1"/>
    <w:rsid w:val="00BA6682"/>
    <w:rsid w:val="00BA6866"/>
    <w:rsid w:val="00BA6EEA"/>
    <w:rsid w:val="00BA7CA0"/>
    <w:rsid w:val="00BA7DC7"/>
    <w:rsid w:val="00BB0CF5"/>
    <w:rsid w:val="00BB11F2"/>
    <w:rsid w:val="00BB1751"/>
    <w:rsid w:val="00BB1EC5"/>
    <w:rsid w:val="00BB1FE6"/>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5891"/>
    <w:rsid w:val="00BC5915"/>
    <w:rsid w:val="00BC5AC8"/>
    <w:rsid w:val="00BC5E79"/>
    <w:rsid w:val="00BC5ED7"/>
    <w:rsid w:val="00BC61E2"/>
    <w:rsid w:val="00BC6E51"/>
    <w:rsid w:val="00BC7418"/>
    <w:rsid w:val="00BD1780"/>
    <w:rsid w:val="00BD42D4"/>
    <w:rsid w:val="00BD45CE"/>
    <w:rsid w:val="00BD48A1"/>
    <w:rsid w:val="00BD51E3"/>
    <w:rsid w:val="00BD5ED8"/>
    <w:rsid w:val="00BD6035"/>
    <w:rsid w:val="00BD61A1"/>
    <w:rsid w:val="00BD70C8"/>
    <w:rsid w:val="00BD740F"/>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783B"/>
    <w:rsid w:val="00C27FB2"/>
    <w:rsid w:val="00C3070F"/>
    <w:rsid w:val="00C30F38"/>
    <w:rsid w:val="00C31F34"/>
    <w:rsid w:val="00C31FD6"/>
    <w:rsid w:val="00C3240E"/>
    <w:rsid w:val="00C32A90"/>
    <w:rsid w:val="00C32AD1"/>
    <w:rsid w:val="00C34BDE"/>
    <w:rsid w:val="00C3585C"/>
    <w:rsid w:val="00C35C32"/>
    <w:rsid w:val="00C35C33"/>
    <w:rsid w:val="00C36647"/>
    <w:rsid w:val="00C36E67"/>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618B"/>
    <w:rsid w:val="00C4635E"/>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9BC"/>
    <w:rsid w:val="00C708AA"/>
    <w:rsid w:val="00C70C82"/>
    <w:rsid w:val="00C71B8A"/>
    <w:rsid w:val="00C71E9F"/>
    <w:rsid w:val="00C72EEC"/>
    <w:rsid w:val="00C730B3"/>
    <w:rsid w:val="00C7318A"/>
    <w:rsid w:val="00C74B32"/>
    <w:rsid w:val="00C75162"/>
    <w:rsid w:val="00C758A0"/>
    <w:rsid w:val="00C7612E"/>
    <w:rsid w:val="00C762FA"/>
    <w:rsid w:val="00C76C0B"/>
    <w:rsid w:val="00C7724E"/>
    <w:rsid w:val="00C8016C"/>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C82"/>
    <w:rsid w:val="00CB4D35"/>
    <w:rsid w:val="00CB4D9B"/>
    <w:rsid w:val="00CB5859"/>
    <w:rsid w:val="00CB5AB2"/>
    <w:rsid w:val="00CB5B42"/>
    <w:rsid w:val="00CB618B"/>
    <w:rsid w:val="00CB776C"/>
    <w:rsid w:val="00CB78EB"/>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301F"/>
    <w:rsid w:val="00D1343F"/>
    <w:rsid w:val="00D13A79"/>
    <w:rsid w:val="00D14F88"/>
    <w:rsid w:val="00D15216"/>
    <w:rsid w:val="00D15993"/>
    <w:rsid w:val="00D17D66"/>
    <w:rsid w:val="00D20257"/>
    <w:rsid w:val="00D20412"/>
    <w:rsid w:val="00D205E3"/>
    <w:rsid w:val="00D20A16"/>
    <w:rsid w:val="00D238B3"/>
    <w:rsid w:val="00D257C7"/>
    <w:rsid w:val="00D25E43"/>
    <w:rsid w:val="00D26570"/>
    <w:rsid w:val="00D26D97"/>
    <w:rsid w:val="00D27D3E"/>
    <w:rsid w:val="00D302A8"/>
    <w:rsid w:val="00D311AE"/>
    <w:rsid w:val="00D319AF"/>
    <w:rsid w:val="00D31E2B"/>
    <w:rsid w:val="00D32625"/>
    <w:rsid w:val="00D32B59"/>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9C1"/>
    <w:rsid w:val="00D43C4C"/>
    <w:rsid w:val="00D4449E"/>
    <w:rsid w:val="00D4457F"/>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E4"/>
    <w:rsid w:val="00D548B4"/>
    <w:rsid w:val="00D54FB2"/>
    <w:rsid w:val="00D558E9"/>
    <w:rsid w:val="00D574D0"/>
    <w:rsid w:val="00D57BD1"/>
    <w:rsid w:val="00D57DEF"/>
    <w:rsid w:val="00D6021A"/>
    <w:rsid w:val="00D60DCD"/>
    <w:rsid w:val="00D62ACE"/>
    <w:rsid w:val="00D63691"/>
    <w:rsid w:val="00D64AAD"/>
    <w:rsid w:val="00D65768"/>
    <w:rsid w:val="00D65D70"/>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551"/>
    <w:rsid w:val="00D97B16"/>
    <w:rsid w:val="00DA3498"/>
    <w:rsid w:val="00DA3BBD"/>
    <w:rsid w:val="00DA3CE5"/>
    <w:rsid w:val="00DA433A"/>
    <w:rsid w:val="00DA4BDE"/>
    <w:rsid w:val="00DA5092"/>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BB1"/>
    <w:rsid w:val="00DB6434"/>
    <w:rsid w:val="00DC0A8E"/>
    <w:rsid w:val="00DC0F91"/>
    <w:rsid w:val="00DC0FCE"/>
    <w:rsid w:val="00DC135F"/>
    <w:rsid w:val="00DC146C"/>
    <w:rsid w:val="00DC150F"/>
    <w:rsid w:val="00DC22D7"/>
    <w:rsid w:val="00DC2A4B"/>
    <w:rsid w:val="00DC3569"/>
    <w:rsid w:val="00DC3A4D"/>
    <w:rsid w:val="00DC3D69"/>
    <w:rsid w:val="00DC4125"/>
    <w:rsid w:val="00DC4FF5"/>
    <w:rsid w:val="00DC602C"/>
    <w:rsid w:val="00DC6EB3"/>
    <w:rsid w:val="00DC7397"/>
    <w:rsid w:val="00DC7489"/>
    <w:rsid w:val="00DC7A08"/>
    <w:rsid w:val="00DC7FFB"/>
    <w:rsid w:val="00DD0384"/>
    <w:rsid w:val="00DD0BA0"/>
    <w:rsid w:val="00DD10B0"/>
    <w:rsid w:val="00DD38B2"/>
    <w:rsid w:val="00DD6955"/>
    <w:rsid w:val="00DD6CE6"/>
    <w:rsid w:val="00DD72A9"/>
    <w:rsid w:val="00DE134C"/>
    <w:rsid w:val="00DE1996"/>
    <w:rsid w:val="00DE2427"/>
    <w:rsid w:val="00DE39CF"/>
    <w:rsid w:val="00DE3C0F"/>
    <w:rsid w:val="00DE4BA6"/>
    <w:rsid w:val="00DE4D52"/>
    <w:rsid w:val="00DE517F"/>
    <w:rsid w:val="00DE57C5"/>
    <w:rsid w:val="00DE5A44"/>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E00098"/>
    <w:rsid w:val="00E009F5"/>
    <w:rsid w:val="00E00D60"/>
    <w:rsid w:val="00E00F64"/>
    <w:rsid w:val="00E0262F"/>
    <w:rsid w:val="00E02AE3"/>
    <w:rsid w:val="00E02F5E"/>
    <w:rsid w:val="00E042E0"/>
    <w:rsid w:val="00E04A75"/>
    <w:rsid w:val="00E064E1"/>
    <w:rsid w:val="00E0721B"/>
    <w:rsid w:val="00E07540"/>
    <w:rsid w:val="00E075A3"/>
    <w:rsid w:val="00E07CF2"/>
    <w:rsid w:val="00E10F3C"/>
    <w:rsid w:val="00E1282C"/>
    <w:rsid w:val="00E12EC5"/>
    <w:rsid w:val="00E14669"/>
    <w:rsid w:val="00E14E89"/>
    <w:rsid w:val="00E155A7"/>
    <w:rsid w:val="00E16600"/>
    <w:rsid w:val="00E16EF5"/>
    <w:rsid w:val="00E209AF"/>
    <w:rsid w:val="00E21853"/>
    <w:rsid w:val="00E219D8"/>
    <w:rsid w:val="00E22073"/>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787B"/>
    <w:rsid w:val="00E37D09"/>
    <w:rsid w:val="00E400DF"/>
    <w:rsid w:val="00E40AC6"/>
    <w:rsid w:val="00E40B1D"/>
    <w:rsid w:val="00E41330"/>
    <w:rsid w:val="00E42552"/>
    <w:rsid w:val="00E42ABA"/>
    <w:rsid w:val="00E42B53"/>
    <w:rsid w:val="00E42C9E"/>
    <w:rsid w:val="00E42FEF"/>
    <w:rsid w:val="00E435EA"/>
    <w:rsid w:val="00E446C8"/>
    <w:rsid w:val="00E44B25"/>
    <w:rsid w:val="00E44CC7"/>
    <w:rsid w:val="00E471D6"/>
    <w:rsid w:val="00E47216"/>
    <w:rsid w:val="00E47314"/>
    <w:rsid w:val="00E473EC"/>
    <w:rsid w:val="00E479BB"/>
    <w:rsid w:val="00E47A18"/>
    <w:rsid w:val="00E47D9F"/>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3CB9"/>
    <w:rsid w:val="00E648DC"/>
    <w:rsid w:val="00E64CCB"/>
    <w:rsid w:val="00E658A2"/>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A02"/>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F03"/>
    <w:rsid w:val="00E900D7"/>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ECB"/>
    <w:rsid w:val="00EC02E7"/>
    <w:rsid w:val="00EC0AFB"/>
    <w:rsid w:val="00EC1DB2"/>
    <w:rsid w:val="00EC1FFD"/>
    <w:rsid w:val="00EC234E"/>
    <w:rsid w:val="00EC307C"/>
    <w:rsid w:val="00EC3318"/>
    <w:rsid w:val="00EC441A"/>
    <w:rsid w:val="00EC44E0"/>
    <w:rsid w:val="00EC4EE0"/>
    <w:rsid w:val="00EC4EEC"/>
    <w:rsid w:val="00EC5454"/>
    <w:rsid w:val="00EC57E1"/>
    <w:rsid w:val="00EC5A12"/>
    <w:rsid w:val="00EC6BB2"/>
    <w:rsid w:val="00EC75BA"/>
    <w:rsid w:val="00EC779F"/>
    <w:rsid w:val="00ED0B13"/>
    <w:rsid w:val="00ED1066"/>
    <w:rsid w:val="00ED10BF"/>
    <w:rsid w:val="00ED2790"/>
    <w:rsid w:val="00ED3318"/>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E7B34"/>
    <w:rsid w:val="00EF10AD"/>
    <w:rsid w:val="00EF1240"/>
    <w:rsid w:val="00EF182D"/>
    <w:rsid w:val="00EF2A60"/>
    <w:rsid w:val="00EF3066"/>
    <w:rsid w:val="00EF3188"/>
    <w:rsid w:val="00EF331F"/>
    <w:rsid w:val="00EF35E1"/>
    <w:rsid w:val="00EF3998"/>
    <w:rsid w:val="00EF3B5E"/>
    <w:rsid w:val="00EF48DD"/>
    <w:rsid w:val="00EF4EC1"/>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EC3"/>
    <w:rsid w:val="00F074BC"/>
    <w:rsid w:val="00F07FF2"/>
    <w:rsid w:val="00F11E14"/>
    <w:rsid w:val="00F13CBD"/>
    <w:rsid w:val="00F13D4C"/>
    <w:rsid w:val="00F14C5C"/>
    <w:rsid w:val="00F15332"/>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35CB"/>
    <w:rsid w:val="00F45736"/>
    <w:rsid w:val="00F45EF3"/>
    <w:rsid w:val="00F461BA"/>
    <w:rsid w:val="00F46B0B"/>
    <w:rsid w:val="00F46DE5"/>
    <w:rsid w:val="00F46E21"/>
    <w:rsid w:val="00F47524"/>
    <w:rsid w:val="00F51415"/>
    <w:rsid w:val="00F5177E"/>
    <w:rsid w:val="00F53B62"/>
    <w:rsid w:val="00F540C0"/>
    <w:rsid w:val="00F54FB4"/>
    <w:rsid w:val="00F56019"/>
    <w:rsid w:val="00F5632D"/>
    <w:rsid w:val="00F56D3C"/>
    <w:rsid w:val="00F57391"/>
    <w:rsid w:val="00F5783A"/>
    <w:rsid w:val="00F579E4"/>
    <w:rsid w:val="00F6021D"/>
    <w:rsid w:val="00F6057C"/>
    <w:rsid w:val="00F60BF6"/>
    <w:rsid w:val="00F6138E"/>
    <w:rsid w:val="00F61646"/>
    <w:rsid w:val="00F62096"/>
    <w:rsid w:val="00F63458"/>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283"/>
    <w:rsid w:val="00F90619"/>
    <w:rsid w:val="00F90A39"/>
    <w:rsid w:val="00F90A95"/>
    <w:rsid w:val="00F90D4B"/>
    <w:rsid w:val="00F910FE"/>
    <w:rsid w:val="00F9281E"/>
    <w:rsid w:val="00F94059"/>
    <w:rsid w:val="00F945EC"/>
    <w:rsid w:val="00F94A55"/>
    <w:rsid w:val="00F95C10"/>
    <w:rsid w:val="00F95EAE"/>
    <w:rsid w:val="00F960FC"/>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5D62"/>
    <w:rsid w:val="00FA6584"/>
    <w:rsid w:val="00FA769A"/>
    <w:rsid w:val="00FA7DF3"/>
    <w:rsid w:val="00FB0984"/>
    <w:rsid w:val="00FB2722"/>
    <w:rsid w:val="00FB2C20"/>
    <w:rsid w:val="00FB2F86"/>
    <w:rsid w:val="00FB34E3"/>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64"/>
    <w:rsid w:val="00FE4F96"/>
    <w:rsid w:val="00FE58D9"/>
    <w:rsid w:val="00FE5A95"/>
    <w:rsid w:val="00FE602C"/>
    <w:rsid w:val="00FE6773"/>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uiPriority w:val="99"/>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uiPriority w:val="99"/>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Sinespaciado1">
    <w:name w:val="Sin espaciado1"/>
    <w:rsid w:val="005C571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49383919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466316801">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D837B-475E-4B12-A506-0E32D125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2592</Words>
  <Characters>14262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13</cp:revision>
  <cp:lastPrinted>2018-05-21T14:41:00Z</cp:lastPrinted>
  <dcterms:created xsi:type="dcterms:W3CDTF">2018-05-11T16:56:00Z</dcterms:created>
  <dcterms:modified xsi:type="dcterms:W3CDTF">2018-06-21T14:51:00Z</dcterms:modified>
</cp:coreProperties>
</file>