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2A7" w:rsidRPr="00644E78" w:rsidRDefault="001C02A7" w:rsidP="00644E78">
      <w:pPr>
        <w:pStyle w:val="Ttulo"/>
        <w:widowControl/>
        <w:jc w:val="both"/>
        <w:rPr>
          <w:rFonts w:ascii="Arial" w:hAnsi="Arial" w:cs="Arial"/>
          <w:b w:val="0"/>
          <w:bCs w:val="0"/>
          <w:spacing w:val="2"/>
        </w:rPr>
      </w:pPr>
      <w:r w:rsidRPr="00644E78">
        <w:rPr>
          <w:rFonts w:ascii="Arial" w:hAnsi="Arial" w:cs="Arial"/>
          <w:b w:val="0"/>
          <w:bCs w:val="0"/>
          <w:spacing w:val="2"/>
        </w:rPr>
        <w:t>Providencia:</w:t>
      </w:r>
      <w:r w:rsidR="00670A09">
        <w:rPr>
          <w:rFonts w:ascii="Arial" w:hAnsi="Arial" w:cs="Arial"/>
          <w:b w:val="0"/>
          <w:bCs w:val="0"/>
          <w:spacing w:val="2"/>
        </w:rPr>
        <w:tab/>
      </w:r>
      <w:r w:rsidR="00670A09">
        <w:rPr>
          <w:rFonts w:ascii="Arial" w:hAnsi="Arial" w:cs="Arial"/>
          <w:b w:val="0"/>
          <w:bCs w:val="0"/>
          <w:spacing w:val="2"/>
        </w:rPr>
        <w:tab/>
      </w:r>
      <w:r w:rsidR="00C26A31" w:rsidRPr="00644E78">
        <w:rPr>
          <w:rFonts w:ascii="Arial" w:hAnsi="Arial" w:cs="Arial"/>
          <w:b w:val="0"/>
          <w:bCs w:val="0"/>
          <w:spacing w:val="2"/>
        </w:rPr>
        <w:t>Sentencia de</w:t>
      </w:r>
      <w:r w:rsidRPr="00644E78">
        <w:rPr>
          <w:rFonts w:ascii="Arial" w:hAnsi="Arial" w:cs="Arial"/>
          <w:b w:val="0"/>
          <w:bCs w:val="0"/>
          <w:spacing w:val="2"/>
        </w:rPr>
        <w:t xml:space="preserve"> </w:t>
      </w:r>
      <w:r w:rsidR="00A536C0" w:rsidRPr="00644E78">
        <w:rPr>
          <w:rFonts w:ascii="Arial" w:hAnsi="Arial" w:cs="Arial"/>
          <w:b w:val="0"/>
          <w:bCs w:val="0"/>
          <w:spacing w:val="2"/>
          <w:lang w:val="es-ES"/>
        </w:rPr>
        <w:t>27</w:t>
      </w:r>
      <w:r w:rsidRPr="00644E78">
        <w:rPr>
          <w:rFonts w:ascii="Arial" w:hAnsi="Arial" w:cs="Arial"/>
          <w:b w:val="0"/>
          <w:bCs w:val="0"/>
          <w:spacing w:val="2"/>
        </w:rPr>
        <w:t xml:space="preserve"> de </w:t>
      </w:r>
      <w:r w:rsidR="00FE7E6B" w:rsidRPr="00644E78">
        <w:rPr>
          <w:rFonts w:ascii="Arial" w:hAnsi="Arial" w:cs="Arial"/>
          <w:b w:val="0"/>
          <w:bCs w:val="0"/>
          <w:spacing w:val="2"/>
          <w:lang w:val="es-CO"/>
        </w:rPr>
        <w:t>junio</w:t>
      </w:r>
      <w:r w:rsidR="002A17E7" w:rsidRPr="00644E78">
        <w:rPr>
          <w:rFonts w:ascii="Arial" w:hAnsi="Arial" w:cs="Arial"/>
          <w:b w:val="0"/>
          <w:bCs w:val="0"/>
          <w:spacing w:val="2"/>
          <w:lang w:val="es-CO"/>
        </w:rPr>
        <w:t xml:space="preserve"> </w:t>
      </w:r>
      <w:r w:rsidR="002A17E7" w:rsidRPr="00644E78">
        <w:rPr>
          <w:rFonts w:ascii="Arial" w:hAnsi="Arial" w:cs="Arial"/>
          <w:b w:val="0"/>
          <w:bCs w:val="0"/>
          <w:spacing w:val="2"/>
        </w:rPr>
        <w:t>de 2018</w:t>
      </w:r>
    </w:p>
    <w:p w:rsidR="001C02A7" w:rsidRPr="00644E78" w:rsidRDefault="001C02A7" w:rsidP="00644E78">
      <w:pPr>
        <w:pStyle w:val="Ttulo"/>
        <w:widowControl/>
        <w:jc w:val="both"/>
        <w:rPr>
          <w:rFonts w:ascii="Arial" w:hAnsi="Arial" w:cs="Arial"/>
          <w:b w:val="0"/>
          <w:bCs w:val="0"/>
          <w:spacing w:val="2"/>
        </w:rPr>
      </w:pPr>
      <w:r w:rsidRPr="00644E78">
        <w:rPr>
          <w:rFonts w:ascii="Arial" w:hAnsi="Arial" w:cs="Arial"/>
          <w:b w:val="0"/>
          <w:bCs w:val="0"/>
          <w:spacing w:val="2"/>
        </w:rPr>
        <w:t>Radicación Nro.</w:t>
      </w:r>
      <w:r w:rsidRPr="00644E78">
        <w:rPr>
          <w:rFonts w:ascii="Arial" w:hAnsi="Arial" w:cs="Arial"/>
          <w:b w:val="0"/>
          <w:bCs w:val="0"/>
          <w:spacing w:val="2"/>
        </w:rPr>
        <w:tab/>
        <w:t>66001-31-05-00</w:t>
      </w:r>
      <w:r w:rsidR="00A536C0" w:rsidRPr="00644E78">
        <w:rPr>
          <w:rFonts w:ascii="Arial" w:hAnsi="Arial" w:cs="Arial"/>
          <w:b w:val="0"/>
          <w:bCs w:val="0"/>
          <w:spacing w:val="2"/>
          <w:lang w:val="es-ES"/>
        </w:rPr>
        <w:t>4</w:t>
      </w:r>
      <w:r w:rsidRPr="00644E78">
        <w:rPr>
          <w:rFonts w:ascii="Arial" w:hAnsi="Arial" w:cs="Arial"/>
          <w:b w:val="0"/>
          <w:bCs w:val="0"/>
          <w:spacing w:val="2"/>
        </w:rPr>
        <w:t>-201</w:t>
      </w:r>
      <w:r w:rsidR="00A536C0" w:rsidRPr="00644E78">
        <w:rPr>
          <w:rFonts w:ascii="Arial" w:hAnsi="Arial" w:cs="Arial"/>
          <w:b w:val="0"/>
          <w:bCs w:val="0"/>
          <w:spacing w:val="2"/>
          <w:lang w:val="es-ES"/>
        </w:rPr>
        <w:t>7</w:t>
      </w:r>
      <w:r w:rsidRPr="00644E78">
        <w:rPr>
          <w:rFonts w:ascii="Arial" w:hAnsi="Arial" w:cs="Arial"/>
          <w:b w:val="0"/>
          <w:bCs w:val="0"/>
          <w:spacing w:val="2"/>
        </w:rPr>
        <w:t>-00</w:t>
      </w:r>
      <w:r w:rsidR="00A536C0" w:rsidRPr="00644E78">
        <w:rPr>
          <w:rFonts w:ascii="Arial" w:hAnsi="Arial" w:cs="Arial"/>
          <w:b w:val="0"/>
          <w:bCs w:val="0"/>
          <w:spacing w:val="2"/>
          <w:lang w:val="es-ES"/>
        </w:rPr>
        <w:t>203</w:t>
      </w:r>
      <w:r w:rsidR="0074195A" w:rsidRPr="00644E78">
        <w:rPr>
          <w:rFonts w:ascii="Arial" w:hAnsi="Arial" w:cs="Arial"/>
          <w:b w:val="0"/>
          <w:bCs w:val="0"/>
          <w:spacing w:val="2"/>
        </w:rPr>
        <w:t>-01</w:t>
      </w:r>
    </w:p>
    <w:p w:rsidR="001C02A7" w:rsidRPr="00644E78" w:rsidRDefault="001C02A7" w:rsidP="00644E78">
      <w:pPr>
        <w:pStyle w:val="Ttulo"/>
        <w:widowControl/>
        <w:jc w:val="both"/>
        <w:rPr>
          <w:rFonts w:ascii="Arial" w:hAnsi="Arial" w:cs="Arial"/>
          <w:b w:val="0"/>
          <w:bCs w:val="0"/>
          <w:spacing w:val="2"/>
        </w:rPr>
      </w:pPr>
      <w:r w:rsidRPr="00644E78">
        <w:rPr>
          <w:rFonts w:ascii="Arial" w:hAnsi="Arial" w:cs="Arial"/>
          <w:b w:val="0"/>
          <w:bCs w:val="0"/>
          <w:spacing w:val="2"/>
        </w:rPr>
        <w:t>Proceso</w:t>
      </w:r>
      <w:r w:rsidR="00670A09">
        <w:rPr>
          <w:rFonts w:ascii="Arial" w:hAnsi="Arial" w:cs="Arial"/>
          <w:b w:val="0"/>
          <w:bCs w:val="0"/>
          <w:spacing w:val="2"/>
          <w:lang w:val="es-CO"/>
        </w:rPr>
        <w:t>:</w:t>
      </w:r>
      <w:r w:rsidRPr="00644E78">
        <w:rPr>
          <w:rFonts w:ascii="Arial" w:hAnsi="Arial" w:cs="Arial"/>
          <w:b w:val="0"/>
          <w:bCs w:val="0"/>
          <w:spacing w:val="2"/>
        </w:rPr>
        <w:tab/>
      </w:r>
      <w:r w:rsidRPr="00644E78">
        <w:rPr>
          <w:rFonts w:ascii="Arial" w:hAnsi="Arial" w:cs="Arial"/>
          <w:b w:val="0"/>
          <w:bCs w:val="0"/>
          <w:spacing w:val="2"/>
        </w:rPr>
        <w:tab/>
        <w:t>Ordinario Laboral</w:t>
      </w:r>
    </w:p>
    <w:p w:rsidR="001C02A7" w:rsidRPr="00644E78" w:rsidRDefault="001213CD" w:rsidP="00644E78">
      <w:pPr>
        <w:pStyle w:val="Ttulo"/>
        <w:widowControl/>
        <w:jc w:val="both"/>
        <w:rPr>
          <w:rFonts w:ascii="Arial" w:hAnsi="Arial" w:cs="Arial"/>
          <w:b w:val="0"/>
          <w:bCs w:val="0"/>
          <w:spacing w:val="2"/>
          <w:lang w:val="es-ES"/>
        </w:rPr>
      </w:pPr>
      <w:r w:rsidRPr="00644E78">
        <w:rPr>
          <w:rFonts w:ascii="Arial" w:hAnsi="Arial" w:cs="Arial"/>
          <w:b w:val="0"/>
          <w:bCs w:val="0"/>
          <w:spacing w:val="2"/>
        </w:rPr>
        <w:t>Demandante:</w:t>
      </w:r>
      <w:r w:rsidR="00670A09">
        <w:rPr>
          <w:rFonts w:ascii="Arial" w:hAnsi="Arial" w:cs="Arial"/>
          <w:b w:val="0"/>
          <w:bCs w:val="0"/>
          <w:spacing w:val="2"/>
        </w:rPr>
        <w:tab/>
      </w:r>
      <w:r w:rsidR="00670A09">
        <w:rPr>
          <w:rFonts w:ascii="Arial" w:hAnsi="Arial" w:cs="Arial"/>
          <w:b w:val="0"/>
          <w:bCs w:val="0"/>
          <w:spacing w:val="2"/>
        </w:rPr>
        <w:tab/>
      </w:r>
      <w:r w:rsidR="00A536C0" w:rsidRPr="00644E78">
        <w:rPr>
          <w:rFonts w:ascii="Arial" w:hAnsi="Arial" w:cs="Arial"/>
          <w:b w:val="0"/>
          <w:bCs w:val="0"/>
          <w:spacing w:val="2"/>
          <w:lang w:val="es-ES"/>
        </w:rPr>
        <w:t xml:space="preserve">Francisco Javier Sánchez Montoya </w:t>
      </w:r>
      <w:r w:rsidR="002F2A99" w:rsidRPr="00644E78">
        <w:rPr>
          <w:rFonts w:ascii="Arial" w:hAnsi="Arial" w:cs="Arial"/>
          <w:b w:val="0"/>
          <w:bCs w:val="0"/>
          <w:spacing w:val="2"/>
          <w:lang w:val="es-ES"/>
        </w:rPr>
        <w:t xml:space="preserve"> </w:t>
      </w:r>
      <w:r w:rsidR="004C6FC0" w:rsidRPr="00644E78">
        <w:rPr>
          <w:rFonts w:ascii="Arial" w:hAnsi="Arial" w:cs="Arial"/>
          <w:b w:val="0"/>
          <w:bCs w:val="0"/>
          <w:spacing w:val="2"/>
          <w:lang w:val="es-ES"/>
        </w:rPr>
        <w:t xml:space="preserve"> </w:t>
      </w:r>
      <w:r w:rsidR="006B68D7" w:rsidRPr="00644E78">
        <w:rPr>
          <w:rFonts w:ascii="Arial" w:hAnsi="Arial" w:cs="Arial"/>
          <w:b w:val="0"/>
          <w:bCs w:val="0"/>
          <w:spacing w:val="2"/>
          <w:lang w:val="es-ES"/>
        </w:rPr>
        <w:t xml:space="preserve"> </w:t>
      </w:r>
    </w:p>
    <w:p w:rsidR="001C02A7" w:rsidRPr="00644E78" w:rsidRDefault="001213CD" w:rsidP="00644E78">
      <w:pPr>
        <w:pStyle w:val="Ttulo"/>
        <w:widowControl/>
        <w:jc w:val="both"/>
        <w:rPr>
          <w:rFonts w:ascii="Arial" w:hAnsi="Arial" w:cs="Arial"/>
          <w:b w:val="0"/>
          <w:bCs w:val="0"/>
          <w:spacing w:val="2"/>
          <w:lang w:val="es-ES"/>
        </w:rPr>
      </w:pPr>
      <w:r w:rsidRPr="00644E78">
        <w:rPr>
          <w:rFonts w:ascii="Arial" w:hAnsi="Arial" w:cs="Arial"/>
          <w:b w:val="0"/>
          <w:bCs w:val="0"/>
          <w:spacing w:val="2"/>
        </w:rPr>
        <w:t>Demandado:</w:t>
      </w:r>
      <w:r w:rsidRPr="00644E78">
        <w:rPr>
          <w:rFonts w:ascii="Arial" w:hAnsi="Arial" w:cs="Arial"/>
          <w:b w:val="0"/>
          <w:bCs w:val="0"/>
          <w:spacing w:val="2"/>
        </w:rPr>
        <w:tab/>
      </w:r>
      <w:r w:rsidRPr="00644E78">
        <w:rPr>
          <w:rFonts w:ascii="Arial" w:hAnsi="Arial" w:cs="Arial"/>
          <w:b w:val="0"/>
          <w:bCs w:val="0"/>
          <w:spacing w:val="2"/>
        </w:rPr>
        <w:tab/>
      </w:r>
      <w:r w:rsidR="00BC6683" w:rsidRPr="00644E78">
        <w:rPr>
          <w:rFonts w:ascii="Arial" w:hAnsi="Arial" w:cs="Arial"/>
          <w:b w:val="0"/>
          <w:bCs w:val="0"/>
          <w:spacing w:val="2"/>
          <w:lang w:val="es-ES"/>
        </w:rPr>
        <w:t xml:space="preserve">AFP </w:t>
      </w:r>
      <w:r w:rsidR="00A536C0" w:rsidRPr="00644E78">
        <w:rPr>
          <w:rFonts w:ascii="Arial" w:hAnsi="Arial" w:cs="Arial"/>
          <w:b w:val="0"/>
          <w:bCs w:val="0"/>
          <w:spacing w:val="2"/>
          <w:lang w:val="es-ES"/>
        </w:rPr>
        <w:t>Porvenir</w:t>
      </w:r>
      <w:r w:rsidR="002A17E7" w:rsidRPr="00644E78">
        <w:rPr>
          <w:rFonts w:ascii="Arial" w:hAnsi="Arial" w:cs="Arial"/>
          <w:b w:val="0"/>
          <w:bCs w:val="0"/>
          <w:spacing w:val="2"/>
          <w:lang w:val="es-ES"/>
        </w:rPr>
        <w:t xml:space="preserve"> S.A. y Colpensiones</w:t>
      </w:r>
    </w:p>
    <w:p w:rsidR="001C02A7" w:rsidRPr="00644E78" w:rsidRDefault="001C02A7" w:rsidP="00644E78">
      <w:pPr>
        <w:pStyle w:val="Ttulo"/>
        <w:widowControl/>
        <w:jc w:val="both"/>
        <w:rPr>
          <w:rFonts w:ascii="Arial" w:hAnsi="Arial" w:cs="Arial"/>
          <w:b w:val="0"/>
          <w:bCs w:val="0"/>
          <w:spacing w:val="2"/>
        </w:rPr>
      </w:pPr>
      <w:r w:rsidRPr="00644E78">
        <w:rPr>
          <w:rFonts w:ascii="Arial" w:hAnsi="Arial" w:cs="Arial"/>
          <w:b w:val="0"/>
          <w:bCs w:val="0"/>
          <w:spacing w:val="2"/>
        </w:rPr>
        <w:t>Magistrad</w:t>
      </w:r>
      <w:r w:rsidR="001213CD" w:rsidRPr="00644E78">
        <w:rPr>
          <w:rFonts w:ascii="Arial" w:hAnsi="Arial" w:cs="Arial"/>
          <w:b w:val="0"/>
          <w:bCs w:val="0"/>
          <w:spacing w:val="2"/>
        </w:rPr>
        <w:t>o Ponente:</w:t>
      </w:r>
      <w:r w:rsidR="00670A09">
        <w:rPr>
          <w:rFonts w:ascii="Arial" w:hAnsi="Arial" w:cs="Arial"/>
          <w:b w:val="0"/>
          <w:bCs w:val="0"/>
          <w:spacing w:val="2"/>
        </w:rPr>
        <w:tab/>
      </w:r>
      <w:r w:rsidRPr="00644E78">
        <w:rPr>
          <w:rFonts w:ascii="Arial" w:hAnsi="Arial" w:cs="Arial"/>
          <w:b w:val="0"/>
          <w:bCs w:val="0"/>
          <w:spacing w:val="2"/>
        </w:rPr>
        <w:t>Julio César Salazar Muñoz</w:t>
      </w:r>
    </w:p>
    <w:p w:rsidR="001C02A7" w:rsidRPr="00644E78" w:rsidRDefault="001213CD" w:rsidP="00644E78">
      <w:pPr>
        <w:pStyle w:val="Ttulo"/>
        <w:widowControl/>
        <w:jc w:val="both"/>
        <w:rPr>
          <w:rFonts w:ascii="Arial" w:hAnsi="Arial" w:cs="Arial"/>
          <w:b w:val="0"/>
          <w:bCs w:val="0"/>
          <w:spacing w:val="2"/>
        </w:rPr>
      </w:pPr>
      <w:r w:rsidRPr="00644E78">
        <w:rPr>
          <w:rFonts w:ascii="Arial" w:hAnsi="Arial" w:cs="Arial"/>
          <w:b w:val="0"/>
          <w:bCs w:val="0"/>
          <w:spacing w:val="2"/>
        </w:rPr>
        <w:t>Juzgado de origen:</w:t>
      </w:r>
      <w:r w:rsidR="00670A09">
        <w:rPr>
          <w:rFonts w:ascii="Arial" w:hAnsi="Arial" w:cs="Arial"/>
          <w:b w:val="0"/>
          <w:bCs w:val="0"/>
          <w:spacing w:val="2"/>
        </w:rPr>
        <w:tab/>
      </w:r>
      <w:r w:rsidR="001C02A7" w:rsidRPr="00644E78">
        <w:rPr>
          <w:rFonts w:ascii="Arial" w:hAnsi="Arial" w:cs="Arial"/>
          <w:b w:val="0"/>
          <w:bCs w:val="0"/>
          <w:spacing w:val="2"/>
        </w:rPr>
        <w:t xml:space="preserve">Juzgado </w:t>
      </w:r>
      <w:r w:rsidR="00A536C0" w:rsidRPr="00644E78">
        <w:rPr>
          <w:rFonts w:ascii="Arial" w:hAnsi="Arial" w:cs="Arial"/>
          <w:b w:val="0"/>
          <w:bCs w:val="0"/>
          <w:spacing w:val="2"/>
          <w:lang w:val="es-ES"/>
        </w:rPr>
        <w:t>Cuarto</w:t>
      </w:r>
      <w:r w:rsidR="001C02A7" w:rsidRPr="00644E78">
        <w:rPr>
          <w:rFonts w:ascii="Arial" w:hAnsi="Arial" w:cs="Arial"/>
          <w:b w:val="0"/>
          <w:bCs w:val="0"/>
          <w:spacing w:val="2"/>
        </w:rPr>
        <w:t xml:space="preserve"> Laboral del Circuito</w:t>
      </w:r>
    </w:p>
    <w:p w:rsidR="001213CD" w:rsidRPr="00644E78" w:rsidRDefault="001213CD" w:rsidP="00644E78">
      <w:pPr>
        <w:pStyle w:val="Textoindependiente"/>
        <w:spacing w:line="240" w:lineRule="auto"/>
        <w:rPr>
          <w:rFonts w:cs="Arial"/>
          <w:b/>
          <w:sz w:val="20"/>
        </w:rPr>
      </w:pPr>
    </w:p>
    <w:p w:rsidR="001213CD" w:rsidRPr="00644E78" w:rsidRDefault="001213CD" w:rsidP="00644E78">
      <w:pPr>
        <w:pStyle w:val="Textoindependiente"/>
        <w:spacing w:line="240" w:lineRule="auto"/>
        <w:rPr>
          <w:rFonts w:cs="Arial"/>
          <w:b/>
          <w:sz w:val="20"/>
        </w:rPr>
      </w:pPr>
    </w:p>
    <w:p w:rsidR="0063386F" w:rsidRDefault="0063386F" w:rsidP="00644E78">
      <w:pPr>
        <w:pStyle w:val="Textoindependiente"/>
        <w:spacing w:line="240" w:lineRule="auto"/>
        <w:rPr>
          <w:rFonts w:cs="Arial"/>
          <w:b/>
          <w:sz w:val="20"/>
        </w:rPr>
      </w:pPr>
      <w:r w:rsidRPr="0063386F">
        <w:rPr>
          <w:rFonts w:cs="Arial"/>
          <w:b/>
          <w:sz w:val="20"/>
          <w:u w:val="single"/>
        </w:rPr>
        <w:t>TEMAS</w:t>
      </w:r>
      <w:r w:rsidR="001213CD" w:rsidRPr="00644E78">
        <w:rPr>
          <w:rFonts w:cs="Arial"/>
          <w:b/>
          <w:sz w:val="20"/>
        </w:rPr>
        <w:t xml:space="preserve">: </w:t>
      </w:r>
      <w:r w:rsidR="001213CD" w:rsidRPr="00644E78">
        <w:rPr>
          <w:rFonts w:cs="Arial"/>
          <w:b/>
          <w:sz w:val="20"/>
        </w:rPr>
        <w:tab/>
        <w:t xml:space="preserve">PENSIÓN DE VEJEZ / TRASLADO A </w:t>
      </w:r>
      <w:r w:rsidR="00DA7CF2" w:rsidRPr="00644E78">
        <w:rPr>
          <w:rFonts w:cs="Arial"/>
          <w:b/>
          <w:sz w:val="20"/>
        </w:rPr>
        <w:t>RÉGIMEN DE</w:t>
      </w:r>
      <w:r w:rsidR="001213CD" w:rsidRPr="00644E78">
        <w:rPr>
          <w:rFonts w:cs="Arial"/>
          <w:b/>
          <w:sz w:val="20"/>
        </w:rPr>
        <w:t xml:space="preserve"> AHORRO INDIVIDUAL</w:t>
      </w:r>
      <w:r w:rsidR="00DA7CF2" w:rsidRPr="00644E78">
        <w:rPr>
          <w:rFonts w:cs="Arial"/>
          <w:b/>
          <w:sz w:val="20"/>
        </w:rPr>
        <w:t xml:space="preserve"> CON SOLIDARIDAD</w:t>
      </w:r>
      <w:r w:rsidR="001213CD" w:rsidRPr="00644E78">
        <w:rPr>
          <w:rFonts w:cs="Arial"/>
          <w:b/>
          <w:sz w:val="20"/>
        </w:rPr>
        <w:t xml:space="preserve"> / INEFICACIA DEL TRASLADO / CARGA DE LA PRUEBA</w:t>
      </w:r>
      <w:r w:rsidR="00DA7CF2" w:rsidRPr="00644E78">
        <w:rPr>
          <w:rFonts w:cs="Arial"/>
          <w:b/>
          <w:sz w:val="20"/>
        </w:rPr>
        <w:t xml:space="preserve"> SOBRE INFORMACIÓN NECESARIA</w:t>
      </w:r>
      <w:r w:rsidR="001213CD" w:rsidRPr="00644E78">
        <w:rPr>
          <w:rFonts w:cs="Arial"/>
          <w:b/>
          <w:sz w:val="20"/>
        </w:rPr>
        <w:t xml:space="preserve"> /</w:t>
      </w:r>
      <w:r w:rsidR="00DA7CF2" w:rsidRPr="00644E78">
        <w:rPr>
          <w:rFonts w:cs="Arial"/>
          <w:b/>
          <w:sz w:val="20"/>
        </w:rPr>
        <w:t xml:space="preserve"> CORRESPONDE AL DEMANDANTE CUANDO NO PERTENECIÓ A RÉGIMEN DE TRANSICIÓN / </w:t>
      </w:r>
      <w:r w:rsidR="001213CD" w:rsidRPr="00644E78">
        <w:rPr>
          <w:rFonts w:cs="Arial"/>
          <w:b/>
          <w:sz w:val="20"/>
        </w:rPr>
        <w:t xml:space="preserve">NO ACREDITÓ INEFICACIA / </w:t>
      </w:r>
      <w:r w:rsidR="00DA7CF2" w:rsidRPr="00644E78">
        <w:rPr>
          <w:rFonts w:cs="Arial"/>
          <w:b/>
          <w:sz w:val="20"/>
        </w:rPr>
        <w:t>CONFIRMA /</w:t>
      </w:r>
      <w:r w:rsidR="001213CD" w:rsidRPr="00644E78">
        <w:rPr>
          <w:rFonts w:cs="Arial"/>
          <w:b/>
          <w:sz w:val="20"/>
        </w:rPr>
        <w:t xml:space="preserve"> NIEGA.</w:t>
      </w:r>
    </w:p>
    <w:p w:rsidR="0063386F" w:rsidRDefault="0063386F" w:rsidP="00644E78">
      <w:pPr>
        <w:pStyle w:val="Textoindependiente"/>
        <w:spacing w:line="240" w:lineRule="auto"/>
        <w:rPr>
          <w:rFonts w:cs="Arial"/>
          <w:sz w:val="20"/>
        </w:rPr>
      </w:pPr>
    </w:p>
    <w:p w:rsidR="00DA7CF2" w:rsidRPr="00644E78" w:rsidRDefault="00DA7CF2" w:rsidP="00644E78">
      <w:pPr>
        <w:pStyle w:val="Textoindependiente"/>
        <w:spacing w:line="240" w:lineRule="auto"/>
        <w:rPr>
          <w:rFonts w:cs="Arial"/>
          <w:sz w:val="20"/>
        </w:rPr>
      </w:pPr>
      <w:r w:rsidRPr="00644E78">
        <w:rPr>
          <w:rFonts w:cs="Arial"/>
          <w:sz w:val="20"/>
        </w:rPr>
        <w:t>Nótese que en tales circunstancias, esto es, cuando está en juego por el traslado la posible pérdida de la transición –por los beneficios que esta conlleva-, la carga de la prueba de haber ofrecido al usuario la información necesaria para tomar una decisión libre y voluntaria, radica en cabeza de la administradora, sin embargo, cuando se trate de afiliados que no ostenten la calidad de beneficiarios del régimen de transición, la carga de la prueba, de los motivos que se alegan como causas la ineficacia del traslado, le corresponde a quien los invoca, sin que -con el objeto de trasladar la carga probatoria a la administradora- le baste sostener que no fue informado sobre las consecuencias que el traslado conllevaría. Ello es así, en consideración a que las personas, cuyos derechos están regidos en un todo por ley 100 de 1993, conocen que el sistema general de pensiones se soporta en dos regímenes solidarios excluyentes, que coexisten, cada uno de ellos con características diferentes, con pros y contras, pero, en todo caso, con beneficios equiparables. Ninguno de ellos mejor o peor que el otro y precisamente por ello, sin que, respecto a cualquiera de los dos se pueda pregonar, prima facie, un beneficio o un perjuicio que lo haga superior o inferior al otro.</w:t>
      </w:r>
    </w:p>
    <w:p w:rsidR="00DA7CF2" w:rsidRPr="00644E78" w:rsidRDefault="00DA7CF2" w:rsidP="00644E78">
      <w:pPr>
        <w:pStyle w:val="Textoindependiente"/>
        <w:spacing w:line="240" w:lineRule="auto"/>
        <w:rPr>
          <w:rFonts w:cs="Arial"/>
          <w:sz w:val="20"/>
        </w:rPr>
      </w:pPr>
    </w:p>
    <w:p w:rsidR="001213CD" w:rsidRDefault="00DA7CF2" w:rsidP="00644E78">
      <w:pPr>
        <w:pStyle w:val="Textoindependiente"/>
        <w:spacing w:line="240" w:lineRule="auto"/>
        <w:rPr>
          <w:rFonts w:cs="Arial"/>
          <w:sz w:val="20"/>
        </w:rPr>
      </w:pPr>
      <w:r w:rsidRPr="00644E78">
        <w:rPr>
          <w:rFonts w:cs="Arial"/>
          <w:sz w:val="20"/>
        </w:rPr>
        <w:t xml:space="preserve">De allí que para establecer la ineficacia del traslado sea preciso que el </w:t>
      </w:r>
      <w:r w:rsidR="00644E78" w:rsidRPr="00644E78">
        <w:rPr>
          <w:rFonts w:cs="Arial"/>
          <w:sz w:val="20"/>
        </w:rPr>
        <w:t>interesado pruebe</w:t>
      </w:r>
      <w:r w:rsidRPr="00644E78">
        <w:rPr>
          <w:rFonts w:cs="Arial"/>
          <w:sz w:val="20"/>
        </w:rPr>
        <w:t xml:space="preserve">, sin lugar a dudas, que la información que se le dio al momento del cambio fue falaz y que producto de ese engaño se asumió la decisión del traslado. </w:t>
      </w:r>
      <w:r w:rsidR="001213CD" w:rsidRPr="00644E78">
        <w:rPr>
          <w:rFonts w:cs="Arial"/>
          <w:sz w:val="20"/>
        </w:rPr>
        <w:t>(…)</w:t>
      </w:r>
    </w:p>
    <w:p w:rsidR="0063386F" w:rsidRPr="00644E78" w:rsidRDefault="0063386F" w:rsidP="00644E78">
      <w:pPr>
        <w:pStyle w:val="Textoindependiente"/>
        <w:spacing w:line="240" w:lineRule="auto"/>
        <w:rPr>
          <w:rFonts w:cs="Arial"/>
          <w:sz w:val="20"/>
        </w:rPr>
      </w:pPr>
    </w:p>
    <w:p w:rsidR="00DA7CF2" w:rsidRPr="00644E78" w:rsidRDefault="00DA7CF2" w:rsidP="00644E78">
      <w:pPr>
        <w:pStyle w:val="Textoindependiente"/>
        <w:spacing w:line="240" w:lineRule="auto"/>
        <w:rPr>
          <w:rFonts w:cs="Arial"/>
          <w:sz w:val="20"/>
        </w:rPr>
      </w:pPr>
      <w:r w:rsidRPr="00644E78">
        <w:rPr>
          <w:rFonts w:cs="Arial"/>
          <w:sz w:val="20"/>
        </w:rPr>
        <w:t>Conforme con lo expuesto, más allá de afirmarse en la demanda que el accionante no recibió la información suficiente que le advirtiera sobre las implicaciones que traía trasladarse del RPM al RAIS y que se le había dado información mentirosa, la verdad es que ello no quedó demostrado, pues por el contrario, con la confesión hecha por el demandante, lo que queda probado es que la información dada no contraría lo dispuesto en los artículos 59 y siguientes de la Ley 100 de 1993, por lo que equivocado resultaría concluir que lo manifestado por la AFP Porvenir S.A. no obedecía a lo establecido en la Ley; siendo del caso señalar que cuando al señor Sánchez Montoya se le preguntó cuál había sido la información que se le había dado, en ningún momento afirmó que se le hubiere prometido por parte de la AFP un monto de la pensión de vejez superior a la que podría devengar en el régimen de prima media con prestación definida, al punto que hizo saber que en ese momento, esto es, en el año 1998, no le comunicó al asesor cuál era su expectativa pensional.</w:t>
      </w:r>
    </w:p>
    <w:p w:rsidR="001213CD" w:rsidRPr="00644E78" w:rsidRDefault="001213CD" w:rsidP="00644E78">
      <w:pPr>
        <w:pStyle w:val="Textoindependiente"/>
        <w:spacing w:line="240" w:lineRule="auto"/>
        <w:rPr>
          <w:rFonts w:cs="Arial"/>
          <w:sz w:val="20"/>
        </w:rPr>
      </w:pPr>
    </w:p>
    <w:p w:rsidR="001213CD" w:rsidRPr="000369B6" w:rsidRDefault="001213CD" w:rsidP="000369B6">
      <w:pPr>
        <w:pStyle w:val="Textoindependiente"/>
        <w:spacing w:line="240" w:lineRule="auto"/>
        <w:rPr>
          <w:rFonts w:cs="Arial"/>
          <w:sz w:val="20"/>
        </w:rPr>
      </w:pPr>
    </w:p>
    <w:p w:rsidR="000369B6" w:rsidRPr="000369B6" w:rsidRDefault="000369B6" w:rsidP="000369B6">
      <w:pPr>
        <w:shd w:val="clear" w:color="auto" w:fill="000000"/>
        <w:spacing w:after="0" w:line="240" w:lineRule="auto"/>
        <w:ind w:right="-60" w:firstLine="6"/>
        <w:jc w:val="both"/>
        <w:rPr>
          <w:rFonts w:ascii="Arial" w:eastAsia="Times New Roman" w:hAnsi="Arial" w:cs="Arial"/>
          <w:b/>
          <w:color w:val="FFFFFF"/>
          <w:sz w:val="24"/>
          <w:szCs w:val="20"/>
          <w:lang w:val="es-ES_tradnl" w:eastAsia="es-ES"/>
        </w:rPr>
      </w:pPr>
      <w:bookmarkStart w:id="0" w:name="_Hlk77447900"/>
      <w:r w:rsidRPr="000369B6">
        <w:rPr>
          <w:rFonts w:ascii="Arial" w:eastAsia="Times New Roman" w:hAnsi="Arial" w:cs="Arial"/>
          <w:b/>
          <w:color w:val="FFFFFF"/>
          <w:sz w:val="24"/>
          <w:szCs w:val="20"/>
          <w:lang w:val="es-ES_tradnl" w:eastAsia="es-ES"/>
        </w:rPr>
        <w:t>LA SALA DE CASACIÓN LABORAL DE LA CORTE SUPREMA DE JUSTICIA, MEDIANTE SENTENCIA SL</w:t>
      </w:r>
      <w:r>
        <w:rPr>
          <w:rFonts w:ascii="Arial" w:eastAsia="Times New Roman" w:hAnsi="Arial" w:cs="Arial"/>
          <w:b/>
          <w:color w:val="FFFFFF"/>
          <w:sz w:val="24"/>
          <w:szCs w:val="20"/>
          <w:lang w:val="es-ES_tradnl" w:eastAsia="es-ES"/>
        </w:rPr>
        <w:t>2259</w:t>
      </w:r>
      <w:r w:rsidRPr="000369B6">
        <w:rPr>
          <w:rFonts w:ascii="Arial" w:eastAsia="Times New Roman" w:hAnsi="Arial" w:cs="Arial"/>
          <w:b/>
          <w:color w:val="FFFFFF"/>
          <w:sz w:val="24"/>
          <w:szCs w:val="20"/>
          <w:lang w:val="es-ES_tradnl" w:eastAsia="es-ES"/>
        </w:rPr>
        <w:t xml:space="preserve">-2021, RADICACIÓN Nº </w:t>
      </w:r>
      <w:r w:rsidR="00670A09">
        <w:rPr>
          <w:rFonts w:ascii="Arial" w:eastAsia="Times New Roman" w:hAnsi="Arial" w:cs="Arial"/>
          <w:b/>
          <w:color w:val="FFFFFF"/>
          <w:sz w:val="24"/>
          <w:szCs w:val="20"/>
          <w:lang w:val="es-ES_tradnl" w:eastAsia="es-ES"/>
        </w:rPr>
        <w:t>82740</w:t>
      </w:r>
      <w:r w:rsidRPr="000369B6">
        <w:rPr>
          <w:rFonts w:ascii="Arial" w:eastAsia="Times New Roman" w:hAnsi="Arial" w:cs="Arial"/>
          <w:b/>
          <w:color w:val="FFFFFF"/>
          <w:sz w:val="24"/>
          <w:szCs w:val="20"/>
          <w:lang w:val="es-ES_tradnl" w:eastAsia="es-ES"/>
        </w:rPr>
        <w:t>, DE FECHA 2</w:t>
      </w:r>
      <w:r w:rsidR="00670A09">
        <w:rPr>
          <w:rFonts w:ascii="Arial" w:eastAsia="Times New Roman" w:hAnsi="Arial" w:cs="Arial"/>
          <w:b/>
          <w:color w:val="FFFFFF"/>
          <w:sz w:val="24"/>
          <w:szCs w:val="20"/>
          <w:lang w:val="es-ES_tradnl" w:eastAsia="es-ES"/>
        </w:rPr>
        <w:t>4</w:t>
      </w:r>
      <w:r w:rsidRPr="000369B6">
        <w:rPr>
          <w:rFonts w:ascii="Arial" w:eastAsia="Times New Roman" w:hAnsi="Arial" w:cs="Arial"/>
          <w:b/>
          <w:color w:val="FFFFFF"/>
          <w:sz w:val="24"/>
          <w:szCs w:val="20"/>
          <w:lang w:val="es-ES_tradnl" w:eastAsia="es-ES"/>
        </w:rPr>
        <w:t xml:space="preserve"> DE </w:t>
      </w:r>
      <w:r w:rsidR="00670A09">
        <w:rPr>
          <w:rFonts w:ascii="Arial" w:eastAsia="Times New Roman" w:hAnsi="Arial" w:cs="Arial"/>
          <w:b/>
          <w:color w:val="FFFFFF"/>
          <w:sz w:val="24"/>
          <w:szCs w:val="20"/>
          <w:lang w:val="es-ES_tradnl" w:eastAsia="es-ES"/>
        </w:rPr>
        <w:t xml:space="preserve">MAYO </w:t>
      </w:r>
      <w:r w:rsidRPr="000369B6">
        <w:rPr>
          <w:rFonts w:ascii="Arial" w:eastAsia="Times New Roman" w:hAnsi="Arial" w:cs="Arial"/>
          <w:b/>
          <w:color w:val="FFFFFF"/>
          <w:sz w:val="24"/>
          <w:szCs w:val="20"/>
          <w:lang w:val="es-ES_tradnl" w:eastAsia="es-ES"/>
        </w:rPr>
        <w:t xml:space="preserve">DE 2021, QUE PUEDE SER CONSULTADA EN LA PÁGINA WEB DE DICHA CORPORACIÓN O EN EL ARCHIVO QUE ESTÁ A CONTINUACIÓN DE ÉSTE, CASÓ EL PRESENTE FALLO Y “EN SEDE DE INSTANCIA” </w:t>
      </w:r>
      <w:r w:rsidR="00670A09">
        <w:rPr>
          <w:rFonts w:ascii="Arial" w:eastAsia="Times New Roman" w:hAnsi="Arial" w:cs="Arial"/>
          <w:b/>
          <w:color w:val="FFFFFF"/>
          <w:sz w:val="24"/>
          <w:szCs w:val="20"/>
          <w:lang w:val="es-ES_tradnl" w:eastAsia="es-ES"/>
        </w:rPr>
        <w:t xml:space="preserve">REVOCÓ </w:t>
      </w:r>
      <w:r w:rsidRPr="000369B6">
        <w:rPr>
          <w:rFonts w:ascii="Arial" w:eastAsia="Times New Roman" w:hAnsi="Arial" w:cs="Arial"/>
          <w:b/>
          <w:color w:val="FFFFFF"/>
          <w:sz w:val="24"/>
          <w:szCs w:val="20"/>
          <w:lang w:val="es-ES_tradnl" w:eastAsia="es-ES"/>
        </w:rPr>
        <w:t xml:space="preserve">LA SENTENCIA PROFERIDA EL </w:t>
      </w:r>
      <w:r w:rsidR="004847A3">
        <w:rPr>
          <w:rFonts w:ascii="Arial" w:eastAsia="Times New Roman" w:hAnsi="Arial" w:cs="Arial"/>
          <w:b/>
          <w:color w:val="FFFFFF"/>
          <w:sz w:val="24"/>
          <w:szCs w:val="20"/>
          <w:lang w:val="es-ES_tradnl" w:eastAsia="es-ES"/>
        </w:rPr>
        <w:t xml:space="preserve">12 DE ABRIL </w:t>
      </w:r>
      <w:r w:rsidRPr="000369B6">
        <w:rPr>
          <w:rFonts w:ascii="Arial" w:eastAsia="Times New Roman" w:hAnsi="Arial" w:cs="Arial"/>
          <w:b/>
          <w:color w:val="FFFFFF"/>
          <w:sz w:val="24"/>
          <w:szCs w:val="20"/>
          <w:lang w:val="es-ES_tradnl" w:eastAsia="es-ES"/>
        </w:rPr>
        <w:t>DE 201</w:t>
      </w:r>
      <w:r w:rsidR="004847A3">
        <w:rPr>
          <w:rFonts w:ascii="Arial" w:eastAsia="Times New Roman" w:hAnsi="Arial" w:cs="Arial"/>
          <w:b/>
          <w:color w:val="FFFFFF"/>
          <w:sz w:val="24"/>
          <w:szCs w:val="20"/>
          <w:lang w:val="es-ES_tradnl" w:eastAsia="es-ES"/>
        </w:rPr>
        <w:t>8</w:t>
      </w:r>
      <w:r w:rsidRPr="000369B6">
        <w:rPr>
          <w:rFonts w:ascii="Arial" w:eastAsia="Times New Roman" w:hAnsi="Arial" w:cs="Arial"/>
          <w:b/>
          <w:color w:val="FFFFFF"/>
          <w:sz w:val="24"/>
          <w:szCs w:val="20"/>
          <w:lang w:val="es-ES_tradnl" w:eastAsia="es-ES"/>
        </w:rPr>
        <w:t xml:space="preserve"> POR EL JUZGADO </w:t>
      </w:r>
      <w:r w:rsidR="004847A3">
        <w:rPr>
          <w:rFonts w:ascii="Arial" w:eastAsia="Times New Roman" w:hAnsi="Arial" w:cs="Arial"/>
          <w:b/>
          <w:color w:val="FFFFFF"/>
          <w:sz w:val="24"/>
          <w:szCs w:val="20"/>
          <w:lang w:val="es-ES_tradnl" w:eastAsia="es-ES"/>
        </w:rPr>
        <w:t xml:space="preserve">CUARTO </w:t>
      </w:r>
      <w:r w:rsidRPr="000369B6">
        <w:rPr>
          <w:rFonts w:ascii="Arial" w:eastAsia="Times New Roman" w:hAnsi="Arial" w:cs="Arial"/>
          <w:b/>
          <w:color w:val="FFFFFF"/>
          <w:sz w:val="24"/>
          <w:szCs w:val="20"/>
          <w:lang w:val="es-ES_tradnl" w:eastAsia="es-ES"/>
        </w:rPr>
        <w:t xml:space="preserve">LABORAL DEL CIRCUITO DE LA CIUDAD, QUE </w:t>
      </w:r>
      <w:r w:rsidR="004847A3">
        <w:rPr>
          <w:rFonts w:ascii="Arial" w:eastAsia="Times New Roman" w:hAnsi="Arial" w:cs="Arial"/>
          <w:b/>
          <w:color w:val="FFFFFF"/>
          <w:sz w:val="24"/>
          <w:szCs w:val="20"/>
          <w:lang w:val="es-ES_tradnl" w:eastAsia="es-ES"/>
        </w:rPr>
        <w:t xml:space="preserve">DENEGÓ </w:t>
      </w:r>
      <w:r w:rsidRPr="000369B6">
        <w:rPr>
          <w:rFonts w:ascii="Arial" w:eastAsia="Times New Roman" w:hAnsi="Arial" w:cs="Arial"/>
          <w:b/>
          <w:color w:val="FFFFFF"/>
          <w:sz w:val="24"/>
          <w:szCs w:val="20"/>
          <w:lang w:val="es-ES_tradnl" w:eastAsia="es-ES"/>
        </w:rPr>
        <w:t>LAS PRETENSIONES DE LA DEMANDA.</w:t>
      </w:r>
    </w:p>
    <w:bookmarkEnd w:id="0"/>
    <w:p w:rsidR="001213CD" w:rsidRPr="000369B6" w:rsidRDefault="001213CD" w:rsidP="000369B6">
      <w:pPr>
        <w:pStyle w:val="Textoindependiente"/>
        <w:spacing w:line="240" w:lineRule="auto"/>
        <w:rPr>
          <w:rFonts w:cs="Arial"/>
          <w:sz w:val="20"/>
        </w:rPr>
      </w:pPr>
    </w:p>
    <w:p w:rsidR="001213CD" w:rsidRPr="000369B6" w:rsidRDefault="001213CD" w:rsidP="000369B6">
      <w:pPr>
        <w:pStyle w:val="Textoindependiente"/>
        <w:spacing w:line="240" w:lineRule="auto"/>
        <w:rPr>
          <w:rFonts w:cs="Arial"/>
          <w:sz w:val="20"/>
        </w:rPr>
      </w:pPr>
    </w:p>
    <w:p w:rsidR="001213CD" w:rsidRPr="000369B6" w:rsidRDefault="001213CD" w:rsidP="000369B6">
      <w:pPr>
        <w:pStyle w:val="Textoindependiente"/>
        <w:spacing w:line="240" w:lineRule="auto"/>
        <w:rPr>
          <w:rFonts w:cs="Arial"/>
          <w:sz w:val="20"/>
        </w:rPr>
      </w:pPr>
    </w:p>
    <w:p w:rsidR="001C02A7" w:rsidRPr="0063386F" w:rsidRDefault="001C02A7" w:rsidP="0063386F">
      <w:pPr>
        <w:keepNext/>
        <w:spacing w:after="0"/>
        <w:jc w:val="center"/>
        <w:outlineLvl w:val="2"/>
        <w:rPr>
          <w:rFonts w:ascii="Arial" w:eastAsia="Times New Roman" w:hAnsi="Arial" w:cs="Arial"/>
          <w:b/>
          <w:sz w:val="24"/>
          <w:szCs w:val="24"/>
          <w:lang w:val="es-ES_tradnl" w:eastAsia="es-ES"/>
        </w:rPr>
      </w:pPr>
      <w:r w:rsidRPr="0063386F">
        <w:rPr>
          <w:rFonts w:ascii="Arial" w:eastAsia="Times New Roman" w:hAnsi="Arial" w:cs="Arial"/>
          <w:b/>
          <w:sz w:val="24"/>
          <w:szCs w:val="24"/>
          <w:lang w:val="es-ES_tradnl" w:eastAsia="es-ES"/>
        </w:rPr>
        <w:t>TRIBUNAL SUPERIOR DEL DISTRITO JUDICIAL</w:t>
      </w:r>
    </w:p>
    <w:p w:rsidR="001C02A7" w:rsidRPr="0063386F" w:rsidRDefault="001C02A7" w:rsidP="0063386F">
      <w:pPr>
        <w:spacing w:after="0"/>
        <w:jc w:val="center"/>
        <w:rPr>
          <w:rFonts w:ascii="Arial" w:hAnsi="Arial" w:cs="Arial"/>
          <w:b/>
          <w:sz w:val="24"/>
          <w:szCs w:val="24"/>
        </w:rPr>
      </w:pPr>
      <w:r w:rsidRPr="0063386F">
        <w:rPr>
          <w:rFonts w:ascii="Arial" w:hAnsi="Arial" w:cs="Arial"/>
          <w:b/>
          <w:sz w:val="24"/>
          <w:szCs w:val="24"/>
        </w:rPr>
        <w:t>SALA LABORAL</w:t>
      </w:r>
    </w:p>
    <w:p w:rsidR="001C02A7" w:rsidRPr="0063386F" w:rsidRDefault="001C02A7" w:rsidP="0063386F">
      <w:pPr>
        <w:spacing w:after="0"/>
        <w:jc w:val="center"/>
        <w:rPr>
          <w:rFonts w:ascii="Arial" w:eastAsia="Times New Roman" w:hAnsi="Arial" w:cs="Arial"/>
          <w:b/>
          <w:sz w:val="24"/>
          <w:szCs w:val="24"/>
          <w:lang w:val="es-ES_tradnl" w:eastAsia="es-ES"/>
        </w:rPr>
      </w:pPr>
      <w:r w:rsidRPr="0063386F">
        <w:rPr>
          <w:rFonts w:ascii="Arial" w:eastAsia="Times New Roman" w:hAnsi="Arial" w:cs="Arial"/>
          <w:b/>
          <w:sz w:val="24"/>
          <w:szCs w:val="24"/>
          <w:lang w:val="es-ES_tradnl" w:eastAsia="es-ES"/>
        </w:rPr>
        <w:t xml:space="preserve">MAGISTRADO PONENTE: JULIO CÉSAR SALAZAR MUÑOZ </w:t>
      </w:r>
    </w:p>
    <w:p w:rsidR="001C02A7" w:rsidRPr="0063386F" w:rsidRDefault="001C02A7" w:rsidP="0063386F">
      <w:pPr>
        <w:spacing w:after="0"/>
        <w:rPr>
          <w:rFonts w:ascii="Arial" w:hAnsi="Arial" w:cs="Arial"/>
          <w:sz w:val="24"/>
          <w:szCs w:val="24"/>
        </w:rPr>
      </w:pPr>
    </w:p>
    <w:p w:rsidR="001C02A7" w:rsidRPr="0063386F" w:rsidRDefault="001C02A7" w:rsidP="0063386F">
      <w:pPr>
        <w:spacing w:after="0"/>
        <w:jc w:val="center"/>
        <w:rPr>
          <w:rFonts w:ascii="Arial" w:eastAsia="Times New Roman" w:hAnsi="Arial" w:cs="Arial"/>
          <w:b/>
          <w:sz w:val="24"/>
          <w:szCs w:val="24"/>
          <w:lang w:val="es-ES_tradnl" w:eastAsia="es-ES"/>
        </w:rPr>
      </w:pPr>
      <w:r w:rsidRPr="0063386F">
        <w:rPr>
          <w:rFonts w:ascii="Arial" w:eastAsia="Times New Roman" w:hAnsi="Arial" w:cs="Arial"/>
          <w:b/>
          <w:sz w:val="24"/>
          <w:szCs w:val="24"/>
          <w:lang w:val="es-ES_tradnl" w:eastAsia="es-ES"/>
        </w:rPr>
        <w:t>AUDIENCIA PÚBLICA</w:t>
      </w:r>
    </w:p>
    <w:p w:rsidR="001C02A7" w:rsidRPr="0063386F" w:rsidRDefault="001C02A7" w:rsidP="0063386F">
      <w:pPr>
        <w:spacing w:after="0"/>
        <w:jc w:val="center"/>
        <w:rPr>
          <w:rFonts w:ascii="Arial" w:eastAsia="Times New Roman" w:hAnsi="Arial" w:cs="Arial"/>
          <w:b/>
          <w:sz w:val="24"/>
          <w:szCs w:val="24"/>
          <w:lang w:val="es-ES_tradnl" w:eastAsia="es-ES"/>
        </w:rPr>
      </w:pPr>
    </w:p>
    <w:p w:rsidR="001C02A7" w:rsidRPr="0063386F" w:rsidRDefault="001C02A7" w:rsidP="0063386F">
      <w:pPr>
        <w:suppressAutoHyphens/>
        <w:spacing w:after="0"/>
        <w:jc w:val="both"/>
        <w:rPr>
          <w:rFonts w:ascii="Arial" w:hAnsi="Arial" w:cs="Arial"/>
          <w:spacing w:val="-2"/>
          <w:sz w:val="24"/>
          <w:szCs w:val="24"/>
        </w:rPr>
      </w:pPr>
    </w:p>
    <w:p w:rsidR="009661FB" w:rsidRPr="00672A4E" w:rsidRDefault="0074195A" w:rsidP="0063386F">
      <w:pPr>
        <w:suppressAutoHyphens/>
        <w:spacing w:after="0"/>
        <w:jc w:val="both"/>
        <w:rPr>
          <w:rFonts w:ascii="Arial" w:hAnsi="Arial" w:cs="Arial"/>
          <w:spacing w:val="2"/>
          <w:sz w:val="24"/>
          <w:szCs w:val="24"/>
        </w:rPr>
      </w:pPr>
      <w:r w:rsidRPr="00672A4E">
        <w:rPr>
          <w:rFonts w:ascii="Arial" w:hAnsi="Arial" w:cs="Arial"/>
          <w:spacing w:val="2"/>
          <w:sz w:val="24"/>
          <w:szCs w:val="24"/>
        </w:rPr>
        <w:t xml:space="preserve">Hoy, </w:t>
      </w:r>
      <w:r w:rsidR="00337B82" w:rsidRPr="00672A4E">
        <w:rPr>
          <w:rFonts w:ascii="Arial" w:hAnsi="Arial" w:cs="Arial"/>
          <w:spacing w:val="2"/>
          <w:sz w:val="24"/>
          <w:szCs w:val="24"/>
        </w:rPr>
        <w:t>veintisiete</w:t>
      </w:r>
      <w:r w:rsidR="0042548F" w:rsidRPr="00672A4E">
        <w:rPr>
          <w:rFonts w:ascii="Arial" w:hAnsi="Arial" w:cs="Arial"/>
          <w:spacing w:val="2"/>
          <w:sz w:val="24"/>
          <w:szCs w:val="24"/>
        </w:rPr>
        <w:t xml:space="preserve"> de </w:t>
      </w:r>
      <w:r w:rsidR="009661FB" w:rsidRPr="00672A4E">
        <w:rPr>
          <w:rFonts w:ascii="Arial" w:hAnsi="Arial" w:cs="Arial"/>
          <w:spacing w:val="2"/>
          <w:sz w:val="24"/>
          <w:szCs w:val="24"/>
        </w:rPr>
        <w:t>junio</w:t>
      </w:r>
      <w:r w:rsidR="002A17E7" w:rsidRPr="00672A4E">
        <w:rPr>
          <w:rFonts w:ascii="Arial" w:hAnsi="Arial" w:cs="Arial"/>
          <w:spacing w:val="2"/>
          <w:sz w:val="24"/>
          <w:szCs w:val="24"/>
        </w:rPr>
        <w:t xml:space="preserve"> </w:t>
      </w:r>
      <w:r w:rsidR="0042548F" w:rsidRPr="00672A4E">
        <w:rPr>
          <w:rFonts w:ascii="Arial" w:hAnsi="Arial" w:cs="Arial"/>
          <w:spacing w:val="2"/>
          <w:sz w:val="24"/>
          <w:szCs w:val="24"/>
        </w:rPr>
        <w:t>de</w:t>
      </w:r>
      <w:r w:rsidR="001C02A7" w:rsidRPr="00672A4E">
        <w:rPr>
          <w:rFonts w:ascii="Arial" w:hAnsi="Arial" w:cs="Arial"/>
          <w:spacing w:val="2"/>
          <w:sz w:val="24"/>
          <w:szCs w:val="24"/>
        </w:rPr>
        <w:t xml:space="preserve"> dos mil </w:t>
      </w:r>
      <w:r w:rsidR="002A17E7" w:rsidRPr="00672A4E">
        <w:rPr>
          <w:rFonts w:ascii="Arial" w:hAnsi="Arial" w:cs="Arial"/>
          <w:spacing w:val="2"/>
          <w:sz w:val="24"/>
          <w:szCs w:val="24"/>
        </w:rPr>
        <w:t>dieciocho</w:t>
      </w:r>
      <w:r w:rsidR="001C02A7" w:rsidRPr="00672A4E">
        <w:rPr>
          <w:rFonts w:ascii="Arial" w:hAnsi="Arial" w:cs="Arial"/>
          <w:spacing w:val="2"/>
          <w:sz w:val="24"/>
          <w:szCs w:val="24"/>
        </w:rPr>
        <w:t xml:space="preserve">, siendo </w:t>
      </w:r>
      <w:r w:rsidR="002A17E7" w:rsidRPr="00672A4E">
        <w:rPr>
          <w:rFonts w:ascii="Arial" w:hAnsi="Arial" w:cs="Arial"/>
          <w:spacing w:val="2"/>
          <w:sz w:val="24"/>
          <w:szCs w:val="24"/>
        </w:rPr>
        <w:t>la</w:t>
      </w:r>
      <w:r w:rsidR="00091A26" w:rsidRPr="00672A4E">
        <w:rPr>
          <w:rFonts w:ascii="Arial" w:hAnsi="Arial" w:cs="Arial"/>
          <w:spacing w:val="2"/>
          <w:sz w:val="24"/>
          <w:szCs w:val="24"/>
        </w:rPr>
        <w:t>s</w:t>
      </w:r>
      <w:r w:rsidR="002A17E7" w:rsidRPr="00672A4E">
        <w:rPr>
          <w:rFonts w:ascii="Arial" w:hAnsi="Arial" w:cs="Arial"/>
          <w:spacing w:val="2"/>
          <w:sz w:val="24"/>
          <w:szCs w:val="24"/>
        </w:rPr>
        <w:t xml:space="preserve"> </w:t>
      </w:r>
      <w:r w:rsidR="00337B82" w:rsidRPr="00672A4E">
        <w:rPr>
          <w:rFonts w:ascii="Arial" w:hAnsi="Arial" w:cs="Arial"/>
          <w:spacing w:val="2"/>
          <w:sz w:val="24"/>
          <w:szCs w:val="24"/>
        </w:rPr>
        <w:t>nueve y treinta minutos</w:t>
      </w:r>
      <w:r w:rsidR="00091A26" w:rsidRPr="00672A4E">
        <w:rPr>
          <w:rFonts w:ascii="Arial" w:hAnsi="Arial" w:cs="Arial"/>
          <w:spacing w:val="2"/>
          <w:sz w:val="24"/>
          <w:szCs w:val="24"/>
        </w:rPr>
        <w:t xml:space="preserve"> de la mañana</w:t>
      </w:r>
      <w:r w:rsidR="00AB2C76" w:rsidRPr="00672A4E">
        <w:rPr>
          <w:rFonts w:ascii="Arial" w:hAnsi="Arial" w:cs="Arial"/>
          <w:spacing w:val="2"/>
          <w:sz w:val="24"/>
          <w:szCs w:val="24"/>
        </w:rPr>
        <w:t xml:space="preserve">, </w:t>
      </w:r>
      <w:r w:rsidR="001C02A7" w:rsidRPr="00672A4E">
        <w:rPr>
          <w:rFonts w:ascii="Arial" w:hAnsi="Arial" w:cs="Arial"/>
          <w:spacing w:val="2"/>
          <w:sz w:val="24"/>
          <w:szCs w:val="24"/>
        </w:rPr>
        <w:t xml:space="preserve">la Sala de Decisión Laboral </w:t>
      </w:r>
      <w:r w:rsidR="002A17E7" w:rsidRPr="00672A4E">
        <w:rPr>
          <w:rFonts w:ascii="Arial" w:hAnsi="Arial" w:cs="Arial"/>
          <w:spacing w:val="2"/>
          <w:sz w:val="24"/>
          <w:szCs w:val="24"/>
        </w:rPr>
        <w:t>Nº 3</w:t>
      </w:r>
      <w:r w:rsidR="00AB2C76" w:rsidRPr="00672A4E">
        <w:rPr>
          <w:rFonts w:ascii="Arial" w:hAnsi="Arial" w:cs="Arial"/>
          <w:spacing w:val="2"/>
          <w:sz w:val="24"/>
          <w:szCs w:val="24"/>
        </w:rPr>
        <w:t xml:space="preserve"> </w:t>
      </w:r>
      <w:r w:rsidR="001C02A7" w:rsidRPr="00672A4E">
        <w:rPr>
          <w:rFonts w:ascii="Arial" w:hAnsi="Arial" w:cs="Arial"/>
          <w:spacing w:val="2"/>
          <w:sz w:val="24"/>
          <w:szCs w:val="24"/>
        </w:rPr>
        <w:t xml:space="preserve">del Tribunal Superior del Distrito Judicial de Pereira, se declara en audiencia pública </w:t>
      </w:r>
      <w:r w:rsidR="002A17E7" w:rsidRPr="00672A4E">
        <w:rPr>
          <w:rFonts w:ascii="Arial" w:hAnsi="Arial" w:cs="Arial"/>
          <w:spacing w:val="2"/>
          <w:sz w:val="24"/>
          <w:szCs w:val="24"/>
        </w:rPr>
        <w:t xml:space="preserve">con el propósito de resolver </w:t>
      </w:r>
      <w:r w:rsidR="0093301A" w:rsidRPr="00672A4E">
        <w:rPr>
          <w:rFonts w:ascii="Arial" w:hAnsi="Arial" w:cs="Arial"/>
          <w:spacing w:val="2"/>
          <w:sz w:val="24"/>
          <w:szCs w:val="24"/>
        </w:rPr>
        <w:t xml:space="preserve">el recurso de apelación interpuesto por </w:t>
      </w:r>
      <w:r w:rsidR="00337B82" w:rsidRPr="00672A4E">
        <w:rPr>
          <w:rFonts w:ascii="Arial" w:hAnsi="Arial" w:cs="Arial"/>
          <w:spacing w:val="2"/>
          <w:sz w:val="24"/>
          <w:szCs w:val="24"/>
        </w:rPr>
        <w:t xml:space="preserve">el señor </w:t>
      </w:r>
      <w:r w:rsidR="00337B82" w:rsidRPr="00672A4E">
        <w:rPr>
          <w:rFonts w:ascii="Arial" w:hAnsi="Arial" w:cs="Arial"/>
          <w:b/>
          <w:spacing w:val="2"/>
          <w:sz w:val="24"/>
          <w:szCs w:val="24"/>
        </w:rPr>
        <w:t>FRANCISCO JAVIER SÁNCHEZ MONTOYA</w:t>
      </w:r>
      <w:r w:rsidR="0093301A" w:rsidRPr="00672A4E">
        <w:rPr>
          <w:rFonts w:ascii="Arial" w:hAnsi="Arial" w:cs="Arial"/>
          <w:spacing w:val="2"/>
          <w:sz w:val="24"/>
          <w:szCs w:val="24"/>
        </w:rPr>
        <w:t xml:space="preserve"> en contra de la sentencia proferida por el Juzgado </w:t>
      </w:r>
      <w:r w:rsidR="00337B82" w:rsidRPr="00672A4E">
        <w:rPr>
          <w:rFonts w:ascii="Arial" w:hAnsi="Arial" w:cs="Arial"/>
          <w:spacing w:val="2"/>
          <w:sz w:val="24"/>
          <w:szCs w:val="24"/>
        </w:rPr>
        <w:t>Cuarto</w:t>
      </w:r>
      <w:r w:rsidR="0093301A" w:rsidRPr="00672A4E">
        <w:rPr>
          <w:rFonts w:ascii="Arial" w:hAnsi="Arial" w:cs="Arial"/>
          <w:spacing w:val="2"/>
          <w:sz w:val="24"/>
          <w:szCs w:val="24"/>
        </w:rPr>
        <w:t xml:space="preserve"> Laboral del Circuito el </w:t>
      </w:r>
      <w:r w:rsidR="00337B82" w:rsidRPr="00672A4E">
        <w:rPr>
          <w:rFonts w:ascii="Arial" w:hAnsi="Arial" w:cs="Arial"/>
          <w:spacing w:val="2"/>
          <w:sz w:val="24"/>
          <w:szCs w:val="24"/>
        </w:rPr>
        <w:t>12 de abril de 2018</w:t>
      </w:r>
      <w:r w:rsidR="0093301A" w:rsidRPr="00672A4E">
        <w:rPr>
          <w:rFonts w:ascii="Arial" w:hAnsi="Arial" w:cs="Arial"/>
          <w:spacing w:val="2"/>
          <w:sz w:val="24"/>
          <w:szCs w:val="24"/>
        </w:rPr>
        <w:t xml:space="preserve">, dentro del proceso que le promueve a </w:t>
      </w:r>
      <w:r w:rsidR="009661FB" w:rsidRPr="00672A4E">
        <w:rPr>
          <w:rFonts w:ascii="Arial" w:hAnsi="Arial" w:cs="Arial"/>
          <w:spacing w:val="2"/>
          <w:sz w:val="24"/>
          <w:szCs w:val="24"/>
        </w:rPr>
        <w:t xml:space="preserve">la </w:t>
      </w:r>
      <w:r w:rsidR="00D11732" w:rsidRPr="00672A4E">
        <w:rPr>
          <w:rFonts w:ascii="Arial" w:hAnsi="Arial" w:cs="Arial"/>
          <w:spacing w:val="2"/>
          <w:sz w:val="24"/>
          <w:szCs w:val="24"/>
        </w:rPr>
        <w:t xml:space="preserve">sociedades </w:t>
      </w:r>
      <w:r w:rsidR="009661FB" w:rsidRPr="00672A4E">
        <w:rPr>
          <w:rFonts w:ascii="Arial" w:hAnsi="Arial" w:cs="Arial"/>
          <w:b/>
          <w:spacing w:val="2"/>
          <w:sz w:val="24"/>
          <w:szCs w:val="24"/>
        </w:rPr>
        <w:t>COLFONDOS S.A.</w:t>
      </w:r>
      <w:r w:rsidR="00D11732" w:rsidRPr="00672A4E">
        <w:rPr>
          <w:rFonts w:ascii="Arial" w:hAnsi="Arial" w:cs="Arial"/>
          <w:spacing w:val="2"/>
          <w:sz w:val="24"/>
          <w:szCs w:val="24"/>
        </w:rPr>
        <w:t xml:space="preserve"> y </w:t>
      </w:r>
      <w:r w:rsidR="00D11732" w:rsidRPr="00672A4E">
        <w:rPr>
          <w:rFonts w:ascii="Arial" w:hAnsi="Arial" w:cs="Arial"/>
          <w:b/>
          <w:spacing w:val="2"/>
          <w:sz w:val="24"/>
          <w:szCs w:val="24"/>
        </w:rPr>
        <w:t>PORVENIR</w:t>
      </w:r>
      <w:r w:rsidR="009661FB" w:rsidRPr="00672A4E">
        <w:rPr>
          <w:rFonts w:ascii="Arial" w:hAnsi="Arial" w:cs="Arial"/>
          <w:b/>
          <w:spacing w:val="2"/>
          <w:sz w:val="24"/>
          <w:szCs w:val="24"/>
        </w:rPr>
        <w:t xml:space="preserve"> </w:t>
      </w:r>
      <w:r w:rsidR="00D11732" w:rsidRPr="00672A4E">
        <w:rPr>
          <w:rFonts w:ascii="Arial" w:hAnsi="Arial" w:cs="Arial"/>
          <w:b/>
          <w:spacing w:val="2"/>
          <w:sz w:val="24"/>
          <w:szCs w:val="24"/>
        </w:rPr>
        <w:t>S.A.</w:t>
      </w:r>
      <w:r w:rsidR="00D11732" w:rsidRPr="00672A4E">
        <w:rPr>
          <w:rFonts w:ascii="Arial" w:hAnsi="Arial" w:cs="Arial"/>
          <w:spacing w:val="2"/>
          <w:sz w:val="24"/>
          <w:szCs w:val="24"/>
        </w:rPr>
        <w:t xml:space="preserve">, así como </w:t>
      </w:r>
      <w:r w:rsidR="0093301A" w:rsidRPr="00672A4E">
        <w:rPr>
          <w:rFonts w:ascii="Arial" w:hAnsi="Arial" w:cs="Arial"/>
          <w:spacing w:val="2"/>
          <w:sz w:val="24"/>
          <w:szCs w:val="24"/>
        </w:rPr>
        <w:t>a</w:t>
      </w:r>
      <w:r w:rsidR="009661FB" w:rsidRPr="00672A4E">
        <w:rPr>
          <w:rFonts w:ascii="Arial" w:hAnsi="Arial" w:cs="Arial"/>
          <w:spacing w:val="2"/>
          <w:sz w:val="24"/>
          <w:szCs w:val="24"/>
        </w:rPr>
        <w:t xml:space="preserve"> la </w:t>
      </w:r>
      <w:r w:rsidR="009661FB" w:rsidRPr="00672A4E">
        <w:rPr>
          <w:rFonts w:ascii="Arial" w:hAnsi="Arial" w:cs="Arial"/>
          <w:b/>
          <w:spacing w:val="2"/>
          <w:sz w:val="24"/>
          <w:szCs w:val="24"/>
        </w:rPr>
        <w:t>ADMINIS</w:t>
      </w:r>
      <w:r w:rsidR="0093301A" w:rsidRPr="00672A4E">
        <w:rPr>
          <w:rFonts w:ascii="Arial" w:hAnsi="Arial" w:cs="Arial"/>
          <w:b/>
          <w:spacing w:val="2"/>
          <w:sz w:val="24"/>
          <w:szCs w:val="24"/>
        </w:rPr>
        <w:t>TRADORA COLOMBIANA DE PENSIONES</w:t>
      </w:r>
      <w:r w:rsidR="0093301A" w:rsidRPr="00672A4E">
        <w:rPr>
          <w:rFonts w:ascii="Arial" w:hAnsi="Arial" w:cs="Arial"/>
          <w:spacing w:val="2"/>
          <w:sz w:val="24"/>
          <w:szCs w:val="24"/>
        </w:rPr>
        <w:t xml:space="preserve">, </w:t>
      </w:r>
      <w:r w:rsidR="009660E9" w:rsidRPr="00672A4E">
        <w:rPr>
          <w:rFonts w:ascii="Arial" w:hAnsi="Arial" w:cs="Arial"/>
          <w:spacing w:val="2"/>
          <w:sz w:val="24"/>
          <w:szCs w:val="24"/>
        </w:rPr>
        <w:t>cuya radicación c</w:t>
      </w:r>
      <w:r w:rsidR="0093301A" w:rsidRPr="00672A4E">
        <w:rPr>
          <w:rFonts w:ascii="Arial" w:hAnsi="Arial" w:cs="Arial"/>
          <w:spacing w:val="2"/>
          <w:sz w:val="24"/>
          <w:szCs w:val="24"/>
        </w:rPr>
        <w:t>orresponde al Nº 66001-31-05-002-2016-0043</w:t>
      </w:r>
      <w:r w:rsidR="009660E9" w:rsidRPr="00672A4E">
        <w:rPr>
          <w:rFonts w:ascii="Arial" w:hAnsi="Arial" w:cs="Arial"/>
          <w:spacing w:val="2"/>
          <w:sz w:val="24"/>
          <w:szCs w:val="24"/>
        </w:rPr>
        <w:t>6-01.</w:t>
      </w:r>
    </w:p>
    <w:p w:rsidR="00F33085" w:rsidRPr="00672A4E" w:rsidRDefault="00F33085" w:rsidP="0063386F">
      <w:pPr>
        <w:suppressAutoHyphens/>
        <w:spacing w:after="0"/>
        <w:jc w:val="both"/>
        <w:rPr>
          <w:rFonts w:ascii="Arial" w:hAnsi="Arial" w:cs="Arial"/>
          <w:spacing w:val="2"/>
          <w:sz w:val="24"/>
          <w:szCs w:val="24"/>
        </w:rPr>
      </w:pPr>
    </w:p>
    <w:p w:rsidR="001C02A7" w:rsidRPr="00672A4E" w:rsidRDefault="001C02A7" w:rsidP="0063386F">
      <w:pPr>
        <w:pStyle w:val="Textoindependiente2"/>
        <w:spacing w:after="0" w:line="276" w:lineRule="auto"/>
        <w:rPr>
          <w:rFonts w:ascii="Arial" w:hAnsi="Arial" w:cs="Arial"/>
          <w:bCs/>
          <w:spacing w:val="2"/>
          <w:sz w:val="24"/>
          <w:szCs w:val="24"/>
        </w:rPr>
      </w:pPr>
      <w:r w:rsidRPr="00672A4E">
        <w:rPr>
          <w:rFonts w:ascii="Arial" w:hAnsi="Arial" w:cs="Arial"/>
          <w:bCs/>
          <w:spacing w:val="2"/>
          <w:sz w:val="24"/>
          <w:szCs w:val="24"/>
        </w:rPr>
        <w:t>Al acto comparecen las personas que a continuación se identifican:</w:t>
      </w:r>
    </w:p>
    <w:p w:rsidR="000369B6" w:rsidRPr="00672A4E" w:rsidRDefault="000369B6" w:rsidP="0063386F">
      <w:pPr>
        <w:pStyle w:val="Textoindependiente2"/>
        <w:spacing w:after="0" w:line="276" w:lineRule="auto"/>
        <w:rPr>
          <w:rFonts w:ascii="Arial" w:hAnsi="Arial" w:cs="Arial"/>
          <w:bCs/>
          <w:spacing w:val="2"/>
          <w:sz w:val="24"/>
          <w:szCs w:val="24"/>
        </w:rPr>
      </w:pPr>
    </w:p>
    <w:p w:rsidR="001C02A7" w:rsidRPr="00672A4E" w:rsidRDefault="001C02A7" w:rsidP="0063386F">
      <w:pPr>
        <w:pStyle w:val="Textoindependiente2"/>
        <w:spacing w:after="0" w:line="276" w:lineRule="auto"/>
        <w:rPr>
          <w:rFonts w:ascii="Arial" w:hAnsi="Arial" w:cs="Arial"/>
          <w:bCs/>
          <w:spacing w:val="2"/>
          <w:sz w:val="24"/>
          <w:szCs w:val="24"/>
        </w:rPr>
      </w:pPr>
      <w:r w:rsidRPr="00672A4E">
        <w:rPr>
          <w:rFonts w:ascii="Arial" w:hAnsi="Arial" w:cs="Arial"/>
          <w:bCs/>
          <w:spacing w:val="2"/>
          <w:sz w:val="24"/>
          <w:szCs w:val="24"/>
        </w:rPr>
        <w:t>Demandante y su apoderado:</w:t>
      </w:r>
    </w:p>
    <w:p w:rsidR="005D2EC8" w:rsidRPr="00672A4E" w:rsidRDefault="001C02A7" w:rsidP="0063386F">
      <w:pPr>
        <w:pStyle w:val="Textoindependiente2"/>
        <w:spacing w:after="0" w:line="276" w:lineRule="auto"/>
        <w:rPr>
          <w:rFonts w:ascii="Arial" w:hAnsi="Arial" w:cs="Arial"/>
          <w:bCs/>
          <w:spacing w:val="2"/>
          <w:sz w:val="24"/>
          <w:szCs w:val="24"/>
        </w:rPr>
      </w:pPr>
      <w:r w:rsidRPr="00672A4E">
        <w:rPr>
          <w:rFonts w:ascii="Arial" w:hAnsi="Arial" w:cs="Arial"/>
          <w:bCs/>
          <w:spacing w:val="2"/>
          <w:sz w:val="24"/>
          <w:szCs w:val="24"/>
        </w:rPr>
        <w:t>Demandado y su apoderado:</w:t>
      </w:r>
    </w:p>
    <w:p w:rsidR="000369B6" w:rsidRPr="00672A4E" w:rsidRDefault="000369B6" w:rsidP="0063386F">
      <w:pPr>
        <w:pStyle w:val="Textoindependiente2"/>
        <w:spacing w:after="0" w:line="276" w:lineRule="auto"/>
        <w:rPr>
          <w:rFonts w:ascii="Arial" w:hAnsi="Arial" w:cs="Arial"/>
          <w:bCs/>
          <w:spacing w:val="2"/>
          <w:sz w:val="24"/>
          <w:szCs w:val="24"/>
        </w:rPr>
      </w:pPr>
    </w:p>
    <w:p w:rsidR="00E250E6" w:rsidRPr="00672A4E" w:rsidRDefault="00E250E6" w:rsidP="0063386F">
      <w:pPr>
        <w:spacing w:after="0"/>
        <w:jc w:val="center"/>
        <w:rPr>
          <w:rFonts w:ascii="Arial" w:hAnsi="Arial" w:cs="Arial"/>
          <w:b/>
          <w:spacing w:val="2"/>
          <w:sz w:val="24"/>
          <w:szCs w:val="24"/>
        </w:rPr>
      </w:pPr>
      <w:r w:rsidRPr="00672A4E">
        <w:rPr>
          <w:rFonts w:ascii="Arial" w:hAnsi="Arial" w:cs="Arial"/>
          <w:b/>
          <w:spacing w:val="2"/>
          <w:sz w:val="24"/>
          <w:szCs w:val="24"/>
        </w:rPr>
        <w:t>ANTECEDENTES</w:t>
      </w:r>
    </w:p>
    <w:p w:rsidR="00E250E6" w:rsidRPr="00672A4E" w:rsidRDefault="00E250E6" w:rsidP="0063386F">
      <w:pPr>
        <w:spacing w:after="0"/>
        <w:jc w:val="center"/>
        <w:rPr>
          <w:rFonts w:ascii="Arial" w:hAnsi="Arial" w:cs="Arial"/>
          <w:b/>
          <w:spacing w:val="2"/>
          <w:sz w:val="24"/>
          <w:szCs w:val="24"/>
        </w:rPr>
      </w:pPr>
    </w:p>
    <w:p w:rsidR="00B767FC" w:rsidRPr="00672A4E" w:rsidRDefault="00DC2D32" w:rsidP="0063386F">
      <w:pPr>
        <w:spacing w:after="0"/>
        <w:jc w:val="both"/>
        <w:rPr>
          <w:rFonts w:ascii="Arial" w:hAnsi="Arial" w:cs="Arial"/>
          <w:spacing w:val="2"/>
          <w:sz w:val="24"/>
          <w:szCs w:val="24"/>
        </w:rPr>
      </w:pPr>
      <w:r w:rsidRPr="00672A4E">
        <w:rPr>
          <w:rFonts w:ascii="Arial" w:hAnsi="Arial" w:cs="Arial"/>
          <w:spacing w:val="2"/>
          <w:sz w:val="24"/>
          <w:szCs w:val="24"/>
        </w:rPr>
        <w:t xml:space="preserve">Pretende </w:t>
      </w:r>
      <w:r w:rsidR="001A2CDA" w:rsidRPr="00672A4E">
        <w:rPr>
          <w:rFonts w:ascii="Arial" w:hAnsi="Arial" w:cs="Arial"/>
          <w:spacing w:val="2"/>
          <w:sz w:val="24"/>
          <w:szCs w:val="24"/>
        </w:rPr>
        <w:t xml:space="preserve">el señor Francisco Javier Sánchez Montoya </w:t>
      </w:r>
      <w:r w:rsidR="00795214" w:rsidRPr="00672A4E">
        <w:rPr>
          <w:rFonts w:ascii="Arial" w:hAnsi="Arial" w:cs="Arial"/>
          <w:spacing w:val="2"/>
          <w:sz w:val="24"/>
          <w:szCs w:val="24"/>
        </w:rPr>
        <w:t xml:space="preserve">que la justicia laboral </w:t>
      </w:r>
      <w:r w:rsidR="009660E9" w:rsidRPr="00672A4E">
        <w:rPr>
          <w:rFonts w:ascii="Arial" w:hAnsi="Arial" w:cs="Arial"/>
          <w:spacing w:val="2"/>
          <w:sz w:val="24"/>
          <w:szCs w:val="24"/>
        </w:rPr>
        <w:t xml:space="preserve">declare </w:t>
      </w:r>
      <w:r w:rsidR="00795214" w:rsidRPr="00672A4E">
        <w:rPr>
          <w:rFonts w:ascii="Arial" w:hAnsi="Arial" w:cs="Arial"/>
          <w:spacing w:val="2"/>
          <w:sz w:val="24"/>
          <w:szCs w:val="24"/>
        </w:rPr>
        <w:t>la</w:t>
      </w:r>
      <w:r w:rsidR="001A2CDA" w:rsidRPr="00672A4E">
        <w:rPr>
          <w:rFonts w:ascii="Arial" w:hAnsi="Arial" w:cs="Arial"/>
          <w:spacing w:val="2"/>
          <w:sz w:val="24"/>
          <w:szCs w:val="24"/>
        </w:rPr>
        <w:t xml:space="preserve"> nulidad o</w:t>
      </w:r>
      <w:r w:rsidR="00795214" w:rsidRPr="00672A4E">
        <w:rPr>
          <w:rFonts w:ascii="Arial" w:hAnsi="Arial" w:cs="Arial"/>
          <w:spacing w:val="2"/>
          <w:sz w:val="24"/>
          <w:szCs w:val="24"/>
        </w:rPr>
        <w:t xml:space="preserve"> ineficacia del traslado </w:t>
      </w:r>
      <w:r w:rsidR="00B767FC" w:rsidRPr="00672A4E">
        <w:rPr>
          <w:rFonts w:ascii="Arial" w:hAnsi="Arial" w:cs="Arial"/>
          <w:spacing w:val="2"/>
          <w:sz w:val="24"/>
          <w:szCs w:val="24"/>
        </w:rPr>
        <w:t xml:space="preserve">al régimen de ahorro individual con solidaridad efectuado </w:t>
      </w:r>
      <w:r w:rsidR="001A2CDA" w:rsidRPr="00672A4E">
        <w:rPr>
          <w:rFonts w:ascii="Arial" w:hAnsi="Arial" w:cs="Arial"/>
          <w:spacing w:val="2"/>
          <w:sz w:val="24"/>
          <w:szCs w:val="24"/>
        </w:rPr>
        <w:t>el 23 de enero de 1998</w:t>
      </w:r>
      <w:r w:rsidR="00EF1E7D" w:rsidRPr="00672A4E">
        <w:rPr>
          <w:rFonts w:ascii="Arial" w:hAnsi="Arial" w:cs="Arial"/>
          <w:spacing w:val="2"/>
          <w:sz w:val="24"/>
          <w:szCs w:val="24"/>
        </w:rPr>
        <w:t xml:space="preserve"> a través de </w:t>
      </w:r>
      <w:r w:rsidR="00DB4CC4" w:rsidRPr="00672A4E">
        <w:rPr>
          <w:rFonts w:ascii="Arial" w:hAnsi="Arial" w:cs="Arial"/>
          <w:spacing w:val="2"/>
          <w:sz w:val="24"/>
          <w:szCs w:val="24"/>
        </w:rPr>
        <w:t xml:space="preserve">Porvenir S.A. </w:t>
      </w:r>
      <w:r w:rsidR="00B767FC" w:rsidRPr="00672A4E">
        <w:rPr>
          <w:rFonts w:ascii="Arial" w:hAnsi="Arial" w:cs="Arial"/>
          <w:spacing w:val="2"/>
          <w:sz w:val="24"/>
          <w:szCs w:val="24"/>
        </w:rPr>
        <w:t>y con base en ello a</w:t>
      </w:r>
      <w:r w:rsidR="00ED0B39" w:rsidRPr="00672A4E">
        <w:rPr>
          <w:rFonts w:ascii="Arial" w:hAnsi="Arial" w:cs="Arial"/>
          <w:spacing w:val="2"/>
          <w:sz w:val="24"/>
          <w:szCs w:val="24"/>
        </w:rPr>
        <w:t xml:space="preserve">spira que se ordene a </w:t>
      </w:r>
      <w:r w:rsidR="00DB4CC4" w:rsidRPr="00672A4E">
        <w:rPr>
          <w:rFonts w:ascii="Arial" w:hAnsi="Arial" w:cs="Arial"/>
          <w:spacing w:val="2"/>
          <w:sz w:val="24"/>
          <w:szCs w:val="24"/>
        </w:rPr>
        <w:t>la AFP</w:t>
      </w:r>
      <w:r w:rsidR="00B767FC" w:rsidRPr="00672A4E">
        <w:rPr>
          <w:rFonts w:ascii="Arial" w:hAnsi="Arial" w:cs="Arial"/>
          <w:spacing w:val="2"/>
          <w:sz w:val="24"/>
          <w:szCs w:val="24"/>
        </w:rPr>
        <w:t xml:space="preserve"> girar a favor de la Administradora Colombiana de Pensiones el monto que se encuentre en la cuenta de ahorro individual</w:t>
      </w:r>
      <w:r w:rsidR="001A2CDA" w:rsidRPr="00672A4E">
        <w:rPr>
          <w:rFonts w:ascii="Arial" w:hAnsi="Arial" w:cs="Arial"/>
          <w:spacing w:val="2"/>
          <w:sz w:val="24"/>
          <w:szCs w:val="24"/>
        </w:rPr>
        <w:t xml:space="preserve">, lo que resulte probado extra y ultra </w:t>
      </w:r>
      <w:proofErr w:type="spellStart"/>
      <w:r w:rsidR="001A2CDA" w:rsidRPr="00672A4E">
        <w:rPr>
          <w:rFonts w:ascii="Arial" w:hAnsi="Arial" w:cs="Arial"/>
          <w:spacing w:val="2"/>
          <w:sz w:val="24"/>
          <w:szCs w:val="24"/>
        </w:rPr>
        <w:t>petita</w:t>
      </w:r>
      <w:proofErr w:type="spellEnd"/>
      <w:r w:rsidR="00DB4CC4" w:rsidRPr="00672A4E">
        <w:rPr>
          <w:rFonts w:ascii="Arial" w:hAnsi="Arial" w:cs="Arial"/>
          <w:spacing w:val="2"/>
          <w:sz w:val="24"/>
          <w:szCs w:val="24"/>
        </w:rPr>
        <w:t xml:space="preserve"> </w:t>
      </w:r>
      <w:r w:rsidR="00B767FC" w:rsidRPr="00672A4E">
        <w:rPr>
          <w:rFonts w:ascii="Arial" w:hAnsi="Arial" w:cs="Arial"/>
          <w:spacing w:val="2"/>
          <w:sz w:val="24"/>
          <w:szCs w:val="24"/>
        </w:rPr>
        <w:t>y las costas procesales a su favor.</w:t>
      </w:r>
    </w:p>
    <w:p w:rsidR="00D62552" w:rsidRPr="00672A4E" w:rsidRDefault="00D62552" w:rsidP="0063386F">
      <w:pPr>
        <w:spacing w:after="0"/>
        <w:jc w:val="both"/>
        <w:rPr>
          <w:rFonts w:ascii="Arial" w:hAnsi="Arial" w:cs="Arial"/>
          <w:spacing w:val="2"/>
          <w:sz w:val="24"/>
          <w:szCs w:val="24"/>
        </w:rPr>
      </w:pPr>
    </w:p>
    <w:p w:rsidR="001A2CDA" w:rsidRPr="00672A4E" w:rsidRDefault="00D62552" w:rsidP="0063386F">
      <w:pPr>
        <w:spacing w:after="0"/>
        <w:jc w:val="both"/>
        <w:rPr>
          <w:rFonts w:ascii="Arial" w:hAnsi="Arial" w:cs="Arial"/>
          <w:spacing w:val="2"/>
          <w:sz w:val="24"/>
          <w:szCs w:val="24"/>
        </w:rPr>
      </w:pPr>
      <w:r w:rsidRPr="00672A4E">
        <w:rPr>
          <w:rFonts w:ascii="Arial" w:hAnsi="Arial" w:cs="Arial"/>
          <w:spacing w:val="2"/>
          <w:sz w:val="24"/>
          <w:szCs w:val="24"/>
        </w:rPr>
        <w:t xml:space="preserve">Refiere que: </w:t>
      </w:r>
      <w:r w:rsidR="001A2CDA" w:rsidRPr="00672A4E">
        <w:rPr>
          <w:rFonts w:ascii="Arial" w:hAnsi="Arial" w:cs="Arial"/>
          <w:spacing w:val="2"/>
          <w:sz w:val="24"/>
          <w:szCs w:val="24"/>
        </w:rPr>
        <w:t xml:space="preserve">En su vida laboral ha prestado sus servicios como empleado público a favor del Departamento de Risaralda, Instituto de Seguros Sociales, Universidad Tecnológica de Pereira y la ESE Hospital San Jorge de Pereira e igualmente ha prestado servicios en el sector privado; luego de entrar en vigencia el sistema general de pensiones, fue contactado por una dependiente de la sociedad Porvenir S.A. quien lo invitó y asesoró a trasladarse al RAIS, </w:t>
      </w:r>
      <w:r w:rsidR="00774D10" w:rsidRPr="00672A4E">
        <w:rPr>
          <w:rFonts w:ascii="Arial" w:hAnsi="Arial" w:cs="Arial"/>
          <w:spacing w:val="2"/>
          <w:sz w:val="24"/>
          <w:szCs w:val="24"/>
        </w:rPr>
        <w:t xml:space="preserve">no obstante, para realizar ese traslado no se le brindó la información adecuada que le permitiera entender las consecuencias que ello traería, en consideración a que solo se le dijo que se podía pensionar anticipadamente, que el monto de la pensión iba a ser mayor y que tendría derecho a excedentes de libre disposición; la información suministrada no solamente resultó ser falaz, sino que ha lesionado sus intereses; el 6 de abril de 2017 se le informó que el capital acumulado asciende a $314.106.042, que la pensión de vejez cuando llegue a los 62 años de edad es equivalente a la suma de $3.967.000 y que el IBL sobre el cual se calcula la mesada es igual a $10.996.427; </w:t>
      </w:r>
      <w:r w:rsidR="007A68FF" w:rsidRPr="00672A4E">
        <w:rPr>
          <w:rFonts w:ascii="Arial" w:hAnsi="Arial" w:cs="Arial"/>
          <w:spacing w:val="2"/>
          <w:sz w:val="24"/>
          <w:szCs w:val="24"/>
        </w:rPr>
        <w:t>de no haberse trasladado la pensión en el RPM equivaldría a la suma de $8.689.376</w:t>
      </w:r>
      <w:r w:rsidR="003B4D03" w:rsidRPr="00672A4E">
        <w:rPr>
          <w:rFonts w:ascii="Arial" w:hAnsi="Arial" w:cs="Arial"/>
          <w:spacing w:val="2"/>
          <w:sz w:val="24"/>
          <w:szCs w:val="24"/>
        </w:rPr>
        <w:t>; solicitó ante las entidades accionadas el traslado al RPM administrado por Colpensiones, las cuales fueron resueltas negativamente bajo el argumento que se encuentra a menos de 10 años para que se reconozca el derecho a la pensión.</w:t>
      </w:r>
    </w:p>
    <w:p w:rsidR="003B4D03" w:rsidRPr="00672A4E" w:rsidRDefault="003B4D03" w:rsidP="0063386F">
      <w:pPr>
        <w:spacing w:after="0"/>
        <w:jc w:val="both"/>
        <w:rPr>
          <w:rFonts w:ascii="Arial" w:hAnsi="Arial" w:cs="Arial"/>
          <w:spacing w:val="2"/>
          <w:sz w:val="24"/>
          <w:szCs w:val="24"/>
        </w:rPr>
      </w:pPr>
    </w:p>
    <w:p w:rsidR="003B4D03" w:rsidRPr="00672A4E" w:rsidRDefault="00DC3C91" w:rsidP="0063386F">
      <w:pPr>
        <w:spacing w:after="0"/>
        <w:jc w:val="both"/>
        <w:rPr>
          <w:rFonts w:ascii="Arial" w:hAnsi="Arial" w:cs="Arial"/>
          <w:spacing w:val="2"/>
          <w:sz w:val="24"/>
          <w:szCs w:val="24"/>
        </w:rPr>
      </w:pPr>
      <w:r w:rsidRPr="00672A4E">
        <w:rPr>
          <w:rFonts w:ascii="Arial" w:hAnsi="Arial" w:cs="Arial"/>
          <w:spacing w:val="2"/>
          <w:sz w:val="24"/>
          <w:szCs w:val="24"/>
        </w:rPr>
        <w:lastRenderedPageBreak/>
        <w:t>Al contestar la demanda –fls.123 a 127</w:t>
      </w:r>
      <w:r w:rsidR="00B12EC7" w:rsidRPr="00672A4E">
        <w:rPr>
          <w:rFonts w:ascii="Arial" w:hAnsi="Arial" w:cs="Arial"/>
          <w:spacing w:val="2"/>
          <w:sz w:val="24"/>
          <w:szCs w:val="24"/>
        </w:rPr>
        <w:t>–</w:t>
      </w:r>
      <w:r w:rsidRPr="00672A4E">
        <w:rPr>
          <w:rFonts w:ascii="Arial" w:hAnsi="Arial" w:cs="Arial"/>
          <w:spacing w:val="2"/>
          <w:sz w:val="24"/>
          <w:szCs w:val="24"/>
        </w:rPr>
        <w:t xml:space="preserve"> la Administradora Colombiana de Pensiones aceptó la solitud de traslado elevada por el actor y su correspondiente negativa. Frente a los demás hechos expresó que no le constaban. Se opuso a las pretensiones y formuló las excepciones de mérito que denominó “Inexistencia de la obligación”, “Buena fe”, “Imposibilidad jurídica para cumplir con las obligaciones pretendidas”, “Innominada” y “Prescripción”.</w:t>
      </w:r>
    </w:p>
    <w:p w:rsidR="00DC3C91" w:rsidRPr="00672A4E" w:rsidRDefault="00DC3C91" w:rsidP="0063386F">
      <w:pPr>
        <w:spacing w:after="0"/>
        <w:jc w:val="both"/>
        <w:rPr>
          <w:rFonts w:ascii="Arial" w:hAnsi="Arial" w:cs="Arial"/>
          <w:spacing w:val="2"/>
          <w:sz w:val="24"/>
          <w:szCs w:val="24"/>
        </w:rPr>
      </w:pPr>
    </w:p>
    <w:p w:rsidR="00D17DFF" w:rsidRPr="00672A4E" w:rsidRDefault="0002215A" w:rsidP="0063386F">
      <w:pPr>
        <w:spacing w:after="0"/>
        <w:jc w:val="both"/>
        <w:rPr>
          <w:rFonts w:ascii="Arial" w:hAnsi="Arial" w:cs="Arial"/>
          <w:spacing w:val="2"/>
          <w:sz w:val="24"/>
          <w:szCs w:val="24"/>
        </w:rPr>
      </w:pPr>
      <w:r w:rsidRPr="00672A4E">
        <w:rPr>
          <w:rFonts w:ascii="Arial" w:hAnsi="Arial" w:cs="Arial"/>
          <w:spacing w:val="2"/>
          <w:sz w:val="24"/>
          <w:szCs w:val="24"/>
        </w:rPr>
        <w:t>Por su parte, la AFP Porvenir S.A. al dar respuesta al libelo introductorio –fls.151 a 164-</w:t>
      </w:r>
      <w:r w:rsidR="00D17DFF" w:rsidRPr="00672A4E">
        <w:rPr>
          <w:rFonts w:ascii="Arial" w:hAnsi="Arial" w:cs="Arial"/>
          <w:spacing w:val="2"/>
          <w:sz w:val="24"/>
          <w:szCs w:val="24"/>
        </w:rPr>
        <w:t xml:space="preserve"> </w:t>
      </w:r>
      <w:r w:rsidR="003E2E64" w:rsidRPr="00672A4E">
        <w:rPr>
          <w:rFonts w:ascii="Arial" w:hAnsi="Arial" w:cs="Arial"/>
          <w:spacing w:val="2"/>
          <w:sz w:val="24"/>
          <w:szCs w:val="24"/>
        </w:rPr>
        <w:t xml:space="preserve">manifestó que el acto jurídico por medio del cual </w:t>
      </w:r>
      <w:r w:rsidR="00D17DFF" w:rsidRPr="00672A4E">
        <w:rPr>
          <w:rFonts w:ascii="Arial" w:hAnsi="Arial" w:cs="Arial"/>
          <w:spacing w:val="2"/>
          <w:sz w:val="24"/>
          <w:szCs w:val="24"/>
        </w:rPr>
        <w:t>el accionante</w:t>
      </w:r>
      <w:r w:rsidR="003E2E64" w:rsidRPr="00672A4E">
        <w:rPr>
          <w:rFonts w:ascii="Arial" w:hAnsi="Arial" w:cs="Arial"/>
          <w:spacing w:val="2"/>
          <w:sz w:val="24"/>
          <w:szCs w:val="24"/>
        </w:rPr>
        <w:t xml:space="preserve"> se trasladó al régimen de ahorro individual con solidaridad es válido, ya que </w:t>
      </w:r>
      <w:r w:rsidR="00B371CC" w:rsidRPr="00672A4E">
        <w:rPr>
          <w:rFonts w:ascii="Arial" w:hAnsi="Arial" w:cs="Arial"/>
          <w:spacing w:val="2"/>
          <w:sz w:val="24"/>
          <w:szCs w:val="24"/>
        </w:rPr>
        <w:t>la información que se le dio no fue mentirosa,</w:t>
      </w:r>
      <w:r w:rsidR="00D17DFF" w:rsidRPr="00672A4E">
        <w:rPr>
          <w:rFonts w:ascii="Arial" w:hAnsi="Arial" w:cs="Arial"/>
          <w:spacing w:val="2"/>
          <w:sz w:val="24"/>
          <w:szCs w:val="24"/>
        </w:rPr>
        <w:t xml:space="preserve"> por lo que no pudo ser inducido</w:t>
      </w:r>
      <w:r w:rsidR="00B371CC" w:rsidRPr="00672A4E">
        <w:rPr>
          <w:rFonts w:ascii="Arial" w:hAnsi="Arial" w:cs="Arial"/>
          <w:spacing w:val="2"/>
          <w:sz w:val="24"/>
          <w:szCs w:val="24"/>
        </w:rPr>
        <w:t xml:space="preserve"> a error; expresando </w:t>
      </w:r>
      <w:r w:rsidR="00D17DFF" w:rsidRPr="00672A4E">
        <w:rPr>
          <w:rFonts w:ascii="Arial" w:hAnsi="Arial" w:cs="Arial"/>
          <w:spacing w:val="2"/>
          <w:sz w:val="24"/>
          <w:szCs w:val="24"/>
        </w:rPr>
        <w:t>además, que el actor no ha sufrido ningún perjuicio al no ser beneficiario</w:t>
      </w:r>
      <w:r w:rsidR="00B371CC" w:rsidRPr="00672A4E">
        <w:rPr>
          <w:rFonts w:ascii="Arial" w:hAnsi="Arial" w:cs="Arial"/>
          <w:spacing w:val="2"/>
          <w:sz w:val="24"/>
          <w:szCs w:val="24"/>
        </w:rPr>
        <w:t xml:space="preserve"> del régimen de transición previsto en el artículo 36 de la Ley 100 de 1993. Se opuso a las pretensiones y planteó las excepciones de mérito de </w:t>
      </w:r>
      <w:r w:rsidR="00D17DFF" w:rsidRPr="00672A4E">
        <w:rPr>
          <w:rFonts w:ascii="Arial" w:hAnsi="Arial" w:cs="Arial"/>
          <w:spacing w:val="2"/>
          <w:sz w:val="24"/>
          <w:szCs w:val="24"/>
        </w:rPr>
        <w:t>“Validez de la afiliación a Porvenir e inexistencia de vicios en el consentimiento”, “Saneamiento del eventual vicio del consentimiento”, “Prescripción”, “Buena fe” e “Innominada o genérica”.</w:t>
      </w:r>
    </w:p>
    <w:p w:rsidR="00CD241B" w:rsidRPr="00672A4E" w:rsidRDefault="00CD241B" w:rsidP="0063386F">
      <w:pPr>
        <w:spacing w:after="0"/>
        <w:jc w:val="both"/>
        <w:rPr>
          <w:rFonts w:ascii="Arial" w:hAnsi="Arial" w:cs="Arial"/>
          <w:spacing w:val="2"/>
          <w:sz w:val="24"/>
          <w:szCs w:val="24"/>
        </w:rPr>
      </w:pPr>
    </w:p>
    <w:p w:rsidR="00B76BF8" w:rsidRPr="00672A4E" w:rsidRDefault="00B76BF8" w:rsidP="0063386F">
      <w:pPr>
        <w:spacing w:after="0"/>
        <w:jc w:val="both"/>
        <w:rPr>
          <w:rFonts w:ascii="Arial" w:hAnsi="Arial" w:cs="Arial"/>
          <w:spacing w:val="2"/>
          <w:sz w:val="24"/>
          <w:szCs w:val="24"/>
        </w:rPr>
      </w:pPr>
      <w:r w:rsidRPr="00672A4E">
        <w:rPr>
          <w:rFonts w:ascii="Arial" w:hAnsi="Arial" w:cs="Arial"/>
          <w:spacing w:val="2"/>
          <w:sz w:val="24"/>
          <w:szCs w:val="24"/>
        </w:rPr>
        <w:t xml:space="preserve">En sentencia de 12 de abril de 2018, la funcionaria de primer grado determinó que al no ser beneficiario del régimen de transición dispuesto en el artículo 36 de la Ley 100 de 1993, le correspondía al señor Francisco Javier Sánchez Montoya acreditar que la AFP Porvenir S.A. no le brindó la información suficiente que le permitiera tomar una decisión consciente en los términos establecidos en el literal b) del artículo 13 de la Ley 100 de 1993, no obstante, ello no fue así, pues a más de desistir de la prueba testimonial, no logró demostrar a través de otros medios probatorios que la AFP demandada le hubiere dado información equivocada que tuviera como fin el traslado de régimen, por el contrario, lo que probó a través del interrogatorio de parte, fue que se esa entidad no le dio información equivocada, ya que es verdad que en el RAIS podía pensionarse anticipadamente, beneficiarse de excedentes de libre disponibilidad, </w:t>
      </w:r>
      <w:r w:rsidR="00997B93" w:rsidRPr="00672A4E">
        <w:rPr>
          <w:rFonts w:ascii="Arial" w:hAnsi="Arial" w:cs="Arial"/>
          <w:spacing w:val="2"/>
          <w:sz w:val="24"/>
          <w:szCs w:val="24"/>
        </w:rPr>
        <w:t xml:space="preserve">que el capital ahorrado pasara a hacer parte de la masa </w:t>
      </w:r>
      <w:proofErr w:type="spellStart"/>
      <w:r w:rsidR="00997B93" w:rsidRPr="00672A4E">
        <w:rPr>
          <w:rFonts w:ascii="Arial" w:hAnsi="Arial" w:cs="Arial"/>
          <w:spacing w:val="2"/>
          <w:sz w:val="24"/>
          <w:szCs w:val="24"/>
        </w:rPr>
        <w:t>sucesoral</w:t>
      </w:r>
      <w:proofErr w:type="spellEnd"/>
      <w:r w:rsidR="00997B93" w:rsidRPr="00672A4E">
        <w:rPr>
          <w:rFonts w:ascii="Arial" w:hAnsi="Arial" w:cs="Arial"/>
          <w:spacing w:val="2"/>
          <w:sz w:val="24"/>
          <w:szCs w:val="24"/>
        </w:rPr>
        <w:t>, y sobre todo, se le informó en ese momento que podía movilizarse entre regímenes cada tres años.</w:t>
      </w:r>
    </w:p>
    <w:p w:rsidR="00997B93" w:rsidRPr="00672A4E" w:rsidRDefault="00997B93" w:rsidP="0063386F">
      <w:pPr>
        <w:spacing w:after="0"/>
        <w:jc w:val="both"/>
        <w:rPr>
          <w:rFonts w:ascii="Arial" w:hAnsi="Arial" w:cs="Arial"/>
          <w:spacing w:val="2"/>
          <w:sz w:val="24"/>
          <w:szCs w:val="24"/>
        </w:rPr>
      </w:pPr>
    </w:p>
    <w:p w:rsidR="00997B93" w:rsidRPr="00672A4E" w:rsidRDefault="00997B93" w:rsidP="0063386F">
      <w:pPr>
        <w:spacing w:after="0"/>
        <w:jc w:val="both"/>
        <w:rPr>
          <w:rFonts w:ascii="Arial" w:hAnsi="Arial" w:cs="Arial"/>
          <w:spacing w:val="2"/>
          <w:sz w:val="24"/>
          <w:szCs w:val="24"/>
        </w:rPr>
      </w:pPr>
      <w:r w:rsidRPr="00672A4E">
        <w:rPr>
          <w:rFonts w:ascii="Arial" w:hAnsi="Arial" w:cs="Arial"/>
          <w:spacing w:val="2"/>
          <w:sz w:val="24"/>
          <w:szCs w:val="24"/>
        </w:rPr>
        <w:t>Por lo expuesto, al no haberse demostrado que el traslado de régimen pensional surtido en el año 1998 fue efectuado con base en un error en el que lo hubiere hecho incurrir la AFP demandada, negó la totalidad de las pretensiones.</w:t>
      </w:r>
    </w:p>
    <w:p w:rsidR="00B829B1" w:rsidRPr="00672A4E" w:rsidRDefault="00B829B1" w:rsidP="0063386F">
      <w:pPr>
        <w:spacing w:after="0"/>
        <w:jc w:val="both"/>
        <w:rPr>
          <w:rFonts w:ascii="Arial" w:hAnsi="Arial" w:cs="Arial"/>
          <w:spacing w:val="2"/>
          <w:sz w:val="24"/>
          <w:szCs w:val="24"/>
        </w:rPr>
      </w:pPr>
    </w:p>
    <w:p w:rsidR="00B829B1" w:rsidRPr="00672A4E" w:rsidRDefault="00B829B1" w:rsidP="0063386F">
      <w:pPr>
        <w:spacing w:after="0"/>
        <w:jc w:val="both"/>
        <w:rPr>
          <w:rFonts w:ascii="Arial" w:hAnsi="Arial" w:cs="Arial"/>
          <w:spacing w:val="2"/>
          <w:sz w:val="24"/>
          <w:szCs w:val="24"/>
        </w:rPr>
      </w:pPr>
      <w:r w:rsidRPr="00672A4E">
        <w:rPr>
          <w:rFonts w:ascii="Arial" w:hAnsi="Arial" w:cs="Arial"/>
          <w:spacing w:val="2"/>
          <w:sz w:val="24"/>
          <w:szCs w:val="24"/>
        </w:rPr>
        <w:t xml:space="preserve">Inconforme con la decisión, el apoderado judicial de la parte actora interpuso recurso de apelación </w:t>
      </w:r>
      <w:r w:rsidR="004417DB" w:rsidRPr="00672A4E">
        <w:rPr>
          <w:rFonts w:ascii="Arial" w:hAnsi="Arial" w:cs="Arial"/>
          <w:spacing w:val="2"/>
          <w:sz w:val="24"/>
          <w:szCs w:val="24"/>
        </w:rPr>
        <w:t xml:space="preserve">manifestando que en este caso no es necesaria la prueba testimonial para demostrar que al señor Francisco Javier Sánchez Montoya se le dio información engañosa que tenía como fin el traslado al RAIS, pues tal situación quedó demostrada con el interrogatorio de parte por él absuelto. Si lo anterior no fuera suficiente, existe una negación indefinida consistente en que al accionante no se le brindó la información suficiente que le permitiera tomar una decisión consciente, lo que significa que la carga de la prueba se invierte, </w:t>
      </w:r>
      <w:r w:rsidR="007446D9" w:rsidRPr="00672A4E">
        <w:rPr>
          <w:rFonts w:ascii="Arial" w:hAnsi="Arial" w:cs="Arial"/>
          <w:spacing w:val="2"/>
          <w:sz w:val="24"/>
          <w:szCs w:val="24"/>
        </w:rPr>
        <w:t xml:space="preserve">correspondiéndole a la AFP demostrar que no fue así, situación que no acontece en este caso. En </w:t>
      </w:r>
      <w:r w:rsidR="007446D9" w:rsidRPr="00672A4E">
        <w:rPr>
          <w:rFonts w:ascii="Arial" w:hAnsi="Arial" w:cs="Arial"/>
          <w:spacing w:val="2"/>
          <w:sz w:val="24"/>
          <w:szCs w:val="24"/>
        </w:rPr>
        <w:lastRenderedPageBreak/>
        <w:t>cuanto al perjuicio, basta mirar que el señor Sánchez Montoya se le proyectó un IBL de $10.996.427, que en el RAIS le genera una mesada pensional de tan solo $3.967.000, ni siquiera el 50% de ese IBL, mientras que si a ese IBL se le aplica la tasa de reemplazo que obtendría en el RPM, su mesada pensional equivaldría a la suma de $8.010.645,93 quedando demostrado de esta manera el perjuicio que se le ha causado al demandante con el traslado al RAIS.</w:t>
      </w:r>
    </w:p>
    <w:p w:rsidR="007446D9" w:rsidRPr="00672A4E" w:rsidRDefault="007446D9" w:rsidP="0063386F">
      <w:pPr>
        <w:spacing w:after="0"/>
        <w:jc w:val="both"/>
        <w:rPr>
          <w:rFonts w:ascii="Arial" w:hAnsi="Arial" w:cs="Arial"/>
          <w:spacing w:val="2"/>
          <w:sz w:val="24"/>
          <w:szCs w:val="24"/>
        </w:rPr>
      </w:pPr>
    </w:p>
    <w:p w:rsidR="00BC3EB6" w:rsidRPr="00672A4E" w:rsidRDefault="00BC3EB6" w:rsidP="0063386F">
      <w:pPr>
        <w:spacing w:after="0"/>
        <w:jc w:val="both"/>
        <w:rPr>
          <w:rFonts w:ascii="Arial" w:hAnsi="Arial" w:cs="Arial"/>
          <w:spacing w:val="2"/>
          <w:sz w:val="24"/>
          <w:szCs w:val="24"/>
        </w:rPr>
      </w:pPr>
      <w:r w:rsidRPr="00672A4E">
        <w:rPr>
          <w:rFonts w:ascii="Arial" w:hAnsi="Arial" w:cs="Arial"/>
          <w:spacing w:val="2"/>
          <w:sz w:val="24"/>
          <w:szCs w:val="24"/>
        </w:rPr>
        <w:t xml:space="preserve">En este estado se corre traslado a </w:t>
      </w:r>
      <w:r w:rsidR="00960D0D" w:rsidRPr="00672A4E">
        <w:rPr>
          <w:rFonts w:ascii="Arial" w:hAnsi="Arial" w:cs="Arial"/>
          <w:spacing w:val="2"/>
          <w:sz w:val="24"/>
          <w:szCs w:val="24"/>
        </w:rPr>
        <w:t>los asistentes</w:t>
      </w:r>
      <w:r w:rsidRPr="00672A4E">
        <w:rPr>
          <w:rFonts w:ascii="Arial" w:hAnsi="Arial" w:cs="Arial"/>
          <w:spacing w:val="2"/>
          <w:sz w:val="24"/>
          <w:szCs w:val="24"/>
        </w:rPr>
        <w:t xml:space="preserve"> para que presenten sus alegatos.</w:t>
      </w:r>
    </w:p>
    <w:p w:rsidR="00BC3EB6" w:rsidRPr="00672A4E" w:rsidRDefault="00BC3EB6" w:rsidP="0063386F">
      <w:pPr>
        <w:spacing w:after="0"/>
        <w:jc w:val="both"/>
        <w:rPr>
          <w:rFonts w:ascii="Arial" w:hAnsi="Arial" w:cs="Arial"/>
          <w:spacing w:val="2"/>
          <w:sz w:val="24"/>
          <w:szCs w:val="24"/>
        </w:rPr>
      </w:pPr>
    </w:p>
    <w:p w:rsidR="00B0329A" w:rsidRPr="00672A4E" w:rsidRDefault="00BC3EB6" w:rsidP="0063386F">
      <w:pPr>
        <w:spacing w:after="0"/>
        <w:jc w:val="both"/>
        <w:rPr>
          <w:rFonts w:ascii="Arial" w:hAnsi="Arial" w:cs="Arial"/>
          <w:spacing w:val="2"/>
          <w:sz w:val="24"/>
          <w:szCs w:val="24"/>
        </w:rPr>
      </w:pPr>
      <w:r w:rsidRPr="00672A4E">
        <w:rPr>
          <w:rFonts w:ascii="Arial" w:hAnsi="Arial" w:cs="Arial"/>
          <w:spacing w:val="2"/>
          <w:sz w:val="24"/>
          <w:szCs w:val="24"/>
        </w:rPr>
        <w:t xml:space="preserve">Oídas las argumentaciones a esta Sala de Decisión le corresponde </w:t>
      </w:r>
      <w:r w:rsidR="001A6288" w:rsidRPr="00672A4E">
        <w:rPr>
          <w:rFonts w:ascii="Arial" w:hAnsi="Arial" w:cs="Arial"/>
          <w:spacing w:val="2"/>
          <w:sz w:val="24"/>
          <w:szCs w:val="24"/>
        </w:rPr>
        <w:t xml:space="preserve">resolver los siguientes </w:t>
      </w:r>
      <w:r w:rsidRPr="00672A4E">
        <w:rPr>
          <w:rFonts w:ascii="Arial" w:hAnsi="Arial" w:cs="Arial"/>
          <w:b/>
          <w:i/>
          <w:spacing w:val="2"/>
          <w:sz w:val="24"/>
          <w:szCs w:val="24"/>
        </w:rPr>
        <w:t>PROBLEMA</w:t>
      </w:r>
      <w:r w:rsidR="001A6288" w:rsidRPr="00672A4E">
        <w:rPr>
          <w:rFonts w:ascii="Arial" w:hAnsi="Arial" w:cs="Arial"/>
          <w:b/>
          <w:i/>
          <w:spacing w:val="2"/>
          <w:sz w:val="24"/>
          <w:szCs w:val="24"/>
        </w:rPr>
        <w:t>S</w:t>
      </w:r>
      <w:r w:rsidRPr="00672A4E">
        <w:rPr>
          <w:rFonts w:ascii="Arial" w:hAnsi="Arial" w:cs="Arial"/>
          <w:b/>
          <w:i/>
          <w:spacing w:val="2"/>
          <w:sz w:val="24"/>
          <w:szCs w:val="24"/>
        </w:rPr>
        <w:t xml:space="preserve"> </w:t>
      </w:r>
      <w:r w:rsidR="001A6288" w:rsidRPr="00672A4E">
        <w:rPr>
          <w:rFonts w:ascii="Arial" w:hAnsi="Arial" w:cs="Arial"/>
          <w:b/>
          <w:i/>
          <w:spacing w:val="2"/>
          <w:sz w:val="24"/>
          <w:szCs w:val="24"/>
        </w:rPr>
        <w:t>JURIDICOS:</w:t>
      </w:r>
    </w:p>
    <w:p w:rsidR="00B0329A" w:rsidRPr="00672A4E" w:rsidRDefault="00B0329A" w:rsidP="0063386F">
      <w:pPr>
        <w:pStyle w:val="Textoindependiente"/>
        <w:spacing w:line="276" w:lineRule="auto"/>
        <w:ind w:left="720" w:right="618"/>
        <w:rPr>
          <w:rFonts w:cs="Arial"/>
          <w:b/>
          <w:i/>
          <w:iCs/>
          <w:spacing w:val="2"/>
          <w:sz w:val="24"/>
          <w:szCs w:val="24"/>
        </w:rPr>
      </w:pPr>
    </w:p>
    <w:p w:rsidR="001D6744" w:rsidRPr="00672A4E" w:rsidRDefault="001D6744" w:rsidP="0063386F">
      <w:pPr>
        <w:pStyle w:val="Textoindependiente"/>
        <w:spacing w:line="276" w:lineRule="auto"/>
        <w:ind w:left="720" w:right="618"/>
        <w:rPr>
          <w:rFonts w:cs="Arial"/>
          <w:b/>
          <w:i/>
          <w:iCs/>
          <w:spacing w:val="2"/>
          <w:sz w:val="24"/>
          <w:szCs w:val="24"/>
        </w:rPr>
      </w:pPr>
      <w:r w:rsidRPr="00672A4E">
        <w:rPr>
          <w:rFonts w:cs="Arial"/>
          <w:b/>
          <w:i/>
          <w:iCs/>
          <w:spacing w:val="2"/>
          <w:sz w:val="24"/>
          <w:szCs w:val="24"/>
        </w:rPr>
        <w:t>¿</w:t>
      </w:r>
      <w:r w:rsidR="00E84862" w:rsidRPr="00672A4E">
        <w:rPr>
          <w:rFonts w:cs="Arial"/>
          <w:b/>
          <w:i/>
          <w:iCs/>
          <w:spacing w:val="2"/>
          <w:sz w:val="24"/>
          <w:szCs w:val="24"/>
        </w:rPr>
        <w:t xml:space="preserve">Hay lugar a declarar ineficaz la afiliación </w:t>
      </w:r>
      <w:r w:rsidR="00601E82" w:rsidRPr="00672A4E">
        <w:rPr>
          <w:rFonts w:cs="Arial"/>
          <w:b/>
          <w:i/>
          <w:iCs/>
          <w:spacing w:val="2"/>
          <w:sz w:val="24"/>
          <w:szCs w:val="24"/>
        </w:rPr>
        <w:t>de</w:t>
      </w:r>
      <w:r w:rsidR="007446D9" w:rsidRPr="00672A4E">
        <w:rPr>
          <w:rFonts w:cs="Arial"/>
          <w:b/>
          <w:i/>
          <w:iCs/>
          <w:spacing w:val="2"/>
          <w:sz w:val="24"/>
          <w:szCs w:val="24"/>
        </w:rPr>
        <w:t xml:space="preserve">l señor Francisco Javier Sánchez Montoya </w:t>
      </w:r>
      <w:r w:rsidR="00E84862" w:rsidRPr="00672A4E">
        <w:rPr>
          <w:rFonts w:cs="Arial"/>
          <w:b/>
          <w:i/>
          <w:iCs/>
          <w:spacing w:val="2"/>
          <w:sz w:val="24"/>
          <w:szCs w:val="24"/>
        </w:rPr>
        <w:t>al Régimen de Ahorro Individual con Solidaridad</w:t>
      </w:r>
      <w:r w:rsidRPr="00672A4E">
        <w:rPr>
          <w:rFonts w:cs="Arial"/>
          <w:b/>
          <w:i/>
          <w:iCs/>
          <w:spacing w:val="2"/>
          <w:sz w:val="24"/>
          <w:szCs w:val="24"/>
        </w:rPr>
        <w:t xml:space="preserve">? </w:t>
      </w:r>
    </w:p>
    <w:p w:rsidR="001D6744" w:rsidRPr="00672A4E" w:rsidRDefault="001D6744" w:rsidP="0063386F">
      <w:pPr>
        <w:pStyle w:val="Textoindependiente"/>
        <w:spacing w:line="276" w:lineRule="auto"/>
        <w:ind w:left="720" w:right="618"/>
        <w:rPr>
          <w:rFonts w:cs="Arial"/>
          <w:b/>
          <w:i/>
          <w:iCs/>
          <w:spacing w:val="2"/>
          <w:sz w:val="24"/>
          <w:szCs w:val="24"/>
        </w:rPr>
      </w:pPr>
    </w:p>
    <w:p w:rsidR="00A07733" w:rsidRPr="00672A4E" w:rsidRDefault="00513552" w:rsidP="0063386F">
      <w:pPr>
        <w:pStyle w:val="Textoindependiente"/>
        <w:spacing w:line="276" w:lineRule="auto"/>
        <w:ind w:right="51"/>
        <w:rPr>
          <w:rFonts w:cs="Arial"/>
          <w:iCs/>
          <w:spacing w:val="2"/>
          <w:sz w:val="24"/>
          <w:szCs w:val="24"/>
        </w:rPr>
      </w:pPr>
      <w:r w:rsidRPr="00672A4E">
        <w:rPr>
          <w:rFonts w:cs="Arial"/>
          <w:iCs/>
          <w:spacing w:val="2"/>
          <w:sz w:val="24"/>
          <w:szCs w:val="24"/>
        </w:rPr>
        <w:t>Con</w:t>
      </w:r>
      <w:r w:rsidR="00EB1E76" w:rsidRPr="00672A4E">
        <w:rPr>
          <w:rFonts w:cs="Arial"/>
          <w:iCs/>
          <w:spacing w:val="2"/>
          <w:sz w:val="24"/>
          <w:szCs w:val="24"/>
        </w:rPr>
        <w:t xml:space="preserve"> </w:t>
      </w:r>
      <w:r w:rsidR="00961C18" w:rsidRPr="00672A4E">
        <w:rPr>
          <w:rFonts w:cs="Arial"/>
          <w:iCs/>
          <w:spacing w:val="2"/>
          <w:sz w:val="24"/>
          <w:szCs w:val="24"/>
        </w:rPr>
        <w:t>el propósito de dar solución al</w:t>
      </w:r>
      <w:r w:rsidRPr="00672A4E">
        <w:rPr>
          <w:rFonts w:cs="Arial"/>
          <w:iCs/>
          <w:spacing w:val="2"/>
          <w:sz w:val="24"/>
          <w:szCs w:val="24"/>
        </w:rPr>
        <w:t xml:space="preserve"> interrogante en el caso concreto, </w:t>
      </w:r>
      <w:smartTag w:uri="urn:schemas-microsoft-com:office:smarttags" w:element="PersonName">
        <w:smartTagPr>
          <w:attr w:name="ProductID" w:val="la Sala"/>
        </w:smartTagPr>
        <w:r w:rsidRPr="00672A4E">
          <w:rPr>
            <w:rFonts w:cs="Arial"/>
            <w:iCs/>
            <w:spacing w:val="2"/>
            <w:sz w:val="24"/>
            <w:szCs w:val="24"/>
          </w:rPr>
          <w:t>la Sala</w:t>
        </w:r>
      </w:smartTag>
      <w:r w:rsidRPr="00672A4E">
        <w:rPr>
          <w:rFonts w:cs="Arial"/>
          <w:iCs/>
          <w:spacing w:val="2"/>
          <w:sz w:val="24"/>
          <w:szCs w:val="24"/>
        </w:rPr>
        <w:t xml:space="preserve"> c</w:t>
      </w:r>
      <w:r w:rsidR="00843276" w:rsidRPr="00672A4E">
        <w:rPr>
          <w:rFonts w:cs="Arial"/>
          <w:iCs/>
          <w:spacing w:val="2"/>
          <w:sz w:val="24"/>
          <w:szCs w:val="24"/>
        </w:rPr>
        <w:t xml:space="preserve">onsidera necesario precisar, </w:t>
      </w:r>
      <w:r w:rsidR="00961C18" w:rsidRPr="00672A4E">
        <w:rPr>
          <w:rFonts w:cs="Arial"/>
          <w:iCs/>
          <w:spacing w:val="2"/>
          <w:sz w:val="24"/>
          <w:szCs w:val="24"/>
        </w:rPr>
        <w:t>el</w:t>
      </w:r>
      <w:r w:rsidR="001D6744" w:rsidRPr="00672A4E">
        <w:rPr>
          <w:rFonts w:cs="Arial"/>
          <w:iCs/>
          <w:spacing w:val="2"/>
          <w:sz w:val="24"/>
          <w:szCs w:val="24"/>
        </w:rPr>
        <w:t xml:space="preserve"> siguiente aspecto</w:t>
      </w:r>
      <w:r w:rsidRPr="00672A4E">
        <w:rPr>
          <w:rFonts w:cs="Arial"/>
          <w:iCs/>
          <w:spacing w:val="2"/>
          <w:sz w:val="24"/>
          <w:szCs w:val="24"/>
        </w:rPr>
        <w:t>:</w:t>
      </w:r>
    </w:p>
    <w:p w:rsidR="006C052C" w:rsidRPr="00672A4E" w:rsidRDefault="006C052C" w:rsidP="0063386F">
      <w:pPr>
        <w:pStyle w:val="Textoindependiente"/>
        <w:spacing w:line="276" w:lineRule="auto"/>
        <w:ind w:right="51"/>
        <w:rPr>
          <w:rFonts w:cs="Arial"/>
          <w:iCs/>
          <w:spacing w:val="2"/>
          <w:sz w:val="24"/>
          <w:szCs w:val="24"/>
        </w:rPr>
      </w:pPr>
    </w:p>
    <w:p w:rsidR="00A2153C" w:rsidRPr="00672A4E" w:rsidRDefault="00A2153C" w:rsidP="0063386F">
      <w:pPr>
        <w:spacing w:after="0"/>
        <w:ind w:right="51"/>
        <w:jc w:val="both"/>
        <w:rPr>
          <w:rFonts w:ascii="Arial" w:eastAsia="Times New Roman" w:hAnsi="Arial" w:cs="Arial"/>
          <w:b/>
          <w:iCs/>
          <w:spacing w:val="2"/>
          <w:sz w:val="24"/>
          <w:szCs w:val="24"/>
          <w:lang w:val="es-ES_tradnl" w:eastAsia="es-ES"/>
        </w:rPr>
      </w:pPr>
      <w:r w:rsidRPr="00672A4E">
        <w:rPr>
          <w:rFonts w:ascii="Arial" w:eastAsia="Times New Roman" w:hAnsi="Arial" w:cs="Arial"/>
          <w:b/>
          <w:iCs/>
          <w:spacing w:val="2"/>
          <w:sz w:val="24"/>
          <w:szCs w:val="24"/>
          <w:lang w:val="es-ES_tradnl" w:eastAsia="es-ES"/>
        </w:rPr>
        <w:t>INEFICACIA DE LA AFILIACION AL REGIMEN DE AHORRO INDIVIDUAL CON SOLIDARIDAD.</w:t>
      </w:r>
    </w:p>
    <w:p w:rsidR="00A2153C" w:rsidRPr="00672A4E" w:rsidRDefault="00A2153C" w:rsidP="0063386F">
      <w:pPr>
        <w:spacing w:after="0"/>
        <w:ind w:right="51"/>
        <w:jc w:val="both"/>
        <w:rPr>
          <w:rFonts w:ascii="Arial" w:eastAsia="Times New Roman" w:hAnsi="Arial" w:cs="Arial"/>
          <w:b/>
          <w:iCs/>
          <w:spacing w:val="2"/>
          <w:sz w:val="24"/>
          <w:szCs w:val="24"/>
          <w:lang w:val="es-ES_tradnl" w:eastAsia="es-ES"/>
        </w:rPr>
      </w:pPr>
    </w:p>
    <w:p w:rsidR="00A2153C" w:rsidRPr="00672A4E" w:rsidRDefault="00A2153C" w:rsidP="0063386F">
      <w:pPr>
        <w:spacing w:after="0"/>
        <w:ind w:right="51"/>
        <w:jc w:val="both"/>
        <w:rPr>
          <w:rFonts w:ascii="Arial" w:eastAsia="Times New Roman" w:hAnsi="Arial" w:cs="Arial"/>
          <w:iCs/>
          <w:spacing w:val="2"/>
          <w:sz w:val="24"/>
          <w:szCs w:val="24"/>
          <w:lang w:val="es-ES_tradnl" w:eastAsia="es-ES"/>
        </w:rPr>
      </w:pPr>
      <w:r w:rsidRPr="00672A4E">
        <w:rPr>
          <w:rFonts w:ascii="Arial" w:eastAsia="Times New Roman" w:hAnsi="Arial" w:cs="Arial"/>
          <w:iCs/>
          <w:spacing w:val="2"/>
          <w:sz w:val="24"/>
          <w:szCs w:val="24"/>
          <w:lang w:val="es-ES_tradnl" w:eastAsia="es-ES"/>
        </w:rPr>
        <w:t>La Sala de Casación Laboral mediante sentencia SL12136 de 3 de septiembre de 2014 radicación Nº 46.292 con ponencia de la Magistrada Elsy del Pilar Cuello Calderón, determinó con base en lo previsto en los artículos 13 literal b) y 271 de la Ley 100 de 1993, que cuando se presenten controversias frente a los traslados entre el régimen de prima media con prestación definida y el de ahorro individual con solidaridad, lo que debe analizarse es si el acto jurídico que lo generó resulta o no eficaz.</w:t>
      </w:r>
    </w:p>
    <w:p w:rsidR="00A2153C" w:rsidRPr="00672A4E" w:rsidRDefault="00A2153C" w:rsidP="0063386F">
      <w:pPr>
        <w:spacing w:after="0"/>
        <w:ind w:right="51"/>
        <w:jc w:val="both"/>
        <w:rPr>
          <w:rFonts w:ascii="Arial" w:eastAsia="Times New Roman" w:hAnsi="Arial" w:cs="Arial"/>
          <w:iCs/>
          <w:spacing w:val="2"/>
          <w:sz w:val="24"/>
          <w:szCs w:val="24"/>
          <w:lang w:val="es-ES_tradnl" w:eastAsia="es-ES"/>
        </w:rPr>
      </w:pPr>
    </w:p>
    <w:p w:rsidR="00A2153C" w:rsidRPr="00672A4E" w:rsidRDefault="00A2153C" w:rsidP="0063386F">
      <w:pPr>
        <w:spacing w:after="0"/>
        <w:ind w:right="51"/>
        <w:jc w:val="both"/>
        <w:rPr>
          <w:rFonts w:ascii="Arial" w:eastAsia="Times New Roman" w:hAnsi="Arial" w:cs="Arial"/>
          <w:iCs/>
          <w:spacing w:val="2"/>
          <w:sz w:val="24"/>
          <w:szCs w:val="24"/>
          <w:lang w:val="es-ES_tradnl" w:eastAsia="es-ES"/>
        </w:rPr>
      </w:pPr>
      <w:r w:rsidRPr="00672A4E">
        <w:rPr>
          <w:rFonts w:ascii="Arial" w:eastAsia="Times New Roman" w:hAnsi="Arial" w:cs="Arial"/>
          <w:iCs/>
          <w:spacing w:val="2"/>
          <w:sz w:val="24"/>
          <w:szCs w:val="24"/>
          <w:lang w:val="es-ES_tradnl" w:eastAsia="es-ES"/>
        </w:rPr>
        <w:t>En efecto, establece el literal b) del artículo 13 de la Ley 100 de 1993 que la selección de uno cualquiera de los regímenes pensionales previstos en ese cuerpo normativo debe ser libre y voluntaria por parte del afiliado, pues de desconocerse ese derecho en cualquier forma, se aplicará lo dispuesto en el artículo 271 ibídem, que prevé que de atentarse en cualquier forma contra el derecho del trabajador a su afiliación y selección de organismos e instituciones del sistema de seguridad social integral se hará acreedor a una multa impuesta por las autoridades del Ministerio de Trabajo y Seguridad Social o del Ministerio de Salud, que no podrá ser inferior a un salario mínimo legal mensual vigente ni exceder cincuenta veces dicho salario, y en todo caso dicha afiliación quedará sin efecto y podrá realizarse nuevamente en forma libre y espontánea por parte del trabajador, es decir, que esa afiliación deviene ineficaz.</w:t>
      </w:r>
    </w:p>
    <w:p w:rsidR="00A2153C" w:rsidRPr="00672A4E" w:rsidRDefault="00A2153C" w:rsidP="0063386F">
      <w:pPr>
        <w:spacing w:after="0"/>
        <w:ind w:right="51"/>
        <w:jc w:val="both"/>
        <w:rPr>
          <w:rFonts w:ascii="Arial" w:eastAsia="Times New Roman" w:hAnsi="Arial" w:cs="Arial"/>
          <w:iCs/>
          <w:spacing w:val="2"/>
          <w:sz w:val="24"/>
          <w:szCs w:val="24"/>
          <w:lang w:val="es-ES_tradnl" w:eastAsia="es-ES"/>
        </w:rPr>
      </w:pPr>
    </w:p>
    <w:p w:rsidR="00A2153C" w:rsidRPr="00672A4E" w:rsidRDefault="00A2153C" w:rsidP="0063386F">
      <w:pPr>
        <w:spacing w:after="0"/>
        <w:ind w:right="51"/>
        <w:jc w:val="both"/>
        <w:rPr>
          <w:rFonts w:ascii="Arial" w:eastAsia="Times New Roman" w:hAnsi="Arial" w:cs="Arial"/>
          <w:iCs/>
          <w:spacing w:val="2"/>
          <w:sz w:val="24"/>
          <w:szCs w:val="24"/>
          <w:lang w:val="es-ES_tradnl" w:eastAsia="es-ES"/>
        </w:rPr>
      </w:pPr>
      <w:r w:rsidRPr="00672A4E">
        <w:rPr>
          <w:rFonts w:ascii="Arial" w:eastAsia="Times New Roman" w:hAnsi="Arial" w:cs="Arial"/>
          <w:iCs/>
          <w:spacing w:val="2"/>
          <w:sz w:val="24"/>
          <w:szCs w:val="24"/>
          <w:lang w:val="es-ES_tradnl" w:eastAsia="es-ES"/>
        </w:rPr>
        <w:t xml:space="preserve">Frente </w:t>
      </w:r>
      <w:r w:rsidR="00212A59" w:rsidRPr="00672A4E">
        <w:rPr>
          <w:rFonts w:ascii="Arial" w:eastAsia="Times New Roman" w:hAnsi="Arial" w:cs="Arial"/>
          <w:iCs/>
          <w:spacing w:val="2"/>
          <w:sz w:val="24"/>
          <w:szCs w:val="24"/>
          <w:lang w:val="es-ES_tradnl" w:eastAsia="es-ES"/>
        </w:rPr>
        <w:t>al tema</w:t>
      </w:r>
      <w:r w:rsidRPr="00672A4E">
        <w:rPr>
          <w:rFonts w:ascii="Arial" w:eastAsia="Times New Roman" w:hAnsi="Arial" w:cs="Arial"/>
          <w:iCs/>
          <w:spacing w:val="2"/>
          <w:sz w:val="24"/>
          <w:szCs w:val="24"/>
          <w:lang w:val="es-ES_tradnl" w:eastAsia="es-ES"/>
        </w:rPr>
        <w:t xml:space="preserve">, expresó el máximo órgano de la jurisdicción ordinaria laboral en la sentencia en cita, que cuando se trate de afiliados beneficiarios del régimen de </w:t>
      </w:r>
      <w:r w:rsidRPr="00672A4E">
        <w:rPr>
          <w:rFonts w:ascii="Arial" w:eastAsia="Times New Roman" w:hAnsi="Arial" w:cs="Arial"/>
          <w:iCs/>
          <w:spacing w:val="2"/>
          <w:sz w:val="24"/>
          <w:szCs w:val="24"/>
          <w:lang w:val="es-ES_tradnl" w:eastAsia="es-ES"/>
        </w:rPr>
        <w:lastRenderedPageBreak/>
        <w:t>transición establecido en el artículo 36 de la Ley 100 de 1993, resulta perentorio establecer si la respectiva administradora produjo el traslado en términos de eficacia, informándole las consecuencias que le traería el traslado, que no es otra diferente que la de la pérdida del régimen transicional; lo cual explica en los siguientes términos:</w:t>
      </w:r>
    </w:p>
    <w:p w:rsidR="00A2153C" w:rsidRPr="00672A4E" w:rsidRDefault="00A2153C" w:rsidP="0063386F">
      <w:pPr>
        <w:spacing w:after="0"/>
        <w:ind w:right="51"/>
        <w:jc w:val="both"/>
        <w:rPr>
          <w:rFonts w:ascii="Arial" w:eastAsia="Times New Roman" w:hAnsi="Arial" w:cs="Arial"/>
          <w:iCs/>
          <w:spacing w:val="2"/>
          <w:sz w:val="24"/>
          <w:szCs w:val="24"/>
          <w:lang w:val="es-ES_tradnl" w:eastAsia="es-ES"/>
        </w:rPr>
      </w:pPr>
    </w:p>
    <w:p w:rsidR="00A2153C" w:rsidRPr="00672A4E" w:rsidRDefault="00A2153C" w:rsidP="000369B6">
      <w:pPr>
        <w:spacing w:after="0" w:line="240" w:lineRule="auto"/>
        <w:ind w:left="426" w:right="420"/>
        <w:jc w:val="both"/>
        <w:rPr>
          <w:rFonts w:ascii="Arial" w:eastAsia="Times New Roman" w:hAnsi="Arial" w:cs="Arial"/>
          <w:i/>
          <w:iCs/>
          <w:spacing w:val="2"/>
          <w:szCs w:val="24"/>
          <w:lang w:val="es-ES_tradnl" w:eastAsia="es-ES"/>
        </w:rPr>
      </w:pPr>
      <w:r w:rsidRPr="00672A4E">
        <w:rPr>
          <w:rFonts w:ascii="Arial" w:eastAsia="Times New Roman" w:hAnsi="Arial" w:cs="Arial"/>
          <w:i/>
          <w:iCs/>
          <w:spacing w:val="2"/>
          <w:szCs w:val="24"/>
          <w:lang w:val="es-ES_tradnl" w:eastAsia="es-ES"/>
        </w:rPr>
        <w:t>“El juez no puede pasar inadvertidas falencias informativas, menos considerar que ello no es de su resorte, pues es claro que cuando quien acude a la jurisdicción reclama que se le respete el régimen de transición, indiscutiblemente, como se anotó, surge la perentoriedad de estudiar los elementos estructurales para que el mismo opere, es decir, debe constatar que el traslado se produjo en términos de eficacia, para luego, determinar las consecuencias propias.</w:t>
      </w:r>
    </w:p>
    <w:p w:rsidR="00A2153C" w:rsidRPr="00672A4E" w:rsidRDefault="00A2153C" w:rsidP="000369B6">
      <w:pPr>
        <w:spacing w:after="0" w:line="240" w:lineRule="auto"/>
        <w:ind w:left="426" w:right="420"/>
        <w:jc w:val="both"/>
        <w:rPr>
          <w:rFonts w:ascii="Arial" w:eastAsia="Times New Roman" w:hAnsi="Arial" w:cs="Arial"/>
          <w:i/>
          <w:iCs/>
          <w:spacing w:val="2"/>
          <w:szCs w:val="24"/>
          <w:lang w:val="es-ES_tradnl" w:eastAsia="es-ES"/>
        </w:rPr>
      </w:pPr>
    </w:p>
    <w:p w:rsidR="00A2153C" w:rsidRPr="00672A4E" w:rsidRDefault="00A2153C" w:rsidP="000369B6">
      <w:pPr>
        <w:spacing w:after="0" w:line="240" w:lineRule="auto"/>
        <w:ind w:left="426" w:right="420"/>
        <w:jc w:val="both"/>
        <w:rPr>
          <w:rFonts w:ascii="Arial" w:eastAsia="Times New Roman" w:hAnsi="Arial" w:cs="Arial"/>
          <w:i/>
          <w:iCs/>
          <w:spacing w:val="2"/>
          <w:szCs w:val="24"/>
          <w:lang w:val="es-ES_tradnl" w:eastAsia="es-ES"/>
        </w:rPr>
      </w:pPr>
      <w:r w:rsidRPr="00672A4E">
        <w:rPr>
          <w:rFonts w:ascii="Arial" w:eastAsia="Times New Roman" w:hAnsi="Arial" w:cs="Arial"/>
          <w:i/>
          <w:iCs/>
          <w:spacing w:val="2"/>
          <w:szCs w:val="24"/>
          <w:lang w:val="es-ES_tradnl" w:eastAsia="es-ES"/>
        </w:rPr>
        <w:t>En ese orden se clarifica con esta decisión que cuando lo que se discuta sea el traslado de regímenes, que conlleve a la pérdida de la transición, al juzgador no solo le corresponde determinar si aquella se respeta por contar con los 15 años de servicio a la entrada de vigencia de la Ley 100 de 1993, esto es el 1° de abril de 1994, sino que 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p>
    <w:p w:rsidR="00A2153C" w:rsidRPr="00672A4E" w:rsidRDefault="00A2153C" w:rsidP="0063386F">
      <w:pPr>
        <w:spacing w:after="0"/>
        <w:jc w:val="both"/>
        <w:rPr>
          <w:rFonts w:ascii="Arial" w:eastAsia="Times New Roman" w:hAnsi="Arial" w:cs="Arial"/>
          <w:iCs/>
          <w:spacing w:val="2"/>
          <w:sz w:val="24"/>
          <w:szCs w:val="24"/>
          <w:lang w:val="es-ES_tradnl" w:eastAsia="es-ES"/>
        </w:rPr>
      </w:pPr>
    </w:p>
    <w:p w:rsidR="00212A59" w:rsidRPr="00672A4E" w:rsidRDefault="00212A59" w:rsidP="0063386F">
      <w:pPr>
        <w:spacing w:after="0"/>
        <w:jc w:val="both"/>
        <w:rPr>
          <w:rFonts w:ascii="Arial" w:eastAsia="Times New Roman" w:hAnsi="Arial" w:cs="Arial"/>
          <w:iCs/>
          <w:spacing w:val="2"/>
          <w:sz w:val="24"/>
          <w:szCs w:val="24"/>
          <w:lang w:val="es-ES_tradnl" w:eastAsia="es-ES"/>
        </w:rPr>
      </w:pPr>
      <w:r w:rsidRPr="00672A4E">
        <w:rPr>
          <w:rFonts w:ascii="Arial" w:eastAsia="Times New Roman" w:hAnsi="Arial" w:cs="Arial"/>
          <w:iCs/>
          <w:spacing w:val="2"/>
          <w:sz w:val="24"/>
          <w:szCs w:val="24"/>
          <w:lang w:val="es-ES_tradnl" w:eastAsia="es-ES"/>
        </w:rPr>
        <w:t xml:space="preserve">Nótese que en tales circunstancias, esto es, cuando está en juego por el traslado </w:t>
      </w:r>
      <w:r w:rsidR="008B0336" w:rsidRPr="00672A4E">
        <w:rPr>
          <w:rFonts w:ascii="Arial" w:eastAsia="Times New Roman" w:hAnsi="Arial" w:cs="Arial"/>
          <w:iCs/>
          <w:spacing w:val="2"/>
          <w:sz w:val="24"/>
          <w:szCs w:val="24"/>
          <w:lang w:val="es-ES_tradnl" w:eastAsia="es-ES"/>
        </w:rPr>
        <w:t>la posible pérdida</w:t>
      </w:r>
      <w:r w:rsidRPr="00672A4E">
        <w:rPr>
          <w:rFonts w:ascii="Arial" w:eastAsia="Times New Roman" w:hAnsi="Arial" w:cs="Arial"/>
          <w:iCs/>
          <w:spacing w:val="2"/>
          <w:sz w:val="24"/>
          <w:szCs w:val="24"/>
          <w:lang w:val="es-ES_tradnl" w:eastAsia="es-ES"/>
        </w:rPr>
        <w:t xml:space="preserve"> de la transición</w:t>
      </w:r>
      <w:r w:rsidR="008B0336" w:rsidRPr="00672A4E">
        <w:rPr>
          <w:rFonts w:ascii="Arial" w:eastAsia="Times New Roman" w:hAnsi="Arial" w:cs="Arial"/>
          <w:iCs/>
          <w:spacing w:val="2"/>
          <w:sz w:val="24"/>
          <w:szCs w:val="24"/>
          <w:lang w:val="es-ES_tradnl" w:eastAsia="es-ES"/>
        </w:rPr>
        <w:t xml:space="preserve"> –por los beneficios que esta conlleva-</w:t>
      </w:r>
      <w:r w:rsidRPr="00672A4E">
        <w:rPr>
          <w:rFonts w:ascii="Arial" w:eastAsia="Times New Roman" w:hAnsi="Arial" w:cs="Arial"/>
          <w:iCs/>
          <w:spacing w:val="2"/>
          <w:sz w:val="24"/>
          <w:szCs w:val="24"/>
          <w:lang w:val="es-ES_tradnl" w:eastAsia="es-ES"/>
        </w:rPr>
        <w:t>, la carga de la prueba de haber ofrecido al usuario la información necesaria para tomar una decisión libre y voluntaria, radica en cabeza de la administradora, sin embargo, cuando se trate de afiliados que no ostenten la calidad de beneficiarios del régimen de transición, la carga de la prueba, de los motivos que se alega</w:t>
      </w:r>
      <w:r w:rsidR="008B0336" w:rsidRPr="00672A4E">
        <w:rPr>
          <w:rFonts w:ascii="Arial" w:eastAsia="Times New Roman" w:hAnsi="Arial" w:cs="Arial"/>
          <w:iCs/>
          <w:spacing w:val="2"/>
          <w:sz w:val="24"/>
          <w:szCs w:val="24"/>
          <w:lang w:val="es-ES_tradnl" w:eastAsia="es-ES"/>
        </w:rPr>
        <w:t>n</w:t>
      </w:r>
      <w:r w:rsidRPr="00672A4E">
        <w:rPr>
          <w:rFonts w:ascii="Arial" w:eastAsia="Times New Roman" w:hAnsi="Arial" w:cs="Arial"/>
          <w:iCs/>
          <w:spacing w:val="2"/>
          <w:sz w:val="24"/>
          <w:szCs w:val="24"/>
          <w:lang w:val="es-ES_tradnl" w:eastAsia="es-ES"/>
        </w:rPr>
        <w:t xml:space="preserve"> </w:t>
      </w:r>
      <w:r w:rsidR="008B0336" w:rsidRPr="00672A4E">
        <w:rPr>
          <w:rFonts w:ascii="Arial" w:eastAsia="Times New Roman" w:hAnsi="Arial" w:cs="Arial"/>
          <w:iCs/>
          <w:spacing w:val="2"/>
          <w:sz w:val="24"/>
          <w:szCs w:val="24"/>
          <w:lang w:val="es-ES_tradnl" w:eastAsia="es-ES"/>
        </w:rPr>
        <w:t>como causas</w:t>
      </w:r>
      <w:r w:rsidRPr="00672A4E">
        <w:rPr>
          <w:rFonts w:ascii="Arial" w:eastAsia="Times New Roman" w:hAnsi="Arial" w:cs="Arial"/>
          <w:iCs/>
          <w:spacing w:val="2"/>
          <w:sz w:val="24"/>
          <w:szCs w:val="24"/>
          <w:lang w:val="es-ES_tradnl" w:eastAsia="es-ES"/>
        </w:rPr>
        <w:t xml:space="preserve"> la ineficacia del traslado, le corresponde a quien los invoca, sin que -con el objeto de trasladar la carga probatoria a la administradora- le baste </w:t>
      </w:r>
      <w:r w:rsidR="008B0336" w:rsidRPr="00672A4E">
        <w:rPr>
          <w:rFonts w:ascii="Arial" w:eastAsia="Times New Roman" w:hAnsi="Arial" w:cs="Arial"/>
          <w:iCs/>
          <w:spacing w:val="2"/>
          <w:sz w:val="24"/>
          <w:szCs w:val="24"/>
          <w:lang w:val="es-ES_tradnl" w:eastAsia="es-ES"/>
        </w:rPr>
        <w:t>sostener</w:t>
      </w:r>
      <w:r w:rsidRPr="00672A4E">
        <w:rPr>
          <w:rFonts w:ascii="Arial" w:eastAsia="Times New Roman" w:hAnsi="Arial" w:cs="Arial"/>
          <w:iCs/>
          <w:spacing w:val="2"/>
          <w:sz w:val="24"/>
          <w:szCs w:val="24"/>
          <w:lang w:val="es-ES_tradnl" w:eastAsia="es-ES"/>
        </w:rPr>
        <w:t xml:space="preserve"> que no fue informado sobre las consecuencias que el traslado conllevaría. </w:t>
      </w:r>
      <w:r w:rsidR="00B10899" w:rsidRPr="00672A4E">
        <w:rPr>
          <w:rFonts w:ascii="Arial" w:eastAsia="Times New Roman" w:hAnsi="Arial" w:cs="Arial"/>
          <w:iCs/>
          <w:spacing w:val="2"/>
          <w:sz w:val="24"/>
          <w:szCs w:val="24"/>
          <w:lang w:val="es-ES_tradnl" w:eastAsia="es-ES"/>
        </w:rPr>
        <w:t xml:space="preserve">Ello es así, en consideración a que las personas, cuyos derechos están regidos en un todo por ley 100 de 1993, conocen que el sistema general de pensiones se soporta en dos regímenes solidarios excluyentes, que coexisten, cada uno de ellos con características diferentes, con pros y contras, pero, en todo caso, con beneficios equiparables. Ninguno de ellos mejor o peor que el otro y precisamente por ello, sin que, respecto a cualquiera de los </w:t>
      </w:r>
      <w:proofErr w:type="gramStart"/>
      <w:r w:rsidR="00B10899" w:rsidRPr="00672A4E">
        <w:rPr>
          <w:rFonts w:ascii="Arial" w:eastAsia="Times New Roman" w:hAnsi="Arial" w:cs="Arial"/>
          <w:iCs/>
          <w:spacing w:val="2"/>
          <w:sz w:val="24"/>
          <w:szCs w:val="24"/>
          <w:lang w:val="es-ES_tradnl" w:eastAsia="es-ES"/>
        </w:rPr>
        <w:t>dos  se</w:t>
      </w:r>
      <w:proofErr w:type="gramEnd"/>
      <w:r w:rsidR="00B10899" w:rsidRPr="00672A4E">
        <w:rPr>
          <w:rFonts w:ascii="Arial" w:eastAsia="Times New Roman" w:hAnsi="Arial" w:cs="Arial"/>
          <w:iCs/>
          <w:spacing w:val="2"/>
          <w:sz w:val="24"/>
          <w:szCs w:val="24"/>
          <w:lang w:val="es-ES_tradnl" w:eastAsia="es-ES"/>
        </w:rPr>
        <w:t xml:space="preserve"> pueda pregonar, prima facie, un beneficio o un perjuicio que lo haga superior o inferior al otro.</w:t>
      </w:r>
    </w:p>
    <w:p w:rsidR="00212A59" w:rsidRPr="00672A4E" w:rsidRDefault="00212A59" w:rsidP="0063386F">
      <w:pPr>
        <w:spacing w:after="0"/>
        <w:jc w:val="both"/>
        <w:rPr>
          <w:rFonts w:ascii="Arial" w:eastAsia="Times New Roman" w:hAnsi="Arial" w:cs="Arial"/>
          <w:iCs/>
          <w:spacing w:val="2"/>
          <w:sz w:val="24"/>
          <w:szCs w:val="24"/>
          <w:lang w:val="es-ES_tradnl" w:eastAsia="es-ES"/>
        </w:rPr>
      </w:pPr>
    </w:p>
    <w:p w:rsidR="00212A59" w:rsidRPr="00672A4E" w:rsidRDefault="00212A59" w:rsidP="0063386F">
      <w:pPr>
        <w:spacing w:after="0"/>
        <w:jc w:val="both"/>
        <w:rPr>
          <w:rFonts w:ascii="Arial" w:eastAsia="Times New Roman" w:hAnsi="Arial" w:cs="Arial"/>
          <w:iCs/>
          <w:spacing w:val="2"/>
          <w:sz w:val="24"/>
          <w:szCs w:val="24"/>
          <w:lang w:val="es-ES_tradnl" w:eastAsia="es-ES"/>
        </w:rPr>
      </w:pPr>
      <w:r w:rsidRPr="00672A4E">
        <w:rPr>
          <w:rFonts w:ascii="Arial" w:eastAsia="Times New Roman" w:hAnsi="Arial" w:cs="Arial"/>
          <w:iCs/>
          <w:spacing w:val="2"/>
          <w:sz w:val="24"/>
          <w:szCs w:val="24"/>
          <w:lang w:val="es-ES_tradnl" w:eastAsia="es-ES"/>
        </w:rPr>
        <w:t xml:space="preserve">De allí que para establecer la ineficacia </w:t>
      </w:r>
      <w:r w:rsidR="00414586" w:rsidRPr="00672A4E">
        <w:rPr>
          <w:rFonts w:ascii="Arial" w:eastAsia="Times New Roman" w:hAnsi="Arial" w:cs="Arial"/>
          <w:iCs/>
          <w:spacing w:val="2"/>
          <w:sz w:val="24"/>
          <w:szCs w:val="24"/>
          <w:lang w:val="es-ES_tradnl" w:eastAsia="es-ES"/>
        </w:rPr>
        <w:t xml:space="preserve">del traslado </w:t>
      </w:r>
      <w:r w:rsidRPr="00672A4E">
        <w:rPr>
          <w:rFonts w:ascii="Arial" w:eastAsia="Times New Roman" w:hAnsi="Arial" w:cs="Arial"/>
          <w:iCs/>
          <w:spacing w:val="2"/>
          <w:sz w:val="24"/>
          <w:szCs w:val="24"/>
          <w:lang w:val="es-ES_tradnl" w:eastAsia="es-ES"/>
        </w:rPr>
        <w:t xml:space="preserve">sea preciso que </w:t>
      </w:r>
      <w:r w:rsidR="00414586" w:rsidRPr="00672A4E">
        <w:rPr>
          <w:rFonts w:ascii="Arial" w:eastAsia="Times New Roman" w:hAnsi="Arial" w:cs="Arial"/>
          <w:iCs/>
          <w:spacing w:val="2"/>
          <w:sz w:val="24"/>
          <w:szCs w:val="24"/>
          <w:lang w:val="es-ES_tradnl" w:eastAsia="es-ES"/>
        </w:rPr>
        <w:t xml:space="preserve">el </w:t>
      </w:r>
      <w:r w:rsidR="00B12EC7" w:rsidRPr="00672A4E">
        <w:rPr>
          <w:rFonts w:ascii="Arial" w:eastAsia="Times New Roman" w:hAnsi="Arial" w:cs="Arial"/>
          <w:iCs/>
          <w:spacing w:val="2"/>
          <w:sz w:val="24"/>
          <w:szCs w:val="24"/>
          <w:lang w:val="es-ES_tradnl" w:eastAsia="es-ES"/>
        </w:rPr>
        <w:t>interesado pruebe</w:t>
      </w:r>
      <w:r w:rsidRPr="00672A4E">
        <w:rPr>
          <w:rFonts w:ascii="Arial" w:eastAsia="Times New Roman" w:hAnsi="Arial" w:cs="Arial"/>
          <w:iCs/>
          <w:spacing w:val="2"/>
          <w:sz w:val="24"/>
          <w:szCs w:val="24"/>
          <w:lang w:val="es-ES_tradnl" w:eastAsia="es-ES"/>
        </w:rPr>
        <w:t xml:space="preserve">, sin lugar a dudas, que la información que se le dio </w:t>
      </w:r>
      <w:r w:rsidR="00414586" w:rsidRPr="00672A4E">
        <w:rPr>
          <w:rFonts w:ascii="Arial" w:eastAsia="Times New Roman" w:hAnsi="Arial" w:cs="Arial"/>
          <w:iCs/>
          <w:spacing w:val="2"/>
          <w:sz w:val="24"/>
          <w:szCs w:val="24"/>
          <w:lang w:val="es-ES_tradnl" w:eastAsia="es-ES"/>
        </w:rPr>
        <w:t xml:space="preserve">al momento del cambio </w:t>
      </w:r>
      <w:r w:rsidRPr="00672A4E">
        <w:rPr>
          <w:rFonts w:ascii="Arial" w:eastAsia="Times New Roman" w:hAnsi="Arial" w:cs="Arial"/>
          <w:iCs/>
          <w:spacing w:val="2"/>
          <w:sz w:val="24"/>
          <w:szCs w:val="24"/>
          <w:lang w:val="es-ES_tradnl" w:eastAsia="es-ES"/>
        </w:rPr>
        <w:t>fue falaz y que producto de ese engaño se asumió la decisión del traslado.</w:t>
      </w:r>
    </w:p>
    <w:p w:rsidR="00C45EB8" w:rsidRPr="00672A4E" w:rsidRDefault="00C45EB8" w:rsidP="0063386F">
      <w:pPr>
        <w:pStyle w:val="Textoindependiente"/>
        <w:spacing w:line="276" w:lineRule="auto"/>
        <w:rPr>
          <w:rFonts w:cs="Arial"/>
          <w:iCs/>
          <w:spacing w:val="2"/>
          <w:sz w:val="24"/>
          <w:szCs w:val="24"/>
        </w:rPr>
      </w:pPr>
    </w:p>
    <w:p w:rsidR="004119E2" w:rsidRPr="00672A4E" w:rsidRDefault="00FE0490" w:rsidP="0063386F">
      <w:pPr>
        <w:spacing w:after="0"/>
        <w:ind w:right="284"/>
        <w:jc w:val="both"/>
        <w:rPr>
          <w:rFonts w:ascii="Arial" w:eastAsia="Times New Roman" w:hAnsi="Arial" w:cs="Arial"/>
          <w:b/>
          <w:spacing w:val="2"/>
          <w:sz w:val="24"/>
          <w:szCs w:val="24"/>
          <w:lang w:eastAsia="es-ES"/>
        </w:rPr>
      </w:pPr>
      <w:r w:rsidRPr="00672A4E">
        <w:rPr>
          <w:rFonts w:ascii="Arial" w:eastAsia="Times New Roman" w:hAnsi="Arial" w:cs="Arial"/>
          <w:b/>
          <w:spacing w:val="2"/>
          <w:sz w:val="24"/>
          <w:szCs w:val="24"/>
          <w:lang w:eastAsia="es-ES"/>
        </w:rPr>
        <w:t>EL CASO</w:t>
      </w:r>
      <w:r w:rsidR="004119E2" w:rsidRPr="00672A4E">
        <w:rPr>
          <w:rFonts w:ascii="Arial" w:eastAsia="Times New Roman" w:hAnsi="Arial" w:cs="Arial"/>
          <w:b/>
          <w:spacing w:val="2"/>
          <w:sz w:val="24"/>
          <w:szCs w:val="24"/>
          <w:lang w:eastAsia="es-ES"/>
        </w:rPr>
        <w:t xml:space="preserve"> CONCRETO</w:t>
      </w:r>
    </w:p>
    <w:p w:rsidR="00BC4247" w:rsidRPr="00672A4E" w:rsidRDefault="00BC4247" w:rsidP="0063386F">
      <w:pPr>
        <w:spacing w:after="0"/>
        <w:jc w:val="both"/>
        <w:rPr>
          <w:rFonts w:ascii="Arial" w:eastAsia="Times New Roman" w:hAnsi="Arial" w:cs="Arial"/>
          <w:spacing w:val="2"/>
          <w:sz w:val="24"/>
          <w:szCs w:val="24"/>
          <w:lang w:eastAsia="es-ES"/>
        </w:rPr>
      </w:pPr>
    </w:p>
    <w:p w:rsidR="0012757F" w:rsidRPr="00672A4E" w:rsidRDefault="007F00B4" w:rsidP="0063386F">
      <w:pPr>
        <w:spacing w:after="0"/>
        <w:jc w:val="both"/>
        <w:rPr>
          <w:rFonts w:ascii="Arial" w:eastAsia="Times New Roman" w:hAnsi="Arial" w:cs="Arial"/>
          <w:spacing w:val="2"/>
          <w:sz w:val="24"/>
          <w:szCs w:val="24"/>
          <w:lang w:eastAsia="es-ES"/>
        </w:rPr>
      </w:pPr>
      <w:r w:rsidRPr="00672A4E">
        <w:rPr>
          <w:rFonts w:ascii="Arial" w:eastAsia="Times New Roman" w:hAnsi="Arial" w:cs="Arial"/>
          <w:spacing w:val="2"/>
          <w:sz w:val="24"/>
          <w:szCs w:val="24"/>
          <w:lang w:eastAsia="es-ES"/>
        </w:rPr>
        <w:lastRenderedPageBreak/>
        <w:t xml:space="preserve">Sea lo primero advertir que </w:t>
      </w:r>
      <w:r w:rsidR="007446D9" w:rsidRPr="00672A4E">
        <w:rPr>
          <w:rFonts w:ascii="Arial" w:eastAsia="Times New Roman" w:hAnsi="Arial" w:cs="Arial"/>
          <w:spacing w:val="2"/>
          <w:sz w:val="24"/>
          <w:szCs w:val="24"/>
          <w:lang w:eastAsia="es-ES"/>
        </w:rPr>
        <w:t>el señor Francisco Javier Sánchez Montoya no es beneficiario</w:t>
      </w:r>
      <w:r w:rsidRPr="00672A4E">
        <w:rPr>
          <w:rFonts w:ascii="Arial" w:eastAsia="Times New Roman" w:hAnsi="Arial" w:cs="Arial"/>
          <w:spacing w:val="2"/>
          <w:sz w:val="24"/>
          <w:szCs w:val="24"/>
          <w:lang w:eastAsia="es-ES"/>
        </w:rPr>
        <w:t xml:space="preserve"> del régimen de transición previsto en el artículo 36 de la Ley 100 de 1993, ya que de acuerdo con </w:t>
      </w:r>
      <w:r w:rsidR="007446D9" w:rsidRPr="00672A4E">
        <w:rPr>
          <w:rFonts w:ascii="Arial" w:eastAsia="Times New Roman" w:hAnsi="Arial" w:cs="Arial"/>
          <w:spacing w:val="2"/>
          <w:sz w:val="24"/>
          <w:szCs w:val="24"/>
          <w:lang w:eastAsia="es-ES"/>
        </w:rPr>
        <w:t>el registro civil de nacimiento –fl.85</w:t>
      </w:r>
      <w:r w:rsidR="00C11C9D" w:rsidRPr="00672A4E">
        <w:rPr>
          <w:rFonts w:ascii="Arial" w:eastAsia="Times New Roman" w:hAnsi="Arial" w:cs="Arial"/>
          <w:spacing w:val="2"/>
          <w:sz w:val="24"/>
          <w:szCs w:val="24"/>
          <w:lang w:eastAsia="es-ES"/>
        </w:rPr>
        <w:t>- se evidencia que para el 1º de abril de 1994</w:t>
      </w:r>
      <w:r w:rsidRPr="00672A4E">
        <w:rPr>
          <w:rFonts w:ascii="Arial" w:eastAsia="Times New Roman" w:hAnsi="Arial" w:cs="Arial"/>
          <w:spacing w:val="2"/>
          <w:sz w:val="24"/>
          <w:szCs w:val="24"/>
          <w:lang w:eastAsia="es-ES"/>
        </w:rPr>
        <w:t xml:space="preserve">, fecha en que empezó a regir el sistema general de </w:t>
      </w:r>
      <w:r w:rsidR="00E40EE8" w:rsidRPr="00672A4E">
        <w:rPr>
          <w:rFonts w:ascii="Arial" w:eastAsia="Times New Roman" w:hAnsi="Arial" w:cs="Arial"/>
          <w:spacing w:val="2"/>
          <w:sz w:val="24"/>
          <w:szCs w:val="24"/>
          <w:lang w:eastAsia="es-ES"/>
        </w:rPr>
        <w:t>pensiones, él</w:t>
      </w:r>
      <w:r w:rsidR="00256E53" w:rsidRPr="00672A4E">
        <w:rPr>
          <w:rFonts w:ascii="Arial" w:eastAsia="Times New Roman" w:hAnsi="Arial" w:cs="Arial"/>
          <w:spacing w:val="2"/>
          <w:sz w:val="24"/>
          <w:szCs w:val="24"/>
          <w:lang w:eastAsia="es-ES"/>
        </w:rPr>
        <w:t xml:space="preserve"> tenía cumplidos </w:t>
      </w:r>
      <w:r w:rsidR="00E40EE8" w:rsidRPr="00672A4E">
        <w:rPr>
          <w:rFonts w:ascii="Arial" w:eastAsia="Times New Roman" w:hAnsi="Arial" w:cs="Arial"/>
          <w:spacing w:val="2"/>
          <w:sz w:val="24"/>
          <w:szCs w:val="24"/>
          <w:lang w:eastAsia="es-ES"/>
        </w:rPr>
        <w:t>38</w:t>
      </w:r>
      <w:r w:rsidRPr="00672A4E">
        <w:rPr>
          <w:rFonts w:ascii="Arial" w:eastAsia="Times New Roman" w:hAnsi="Arial" w:cs="Arial"/>
          <w:spacing w:val="2"/>
          <w:sz w:val="24"/>
          <w:szCs w:val="24"/>
          <w:lang w:eastAsia="es-ES"/>
        </w:rPr>
        <w:t xml:space="preserve"> años de edad</w:t>
      </w:r>
      <w:r w:rsidR="003125E3" w:rsidRPr="00672A4E">
        <w:rPr>
          <w:rFonts w:ascii="Arial" w:eastAsia="Times New Roman" w:hAnsi="Arial" w:cs="Arial"/>
          <w:spacing w:val="2"/>
          <w:sz w:val="24"/>
          <w:szCs w:val="24"/>
          <w:lang w:eastAsia="es-ES"/>
        </w:rPr>
        <w:t xml:space="preserve">, al haber nacido el </w:t>
      </w:r>
      <w:r w:rsidR="00E40EE8" w:rsidRPr="00672A4E">
        <w:rPr>
          <w:rFonts w:ascii="Arial" w:eastAsia="Times New Roman" w:hAnsi="Arial" w:cs="Arial"/>
          <w:spacing w:val="2"/>
          <w:sz w:val="24"/>
          <w:szCs w:val="24"/>
          <w:lang w:eastAsia="es-ES"/>
        </w:rPr>
        <w:t>3 de julio de 1955</w:t>
      </w:r>
      <w:r w:rsidRPr="00672A4E">
        <w:rPr>
          <w:rFonts w:ascii="Arial" w:eastAsia="Times New Roman" w:hAnsi="Arial" w:cs="Arial"/>
          <w:spacing w:val="2"/>
          <w:sz w:val="24"/>
          <w:szCs w:val="24"/>
          <w:lang w:eastAsia="es-ES"/>
        </w:rPr>
        <w:t xml:space="preserve">, y según </w:t>
      </w:r>
      <w:r w:rsidR="008375F6" w:rsidRPr="00672A4E">
        <w:rPr>
          <w:rFonts w:ascii="Arial" w:eastAsia="Times New Roman" w:hAnsi="Arial" w:cs="Arial"/>
          <w:spacing w:val="2"/>
          <w:sz w:val="24"/>
          <w:szCs w:val="24"/>
          <w:lang w:eastAsia="es-ES"/>
        </w:rPr>
        <w:t xml:space="preserve">el certificado </w:t>
      </w:r>
      <w:r w:rsidR="003125E3" w:rsidRPr="00672A4E">
        <w:rPr>
          <w:rFonts w:ascii="Arial" w:eastAsia="Times New Roman" w:hAnsi="Arial" w:cs="Arial"/>
          <w:spacing w:val="2"/>
          <w:sz w:val="24"/>
          <w:szCs w:val="24"/>
          <w:lang w:eastAsia="es-ES"/>
        </w:rPr>
        <w:t xml:space="preserve">de información laboral emitido por </w:t>
      </w:r>
      <w:r w:rsidR="00E40EE8" w:rsidRPr="00672A4E">
        <w:rPr>
          <w:rFonts w:ascii="Arial" w:eastAsia="Times New Roman" w:hAnsi="Arial" w:cs="Arial"/>
          <w:spacing w:val="2"/>
          <w:sz w:val="24"/>
          <w:szCs w:val="24"/>
          <w:lang w:eastAsia="es-ES"/>
        </w:rPr>
        <w:t>la Gobernación de Risaralda –fl.32</w:t>
      </w:r>
      <w:r w:rsidR="003125E3" w:rsidRPr="00672A4E">
        <w:rPr>
          <w:rFonts w:ascii="Arial" w:eastAsia="Times New Roman" w:hAnsi="Arial" w:cs="Arial"/>
          <w:spacing w:val="2"/>
          <w:sz w:val="24"/>
          <w:szCs w:val="24"/>
          <w:lang w:eastAsia="es-ES"/>
        </w:rPr>
        <w:t>-</w:t>
      </w:r>
      <w:r w:rsidR="00E40EE8" w:rsidRPr="00672A4E">
        <w:rPr>
          <w:rFonts w:ascii="Arial" w:eastAsia="Times New Roman" w:hAnsi="Arial" w:cs="Arial"/>
          <w:spacing w:val="2"/>
          <w:sz w:val="24"/>
          <w:szCs w:val="24"/>
          <w:lang w:eastAsia="es-ES"/>
        </w:rPr>
        <w:t xml:space="preserve"> y la historia laboral inmersa en el expediente administrativo</w:t>
      </w:r>
      <w:r w:rsidR="008C0C89" w:rsidRPr="00672A4E">
        <w:rPr>
          <w:rFonts w:ascii="Arial" w:eastAsia="Times New Roman" w:hAnsi="Arial" w:cs="Arial"/>
          <w:spacing w:val="2"/>
          <w:sz w:val="24"/>
          <w:szCs w:val="24"/>
          <w:lang w:eastAsia="es-ES"/>
        </w:rPr>
        <w:t xml:space="preserve"> que se encuentra en cd visible a folio 127 vuelto</w:t>
      </w:r>
      <w:r w:rsidR="003125E3" w:rsidRPr="00672A4E">
        <w:rPr>
          <w:rFonts w:ascii="Arial" w:eastAsia="Times New Roman" w:hAnsi="Arial" w:cs="Arial"/>
          <w:spacing w:val="2"/>
          <w:sz w:val="24"/>
          <w:szCs w:val="24"/>
          <w:lang w:eastAsia="es-ES"/>
        </w:rPr>
        <w:t xml:space="preserve">, para ese momento tan solo acreditaba </w:t>
      </w:r>
      <w:r w:rsidR="008C0C89" w:rsidRPr="00672A4E">
        <w:rPr>
          <w:rFonts w:ascii="Arial" w:eastAsia="Times New Roman" w:hAnsi="Arial" w:cs="Arial"/>
          <w:spacing w:val="2"/>
          <w:sz w:val="24"/>
          <w:szCs w:val="24"/>
          <w:lang w:eastAsia="es-ES"/>
        </w:rPr>
        <w:t>12 años 2 meses y 6 días de servicios</w:t>
      </w:r>
      <w:r w:rsidR="00D36D71" w:rsidRPr="00672A4E">
        <w:rPr>
          <w:rFonts w:ascii="Arial" w:eastAsia="Times New Roman" w:hAnsi="Arial" w:cs="Arial"/>
          <w:spacing w:val="2"/>
          <w:sz w:val="24"/>
          <w:szCs w:val="24"/>
          <w:lang w:eastAsia="es-ES"/>
        </w:rPr>
        <w:t>.</w:t>
      </w:r>
    </w:p>
    <w:p w:rsidR="007F00B4" w:rsidRPr="00672A4E" w:rsidRDefault="007F00B4" w:rsidP="0063386F">
      <w:pPr>
        <w:spacing w:after="0"/>
        <w:jc w:val="both"/>
        <w:rPr>
          <w:rFonts w:ascii="Arial" w:eastAsia="Times New Roman" w:hAnsi="Arial" w:cs="Arial"/>
          <w:spacing w:val="2"/>
          <w:sz w:val="24"/>
          <w:szCs w:val="24"/>
          <w:lang w:eastAsia="es-ES"/>
        </w:rPr>
      </w:pPr>
    </w:p>
    <w:p w:rsidR="003125E3" w:rsidRPr="00672A4E" w:rsidRDefault="003125E3" w:rsidP="0063386F">
      <w:pPr>
        <w:spacing w:after="0"/>
        <w:jc w:val="both"/>
        <w:rPr>
          <w:rFonts w:ascii="Arial" w:eastAsia="Times New Roman" w:hAnsi="Arial" w:cs="Arial"/>
          <w:spacing w:val="2"/>
          <w:sz w:val="24"/>
          <w:szCs w:val="24"/>
          <w:lang w:eastAsia="es-ES"/>
        </w:rPr>
      </w:pPr>
      <w:r w:rsidRPr="00672A4E">
        <w:rPr>
          <w:rFonts w:ascii="Arial" w:eastAsia="Times New Roman" w:hAnsi="Arial" w:cs="Arial"/>
          <w:spacing w:val="2"/>
          <w:sz w:val="24"/>
          <w:szCs w:val="24"/>
          <w:lang w:eastAsia="es-ES"/>
        </w:rPr>
        <w:t xml:space="preserve">Ahora bien, narra </w:t>
      </w:r>
      <w:r w:rsidR="00890C81" w:rsidRPr="00672A4E">
        <w:rPr>
          <w:rFonts w:ascii="Arial" w:eastAsia="Times New Roman" w:hAnsi="Arial" w:cs="Arial"/>
          <w:spacing w:val="2"/>
          <w:sz w:val="24"/>
          <w:szCs w:val="24"/>
          <w:lang w:eastAsia="es-ES"/>
        </w:rPr>
        <w:t>el señor Francisco Javier Sánchez Montoya</w:t>
      </w:r>
      <w:r w:rsidRPr="00672A4E">
        <w:rPr>
          <w:rFonts w:ascii="Arial" w:eastAsia="Times New Roman" w:hAnsi="Arial" w:cs="Arial"/>
          <w:spacing w:val="2"/>
          <w:sz w:val="24"/>
          <w:szCs w:val="24"/>
          <w:lang w:eastAsia="es-ES"/>
        </w:rPr>
        <w:t xml:space="preserve"> en la demanda –fls.</w:t>
      </w:r>
      <w:r w:rsidR="00731D4F" w:rsidRPr="00672A4E">
        <w:rPr>
          <w:rFonts w:ascii="Arial" w:eastAsia="Times New Roman" w:hAnsi="Arial" w:cs="Arial"/>
          <w:spacing w:val="2"/>
          <w:sz w:val="24"/>
          <w:szCs w:val="24"/>
          <w:lang w:eastAsia="es-ES"/>
        </w:rPr>
        <w:t>4 a 30</w:t>
      </w:r>
      <w:r w:rsidRPr="00672A4E">
        <w:rPr>
          <w:rFonts w:ascii="Arial" w:eastAsia="Times New Roman" w:hAnsi="Arial" w:cs="Arial"/>
          <w:spacing w:val="2"/>
          <w:sz w:val="24"/>
          <w:szCs w:val="24"/>
          <w:lang w:eastAsia="es-ES"/>
        </w:rPr>
        <w:t xml:space="preserve">- que su afiliación al RAIS no es eficaz en consideración a que la AFP </w:t>
      </w:r>
      <w:r w:rsidR="00731D4F" w:rsidRPr="00672A4E">
        <w:rPr>
          <w:rFonts w:ascii="Arial" w:eastAsia="Times New Roman" w:hAnsi="Arial" w:cs="Arial"/>
          <w:spacing w:val="2"/>
          <w:sz w:val="24"/>
          <w:szCs w:val="24"/>
          <w:lang w:eastAsia="es-ES"/>
        </w:rPr>
        <w:t>Porvenir S.A.</w:t>
      </w:r>
      <w:r w:rsidR="00D36D71" w:rsidRPr="00672A4E">
        <w:rPr>
          <w:rFonts w:ascii="Arial" w:eastAsia="Times New Roman" w:hAnsi="Arial" w:cs="Arial"/>
          <w:spacing w:val="2"/>
          <w:sz w:val="24"/>
          <w:szCs w:val="24"/>
          <w:lang w:eastAsia="es-ES"/>
        </w:rPr>
        <w:t xml:space="preserve"> </w:t>
      </w:r>
      <w:r w:rsidRPr="00672A4E">
        <w:rPr>
          <w:rFonts w:ascii="Arial" w:eastAsia="Times New Roman" w:hAnsi="Arial" w:cs="Arial"/>
          <w:spacing w:val="2"/>
          <w:sz w:val="24"/>
          <w:szCs w:val="24"/>
          <w:lang w:eastAsia="es-ES"/>
        </w:rPr>
        <w:t xml:space="preserve">no le brindó la información suficiente para tomar una decisión adecuada, por lo que al tornarse ello en una negación indefinida, en principio le correspondería a la AFP demostrar que si lo hizo, no obstante, esa inversión de la carga probatoria no se hace efectiva en este caso, debido a que </w:t>
      </w:r>
      <w:r w:rsidR="00731D4F" w:rsidRPr="00672A4E">
        <w:rPr>
          <w:rFonts w:ascii="Arial" w:eastAsia="Times New Roman" w:hAnsi="Arial" w:cs="Arial"/>
          <w:spacing w:val="2"/>
          <w:sz w:val="24"/>
          <w:szCs w:val="24"/>
          <w:lang w:eastAsia="es-ES"/>
        </w:rPr>
        <w:t>el señor Sánchez Montoya</w:t>
      </w:r>
      <w:r w:rsidRPr="00672A4E">
        <w:rPr>
          <w:rFonts w:ascii="Arial" w:eastAsia="Times New Roman" w:hAnsi="Arial" w:cs="Arial"/>
          <w:spacing w:val="2"/>
          <w:sz w:val="24"/>
          <w:szCs w:val="24"/>
          <w:lang w:eastAsia="es-ES"/>
        </w:rPr>
        <w:t xml:space="preserve"> al suscribir el formulario de afiliación Nº </w:t>
      </w:r>
      <w:r w:rsidR="002F3963" w:rsidRPr="00672A4E">
        <w:rPr>
          <w:rFonts w:ascii="Arial" w:eastAsia="Times New Roman" w:hAnsi="Arial" w:cs="Arial"/>
          <w:spacing w:val="2"/>
          <w:sz w:val="24"/>
          <w:szCs w:val="24"/>
          <w:lang w:eastAsia="es-ES"/>
        </w:rPr>
        <w:t>996956</w:t>
      </w:r>
      <w:r w:rsidRPr="00672A4E">
        <w:rPr>
          <w:rFonts w:ascii="Arial" w:eastAsia="Times New Roman" w:hAnsi="Arial" w:cs="Arial"/>
          <w:spacing w:val="2"/>
          <w:sz w:val="24"/>
          <w:szCs w:val="24"/>
          <w:lang w:eastAsia="es-ES"/>
        </w:rPr>
        <w:t xml:space="preserve"> de </w:t>
      </w:r>
      <w:r w:rsidR="002F3963" w:rsidRPr="00672A4E">
        <w:rPr>
          <w:rFonts w:ascii="Arial" w:eastAsia="Times New Roman" w:hAnsi="Arial" w:cs="Arial"/>
          <w:spacing w:val="2"/>
          <w:sz w:val="24"/>
          <w:szCs w:val="24"/>
          <w:lang w:eastAsia="es-ES"/>
        </w:rPr>
        <w:t>23 de enero de 1998 –fl.161</w:t>
      </w:r>
      <w:r w:rsidRPr="00672A4E">
        <w:rPr>
          <w:rFonts w:ascii="Arial" w:eastAsia="Times New Roman" w:hAnsi="Arial" w:cs="Arial"/>
          <w:spacing w:val="2"/>
          <w:sz w:val="24"/>
          <w:szCs w:val="24"/>
          <w:lang w:eastAsia="es-ES"/>
        </w:rPr>
        <w:t>- declaró bajo la gravedad de juramento haber escogido el régimen de ahorro individual con solidaridad de manera libre, espontánea y sin presiones, es decir, que su traslado a ese régimen pensional se hizo bajo los parámetros establecidos en los artículos 13 literal b) y 271 de la Ley 100 de 1993.</w:t>
      </w:r>
    </w:p>
    <w:p w:rsidR="007F00B4" w:rsidRPr="00672A4E" w:rsidRDefault="007F00B4" w:rsidP="0063386F">
      <w:pPr>
        <w:spacing w:after="0"/>
        <w:jc w:val="both"/>
        <w:rPr>
          <w:rFonts w:ascii="Arial" w:eastAsia="Times New Roman" w:hAnsi="Arial" w:cs="Arial"/>
          <w:spacing w:val="2"/>
          <w:sz w:val="24"/>
          <w:szCs w:val="24"/>
          <w:lang w:eastAsia="es-ES"/>
        </w:rPr>
      </w:pPr>
    </w:p>
    <w:p w:rsidR="002F3963" w:rsidRPr="00672A4E" w:rsidRDefault="00261A6F" w:rsidP="0063386F">
      <w:pPr>
        <w:spacing w:after="0"/>
        <w:jc w:val="both"/>
        <w:rPr>
          <w:rFonts w:ascii="Arial" w:eastAsia="Times New Roman" w:hAnsi="Arial" w:cs="Arial"/>
          <w:spacing w:val="2"/>
          <w:sz w:val="24"/>
          <w:szCs w:val="24"/>
          <w:lang w:eastAsia="es-ES"/>
        </w:rPr>
      </w:pPr>
      <w:r w:rsidRPr="00672A4E">
        <w:rPr>
          <w:rFonts w:ascii="Arial" w:eastAsia="Times New Roman" w:hAnsi="Arial" w:cs="Arial"/>
          <w:spacing w:val="2"/>
          <w:sz w:val="24"/>
          <w:szCs w:val="24"/>
          <w:lang w:eastAsia="es-ES"/>
        </w:rPr>
        <w:t>Así las cosas, conforme quedó visto con anterio</w:t>
      </w:r>
      <w:r w:rsidR="002F3963" w:rsidRPr="00672A4E">
        <w:rPr>
          <w:rFonts w:ascii="Arial" w:eastAsia="Times New Roman" w:hAnsi="Arial" w:cs="Arial"/>
          <w:spacing w:val="2"/>
          <w:sz w:val="24"/>
          <w:szCs w:val="24"/>
          <w:lang w:eastAsia="es-ES"/>
        </w:rPr>
        <w:t>ridad, le incumbía entonces al actor</w:t>
      </w:r>
      <w:r w:rsidRPr="00672A4E">
        <w:rPr>
          <w:rFonts w:ascii="Arial" w:eastAsia="Times New Roman" w:hAnsi="Arial" w:cs="Arial"/>
          <w:spacing w:val="2"/>
          <w:sz w:val="24"/>
          <w:szCs w:val="24"/>
          <w:lang w:eastAsia="es-ES"/>
        </w:rPr>
        <w:t xml:space="preserve"> probar las afirmaciones en contrario con base en las cuales aspira obtener la declaración de inefica</w:t>
      </w:r>
      <w:r w:rsidR="002F3963" w:rsidRPr="00672A4E">
        <w:rPr>
          <w:rFonts w:ascii="Arial" w:eastAsia="Times New Roman" w:hAnsi="Arial" w:cs="Arial"/>
          <w:spacing w:val="2"/>
          <w:sz w:val="24"/>
          <w:szCs w:val="24"/>
          <w:lang w:eastAsia="es-ES"/>
        </w:rPr>
        <w:t>cia, pues al no ser beneficiario</w:t>
      </w:r>
      <w:r w:rsidRPr="00672A4E">
        <w:rPr>
          <w:rFonts w:ascii="Arial" w:eastAsia="Times New Roman" w:hAnsi="Arial" w:cs="Arial"/>
          <w:spacing w:val="2"/>
          <w:sz w:val="24"/>
          <w:szCs w:val="24"/>
          <w:lang w:eastAsia="es-ES"/>
        </w:rPr>
        <w:t xml:space="preserve"> del régimen transicional, no se evidencia que el traslado del régimen de prima media con prestación definida al de ahorro individual con solidaridad efectuado el </w:t>
      </w:r>
      <w:r w:rsidR="002F3963" w:rsidRPr="00672A4E">
        <w:rPr>
          <w:rFonts w:ascii="Arial" w:eastAsia="Times New Roman" w:hAnsi="Arial" w:cs="Arial"/>
          <w:spacing w:val="2"/>
          <w:sz w:val="24"/>
          <w:szCs w:val="24"/>
          <w:lang w:eastAsia="es-ES"/>
        </w:rPr>
        <w:t>23 de enero de 1998</w:t>
      </w:r>
      <w:r w:rsidRPr="00672A4E">
        <w:rPr>
          <w:rFonts w:ascii="Arial" w:eastAsia="Times New Roman" w:hAnsi="Arial" w:cs="Arial"/>
          <w:spacing w:val="2"/>
          <w:sz w:val="24"/>
          <w:szCs w:val="24"/>
          <w:lang w:eastAsia="es-ES"/>
        </w:rPr>
        <w:t xml:space="preserve"> se haya producido, </w:t>
      </w:r>
      <w:r w:rsidR="00D36D71" w:rsidRPr="00672A4E">
        <w:rPr>
          <w:rFonts w:ascii="Arial" w:eastAsia="Times New Roman" w:hAnsi="Arial" w:cs="Arial"/>
          <w:spacing w:val="2"/>
          <w:sz w:val="24"/>
          <w:szCs w:val="24"/>
          <w:lang w:eastAsia="es-ES"/>
        </w:rPr>
        <w:t xml:space="preserve">en principio, afectación alguna; </w:t>
      </w:r>
      <w:r w:rsidR="002F3963" w:rsidRPr="00672A4E">
        <w:rPr>
          <w:rFonts w:ascii="Arial" w:eastAsia="Times New Roman" w:hAnsi="Arial" w:cs="Arial"/>
          <w:spacing w:val="2"/>
          <w:sz w:val="24"/>
          <w:szCs w:val="24"/>
          <w:lang w:eastAsia="es-ES"/>
        </w:rPr>
        <w:t>sin embargo, más allá de adjuntar el registro civil de nacimiento, la copia de la cédula de ciudadanía, los certificados de información laboral de las diferentes entidades en las que ha prestado sus servicios, la historia laboral y los extractos expedidos por l</w:t>
      </w:r>
      <w:r w:rsidR="001F5297" w:rsidRPr="00672A4E">
        <w:rPr>
          <w:rFonts w:ascii="Arial" w:eastAsia="Times New Roman" w:hAnsi="Arial" w:cs="Arial"/>
          <w:spacing w:val="2"/>
          <w:sz w:val="24"/>
          <w:szCs w:val="24"/>
          <w:lang w:eastAsia="es-ES"/>
        </w:rPr>
        <w:t>a AFP Porvenir S.A. y</w:t>
      </w:r>
      <w:r w:rsidR="002F3963" w:rsidRPr="00672A4E">
        <w:rPr>
          <w:rFonts w:ascii="Arial" w:eastAsia="Times New Roman" w:hAnsi="Arial" w:cs="Arial"/>
          <w:spacing w:val="2"/>
          <w:sz w:val="24"/>
          <w:szCs w:val="24"/>
          <w:lang w:eastAsia="es-ES"/>
        </w:rPr>
        <w:t xml:space="preserve"> la solicitud de traslado elevada ante </w:t>
      </w:r>
      <w:r w:rsidR="001F5297" w:rsidRPr="00672A4E">
        <w:rPr>
          <w:rFonts w:ascii="Arial" w:eastAsia="Times New Roman" w:hAnsi="Arial" w:cs="Arial"/>
          <w:spacing w:val="2"/>
          <w:sz w:val="24"/>
          <w:szCs w:val="24"/>
          <w:lang w:eastAsia="es-ES"/>
        </w:rPr>
        <w:t>las entidades demandadas y oficio Nº 0207412024265400 en el que la AFP accionada realiza la perspectiva de pensión de vejez a la que podría acceder en el RAIS; no se preocupó por traer otro tipo de pruebas, desistiendo de los testimonios decretado</w:t>
      </w:r>
      <w:r w:rsidR="00402F7C" w:rsidRPr="00672A4E">
        <w:rPr>
          <w:rFonts w:ascii="Arial" w:eastAsia="Times New Roman" w:hAnsi="Arial" w:cs="Arial"/>
          <w:spacing w:val="2"/>
          <w:sz w:val="24"/>
          <w:szCs w:val="24"/>
          <w:lang w:eastAsia="es-ES"/>
        </w:rPr>
        <w:t>s</w:t>
      </w:r>
      <w:r w:rsidR="001F5297" w:rsidRPr="00672A4E">
        <w:rPr>
          <w:rFonts w:ascii="Arial" w:eastAsia="Times New Roman" w:hAnsi="Arial" w:cs="Arial"/>
          <w:spacing w:val="2"/>
          <w:sz w:val="24"/>
          <w:szCs w:val="24"/>
          <w:lang w:eastAsia="es-ES"/>
        </w:rPr>
        <w:t xml:space="preserve"> por petición suya, con el fin de acreditar </w:t>
      </w:r>
      <w:r w:rsidR="002F3963" w:rsidRPr="00672A4E">
        <w:rPr>
          <w:rFonts w:ascii="Arial" w:eastAsia="Times New Roman" w:hAnsi="Arial" w:cs="Arial"/>
          <w:spacing w:val="2"/>
          <w:sz w:val="24"/>
          <w:szCs w:val="24"/>
          <w:lang w:eastAsia="es-ES"/>
        </w:rPr>
        <w:t xml:space="preserve">que la AFP Porvenir S.A. le había dado </w:t>
      </w:r>
      <w:r w:rsidR="001F5297" w:rsidRPr="00672A4E">
        <w:rPr>
          <w:rFonts w:ascii="Arial" w:eastAsia="Times New Roman" w:hAnsi="Arial" w:cs="Arial"/>
          <w:spacing w:val="2"/>
          <w:sz w:val="24"/>
          <w:szCs w:val="24"/>
          <w:lang w:eastAsia="es-ES"/>
        </w:rPr>
        <w:t>una información mentirosa que lo</w:t>
      </w:r>
      <w:r w:rsidR="002F3963" w:rsidRPr="00672A4E">
        <w:rPr>
          <w:rFonts w:ascii="Arial" w:eastAsia="Times New Roman" w:hAnsi="Arial" w:cs="Arial"/>
          <w:spacing w:val="2"/>
          <w:sz w:val="24"/>
          <w:szCs w:val="24"/>
          <w:lang w:eastAsia="es-ES"/>
        </w:rPr>
        <w:t xml:space="preserve"> hubiere hecho tomar una decisión </w:t>
      </w:r>
      <w:r w:rsidR="001F5297" w:rsidRPr="00672A4E">
        <w:rPr>
          <w:rFonts w:ascii="Arial" w:eastAsia="Times New Roman" w:hAnsi="Arial" w:cs="Arial"/>
          <w:spacing w:val="2"/>
          <w:sz w:val="24"/>
          <w:szCs w:val="24"/>
          <w:lang w:eastAsia="es-ES"/>
        </w:rPr>
        <w:t>cimentada en un engaño</w:t>
      </w:r>
      <w:r w:rsidR="002F3963" w:rsidRPr="00672A4E">
        <w:rPr>
          <w:rFonts w:ascii="Arial" w:eastAsia="Times New Roman" w:hAnsi="Arial" w:cs="Arial"/>
          <w:spacing w:val="2"/>
          <w:sz w:val="24"/>
          <w:szCs w:val="24"/>
          <w:lang w:eastAsia="es-ES"/>
        </w:rPr>
        <w:t>.</w:t>
      </w:r>
    </w:p>
    <w:p w:rsidR="002F3963" w:rsidRPr="00672A4E" w:rsidRDefault="002F3963" w:rsidP="0063386F">
      <w:pPr>
        <w:spacing w:after="0"/>
        <w:jc w:val="both"/>
        <w:rPr>
          <w:rFonts w:ascii="Arial" w:eastAsia="Times New Roman" w:hAnsi="Arial" w:cs="Arial"/>
          <w:spacing w:val="2"/>
          <w:sz w:val="24"/>
          <w:szCs w:val="24"/>
          <w:lang w:eastAsia="es-ES"/>
        </w:rPr>
      </w:pPr>
    </w:p>
    <w:p w:rsidR="0075715E" w:rsidRPr="00672A4E" w:rsidRDefault="002F3963" w:rsidP="0063386F">
      <w:pPr>
        <w:spacing w:after="0"/>
        <w:jc w:val="both"/>
        <w:rPr>
          <w:rFonts w:ascii="Arial" w:eastAsia="Times New Roman" w:hAnsi="Arial" w:cs="Arial"/>
          <w:spacing w:val="2"/>
          <w:sz w:val="24"/>
          <w:szCs w:val="24"/>
          <w:lang w:eastAsia="es-ES"/>
        </w:rPr>
      </w:pPr>
      <w:r w:rsidRPr="00672A4E">
        <w:rPr>
          <w:rFonts w:ascii="Arial" w:eastAsia="Times New Roman" w:hAnsi="Arial" w:cs="Arial"/>
          <w:spacing w:val="2"/>
          <w:sz w:val="24"/>
          <w:szCs w:val="24"/>
          <w:lang w:eastAsia="es-ES"/>
        </w:rPr>
        <w:t xml:space="preserve">Por el contrario, al responder el interrogatorio de parte, </w:t>
      </w:r>
      <w:r w:rsidR="0075715E" w:rsidRPr="00672A4E">
        <w:rPr>
          <w:rFonts w:ascii="Arial" w:eastAsia="Times New Roman" w:hAnsi="Arial" w:cs="Arial"/>
          <w:spacing w:val="2"/>
          <w:sz w:val="24"/>
          <w:szCs w:val="24"/>
          <w:lang w:eastAsia="es-ES"/>
        </w:rPr>
        <w:t>el señor Francisco Javier Sánchez Montoya</w:t>
      </w:r>
      <w:r w:rsidRPr="00672A4E">
        <w:rPr>
          <w:rFonts w:ascii="Arial" w:eastAsia="Times New Roman" w:hAnsi="Arial" w:cs="Arial"/>
          <w:spacing w:val="2"/>
          <w:sz w:val="24"/>
          <w:szCs w:val="24"/>
          <w:lang w:eastAsia="es-ES"/>
        </w:rPr>
        <w:t xml:space="preserve"> confiesa que </w:t>
      </w:r>
      <w:r w:rsidR="0075715E" w:rsidRPr="00672A4E">
        <w:rPr>
          <w:rFonts w:ascii="Arial" w:eastAsia="Times New Roman" w:hAnsi="Arial" w:cs="Arial"/>
          <w:spacing w:val="2"/>
          <w:sz w:val="24"/>
          <w:szCs w:val="24"/>
          <w:lang w:eastAsia="es-ES"/>
        </w:rPr>
        <w:t xml:space="preserve">en la asesoría brindada por la AFP accionada en el año 1998, se le informó que en el RAIS podía acceder a la pensión de vejez de manera anticipada, lo cual confirmó cuando antes de arribar a los 62 años de edad solicitó que se le reconociera la prestación económica y le dijeron que podía acceder a ese derecho, pero desistiendo de ello al ver que el monto no era el esperado. También reveló que en la asesoría se le indicó que el capital acumulado </w:t>
      </w:r>
      <w:r w:rsidR="0075715E" w:rsidRPr="00672A4E">
        <w:rPr>
          <w:rFonts w:ascii="Arial" w:eastAsia="Times New Roman" w:hAnsi="Arial" w:cs="Arial"/>
          <w:spacing w:val="2"/>
          <w:sz w:val="24"/>
          <w:szCs w:val="24"/>
          <w:lang w:eastAsia="es-ES"/>
        </w:rPr>
        <w:lastRenderedPageBreak/>
        <w:t xml:space="preserve">en la cuenta de ahorro individual podía hacer parte de la mesa </w:t>
      </w:r>
      <w:proofErr w:type="spellStart"/>
      <w:r w:rsidR="0075715E" w:rsidRPr="00672A4E">
        <w:rPr>
          <w:rFonts w:ascii="Arial" w:eastAsia="Times New Roman" w:hAnsi="Arial" w:cs="Arial"/>
          <w:spacing w:val="2"/>
          <w:sz w:val="24"/>
          <w:szCs w:val="24"/>
          <w:lang w:eastAsia="es-ES"/>
        </w:rPr>
        <w:t>sucesoral</w:t>
      </w:r>
      <w:proofErr w:type="spellEnd"/>
      <w:r w:rsidR="0075715E" w:rsidRPr="00672A4E">
        <w:rPr>
          <w:rFonts w:ascii="Arial" w:eastAsia="Times New Roman" w:hAnsi="Arial" w:cs="Arial"/>
          <w:spacing w:val="2"/>
          <w:sz w:val="24"/>
          <w:szCs w:val="24"/>
          <w:lang w:eastAsia="es-ES"/>
        </w:rPr>
        <w:t xml:space="preserve"> y que de acuerdo al monto de sus aportes iba poder tener acceso a una parte de sus ahorros para disponer libremente de él (excedentes de libre disponibilidad), aceptando igualmente, que el asesor le dijo que cada tres años podía movilizarse entre los dos regímenes pensionales; indicando finalmente que solo hace tres años aproximadamente avizoró que el traslado no había resultado conveniente.</w:t>
      </w:r>
    </w:p>
    <w:p w:rsidR="009C03F0" w:rsidRPr="00672A4E" w:rsidRDefault="009C03F0" w:rsidP="0063386F">
      <w:pPr>
        <w:spacing w:after="0"/>
        <w:jc w:val="both"/>
        <w:rPr>
          <w:rFonts w:ascii="Arial" w:eastAsia="Times New Roman" w:hAnsi="Arial" w:cs="Arial"/>
          <w:spacing w:val="2"/>
          <w:sz w:val="24"/>
          <w:szCs w:val="24"/>
          <w:lang w:eastAsia="es-ES"/>
        </w:rPr>
      </w:pPr>
    </w:p>
    <w:p w:rsidR="009C03F0" w:rsidRPr="00672A4E" w:rsidRDefault="009C03F0" w:rsidP="0063386F">
      <w:pPr>
        <w:spacing w:after="0"/>
        <w:jc w:val="both"/>
        <w:rPr>
          <w:rFonts w:ascii="Arial" w:eastAsia="Times New Roman" w:hAnsi="Arial" w:cs="Arial"/>
          <w:spacing w:val="2"/>
          <w:sz w:val="24"/>
          <w:szCs w:val="24"/>
          <w:lang w:eastAsia="es-ES"/>
        </w:rPr>
      </w:pPr>
      <w:r w:rsidRPr="00672A4E">
        <w:rPr>
          <w:rFonts w:ascii="Arial" w:eastAsia="Times New Roman" w:hAnsi="Arial" w:cs="Arial"/>
          <w:spacing w:val="2"/>
          <w:sz w:val="24"/>
          <w:szCs w:val="24"/>
          <w:lang w:eastAsia="es-ES"/>
        </w:rPr>
        <w:t xml:space="preserve">Conforme con lo expuesto, más allá de afirmarse en la demanda que </w:t>
      </w:r>
      <w:r w:rsidR="00C87761" w:rsidRPr="00672A4E">
        <w:rPr>
          <w:rFonts w:ascii="Arial" w:eastAsia="Times New Roman" w:hAnsi="Arial" w:cs="Arial"/>
          <w:spacing w:val="2"/>
          <w:sz w:val="24"/>
          <w:szCs w:val="24"/>
          <w:lang w:eastAsia="es-ES"/>
        </w:rPr>
        <w:t>el</w:t>
      </w:r>
      <w:r w:rsidRPr="00672A4E">
        <w:rPr>
          <w:rFonts w:ascii="Arial" w:eastAsia="Times New Roman" w:hAnsi="Arial" w:cs="Arial"/>
          <w:spacing w:val="2"/>
          <w:sz w:val="24"/>
          <w:szCs w:val="24"/>
          <w:lang w:eastAsia="es-ES"/>
        </w:rPr>
        <w:t xml:space="preserve"> accionante no recibió la información suficiente que le advirtiera sobre las implicaciones que traía trasladarse del RPM al RAIS</w:t>
      </w:r>
      <w:r w:rsidR="00C87761" w:rsidRPr="00672A4E">
        <w:rPr>
          <w:rFonts w:ascii="Arial" w:eastAsia="Times New Roman" w:hAnsi="Arial" w:cs="Arial"/>
          <w:spacing w:val="2"/>
          <w:sz w:val="24"/>
          <w:szCs w:val="24"/>
          <w:lang w:eastAsia="es-ES"/>
        </w:rPr>
        <w:t xml:space="preserve"> y que se le había dado información mentirosa</w:t>
      </w:r>
      <w:r w:rsidRPr="00672A4E">
        <w:rPr>
          <w:rFonts w:ascii="Arial" w:eastAsia="Times New Roman" w:hAnsi="Arial" w:cs="Arial"/>
          <w:spacing w:val="2"/>
          <w:sz w:val="24"/>
          <w:szCs w:val="24"/>
          <w:lang w:eastAsia="es-ES"/>
        </w:rPr>
        <w:t xml:space="preserve">, la verdad es que </w:t>
      </w:r>
      <w:r w:rsidR="00C87761" w:rsidRPr="00672A4E">
        <w:rPr>
          <w:rFonts w:ascii="Arial" w:eastAsia="Times New Roman" w:hAnsi="Arial" w:cs="Arial"/>
          <w:spacing w:val="2"/>
          <w:sz w:val="24"/>
          <w:szCs w:val="24"/>
          <w:lang w:eastAsia="es-ES"/>
        </w:rPr>
        <w:t>ello no</w:t>
      </w:r>
      <w:r w:rsidRPr="00672A4E">
        <w:rPr>
          <w:rFonts w:ascii="Arial" w:eastAsia="Times New Roman" w:hAnsi="Arial" w:cs="Arial"/>
          <w:spacing w:val="2"/>
          <w:sz w:val="24"/>
          <w:szCs w:val="24"/>
          <w:lang w:eastAsia="es-ES"/>
        </w:rPr>
        <w:t xml:space="preserve"> quedó demostrado</w:t>
      </w:r>
      <w:r w:rsidR="00C87761" w:rsidRPr="00672A4E">
        <w:rPr>
          <w:rFonts w:ascii="Arial" w:eastAsia="Times New Roman" w:hAnsi="Arial" w:cs="Arial"/>
          <w:spacing w:val="2"/>
          <w:sz w:val="24"/>
          <w:szCs w:val="24"/>
          <w:lang w:eastAsia="es-ES"/>
        </w:rPr>
        <w:t>, pues por el contrario, con la confesión hecha por el demandante, lo que queda probado es</w:t>
      </w:r>
      <w:r w:rsidRPr="00672A4E">
        <w:rPr>
          <w:rFonts w:ascii="Arial" w:eastAsia="Times New Roman" w:hAnsi="Arial" w:cs="Arial"/>
          <w:spacing w:val="2"/>
          <w:sz w:val="24"/>
          <w:szCs w:val="24"/>
          <w:lang w:eastAsia="es-ES"/>
        </w:rPr>
        <w:t xml:space="preserve"> </w:t>
      </w:r>
      <w:r w:rsidR="00C87761" w:rsidRPr="00672A4E">
        <w:rPr>
          <w:rFonts w:ascii="Arial" w:eastAsia="Times New Roman" w:hAnsi="Arial" w:cs="Arial"/>
          <w:spacing w:val="2"/>
          <w:sz w:val="24"/>
          <w:szCs w:val="24"/>
          <w:lang w:eastAsia="es-ES"/>
        </w:rPr>
        <w:t>que la</w:t>
      </w:r>
      <w:r w:rsidRPr="00672A4E">
        <w:rPr>
          <w:rFonts w:ascii="Arial" w:eastAsia="Times New Roman" w:hAnsi="Arial" w:cs="Arial"/>
          <w:spacing w:val="2"/>
          <w:sz w:val="24"/>
          <w:szCs w:val="24"/>
          <w:lang w:eastAsia="es-ES"/>
        </w:rPr>
        <w:t xml:space="preserve"> información</w:t>
      </w:r>
      <w:r w:rsidR="00C87761" w:rsidRPr="00672A4E">
        <w:rPr>
          <w:rFonts w:ascii="Arial" w:eastAsia="Times New Roman" w:hAnsi="Arial" w:cs="Arial"/>
          <w:spacing w:val="2"/>
          <w:sz w:val="24"/>
          <w:szCs w:val="24"/>
          <w:lang w:eastAsia="es-ES"/>
        </w:rPr>
        <w:t xml:space="preserve"> dada no contraría</w:t>
      </w:r>
      <w:r w:rsidRPr="00672A4E">
        <w:rPr>
          <w:rFonts w:ascii="Arial" w:eastAsia="Times New Roman" w:hAnsi="Arial" w:cs="Arial"/>
          <w:spacing w:val="2"/>
          <w:sz w:val="24"/>
          <w:szCs w:val="24"/>
          <w:lang w:eastAsia="es-ES"/>
        </w:rPr>
        <w:t xml:space="preserve"> lo dispuesto en los artículos 59 y siguientes de la Ley 100 de 1993</w:t>
      </w:r>
      <w:r w:rsidR="00C87761" w:rsidRPr="00672A4E">
        <w:rPr>
          <w:rFonts w:ascii="Arial" w:eastAsia="Times New Roman" w:hAnsi="Arial" w:cs="Arial"/>
          <w:spacing w:val="2"/>
          <w:sz w:val="24"/>
          <w:szCs w:val="24"/>
          <w:lang w:eastAsia="es-ES"/>
        </w:rPr>
        <w:t>, por lo que equivocado resultaría concluir</w:t>
      </w:r>
      <w:r w:rsidRPr="00672A4E">
        <w:rPr>
          <w:rFonts w:ascii="Arial" w:eastAsia="Times New Roman" w:hAnsi="Arial" w:cs="Arial"/>
          <w:spacing w:val="2"/>
          <w:sz w:val="24"/>
          <w:szCs w:val="24"/>
          <w:lang w:eastAsia="es-ES"/>
        </w:rPr>
        <w:t xml:space="preserve"> que lo manifestado por la AFP </w:t>
      </w:r>
      <w:r w:rsidR="00C87761" w:rsidRPr="00672A4E">
        <w:rPr>
          <w:rFonts w:ascii="Arial" w:eastAsia="Times New Roman" w:hAnsi="Arial" w:cs="Arial"/>
          <w:spacing w:val="2"/>
          <w:sz w:val="24"/>
          <w:szCs w:val="24"/>
          <w:lang w:eastAsia="es-ES"/>
        </w:rPr>
        <w:t>Porvenir S.A.</w:t>
      </w:r>
      <w:r w:rsidRPr="00672A4E">
        <w:rPr>
          <w:rFonts w:ascii="Arial" w:eastAsia="Times New Roman" w:hAnsi="Arial" w:cs="Arial"/>
          <w:spacing w:val="2"/>
          <w:sz w:val="24"/>
          <w:szCs w:val="24"/>
          <w:lang w:eastAsia="es-ES"/>
        </w:rPr>
        <w:t xml:space="preserve"> no obedecía a lo establecido en la Ley;</w:t>
      </w:r>
      <w:r w:rsidR="00C87761" w:rsidRPr="00672A4E">
        <w:rPr>
          <w:rFonts w:ascii="Arial" w:eastAsia="Times New Roman" w:hAnsi="Arial" w:cs="Arial"/>
          <w:spacing w:val="2"/>
          <w:sz w:val="24"/>
          <w:szCs w:val="24"/>
          <w:lang w:eastAsia="es-ES"/>
        </w:rPr>
        <w:t xml:space="preserve"> siendo del caso señalar que cuando al señor Sánchez Montoya se le preguntó cuál había sido la información que se le había dado, en ningún momento afirmó que se le hubiere prometido por parte de la AFP un monto de la pensión de vejez superior a la que podría devengar en el régimen de prima media con prestación definida, al punto que hizo saber que en ese momento, esto es, en el año 1998, no le comunicó al asesor </w:t>
      </w:r>
      <w:r w:rsidR="00BD6525" w:rsidRPr="00672A4E">
        <w:rPr>
          <w:rFonts w:ascii="Arial" w:eastAsia="Times New Roman" w:hAnsi="Arial" w:cs="Arial"/>
          <w:spacing w:val="2"/>
          <w:sz w:val="24"/>
          <w:szCs w:val="24"/>
          <w:lang w:eastAsia="es-ES"/>
        </w:rPr>
        <w:t>cuál</w:t>
      </w:r>
      <w:r w:rsidR="00C87761" w:rsidRPr="00672A4E">
        <w:rPr>
          <w:rFonts w:ascii="Arial" w:eastAsia="Times New Roman" w:hAnsi="Arial" w:cs="Arial"/>
          <w:spacing w:val="2"/>
          <w:sz w:val="24"/>
          <w:szCs w:val="24"/>
          <w:lang w:eastAsia="es-ES"/>
        </w:rPr>
        <w:t xml:space="preserve"> era su expectativa pensional.</w:t>
      </w:r>
    </w:p>
    <w:p w:rsidR="009C03F0" w:rsidRPr="00672A4E" w:rsidRDefault="009C03F0" w:rsidP="0063386F">
      <w:pPr>
        <w:spacing w:after="0"/>
        <w:jc w:val="both"/>
        <w:rPr>
          <w:rFonts w:ascii="Arial" w:eastAsia="Times New Roman" w:hAnsi="Arial" w:cs="Arial"/>
          <w:spacing w:val="2"/>
          <w:sz w:val="24"/>
          <w:szCs w:val="24"/>
          <w:lang w:eastAsia="es-ES"/>
        </w:rPr>
      </w:pPr>
    </w:p>
    <w:p w:rsidR="009C03F0" w:rsidRPr="00672A4E" w:rsidRDefault="009C03F0" w:rsidP="0063386F">
      <w:pPr>
        <w:spacing w:after="0"/>
        <w:jc w:val="both"/>
        <w:rPr>
          <w:rFonts w:ascii="Arial" w:eastAsia="Times New Roman" w:hAnsi="Arial" w:cs="Arial"/>
          <w:spacing w:val="2"/>
          <w:sz w:val="24"/>
          <w:szCs w:val="24"/>
          <w:lang w:eastAsia="es-ES"/>
        </w:rPr>
      </w:pPr>
      <w:r w:rsidRPr="00672A4E">
        <w:rPr>
          <w:rFonts w:ascii="Arial" w:eastAsia="Times New Roman" w:hAnsi="Arial" w:cs="Arial"/>
          <w:spacing w:val="2"/>
          <w:sz w:val="24"/>
          <w:szCs w:val="24"/>
          <w:lang w:eastAsia="es-ES"/>
        </w:rPr>
        <w:t xml:space="preserve">Tampoco puede perderse de vista que </w:t>
      </w:r>
      <w:r w:rsidR="00257A77" w:rsidRPr="00672A4E">
        <w:rPr>
          <w:rFonts w:ascii="Arial" w:eastAsia="Times New Roman" w:hAnsi="Arial" w:cs="Arial"/>
          <w:spacing w:val="2"/>
          <w:sz w:val="24"/>
          <w:szCs w:val="24"/>
          <w:lang w:eastAsia="es-ES"/>
        </w:rPr>
        <w:t>el accionante fue informado</w:t>
      </w:r>
      <w:r w:rsidR="007639A4" w:rsidRPr="00672A4E">
        <w:rPr>
          <w:rFonts w:ascii="Arial" w:eastAsia="Times New Roman" w:hAnsi="Arial" w:cs="Arial"/>
          <w:spacing w:val="2"/>
          <w:sz w:val="24"/>
          <w:szCs w:val="24"/>
          <w:lang w:eastAsia="es-ES"/>
        </w:rPr>
        <w:t xml:space="preserve"> y en consecuencia era consciente</w:t>
      </w:r>
      <w:r w:rsidR="00257A77" w:rsidRPr="00672A4E">
        <w:rPr>
          <w:rFonts w:ascii="Arial" w:eastAsia="Times New Roman" w:hAnsi="Arial" w:cs="Arial"/>
          <w:spacing w:val="2"/>
          <w:sz w:val="24"/>
          <w:szCs w:val="24"/>
          <w:lang w:eastAsia="es-ES"/>
        </w:rPr>
        <w:t xml:space="preserve"> de que podía movilizarse entre regímenes cada tres años, tal y como lo establecía en ese momento </w:t>
      </w:r>
      <w:r w:rsidR="007639A4" w:rsidRPr="00672A4E">
        <w:rPr>
          <w:rFonts w:ascii="Arial" w:eastAsia="Times New Roman" w:hAnsi="Arial" w:cs="Arial"/>
          <w:spacing w:val="2"/>
          <w:sz w:val="24"/>
          <w:szCs w:val="24"/>
          <w:lang w:eastAsia="es-ES"/>
        </w:rPr>
        <w:t>el literal e) del artículo 13 de la Ley 100 de 1993 en su versión original y que a partir de la modificación que le introdujo el artículo 2º de la Ley 797 de 2003 paso a ser de cinco años</w:t>
      </w:r>
      <w:r w:rsidR="008E16C1" w:rsidRPr="00672A4E">
        <w:rPr>
          <w:rFonts w:ascii="Arial" w:eastAsia="Times New Roman" w:hAnsi="Arial" w:cs="Arial"/>
          <w:spacing w:val="2"/>
          <w:sz w:val="24"/>
          <w:szCs w:val="24"/>
          <w:lang w:eastAsia="es-ES"/>
        </w:rPr>
        <w:t xml:space="preserve">; </w:t>
      </w:r>
      <w:r w:rsidRPr="00672A4E">
        <w:rPr>
          <w:rFonts w:ascii="Arial" w:eastAsia="Times New Roman" w:hAnsi="Arial" w:cs="Arial"/>
          <w:spacing w:val="2"/>
          <w:sz w:val="24"/>
          <w:szCs w:val="24"/>
          <w:lang w:eastAsia="es-ES"/>
        </w:rPr>
        <w:t xml:space="preserve">facultad de la cual no hizo uso en su oportunidad legal, ya que después del </w:t>
      </w:r>
      <w:r w:rsidR="008E16C1" w:rsidRPr="00672A4E">
        <w:rPr>
          <w:rFonts w:ascii="Arial" w:eastAsia="Times New Roman" w:hAnsi="Arial" w:cs="Arial"/>
          <w:spacing w:val="2"/>
          <w:sz w:val="24"/>
          <w:szCs w:val="24"/>
          <w:lang w:eastAsia="es-ES"/>
        </w:rPr>
        <w:t>23 de enero de 1998</w:t>
      </w:r>
      <w:r w:rsidRPr="00672A4E">
        <w:rPr>
          <w:rFonts w:ascii="Arial" w:eastAsia="Times New Roman" w:hAnsi="Arial" w:cs="Arial"/>
          <w:spacing w:val="2"/>
          <w:sz w:val="24"/>
          <w:szCs w:val="24"/>
          <w:lang w:eastAsia="es-ES"/>
        </w:rPr>
        <w:t xml:space="preserve"> cuando realizó la selección del régimen de ahorro individual con solidari</w:t>
      </w:r>
      <w:r w:rsidR="008E16C1" w:rsidRPr="00672A4E">
        <w:rPr>
          <w:rFonts w:ascii="Arial" w:eastAsia="Times New Roman" w:hAnsi="Arial" w:cs="Arial"/>
          <w:spacing w:val="2"/>
          <w:sz w:val="24"/>
          <w:szCs w:val="24"/>
          <w:lang w:eastAsia="es-ES"/>
        </w:rPr>
        <w:t>dad, decidió mantenerse afiliado</w:t>
      </w:r>
      <w:r w:rsidRPr="00672A4E">
        <w:rPr>
          <w:rFonts w:ascii="Arial" w:eastAsia="Times New Roman" w:hAnsi="Arial" w:cs="Arial"/>
          <w:spacing w:val="2"/>
          <w:sz w:val="24"/>
          <w:szCs w:val="24"/>
          <w:lang w:eastAsia="es-ES"/>
        </w:rPr>
        <w:t xml:space="preserve"> a ese régimen pensional.</w:t>
      </w:r>
    </w:p>
    <w:p w:rsidR="009C03F0" w:rsidRPr="00672A4E" w:rsidRDefault="009C03F0" w:rsidP="0063386F">
      <w:pPr>
        <w:spacing w:after="0"/>
        <w:jc w:val="both"/>
        <w:rPr>
          <w:rFonts w:ascii="Arial" w:eastAsia="Times New Roman" w:hAnsi="Arial" w:cs="Arial"/>
          <w:spacing w:val="2"/>
          <w:sz w:val="24"/>
          <w:szCs w:val="24"/>
          <w:lang w:eastAsia="es-ES"/>
        </w:rPr>
      </w:pPr>
    </w:p>
    <w:p w:rsidR="009C03F0" w:rsidRPr="00672A4E" w:rsidRDefault="009C03F0" w:rsidP="0063386F">
      <w:pPr>
        <w:spacing w:after="0"/>
        <w:jc w:val="both"/>
        <w:rPr>
          <w:rFonts w:ascii="Arial" w:eastAsia="Times New Roman" w:hAnsi="Arial" w:cs="Arial"/>
          <w:spacing w:val="2"/>
          <w:sz w:val="24"/>
          <w:szCs w:val="24"/>
          <w:lang w:eastAsia="es-ES"/>
        </w:rPr>
      </w:pPr>
      <w:r w:rsidRPr="00672A4E">
        <w:rPr>
          <w:rFonts w:ascii="Arial" w:eastAsia="Times New Roman" w:hAnsi="Arial" w:cs="Arial"/>
          <w:spacing w:val="2"/>
          <w:sz w:val="24"/>
          <w:szCs w:val="24"/>
          <w:lang w:eastAsia="es-ES"/>
        </w:rPr>
        <w:t xml:space="preserve">Así las cosas, al no quedar acreditado que el traslado efectuado por </w:t>
      </w:r>
      <w:r w:rsidR="001B28C9" w:rsidRPr="00672A4E">
        <w:rPr>
          <w:rFonts w:ascii="Arial" w:eastAsia="Times New Roman" w:hAnsi="Arial" w:cs="Arial"/>
          <w:spacing w:val="2"/>
          <w:sz w:val="24"/>
          <w:szCs w:val="24"/>
          <w:lang w:eastAsia="es-ES"/>
        </w:rPr>
        <w:t>el actor</w:t>
      </w:r>
      <w:r w:rsidRPr="00672A4E">
        <w:rPr>
          <w:rFonts w:ascii="Arial" w:eastAsia="Times New Roman" w:hAnsi="Arial" w:cs="Arial"/>
          <w:spacing w:val="2"/>
          <w:sz w:val="24"/>
          <w:szCs w:val="24"/>
          <w:lang w:eastAsia="es-ES"/>
        </w:rPr>
        <w:t xml:space="preserve"> ocurrió por un engaño en el que la hizo incurrir la AFP</w:t>
      </w:r>
      <w:r w:rsidR="001B28C9" w:rsidRPr="00672A4E">
        <w:rPr>
          <w:rFonts w:ascii="Arial" w:eastAsia="Times New Roman" w:hAnsi="Arial" w:cs="Arial"/>
          <w:spacing w:val="2"/>
          <w:sz w:val="24"/>
          <w:szCs w:val="24"/>
          <w:lang w:eastAsia="es-ES"/>
        </w:rPr>
        <w:t xml:space="preserve"> y que él</w:t>
      </w:r>
      <w:r w:rsidRPr="00672A4E">
        <w:rPr>
          <w:rFonts w:ascii="Arial" w:eastAsia="Times New Roman" w:hAnsi="Arial" w:cs="Arial"/>
          <w:spacing w:val="2"/>
          <w:sz w:val="24"/>
          <w:szCs w:val="24"/>
          <w:lang w:eastAsia="es-ES"/>
        </w:rPr>
        <w:t xml:space="preserve"> no hizo uso oportuno de la facultad de trasladarse, necesario resulta concluir que el mismo no resulta ineficaz, motivo por el que se confirmará la sentencia proferida por el Juzgado </w:t>
      </w:r>
      <w:r w:rsidR="001B28C9" w:rsidRPr="00672A4E">
        <w:rPr>
          <w:rFonts w:ascii="Arial" w:eastAsia="Times New Roman" w:hAnsi="Arial" w:cs="Arial"/>
          <w:spacing w:val="2"/>
          <w:sz w:val="24"/>
          <w:szCs w:val="24"/>
          <w:lang w:eastAsia="es-ES"/>
        </w:rPr>
        <w:t>Cuarto</w:t>
      </w:r>
      <w:r w:rsidRPr="00672A4E">
        <w:rPr>
          <w:rFonts w:ascii="Arial" w:eastAsia="Times New Roman" w:hAnsi="Arial" w:cs="Arial"/>
          <w:spacing w:val="2"/>
          <w:sz w:val="24"/>
          <w:szCs w:val="24"/>
          <w:lang w:eastAsia="es-ES"/>
        </w:rPr>
        <w:t xml:space="preserve"> Laboral del Circuito el </w:t>
      </w:r>
      <w:r w:rsidR="001B28C9" w:rsidRPr="00672A4E">
        <w:rPr>
          <w:rFonts w:ascii="Arial" w:eastAsia="Times New Roman" w:hAnsi="Arial" w:cs="Arial"/>
          <w:spacing w:val="2"/>
          <w:sz w:val="24"/>
          <w:szCs w:val="24"/>
          <w:lang w:eastAsia="es-ES"/>
        </w:rPr>
        <w:t>12 de abril</w:t>
      </w:r>
      <w:r w:rsidR="00D57698" w:rsidRPr="00672A4E">
        <w:rPr>
          <w:rFonts w:ascii="Arial" w:eastAsia="Times New Roman" w:hAnsi="Arial" w:cs="Arial"/>
          <w:spacing w:val="2"/>
          <w:sz w:val="24"/>
          <w:szCs w:val="24"/>
          <w:lang w:eastAsia="es-ES"/>
        </w:rPr>
        <w:t xml:space="preserve"> de 2018</w:t>
      </w:r>
      <w:r w:rsidRPr="00672A4E">
        <w:rPr>
          <w:rFonts w:ascii="Arial" w:eastAsia="Times New Roman" w:hAnsi="Arial" w:cs="Arial"/>
          <w:spacing w:val="2"/>
          <w:sz w:val="24"/>
          <w:szCs w:val="24"/>
          <w:lang w:eastAsia="es-ES"/>
        </w:rPr>
        <w:t>.</w:t>
      </w:r>
    </w:p>
    <w:p w:rsidR="007F00B4" w:rsidRPr="00672A4E" w:rsidRDefault="007F00B4" w:rsidP="0063386F">
      <w:pPr>
        <w:spacing w:after="0"/>
        <w:jc w:val="both"/>
        <w:rPr>
          <w:rFonts w:ascii="Arial" w:eastAsia="Times New Roman" w:hAnsi="Arial" w:cs="Arial"/>
          <w:spacing w:val="2"/>
          <w:sz w:val="24"/>
          <w:szCs w:val="24"/>
          <w:lang w:eastAsia="es-ES"/>
        </w:rPr>
      </w:pPr>
    </w:p>
    <w:p w:rsidR="007F00B4" w:rsidRPr="00672A4E" w:rsidRDefault="007F00B4" w:rsidP="0063386F">
      <w:pPr>
        <w:spacing w:after="0"/>
        <w:jc w:val="both"/>
        <w:rPr>
          <w:rFonts w:ascii="Arial" w:eastAsia="Times New Roman" w:hAnsi="Arial" w:cs="Arial"/>
          <w:spacing w:val="2"/>
          <w:sz w:val="24"/>
          <w:szCs w:val="24"/>
          <w:lang w:eastAsia="es-ES"/>
        </w:rPr>
      </w:pPr>
      <w:r w:rsidRPr="00672A4E">
        <w:rPr>
          <w:rFonts w:ascii="Arial" w:eastAsia="Times New Roman" w:hAnsi="Arial" w:cs="Arial"/>
          <w:spacing w:val="2"/>
          <w:sz w:val="24"/>
          <w:szCs w:val="24"/>
          <w:lang w:eastAsia="es-ES"/>
        </w:rPr>
        <w:t xml:space="preserve">Costas en </w:t>
      </w:r>
      <w:r w:rsidR="00C91795" w:rsidRPr="00672A4E">
        <w:rPr>
          <w:rFonts w:ascii="Arial" w:eastAsia="Times New Roman" w:hAnsi="Arial" w:cs="Arial"/>
          <w:spacing w:val="2"/>
          <w:sz w:val="24"/>
          <w:szCs w:val="24"/>
          <w:lang w:eastAsia="es-ES"/>
        </w:rPr>
        <w:t>esta sede</w:t>
      </w:r>
      <w:r w:rsidRPr="00672A4E">
        <w:rPr>
          <w:rFonts w:ascii="Arial" w:eastAsia="Times New Roman" w:hAnsi="Arial" w:cs="Arial"/>
          <w:spacing w:val="2"/>
          <w:sz w:val="24"/>
          <w:szCs w:val="24"/>
          <w:lang w:eastAsia="es-ES"/>
        </w:rPr>
        <w:t xml:space="preserve"> a cargo de la parte actora en un 100%. </w:t>
      </w:r>
    </w:p>
    <w:p w:rsidR="007F00B4" w:rsidRPr="00672A4E" w:rsidRDefault="007F00B4" w:rsidP="0063386F">
      <w:pPr>
        <w:widowControl w:val="0"/>
        <w:autoSpaceDE w:val="0"/>
        <w:autoSpaceDN w:val="0"/>
        <w:adjustRightInd w:val="0"/>
        <w:spacing w:after="0"/>
        <w:jc w:val="both"/>
        <w:rPr>
          <w:rFonts w:ascii="Arial" w:hAnsi="Arial" w:cs="Arial"/>
          <w:spacing w:val="2"/>
          <w:sz w:val="24"/>
          <w:szCs w:val="24"/>
        </w:rPr>
      </w:pPr>
    </w:p>
    <w:p w:rsidR="007F00B4" w:rsidRPr="00672A4E" w:rsidRDefault="007F00B4" w:rsidP="0063386F">
      <w:pPr>
        <w:widowControl w:val="0"/>
        <w:autoSpaceDE w:val="0"/>
        <w:autoSpaceDN w:val="0"/>
        <w:adjustRightInd w:val="0"/>
        <w:spacing w:after="0"/>
        <w:jc w:val="both"/>
        <w:rPr>
          <w:rFonts w:ascii="Arial" w:hAnsi="Arial" w:cs="Arial"/>
          <w:spacing w:val="2"/>
          <w:sz w:val="24"/>
          <w:szCs w:val="24"/>
        </w:rPr>
      </w:pPr>
      <w:r w:rsidRPr="00672A4E">
        <w:rPr>
          <w:rFonts w:ascii="Arial" w:hAnsi="Arial" w:cs="Arial"/>
          <w:spacing w:val="2"/>
          <w:sz w:val="24"/>
          <w:szCs w:val="24"/>
        </w:rPr>
        <w:t xml:space="preserve">En mérito de lo expuesto, la </w:t>
      </w:r>
      <w:r w:rsidR="001E022A" w:rsidRPr="00672A4E">
        <w:rPr>
          <w:rFonts w:ascii="Arial" w:hAnsi="Arial" w:cs="Arial"/>
          <w:b/>
          <w:spacing w:val="2"/>
          <w:sz w:val="24"/>
          <w:szCs w:val="24"/>
        </w:rPr>
        <w:t>Sala de Decisión Laboral Nº 3</w:t>
      </w:r>
      <w:r w:rsidRPr="00672A4E">
        <w:rPr>
          <w:rFonts w:ascii="Arial" w:hAnsi="Arial" w:cs="Arial"/>
          <w:b/>
          <w:spacing w:val="2"/>
          <w:sz w:val="24"/>
          <w:szCs w:val="24"/>
        </w:rPr>
        <w:t xml:space="preserve"> del Tribunal Superior de Pereira</w:t>
      </w:r>
      <w:r w:rsidRPr="00672A4E">
        <w:rPr>
          <w:rFonts w:ascii="Arial" w:hAnsi="Arial" w:cs="Arial"/>
          <w:spacing w:val="2"/>
          <w:sz w:val="24"/>
          <w:szCs w:val="24"/>
        </w:rPr>
        <w:t xml:space="preserve">, administrando justicia en nombre de la República y por autoridad de la ley, </w:t>
      </w:r>
    </w:p>
    <w:p w:rsidR="007F00B4" w:rsidRPr="00672A4E" w:rsidRDefault="007F00B4" w:rsidP="0063386F">
      <w:pPr>
        <w:widowControl w:val="0"/>
        <w:autoSpaceDE w:val="0"/>
        <w:autoSpaceDN w:val="0"/>
        <w:adjustRightInd w:val="0"/>
        <w:spacing w:after="0"/>
        <w:jc w:val="both"/>
        <w:rPr>
          <w:rFonts w:ascii="Arial" w:hAnsi="Arial" w:cs="Arial"/>
          <w:spacing w:val="2"/>
          <w:sz w:val="24"/>
          <w:szCs w:val="24"/>
        </w:rPr>
      </w:pPr>
    </w:p>
    <w:p w:rsidR="007F00B4" w:rsidRPr="00672A4E" w:rsidRDefault="007F00B4" w:rsidP="0063386F">
      <w:pPr>
        <w:widowControl w:val="0"/>
        <w:autoSpaceDE w:val="0"/>
        <w:autoSpaceDN w:val="0"/>
        <w:adjustRightInd w:val="0"/>
        <w:spacing w:after="0"/>
        <w:jc w:val="center"/>
        <w:rPr>
          <w:rFonts w:ascii="Arial" w:hAnsi="Arial" w:cs="Arial"/>
          <w:b/>
          <w:spacing w:val="2"/>
          <w:sz w:val="24"/>
          <w:szCs w:val="24"/>
        </w:rPr>
      </w:pPr>
      <w:r w:rsidRPr="00672A4E">
        <w:rPr>
          <w:rFonts w:ascii="Arial" w:hAnsi="Arial" w:cs="Arial"/>
          <w:b/>
          <w:spacing w:val="2"/>
          <w:sz w:val="24"/>
          <w:szCs w:val="24"/>
        </w:rPr>
        <w:t>RESUELVE</w:t>
      </w:r>
    </w:p>
    <w:p w:rsidR="0063386F" w:rsidRPr="00672A4E" w:rsidRDefault="0063386F" w:rsidP="0063386F">
      <w:pPr>
        <w:widowControl w:val="0"/>
        <w:autoSpaceDE w:val="0"/>
        <w:autoSpaceDN w:val="0"/>
        <w:adjustRightInd w:val="0"/>
        <w:spacing w:after="0"/>
        <w:jc w:val="both"/>
        <w:rPr>
          <w:rFonts w:ascii="Arial" w:hAnsi="Arial" w:cs="Arial"/>
          <w:b/>
          <w:spacing w:val="2"/>
          <w:sz w:val="24"/>
          <w:szCs w:val="24"/>
        </w:rPr>
      </w:pPr>
    </w:p>
    <w:p w:rsidR="007F00B4" w:rsidRPr="00672A4E" w:rsidRDefault="007F00B4" w:rsidP="0063386F">
      <w:pPr>
        <w:widowControl w:val="0"/>
        <w:autoSpaceDE w:val="0"/>
        <w:autoSpaceDN w:val="0"/>
        <w:adjustRightInd w:val="0"/>
        <w:spacing w:after="0"/>
        <w:jc w:val="both"/>
        <w:rPr>
          <w:rFonts w:ascii="Arial" w:hAnsi="Arial" w:cs="Arial"/>
          <w:spacing w:val="2"/>
          <w:sz w:val="24"/>
          <w:szCs w:val="24"/>
        </w:rPr>
      </w:pPr>
      <w:r w:rsidRPr="00672A4E">
        <w:rPr>
          <w:rFonts w:ascii="Arial" w:hAnsi="Arial" w:cs="Arial"/>
          <w:b/>
          <w:spacing w:val="2"/>
          <w:sz w:val="24"/>
          <w:szCs w:val="24"/>
        </w:rPr>
        <w:lastRenderedPageBreak/>
        <w:t xml:space="preserve">PRIMERO. </w:t>
      </w:r>
      <w:r w:rsidR="00C91795" w:rsidRPr="00672A4E">
        <w:rPr>
          <w:rFonts w:ascii="Arial" w:hAnsi="Arial" w:cs="Arial"/>
          <w:b/>
          <w:spacing w:val="2"/>
          <w:sz w:val="24"/>
          <w:szCs w:val="24"/>
        </w:rPr>
        <w:t xml:space="preserve">CONFIRMAR </w:t>
      </w:r>
      <w:r w:rsidR="00C91795" w:rsidRPr="00672A4E">
        <w:rPr>
          <w:rFonts w:ascii="Arial" w:hAnsi="Arial" w:cs="Arial"/>
          <w:spacing w:val="2"/>
          <w:sz w:val="24"/>
          <w:szCs w:val="24"/>
        </w:rPr>
        <w:t>la sentencia recurrida.</w:t>
      </w:r>
    </w:p>
    <w:p w:rsidR="007F00B4" w:rsidRPr="00672A4E" w:rsidRDefault="007F00B4" w:rsidP="0063386F">
      <w:pPr>
        <w:widowControl w:val="0"/>
        <w:autoSpaceDE w:val="0"/>
        <w:autoSpaceDN w:val="0"/>
        <w:adjustRightInd w:val="0"/>
        <w:spacing w:after="0"/>
        <w:jc w:val="both"/>
        <w:rPr>
          <w:rFonts w:ascii="Arial" w:hAnsi="Arial" w:cs="Arial"/>
          <w:spacing w:val="2"/>
          <w:sz w:val="24"/>
          <w:szCs w:val="24"/>
        </w:rPr>
      </w:pPr>
    </w:p>
    <w:p w:rsidR="007F00B4" w:rsidRPr="00672A4E" w:rsidRDefault="007F00B4" w:rsidP="0063386F">
      <w:pPr>
        <w:widowControl w:val="0"/>
        <w:autoSpaceDE w:val="0"/>
        <w:autoSpaceDN w:val="0"/>
        <w:adjustRightInd w:val="0"/>
        <w:spacing w:after="0"/>
        <w:jc w:val="both"/>
        <w:rPr>
          <w:rFonts w:ascii="Arial" w:hAnsi="Arial" w:cs="Arial"/>
          <w:spacing w:val="2"/>
          <w:sz w:val="24"/>
          <w:szCs w:val="24"/>
        </w:rPr>
      </w:pPr>
      <w:r w:rsidRPr="00672A4E">
        <w:rPr>
          <w:rFonts w:ascii="Arial" w:hAnsi="Arial" w:cs="Arial"/>
          <w:b/>
          <w:spacing w:val="2"/>
          <w:sz w:val="24"/>
          <w:szCs w:val="24"/>
        </w:rPr>
        <w:t xml:space="preserve">SEGUNDO. CONDENAR </w:t>
      </w:r>
      <w:r w:rsidRPr="00672A4E">
        <w:rPr>
          <w:rFonts w:ascii="Arial" w:hAnsi="Arial" w:cs="Arial"/>
          <w:spacing w:val="2"/>
          <w:sz w:val="24"/>
          <w:szCs w:val="24"/>
        </w:rPr>
        <w:t xml:space="preserve">en costas en </w:t>
      </w:r>
      <w:r w:rsidR="00C91795" w:rsidRPr="00672A4E">
        <w:rPr>
          <w:rFonts w:ascii="Arial" w:hAnsi="Arial" w:cs="Arial"/>
          <w:spacing w:val="2"/>
          <w:sz w:val="24"/>
          <w:szCs w:val="24"/>
        </w:rPr>
        <w:t>esta instancia</w:t>
      </w:r>
      <w:r w:rsidRPr="00672A4E">
        <w:rPr>
          <w:rFonts w:ascii="Arial" w:hAnsi="Arial" w:cs="Arial"/>
          <w:spacing w:val="2"/>
          <w:sz w:val="24"/>
          <w:szCs w:val="24"/>
        </w:rPr>
        <w:t xml:space="preserve"> a la parte actora en un 100%.</w:t>
      </w:r>
    </w:p>
    <w:p w:rsidR="007F00B4" w:rsidRPr="00672A4E" w:rsidRDefault="007F00B4" w:rsidP="0063386F">
      <w:pPr>
        <w:spacing w:after="0"/>
        <w:jc w:val="both"/>
        <w:rPr>
          <w:rFonts w:ascii="Arial" w:hAnsi="Arial" w:cs="Arial"/>
          <w:spacing w:val="2"/>
          <w:sz w:val="24"/>
          <w:szCs w:val="24"/>
          <w:lang w:val="es-ES_tradnl"/>
        </w:rPr>
      </w:pPr>
    </w:p>
    <w:p w:rsidR="007F00B4" w:rsidRPr="00672A4E" w:rsidRDefault="007F00B4" w:rsidP="0063386F">
      <w:pPr>
        <w:widowControl w:val="0"/>
        <w:autoSpaceDE w:val="0"/>
        <w:autoSpaceDN w:val="0"/>
        <w:adjustRightInd w:val="0"/>
        <w:spacing w:after="0"/>
        <w:jc w:val="both"/>
        <w:rPr>
          <w:rFonts w:ascii="Arial" w:hAnsi="Arial" w:cs="Arial"/>
          <w:spacing w:val="2"/>
          <w:sz w:val="24"/>
          <w:szCs w:val="24"/>
        </w:rPr>
      </w:pPr>
      <w:r w:rsidRPr="00672A4E">
        <w:rPr>
          <w:rFonts w:ascii="Arial" w:hAnsi="Arial" w:cs="Arial"/>
          <w:spacing w:val="2"/>
          <w:sz w:val="24"/>
          <w:szCs w:val="24"/>
        </w:rPr>
        <w:t>Notificación surtida en estrados.</w:t>
      </w:r>
    </w:p>
    <w:p w:rsidR="007F00B4" w:rsidRPr="00672A4E" w:rsidRDefault="007F00B4" w:rsidP="0063386F">
      <w:pPr>
        <w:widowControl w:val="0"/>
        <w:autoSpaceDE w:val="0"/>
        <w:autoSpaceDN w:val="0"/>
        <w:adjustRightInd w:val="0"/>
        <w:spacing w:after="0"/>
        <w:jc w:val="both"/>
        <w:rPr>
          <w:rFonts w:ascii="Arial" w:hAnsi="Arial" w:cs="Arial"/>
          <w:spacing w:val="2"/>
          <w:sz w:val="24"/>
          <w:szCs w:val="24"/>
        </w:rPr>
      </w:pPr>
    </w:p>
    <w:p w:rsidR="007F00B4" w:rsidRPr="00672A4E" w:rsidRDefault="007F00B4" w:rsidP="0063386F">
      <w:pPr>
        <w:widowControl w:val="0"/>
        <w:autoSpaceDE w:val="0"/>
        <w:autoSpaceDN w:val="0"/>
        <w:adjustRightInd w:val="0"/>
        <w:spacing w:after="0"/>
        <w:jc w:val="both"/>
        <w:rPr>
          <w:rFonts w:ascii="Arial" w:hAnsi="Arial" w:cs="Arial"/>
          <w:spacing w:val="2"/>
          <w:sz w:val="24"/>
          <w:szCs w:val="24"/>
        </w:rPr>
      </w:pPr>
      <w:r w:rsidRPr="00672A4E">
        <w:rPr>
          <w:rFonts w:ascii="Arial" w:hAnsi="Arial" w:cs="Arial"/>
          <w:spacing w:val="2"/>
          <w:sz w:val="24"/>
          <w:szCs w:val="24"/>
        </w:rPr>
        <w:t>No siendo otro el objeto de la presente audiencia se levanta y firma esta acta por las personas que en ella han intervenido.</w:t>
      </w:r>
    </w:p>
    <w:p w:rsidR="007F00B4" w:rsidRPr="00672A4E" w:rsidRDefault="007F00B4" w:rsidP="0063386F">
      <w:pPr>
        <w:spacing w:after="0"/>
        <w:jc w:val="both"/>
        <w:rPr>
          <w:rFonts w:ascii="Arial" w:eastAsia="Times New Roman" w:hAnsi="Arial" w:cs="Arial"/>
          <w:spacing w:val="2"/>
          <w:sz w:val="24"/>
          <w:szCs w:val="24"/>
          <w:lang w:eastAsia="es-ES"/>
        </w:rPr>
      </w:pPr>
    </w:p>
    <w:p w:rsidR="007F00B4" w:rsidRPr="00672A4E" w:rsidRDefault="007F00B4" w:rsidP="0063386F">
      <w:pPr>
        <w:widowControl w:val="0"/>
        <w:autoSpaceDE w:val="0"/>
        <w:autoSpaceDN w:val="0"/>
        <w:adjustRightInd w:val="0"/>
        <w:spacing w:after="0"/>
        <w:jc w:val="both"/>
        <w:rPr>
          <w:rFonts w:ascii="Arial" w:hAnsi="Arial" w:cs="Arial"/>
          <w:spacing w:val="2"/>
          <w:sz w:val="24"/>
          <w:szCs w:val="24"/>
        </w:rPr>
      </w:pPr>
      <w:r w:rsidRPr="00672A4E">
        <w:rPr>
          <w:rFonts w:ascii="Arial" w:hAnsi="Arial" w:cs="Arial"/>
          <w:spacing w:val="2"/>
          <w:sz w:val="24"/>
          <w:szCs w:val="24"/>
        </w:rPr>
        <w:t xml:space="preserve">Quienes </w:t>
      </w:r>
      <w:r w:rsidR="00B12EC7" w:rsidRPr="00672A4E">
        <w:rPr>
          <w:rFonts w:ascii="Arial" w:hAnsi="Arial" w:cs="Arial"/>
          <w:spacing w:val="2"/>
          <w:sz w:val="24"/>
          <w:szCs w:val="24"/>
        </w:rPr>
        <w:t>i</w:t>
      </w:r>
      <w:r w:rsidRPr="00672A4E">
        <w:rPr>
          <w:rFonts w:ascii="Arial" w:hAnsi="Arial" w:cs="Arial"/>
          <w:spacing w:val="2"/>
          <w:sz w:val="24"/>
          <w:szCs w:val="24"/>
        </w:rPr>
        <w:t>ntegran la Sala,</w:t>
      </w:r>
      <w:bookmarkStart w:id="1" w:name="_GoBack"/>
      <w:bookmarkEnd w:id="1"/>
    </w:p>
    <w:p w:rsidR="007F00B4" w:rsidRPr="0063386F" w:rsidRDefault="007F00B4" w:rsidP="0063386F">
      <w:pPr>
        <w:widowControl w:val="0"/>
        <w:autoSpaceDE w:val="0"/>
        <w:autoSpaceDN w:val="0"/>
        <w:adjustRightInd w:val="0"/>
        <w:spacing w:after="0"/>
        <w:rPr>
          <w:rFonts w:ascii="Arial" w:hAnsi="Arial" w:cs="Arial"/>
          <w:b/>
          <w:sz w:val="24"/>
          <w:szCs w:val="24"/>
        </w:rPr>
      </w:pPr>
    </w:p>
    <w:p w:rsidR="00E334E3" w:rsidRDefault="00E334E3" w:rsidP="0063386F">
      <w:pPr>
        <w:widowControl w:val="0"/>
        <w:autoSpaceDE w:val="0"/>
        <w:autoSpaceDN w:val="0"/>
        <w:adjustRightInd w:val="0"/>
        <w:spacing w:after="0"/>
        <w:rPr>
          <w:rFonts w:ascii="Arial" w:hAnsi="Arial" w:cs="Arial"/>
          <w:b/>
          <w:sz w:val="24"/>
          <w:szCs w:val="24"/>
        </w:rPr>
      </w:pPr>
    </w:p>
    <w:p w:rsidR="0063386F" w:rsidRPr="0063386F" w:rsidRDefault="0063386F" w:rsidP="0063386F">
      <w:pPr>
        <w:widowControl w:val="0"/>
        <w:autoSpaceDE w:val="0"/>
        <w:autoSpaceDN w:val="0"/>
        <w:adjustRightInd w:val="0"/>
        <w:spacing w:after="0"/>
        <w:rPr>
          <w:rFonts w:ascii="Arial" w:hAnsi="Arial" w:cs="Arial"/>
          <w:b/>
          <w:sz w:val="24"/>
          <w:szCs w:val="24"/>
        </w:rPr>
      </w:pPr>
    </w:p>
    <w:p w:rsidR="007F00B4" w:rsidRPr="0063386F" w:rsidRDefault="007F00B4" w:rsidP="0063386F">
      <w:pPr>
        <w:widowControl w:val="0"/>
        <w:autoSpaceDE w:val="0"/>
        <w:autoSpaceDN w:val="0"/>
        <w:adjustRightInd w:val="0"/>
        <w:spacing w:after="0"/>
        <w:jc w:val="center"/>
        <w:rPr>
          <w:rFonts w:ascii="Arial" w:hAnsi="Arial" w:cs="Arial"/>
          <w:b/>
          <w:sz w:val="24"/>
          <w:szCs w:val="24"/>
        </w:rPr>
      </w:pPr>
      <w:r w:rsidRPr="0063386F">
        <w:rPr>
          <w:rFonts w:ascii="Arial" w:hAnsi="Arial" w:cs="Arial"/>
          <w:b/>
          <w:sz w:val="24"/>
          <w:szCs w:val="24"/>
        </w:rPr>
        <w:t>JULIO CÉSAR SALAZAR MUÑOZ</w:t>
      </w:r>
    </w:p>
    <w:p w:rsidR="007F00B4" w:rsidRPr="0063386F" w:rsidRDefault="007F00B4" w:rsidP="0063386F">
      <w:pPr>
        <w:widowControl w:val="0"/>
        <w:autoSpaceDE w:val="0"/>
        <w:autoSpaceDN w:val="0"/>
        <w:adjustRightInd w:val="0"/>
        <w:spacing w:after="0"/>
        <w:jc w:val="center"/>
        <w:rPr>
          <w:rFonts w:ascii="Arial" w:hAnsi="Arial" w:cs="Arial"/>
          <w:sz w:val="24"/>
          <w:szCs w:val="24"/>
        </w:rPr>
      </w:pPr>
      <w:r w:rsidRPr="0063386F">
        <w:rPr>
          <w:rFonts w:ascii="Arial" w:hAnsi="Arial" w:cs="Arial"/>
          <w:sz w:val="24"/>
          <w:szCs w:val="24"/>
        </w:rPr>
        <w:t>Ponente</w:t>
      </w:r>
    </w:p>
    <w:p w:rsidR="007F00B4" w:rsidRPr="0063386F" w:rsidRDefault="007F00B4" w:rsidP="0063386F">
      <w:pPr>
        <w:widowControl w:val="0"/>
        <w:autoSpaceDE w:val="0"/>
        <w:autoSpaceDN w:val="0"/>
        <w:adjustRightInd w:val="0"/>
        <w:spacing w:after="0"/>
        <w:rPr>
          <w:rFonts w:ascii="Arial" w:hAnsi="Arial" w:cs="Arial"/>
          <w:b/>
          <w:sz w:val="24"/>
          <w:szCs w:val="24"/>
        </w:rPr>
      </w:pPr>
    </w:p>
    <w:p w:rsidR="007F00B4" w:rsidRPr="0063386F" w:rsidRDefault="007F00B4" w:rsidP="0063386F">
      <w:pPr>
        <w:widowControl w:val="0"/>
        <w:autoSpaceDE w:val="0"/>
        <w:autoSpaceDN w:val="0"/>
        <w:adjustRightInd w:val="0"/>
        <w:spacing w:after="0"/>
        <w:rPr>
          <w:rFonts w:ascii="Arial" w:hAnsi="Arial" w:cs="Arial"/>
          <w:b/>
          <w:sz w:val="24"/>
          <w:szCs w:val="24"/>
        </w:rPr>
      </w:pPr>
    </w:p>
    <w:p w:rsidR="00631033" w:rsidRPr="0063386F" w:rsidRDefault="00631033" w:rsidP="0063386F">
      <w:pPr>
        <w:widowControl w:val="0"/>
        <w:autoSpaceDE w:val="0"/>
        <w:autoSpaceDN w:val="0"/>
        <w:adjustRightInd w:val="0"/>
        <w:spacing w:after="0"/>
        <w:rPr>
          <w:rFonts w:ascii="Arial" w:hAnsi="Arial" w:cs="Arial"/>
          <w:b/>
          <w:sz w:val="24"/>
          <w:szCs w:val="24"/>
        </w:rPr>
      </w:pPr>
    </w:p>
    <w:p w:rsidR="007F00B4" w:rsidRPr="0063386F" w:rsidRDefault="007F00B4" w:rsidP="0063386F">
      <w:pPr>
        <w:widowControl w:val="0"/>
        <w:autoSpaceDE w:val="0"/>
        <w:autoSpaceDN w:val="0"/>
        <w:adjustRightInd w:val="0"/>
        <w:spacing w:after="0"/>
        <w:rPr>
          <w:rFonts w:ascii="Arial" w:hAnsi="Arial" w:cs="Arial"/>
          <w:b/>
          <w:sz w:val="24"/>
          <w:szCs w:val="24"/>
        </w:rPr>
      </w:pPr>
      <w:r w:rsidRPr="0063386F">
        <w:rPr>
          <w:rFonts w:ascii="Arial" w:hAnsi="Arial" w:cs="Arial"/>
          <w:b/>
          <w:sz w:val="24"/>
          <w:szCs w:val="24"/>
        </w:rPr>
        <w:t>FRANCISCO JAVIER TAMAYO TABARES</w:t>
      </w:r>
      <w:r w:rsidR="0063386F">
        <w:rPr>
          <w:rFonts w:ascii="Arial" w:hAnsi="Arial" w:cs="Arial"/>
          <w:b/>
          <w:sz w:val="24"/>
          <w:szCs w:val="24"/>
        </w:rPr>
        <w:tab/>
      </w:r>
      <w:r w:rsidR="0063386F">
        <w:rPr>
          <w:rFonts w:ascii="Arial" w:hAnsi="Arial" w:cs="Arial"/>
          <w:b/>
          <w:sz w:val="24"/>
          <w:szCs w:val="24"/>
        </w:rPr>
        <w:tab/>
      </w:r>
      <w:r w:rsidR="00D131B8" w:rsidRPr="0063386F">
        <w:rPr>
          <w:rFonts w:ascii="Arial" w:hAnsi="Arial" w:cs="Arial"/>
          <w:b/>
          <w:sz w:val="24"/>
          <w:szCs w:val="24"/>
        </w:rPr>
        <w:t>ANA LUCÍA CAICEDO C</w:t>
      </w:r>
      <w:r w:rsidR="0063386F">
        <w:rPr>
          <w:rFonts w:ascii="Arial" w:hAnsi="Arial" w:cs="Arial"/>
          <w:b/>
          <w:sz w:val="24"/>
          <w:szCs w:val="24"/>
        </w:rPr>
        <w:t>.</w:t>
      </w:r>
    </w:p>
    <w:p w:rsidR="007F00B4" w:rsidRPr="0063386F" w:rsidRDefault="007F00B4" w:rsidP="0063386F">
      <w:pPr>
        <w:widowControl w:val="0"/>
        <w:autoSpaceDE w:val="0"/>
        <w:autoSpaceDN w:val="0"/>
        <w:adjustRightInd w:val="0"/>
        <w:spacing w:after="0"/>
        <w:rPr>
          <w:rFonts w:ascii="Arial" w:hAnsi="Arial" w:cs="Arial"/>
          <w:b/>
          <w:sz w:val="24"/>
          <w:szCs w:val="24"/>
        </w:rPr>
      </w:pPr>
    </w:p>
    <w:p w:rsidR="00631033" w:rsidRPr="0063386F" w:rsidRDefault="00631033" w:rsidP="0063386F">
      <w:pPr>
        <w:widowControl w:val="0"/>
        <w:autoSpaceDE w:val="0"/>
        <w:autoSpaceDN w:val="0"/>
        <w:adjustRightInd w:val="0"/>
        <w:spacing w:after="0"/>
        <w:rPr>
          <w:rFonts w:ascii="Arial" w:hAnsi="Arial" w:cs="Arial"/>
          <w:b/>
          <w:sz w:val="24"/>
          <w:szCs w:val="24"/>
        </w:rPr>
      </w:pPr>
    </w:p>
    <w:p w:rsidR="007F00B4" w:rsidRPr="0063386F" w:rsidRDefault="007F00B4" w:rsidP="0063386F">
      <w:pPr>
        <w:widowControl w:val="0"/>
        <w:autoSpaceDE w:val="0"/>
        <w:autoSpaceDN w:val="0"/>
        <w:adjustRightInd w:val="0"/>
        <w:spacing w:after="0"/>
        <w:rPr>
          <w:rFonts w:ascii="Arial" w:hAnsi="Arial" w:cs="Arial"/>
          <w:b/>
          <w:sz w:val="24"/>
          <w:szCs w:val="24"/>
        </w:rPr>
      </w:pPr>
    </w:p>
    <w:p w:rsidR="007F00B4" w:rsidRPr="0063386F" w:rsidRDefault="007F00B4" w:rsidP="0063386F">
      <w:pPr>
        <w:widowControl w:val="0"/>
        <w:autoSpaceDE w:val="0"/>
        <w:autoSpaceDN w:val="0"/>
        <w:adjustRightInd w:val="0"/>
        <w:spacing w:after="0"/>
        <w:jc w:val="center"/>
        <w:rPr>
          <w:rFonts w:ascii="Arial" w:hAnsi="Arial" w:cs="Arial"/>
          <w:b/>
          <w:sz w:val="24"/>
          <w:szCs w:val="24"/>
        </w:rPr>
      </w:pPr>
      <w:r w:rsidRPr="0063386F">
        <w:rPr>
          <w:rFonts w:ascii="Arial" w:hAnsi="Arial" w:cs="Arial"/>
          <w:b/>
          <w:sz w:val="24"/>
          <w:szCs w:val="24"/>
        </w:rPr>
        <w:t>ALONSO GAVIRIA OCAMPO</w:t>
      </w:r>
    </w:p>
    <w:p w:rsidR="00E250E6" w:rsidRPr="0063386F" w:rsidRDefault="007F00B4" w:rsidP="0063386F">
      <w:pPr>
        <w:widowControl w:val="0"/>
        <w:tabs>
          <w:tab w:val="left" w:pos="3609"/>
          <w:tab w:val="center" w:pos="4420"/>
        </w:tabs>
        <w:autoSpaceDE w:val="0"/>
        <w:autoSpaceDN w:val="0"/>
        <w:adjustRightInd w:val="0"/>
        <w:spacing w:after="0"/>
        <w:jc w:val="center"/>
        <w:rPr>
          <w:rFonts w:ascii="Arial" w:hAnsi="Arial" w:cs="Arial"/>
          <w:sz w:val="24"/>
          <w:szCs w:val="24"/>
        </w:rPr>
      </w:pPr>
      <w:r w:rsidRPr="0063386F">
        <w:rPr>
          <w:rFonts w:ascii="Arial" w:hAnsi="Arial" w:cs="Arial"/>
          <w:sz w:val="24"/>
          <w:szCs w:val="24"/>
          <w:lang w:val="es-ES"/>
        </w:rPr>
        <w:t>Secretario</w:t>
      </w:r>
    </w:p>
    <w:sectPr w:rsidR="00E250E6" w:rsidRPr="0063386F" w:rsidSect="00B12EC7">
      <w:headerReference w:type="default" r:id="rId8"/>
      <w:footerReference w:type="default" r:id="rId9"/>
      <w:headerReference w:type="first" r:id="rId10"/>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003" w:rsidRDefault="00281003">
      <w:pPr>
        <w:spacing w:after="0" w:line="240" w:lineRule="auto"/>
      </w:pPr>
      <w:r>
        <w:separator/>
      </w:r>
    </w:p>
  </w:endnote>
  <w:endnote w:type="continuationSeparator" w:id="0">
    <w:p w:rsidR="00281003" w:rsidRDefault="0028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2cpi">
    <w:altName w:val="Calibr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0E6" w:rsidRDefault="00E250E6">
    <w:pPr>
      <w:pStyle w:val="Piedepgin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DA7CF2" w:rsidRPr="00DA7CF2">
      <w:rPr>
        <w:rFonts w:ascii="Arial" w:hAnsi="Arial" w:cs="Arial"/>
        <w:noProof/>
        <w:sz w:val="20"/>
        <w:szCs w:val="20"/>
        <w:lang w:val="es-ES"/>
      </w:rPr>
      <w:t>2</w:t>
    </w:r>
    <w:r>
      <w:rPr>
        <w:rFonts w:ascii="Arial" w:hAnsi="Arial" w:cs="Arial"/>
        <w:sz w:val="20"/>
        <w:szCs w:val="20"/>
      </w:rPr>
      <w:fldChar w:fldCharType="end"/>
    </w:r>
  </w:p>
  <w:p w:rsidR="00E250E6" w:rsidRDefault="00E250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003" w:rsidRDefault="00281003">
      <w:pPr>
        <w:spacing w:after="0" w:line="240" w:lineRule="auto"/>
      </w:pPr>
      <w:r>
        <w:separator/>
      </w:r>
    </w:p>
  </w:footnote>
  <w:footnote w:type="continuationSeparator" w:id="0">
    <w:p w:rsidR="00281003" w:rsidRDefault="0028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E53" w:rsidRDefault="00256E53" w:rsidP="00091A26">
    <w:pPr>
      <w:pStyle w:val="Encabezado"/>
      <w:jc w:val="center"/>
      <w:rPr>
        <w:rFonts w:ascii="Arial" w:hAnsi="Arial" w:cs="Arial"/>
        <w:sz w:val="16"/>
        <w:szCs w:val="16"/>
      </w:rPr>
    </w:pPr>
  </w:p>
  <w:p w:rsidR="0052158F" w:rsidRDefault="0052158F" w:rsidP="0052158F">
    <w:pPr>
      <w:pStyle w:val="Encabezado"/>
      <w:ind w:right="360"/>
      <w:jc w:val="both"/>
      <w:rPr>
        <w:rFonts w:ascii="Arial Narrow" w:hAnsi="Arial Narrow" w:cs="Tahoma"/>
        <w:bCs/>
        <w:color w:val="FF0000"/>
        <w:sz w:val="18"/>
        <w:szCs w:val="18"/>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Secretaría.</w:t>
    </w:r>
  </w:p>
  <w:p w:rsidR="00337B82" w:rsidRPr="00D547B2" w:rsidRDefault="00337B82" w:rsidP="00337B82">
    <w:pPr>
      <w:pStyle w:val="Encabezado"/>
      <w:jc w:val="center"/>
      <w:rPr>
        <w:rFonts w:ascii="Arial" w:hAnsi="Arial" w:cs="Arial"/>
        <w:sz w:val="16"/>
        <w:szCs w:val="16"/>
      </w:rPr>
    </w:pPr>
    <w:r>
      <w:rPr>
        <w:rFonts w:ascii="Arial" w:hAnsi="Arial" w:cs="Arial"/>
        <w:sz w:val="16"/>
        <w:szCs w:val="16"/>
      </w:rPr>
      <w:t xml:space="preserve">Francisco Javier Sánchez Montoya </w:t>
    </w:r>
    <w:r w:rsidRPr="00D547B2">
      <w:rPr>
        <w:rFonts w:ascii="Arial" w:hAnsi="Arial" w:cs="Arial"/>
        <w:sz w:val="16"/>
        <w:szCs w:val="16"/>
      </w:rPr>
      <w:t xml:space="preserve">Vs </w:t>
    </w:r>
    <w:r>
      <w:rPr>
        <w:rFonts w:ascii="Arial" w:hAnsi="Arial" w:cs="Arial"/>
        <w:sz w:val="16"/>
        <w:szCs w:val="16"/>
      </w:rPr>
      <w:t xml:space="preserve">AFP Porvenir S.A. y otro. </w:t>
    </w:r>
    <w:r w:rsidRPr="00D547B2">
      <w:rPr>
        <w:rFonts w:ascii="Arial" w:hAnsi="Arial" w:cs="Arial"/>
        <w:sz w:val="16"/>
        <w:szCs w:val="16"/>
      </w:rPr>
      <w:t xml:space="preserve"> Rad. </w:t>
    </w:r>
    <w:r>
      <w:rPr>
        <w:rFonts w:ascii="Arial" w:hAnsi="Arial" w:cs="Arial"/>
        <w:bCs/>
        <w:spacing w:val="2"/>
        <w:sz w:val="16"/>
        <w:szCs w:val="16"/>
      </w:rPr>
      <w:t>66001-31-05-004-2017-00203</w:t>
    </w:r>
    <w:r w:rsidRPr="00D547B2">
      <w:rPr>
        <w:rFonts w:ascii="Arial" w:hAnsi="Arial" w:cs="Arial"/>
        <w:bCs/>
        <w:spacing w:val="2"/>
        <w:sz w:val="16"/>
        <w:szCs w:val="16"/>
      </w:rPr>
      <w:t>-0</w:t>
    </w:r>
    <w:r>
      <w:rPr>
        <w:rFonts w:ascii="Arial" w:hAnsi="Arial" w:cs="Arial"/>
        <w:bCs/>
        <w:spacing w:val="2"/>
        <w:sz w:val="16"/>
        <w:szCs w:val="16"/>
      </w:rPr>
      <w:t>1</w:t>
    </w:r>
  </w:p>
  <w:p w:rsidR="00E250E6" w:rsidRPr="007E151D" w:rsidRDefault="00E250E6" w:rsidP="007E15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E78" w:rsidRPr="00644E78" w:rsidRDefault="00644E78" w:rsidP="00644E7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Calibri"/>
        <w:color w:val="FF0000"/>
        <w:spacing w:val="-6"/>
        <w:sz w:val="18"/>
        <w:szCs w:val="16"/>
        <w:lang w:eastAsia="fr-FR"/>
      </w:rPr>
    </w:pPr>
    <w:r w:rsidRPr="00644E78">
      <w:rPr>
        <w:rFonts w:eastAsia="Times New Roman" w:cs="Calibri"/>
        <w:color w:val="FF0000"/>
        <w:spacing w:val="-6"/>
        <w:sz w:val="18"/>
        <w:szCs w:val="16"/>
        <w:lang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52158F" w:rsidRDefault="0052158F" w:rsidP="00644E78">
    <w:pPr>
      <w:pStyle w:val="Encabezado"/>
      <w:spacing w:after="0"/>
      <w:ind w:right="360"/>
      <w:jc w:val="both"/>
      <w:rPr>
        <w:rFonts w:ascii="Arial Narrow" w:hAnsi="Arial Narrow" w:cs="Tahoma"/>
        <w:bCs/>
        <w:color w:val="FF0000"/>
        <w:sz w:val="18"/>
        <w:szCs w:val="18"/>
      </w:rPr>
    </w:pPr>
    <w:r>
      <w:rPr>
        <w:rFonts w:ascii="Arial Narrow" w:hAnsi="Arial Narrow" w:cs="Tahoma"/>
        <w:bCs/>
        <w:color w:val="FF0000"/>
        <w:sz w:val="18"/>
        <w:szCs w:val="18"/>
      </w:rPr>
      <w:t>.</w:t>
    </w:r>
  </w:p>
  <w:p w:rsidR="00E250E6" w:rsidRPr="00644E78" w:rsidRDefault="00337B82" w:rsidP="00644E78">
    <w:pPr>
      <w:pStyle w:val="Encabezado"/>
      <w:spacing w:after="0"/>
      <w:jc w:val="center"/>
      <w:rPr>
        <w:rFonts w:ascii="Arial" w:hAnsi="Arial" w:cs="Arial"/>
        <w:sz w:val="16"/>
        <w:szCs w:val="16"/>
      </w:rPr>
    </w:pPr>
    <w:r>
      <w:rPr>
        <w:rFonts w:ascii="Arial" w:hAnsi="Arial" w:cs="Arial"/>
        <w:sz w:val="16"/>
        <w:szCs w:val="16"/>
      </w:rPr>
      <w:t>Francisco Javier Sánchez Montoya</w:t>
    </w:r>
    <w:r w:rsidR="00261BAF">
      <w:rPr>
        <w:rFonts w:ascii="Arial" w:hAnsi="Arial" w:cs="Arial"/>
        <w:sz w:val="16"/>
        <w:szCs w:val="16"/>
      </w:rPr>
      <w:t xml:space="preserve"> </w:t>
    </w:r>
    <w:r w:rsidR="001C02A7" w:rsidRPr="00D547B2">
      <w:rPr>
        <w:rFonts w:ascii="Arial" w:hAnsi="Arial" w:cs="Arial"/>
        <w:sz w:val="16"/>
        <w:szCs w:val="16"/>
      </w:rPr>
      <w:t xml:space="preserve">Vs </w:t>
    </w:r>
    <w:r>
      <w:rPr>
        <w:rFonts w:ascii="Arial" w:hAnsi="Arial" w:cs="Arial"/>
        <w:sz w:val="16"/>
        <w:szCs w:val="16"/>
      </w:rPr>
      <w:t>AFP Porvenir</w:t>
    </w:r>
    <w:r w:rsidR="002F7A02">
      <w:rPr>
        <w:rFonts w:ascii="Arial" w:hAnsi="Arial" w:cs="Arial"/>
        <w:sz w:val="16"/>
        <w:szCs w:val="16"/>
      </w:rPr>
      <w:t xml:space="preserve"> S.A. y otro</w:t>
    </w:r>
    <w:r w:rsidR="001C02A7">
      <w:rPr>
        <w:rFonts w:ascii="Arial" w:hAnsi="Arial" w:cs="Arial"/>
        <w:sz w:val="16"/>
        <w:szCs w:val="16"/>
      </w:rPr>
      <w:t xml:space="preserve">. </w:t>
    </w:r>
    <w:r w:rsidR="001C02A7" w:rsidRPr="00D547B2">
      <w:rPr>
        <w:rFonts w:ascii="Arial" w:hAnsi="Arial" w:cs="Arial"/>
        <w:sz w:val="16"/>
        <w:szCs w:val="16"/>
      </w:rPr>
      <w:t xml:space="preserve"> Rad. </w:t>
    </w:r>
    <w:r>
      <w:rPr>
        <w:rFonts w:ascii="Arial" w:hAnsi="Arial" w:cs="Arial"/>
        <w:bCs/>
        <w:spacing w:val="2"/>
        <w:sz w:val="16"/>
        <w:szCs w:val="16"/>
      </w:rPr>
      <w:t>66001-31-05-004-2017-00203</w:t>
    </w:r>
    <w:r w:rsidR="001C02A7" w:rsidRPr="00D547B2">
      <w:rPr>
        <w:rFonts w:ascii="Arial" w:hAnsi="Arial" w:cs="Arial"/>
        <w:bCs/>
        <w:spacing w:val="2"/>
        <w:sz w:val="16"/>
        <w:szCs w:val="16"/>
      </w:rPr>
      <w:t>-0</w:t>
    </w:r>
    <w:r w:rsidR="0074195A">
      <w:rPr>
        <w:rFonts w:ascii="Arial" w:hAnsi="Arial" w:cs="Arial"/>
        <w:bCs/>
        <w:spacing w:val="2"/>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91C"/>
    <w:multiLevelType w:val="hybridMultilevel"/>
    <w:tmpl w:val="4B509FEC"/>
    <w:lvl w:ilvl="0" w:tplc="B198B3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9A27E3"/>
    <w:multiLevelType w:val="hybridMultilevel"/>
    <w:tmpl w:val="BFC215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DC37708"/>
    <w:multiLevelType w:val="hybridMultilevel"/>
    <w:tmpl w:val="2E42F5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8E276C1"/>
    <w:multiLevelType w:val="hybridMultilevel"/>
    <w:tmpl w:val="C8062E7C"/>
    <w:lvl w:ilvl="0" w:tplc="2BE2042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064D30"/>
    <w:multiLevelType w:val="hybridMultilevel"/>
    <w:tmpl w:val="8AE4C8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8607BFB"/>
    <w:multiLevelType w:val="hybridMultilevel"/>
    <w:tmpl w:val="872C04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0"/>
  </w:num>
  <w:num w:numId="5">
    <w:abstractNumId w:val="7"/>
  </w:num>
  <w:num w:numId="6">
    <w:abstractNumId w:val="2"/>
  </w:num>
  <w:num w:numId="7">
    <w:abstractNumId w:val="6"/>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AD"/>
    <w:rsid w:val="00000662"/>
    <w:rsid w:val="00000B8F"/>
    <w:rsid w:val="0000283F"/>
    <w:rsid w:val="00004EC1"/>
    <w:rsid w:val="0000509B"/>
    <w:rsid w:val="000050CF"/>
    <w:rsid w:val="0000736C"/>
    <w:rsid w:val="00007807"/>
    <w:rsid w:val="00010821"/>
    <w:rsid w:val="000152BC"/>
    <w:rsid w:val="00016EFC"/>
    <w:rsid w:val="00021C0E"/>
    <w:rsid w:val="0002215A"/>
    <w:rsid w:val="00022283"/>
    <w:rsid w:val="000231E0"/>
    <w:rsid w:val="0002367B"/>
    <w:rsid w:val="000265FC"/>
    <w:rsid w:val="00027FDE"/>
    <w:rsid w:val="00031E5A"/>
    <w:rsid w:val="000320C2"/>
    <w:rsid w:val="0003321A"/>
    <w:rsid w:val="00034864"/>
    <w:rsid w:val="000369B6"/>
    <w:rsid w:val="000417D5"/>
    <w:rsid w:val="00042985"/>
    <w:rsid w:val="00043872"/>
    <w:rsid w:val="00050F1B"/>
    <w:rsid w:val="00051B84"/>
    <w:rsid w:val="00051EEB"/>
    <w:rsid w:val="0005258F"/>
    <w:rsid w:val="000541F8"/>
    <w:rsid w:val="00056186"/>
    <w:rsid w:val="000573CA"/>
    <w:rsid w:val="00072002"/>
    <w:rsid w:val="00072938"/>
    <w:rsid w:val="00072ABE"/>
    <w:rsid w:val="000746A5"/>
    <w:rsid w:val="00075358"/>
    <w:rsid w:val="00076792"/>
    <w:rsid w:val="00076822"/>
    <w:rsid w:val="00081678"/>
    <w:rsid w:val="0008268A"/>
    <w:rsid w:val="00082BD4"/>
    <w:rsid w:val="00085C1A"/>
    <w:rsid w:val="00086D39"/>
    <w:rsid w:val="00086E58"/>
    <w:rsid w:val="00091A26"/>
    <w:rsid w:val="00092B4A"/>
    <w:rsid w:val="00093B3F"/>
    <w:rsid w:val="000948A7"/>
    <w:rsid w:val="00096D48"/>
    <w:rsid w:val="00096ED7"/>
    <w:rsid w:val="000A0555"/>
    <w:rsid w:val="000A147A"/>
    <w:rsid w:val="000A1580"/>
    <w:rsid w:val="000A64D9"/>
    <w:rsid w:val="000B123A"/>
    <w:rsid w:val="000B1D75"/>
    <w:rsid w:val="000B25FE"/>
    <w:rsid w:val="000C53DE"/>
    <w:rsid w:val="000C5B35"/>
    <w:rsid w:val="000C7AFC"/>
    <w:rsid w:val="000D24DF"/>
    <w:rsid w:val="000D2975"/>
    <w:rsid w:val="000E1132"/>
    <w:rsid w:val="000E13BB"/>
    <w:rsid w:val="000E13CC"/>
    <w:rsid w:val="000E316A"/>
    <w:rsid w:val="000E33FD"/>
    <w:rsid w:val="000E41FD"/>
    <w:rsid w:val="000E5017"/>
    <w:rsid w:val="000E506D"/>
    <w:rsid w:val="000F17C6"/>
    <w:rsid w:val="000F384E"/>
    <w:rsid w:val="000F3893"/>
    <w:rsid w:val="000F53A3"/>
    <w:rsid w:val="000F76C0"/>
    <w:rsid w:val="00103C2B"/>
    <w:rsid w:val="00110288"/>
    <w:rsid w:val="00111108"/>
    <w:rsid w:val="00112F64"/>
    <w:rsid w:val="00114F19"/>
    <w:rsid w:val="00117AC3"/>
    <w:rsid w:val="001213CD"/>
    <w:rsid w:val="0012271A"/>
    <w:rsid w:val="00123A3E"/>
    <w:rsid w:val="00123E4D"/>
    <w:rsid w:val="00123F9F"/>
    <w:rsid w:val="0012402E"/>
    <w:rsid w:val="00124736"/>
    <w:rsid w:val="00124C79"/>
    <w:rsid w:val="0012757F"/>
    <w:rsid w:val="00127C56"/>
    <w:rsid w:val="00130A88"/>
    <w:rsid w:val="0013205F"/>
    <w:rsid w:val="001358DC"/>
    <w:rsid w:val="00135C98"/>
    <w:rsid w:val="001369D9"/>
    <w:rsid w:val="00141267"/>
    <w:rsid w:val="00141738"/>
    <w:rsid w:val="001513AB"/>
    <w:rsid w:val="00153240"/>
    <w:rsid w:val="00154BD7"/>
    <w:rsid w:val="001553BF"/>
    <w:rsid w:val="00160339"/>
    <w:rsid w:val="00162C71"/>
    <w:rsid w:val="00166198"/>
    <w:rsid w:val="00166A49"/>
    <w:rsid w:val="001702BA"/>
    <w:rsid w:val="0017120E"/>
    <w:rsid w:val="00171908"/>
    <w:rsid w:val="00172325"/>
    <w:rsid w:val="00172678"/>
    <w:rsid w:val="00174D3B"/>
    <w:rsid w:val="00175564"/>
    <w:rsid w:val="001764C6"/>
    <w:rsid w:val="00183EAC"/>
    <w:rsid w:val="00186735"/>
    <w:rsid w:val="00186E70"/>
    <w:rsid w:val="00187572"/>
    <w:rsid w:val="00191F82"/>
    <w:rsid w:val="00194B38"/>
    <w:rsid w:val="001962B0"/>
    <w:rsid w:val="00196796"/>
    <w:rsid w:val="001969BF"/>
    <w:rsid w:val="001973F4"/>
    <w:rsid w:val="001A1466"/>
    <w:rsid w:val="001A2CDA"/>
    <w:rsid w:val="001A611C"/>
    <w:rsid w:val="001A6288"/>
    <w:rsid w:val="001A712A"/>
    <w:rsid w:val="001A7A5A"/>
    <w:rsid w:val="001B28C9"/>
    <w:rsid w:val="001B37E6"/>
    <w:rsid w:val="001B3E7A"/>
    <w:rsid w:val="001C02A7"/>
    <w:rsid w:val="001C184E"/>
    <w:rsid w:val="001C1B03"/>
    <w:rsid w:val="001D080A"/>
    <w:rsid w:val="001D2971"/>
    <w:rsid w:val="001D3C10"/>
    <w:rsid w:val="001D41AA"/>
    <w:rsid w:val="001D6744"/>
    <w:rsid w:val="001E022A"/>
    <w:rsid w:val="001E15FC"/>
    <w:rsid w:val="001E1665"/>
    <w:rsid w:val="001E2169"/>
    <w:rsid w:val="001E409B"/>
    <w:rsid w:val="001E4DEF"/>
    <w:rsid w:val="001E56F9"/>
    <w:rsid w:val="001F03BD"/>
    <w:rsid w:val="001F0F0F"/>
    <w:rsid w:val="001F21DE"/>
    <w:rsid w:val="001F5297"/>
    <w:rsid w:val="001F5DFA"/>
    <w:rsid w:val="001F7F75"/>
    <w:rsid w:val="00200D1D"/>
    <w:rsid w:val="0020655A"/>
    <w:rsid w:val="00206B0F"/>
    <w:rsid w:val="00207D84"/>
    <w:rsid w:val="002123F7"/>
    <w:rsid w:val="00212A59"/>
    <w:rsid w:val="002134BF"/>
    <w:rsid w:val="0021367A"/>
    <w:rsid w:val="0021375E"/>
    <w:rsid w:val="00215F09"/>
    <w:rsid w:val="00216C93"/>
    <w:rsid w:val="0022186A"/>
    <w:rsid w:val="002245FB"/>
    <w:rsid w:val="00225BE7"/>
    <w:rsid w:val="00230693"/>
    <w:rsid w:val="0023410B"/>
    <w:rsid w:val="002378DF"/>
    <w:rsid w:val="00243545"/>
    <w:rsid w:val="00243F86"/>
    <w:rsid w:val="002507FE"/>
    <w:rsid w:val="00252DF8"/>
    <w:rsid w:val="002554AC"/>
    <w:rsid w:val="002558F3"/>
    <w:rsid w:val="00256E53"/>
    <w:rsid w:val="00257A77"/>
    <w:rsid w:val="00260661"/>
    <w:rsid w:val="00261A6F"/>
    <w:rsid w:val="00261BAF"/>
    <w:rsid w:val="0026778F"/>
    <w:rsid w:val="00270590"/>
    <w:rsid w:val="00273D09"/>
    <w:rsid w:val="00273FE9"/>
    <w:rsid w:val="0027430C"/>
    <w:rsid w:val="002755FF"/>
    <w:rsid w:val="00277E19"/>
    <w:rsid w:val="00280357"/>
    <w:rsid w:val="00281003"/>
    <w:rsid w:val="00282593"/>
    <w:rsid w:val="00283AC7"/>
    <w:rsid w:val="002844F9"/>
    <w:rsid w:val="00284E78"/>
    <w:rsid w:val="00287A24"/>
    <w:rsid w:val="00287B93"/>
    <w:rsid w:val="00294F8A"/>
    <w:rsid w:val="002A0922"/>
    <w:rsid w:val="002A17D3"/>
    <w:rsid w:val="002A17E7"/>
    <w:rsid w:val="002A35FD"/>
    <w:rsid w:val="002A67DC"/>
    <w:rsid w:val="002A78C8"/>
    <w:rsid w:val="002B0106"/>
    <w:rsid w:val="002B50B4"/>
    <w:rsid w:val="002B6C75"/>
    <w:rsid w:val="002C15D7"/>
    <w:rsid w:val="002C370A"/>
    <w:rsid w:val="002C49B6"/>
    <w:rsid w:val="002C6E2C"/>
    <w:rsid w:val="002C776C"/>
    <w:rsid w:val="002D235F"/>
    <w:rsid w:val="002E1C7D"/>
    <w:rsid w:val="002E4CC1"/>
    <w:rsid w:val="002E7F75"/>
    <w:rsid w:val="002F05C7"/>
    <w:rsid w:val="002F2A99"/>
    <w:rsid w:val="002F3963"/>
    <w:rsid w:val="002F651B"/>
    <w:rsid w:val="002F7A02"/>
    <w:rsid w:val="00302E65"/>
    <w:rsid w:val="003044F1"/>
    <w:rsid w:val="003045FC"/>
    <w:rsid w:val="00304756"/>
    <w:rsid w:val="00306B2E"/>
    <w:rsid w:val="003105B6"/>
    <w:rsid w:val="00310727"/>
    <w:rsid w:val="003125E3"/>
    <w:rsid w:val="00315BE9"/>
    <w:rsid w:val="00316683"/>
    <w:rsid w:val="00317FD4"/>
    <w:rsid w:val="00323DD0"/>
    <w:rsid w:val="003250FE"/>
    <w:rsid w:val="00330CF1"/>
    <w:rsid w:val="00334741"/>
    <w:rsid w:val="00336B50"/>
    <w:rsid w:val="00337B82"/>
    <w:rsid w:val="00337CD0"/>
    <w:rsid w:val="003402A3"/>
    <w:rsid w:val="00341139"/>
    <w:rsid w:val="00341ED5"/>
    <w:rsid w:val="0034267A"/>
    <w:rsid w:val="0034319F"/>
    <w:rsid w:val="00344473"/>
    <w:rsid w:val="00353679"/>
    <w:rsid w:val="00353CB4"/>
    <w:rsid w:val="003545A4"/>
    <w:rsid w:val="00355357"/>
    <w:rsid w:val="003553E8"/>
    <w:rsid w:val="0035709B"/>
    <w:rsid w:val="003605E9"/>
    <w:rsid w:val="003620AB"/>
    <w:rsid w:val="00363C92"/>
    <w:rsid w:val="00364AA6"/>
    <w:rsid w:val="0036545A"/>
    <w:rsid w:val="00366719"/>
    <w:rsid w:val="00367FF8"/>
    <w:rsid w:val="00371E43"/>
    <w:rsid w:val="00373D2B"/>
    <w:rsid w:val="00376316"/>
    <w:rsid w:val="00382660"/>
    <w:rsid w:val="00387B0D"/>
    <w:rsid w:val="00391E23"/>
    <w:rsid w:val="00394824"/>
    <w:rsid w:val="003959BF"/>
    <w:rsid w:val="003974A3"/>
    <w:rsid w:val="00397AE6"/>
    <w:rsid w:val="003A577A"/>
    <w:rsid w:val="003A6982"/>
    <w:rsid w:val="003B3745"/>
    <w:rsid w:val="003B4D03"/>
    <w:rsid w:val="003B523F"/>
    <w:rsid w:val="003C0E4D"/>
    <w:rsid w:val="003C115F"/>
    <w:rsid w:val="003C3398"/>
    <w:rsid w:val="003C5407"/>
    <w:rsid w:val="003C6B07"/>
    <w:rsid w:val="003D42D8"/>
    <w:rsid w:val="003D5B11"/>
    <w:rsid w:val="003D6AB9"/>
    <w:rsid w:val="003D7B1F"/>
    <w:rsid w:val="003E11A7"/>
    <w:rsid w:val="003E2392"/>
    <w:rsid w:val="003E2CD1"/>
    <w:rsid w:val="003E2E64"/>
    <w:rsid w:val="003E3A8E"/>
    <w:rsid w:val="003E4254"/>
    <w:rsid w:val="003F0D89"/>
    <w:rsid w:val="003F1DC1"/>
    <w:rsid w:val="003F2AF1"/>
    <w:rsid w:val="003F5AE3"/>
    <w:rsid w:val="003F7D7B"/>
    <w:rsid w:val="00401747"/>
    <w:rsid w:val="004017E4"/>
    <w:rsid w:val="00402F7C"/>
    <w:rsid w:val="00405184"/>
    <w:rsid w:val="00405D08"/>
    <w:rsid w:val="004119E2"/>
    <w:rsid w:val="00411E4A"/>
    <w:rsid w:val="00414586"/>
    <w:rsid w:val="00414C07"/>
    <w:rsid w:val="00416682"/>
    <w:rsid w:val="00423ED2"/>
    <w:rsid w:val="0042518C"/>
    <w:rsid w:val="0042548F"/>
    <w:rsid w:val="00426826"/>
    <w:rsid w:val="00426E4E"/>
    <w:rsid w:val="00426F09"/>
    <w:rsid w:val="00431AB2"/>
    <w:rsid w:val="00432815"/>
    <w:rsid w:val="00433B00"/>
    <w:rsid w:val="00436209"/>
    <w:rsid w:val="004417DB"/>
    <w:rsid w:val="0044221F"/>
    <w:rsid w:val="00446DED"/>
    <w:rsid w:val="00447A4C"/>
    <w:rsid w:val="004511A0"/>
    <w:rsid w:val="00451772"/>
    <w:rsid w:val="004529CE"/>
    <w:rsid w:val="004567F6"/>
    <w:rsid w:val="00457B9F"/>
    <w:rsid w:val="0046147A"/>
    <w:rsid w:val="00462A37"/>
    <w:rsid w:val="0046413F"/>
    <w:rsid w:val="00465866"/>
    <w:rsid w:val="00465993"/>
    <w:rsid w:val="00474B9D"/>
    <w:rsid w:val="00475D33"/>
    <w:rsid w:val="00476242"/>
    <w:rsid w:val="00481EBD"/>
    <w:rsid w:val="00483731"/>
    <w:rsid w:val="004847A3"/>
    <w:rsid w:val="00487027"/>
    <w:rsid w:val="00493977"/>
    <w:rsid w:val="004A7BFC"/>
    <w:rsid w:val="004B054C"/>
    <w:rsid w:val="004B40A3"/>
    <w:rsid w:val="004B7EEB"/>
    <w:rsid w:val="004C0ABB"/>
    <w:rsid w:val="004C1076"/>
    <w:rsid w:val="004C6FC0"/>
    <w:rsid w:val="004D3140"/>
    <w:rsid w:val="004D3D16"/>
    <w:rsid w:val="004D59FF"/>
    <w:rsid w:val="004D5A0B"/>
    <w:rsid w:val="004E2077"/>
    <w:rsid w:val="004E3CAE"/>
    <w:rsid w:val="004E400B"/>
    <w:rsid w:val="004E45C2"/>
    <w:rsid w:val="004E5762"/>
    <w:rsid w:val="004E67F2"/>
    <w:rsid w:val="004F1566"/>
    <w:rsid w:val="004F2B13"/>
    <w:rsid w:val="004F3008"/>
    <w:rsid w:val="004F74FB"/>
    <w:rsid w:val="004F7E79"/>
    <w:rsid w:val="00501704"/>
    <w:rsid w:val="00501A0A"/>
    <w:rsid w:val="00502166"/>
    <w:rsid w:val="00502F5D"/>
    <w:rsid w:val="00504329"/>
    <w:rsid w:val="005075B0"/>
    <w:rsid w:val="00513552"/>
    <w:rsid w:val="00513B9D"/>
    <w:rsid w:val="00515BD2"/>
    <w:rsid w:val="00516666"/>
    <w:rsid w:val="0052158F"/>
    <w:rsid w:val="00522254"/>
    <w:rsid w:val="00522494"/>
    <w:rsid w:val="005251A0"/>
    <w:rsid w:val="005274B2"/>
    <w:rsid w:val="005319F2"/>
    <w:rsid w:val="00531BAB"/>
    <w:rsid w:val="0053201D"/>
    <w:rsid w:val="00532083"/>
    <w:rsid w:val="00536918"/>
    <w:rsid w:val="00536ED6"/>
    <w:rsid w:val="00540432"/>
    <w:rsid w:val="00556C1A"/>
    <w:rsid w:val="00557D3F"/>
    <w:rsid w:val="0056259C"/>
    <w:rsid w:val="0056323F"/>
    <w:rsid w:val="00564B1A"/>
    <w:rsid w:val="0056565A"/>
    <w:rsid w:val="00566ED0"/>
    <w:rsid w:val="00572971"/>
    <w:rsid w:val="00573055"/>
    <w:rsid w:val="00573620"/>
    <w:rsid w:val="00574162"/>
    <w:rsid w:val="00576607"/>
    <w:rsid w:val="00576CBA"/>
    <w:rsid w:val="0058099C"/>
    <w:rsid w:val="005843CA"/>
    <w:rsid w:val="00595B97"/>
    <w:rsid w:val="00596CBE"/>
    <w:rsid w:val="005A1DB3"/>
    <w:rsid w:val="005A2F40"/>
    <w:rsid w:val="005A4518"/>
    <w:rsid w:val="005B0CB3"/>
    <w:rsid w:val="005B364F"/>
    <w:rsid w:val="005B40B5"/>
    <w:rsid w:val="005C0A8B"/>
    <w:rsid w:val="005C4F12"/>
    <w:rsid w:val="005D1525"/>
    <w:rsid w:val="005D1F0A"/>
    <w:rsid w:val="005D2EC8"/>
    <w:rsid w:val="005D640E"/>
    <w:rsid w:val="005D6891"/>
    <w:rsid w:val="005E0CA5"/>
    <w:rsid w:val="005E0DDA"/>
    <w:rsid w:val="005E124E"/>
    <w:rsid w:val="005E3B5A"/>
    <w:rsid w:val="005E4EFE"/>
    <w:rsid w:val="005E7692"/>
    <w:rsid w:val="005F07BF"/>
    <w:rsid w:val="005F306A"/>
    <w:rsid w:val="005F3B5F"/>
    <w:rsid w:val="005F4552"/>
    <w:rsid w:val="005F7B84"/>
    <w:rsid w:val="00600A29"/>
    <w:rsid w:val="006016BF"/>
    <w:rsid w:val="00601E82"/>
    <w:rsid w:val="00605205"/>
    <w:rsid w:val="006054D0"/>
    <w:rsid w:val="0061043B"/>
    <w:rsid w:val="006122AC"/>
    <w:rsid w:val="00615F95"/>
    <w:rsid w:val="00616D9E"/>
    <w:rsid w:val="006205A8"/>
    <w:rsid w:val="00627346"/>
    <w:rsid w:val="00627516"/>
    <w:rsid w:val="00627B01"/>
    <w:rsid w:val="00631033"/>
    <w:rsid w:val="006312A1"/>
    <w:rsid w:val="0063386F"/>
    <w:rsid w:val="0063774E"/>
    <w:rsid w:val="00637EDB"/>
    <w:rsid w:val="00644635"/>
    <w:rsid w:val="00644E78"/>
    <w:rsid w:val="006454C4"/>
    <w:rsid w:val="00647BFD"/>
    <w:rsid w:val="00647D93"/>
    <w:rsid w:val="006513B9"/>
    <w:rsid w:val="0065192E"/>
    <w:rsid w:val="00651FAE"/>
    <w:rsid w:val="00652929"/>
    <w:rsid w:val="0065354B"/>
    <w:rsid w:val="00654207"/>
    <w:rsid w:val="00663580"/>
    <w:rsid w:val="00666EB1"/>
    <w:rsid w:val="00666ECA"/>
    <w:rsid w:val="00667530"/>
    <w:rsid w:val="00667AB0"/>
    <w:rsid w:val="00670A09"/>
    <w:rsid w:val="00672312"/>
    <w:rsid w:val="00672A4E"/>
    <w:rsid w:val="006739B4"/>
    <w:rsid w:val="00673EDE"/>
    <w:rsid w:val="00677FD4"/>
    <w:rsid w:val="0068193D"/>
    <w:rsid w:val="00681EF7"/>
    <w:rsid w:val="006829F7"/>
    <w:rsid w:val="006850D2"/>
    <w:rsid w:val="00686C0A"/>
    <w:rsid w:val="006878C4"/>
    <w:rsid w:val="00690024"/>
    <w:rsid w:val="00692C5C"/>
    <w:rsid w:val="00693714"/>
    <w:rsid w:val="0069779E"/>
    <w:rsid w:val="006A0EF9"/>
    <w:rsid w:val="006A151F"/>
    <w:rsid w:val="006A165C"/>
    <w:rsid w:val="006A1706"/>
    <w:rsid w:val="006A2B06"/>
    <w:rsid w:val="006A3228"/>
    <w:rsid w:val="006A4BA1"/>
    <w:rsid w:val="006B11B8"/>
    <w:rsid w:val="006B1BDF"/>
    <w:rsid w:val="006B1EE5"/>
    <w:rsid w:val="006B68D7"/>
    <w:rsid w:val="006B7AB9"/>
    <w:rsid w:val="006C052C"/>
    <w:rsid w:val="006C452C"/>
    <w:rsid w:val="006D0142"/>
    <w:rsid w:val="006D0F25"/>
    <w:rsid w:val="006E070F"/>
    <w:rsid w:val="006E0A2F"/>
    <w:rsid w:val="006E2628"/>
    <w:rsid w:val="006E3B7C"/>
    <w:rsid w:val="006E5AFC"/>
    <w:rsid w:val="006E616B"/>
    <w:rsid w:val="006E6517"/>
    <w:rsid w:val="006E669D"/>
    <w:rsid w:val="006F6E86"/>
    <w:rsid w:val="00701A9D"/>
    <w:rsid w:val="007071A3"/>
    <w:rsid w:val="00710894"/>
    <w:rsid w:val="00711CDA"/>
    <w:rsid w:val="00712D89"/>
    <w:rsid w:val="00715605"/>
    <w:rsid w:val="00717C52"/>
    <w:rsid w:val="0072271B"/>
    <w:rsid w:val="007227B6"/>
    <w:rsid w:val="00723818"/>
    <w:rsid w:val="007268F0"/>
    <w:rsid w:val="00726A6C"/>
    <w:rsid w:val="00731D4F"/>
    <w:rsid w:val="0073607D"/>
    <w:rsid w:val="0074195A"/>
    <w:rsid w:val="00742D77"/>
    <w:rsid w:val="007446D9"/>
    <w:rsid w:val="007476B2"/>
    <w:rsid w:val="007476D8"/>
    <w:rsid w:val="00747C83"/>
    <w:rsid w:val="0075153C"/>
    <w:rsid w:val="007518FD"/>
    <w:rsid w:val="00753EF5"/>
    <w:rsid w:val="007568E0"/>
    <w:rsid w:val="0075715E"/>
    <w:rsid w:val="00760B06"/>
    <w:rsid w:val="00762433"/>
    <w:rsid w:val="007639A4"/>
    <w:rsid w:val="0076514A"/>
    <w:rsid w:val="00765974"/>
    <w:rsid w:val="00767992"/>
    <w:rsid w:val="00770CE3"/>
    <w:rsid w:val="00774D10"/>
    <w:rsid w:val="00775FA9"/>
    <w:rsid w:val="0078145E"/>
    <w:rsid w:val="00781642"/>
    <w:rsid w:val="00787790"/>
    <w:rsid w:val="00790C67"/>
    <w:rsid w:val="00791B49"/>
    <w:rsid w:val="0079301A"/>
    <w:rsid w:val="00793879"/>
    <w:rsid w:val="007941F2"/>
    <w:rsid w:val="00794380"/>
    <w:rsid w:val="00795214"/>
    <w:rsid w:val="00796DD1"/>
    <w:rsid w:val="007973A2"/>
    <w:rsid w:val="007A1627"/>
    <w:rsid w:val="007A4AF0"/>
    <w:rsid w:val="007A60F3"/>
    <w:rsid w:val="007A6870"/>
    <w:rsid w:val="007A68FF"/>
    <w:rsid w:val="007A6ECF"/>
    <w:rsid w:val="007A6ED8"/>
    <w:rsid w:val="007B1167"/>
    <w:rsid w:val="007B1180"/>
    <w:rsid w:val="007B2095"/>
    <w:rsid w:val="007B5E08"/>
    <w:rsid w:val="007B6161"/>
    <w:rsid w:val="007C0C32"/>
    <w:rsid w:val="007C15BF"/>
    <w:rsid w:val="007C1708"/>
    <w:rsid w:val="007C2169"/>
    <w:rsid w:val="007D0FFE"/>
    <w:rsid w:val="007D425B"/>
    <w:rsid w:val="007D42B5"/>
    <w:rsid w:val="007D591B"/>
    <w:rsid w:val="007D7614"/>
    <w:rsid w:val="007E0130"/>
    <w:rsid w:val="007E151D"/>
    <w:rsid w:val="007E1DA1"/>
    <w:rsid w:val="007E2D08"/>
    <w:rsid w:val="007E46B0"/>
    <w:rsid w:val="007E5DDC"/>
    <w:rsid w:val="007E6882"/>
    <w:rsid w:val="007E7119"/>
    <w:rsid w:val="007F00B4"/>
    <w:rsid w:val="007F0A9C"/>
    <w:rsid w:val="007F1003"/>
    <w:rsid w:val="007F227B"/>
    <w:rsid w:val="007F6887"/>
    <w:rsid w:val="008003CD"/>
    <w:rsid w:val="008010FA"/>
    <w:rsid w:val="008062AC"/>
    <w:rsid w:val="00806370"/>
    <w:rsid w:val="0081056C"/>
    <w:rsid w:val="00813113"/>
    <w:rsid w:val="008140E4"/>
    <w:rsid w:val="00816181"/>
    <w:rsid w:val="008210F1"/>
    <w:rsid w:val="00821178"/>
    <w:rsid w:val="008213C9"/>
    <w:rsid w:val="0082313B"/>
    <w:rsid w:val="00825883"/>
    <w:rsid w:val="008262F3"/>
    <w:rsid w:val="00827F14"/>
    <w:rsid w:val="0083081A"/>
    <w:rsid w:val="00833B2D"/>
    <w:rsid w:val="0083495A"/>
    <w:rsid w:val="00835E93"/>
    <w:rsid w:val="008375F6"/>
    <w:rsid w:val="00837D18"/>
    <w:rsid w:val="00840B9A"/>
    <w:rsid w:val="00843276"/>
    <w:rsid w:val="00845AEF"/>
    <w:rsid w:val="00847744"/>
    <w:rsid w:val="008509C3"/>
    <w:rsid w:val="008511C3"/>
    <w:rsid w:val="00854B6C"/>
    <w:rsid w:val="00856365"/>
    <w:rsid w:val="0085647C"/>
    <w:rsid w:val="00857C6B"/>
    <w:rsid w:val="00857D97"/>
    <w:rsid w:val="008613AA"/>
    <w:rsid w:val="008613BB"/>
    <w:rsid w:val="00861706"/>
    <w:rsid w:val="00871143"/>
    <w:rsid w:val="00877890"/>
    <w:rsid w:val="008816AA"/>
    <w:rsid w:val="00886CCC"/>
    <w:rsid w:val="00890C81"/>
    <w:rsid w:val="008913BF"/>
    <w:rsid w:val="00892A57"/>
    <w:rsid w:val="00893CEB"/>
    <w:rsid w:val="008943D3"/>
    <w:rsid w:val="00895B6A"/>
    <w:rsid w:val="0089602D"/>
    <w:rsid w:val="008A1D1A"/>
    <w:rsid w:val="008A2E9A"/>
    <w:rsid w:val="008A3004"/>
    <w:rsid w:val="008A549D"/>
    <w:rsid w:val="008B0336"/>
    <w:rsid w:val="008B0475"/>
    <w:rsid w:val="008B1A63"/>
    <w:rsid w:val="008B1C89"/>
    <w:rsid w:val="008B4870"/>
    <w:rsid w:val="008B5D35"/>
    <w:rsid w:val="008B797B"/>
    <w:rsid w:val="008C0C89"/>
    <w:rsid w:val="008C1C23"/>
    <w:rsid w:val="008C350B"/>
    <w:rsid w:val="008C4926"/>
    <w:rsid w:val="008D7615"/>
    <w:rsid w:val="008D7969"/>
    <w:rsid w:val="008E014F"/>
    <w:rsid w:val="008E16C1"/>
    <w:rsid w:val="008E305A"/>
    <w:rsid w:val="008E353E"/>
    <w:rsid w:val="008E421A"/>
    <w:rsid w:val="008E5330"/>
    <w:rsid w:val="008E5567"/>
    <w:rsid w:val="008E57A4"/>
    <w:rsid w:val="008E5C89"/>
    <w:rsid w:val="008F0BA8"/>
    <w:rsid w:val="008F0D46"/>
    <w:rsid w:val="008F3055"/>
    <w:rsid w:val="008F4248"/>
    <w:rsid w:val="008F61DE"/>
    <w:rsid w:val="008F7A14"/>
    <w:rsid w:val="0090421A"/>
    <w:rsid w:val="0090784E"/>
    <w:rsid w:val="00911E0B"/>
    <w:rsid w:val="00917C4F"/>
    <w:rsid w:val="00917D6D"/>
    <w:rsid w:val="00920D9C"/>
    <w:rsid w:val="00921C38"/>
    <w:rsid w:val="00924042"/>
    <w:rsid w:val="009306FF"/>
    <w:rsid w:val="00931919"/>
    <w:rsid w:val="00931DAA"/>
    <w:rsid w:val="0093301A"/>
    <w:rsid w:val="00937FBC"/>
    <w:rsid w:val="00940647"/>
    <w:rsid w:val="009413D4"/>
    <w:rsid w:val="009479CC"/>
    <w:rsid w:val="00947C87"/>
    <w:rsid w:val="00951167"/>
    <w:rsid w:val="0095124A"/>
    <w:rsid w:val="009533D5"/>
    <w:rsid w:val="0095390C"/>
    <w:rsid w:val="00957D63"/>
    <w:rsid w:val="00960D0D"/>
    <w:rsid w:val="00961C18"/>
    <w:rsid w:val="00963B1A"/>
    <w:rsid w:val="00963B5F"/>
    <w:rsid w:val="00964C46"/>
    <w:rsid w:val="009660E9"/>
    <w:rsid w:val="009661FB"/>
    <w:rsid w:val="009703A1"/>
    <w:rsid w:val="009703AD"/>
    <w:rsid w:val="009723B6"/>
    <w:rsid w:val="00972EF8"/>
    <w:rsid w:val="00973502"/>
    <w:rsid w:val="00973BA7"/>
    <w:rsid w:val="009746A6"/>
    <w:rsid w:val="00974AB0"/>
    <w:rsid w:val="00983B1C"/>
    <w:rsid w:val="00984A6F"/>
    <w:rsid w:val="0098760F"/>
    <w:rsid w:val="00992798"/>
    <w:rsid w:val="00994154"/>
    <w:rsid w:val="009950C8"/>
    <w:rsid w:val="00995316"/>
    <w:rsid w:val="00997B93"/>
    <w:rsid w:val="009A40BD"/>
    <w:rsid w:val="009A443C"/>
    <w:rsid w:val="009A512E"/>
    <w:rsid w:val="009A5A67"/>
    <w:rsid w:val="009A5D23"/>
    <w:rsid w:val="009A6909"/>
    <w:rsid w:val="009B1C39"/>
    <w:rsid w:val="009B766B"/>
    <w:rsid w:val="009C03F0"/>
    <w:rsid w:val="009C2850"/>
    <w:rsid w:val="009C51C5"/>
    <w:rsid w:val="009D0B6A"/>
    <w:rsid w:val="009D5877"/>
    <w:rsid w:val="009D5DE1"/>
    <w:rsid w:val="009D5F1E"/>
    <w:rsid w:val="009E0E84"/>
    <w:rsid w:val="009E20E3"/>
    <w:rsid w:val="009E2CDD"/>
    <w:rsid w:val="009E4A69"/>
    <w:rsid w:val="009F1150"/>
    <w:rsid w:val="009F62A0"/>
    <w:rsid w:val="00A01440"/>
    <w:rsid w:val="00A01466"/>
    <w:rsid w:val="00A01687"/>
    <w:rsid w:val="00A02CEE"/>
    <w:rsid w:val="00A02EBC"/>
    <w:rsid w:val="00A0420D"/>
    <w:rsid w:val="00A073B7"/>
    <w:rsid w:val="00A07733"/>
    <w:rsid w:val="00A10BE9"/>
    <w:rsid w:val="00A11616"/>
    <w:rsid w:val="00A13735"/>
    <w:rsid w:val="00A1472B"/>
    <w:rsid w:val="00A14888"/>
    <w:rsid w:val="00A17627"/>
    <w:rsid w:val="00A2153C"/>
    <w:rsid w:val="00A2424B"/>
    <w:rsid w:val="00A24C6C"/>
    <w:rsid w:val="00A24E1D"/>
    <w:rsid w:val="00A25CD6"/>
    <w:rsid w:val="00A26D74"/>
    <w:rsid w:val="00A277DB"/>
    <w:rsid w:val="00A30688"/>
    <w:rsid w:val="00A339C5"/>
    <w:rsid w:val="00A3530F"/>
    <w:rsid w:val="00A3551F"/>
    <w:rsid w:val="00A36C2A"/>
    <w:rsid w:val="00A372CD"/>
    <w:rsid w:val="00A43B06"/>
    <w:rsid w:val="00A450C9"/>
    <w:rsid w:val="00A476CF"/>
    <w:rsid w:val="00A536C0"/>
    <w:rsid w:val="00A54DC2"/>
    <w:rsid w:val="00A5592E"/>
    <w:rsid w:val="00A55A56"/>
    <w:rsid w:val="00A57C93"/>
    <w:rsid w:val="00A57ECA"/>
    <w:rsid w:val="00A6016A"/>
    <w:rsid w:val="00A6753D"/>
    <w:rsid w:val="00A67F67"/>
    <w:rsid w:val="00A72BCD"/>
    <w:rsid w:val="00A76143"/>
    <w:rsid w:val="00A81C2B"/>
    <w:rsid w:val="00AA03A4"/>
    <w:rsid w:val="00AA275F"/>
    <w:rsid w:val="00AA3646"/>
    <w:rsid w:val="00AA3B79"/>
    <w:rsid w:val="00AA6694"/>
    <w:rsid w:val="00AB01A7"/>
    <w:rsid w:val="00AB05A7"/>
    <w:rsid w:val="00AB084E"/>
    <w:rsid w:val="00AB1F31"/>
    <w:rsid w:val="00AB29E8"/>
    <w:rsid w:val="00AB2C76"/>
    <w:rsid w:val="00AB5340"/>
    <w:rsid w:val="00AB541E"/>
    <w:rsid w:val="00AB6B80"/>
    <w:rsid w:val="00AB72D4"/>
    <w:rsid w:val="00AB7387"/>
    <w:rsid w:val="00AB7720"/>
    <w:rsid w:val="00AC0F92"/>
    <w:rsid w:val="00AC1BA9"/>
    <w:rsid w:val="00AC3394"/>
    <w:rsid w:val="00AC3C26"/>
    <w:rsid w:val="00AC5989"/>
    <w:rsid w:val="00AC7C9C"/>
    <w:rsid w:val="00AD01F7"/>
    <w:rsid w:val="00AD0BAD"/>
    <w:rsid w:val="00AD1CDE"/>
    <w:rsid w:val="00AD2090"/>
    <w:rsid w:val="00AD4719"/>
    <w:rsid w:val="00AD5C3D"/>
    <w:rsid w:val="00AD65C9"/>
    <w:rsid w:val="00AD68FD"/>
    <w:rsid w:val="00AD79AB"/>
    <w:rsid w:val="00AE26DD"/>
    <w:rsid w:val="00AE4A71"/>
    <w:rsid w:val="00AE4E43"/>
    <w:rsid w:val="00AF0549"/>
    <w:rsid w:val="00AF14B7"/>
    <w:rsid w:val="00AF1856"/>
    <w:rsid w:val="00AF3D6B"/>
    <w:rsid w:val="00AF4721"/>
    <w:rsid w:val="00AF78AA"/>
    <w:rsid w:val="00B003F8"/>
    <w:rsid w:val="00B0329A"/>
    <w:rsid w:val="00B05C77"/>
    <w:rsid w:val="00B10148"/>
    <w:rsid w:val="00B10899"/>
    <w:rsid w:val="00B10B2B"/>
    <w:rsid w:val="00B10BAC"/>
    <w:rsid w:val="00B12EC7"/>
    <w:rsid w:val="00B14328"/>
    <w:rsid w:val="00B14CAB"/>
    <w:rsid w:val="00B15175"/>
    <w:rsid w:val="00B15438"/>
    <w:rsid w:val="00B165BE"/>
    <w:rsid w:val="00B174D6"/>
    <w:rsid w:val="00B17669"/>
    <w:rsid w:val="00B23C7D"/>
    <w:rsid w:val="00B27A4E"/>
    <w:rsid w:val="00B30138"/>
    <w:rsid w:val="00B3052F"/>
    <w:rsid w:val="00B3219C"/>
    <w:rsid w:val="00B32AC0"/>
    <w:rsid w:val="00B33C63"/>
    <w:rsid w:val="00B35D1D"/>
    <w:rsid w:val="00B35E3F"/>
    <w:rsid w:val="00B371CC"/>
    <w:rsid w:val="00B3775B"/>
    <w:rsid w:val="00B37D46"/>
    <w:rsid w:val="00B408FE"/>
    <w:rsid w:val="00B417E7"/>
    <w:rsid w:val="00B4410F"/>
    <w:rsid w:val="00B45ADF"/>
    <w:rsid w:val="00B46533"/>
    <w:rsid w:val="00B501DF"/>
    <w:rsid w:val="00B503FA"/>
    <w:rsid w:val="00B5197E"/>
    <w:rsid w:val="00B55535"/>
    <w:rsid w:val="00B5782B"/>
    <w:rsid w:val="00B60430"/>
    <w:rsid w:val="00B6046B"/>
    <w:rsid w:val="00B6513F"/>
    <w:rsid w:val="00B67554"/>
    <w:rsid w:val="00B6764D"/>
    <w:rsid w:val="00B704BC"/>
    <w:rsid w:val="00B74868"/>
    <w:rsid w:val="00B74C06"/>
    <w:rsid w:val="00B767FC"/>
    <w:rsid w:val="00B76BF8"/>
    <w:rsid w:val="00B778BA"/>
    <w:rsid w:val="00B80F35"/>
    <w:rsid w:val="00B829B1"/>
    <w:rsid w:val="00B9667E"/>
    <w:rsid w:val="00B97F3F"/>
    <w:rsid w:val="00BA2CDA"/>
    <w:rsid w:val="00BA64A0"/>
    <w:rsid w:val="00BB0502"/>
    <w:rsid w:val="00BB05DA"/>
    <w:rsid w:val="00BB6CED"/>
    <w:rsid w:val="00BC3EB6"/>
    <w:rsid w:val="00BC4247"/>
    <w:rsid w:val="00BC6683"/>
    <w:rsid w:val="00BD24E7"/>
    <w:rsid w:val="00BD4B1D"/>
    <w:rsid w:val="00BD56BD"/>
    <w:rsid w:val="00BD623D"/>
    <w:rsid w:val="00BD6525"/>
    <w:rsid w:val="00BD700A"/>
    <w:rsid w:val="00BD7892"/>
    <w:rsid w:val="00BD7ABD"/>
    <w:rsid w:val="00BD7B10"/>
    <w:rsid w:val="00BD7C1F"/>
    <w:rsid w:val="00BD7EE9"/>
    <w:rsid w:val="00BE31AD"/>
    <w:rsid w:val="00BE3C3D"/>
    <w:rsid w:val="00BE59C6"/>
    <w:rsid w:val="00BE6F2A"/>
    <w:rsid w:val="00BF0694"/>
    <w:rsid w:val="00BF2409"/>
    <w:rsid w:val="00BF3854"/>
    <w:rsid w:val="00BF40E6"/>
    <w:rsid w:val="00BF5CDA"/>
    <w:rsid w:val="00C022A5"/>
    <w:rsid w:val="00C03C5D"/>
    <w:rsid w:val="00C03DC0"/>
    <w:rsid w:val="00C109CE"/>
    <w:rsid w:val="00C11C9D"/>
    <w:rsid w:val="00C146EF"/>
    <w:rsid w:val="00C155AD"/>
    <w:rsid w:val="00C1629D"/>
    <w:rsid w:val="00C17163"/>
    <w:rsid w:val="00C211D7"/>
    <w:rsid w:val="00C23B9A"/>
    <w:rsid w:val="00C24AFA"/>
    <w:rsid w:val="00C26A31"/>
    <w:rsid w:val="00C301BE"/>
    <w:rsid w:val="00C321DA"/>
    <w:rsid w:val="00C32283"/>
    <w:rsid w:val="00C32C97"/>
    <w:rsid w:val="00C35228"/>
    <w:rsid w:val="00C36F18"/>
    <w:rsid w:val="00C4413B"/>
    <w:rsid w:val="00C44623"/>
    <w:rsid w:val="00C44FB9"/>
    <w:rsid w:val="00C4561F"/>
    <w:rsid w:val="00C45EB8"/>
    <w:rsid w:val="00C475C2"/>
    <w:rsid w:val="00C518FB"/>
    <w:rsid w:val="00C57CDB"/>
    <w:rsid w:val="00C646CE"/>
    <w:rsid w:val="00C66731"/>
    <w:rsid w:val="00C71D74"/>
    <w:rsid w:val="00C72A0C"/>
    <w:rsid w:val="00C74338"/>
    <w:rsid w:val="00C77934"/>
    <w:rsid w:val="00C82F09"/>
    <w:rsid w:val="00C835AB"/>
    <w:rsid w:val="00C83C7F"/>
    <w:rsid w:val="00C83EEB"/>
    <w:rsid w:val="00C8643D"/>
    <w:rsid w:val="00C87620"/>
    <w:rsid w:val="00C87761"/>
    <w:rsid w:val="00C909C1"/>
    <w:rsid w:val="00C90AB1"/>
    <w:rsid w:val="00C91795"/>
    <w:rsid w:val="00C91B19"/>
    <w:rsid w:val="00C926A5"/>
    <w:rsid w:val="00C95EB7"/>
    <w:rsid w:val="00C96EC8"/>
    <w:rsid w:val="00CA32F2"/>
    <w:rsid w:val="00CB18AA"/>
    <w:rsid w:val="00CB54D7"/>
    <w:rsid w:val="00CB68CF"/>
    <w:rsid w:val="00CC6C12"/>
    <w:rsid w:val="00CC747E"/>
    <w:rsid w:val="00CC76C8"/>
    <w:rsid w:val="00CD0C0E"/>
    <w:rsid w:val="00CD241B"/>
    <w:rsid w:val="00CD48B5"/>
    <w:rsid w:val="00CD596F"/>
    <w:rsid w:val="00CE09A5"/>
    <w:rsid w:val="00CE0F07"/>
    <w:rsid w:val="00CE2957"/>
    <w:rsid w:val="00CE33C5"/>
    <w:rsid w:val="00CE5876"/>
    <w:rsid w:val="00CF4D1F"/>
    <w:rsid w:val="00D05ACD"/>
    <w:rsid w:val="00D05DFA"/>
    <w:rsid w:val="00D1054D"/>
    <w:rsid w:val="00D11732"/>
    <w:rsid w:val="00D11BBC"/>
    <w:rsid w:val="00D131B8"/>
    <w:rsid w:val="00D1408D"/>
    <w:rsid w:val="00D146F2"/>
    <w:rsid w:val="00D1719A"/>
    <w:rsid w:val="00D17DFF"/>
    <w:rsid w:val="00D24E3F"/>
    <w:rsid w:val="00D30ACC"/>
    <w:rsid w:val="00D32024"/>
    <w:rsid w:val="00D33393"/>
    <w:rsid w:val="00D33760"/>
    <w:rsid w:val="00D36D71"/>
    <w:rsid w:val="00D409B2"/>
    <w:rsid w:val="00D41115"/>
    <w:rsid w:val="00D4172B"/>
    <w:rsid w:val="00D42177"/>
    <w:rsid w:val="00D44E38"/>
    <w:rsid w:val="00D45BA5"/>
    <w:rsid w:val="00D45E26"/>
    <w:rsid w:val="00D46497"/>
    <w:rsid w:val="00D47A3E"/>
    <w:rsid w:val="00D51EC0"/>
    <w:rsid w:val="00D5720B"/>
    <w:rsid w:val="00D57698"/>
    <w:rsid w:val="00D608E2"/>
    <w:rsid w:val="00D62552"/>
    <w:rsid w:val="00D6309D"/>
    <w:rsid w:val="00D6448B"/>
    <w:rsid w:val="00D74EE7"/>
    <w:rsid w:val="00D756B5"/>
    <w:rsid w:val="00D847D8"/>
    <w:rsid w:val="00D85F5C"/>
    <w:rsid w:val="00D86D9B"/>
    <w:rsid w:val="00D91A9D"/>
    <w:rsid w:val="00D927D9"/>
    <w:rsid w:val="00D92D89"/>
    <w:rsid w:val="00D930BE"/>
    <w:rsid w:val="00D97390"/>
    <w:rsid w:val="00D97CC9"/>
    <w:rsid w:val="00DA06B1"/>
    <w:rsid w:val="00DA7CF2"/>
    <w:rsid w:val="00DB0784"/>
    <w:rsid w:val="00DB2630"/>
    <w:rsid w:val="00DB2E07"/>
    <w:rsid w:val="00DB4CC4"/>
    <w:rsid w:val="00DB6829"/>
    <w:rsid w:val="00DC0307"/>
    <w:rsid w:val="00DC0A27"/>
    <w:rsid w:val="00DC2019"/>
    <w:rsid w:val="00DC2D32"/>
    <w:rsid w:val="00DC35B1"/>
    <w:rsid w:val="00DC3C91"/>
    <w:rsid w:val="00DC647E"/>
    <w:rsid w:val="00DC7068"/>
    <w:rsid w:val="00DC7787"/>
    <w:rsid w:val="00DD0343"/>
    <w:rsid w:val="00DD440A"/>
    <w:rsid w:val="00DD5EE7"/>
    <w:rsid w:val="00DE1A86"/>
    <w:rsid w:val="00DE4DE3"/>
    <w:rsid w:val="00DE591A"/>
    <w:rsid w:val="00DF2545"/>
    <w:rsid w:val="00DF2B97"/>
    <w:rsid w:val="00DF34CC"/>
    <w:rsid w:val="00DF3D48"/>
    <w:rsid w:val="00DF4F74"/>
    <w:rsid w:val="00DF7E2B"/>
    <w:rsid w:val="00E0054C"/>
    <w:rsid w:val="00E03329"/>
    <w:rsid w:val="00E04751"/>
    <w:rsid w:val="00E05EC4"/>
    <w:rsid w:val="00E05EC5"/>
    <w:rsid w:val="00E06195"/>
    <w:rsid w:val="00E0626E"/>
    <w:rsid w:val="00E10DC6"/>
    <w:rsid w:val="00E149B6"/>
    <w:rsid w:val="00E16110"/>
    <w:rsid w:val="00E1619D"/>
    <w:rsid w:val="00E161A4"/>
    <w:rsid w:val="00E1736C"/>
    <w:rsid w:val="00E23BE0"/>
    <w:rsid w:val="00E242AE"/>
    <w:rsid w:val="00E250E6"/>
    <w:rsid w:val="00E27170"/>
    <w:rsid w:val="00E304EE"/>
    <w:rsid w:val="00E325E9"/>
    <w:rsid w:val="00E334E3"/>
    <w:rsid w:val="00E356A5"/>
    <w:rsid w:val="00E35819"/>
    <w:rsid w:val="00E36225"/>
    <w:rsid w:val="00E40EE8"/>
    <w:rsid w:val="00E4453B"/>
    <w:rsid w:val="00E44558"/>
    <w:rsid w:val="00E46ACC"/>
    <w:rsid w:val="00E475E5"/>
    <w:rsid w:val="00E47A81"/>
    <w:rsid w:val="00E5260E"/>
    <w:rsid w:val="00E54F77"/>
    <w:rsid w:val="00E639A3"/>
    <w:rsid w:val="00E66EE5"/>
    <w:rsid w:val="00E67EE1"/>
    <w:rsid w:val="00E73FE3"/>
    <w:rsid w:val="00E74204"/>
    <w:rsid w:val="00E75123"/>
    <w:rsid w:val="00E7632D"/>
    <w:rsid w:val="00E76D5B"/>
    <w:rsid w:val="00E77B7A"/>
    <w:rsid w:val="00E77D92"/>
    <w:rsid w:val="00E818B6"/>
    <w:rsid w:val="00E82064"/>
    <w:rsid w:val="00E840A9"/>
    <w:rsid w:val="00E84862"/>
    <w:rsid w:val="00E853EA"/>
    <w:rsid w:val="00E87D85"/>
    <w:rsid w:val="00E87EA3"/>
    <w:rsid w:val="00E9020E"/>
    <w:rsid w:val="00E94943"/>
    <w:rsid w:val="00E957CC"/>
    <w:rsid w:val="00E95BFB"/>
    <w:rsid w:val="00E96626"/>
    <w:rsid w:val="00E9667E"/>
    <w:rsid w:val="00EA194F"/>
    <w:rsid w:val="00EA1C3F"/>
    <w:rsid w:val="00EA3F51"/>
    <w:rsid w:val="00EA6998"/>
    <w:rsid w:val="00EB1C2B"/>
    <w:rsid w:val="00EB1E76"/>
    <w:rsid w:val="00EB3554"/>
    <w:rsid w:val="00EB6EF3"/>
    <w:rsid w:val="00EB77E8"/>
    <w:rsid w:val="00EB7835"/>
    <w:rsid w:val="00EC23D0"/>
    <w:rsid w:val="00EC47ED"/>
    <w:rsid w:val="00EC6710"/>
    <w:rsid w:val="00EC6739"/>
    <w:rsid w:val="00ED0B39"/>
    <w:rsid w:val="00ED0FED"/>
    <w:rsid w:val="00ED5777"/>
    <w:rsid w:val="00ED786C"/>
    <w:rsid w:val="00EE1495"/>
    <w:rsid w:val="00EE3138"/>
    <w:rsid w:val="00EE5EAF"/>
    <w:rsid w:val="00EE6366"/>
    <w:rsid w:val="00EF0525"/>
    <w:rsid w:val="00EF1604"/>
    <w:rsid w:val="00EF1E7D"/>
    <w:rsid w:val="00EF5AC0"/>
    <w:rsid w:val="00F005EC"/>
    <w:rsid w:val="00F03854"/>
    <w:rsid w:val="00F0480C"/>
    <w:rsid w:val="00F04A84"/>
    <w:rsid w:val="00F04FE3"/>
    <w:rsid w:val="00F12F41"/>
    <w:rsid w:val="00F1429C"/>
    <w:rsid w:val="00F144E6"/>
    <w:rsid w:val="00F15E9F"/>
    <w:rsid w:val="00F160FD"/>
    <w:rsid w:val="00F17BAB"/>
    <w:rsid w:val="00F23378"/>
    <w:rsid w:val="00F235DF"/>
    <w:rsid w:val="00F24D6D"/>
    <w:rsid w:val="00F26248"/>
    <w:rsid w:val="00F30E38"/>
    <w:rsid w:val="00F321C3"/>
    <w:rsid w:val="00F33085"/>
    <w:rsid w:val="00F4248F"/>
    <w:rsid w:val="00F44C14"/>
    <w:rsid w:val="00F45370"/>
    <w:rsid w:val="00F470FB"/>
    <w:rsid w:val="00F47FF3"/>
    <w:rsid w:val="00F50831"/>
    <w:rsid w:val="00F50A72"/>
    <w:rsid w:val="00F5103F"/>
    <w:rsid w:val="00F530E6"/>
    <w:rsid w:val="00F553D9"/>
    <w:rsid w:val="00F5711C"/>
    <w:rsid w:val="00F608FC"/>
    <w:rsid w:val="00F61F17"/>
    <w:rsid w:val="00F62879"/>
    <w:rsid w:val="00F65AF5"/>
    <w:rsid w:val="00F6619E"/>
    <w:rsid w:val="00F67ABD"/>
    <w:rsid w:val="00F7254A"/>
    <w:rsid w:val="00F72672"/>
    <w:rsid w:val="00F73A36"/>
    <w:rsid w:val="00F743FB"/>
    <w:rsid w:val="00F77DEA"/>
    <w:rsid w:val="00F84822"/>
    <w:rsid w:val="00F910B3"/>
    <w:rsid w:val="00F926E8"/>
    <w:rsid w:val="00F9330C"/>
    <w:rsid w:val="00F94693"/>
    <w:rsid w:val="00F953E5"/>
    <w:rsid w:val="00F978C3"/>
    <w:rsid w:val="00F97E25"/>
    <w:rsid w:val="00FA4086"/>
    <w:rsid w:val="00FA4B8A"/>
    <w:rsid w:val="00FA4C04"/>
    <w:rsid w:val="00FA5FC0"/>
    <w:rsid w:val="00FB2BF0"/>
    <w:rsid w:val="00FB6F76"/>
    <w:rsid w:val="00FB7C2A"/>
    <w:rsid w:val="00FC0E06"/>
    <w:rsid w:val="00FC246B"/>
    <w:rsid w:val="00FC4B92"/>
    <w:rsid w:val="00FD0AD2"/>
    <w:rsid w:val="00FD50D2"/>
    <w:rsid w:val="00FD529F"/>
    <w:rsid w:val="00FD57E8"/>
    <w:rsid w:val="00FE0490"/>
    <w:rsid w:val="00FE4162"/>
    <w:rsid w:val="00FE592E"/>
    <w:rsid w:val="00FE7592"/>
    <w:rsid w:val="00FE7E6B"/>
    <w:rsid w:val="00FF0AFE"/>
    <w:rsid w:val="00FF22CB"/>
    <w:rsid w:val="00FF297F"/>
    <w:rsid w:val="00FF3EBF"/>
    <w:rsid w:val="00FF4504"/>
    <w:rsid w:val="00FF61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CE716B"/>
  <w15:chartTrackingRefBased/>
  <w15:docId w15:val="{CB13510C-C9AC-4E24-8A27-9837FBC4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nhideWhenUsed/>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after="0" w:line="360" w:lineRule="auto"/>
      <w:jc w:val="both"/>
    </w:pPr>
    <w:rPr>
      <w:rFonts w:ascii="Arial" w:eastAsia="Times New Roman" w:hAnsi="Arial"/>
      <w:sz w:val="26"/>
      <w:szCs w:val="20"/>
      <w:lang w:val="es-ES_tradnl" w:eastAsia="es-ES"/>
    </w:rPr>
  </w:style>
  <w:style w:type="character" w:customStyle="1" w:styleId="CarCar3">
    <w:name w:val=" Car Car3"/>
    <w:rPr>
      <w:rFonts w:ascii="Arial" w:eastAsia="Times New Roman" w:hAnsi="Arial" w:cs="Times New Roman"/>
      <w:sz w:val="26"/>
      <w:szCs w:val="20"/>
      <w:lang w:val="es-ES_tradnl" w:eastAsia="es-ES"/>
    </w:rPr>
  </w:style>
  <w:style w:type="paragraph" w:styleId="Ttulo">
    <w:name w:val="Title"/>
    <w:basedOn w:val="Normal"/>
    <w:link w:val="TtuloCar"/>
    <w:qFormat/>
    <w:pPr>
      <w:widowControl w:val="0"/>
      <w:autoSpaceDE w:val="0"/>
      <w:autoSpaceDN w:val="0"/>
      <w:adjustRightInd w:val="0"/>
      <w:spacing w:after="0" w:line="240" w:lineRule="auto"/>
      <w:jc w:val="center"/>
    </w:pPr>
    <w:rPr>
      <w:rFonts w:ascii="Roman 12cpi" w:eastAsia="Times New Roman" w:hAnsi="Roman 12cpi"/>
      <w:b/>
      <w:bCs/>
      <w:sz w:val="20"/>
      <w:szCs w:val="20"/>
      <w:lang w:val="x-none" w:eastAsia="x-none"/>
    </w:rPr>
  </w:style>
  <w:style w:type="character" w:customStyle="1" w:styleId="CarCar2">
    <w:name w:val=" Car Car2"/>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pPr>
      <w:tabs>
        <w:tab w:val="center" w:pos="4419"/>
        <w:tab w:val="right" w:pos="8838"/>
      </w:tabs>
    </w:pPr>
  </w:style>
  <w:style w:type="character" w:customStyle="1" w:styleId="CarCar1">
    <w:name w:val=" Car Car1"/>
    <w:rPr>
      <w:sz w:val="22"/>
      <w:szCs w:val="22"/>
      <w:lang w:eastAsia="en-US"/>
    </w:rPr>
  </w:style>
  <w:style w:type="paragraph" w:styleId="Piedepgina">
    <w:name w:val="footer"/>
    <w:basedOn w:val="Normal"/>
    <w:unhideWhenUsed/>
    <w:pPr>
      <w:tabs>
        <w:tab w:val="center" w:pos="4419"/>
        <w:tab w:val="right" w:pos="8838"/>
      </w:tabs>
    </w:pPr>
  </w:style>
  <w:style w:type="character" w:customStyle="1" w:styleId="CarCar">
    <w:name w:val=" Car Car"/>
    <w:rPr>
      <w:sz w:val="22"/>
      <w:szCs w:val="22"/>
      <w:lang w:eastAsia="en-US"/>
    </w:rPr>
  </w:style>
  <w:style w:type="character" w:customStyle="1" w:styleId="CarCar6">
    <w:name w:val=" Car Car6"/>
    <w:rPr>
      <w:rFonts w:ascii="Arial" w:hAnsi="Arial"/>
      <w:sz w:val="26"/>
      <w:lang w:val="es-ES_tradnl" w:eastAsia="es-ES" w:bidi="ar-SA"/>
    </w:rPr>
  </w:style>
  <w:style w:type="character" w:customStyle="1" w:styleId="TtuloCar">
    <w:name w:val="Título Car"/>
    <w:link w:val="Ttulo"/>
    <w:rsid w:val="00762433"/>
    <w:rPr>
      <w:rFonts w:ascii="Roman 12cpi" w:eastAsia="Times New Roman" w:hAnsi="Roman 12cpi"/>
      <w:b/>
      <w:bCs/>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
    <w:basedOn w:val="Normal"/>
    <w:link w:val="TextonotapieCar1"/>
    <w:rsid w:val="00513552"/>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rsid w:val="00513552"/>
    <w:rPr>
      <w:lang w:val="es-CO" w:eastAsia="en-US"/>
    </w:rPr>
  </w:style>
  <w:style w:type="character" w:styleId="Refdenotaalpie">
    <w:name w:val="footnote reference"/>
    <w:rsid w:val="00513552"/>
    <w:rPr>
      <w:vertAlign w:val="superscript"/>
    </w:rPr>
  </w:style>
  <w:style w:type="character" w:customStyle="1" w:styleId="TextonotapieCar1">
    <w:name w:val="Texto nota pie Car1"/>
    <w:aliases w:val="Texto nota pie Car Car"/>
    <w:link w:val="Textonotapie"/>
    <w:uiPriority w:val="99"/>
    <w:rsid w:val="00513552"/>
    <w:rPr>
      <w:rFonts w:ascii="Times New Roman" w:eastAsia="Times New Roman" w:hAnsi="Times New Roman"/>
      <w:lang w:val="es-ES_tradnl"/>
    </w:rPr>
  </w:style>
  <w:style w:type="paragraph" w:styleId="Textoindependiente2">
    <w:name w:val="Body Text 2"/>
    <w:basedOn w:val="Normal"/>
    <w:link w:val="Textoindependiente2Car"/>
    <w:rsid w:val="003E4254"/>
    <w:pPr>
      <w:spacing w:after="120" w:line="480" w:lineRule="auto"/>
    </w:pPr>
  </w:style>
  <w:style w:type="character" w:customStyle="1" w:styleId="Textoindependiente2Car">
    <w:name w:val="Texto independiente 2 Car"/>
    <w:link w:val="Textoindependiente2"/>
    <w:rsid w:val="003E4254"/>
    <w:rPr>
      <w:sz w:val="22"/>
      <w:szCs w:val="22"/>
      <w:lang w:val="es-CO" w:eastAsia="en-US"/>
    </w:rPr>
  </w:style>
  <w:style w:type="paragraph" w:styleId="Textodebloque">
    <w:name w:val="Block Text"/>
    <w:basedOn w:val="Normal"/>
    <w:rsid w:val="005E4EFE"/>
    <w:pPr>
      <w:widowControl w:val="0"/>
      <w:autoSpaceDE w:val="0"/>
      <w:autoSpaceDN w:val="0"/>
      <w:adjustRightInd w:val="0"/>
      <w:spacing w:after="0" w:line="240" w:lineRule="auto"/>
      <w:ind w:left="1475" w:right="878" w:hanging="395"/>
      <w:jc w:val="both"/>
    </w:pPr>
    <w:rPr>
      <w:rFonts w:ascii="Arial" w:eastAsia="Times New Roman" w:hAnsi="Arial" w:cs="Arial"/>
      <w:sz w:val="26"/>
      <w:lang w:val="es-ES_tradnl" w:eastAsia="es-ES"/>
    </w:rPr>
  </w:style>
  <w:style w:type="paragraph" w:customStyle="1" w:styleId="BodyText3">
    <w:name w:val="Body Text 3"/>
    <w:basedOn w:val="Normal"/>
    <w:rsid w:val="00FA4086"/>
    <w:pPr>
      <w:spacing w:after="0" w:line="360" w:lineRule="auto"/>
      <w:jc w:val="both"/>
    </w:pPr>
    <w:rPr>
      <w:rFonts w:ascii="Arial" w:eastAsia="Times New Roman" w:hAnsi="Arial"/>
      <w:sz w:val="28"/>
      <w:szCs w:val="20"/>
      <w:lang w:val="es-ES_tradnl" w:eastAsia="es-ES"/>
    </w:rPr>
  </w:style>
  <w:style w:type="character" w:customStyle="1" w:styleId="EncabezadoCar">
    <w:name w:val="Encabezado Car"/>
    <w:link w:val="Encabezado"/>
    <w:uiPriority w:val="99"/>
    <w:rsid w:val="0085647C"/>
    <w:rPr>
      <w:sz w:val="22"/>
      <w:szCs w:val="22"/>
      <w:lang w:val="es-CO" w:eastAsia="en-US"/>
    </w:rPr>
  </w:style>
  <w:style w:type="character" w:customStyle="1" w:styleId="Ttulo2Car">
    <w:name w:val="Título 2 Car"/>
    <w:rsid w:val="00E95BFB"/>
    <w:rPr>
      <w:rFonts w:ascii="Arial" w:eastAsia="Times New Roman" w:hAnsi="Arial" w:cs="Arial"/>
      <w:sz w:val="28"/>
      <w:szCs w:val="28"/>
      <w:lang w:val="es-CO" w:eastAsia="es-ES"/>
    </w:rPr>
  </w:style>
  <w:style w:type="paragraph" w:customStyle="1" w:styleId="Textoindependiente21">
    <w:name w:val="Texto independiente 21"/>
    <w:basedOn w:val="Normal"/>
    <w:rsid w:val="00647BFD"/>
    <w:pPr>
      <w:spacing w:after="0" w:line="360" w:lineRule="auto"/>
      <w:jc w:val="both"/>
    </w:pPr>
    <w:rPr>
      <w:rFonts w:ascii="Arial" w:eastAsia="Times New Roman" w:hAnsi="Arial"/>
      <w:b/>
      <w:sz w:val="28"/>
      <w:szCs w:val="20"/>
      <w:lang w:val="es-ES_tradnl" w:eastAsia="es-ES"/>
    </w:rPr>
  </w:style>
  <w:style w:type="paragraph" w:styleId="Prrafodelista">
    <w:name w:val="List Paragraph"/>
    <w:basedOn w:val="Normal"/>
    <w:uiPriority w:val="34"/>
    <w:qFormat/>
    <w:rsid w:val="00076822"/>
    <w:pPr>
      <w:ind w:left="708"/>
    </w:pPr>
  </w:style>
  <w:style w:type="table" w:styleId="Tablaconcuadrcula">
    <w:name w:val="Table Grid"/>
    <w:basedOn w:val="Tablanormal"/>
    <w:rsid w:val="00F1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632967">
      <w:bodyDiv w:val="1"/>
      <w:marLeft w:val="0"/>
      <w:marRight w:val="0"/>
      <w:marTop w:val="0"/>
      <w:marBottom w:val="0"/>
      <w:divBdr>
        <w:top w:val="none" w:sz="0" w:space="0" w:color="auto"/>
        <w:left w:val="none" w:sz="0" w:space="0" w:color="auto"/>
        <w:bottom w:val="none" w:sz="0" w:space="0" w:color="auto"/>
        <w:right w:val="none" w:sz="0" w:space="0" w:color="auto"/>
      </w:divBdr>
    </w:div>
    <w:div w:id="1198083921">
      <w:bodyDiv w:val="1"/>
      <w:marLeft w:val="0"/>
      <w:marRight w:val="0"/>
      <w:marTop w:val="0"/>
      <w:marBottom w:val="0"/>
      <w:divBdr>
        <w:top w:val="none" w:sz="0" w:space="0" w:color="auto"/>
        <w:left w:val="none" w:sz="0" w:space="0" w:color="auto"/>
        <w:bottom w:val="none" w:sz="0" w:space="0" w:color="auto"/>
        <w:right w:val="none" w:sz="0" w:space="0" w:color="auto"/>
      </w:divBdr>
    </w:div>
    <w:div w:id="13011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F271-9BBF-4DEF-9517-618BA349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3372</Words>
  <Characters>18549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Samsung</dc:creator>
  <cp:keywords/>
  <cp:lastModifiedBy>Hermides Alonso Gaviria Ocampo</cp:lastModifiedBy>
  <cp:revision>3</cp:revision>
  <cp:lastPrinted>2014-02-10T20:24:00Z</cp:lastPrinted>
  <dcterms:created xsi:type="dcterms:W3CDTF">2021-07-27T21:52:00Z</dcterms:created>
  <dcterms:modified xsi:type="dcterms:W3CDTF">2021-07-27T21:52:00Z</dcterms:modified>
</cp:coreProperties>
</file>