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14" w:rsidRPr="00400CCC" w:rsidRDefault="00A63214" w:rsidP="00A63214">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A63214" w:rsidRDefault="00A63214" w:rsidP="00A63214">
      <w:pPr>
        <w:pStyle w:val="a"/>
        <w:jc w:val="both"/>
        <w:rPr>
          <w:rFonts w:ascii="Arial" w:hAnsi="Arial" w:cs="Arial"/>
          <w:b w:val="0"/>
        </w:rPr>
      </w:pPr>
    </w:p>
    <w:p w:rsidR="001C36EE" w:rsidRPr="00402979" w:rsidRDefault="001C36EE" w:rsidP="001C36EE">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C36EE" w:rsidRPr="00975368" w:rsidRDefault="001C36EE" w:rsidP="001C36EE">
      <w:pPr>
        <w:jc w:val="both"/>
        <w:rPr>
          <w:rFonts w:ascii="Arial Narrow" w:hAnsi="Arial Narrow" w:cs="Arial"/>
          <w:sz w:val="18"/>
          <w:szCs w:val="18"/>
        </w:rPr>
      </w:pPr>
      <w:r w:rsidRPr="00975368">
        <w:rPr>
          <w:rFonts w:ascii="Arial Narrow" w:hAnsi="Arial Narrow" w:cs="Arial"/>
          <w:b/>
          <w:sz w:val="18"/>
          <w:szCs w:val="18"/>
        </w:rPr>
        <w:t>Providencia</w:t>
      </w:r>
      <w:r w:rsidRPr="00975368">
        <w:rPr>
          <w:rFonts w:ascii="Arial Narrow" w:hAnsi="Arial Narrow" w:cs="Arial"/>
          <w:sz w:val="18"/>
          <w:szCs w:val="18"/>
        </w:rPr>
        <w:t>:</w:t>
      </w:r>
      <w:r w:rsidRPr="00975368">
        <w:rPr>
          <w:rFonts w:ascii="Arial Narrow" w:hAnsi="Arial Narrow" w:cs="Arial"/>
          <w:b/>
          <w:sz w:val="18"/>
          <w:szCs w:val="18"/>
        </w:rPr>
        <w:t xml:space="preserve"> </w:t>
      </w:r>
      <w:r w:rsidRPr="00975368">
        <w:rPr>
          <w:rFonts w:ascii="Arial Narrow" w:hAnsi="Arial Narrow" w:cs="Arial"/>
          <w:sz w:val="18"/>
          <w:szCs w:val="18"/>
        </w:rPr>
        <w:tab/>
      </w:r>
      <w:r w:rsidRPr="00975368">
        <w:rPr>
          <w:rFonts w:ascii="Arial Narrow" w:hAnsi="Arial Narrow" w:cs="Arial"/>
          <w:sz w:val="18"/>
          <w:szCs w:val="18"/>
        </w:rPr>
        <w:tab/>
        <w:t xml:space="preserve">Sentencia de Segunda Instancia, jueves </w:t>
      </w:r>
      <w:r w:rsidR="00975368" w:rsidRPr="00975368">
        <w:rPr>
          <w:rFonts w:ascii="Arial Narrow" w:hAnsi="Arial Narrow" w:cs="Arial"/>
          <w:sz w:val="18"/>
          <w:szCs w:val="18"/>
        </w:rPr>
        <w:t xml:space="preserve">26 de abril de </w:t>
      </w:r>
      <w:r w:rsidRPr="00975368">
        <w:rPr>
          <w:rFonts w:ascii="Arial Narrow" w:hAnsi="Arial Narrow" w:cs="Arial"/>
          <w:sz w:val="18"/>
          <w:szCs w:val="18"/>
        </w:rPr>
        <w:t>2018</w:t>
      </w:r>
    </w:p>
    <w:p w:rsidR="001C36EE" w:rsidRPr="00975368" w:rsidRDefault="001C36EE" w:rsidP="001C36EE">
      <w:pPr>
        <w:jc w:val="both"/>
        <w:rPr>
          <w:rFonts w:ascii="Arial Narrow" w:hAnsi="Arial Narrow" w:cs="Arial"/>
          <w:bCs/>
          <w:sz w:val="18"/>
          <w:szCs w:val="18"/>
        </w:rPr>
      </w:pPr>
      <w:r w:rsidRPr="00975368">
        <w:rPr>
          <w:rFonts w:ascii="Arial Narrow" w:hAnsi="Arial Narrow" w:cs="Arial"/>
          <w:b/>
          <w:bCs/>
          <w:sz w:val="18"/>
          <w:szCs w:val="18"/>
        </w:rPr>
        <w:t>Radicación No</w:t>
      </w:r>
      <w:r w:rsidRPr="00975368">
        <w:rPr>
          <w:rFonts w:ascii="Arial Narrow" w:hAnsi="Arial Narrow" w:cs="Arial"/>
          <w:bCs/>
          <w:sz w:val="18"/>
          <w:szCs w:val="18"/>
        </w:rPr>
        <w:t>:</w:t>
      </w:r>
      <w:r w:rsidRPr="00975368">
        <w:rPr>
          <w:rFonts w:ascii="Arial Narrow" w:hAnsi="Arial Narrow" w:cs="Arial"/>
          <w:b/>
          <w:bCs/>
          <w:sz w:val="18"/>
          <w:szCs w:val="18"/>
        </w:rPr>
        <w:t xml:space="preserve"> </w:t>
      </w:r>
      <w:r w:rsidRPr="00975368">
        <w:rPr>
          <w:rFonts w:ascii="Arial Narrow" w:hAnsi="Arial Narrow" w:cs="Arial"/>
          <w:b/>
          <w:bCs/>
          <w:sz w:val="18"/>
          <w:szCs w:val="18"/>
        </w:rPr>
        <w:tab/>
        <w:t xml:space="preserve">      </w:t>
      </w:r>
      <w:r w:rsidRPr="00975368">
        <w:rPr>
          <w:rFonts w:ascii="Arial Narrow" w:hAnsi="Arial Narrow" w:cs="Arial"/>
          <w:b/>
          <w:bCs/>
          <w:sz w:val="18"/>
          <w:szCs w:val="18"/>
        </w:rPr>
        <w:tab/>
      </w:r>
      <w:r w:rsidRPr="00975368">
        <w:rPr>
          <w:rFonts w:ascii="Arial Narrow" w:hAnsi="Arial Narrow" w:cs="Arial"/>
          <w:bCs/>
          <w:sz w:val="18"/>
          <w:szCs w:val="18"/>
        </w:rPr>
        <w:t>66001-31-05-00</w:t>
      </w:r>
      <w:r w:rsidR="00975368" w:rsidRPr="00975368">
        <w:rPr>
          <w:rFonts w:ascii="Arial Narrow" w:hAnsi="Arial Narrow" w:cs="Arial"/>
          <w:bCs/>
          <w:sz w:val="18"/>
          <w:szCs w:val="18"/>
        </w:rPr>
        <w:t>5-2016-00480-01</w:t>
      </w:r>
    </w:p>
    <w:p w:rsidR="001C36EE" w:rsidRPr="00975368" w:rsidRDefault="001C36EE" w:rsidP="001C36EE">
      <w:pPr>
        <w:jc w:val="both"/>
        <w:rPr>
          <w:rFonts w:ascii="Arial Narrow" w:hAnsi="Arial Narrow" w:cs="Arial"/>
          <w:iCs/>
          <w:sz w:val="18"/>
          <w:szCs w:val="18"/>
        </w:rPr>
      </w:pPr>
      <w:r w:rsidRPr="00975368">
        <w:rPr>
          <w:rFonts w:ascii="Arial Narrow" w:hAnsi="Arial Narrow" w:cs="Arial"/>
          <w:b/>
          <w:bCs/>
          <w:iCs/>
          <w:sz w:val="18"/>
          <w:szCs w:val="18"/>
        </w:rPr>
        <w:t>Proceso</w:t>
      </w:r>
      <w:r w:rsidRPr="00975368">
        <w:rPr>
          <w:rFonts w:ascii="Arial Narrow" w:hAnsi="Arial Narrow" w:cs="Arial"/>
          <w:bCs/>
          <w:iCs/>
          <w:sz w:val="18"/>
          <w:szCs w:val="18"/>
        </w:rPr>
        <w:t>:</w:t>
      </w:r>
      <w:r w:rsidRPr="00975368">
        <w:rPr>
          <w:rFonts w:ascii="Arial Narrow" w:hAnsi="Arial Narrow" w:cs="Arial"/>
          <w:iCs/>
          <w:sz w:val="18"/>
          <w:szCs w:val="18"/>
        </w:rPr>
        <w:t xml:space="preserve"> </w:t>
      </w:r>
      <w:r w:rsidRPr="00975368">
        <w:rPr>
          <w:rFonts w:ascii="Arial Narrow" w:hAnsi="Arial Narrow" w:cs="Arial"/>
          <w:b/>
          <w:iCs/>
          <w:sz w:val="18"/>
          <w:szCs w:val="18"/>
        </w:rPr>
        <w:tab/>
      </w:r>
      <w:r w:rsidRPr="00975368">
        <w:rPr>
          <w:rFonts w:ascii="Arial Narrow" w:hAnsi="Arial Narrow" w:cs="Arial"/>
          <w:b/>
          <w:iCs/>
          <w:sz w:val="18"/>
          <w:szCs w:val="18"/>
        </w:rPr>
        <w:tab/>
      </w:r>
      <w:r w:rsidRPr="00975368">
        <w:rPr>
          <w:rFonts w:ascii="Arial Narrow" w:hAnsi="Arial Narrow" w:cs="Arial"/>
          <w:b/>
          <w:iCs/>
          <w:sz w:val="18"/>
          <w:szCs w:val="18"/>
        </w:rPr>
        <w:tab/>
      </w:r>
      <w:r w:rsidRPr="00975368">
        <w:rPr>
          <w:rFonts w:ascii="Arial Narrow" w:hAnsi="Arial Narrow" w:cs="Arial"/>
          <w:iCs/>
          <w:sz w:val="18"/>
          <w:szCs w:val="18"/>
        </w:rPr>
        <w:t>Ordinario Laboral</w:t>
      </w:r>
    </w:p>
    <w:p w:rsidR="001C36EE" w:rsidRPr="00975368" w:rsidRDefault="001C36EE" w:rsidP="001C36EE">
      <w:pPr>
        <w:ind w:firstLine="6"/>
        <w:jc w:val="both"/>
        <w:rPr>
          <w:rFonts w:ascii="Arial Narrow" w:hAnsi="Arial Narrow" w:cs="Arial"/>
          <w:iCs/>
          <w:sz w:val="18"/>
          <w:szCs w:val="18"/>
        </w:rPr>
      </w:pPr>
      <w:r w:rsidRPr="00975368">
        <w:rPr>
          <w:rFonts w:ascii="Arial Narrow" w:hAnsi="Arial Narrow" w:cs="Arial"/>
          <w:b/>
          <w:iCs/>
          <w:sz w:val="18"/>
          <w:szCs w:val="18"/>
        </w:rPr>
        <w:t>Demandante</w:t>
      </w:r>
      <w:r w:rsidRPr="00975368">
        <w:rPr>
          <w:rFonts w:ascii="Arial Narrow" w:hAnsi="Arial Narrow" w:cs="Arial"/>
          <w:iCs/>
          <w:sz w:val="18"/>
          <w:szCs w:val="18"/>
        </w:rPr>
        <w:t xml:space="preserve">:     </w:t>
      </w:r>
      <w:r w:rsidRPr="00975368">
        <w:rPr>
          <w:rFonts w:ascii="Arial Narrow" w:hAnsi="Arial Narrow" w:cs="Arial"/>
          <w:iCs/>
          <w:sz w:val="18"/>
          <w:szCs w:val="18"/>
        </w:rPr>
        <w:tab/>
      </w:r>
      <w:r w:rsidRPr="00975368">
        <w:rPr>
          <w:rFonts w:ascii="Arial Narrow" w:hAnsi="Arial Narrow" w:cs="Arial"/>
          <w:iCs/>
          <w:sz w:val="18"/>
          <w:szCs w:val="18"/>
        </w:rPr>
        <w:tab/>
      </w:r>
      <w:r w:rsidR="00975368" w:rsidRPr="00975368">
        <w:rPr>
          <w:rFonts w:ascii="Arial Narrow" w:hAnsi="Arial Narrow" w:cs="Arial"/>
          <w:iCs/>
          <w:sz w:val="18"/>
          <w:szCs w:val="18"/>
        </w:rPr>
        <w:t xml:space="preserve">Alba Inés Marín Gutiérrez </w:t>
      </w:r>
    </w:p>
    <w:p w:rsidR="001C36EE" w:rsidRPr="00975368" w:rsidRDefault="001C36EE" w:rsidP="001C36EE">
      <w:pPr>
        <w:ind w:firstLine="6"/>
        <w:jc w:val="both"/>
        <w:rPr>
          <w:rFonts w:ascii="Arial Narrow" w:hAnsi="Arial Narrow" w:cs="Arial"/>
          <w:bCs/>
          <w:sz w:val="18"/>
          <w:szCs w:val="18"/>
        </w:rPr>
      </w:pPr>
      <w:r w:rsidRPr="00975368">
        <w:rPr>
          <w:rFonts w:ascii="Arial Narrow" w:hAnsi="Arial Narrow" w:cs="Arial"/>
          <w:b/>
          <w:iCs/>
          <w:sz w:val="18"/>
          <w:szCs w:val="18"/>
        </w:rPr>
        <w:t>D</w:t>
      </w:r>
      <w:r w:rsidRPr="00975368">
        <w:rPr>
          <w:rFonts w:ascii="Arial Narrow" w:hAnsi="Arial Narrow" w:cs="Arial"/>
          <w:b/>
          <w:bCs/>
          <w:sz w:val="18"/>
          <w:szCs w:val="18"/>
        </w:rPr>
        <w:t>emandado:</w:t>
      </w:r>
      <w:r w:rsidRPr="00975368">
        <w:rPr>
          <w:rFonts w:ascii="Arial Narrow" w:hAnsi="Arial Narrow" w:cs="Arial"/>
          <w:bCs/>
          <w:sz w:val="18"/>
          <w:szCs w:val="18"/>
        </w:rPr>
        <w:t xml:space="preserve">           </w:t>
      </w:r>
      <w:r w:rsidRPr="00975368">
        <w:rPr>
          <w:rFonts w:ascii="Arial Narrow" w:hAnsi="Arial Narrow" w:cs="Arial"/>
          <w:bCs/>
          <w:sz w:val="18"/>
          <w:szCs w:val="18"/>
        </w:rPr>
        <w:tab/>
        <w:t xml:space="preserve"> </w:t>
      </w:r>
      <w:r w:rsidRPr="00975368">
        <w:rPr>
          <w:rFonts w:ascii="Arial Narrow" w:hAnsi="Arial Narrow" w:cs="Arial"/>
          <w:bCs/>
          <w:sz w:val="18"/>
          <w:szCs w:val="18"/>
        </w:rPr>
        <w:tab/>
      </w:r>
      <w:proofErr w:type="spellStart"/>
      <w:r w:rsidRPr="00975368">
        <w:rPr>
          <w:rFonts w:ascii="Arial Narrow" w:hAnsi="Arial Narrow" w:cs="Arial"/>
          <w:bCs/>
          <w:sz w:val="18"/>
          <w:szCs w:val="18"/>
        </w:rPr>
        <w:t>Colpensiones</w:t>
      </w:r>
      <w:proofErr w:type="spellEnd"/>
    </w:p>
    <w:p w:rsidR="001C36EE" w:rsidRPr="00975368" w:rsidRDefault="001C36EE" w:rsidP="001C36EE">
      <w:pPr>
        <w:jc w:val="both"/>
        <w:rPr>
          <w:rFonts w:ascii="Arial Narrow" w:hAnsi="Arial Narrow" w:cs="Arial"/>
          <w:sz w:val="18"/>
          <w:szCs w:val="18"/>
        </w:rPr>
      </w:pPr>
      <w:r w:rsidRPr="00975368">
        <w:rPr>
          <w:rFonts w:ascii="Arial Narrow" w:hAnsi="Arial Narrow" w:cs="Arial"/>
          <w:b/>
          <w:sz w:val="18"/>
          <w:szCs w:val="18"/>
        </w:rPr>
        <w:t>Juzgado de origen</w:t>
      </w:r>
      <w:r w:rsidRPr="00975368">
        <w:rPr>
          <w:rFonts w:ascii="Arial Narrow" w:hAnsi="Arial Narrow" w:cs="Arial"/>
          <w:sz w:val="18"/>
          <w:szCs w:val="18"/>
        </w:rPr>
        <w:t xml:space="preserve">:     </w:t>
      </w:r>
      <w:r w:rsidRPr="00975368">
        <w:rPr>
          <w:rFonts w:ascii="Arial Narrow" w:hAnsi="Arial Narrow" w:cs="Arial"/>
          <w:sz w:val="18"/>
          <w:szCs w:val="18"/>
        </w:rPr>
        <w:tab/>
      </w:r>
      <w:r w:rsidR="00975368" w:rsidRPr="00975368">
        <w:rPr>
          <w:rFonts w:ascii="Arial Narrow" w:hAnsi="Arial Narrow" w:cs="Arial"/>
          <w:sz w:val="18"/>
          <w:szCs w:val="18"/>
        </w:rPr>
        <w:t xml:space="preserve">Quinto Laboral </w:t>
      </w:r>
      <w:r w:rsidRPr="00975368">
        <w:rPr>
          <w:rFonts w:ascii="Arial Narrow" w:hAnsi="Arial Narrow" w:cs="Arial"/>
          <w:sz w:val="18"/>
          <w:szCs w:val="18"/>
        </w:rPr>
        <w:t>del Circuito de Pereira.</w:t>
      </w:r>
    </w:p>
    <w:p w:rsidR="001C36EE" w:rsidRPr="00975368" w:rsidRDefault="001C36EE" w:rsidP="001C36EE">
      <w:pPr>
        <w:jc w:val="both"/>
        <w:rPr>
          <w:rFonts w:ascii="Arial Narrow" w:hAnsi="Arial Narrow" w:cs="Arial"/>
          <w:b/>
          <w:iCs/>
          <w:sz w:val="18"/>
          <w:szCs w:val="18"/>
        </w:rPr>
      </w:pPr>
      <w:r w:rsidRPr="00975368">
        <w:rPr>
          <w:rFonts w:ascii="Arial Narrow" w:hAnsi="Arial Narrow" w:cs="Arial"/>
          <w:b/>
          <w:iCs/>
          <w:sz w:val="18"/>
          <w:szCs w:val="18"/>
        </w:rPr>
        <w:t xml:space="preserve">Magistrado Ponente:     </w:t>
      </w:r>
      <w:r w:rsidRPr="00975368">
        <w:rPr>
          <w:rFonts w:ascii="Arial Narrow" w:hAnsi="Arial Narrow" w:cs="Arial"/>
          <w:b/>
          <w:iCs/>
          <w:sz w:val="18"/>
          <w:szCs w:val="18"/>
        </w:rPr>
        <w:tab/>
      </w:r>
      <w:r w:rsidRPr="00975368">
        <w:rPr>
          <w:rFonts w:ascii="Arial Narrow" w:hAnsi="Arial Narrow" w:cs="Arial"/>
          <w:iCs/>
          <w:sz w:val="18"/>
          <w:szCs w:val="18"/>
        </w:rPr>
        <w:t>Francisco Javier Tamayo Tabares.</w:t>
      </w:r>
    </w:p>
    <w:p w:rsidR="005B43BB" w:rsidRDefault="005B43BB" w:rsidP="001C36EE">
      <w:pPr>
        <w:ind w:left="2127" w:hanging="2127"/>
        <w:jc w:val="both"/>
        <w:rPr>
          <w:rFonts w:ascii="Arial Narrow" w:hAnsi="Arial Narrow" w:cs="Arial"/>
          <w:b/>
          <w:bCs/>
          <w:sz w:val="18"/>
          <w:szCs w:val="18"/>
        </w:rPr>
      </w:pPr>
      <w:bookmarkStart w:id="0" w:name="_GoBack"/>
      <w:bookmarkEnd w:id="0"/>
    </w:p>
    <w:p w:rsidR="001C36EE" w:rsidRDefault="001C36EE" w:rsidP="001C36EE">
      <w:pPr>
        <w:ind w:left="2127" w:hanging="2127"/>
        <w:jc w:val="both"/>
        <w:rPr>
          <w:rFonts w:ascii="Arial Narrow" w:hAnsi="Arial Narrow" w:cs="Arial"/>
          <w:sz w:val="18"/>
          <w:szCs w:val="18"/>
          <w:lang w:val="es-ES"/>
        </w:rPr>
      </w:pPr>
      <w:r w:rsidRPr="00975368">
        <w:rPr>
          <w:rFonts w:ascii="Arial Narrow" w:hAnsi="Arial Narrow" w:cs="Arial"/>
          <w:b/>
          <w:bCs/>
          <w:sz w:val="18"/>
          <w:szCs w:val="18"/>
        </w:rPr>
        <w:t xml:space="preserve">Tema: </w:t>
      </w:r>
      <w:r w:rsidRPr="00975368">
        <w:rPr>
          <w:rFonts w:ascii="Arial Narrow" w:hAnsi="Arial Narrow" w:cs="Arial"/>
          <w:b/>
          <w:bCs/>
          <w:sz w:val="18"/>
          <w:szCs w:val="18"/>
        </w:rPr>
        <w:tab/>
      </w:r>
      <w:r w:rsidR="003D6FC4" w:rsidRPr="00975368">
        <w:rPr>
          <w:rFonts w:ascii="Arial Narrow" w:hAnsi="Arial Narrow" w:cs="Tahoma"/>
          <w:b/>
          <w:bCs/>
          <w:sz w:val="18"/>
          <w:szCs w:val="18"/>
        </w:rPr>
        <w:t>PENSIÓN DE SOBREVIVIENTES</w:t>
      </w:r>
      <w:r w:rsidR="003D6FC4">
        <w:rPr>
          <w:rFonts w:ascii="Arial Narrow" w:hAnsi="Arial Narrow" w:cs="Tahoma"/>
          <w:b/>
          <w:bCs/>
          <w:sz w:val="18"/>
          <w:szCs w:val="18"/>
        </w:rPr>
        <w:t xml:space="preserve"> / CÓNYUGE / CONDICIÓN MÁS BENEFICIOSA / ACCEDE / MODIFICA  / ABSUELVE DEL PAGO DE INTERESE MORATORIOS / APLICACIÓN DEL PRECEDENTE SU 005-18 ÚNICAMENTE PARA AQUELLAS DEMANDAS FORMULADAS DESPUÉS DEL 13 DE FEBRERO DE 2018 - </w:t>
      </w:r>
      <w:r w:rsidR="005B43BB">
        <w:rPr>
          <w:rFonts w:ascii="Arial Narrow" w:hAnsi="Arial Narrow" w:cs="Tahoma"/>
          <w:b/>
          <w:bCs/>
          <w:sz w:val="18"/>
          <w:szCs w:val="18"/>
        </w:rPr>
        <w:t xml:space="preserve"> - </w:t>
      </w:r>
      <w:r w:rsidRPr="00975368">
        <w:rPr>
          <w:rFonts w:ascii="Arial Narrow" w:hAnsi="Arial Narrow" w:cs="Arial"/>
          <w:sz w:val="18"/>
          <w:szCs w:val="18"/>
          <w:lang w:val="es-ES"/>
        </w:rPr>
        <w:t>el artículo 47 de la Ley 100 de 1993, modificado por la regla 13 de la Ley 797 de 2003, aplicable por ser la vigente al momento del deceso del señor Cesar Oliveros, cuyo contenido establece quiénes son los llamados por ley a recibir la gracia pensional en calidad de supérstites. Los literales a y b de dicha norma regulan la vocación de beneficiario que tiene el cónyuge o compañero permanente, la cual está supeditada a que se evidencie que hubo una convivencia de –mínimo- los cinco años que antecedieron al deceso del afiliado o del pensionado.</w:t>
      </w:r>
    </w:p>
    <w:p w:rsidR="005B43BB" w:rsidRDefault="005B43BB" w:rsidP="001C36EE">
      <w:pPr>
        <w:ind w:left="2127" w:hanging="2127"/>
        <w:jc w:val="both"/>
        <w:rPr>
          <w:rFonts w:ascii="Arial Narrow" w:hAnsi="Arial Narrow" w:cs="Arial"/>
          <w:sz w:val="18"/>
          <w:szCs w:val="18"/>
          <w:lang w:val="es-ES"/>
        </w:rPr>
      </w:pPr>
      <w:r>
        <w:rPr>
          <w:rFonts w:ascii="Arial Narrow" w:hAnsi="Arial Narrow" w:cs="Arial"/>
          <w:sz w:val="18"/>
          <w:szCs w:val="18"/>
          <w:lang w:val="es-ES"/>
        </w:rPr>
        <w:t>(…)</w:t>
      </w:r>
    </w:p>
    <w:p w:rsidR="003D6FC4" w:rsidRPr="003D6FC4" w:rsidRDefault="003D6FC4" w:rsidP="003D6FC4">
      <w:pPr>
        <w:ind w:left="2127" w:hanging="2127"/>
        <w:jc w:val="both"/>
        <w:rPr>
          <w:rFonts w:ascii="Arial Narrow" w:hAnsi="Arial Narrow" w:cs="Arial"/>
          <w:sz w:val="18"/>
          <w:szCs w:val="18"/>
          <w:lang w:val="es-ES"/>
        </w:rPr>
      </w:pPr>
      <w:r w:rsidRPr="003D6FC4">
        <w:rPr>
          <w:rFonts w:ascii="Arial Narrow" w:hAnsi="Arial Narrow" w:cs="Arial"/>
          <w:sz w:val="18"/>
          <w:szCs w:val="18"/>
          <w:lang w:val="es-ES"/>
        </w:rPr>
        <w:t xml:space="preserve">Y es de abordarse bajo esta perspectiva, en la medida en que para la mayoría de esta Sala, resulta posible acudir al Acuerdo 049 de 1990 aprobado por el Decreto 758 del mismo año, por la vía de la condición más beneficiosa, pese a que la muerte del afiliado se presentó en vigencia de la Ley 797 de 2003. </w:t>
      </w:r>
    </w:p>
    <w:p w:rsidR="003D6FC4" w:rsidRPr="003D6FC4" w:rsidRDefault="003D6FC4" w:rsidP="003D6FC4">
      <w:pPr>
        <w:ind w:left="2127" w:hanging="2127"/>
        <w:jc w:val="both"/>
        <w:rPr>
          <w:rFonts w:ascii="Arial Narrow" w:hAnsi="Arial Narrow" w:cs="Arial"/>
          <w:sz w:val="18"/>
          <w:szCs w:val="18"/>
          <w:lang w:val="es-ES"/>
        </w:rPr>
      </w:pPr>
    </w:p>
    <w:p w:rsidR="005B43BB" w:rsidRDefault="003D6FC4" w:rsidP="003D6FC4">
      <w:pPr>
        <w:ind w:left="2127" w:hanging="2127"/>
        <w:jc w:val="both"/>
        <w:rPr>
          <w:rFonts w:ascii="Arial Narrow" w:hAnsi="Arial Narrow" w:cs="Arial"/>
          <w:sz w:val="18"/>
          <w:szCs w:val="18"/>
          <w:lang w:val="es-ES"/>
        </w:rPr>
      </w:pPr>
      <w:r w:rsidRPr="003D6FC4">
        <w:rPr>
          <w:rFonts w:ascii="Arial Narrow" w:hAnsi="Arial Narrow" w:cs="Arial"/>
          <w:sz w:val="18"/>
          <w:szCs w:val="18"/>
          <w:lang w:val="es-ES"/>
        </w:rPr>
        <w:t>Ello, por cuanto con todo el material jurisprudencial, en especial, recogido en las sentencias de tutela T -084 de 2017, T 235 de 2017 y T 378 de 2017 del órgano de cierre constitucional, entre otras más, se decanta que más allá de acudir al concepto que en sí mismo encierra el principio de la condición más beneficiosa, a propósito de los cambios legislativos entorno a las pensiones de invalidez y sobrevivencia, a lo que también se remite es a los principios de favorabilidad, proporcionalidad, equidad, igualdad, buena fe y 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w:t>
      </w:r>
    </w:p>
    <w:p w:rsidR="005B43BB" w:rsidRDefault="003D6FC4" w:rsidP="001C36EE">
      <w:pPr>
        <w:ind w:left="2127" w:hanging="2127"/>
        <w:jc w:val="both"/>
        <w:rPr>
          <w:rFonts w:ascii="Arial Narrow" w:hAnsi="Arial Narrow" w:cs="Arial"/>
          <w:sz w:val="18"/>
          <w:szCs w:val="18"/>
          <w:lang w:val="es-ES"/>
        </w:rPr>
      </w:pPr>
      <w:r>
        <w:rPr>
          <w:rFonts w:ascii="Arial Narrow" w:hAnsi="Arial Narrow" w:cs="Arial"/>
          <w:sz w:val="18"/>
          <w:szCs w:val="18"/>
          <w:lang w:val="es-ES"/>
        </w:rPr>
        <w:t>(…)</w:t>
      </w:r>
    </w:p>
    <w:p w:rsidR="003D6FC4" w:rsidRPr="003D6FC4" w:rsidRDefault="003D6FC4" w:rsidP="003D6FC4">
      <w:pPr>
        <w:ind w:left="2127" w:hanging="2127"/>
        <w:jc w:val="both"/>
        <w:rPr>
          <w:rFonts w:ascii="Arial Narrow" w:hAnsi="Arial Narrow" w:cs="Arial"/>
          <w:sz w:val="18"/>
          <w:szCs w:val="18"/>
          <w:lang w:val="es-ES"/>
        </w:rPr>
      </w:pPr>
      <w:r w:rsidRPr="003D6FC4">
        <w:rPr>
          <w:rFonts w:ascii="Arial Narrow" w:hAnsi="Arial Narrow" w:cs="Arial"/>
          <w:sz w:val="18"/>
          <w:szCs w:val="18"/>
          <w:lang w:val="es-ES"/>
        </w:rPr>
        <w:t xml:space="preserve">Tales declarantes, merecen total credibilidad para la Sala, puesto que se trata de personas cercanas o allegadas por razones de familiaridad a la pareja, que adveran haber tenido una relación constante de comunicación, muy a pesar de la lejanía, amén de que el panorama permite evidenciar que la separación temporal que existió entre los cónyuges, se dio con el único propósito de materializar los fines comunes de los  mismos, que no es cosa diferente a la ayuda y el crecimiento como pareja, para la consecución de unas metas sociales y económicas. </w:t>
      </w:r>
    </w:p>
    <w:p w:rsidR="003D6FC4" w:rsidRPr="003D6FC4" w:rsidRDefault="003D6FC4" w:rsidP="003D6FC4">
      <w:pPr>
        <w:ind w:left="2127" w:hanging="2127"/>
        <w:jc w:val="both"/>
        <w:rPr>
          <w:rFonts w:ascii="Arial Narrow" w:hAnsi="Arial Narrow" w:cs="Arial"/>
          <w:sz w:val="18"/>
          <w:szCs w:val="18"/>
          <w:lang w:val="es-ES"/>
        </w:rPr>
      </w:pPr>
    </w:p>
    <w:p w:rsidR="003D6FC4" w:rsidRPr="003D6FC4" w:rsidRDefault="003D6FC4" w:rsidP="003D6FC4">
      <w:pPr>
        <w:ind w:left="2127" w:hanging="2127"/>
        <w:jc w:val="both"/>
        <w:rPr>
          <w:rFonts w:ascii="Arial Narrow" w:hAnsi="Arial Narrow" w:cs="Arial"/>
          <w:sz w:val="18"/>
          <w:szCs w:val="18"/>
          <w:lang w:val="es-ES"/>
        </w:rPr>
      </w:pPr>
      <w:r w:rsidRPr="003D6FC4">
        <w:rPr>
          <w:rFonts w:ascii="Arial Narrow" w:hAnsi="Arial Narrow" w:cs="Arial"/>
          <w:sz w:val="18"/>
          <w:szCs w:val="18"/>
          <w:lang w:val="es-ES"/>
        </w:rPr>
        <w:t xml:space="preserve">Por ende, atinó la sentenciadora de primer grado al tener a la demandante como beneficiaria de la pensión de sobrevivientes peticionada. </w:t>
      </w:r>
    </w:p>
    <w:p w:rsidR="003D6FC4" w:rsidRPr="003D6FC4" w:rsidRDefault="003D6FC4" w:rsidP="003D6FC4">
      <w:pPr>
        <w:ind w:left="2127" w:hanging="2127"/>
        <w:jc w:val="both"/>
        <w:rPr>
          <w:rFonts w:ascii="Arial Narrow" w:hAnsi="Arial Narrow" w:cs="Arial"/>
          <w:sz w:val="18"/>
          <w:szCs w:val="18"/>
          <w:lang w:val="es-ES"/>
        </w:rPr>
      </w:pPr>
    </w:p>
    <w:p w:rsidR="003D6FC4" w:rsidRPr="003D6FC4" w:rsidRDefault="003D6FC4" w:rsidP="003D6FC4">
      <w:pPr>
        <w:ind w:left="2127" w:hanging="2127"/>
        <w:jc w:val="both"/>
        <w:rPr>
          <w:rFonts w:ascii="Arial Narrow" w:hAnsi="Arial Narrow" w:cs="Arial"/>
          <w:sz w:val="18"/>
          <w:szCs w:val="18"/>
          <w:lang w:val="es-ES"/>
        </w:rPr>
      </w:pPr>
      <w:r w:rsidRPr="003D6FC4">
        <w:rPr>
          <w:rFonts w:ascii="Arial Narrow" w:hAnsi="Arial Narrow" w:cs="Arial"/>
          <w:sz w:val="18"/>
          <w:szCs w:val="18"/>
          <w:lang w:val="es-ES"/>
        </w:rPr>
        <w:t xml:space="preserve">En este punto, vale la pena advertir que si bien el órgano de cierre constitucional en sentencia SU 005 de 2018, según reciente Comunicado No. 6 del 13 de febrero de 2013, unificó la jurisprudencia y realizó algunos ajustes en relación con el alcance del principio de la condición más beneficiosa en materia de pensión de sobrevivientes, indicando, entre otras cosas, que las personas que pretendan acceder al reconocimiento de dicha prestación pensional con apoyo en dicho principio, deben acreditar el cumplimiento de condiciones, necesarias y en conjunto suficientes, de un test de procedencia allí descrito , lo cierto es que la Sala considera desproporcionada la aplicación inmediata de dicho precedente judicial, a aquellas personas que radicaron la demanda ordinaria laboral con anterioridad a la fecha en que se profirió dicha sentencia de unificación, pues claramente no tenían conocimiento de las nuevas exigencias para el acceso a dicha prestación, y reclamaron ante la justicia ordinaria basados en la línea jurisprudencial pacífica que la Corte Constitucional había estructurado de tiempo atrás. </w:t>
      </w:r>
    </w:p>
    <w:p w:rsidR="003D6FC4" w:rsidRPr="003D6FC4" w:rsidRDefault="003D6FC4" w:rsidP="003D6FC4">
      <w:pPr>
        <w:ind w:left="2127" w:hanging="2127"/>
        <w:jc w:val="both"/>
        <w:rPr>
          <w:rFonts w:ascii="Arial Narrow" w:hAnsi="Arial Narrow" w:cs="Arial"/>
          <w:sz w:val="18"/>
          <w:szCs w:val="18"/>
          <w:lang w:val="es-ES"/>
        </w:rPr>
      </w:pPr>
    </w:p>
    <w:p w:rsidR="003D6FC4" w:rsidRDefault="003D6FC4" w:rsidP="003D6FC4">
      <w:pPr>
        <w:ind w:left="2127" w:hanging="2127"/>
        <w:jc w:val="both"/>
        <w:rPr>
          <w:rFonts w:ascii="Arial Narrow" w:hAnsi="Arial Narrow" w:cs="Arial"/>
          <w:sz w:val="18"/>
          <w:szCs w:val="18"/>
          <w:lang w:val="es-ES"/>
        </w:rPr>
      </w:pPr>
      <w:r w:rsidRPr="003D6FC4">
        <w:rPr>
          <w:rFonts w:ascii="Arial Narrow" w:hAnsi="Arial Narrow" w:cs="Arial"/>
          <w:sz w:val="18"/>
          <w:szCs w:val="18"/>
          <w:lang w:val="es-ES"/>
        </w:rPr>
        <w:t>De este modo, a juicio de la Corporación, resulta más razonable aplicar el reciente pronunciamiento del órgano de cierre constitucional en sentencia SU - 005 de 2018, sólo a aquellos casos en los que la controversia judicial se formule con posterioridad a la emisión de dicho pronunciamiento  -13 de febrero de 2018-, pues sólo a partir de ese momento podría exigírsele al administrado que conozca la nueva postura jurisprudencial que impone nuevos requisitos para el reconocimiento de la pensión de sobrevivientes en aplicación del principio de la condición más beneficiosa, pues obviamente que si el reclamo judicial se da con posterioridad a dicha calenda, se presume que tenía pleno conocimiento de la nueva postura respecto del tema. Por ende, se procederá de conformidad.</w:t>
      </w:r>
    </w:p>
    <w:p w:rsidR="003D6FC4" w:rsidRDefault="003D6FC4" w:rsidP="001C36EE">
      <w:pPr>
        <w:ind w:left="2127" w:hanging="2127"/>
        <w:jc w:val="both"/>
        <w:rPr>
          <w:rFonts w:ascii="Arial Narrow" w:hAnsi="Arial Narrow" w:cs="Arial"/>
          <w:sz w:val="18"/>
          <w:szCs w:val="18"/>
          <w:lang w:val="es-ES"/>
        </w:rPr>
      </w:pPr>
    </w:p>
    <w:p w:rsidR="003D6FC4" w:rsidRDefault="003D6FC4" w:rsidP="001C36EE">
      <w:pPr>
        <w:ind w:left="2127" w:hanging="2127"/>
        <w:jc w:val="both"/>
        <w:rPr>
          <w:rFonts w:ascii="Arial Narrow" w:hAnsi="Arial Narrow" w:cs="Arial"/>
          <w:sz w:val="18"/>
          <w:szCs w:val="18"/>
          <w:lang w:val="es-ES"/>
        </w:rPr>
      </w:pPr>
    </w:p>
    <w:p w:rsidR="005B43BB" w:rsidRPr="00975368" w:rsidRDefault="005B43BB" w:rsidP="001C36EE">
      <w:pPr>
        <w:ind w:left="2127" w:hanging="2127"/>
        <w:jc w:val="both"/>
        <w:rPr>
          <w:rFonts w:ascii="Arial Narrow" w:hAnsi="Arial Narrow" w:cs="Arial"/>
          <w:sz w:val="18"/>
          <w:szCs w:val="18"/>
          <w:lang w:val="es-ES"/>
        </w:rPr>
      </w:pPr>
    </w:p>
    <w:p w:rsidR="001C36EE" w:rsidRPr="00C118B0" w:rsidRDefault="001C36EE" w:rsidP="00975368">
      <w:pPr>
        <w:pStyle w:val="Sinespaciado"/>
        <w:spacing w:line="360" w:lineRule="auto"/>
      </w:pPr>
      <w:r w:rsidRPr="00C118B0">
        <w:t xml:space="preserve">      </w:t>
      </w:r>
    </w:p>
    <w:p w:rsidR="001C36EE" w:rsidRPr="00D30FA7" w:rsidRDefault="001C36EE" w:rsidP="001C36EE">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C36EE" w:rsidRPr="00975368" w:rsidRDefault="001C36EE" w:rsidP="00975368">
      <w:pPr>
        <w:pStyle w:val="Sinespaciado"/>
      </w:pPr>
    </w:p>
    <w:p w:rsidR="001C36EE" w:rsidRDefault="001C36EE" w:rsidP="001C36EE">
      <w:pPr>
        <w:spacing w:line="360" w:lineRule="auto"/>
        <w:ind w:firstLine="851"/>
        <w:jc w:val="both"/>
        <w:rPr>
          <w:rFonts w:ascii="Arial Narrow" w:hAnsi="Arial Narrow" w:cs="Tahoma"/>
          <w:b/>
          <w:bCs/>
          <w:i/>
          <w:color w:val="000000"/>
          <w:sz w:val="28"/>
          <w:szCs w:val="28"/>
          <w:lang w:eastAsia="es-CO"/>
        </w:rPr>
      </w:pPr>
      <w:r>
        <w:rPr>
          <w:rFonts w:ascii="Arial Narrow" w:eastAsia="Calibri" w:hAnsi="Arial Narrow" w:cs="Arial"/>
          <w:sz w:val="28"/>
          <w:szCs w:val="28"/>
          <w:lang w:val="es-CO" w:eastAsia="en-US"/>
        </w:rPr>
        <w:t xml:space="preserve">En Pereira, hoy </w:t>
      </w:r>
      <w:r w:rsidR="00975368">
        <w:rPr>
          <w:rFonts w:ascii="Arial Narrow" w:eastAsia="Calibri" w:hAnsi="Arial Narrow" w:cs="Arial"/>
          <w:sz w:val="28"/>
          <w:szCs w:val="28"/>
          <w:lang w:val="es-CO" w:eastAsia="en-US"/>
        </w:rPr>
        <w:t xml:space="preserve">veintiséis (26) </w:t>
      </w:r>
      <w:r>
        <w:rPr>
          <w:rFonts w:ascii="Arial Narrow" w:eastAsia="Calibri" w:hAnsi="Arial Narrow" w:cs="Arial"/>
          <w:sz w:val="28"/>
          <w:szCs w:val="28"/>
          <w:lang w:val="es-CO" w:eastAsia="en-US"/>
        </w:rPr>
        <w:t xml:space="preserve">de abril de dos mil dieciocho </w:t>
      </w:r>
      <w:r w:rsidRPr="00D30FA7">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8</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975368">
        <w:rPr>
          <w:rFonts w:ascii="Arial Narrow" w:eastAsia="Calibri" w:hAnsi="Arial Narrow" w:cs="Arial"/>
          <w:sz w:val="28"/>
          <w:szCs w:val="28"/>
          <w:lang w:val="es-CO" w:eastAsia="en-US"/>
        </w:rPr>
        <w:t xml:space="preserve">ocho </w:t>
      </w:r>
      <w:r>
        <w:rPr>
          <w:rFonts w:ascii="Arial Narrow" w:eastAsia="Calibri" w:hAnsi="Arial Narrow" w:cs="Arial"/>
          <w:sz w:val="28"/>
          <w:szCs w:val="28"/>
          <w:lang w:val="es-CO" w:eastAsia="en-US"/>
        </w:rPr>
        <w:t xml:space="preserve">y quince de la mañana </w:t>
      </w:r>
      <w:r w:rsidRPr="00D30FA7">
        <w:rPr>
          <w:rFonts w:ascii="Arial Narrow" w:eastAsia="Calibri" w:hAnsi="Arial Narrow" w:cs="Arial"/>
          <w:sz w:val="28"/>
          <w:szCs w:val="28"/>
          <w:lang w:val="es-CO" w:eastAsia="en-US"/>
        </w:rPr>
        <w:t>(</w:t>
      </w:r>
      <w:r w:rsidR="00975368">
        <w:rPr>
          <w:rFonts w:ascii="Arial Narrow" w:eastAsia="Calibri" w:hAnsi="Arial Narrow" w:cs="Arial"/>
          <w:sz w:val="28"/>
          <w:szCs w:val="28"/>
          <w:lang w:val="es-CO" w:eastAsia="en-US"/>
        </w:rPr>
        <w:t>08:15</w:t>
      </w:r>
      <w:r>
        <w:rPr>
          <w:rFonts w:ascii="Arial Narrow" w:eastAsia="Calibri" w:hAnsi="Arial Narrow" w:cs="Arial"/>
          <w:sz w:val="28"/>
          <w:szCs w:val="28"/>
          <w:lang w:val="es-CO" w:eastAsia="en-US"/>
        </w:rPr>
        <w:t xml:space="preserve"> a.m.</w:t>
      </w:r>
      <w:r w:rsidRPr="00D30FA7">
        <w:rPr>
          <w:rFonts w:ascii="Arial Narrow" w:eastAsia="Calibri" w:hAnsi="Arial Narrow" w:cs="Arial"/>
          <w:sz w:val="28"/>
          <w:szCs w:val="28"/>
          <w:lang w:val="es-CO" w:eastAsia="en-US"/>
        </w:rPr>
        <w:t xml:space="preserve">), </w:t>
      </w:r>
      <w:r w:rsidRPr="00D30FA7">
        <w:rPr>
          <w:rFonts w:ascii="Arial Narrow" w:hAnsi="Arial Narrow" w:cs="Tahoma"/>
          <w:bCs/>
          <w:color w:val="000000"/>
          <w:sz w:val="28"/>
          <w:szCs w:val="28"/>
          <w:lang w:eastAsia="es-CO"/>
        </w:rPr>
        <w:t>reu</w:t>
      </w:r>
      <w:r>
        <w:rPr>
          <w:rFonts w:ascii="Arial Narrow" w:hAnsi="Arial Narrow" w:cs="Tahoma"/>
          <w:bCs/>
          <w:color w:val="000000"/>
          <w:sz w:val="28"/>
          <w:szCs w:val="28"/>
          <w:lang w:eastAsia="es-CO"/>
        </w:rPr>
        <w:t xml:space="preserve">nidos en la Sala de Audiencia las magistradas y el suscrito magistrado de la </w:t>
      </w:r>
      <w:r w:rsidRPr="00D30FA7">
        <w:rPr>
          <w:rFonts w:ascii="Arial Narrow" w:hAnsi="Arial Narrow" w:cs="Tahoma"/>
          <w:bCs/>
          <w:color w:val="000000"/>
          <w:sz w:val="28"/>
          <w:szCs w:val="28"/>
          <w:lang w:eastAsia="es-CO"/>
        </w:rPr>
        <w:t xml:space="preserve">Sala </w:t>
      </w:r>
      <w:r>
        <w:rPr>
          <w:rFonts w:ascii="Arial Narrow" w:hAnsi="Arial Narrow" w:cs="Tahoma"/>
          <w:bCs/>
          <w:color w:val="000000"/>
          <w:sz w:val="28"/>
          <w:szCs w:val="28"/>
          <w:lang w:eastAsia="es-CO"/>
        </w:rPr>
        <w:t xml:space="preserve">Cuarta de Decisión </w:t>
      </w:r>
      <w:r w:rsidRPr="0057299F">
        <w:rPr>
          <w:rFonts w:ascii="Arial Narrow" w:hAnsi="Arial Narrow" w:cs="Tahoma"/>
          <w:bCs/>
          <w:color w:val="000000"/>
          <w:sz w:val="28"/>
          <w:szCs w:val="28"/>
          <w:lang w:eastAsia="es-CO"/>
        </w:rPr>
        <w:t xml:space="preserve">Laboral </w:t>
      </w:r>
      <w:r w:rsidRPr="00D30FA7">
        <w:rPr>
          <w:rFonts w:ascii="Arial Narrow" w:hAnsi="Arial Narrow" w:cs="Tahoma"/>
          <w:bCs/>
          <w:color w:val="000000"/>
          <w:sz w:val="28"/>
          <w:szCs w:val="28"/>
          <w:lang w:eastAsia="es-CO"/>
        </w:rPr>
        <w:t xml:space="preserve">del Tribunal Superior de Pereira, el ponente declara abierto el acto, que tiene por objeto resolver </w:t>
      </w:r>
      <w:r>
        <w:rPr>
          <w:rFonts w:ascii="Arial Narrow" w:hAnsi="Arial Narrow" w:cs="Tahoma"/>
          <w:bCs/>
          <w:color w:val="000000"/>
          <w:sz w:val="28"/>
          <w:szCs w:val="28"/>
          <w:lang w:eastAsia="es-CO"/>
        </w:rPr>
        <w:t xml:space="preserve">el </w:t>
      </w:r>
      <w:r w:rsidR="00975368">
        <w:rPr>
          <w:rFonts w:ascii="Arial Narrow" w:hAnsi="Arial Narrow" w:cs="Tahoma"/>
          <w:bCs/>
          <w:color w:val="000000"/>
          <w:sz w:val="28"/>
          <w:szCs w:val="28"/>
          <w:lang w:eastAsia="es-CO"/>
        </w:rPr>
        <w:t xml:space="preserve">grado jurisdiccional de consulta frente a </w:t>
      </w:r>
      <w:r>
        <w:rPr>
          <w:rFonts w:ascii="Arial Narrow" w:hAnsi="Arial Narrow" w:cs="Tahoma"/>
          <w:bCs/>
          <w:color w:val="000000"/>
          <w:sz w:val="28"/>
          <w:szCs w:val="28"/>
          <w:lang w:eastAsia="es-CO"/>
        </w:rPr>
        <w:t xml:space="preserve">la sentencia dictada el </w:t>
      </w:r>
      <w:r w:rsidR="00975368">
        <w:rPr>
          <w:rFonts w:ascii="Arial Narrow" w:hAnsi="Arial Narrow" w:cs="Tahoma"/>
          <w:bCs/>
          <w:color w:val="000000"/>
          <w:sz w:val="28"/>
          <w:szCs w:val="28"/>
          <w:lang w:eastAsia="es-CO"/>
        </w:rPr>
        <w:t xml:space="preserve">31 de mayo de 2017 </w:t>
      </w:r>
      <w:r>
        <w:rPr>
          <w:rFonts w:ascii="Arial Narrow" w:hAnsi="Arial Narrow" w:cs="Tahoma"/>
          <w:bCs/>
          <w:color w:val="000000"/>
          <w:sz w:val="28"/>
          <w:szCs w:val="28"/>
          <w:lang w:eastAsia="es-CO"/>
        </w:rPr>
        <w:t xml:space="preserve">por el Juzgado </w:t>
      </w:r>
      <w:r w:rsidR="00975368">
        <w:rPr>
          <w:rFonts w:ascii="Arial Narrow" w:hAnsi="Arial Narrow" w:cs="Tahoma"/>
          <w:bCs/>
          <w:color w:val="000000"/>
          <w:sz w:val="28"/>
          <w:szCs w:val="28"/>
          <w:lang w:eastAsia="es-CO"/>
        </w:rPr>
        <w:t xml:space="preserve">Quinto </w:t>
      </w:r>
      <w:r>
        <w:rPr>
          <w:rFonts w:ascii="Arial Narrow" w:hAnsi="Arial Narrow" w:cs="Tahoma"/>
          <w:bCs/>
          <w:color w:val="000000"/>
          <w:sz w:val="28"/>
          <w:szCs w:val="28"/>
          <w:lang w:eastAsia="es-CO"/>
        </w:rPr>
        <w:t xml:space="preserve">Laboral del Circuito de esta ciudad, dentro del proceso Ordinario Laboral que promueve </w:t>
      </w:r>
      <w:r w:rsidR="00975368">
        <w:rPr>
          <w:rFonts w:ascii="Arial Narrow" w:hAnsi="Arial Narrow" w:cs="Tahoma"/>
          <w:b/>
          <w:bCs/>
          <w:i/>
          <w:color w:val="000000"/>
          <w:sz w:val="28"/>
          <w:szCs w:val="28"/>
          <w:lang w:eastAsia="es-CO"/>
        </w:rPr>
        <w:t xml:space="preserve">Alba Inés Marín Gutiérrez </w:t>
      </w:r>
      <w:r>
        <w:rPr>
          <w:rFonts w:ascii="Arial Narrow" w:hAnsi="Arial Narrow" w:cs="Tahoma"/>
          <w:bCs/>
          <w:color w:val="000000"/>
          <w:sz w:val="28"/>
          <w:szCs w:val="28"/>
          <w:lang w:eastAsia="es-CO"/>
        </w:rPr>
        <w:t xml:space="preserve">contra la </w:t>
      </w:r>
      <w:r>
        <w:rPr>
          <w:rFonts w:ascii="Arial Narrow" w:hAnsi="Arial Narrow" w:cs="Tahoma"/>
          <w:b/>
          <w:bCs/>
          <w:i/>
          <w:color w:val="000000"/>
          <w:sz w:val="28"/>
          <w:szCs w:val="28"/>
          <w:lang w:eastAsia="es-CO"/>
        </w:rPr>
        <w:t>Administradora Colombiana de Pensiones –</w:t>
      </w:r>
      <w:proofErr w:type="spellStart"/>
      <w:r>
        <w:rPr>
          <w:rFonts w:ascii="Arial Narrow" w:hAnsi="Arial Narrow" w:cs="Tahoma"/>
          <w:b/>
          <w:bCs/>
          <w:i/>
          <w:color w:val="000000"/>
          <w:sz w:val="28"/>
          <w:szCs w:val="28"/>
          <w:lang w:eastAsia="es-CO"/>
        </w:rPr>
        <w:t>Colpensiones</w:t>
      </w:r>
      <w:proofErr w:type="spellEnd"/>
      <w:r>
        <w:rPr>
          <w:rFonts w:ascii="Arial Narrow" w:hAnsi="Arial Narrow" w:cs="Tahoma"/>
          <w:b/>
          <w:bCs/>
          <w:i/>
          <w:color w:val="000000"/>
          <w:sz w:val="28"/>
          <w:szCs w:val="28"/>
          <w:lang w:eastAsia="es-CO"/>
        </w:rPr>
        <w:t>.</w:t>
      </w:r>
    </w:p>
    <w:p w:rsidR="001C36EE" w:rsidRPr="00D30FA7" w:rsidRDefault="001C36EE" w:rsidP="001C36EE">
      <w:pPr>
        <w:pStyle w:val="Sinespaciado"/>
      </w:pPr>
    </w:p>
    <w:p w:rsidR="001C36EE" w:rsidRPr="00D30FA7" w:rsidRDefault="001C36EE" w:rsidP="001C36EE">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C36EE" w:rsidRPr="00663688" w:rsidRDefault="001C36EE" w:rsidP="001C36EE">
      <w:pPr>
        <w:pStyle w:val="Sinespaciado"/>
      </w:pPr>
    </w:p>
    <w:p w:rsidR="001C36EE" w:rsidRPr="00D30FA7" w:rsidRDefault="001C36EE" w:rsidP="001C36EE">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C36EE" w:rsidRPr="00975368" w:rsidRDefault="001C36EE" w:rsidP="00975368">
      <w:pPr>
        <w:pStyle w:val="Sinespaciado"/>
      </w:pPr>
    </w:p>
    <w:p w:rsidR="001C36EE" w:rsidRDefault="001C36EE" w:rsidP="001C36EE">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Persigue la demandante que se declare que tiene derecho al reconocimiento y pago de la pensión de sobrevivientes generada con el deceso de su </w:t>
      </w:r>
      <w:r w:rsidR="00D110F2">
        <w:rPr>
          <w:rFonts w:ascii="Arial Narrow" w:hAnsi="Arial Narrow" w:cs="Tahoma"/>
          <w:sz w:val="28"/>
          <w:szCs w:val="28"/>
        </w:rPr>
        <w:t>cónyuge Hernando Gutiérrez Cardona</w:t>
      </w:r>
      <w:r>
        <w:rPr>
          <w:rFonts w:ascii="Arial Narrow" w:hAnsi="Arial Narrow" w:cs="Tahoma"/>
          <w:sz w:val="28"/>
          <w:szCs w:val="28"/>
        </w:rPr>
        <w:t xml:space="preserve"> a partir del </w:t>
      </w:r>
      <w:r w:rsidR="00D110F2">
        <w:rPr>
          <w:rFonts w:ascii="Arial Narrow" w:hAnsi="Arial Narrow" w:cs="Tahoma"/>
          <w:sz w:val="28"/>
          <w:szCs w:val="28"/>
        </w:rPr>
        <w:t xml:space="preserve">8 de agosto de 2012, junto con los </w:t>
      </w:r>
      <w:r>
        <w:rPr>
          <w:rFonts w:ascii="Arial Narrow" w:hAnsi="Arial Narrow" w:cs="Tahoma"/>
          <w:sz w:val="28"/>
          <w:szCs w:val="28"/>
        </w:rPr>
        <w:t>intereses moratorios</w:t>
      </w:r>
      <w:r w:rsidR="00D110F2">
        <w:rPr>
          <w:rFonts w:ascii="Arial Narrow" w:hAnsi="Arial Narrow" w:cs="Tahoma"/>
          <w:sz w:val="28"/>
          <w:szCs w:val="28"/>
        </w:rPr>
        <w:t xml:space="preserve"> de que trata el artículo 141 de la Ley 100/93, y las costas procesales a su favor. </w:t>
      </w:r>
    </w:p>
    <w:p w:rsidR="001C36EE" w:rsidRDefault="001C36EE" w:rsidP="001C36EE">
      <w:pPr>
        <w:pStyle w:val="Sinespaciado"/>
      </w:pPr>
    </w:p>
    <w:p w:rsidR="00EC28E3" w:rsidRDefault="00EC28E3" w:rsidP="001C36EE">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Tales pedidos se sustentan en que </w:t>
      </w:r>
      <w:r w:rsidR="00E05794">
        <w:rPr>
          <w:rFonts w:ascii="Arial Narrow" w:hAnsi="Arial Narrow" w:cs="Tahoma"/>
          <w:sz w:val="28"/>
          <w:szCs w:val="28"/>
        </w:rPr>
        <w:t xml:space="preserve">el señor Hernando Gutiérrez Cardona falleció el 8 de agosto de 2012 en Arkansas – Estados Unidos; que estuvo afiliado al Instituto de Seguros Sociales hoy </w:t>
      </w:r>
      <w:proofErr w:type="spellStart"/>
      <w:r w:rsidR="00E05794">
        <w:rPr>
          <w:rFonts w:ascii="Arial Narrow" w:hAnsi="Arial Narrow" w:cs="Tahoma"/>
          <w:sz w:val="28"/>
          <w:szCs w:val="28"/>
        </w:rPr>
        <w:t>Colpensiones</w:t>
      </w:r>
      <w:proofErr w:type="spellEnd"/>
      <w:r w:rsidR="00E05794">
        <w:rPr>
          <w:rFonts w:ascii="Arial Narrow" w:hAnsi="Arial Narrow" w:cs="Tahoma"/>
          <w:sz w:val="28"/>
          <w:szCs w:val="28"/>
        </w:rPr>
        <w:t xml:space="preserve">, reuniendo un total de 528 semanas cotizadas con anterioridad al 1º de abril de 1994; que la demandante y el afiliado fallecido fueron conyugues y compartieron techo, lecho y mesa, brindándose ayuda mutua por espacio de 11 años continuos hasta el momento del deceso; que la actora reclamó la pensión de sobrevivientes ante la entidad demandada el 9 de agosto de 2013, sin embargo, a través de la Resolución </w:t>
      </w:r>
      <w:proofErr w:type="spellStart"/>
      <w:r w:rsidR="00E05794">
        <w:rPr>
          <w:rFonts w:ascii="Arial Narrow" w:hAnsi="Arial Narrow" w:cs="Tahoma"/>
          <w:sz w:val="28"/>
          <w:szCs w:val="28"/>
        </w:rPr>
        <w:t>GNR</w:t>
      </w:r>
      <w:proofErr w:type="spellEnd"/>
      <w:r w:rsidR="00E05794">
        <w:rPr>
          <w:rFonts w:ascii="Arial Narrow" w:hAnsi="Arial Narrow" w:cs="Tahoma"/>
          <w:sz w:val="28"/>
          <w:szCs w:val="28"/>
        </w:rPr>
        <w:t xml:space="preserve"> 12498 de 2014 le fue negada la prestación económica. </w:t>
      </w:r>
    </w:p>
    <w:p w:rsidR="001C36EE" w:rsidRPr="00FD2CDC" w:rsidRDefault="001C36EE" w:rsidP="001C36EE">
      <w:pPr>
        <w:pStyle w:val="Sinespaciado"/>
      </w:pPr>
    </w:p>
    <w:p w:rsidR="001C36EE" w:rsidRDefault="001C36EE" w:rsidP="001C36EE">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allegó respuesta por medio de </w:t>
      </w:r>
      <w:r w:rsidR="00DE4A0A">
        <w:rPr>
          <w:rFonts w:ascii="Arial Narrow" w:hAnsi="Arial Narrow" w:cs="Tahoma"/>
          <w:sz w:val="28"/>
          <w:szCs w:val="28"/>
        </w:rPr>
        <w:t xml:space="preserve">su </w:t>
      </w:r>
      <w:r>
        <w:rPr>
          <w:rFonts w:ascii="Arial Narrow" w:hAnsi="Arial Narrow" w:cs="Tahoma"/>
          <w:sz w:val="28"/>
          <w:szCs w:val="28"/>
        </w:rPr>
        <w:t xml:space="preserve">portavoz judicial, </w:t>
      </w:r>
      <w:r w:rsidR="00DE4A0A">
        <w:rPr>
          <w:rFonts w:ascii="Arial Narrow" w:hAnsi="Arial Narrow" w:cs="Tahoma"/>
          <w:sz w:val="28"/>
          <w:szCs w:val="28"/>
        </w:rPr>
        <w:t xml:space="preserve">oponiéndose a las pretensiones de la demanda por considerar que el afiliado fallecido no dejó causado el derecho a la prestación pensional que se reclama. </w:t>
      </w:r>
      <w:r>
        <w:rPr>
          <w:rFonts w:ascii="Arial Narrow" w:hAnsi="Arial Narrow" w:cs="Tahoma"/>
          <w:sz w:val="28"/>
          <w:szCs w:val="28"/>
        </w:rPr>
        <w:t xml:space="preserve"> </w:t>
      </w:r>
      <w:r w:rsidR="00DE4A0A">
        <w:rPr>
          <w:rFonts w:ascii="Arial Narrow" w:hAnsi="Arial Narrow" w:cs="Tahoma"/>
          <w:sz w:val="28"/>
          <w:szCs w:val="28"/>
        </w:rPr>
        <w:t xml:space="preserve">Formuló como </w:t>
      </w:r>
      <w:r>
        <w:rPr>
          <w:rFonts w:ascii="Arial Narrow" w:hAnsi="Arial Narrow" w:cs="Tahoma"/>
          <w:sz w:val="28"/>
          <w:szCs w:val="28"/>
        </w:rPr>
        <w:t>excepcion</w:t>
      </w:r>
      <w:r w:rsidR="00DE4A0A">
        <w:rPr>
          <w:rFonts w:ascii="Arial Narrow" w:hAnsi="Arial Narrow" w:cs="Tahoma"/>
          <w:sz w:val="28"/>
          <w:szCs w:val="28"/>
        </w:rPr>
        <w:t>es</w:t>
      </w:r>
      <w:r>
        <w:rPr>
          <w:rFonts w:ascii="Arial Narrow" w:hAnsi="Arial Narrow" w:cs="Tahoma"/>
          <w:sz w:val="28"/>
          <w:szCs w:val="28"/>
        </w:rPr>
        <w:t xml:space="preserve"> de fondo “Inexistencia de la obligación demandada</w:t>
      </w:r>
      <w:r w:rsidR="00DE4A0A">
        <w:rPr>
          <w:rFonts w:ascii="Arial Narrow" w:hAnsi="Arial Narrow" w:cs="Tahoma"/>
          <w:sz w:val="28"/>
          <w:szCs w:val="28"/>
        </w:rPr>
        <w:t xml:space="preserve">”, “Improcedencia del cobro de los intereses de mora”, y </w:t>
      </w:r>
      <w:r>
        <w:rPr>
          <w:rFonts w:ascii="Arial Narrow" w:hAnsi="Arial Narrow" w:cs="Tahoma"/>
          <w:sz w:val="28"/>
          <w:szCs w:val="28"/>
        </w:rPr>
        <w:t>“Prescripción”.</w:t>
      </w:r>
    </w:p>
    <w:p w:rsidR="001C36EE" w:rsidRDefault="001C36EE" w:rsidP="001C36EE">
      <w:pPr>
        <w:shd w:val="clear" w:color="auto" w:fill="FFFFFF"/>
        <w:spacing w:line="276" w:lineRule="auto"/>
        <w:ind w:firstLine="851"/>
        <w:jc w:val="both"/>
        <w:rPr>
          <w:rFonts w:ascii="Arial Narrow" w:hAnsi="Arial Narrow" w:cs="Tahoma"/>
          <w:sz w:val="28"/>
          <w:szCs w:val="28"/>
        </w:rPr>
      </w:pPr>
    </w:p>
    <w:p w:rsidR="001C36EE" w:rsidRDefault="001C36EE" w:rsidP="001C36EE">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lastRenderedPageBreak/>
        <w:t xml:space="preserve">SENTENCIA </w:t>
      </w:r>
    </w:p>
    <w:p w:rsidR="001C36EE" w:rsidRPr="00663688" w:rsidRDefault="001C36EE" w:rsidP="001C36EE">
      <w:pPr>
        <w:pStyle w:val="Sinespaciado"/>
      </w:pPr>
    </w:p>
    <w:p w:rsidR="00795D2D" w:rsidRPr="00A8795C" w:rsidRDefault="001C36EE" w:rsidP="00795D2D">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jueza del conocimiento mediante fallo del</w:t>
      </w:r>
      <w:r w:rsidR="00FC0AC9">
        <w:rPr>
          <w:rFonts w:ascii="Arial Narrow" w:hAnsi="Arial Narrow" w:cs="Tahoma"/>
          <w:sz w:val="28"/>
          <w:szCs w:val="28"/>
        </w:rPr>
        <w:t xml:space="preserve"> 31 de mayo de 2017</w:t>
      </w:r>
      <w:r>
        <w:rPr>
          <w:rFonts w:ascii="Arial Narrow" w:hAnsi="Arial Narrow" w:cs="Tahoma"/>
          <w:sz w:val="28"/>
          <w:szCs w:val="28"/>
        </w:rPr>
        <w:t xml:space="preserve">, accedió a las pretensiones de la demanda, al encontrar que el señor </w:t>
      </w:r>
      <w:r w:rsidR="00795D2D">
        <w:rPr>
          <w:rFonts w:ascii="Arial Narrow" w:hAnsi="Arial Narrow" w:cs="Tahoma"/>
          <w:sz w:val="28"/>
          <w:szCs w:val="28"/>
        </w:rPr>
        <w:t>Hernando Gutiérrez Cardona dejó causado el derecho a la pensión</w:t>
      </w:r>
      <w:r w:rsidR="00795D2D" w:rsidRPr="00A8795C">
        <w:rPr>
          <w:rFonts w:ascii="Arial Narrow" w:hAnsi="Arial Narrow" w:cs="Tahoma"/>
          <w:sz w:val="28"/>
          <w:szCs w:val="28"/>
        </w:rPr>
        <w:t xml:space="preserve"> de sobrevivientes con apoyo en el Acuerdo 049 de 1990, aplicable por virtud del principio de la condición más beneficiosa, por haber cotizado más de 300 semanas antes del 1º de abril de 1994. Acto seguido, con base en las pruebas testimoniales recopiladas, declaró a la señora </w:t>
      </w:r>
      <w:r w:rsidR="00795D2D">
        <w:rPr>
          <w:rFonts w:ascii="Arial Narrow" w:hAnsi="Arial Narrow" w:cs="Tahoma"/>
          <w:sz w:val="28"/>
          <w:szCs w:val="28"/>
        </w:rPr>
        <w:t>Alba Inés Marín Gutiérrez</w:t>
      </w:r>
      <w:r w:rsidR="00795D2D" w:rsidRPr="00A8795C">
        <w:rPr>
          <w:rFonts w:ascii="Arial Narrow" w:hAnsi="Arial Narrow" w:cs="Tahoma"/>
          <w:sz w:val="28"/>
          <w:szCs w:val="28"/>
        </w:rPr>
        <w:t>,</w:t>
      </w:r>
      <w:r w:rsidR="00795D2D">
        <w:rPr>
          <w:rFonts w:ascii="Arial Narrow" w:hAnsi="Arial Narrow" w:cs="Tahoma"/>
          <w:sz w:val="28"/>
          <w:szCs w:val="28"/>
        </w:rPr>
        <w:t xml:space="preserve"> en calidad de cónyuge supérstite del afiliado fallecido, como </w:t>
      </w:r>
      <w:r w:rsidR="00795D2D" w:rsidRPr="00A8795C">
        <w:rPr>
          <w:rFonts w:ascii="Arial Narrow" w:hAnsi="Arial Narrow" w:cs="Tahoma"/>
          <w:sz w:val="28"/>
          <w:szCs w:val="28"/>
        </w:rPr>
        <w:t xml:space="preserve">beneficiaria de la prestación pensional </w:t>
      </w:r>
      <w:r w:rsidR="00795D2D">
        <w:rPr>
          <w:rFonts w:ascii="Arial Narrow" w:hAnsi="Arial Narrow" w:cs="Tahoma"/>
          <w:sz w:val="28"/>
          <w:szCs w:val="28"/>
        </w:rPr>
        <w:t>peticionada</w:t>
      </w:r>
      <w:r w:rsidR="00795D2D" w:rsidRPr="00A8795C">
        <w:rPr>
          <w:rFonts w:ascii="Arial Narrow" w:hAnsi="Arial Narrow" w:cs="Tahoma"/>
          <w:sz w:val="28"/>
          <w:szCs w:val="28"/>
        </w:rPr>
        <w:t xml:space="preserve">, por haber acreditado más de 5 años de convivencia con el </w:t>
      </w:r>
      <w:r w:rsidR="00795D2D">
        <w:rPr>
          <w:rFonts w:ascii="Arial Narrow" w:hAnsi="Arial Narrow" w:cs="Tahoma"/>
          <w:sz w:val="28"/>
          <w:szCs w:val="28"/>
        </w:rPr>
        <w:t>causante</w:t>
      </w:r>
      <w:r w:rsidR="00795D2D" w:rsidRPr="00A8795C">
        <w:rPr>
          <w:rFonts w:ascii="Arial Narrow" w:hAnsi="Arial Narrow" w:cs="Tahoma"/>
          <w:sz w:val="28"/>
          <w:szCs w:val="28"/>
        </w:rPr>
        <w:t xml:space="preserve">. Declaró parcialmente probada la excepción de </w:t>
      </w:r>
      <w:r w:rsidR="00795D2D">
        <w:rPr>
          <w:rFonts w:ascii="Arial Narrow" w:hAnsi="Arial Narrow" w:cs="Tahoma"/>
          <w:sz w:val="28"/>
          <w:szCs w:val="28"/>
        </w:rPr>
        <w:t>improcedencia d</w:t>
      </w:r>
      <w:r w:rsidR="00855089">
        <w:rPr>
          <w:rFonts w:ascii="Arial Narrow" w:hAnsi="Arial Narrow" w:cs="Tahoma"/>
          <w:sz w:val="28"/>
          <w:szCs w:val="28"/>
        </w:rPr>
        <w:t xml:space="preserve">el reconocimiento de intereses </w:t>
      </w:r>
      <w:r w:rsidR="00795D2D">
        <w:rPr>
          <w:rFonts w:ascii="Arial Narrow" w:hAnsi="Arial Narrow" w:cs="Tahoma"/>
          <w:sz w:val="28"/>
          <w:szCs w:val="28"/>
        </w:rPr>
        <w:t>moratorios</w:t>
      </w:r>
      <w:r w:rsidR="00795D2D" w:rsidRPr="00A8795C">
        <w:rPr>
          <w:rFonts w:ascii="Arial Narrow" w:hAnsi="Arial Narrow" w:cs="Tahoma"/>
          <w:sz w:val="28"/>
          <w:szCs w:val="28"/>
        </w:rPr>
        <w:t>, pues</w:t>
      </w:r>
      <w:r w:rsidR="00795D2D">
        <w:rPr>
          <w:rFonts w:ascii="Arial Narrow" w:hAnsi="Arial Narrow" w:cs="Tahoma"/>
          <w:sz w:val="28"/>
          <w:szCs w:val="28"/>
        </w:rPr>
        <w:t xml:space="preserve">to que el reconocimiento del derecho se hace con base en una interpretación constitucional más favorable. </w:t>
      </w:r>
    </w:p>
    <w:p w:rsidR="001C36EE" w:rsidRPr="00FD2CDC" w:rsidRDefault="001C36EE" w:rsidP="001C36EE">
      <w:pPr>
        <w:pStyle w:val="Sinespaciado"/>
      </w:pPr>
    </w:p>
    <w:p w:rsidR="001C36EE" w:rsidRDefault="001C36EE" w:rsidP="001C36EE">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Procedió a determinar la condena a imponer, señalando que la prestación debe ser</w:t>
      </w:r>
      <w:r w:rsidR="00985E92">
        <w:rPr>
          <w:rFonts w:ascii="Arial Narrow" w:hAnsi="Arial Narrow" w:cs="Tahoma"/>
          <w:sz w:val="28"/>
          <w:szCs w:val="28"/>
        </w:rPr>
        <w:t xml:space="preserve"> igual al salario mínimo, por 13</w:t>
      </w:r>
      <w:r>
        <w:rPr>
          <w:rFonts w:ascii="Arial Narrow" w:hAnsi="Arial Narrow" w:cs="Tahoma"/>
          <w:sz w:val="28"/>
          <w:szCs w:val="28"/>
        </w:rPr>
        <w:t xml:space="preserve"> mesadas pensionales al mes. En cuanto al retroactivo</w:t>
      </w:r>
      <w:r w:rsidR="00985E92">
        <w:rPr>
          <w:rFonts w:ascii="Arial Narrow" w:hAnsi="Arial Narrow" w:cs="Tahoma"/>
          <w:sz w:val="28"/>
          <w:szCs w:val="28"/>
        </w:rPr>
        <w:t xml:space="preserve"> pensional</w:t>
      </w:r>
      <w:r>
        <w:rPr>
          <w:rFonts w:ascii="Arial Narrow" w:hAnsi="Arial Narrow" w:cs="Tahoma"/>
          <w:sz w:val="28"/>
          <w:szCs w:val="28"/>
        </w:rPr>
        <w:t xml:space="preserve">, </w:t>
      </w:r>
      <w:r w:rsidR="00985E92">
        <w:rPr>
          <w:rFonts w:ascii="Arial Narrow" w:hAnsi="Arial Narrow" w:cs="Tahoma"/>
          <w:sz w:val="28"/>
          <w:szCs w:val="28"/>
        </w:rPr>
        <w:t>lo calculó hasta el 30 de abril de 2017 en cuantía de $39`192.023.</w:t>
      </w:r>
    </w:p>
    <w:p w:rsidR="006164C6" w:rsidRDefault="006164C6" w:rsidP="001C36EE">
      <w:pPr>
        <w:shd w:val="clear" w:color="auto" w:fill="FFFFFF"/>
        <w:spacing w:line="360" w:lineRule="auto"/>
        <w:ind w:firstLine="851"/>
        <w:jc w:val="both"/>
        <w:rPr>
          <w:rFonts w:ascii="Arial Narrow" w:hAnsi="Arial Narrow" w:cs="Tahoma"/>
          <w:sz w:val="28"/>
          <w:szCs w:val="28"/>
        </w:rPr>
      </w:pPr>
    </w:p>
    <w:p w:rsidR="006164C6" w:rsidRPr="006164C6" w:rsidRDefault="006164C6" w:rsidP="001C36EE">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CONSULTA </w:t>
      </w:r>
    </w:p>
    <w:p w:rsidR="006164C6" w:rsidRDefault="006164C6" w:rsidP="006164C6">
      <w:pPr>
        <w:pStyle w:val="Sinespaciado"/>
      </w:pPr>
    </w:p>
    <w:p w:rsidR="006164C6" w:rsidRDefault="006164C6" w:rsidP="006164C6">
      <w:pPr>
        <w:tabs>
          <w:tab w:val="left" w:pos="709"/>
          <w:tab w:val="left" w:pos="8647"/>
        </w:tabs>
        <w:spacing w:line="360" w:lineRule="auto"/>
        <w:ind w:right="19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ab/>
        <w:t>Res</w:t>
      </w:r>
      <w:r w:rsidRPr="00171AC6">
        <w:rPr>
          <w:rFonts w:ascii="Arial Narrow" w:hAnsi="Arial Narrow" w:cs="Tahoma"/>
          <w:iCs/>
          <w:color w:val="000000"/>
          <w:sz w:val="28"/>
          <w:szCs w:val="28"/>
          <w:lang w:val="es-MX" w:eastAsia="es-CO"/>
        </w:rPr>
        <w:t>pecto del citado proveído se dispuso el grado jurisdicci</w:t>
      </w:r>
      <w:r>
        <w:rPr>
          <w:rFonts w:ascii="Arial Narrow" w:hAnsi="Arial Narrow" w:cs="Tahoma"/>
          <w:iCs/>
          <w:color w:val="000000"/>
          <w:sz w:val="28"/>
          <w:szCs w:val="28"/>
          <w:lang w:val="es-MX" w:eastAsia="es-CO"/>
        </w:rPr>
        <w:t xml:space="preserve">onal de consulta ante esta Sala, por haber sido desfavorable a la entidad demandada. Surtido </w:t>
      </w:r>
      <w:r w:rsidRPr="00171AC6">
        <w:rPr>
          <w:rFonts w:ascii="Arial Narrow" w:hAnsi="Arial Narrow" w:cs="Tahoma"/>
          <w:iCs/>
          <w:color w:val="000000"/>
          <w:sz w:val="28"/>
          <w:szCs w:val="28"/>
          <w:lang w:val="es-MX" w:eastAsia="es-CO"/>
        </w:rPr>
        <w:t>como se encuentra el trámite procesal de la ins</w:t>
      </w:r>
      <w:r w:rsidR="002823C7">
        <w:rPr>
          <w:rFonts w:ascii="Arial Narrow" w:hAnsi="Arial Narrow" w:cs="Tahoma"/>
          <w:iCs/>
          <w:color w:val="000000"/>
          <w:sz w:val="28"/>
          <w:szCs w:val="28"/>
          <w:lang w:val="es-MX" w:eastAsia="es-CO"/>
        </w:rPr>
        <w:t>tancia, se procede a desatarlo.</w:t>
      </w:r>
    </w:p>
    <w:p w:rsidR="001C36EE" w:rsidRDefault="001C36EE" w:rsidP="001C36EE">
      <w:pPr>
        <w:pStyle w:val="Sinespaciado"/>
        <w:spacing w:line="276" w:lineRule="auto"/>
      </w:pPr>
    </w:p>
    <w:p w:rsidR="001C36EE" w:rsidRPr="006B4716" w:rsidRDefault="001C36EE" w:rsidP="001C36EE">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1C36EE" w:rsidRPr="006B4716" w:rsidRDefault="001C36EE" w:rsidP="001C36EE">
      <w:pPr>
        <w:pStyle w:val="Sinespaciado"/>
        <w:rPr>
          <w:sz w:val="28"/>
          <w:szCs w:val="28"/>
        </w:rPr>
      </w:pPr>
    </w:p>
    <w:p w:rsidR="001C36EE" w:rsidRDefault="001C36EE" w:rsidP="002823C7">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w:t>
      </w:r>
      <w:r>
        <w:rPr>
          <w:rFonts w:ascii="Arial Narrow" w:hAnsi="Arial Narrow"/>
          <w:sz w:val="28"/>
          <w:szCs w:val="28"/>
        </w:rPr>
        <w:t xml:space="preserve">recurrente </w:t>
      </w:r>
      <w:r w:rsidRPr="006B4716">
        <w:rPr>
          <w:rFonts w:ascii="Arial Narrow" w:hAnsi="Arial Narrow"/>
          <w:sz w:val="28"/>
          <w:szCs w:val="28"/>
        </w:rPr>
        <w:t xml:space="preserve">(art.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r>
        <w:rPr>
          <w:rFonts w:ascii="Arial Narrow" w:hAnsi="Arial Narrow"/>
          <w:sz w:val="28"/>
          <w:szCs w:val="28"/>
        </w:rPr>
        <w:t xml:space="preserve"> </w:t>
      </w:r>
      <w:r w:rsidR="002823C7">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1C36EE" w:rsidRDefault="001C36EE" w:rsidP="001C36EE">
      <w:pPr>
        <w:shd w:val="clear" w:color="auto" w:fill="FFFFFF"/>
        <w:spacing w:line="360" w:lineRule="auto"/>
        <w:ind w:firstLine="851"/>
        <w:jc w:val="both"/>
        <w:rPr>
          <w:rFonts w:ascii="Arial Narrow" w:hAnsi="Arial Narrow" w:cs="Tahoma"/>
          <w:iCs/>
          <w:color w:val="000000"/>
          <w:sz w:val="28"/>
          <w:szCs w:val="28"/>
          <w:lang w:val="es-MX" w:eastAsia="es-CO"/>
        </w:rPr>
      </w:pPr>
    </w:p>
    <w:p w:rsidR="001C36EE" w:rsidRPr="00CC6443" w:rsidRDefault="001C36EE" w:rsidP="001C36EE">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1C36EE" w:rsidRPr="00A903F8" w:rsidRDefault="001C36EE" w:rsidP="001C36EE">
      <w:pPr>
        <w:pStyle w:val="Sinespaciado"/>
      </w:pPr>
    </w:p>
    <w:p w:rsidR="001C36EE" w:rsidRDefault="001C36EE" w:rsidP="001C36EE">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2823C7" w:rsidRDefault="002823C7" w:rsidP="002823C7">
      <w:pPr>
        <w:pStyle w:val="Sinespaciado"/>
        <w:rPr>
          <w:lang w:eastAsia="es-CO"/>
        </w:rPr>
      </w:pPr>
    </w:p>
    <w:p w:rsidR="002823C7" w:rsidRDefault="002823C7" w:rsidP="002823C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 xml:space="preserve">Visto el recuento anterior, la Sala formula </w:t>
      </w:r>
      <w:r w:rsidR="00042127">
        <w:rPr>
          <w:rFonts w:ascii="Arial Narrow" w:hAnsi="Arial Narrow" w:cs="Tahoma"/>
          <w:color w:val="000000"/>
          <w:sz w:val="28"/>
          <w:szCs w:val="28"/>
          <w:lang w:eastAsia="es-CO"/>
        </w:rPr>
        <w:t xml:space="preserve">los siguientes </w:t>
      </w:r>
      <w:r w:rsidRPr="00E845FE">
        <w:rPr>
          <w:rFonts w:ascii="Arial Narrow" w:hAnsi="Arial Narrow" w:cs="Tahoma"/>
          <w:color w:val="000000"/>
          <w:sz w:val="28"/>
          <w:szCs w:val="28"/>
          <w:lang w:eastAsia="es-CO"/>
        </w:rPr>
        <w:t>problema</w:t>
      </w:r>
      <w:r w:rsidR="00042127">
        <w:rPr>
          <w:rFonts w:ascii="Arial Narrow" w:hAnsi="Arial Narrow" w:cs="Tahoma"/>
          <w:color w:val="000000"/>
          <w:sz w:val="28"/>
          <w:szCs w:val="28"/>
          <w:lang w:eastAsia="es-CO"/>
        </w:rPr>
        <w:t>s</w:t>
      </w:r>
      <w:r w:rsidRPr="00E845FE">
        <w:rPr>
          <w:rFonts w:ascii="Arial Narrow" w:hAnsi="Arial Narrow" w:cs="Tahoma"/>
          <w:color w:val="000000"/>
          <w:sz w:val="28"/>
          <w:szCs w:val="28"/>
          <w:lang w:eastAsia="es-CO"/>
        </w:rPr>
        <w:t xml:space="preserve"> jurídico</w:t>
      </w:r>
      <w:r w:rsidR="00042127">
        <w:rPr>
          <w:rFonts w:ascii="Arial Narrow" w:hAnsi="Arial Narrow" w:cs="Tahoma"/>
          <w:color w:val="000000"/>
          <w:sz w:val="28"/>
          <w:szCs w:val="28"/>
          <w:lang w:eastAsia="es-CO"/>
        </w:rPr>
        <w:t>s:</w:t>
      </w:r>
    </w:p>
    <w:p w:rsidR="00B72ADD" w:rsidRDefault="00B72ADD" w:rsidP="00B72ADD">
      <w:pPr>
        <w:pStyle w:val="Sinespaciado"/>
        <w:rPr>
          <w:lang w:eastAsia="es-CO"/>
        </w:rPr>
      </w:pPr>
    </w:p>
    <w:p w:rsidR="002823C7" w:rsidRPr="0029421A" w:rsidRDefault="002823C7" w:rsidP="002823C7">
      <w:pPr>
        <w:shd w:val="clear" w:color="auto" w:fill="FFFFFF"/>
        <w:tabs>
          <w:tab w:val="left" w:pos="5197"/>
        </w:tabs>
        <w:ind w:firstLine="851"/>
        <w:jc w:val="both"/>
        <w:rPr>
          <w:rFonts w:ascii="Arial Narrow" w:hAnsi="Arial Narrow" w:cs="Tahoma"/>
          <w:i/>
          <w:color w:val="000000"/>
          <w:sz w:val="28"/>
          <w:szCs w:val="28"/>
          <w:lang w:eastAsia="es-CO"/>
        </w:rPr>
      </w:pPr>
      <w:r w:rsidRPr="0029421A">
        <w:rPr>
          <w:rFonts w:ascii="Arial Narrow" w:hAnsi="Arial Narrow" w:cs="Tahoma"/>
          <w:i/>
          <w:color w:val="000000"/>
          <w:sz w:val="28"/>
          <w:szCs w:val="28"/>
          <w:lang w:eastAsia="es-CO"/>
        </w:rPr>
        <w:t xml:space="preserve">¿Dejó causado el señor </w:t>
      </w:r>
      <w:r>
        <w:rPr>
          <w:rFonts w:ascii="Arial Narrow" w:hAnsi="Arial Narrow" w:cs="Tahoma"/>
          <w:i/>
          <w:color w:val="000000"/>
          <w:sz w:val="28"/>
          <w:szCs w:val="28"/>
          <w:lang w:eastAsia="es-CO"/>
        </w:rPr>
        <w:t>Hernando Gutiérrez Cardona el</w:t>
      </w:r>
      <w:r w:rsidRPr="0029421A">
        <w:rPr>
          <w:rFonts w:ascii="Arial Narrow" w:hAnsi="Arial Narrow" w:cs="Tahoma"/>
          <w:i/>
          <w:color w:val="000000"/>
          <w:sz w:val="28"/>
          <w:szCs w:val="28"/>
          <w:lang w:eastAsia="es-CO"/>
        </w:rPr>
        <w:t xml:space="preserve"> derecho a la pensión de sobrevivientes, en aplicación del principio de la condición más beneficiosa? En caso positivo, </w:t>
      </w:r>
    </w:p>
    <w:p w:rsidR="002823C7" w:rsidRPr="0029421A" w:rsidRDefault="002823C7" w:rsidP="002823C7">
      <w:pPr>
        <w:pStyle w:val="Sinespaciado"/>
        <w:rPr>
          <w:sz w:val="28"/>
          <w:szCs w:val="28"/>
        </w:rPr>
      </w:pPr>
    </w:p>
    <w:p w:rsidR="002823C7" w:rsidRPr="0029421A" w:rsidRDefault="002823C7" w:rsidP="002823C7">
      <w:pPr>
        <w:shd w:val="clear" w:color="auto" w:fill="FFFFFF"/>
        <w:tabs>
          <w:tab w:val="left" w:pos="5197"/>
        </w:tabs>
        <w:ind w:firstLine="851"/>
        <w:jc w:val="both"/>
        <w:rPr>
          <w:rFonts w:ascii="Arial Narrow" w:hAnsi="Arial Narrow" w:cs="Tahoma"/>
          <w:i/>
          <w:color w:val="000000"/>
          <w:sz w:val="28"/>
          <w:szCs w:val="28"/>
          <w:lang w:eastAsia="es-CO"/>
        </w:rPr>
      </w:pPr>
      <w:r w:rsidRPr="0029421A">
        <w:rPr>
          <w:rFonts w:ascii="Arial Narrow" w:hAnsi="Arial Narrow" w:cs="Tahoma"/>
          <w:i/>
          <w:color w:val="000000"/>
          <w:sz w:val="28"/>
          <w:szCs w:val="28"/>
          <w:lang w:eastAsia="es-CO"/>
        </w:rPr>
        <w:t>¿Acreditó</w:t>
      </w:r>
      <w:r>
        <w:rPr>
          <w:rFonts w:ascii="Arial Narrow" w:hAnsi="Arial Narrow" w:cs="Tahoma"/>
          <w:i/>
          <w:color w:val="000000"/>
          <w:sz w:val="28"/>
          <w:szCs w:val="28"/>
          <w:lang w:eastAsia="es-CO"/>
        </w:rPr>
        <w:t xml:space="preserve"> la </w:t>
      </w:r>
      <w:r w:rsidRPr="0029421A">
        <w:rPr>
          <w:rFonts w:ascii="Arial Narrow" w:hAnsi="Arial Narrow" w:cs="Tahoma"/>
          <w:i/>
          <w:color w:val="000000"/>
          <w:sz w:val="28"/>
          <w:szCs w:val="28"/>
          <w:lang w:eastAsia="es-CO"/>
        </w:rPr>
        <w:t>señora A</w:t>
      </w:r>
      <w:r>
        <w:rPr>
          <w:rFonts w:ascii="Arial Narrow" w:hAnsi="Arial Narrow" w:cs="Tahoma"/>
          <w:i/>
          <w:color w:val="000000"/>
          <w:sz w:val="28"/>
          <w:szCs w:val="28"/>
          <w:lang w:eastAsia="es-CO"/>
        </w:rPr>
        <w:t xml:space="preserve">lba Inés Marín Gutiérrez </w:t>
      </w:r>
      <w:r w:rsidRPr="0029421A">
        <w:rPr>
          <w:rFonts w:ascii="Arial Narrow" w:hAnsi="Arial Narrow" w:cs="Tahoma"/>
          <w:i/>
          <w:color w:val="000000"/>
          <w:sz w:val="28"/>
          <w:szCs w:val="28"/>
          <w:lang w:eastAsia="es-CO"/>
        </w:rPr>
        <w:t>las condiciones necesarias para ser</w:t>
      </w:r>
      <w:r>
        <w:rPr>
          <w:rFonts w:ascii="Arial Narrow" w:hAnsi="Arial Narrow" w:cs="Tahoma"/>
          <w:i/>
          <w:color w:val="000000"/>
          <w:sz w:val="28"/>
          <w:szCs w:val="28"/>
          <w:lang w:eastAsia="es-CO"/>
        </w:rPr>
        <w:t xml:space="preserve"> considerada </w:t>
      </w:r>
      <w:r w:rsidRPr="0029421A">
        <w:rPr>
          <w:rFonts w:ascii="Arial Narrow" w:hAnsi="Arial Narrow" w:cs="Tahoma"/>
          <w:i/>
          <w:color w:val="000000"/>
          <w:sz w:val="28"/>
          <w:szCs w:val="28"/>
          <w:lang w:eastAsia="es-CO"/>
        </w:rPr>
        <w:t xml:space="preserve">beneficiaria de la pensión de sobrevivientes </w:t>
      </w:r>
      <w:r>
        <w:rPr>
          <w:rFonts w:ascii="Arial Narrow" w:hAnsi="Arial Narrow" w:cs="Tahoma"/>
          <w:i/>
          <w:color w:val="000000"/>
          <w:sz w:val="28"/>
          <w:szCs w:val="28"/>
          <w:lang w:eastAsia="es-CO"/>
        </w:rPr>
        <w:t>peticionada</w:t>
      </w:r>
      <w:r w:rsidRPr="0029421A">
        <w:rPr>
          <w:rFonts w:ascii="Arial Narrow" w:hAnsi="Arial Narrow" w:cs="Tahoma"/>
          <w:i/>
          <w:color w:val="000000"/>
          <w:sz w:val="28"/>
          <w:szCs w:val="28"/>
          <w:lang w:eastAsia="es-CO"/>
        </w:rPr>
        <w:t>?</w:t>
      </w:r>
    </w:p>
    <w:p w:rsidR="002823C7" w:rsidRPr="0029421A" w:rsidRDefault="002823C7" w:rsidP="002823C7">
      <w:pPr>
        <w:pStyle w:val="Sinespaciado"/>
        <w:rPr>
          <w:sz w:val="28"/>
          <w:szCs w:val="28"/>
          <w:lang w:eastAsia="es-CO"/>
        </w:rPr>
      </w:pPr>
    </w:p>
    <w:p w:rsidR="002823C7" w:rsidRPr="0029421A" w:rsidRDefault="002823C7" w:rsidP="002823C7">
      <w:pPr>
        <w:shd w:val="clear" w:color="auto" w:fill="FFFFFF"/>
        <w:tabs>
          <w:tab w:val="left" w:pos="5197"/>
        </w:tabs>
        <w:ind w:firstLine="851"/>
        <w:jc w:val="both"/>
        <w:rPr>
          <w:rFonts w:ascii="Arial Narrow" w:hAnsi="Arial Narrow" w:cs="Tahoma"/>
          <w:i/>
          <w:color w:val="000000"/>
          <w:sz w:val="28"/>
          <w:szCs w:val="28"/>
          <w:lang w:eastAsia="es-CO"/>
        </w:rPr>
      </w:pPr>
      <w:r w:rsidRPr="0029421A">
        <w:rPr>
          <w:rFonts w:ascii="Arial Narrow" w:hAnsi="Arial Narrow" w:cs="Tahoma"/>
          <w:i/>
          <w:color w:val="000000"/>
          <w:sz w:val="28"/>
          <w:szCs w:val="28"/>
          <w:lang w:eastAsia="es-CO"/>
        </w:rPr>
        <w:t>¿Hay lugar a imponer condena por concepto de retroactivo pensional e intereses moratorios?</w:t>
      </w:r>
    </w:p>
    <w:p w:rsidR="002823C7" w:rsidRDefault="002823C7" w:rsidP="001C36EE">
      <w:pPr>
        <w:shd w:val="clear" w:color="auto" w:fill="FFFFFF"/>
        <w:tabs>
          <w:tab w:val="left" w:pos="5197"/>
        </w:tabs>
        <w:spacing w:line="360" w:lineRule="auto"/>
        <w:ind w:firstLine="851"/>
        <w:jc w:val="both"/>
        <w:rPr>
          <w:rFonts w:ascii="Arial Narrow" w:hAnsi="Arial Narrow" w:cs="Tahoma"/>
          <w:b/>
          <w:i/>
          <w:sz w:val="28"/>
          <w:szCs w:val="28"/>
        </w:rPr>
      </w:pPr>
    </w:p>
    <w:p w:rsidR="002823C7" w:rsidRDefault="002823C7" w:rsidP="002823C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2823C7" w:rsidRPr="00B72ADD" w:rsidRDefault="002823C7" w:rsidP="00B72ADD">
      <w:pPr>
        <w:pStyle w:val="Sinespaciado"/>
      </w:pPr>
    </w:p>
    <w:p w:rsidR="002823C7" w:rsidRDefault="002823C7" w:rsidP="002823C7">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S</w:t>
      </w:r>
      <w:r w:rsidRPr="00F769BA">
        <w:rPr>
          <w:rFonts w:ascii="Arial Narrow" w:hAnsi="Arial Narrow"/>
          <w:sz w:val="28"/>
          <w:szCs w:val="28"/>
          <w:lang w:eastAsia="en-US"/>
        </w:rPr>
        <w:t>on supuestos fácticos no controvertido</w:t>
      </w:r>
      <w:r>
        <w:rPr>
          <w:rFonts w:ascii="Arial Narrow" w:hAnsi="Arial Narrow"/>
          <w:sz w:val="28"/>
          <w:szCs w:val="28"/>
          <w:lang w:eastAsia="en-US"/>
        </w:rPr>
        <w:t>s en esta actuación</w:t>
      </w:r>
      <w:r w:rsidRPr="00F769BA">
        <w:rPr>
          <w:rFonts w:ascii="Arial Narrow" w:hAnsi="Arial Narrow"/>
          <w:sz w:val="28"/>
          <w:szCs w:val="28"/>
          <w:lang w:eastAsia="en-US"/>
        </w:rPr>
        <w:t>: (i) que</w:t>
      </w:r>
      <w:r>
        <w:rPr>
          <w:rFonts w:ascii="Arial Narrow" w:hAnsi="Arial Narrow"/>
          <w:sz w:val="28"/>
          <w:szCs w:val="28"/>
          <w:lang w:eastAsia="en-US"/>
        </w:rPr>
        <w:t xml:space="preserve"> </w:t>
      </w:r>
      <w:r w:rsidR="00A35116">
        <w:rPr>
          <w:rFonts w:ascii="Arial Narrow" w:hAnsi="Arial Narrow"/>
          <w:sz w:val="28"/>
          <w:szCs w:val="28"/>
          <w:lang w:eastAsia="en-US"/>
        </w:rPr>
        <w:t xml:space="preserve">el señor Hernando Gutiérrez Cardona </w:t>
      </w:r>
      <w:r>
        <w:rPr>
          <w:rFonts w:ascii="Arial Narrow" w:hAnsi="Arial Narrow"/>
          <w:sz w:val="28"/>
          <w:szCs w:val="28"/>
          <w:lang w:eastAsia="en-US"/>
        </w:rPr>
        <w:t xml:space="preserve">falleció el </w:t>
      </w:r>
      <w:r w:rsidR="00A35116">
        <w:rPr>
          <w:rFonts w:ascii="Arial Narrow" w:hAnsi="Arial Narrow"/>
          <w:sz w:val="28"/>
          <w:szCs w:val="28"/>
          <w:lang w:eastAsia="en-US"/>
        </w:rPr>
        <w:t>8 de agosto de 2012</w:t>
      </w:r>
      <w:r>
        <w:rPr>
          <w:rFonts w:ascii="Arial Narrow" w:hAnsi="Arial Narrow"/>
          <w:sz w:val="28"/>
          <w:szCs w:val="28"/>
          <w:lang w:eastAsia="en-US"/>
        </w:rPr>
        <w:t xml:space="preserve">, </w:t>
      </w:r>
      <w:r w:rsidR="00A35116">
        <w:rPr>
          <w:rFonts w:ascii="Arial Narrow" w:hAnsi="Arial Narrow"/>
          <w:sz w:val="28"/>
          <w:szCs w:val="28"/>
          <w:lang w:eastAsia="en-US"/>
        </w:rPr>
        <w:t xml:space="preserve">en la ciudad </w:t>
      </w:r>
      <w:r w:rsidR="000F75E3">
        <w:rPr>
          <w:rFonts w:ascii="Arial Narrow" w:hAnsi="Arial Narrow"/>
          <w:sz w:val="28"/>
          <w:szCs w:val="28"/>
          <w:lang w:eastAsia="en-US"/>
        </w:rPr>
        <w:t xml:space="preserve">de </w:t>
      </w:r>
      <w:r w:rsidR="00A35116">
        <w:rPr>
          <w:rFonts w:ascii="Arial Narrow" w:hAnsi="Arial Narrow"/>
          <w:sz w:val="28"/>
          <w:szCs w:val="28"/>
          <w:lang w:eastAsia="en-US"/>
        </w:rPr>
        <w:t>Litt</w:t>
      </w:r>
      <w:r w:rsidR="000F75E3">
        <w:rPr>
          <w:rFonts w:ascii="Arial Narrow" w:hAnsi="Arial Narrow"/>
          <w:sz w:val="28"/>
          <w:szCs w:val="28"/>
          <w:lang w:eastAsia="en-US"/>
        </w:rPr>
        <w:t xml:space="preserve">le Rock del Condado de </w:t>
      </w:r>
      <w:proofErr w:type="spellStart"/>
      <w:r w:rsidR="000F75E3">
        <w:rPr>
          <w:rFonts w:ascii="Arial Narrow" w:hAnsi="Arial Narrow"/>
          <w:sz w:val="28"/>
          <w:szCs w:val="28"/>
          <w:lang w:eastAsia="en-US"/>
        </w:rPr>
        <w:t>Pulaski</w:t>
      </w:r>
      <w:proofErr w:type="spellEnd"/>
      <w:r w:rsidR="000F75E3">
        <w:rPr>
          <w:rFonts w:ascii="Arial Narrow" w:hAnsi="Arial Narrow"/>
          <w:sz w:val="28"/>
          <w:szCs w:val="28"/>
          <w:lang w:eastAsia="en-US"/>
        </w:rPr>
        <w:t xml:space="preserve"> en </w:t>
      </w:r>
      <w:r w:rsidR="00A35116">
        <w:rPr>
          <w:rFonts w:ascii="Arial Narrow" w:hAnsi="Arial Narrow"/>
          <w:sz w:val="28"/>
          <w:szCs w:val="28"/>
          <w:lang w:eastAsia="en-US"/>
        </w:rPr>
        <w:t xml:space="preserve">Estados Unidos de Norteamérica, según </w:t>
      </w:r>
      <w:r w:rsidR="008C59D1">
        <w:rPr>
          <w:rFonts w:ascii="Arial Narrow" w:hAnsi="Arial Narrow"/>
          <w:sz w:val="28"/>
          <w:szCs w:val="28"/>
          <w:lang w:eastAsia="en-US"/>
        </w:rPr>
        <w:t>certificado de defunción del Estado de Arkansas</w:t>
      </w:r>
      <w:r w:rsidR="00A35116">
        <w:rPr>
          <w:rFonts w:ascii="Arial Narrow" w:hAnsi="Arial Narrow"/>
          <w:sz w:val="28"/>
          <w:szCs w:val="28"/>
          <w:lang w:eastAsia="en-US"/>
        </w:rPr>
        <w:t xml:space="preserve"> visible a folio 66;</w:t>
      </w:r>
      <w:r>
        <w:rPr>
          <w:rFonts w:ascii="Arial Narrow" w:hAnsi="Arial Narrow"/>
          <w:sz w:val="28"/>
          <w:szCs w:val="28"/>
          <w:lang w:eastAsia="en-US"/>
        </w:rPr>
        <w:t xml:space="preserve"> (ii) que sufragó un total de </w:t>
      </w:r>
      <w:r w:rsidR="00A35116">
        <w:rPr>
          <w:rFonts w:ascii="Arial Narrow" w:hAnsi="Arial Narrow"/>
          <w:sz w:val="28"/>
          <w:szCs w:val="28"/>
          <w:lang w:eastAsia="en-US"/>
        </w:rPr>
        <w:t xml:space="preserve">602.44 semanas de aportes al </w:t>
      </w:r>
      <w:r w:rsidR="000F75E3">
        <w:rPr>
          <w:rFonts w:ascii="Arial Narrow" w:hAnsi="Arial Narrow"/>
          <w:sz w:val="28"/>
          <w:szCs w:val="28"/>
          <w:lang w:eastAsia="en-US"/>
        </w:rPr>
        <w:t>régimen</w:t>
      </w:r>
      <w:r w:rsidR="00A35116">
        <w:rPr>
          <w:rFonts w:ascii="Arial Narrow" w:hAnsi="Arial Narrow"/>
          <w:sz w:val="28"/>
          <w:szCs w:val="28"/>
          <w:lang w:eastAsia="en-US"/>
        </w:rPr>
        <w:t xml:space="preserve"> de prima media </w:t>
      </w:r>
      <w:r>
        <w:rPr>
          <w:rFonts w:ascii="Arial Narrow" w:hAnsi="Arial Narrow"/>
          <w:sz w:val="28"/>
          <w:szCs w:val="28"/>
          <w:lang w:eastAsia="en-US"/>
        </w:rPr>
        <w:t xml:space="preserve">entre el </w:t>
      </w:r>
      <w:r w:rsidR="00A35116">
        <w:rPr>
          <w:rFonts w:ascii="Arial Narrow" w:hAnsi="Arial Narrow"/>
          <w:sz w:val="28"/>
          <w:szCs w:val="28"/>
          <w:lang w:eastAsia="en-US"/>
        </w:rPr>
        <w:t xml:space="preserve">5 de mayo de 1975 y el 14 de octubre de 1987, </w:t>
      </w:r>
      <w:r>
        <w:rPr>
          <w:rFonts w:ascii="Arial Narrow" w:hAnsi="Arial Narrow"/>
          <w:sz w:val="28"/>
          <w:szCs w:val="28"/>
          <w:lang w:eastAsia="en-US"/>
        </w:rPr>
        <w:t xml:space="preserve">es decir, todas antes de la entrada en vigencia de la Ley 100/93, según se extracta de la </w:t>
      </w:r>
      <w:r w:rsidRPr="00E13461">
        <w:rPr>
          <w:rFonts w:ascii="Arial Narrow" w:hAnsi="Arial Narrow"/>
          <w:sz w:val="28"/>
          <w:szCs w:val="28"/>
          <w:lang w:eastAsia="en-US"/>
        </w:rPr>
        <w:t xml:space="preserve"> historia laboral que obra a fl.</w:t>
      </w:r>
      <w:r w:rsidR="00A35116">
        <w:rPr>
          <w:rFonts w:ascii="Arial Narrow" w:hAnsi="Arial Narrow"/>
          <w:sz w:val="28"/>
          <w:szCs w:val="28"/>
          <w:lang w:eastAsia="en-US"/>
        </w:rPr>
        <w:t>179;</w:t>
      </w:r>
      <w:r w:rsidRPr="00E13461">
        <w:rPr>
          <w:rFonts w:ascii="Arial Narrow" w:hAnsi="Arial Narrow"/>
          <w:sz w:val="28"/>
          <w:szCs w:val="28"/>
          <w:lang w:eastAsia="en-US"/>
        </w:rPr>
        <w:t xml:space="preserve"> (iii) que </w:t>
      </w:r>
      <w:r>
        <w:rPr>
          <w:rFonts w:ascii="Arial Narrow" w:hAnsi="Arial Narrow"/>
          <w:sz w:val="28"/>
          <w:szCs w:val="28"/>
          <w:lang w:eastAsia="en-US"/>
        </w:rPr>
        <w:t xml:space="preserve">la demandante y el asegurado </w:t>
      </w:r>
      <w:r w:rsidR="008C59D1">
        <w:rPr>
          <w:rFonts w:ascii="Arial Narrow" w:hAnsi="Arial Narrow"/>
          <w:sz w:val="28"/>
          <w:szCs w:val="28"/>
          <w:lang w:eastAsia="en-US"/>
        </w:rPr>
        <w:t xml:space="preserve">habían contraído </w:t>
      </w:r>
      <w:r w:rsidR="00A35116">
        <w:rPr>
          <w:rFonts w:ascii="Arial Narrow" w:hAnsi="Arial Narrow"/>
          <w:sz w:val="28"/>
          <w:szCs w:val="28"/>
          <w:lang w:eastAsia="en-US"/>
        </w:rPr>
        <w:t xml:space="preserve">matrimonio </w:t>
      </w:r>
      <w:r w:rsidR="000F75E3">
        <w:rPr>
          <w:rFonts w:ascii="Arial Narrow" w:hAnsi="Arial Narrow"/>
          <w:sz w:val="28"/>
          <w:szCs w:val="28"/>
          <w:lang w:eastAsia="en-US"/>
        </w:rPr>
        <w:t>el 13 de septiembre</w:t>
      </w:r>
      <w:r w:rsidR="00CC14F7">
        <w:rPr>
          <w:rFonts w:ascii="Arial Narrow" w:hAnsi="Arial Narrow"/>
          <w:sz w:val="28"/>
          <w:szCs w:val="28"/>
          <w:lang w:eastAsia="en-US"/>
        </w:rPr>
        <w:t xml:space="preserve"> de 2001 en la ciudad de Reading, </w:t>
      </w:r>
      <w:r w:rsidR="000F75E3">
        <w:rPr>
          <w:rFonts w:ascii="Arial Narrow" w:hAnsi="Arial Narrow"/>
          <w:sz w:val="28"/>
          <w:szCs w:val="28"/>
          <w:lang w:eastAsia="en-US"/>
        </w:rPr>
        <w:t xml:space="preserve">Condado de </w:t>
      </w:r>
      <w:proofErr w:type="spellStart"/>
      <w:r w:rsidR="000F75E3">
        <w:rPr>
          <w:rFonts w:ascii="Arial Narrow" w:hAnsi="Arial Narrow"/>
          <w:sz w:val="28"/>
          <w:szCs w:val="28"/>
          <w:lang w:eastAsia="en-US"/>
        </w:rPr>
        <w:t>Berks</w:t>
      </w:r>
      <w:proofErr w:type="spellEnd"/>
      <w:r w:rsidR="000F75E3">
        <w:rPr>
          <w:rFonts w:ascii="Arial Narrow" w:hAnsi="Arial Narrow"/>
          <w:sz w:val="28"/>
          <w:szCs w:val="28"/>
          <w:lang w:eastAsia="en-US"/>
        </w:rPr>
        <w:t xml:space="preserve"> del  Estado de Pensilvania, EEUU,</w:t>
      </w:r>
      <w:r w:rsidR="00CC14F7">
        <w:rPr>
          <w:rFonts w:ascii="Arial Narrow" w:hAnsi="Arial Narrow"/>
          <w:sz w:val="28"/>
          <w:szCs w:val="28"/>
          <w:lang w:eastAsia="en-US"/>
        </w:rPr>
        <w:t xml:space="preserve"> según</w:t>
      </w:r>
      <w:r w:rsidR="008C59D1">
        <w:rPr>
          <w:rFonts w:ascii="Arial Narrow" w:hAnsi="Arial Narrow"/>
          <w:sz w:val="28"/>
          <w:szCs w:val="28"/>
          <w:lang w:eastAsia="en-US"/>
        </w:rPr>
        <w:t xml:space="preserve"> traducción del acta de matrimonio visible a folio 74, </w:t>
      </w:r>
      <w:r w:rsidR="000F75E3">
        <w:rPr>
          <w:rFonts w:ascii="Arial Narrow" w:hAnsi="Arial Narrow"/>
          <w:sz w:val="28"/>
          <w:szCs w:val="28"/>
          <w:lang w:eastAsia="en-US"/>
        </w:rPr>
        <w:t>y (iv) que</w:t>
      </w:r>
      <w:r w:rsidR="008C59D1">
        <w:rPr>
          <w:rFonts w:ascii="Arial Narrow" w:hAnsi="Arial Narrow"/>
          <w:sz w:val="28"/>
          <w:szCs w:val="28"/>
          <w:lang w:eastAsia="en-US"/>
        </w:rPr>
        <w:t xml:space="preserve"> la pareja procreó a</w:t>
      </w:r>
      <w:r w:rsidR="000F75E3">
        <w:rPr>
          <w:rFonts w:ascii="Arial Narrow" w:hAnsi="Arial Narrow"/>
          <w:sz w:val="28"/>
          <w:szCs w:val="28"/>
          <w:lang w:eastAsia="en-US"/>
        </w:rPr>
        <w:t xml:space="preserve"> Miguel </w:t>
      </w:r>
      <w:r w:rsidR="00CC14F7">
        <w:rPr>
          <w:rFonts w:ascii="Arial Narrow" w:hAnsi="Arial Narrow"/>
          <w:sz w:val="28"/>
          <w:szCs w:val="28"/>
          <w:lang w:eastAsia="en-US"/>
        </w:rPr>
        <w:t>Ángel</w:t>
      </w:r>
      <w:r w:rsidR="000F75E3">
        <w:rPr>
          <w:rFonts w:ascii="Arial Narrow" w:hAnsi="Arial Narrow"/>
          <w:sz w:val="28"/>
          <w:szCs w:val="28"/>
          <w:lang w:eastAsia="en-US"/>
        </w:rPr>
        <w:t xml:space="preserve"> y Catalina Gutiérrez Marín, nacidos en Colombia el </w:t>
      </w:r>
      <w:r w:rsidR="00B72ADD">
        <w:rPr>
          <w:rFonts w:ascii="Arial Narrow" w:hAnsi="Arial Narrow"/>
          <w:sz w:val="28"/>
          <w:szCs w:val="28"/>
          <w:lang w:eastAsia="en-US"/>
        </w:rPr>
        <w:t xml:space="preserve">21 de julio de 1978 y </w:t>
      </w:r>
      <w:r w:rsidR="00CC14F7">
        <w:rPr>
          <w:rFonts w:ascii="Arial Narrow" w:hAnsi="Arial Narrow"/>
          <w:sz w:val="28"/>
          <w:szCs w:val="28"/>
          <w:lang w:eastAsia="en-US"/>
        </w:rPr>
        <w:t xml:space="preserve">22 de marzo de 1982, respectivamente, según registros civiles de nacimiento visibles a folios 40 y 41. </w:t>
      </w:r>
      <w:r>
        <w:rPr>
          <w:rFonts w:ascii="Arial Narrow" w:hAnsi="Arial Narrow"/>
          <w:sz w:val="28"/>
          <w:szCs w:val="28"/>
          <w:lang w:eastAsia="en-US"/>
        </w:rPr>
        <w:t xml:space="preserve"> </w:t>
      </w:r>
    </w:p>
    <w:p w:rsidR="002823C7" w:rsidRDefault="002823C7" w:rsidP="002823C7">
      <w:pPr>
        <w:pStyle w:val="Sinespaciado"/>
        <w:rPr>
          <w:lang w:eastAsia="en-US"/>
        </w:rPr>
      </w:pPr>
    </w:p>
    <w:p w:rsidR="002823C7" w:rsidRDefault="002823C7" w:rsidP="002823C7">
      <w:pPr>
        <w:spacing w:line="360" w:lineRule="auto"/>
        <w:ind w:firstLine="708"/>
        <w:jc w:val="both"/>
        <w:rPr>
          <w:rFonts w:ascii="Arial Narrow" w:hAnsi="Arial Narrow" w:cs="Arial"/>
          <w:sz w:val="28"/>
          <w:szCs w:val="28"/>
        </w:rPr>
      </w:pPr>
      <w:r>
        <w:rPr>
          <w:rFonts w:ascii="Arial Narrow" w:hAnsi="Arial Narrow"/>
          <w:sz w:val="28"/>
          <w:szCs w:val="28"/>
          <w:lang w:eastAsia="en-US"/>
        </w:rPr>
        <w:t xml:space="preserve">Partiendo de esas bases, debe la Sala empezar por recordar que la pensión de sobrevivientes, </w:t>
      </w:r>
      <w:r>
        <w:rPr>
          <w:rFonts w:ascii="Arial Narrow" w:hAnsi="Arial Narrow" w:cs="Arial"/>
          <w:sz w:val="28"/>
          <w:szCs w:val="28"/>
        </w:rPr>
        <w:t xml:space="preserve">por regla general, se regula por la normatividad vigente al momento del deceso del afiliado o pensionado. No obstante, tal regla no es inflexible y permite que, en eventos especiales, el asunto se regule por otra norma diferente. Uno de tales eventos, es la aplicación de la condición más beneficiosa, en virtud de la cual, cuando una persona logró satisfacer </w:t>
      </w:r>
      <w:r w:rsidR="008C59D1">
        <w:rPr>
          <w:rFonts w:ascii="Arial Narrow" w:hAnsi="Arial Narrow" w:cs="Arial"/>
          <w:sz w:val="28"/>
          <w:szCs w:val="28"/>
        </w:rPr>
        <w:t xml:space="preserve">bajo una normatividad anterior, </w:t>
      </w:r>
      <w:r>
        <w:rPr>
          <w:rFonts w:ascii="Arial Narrow" w:hAnsi="Arial Narrow" w:cs="Arial"/>
          <w:sz w:val="28"/>
          <w:szCs w:val="28"/>
        </w:rPr>
        <w:t xml:space="preserve">los requisitos objetivos para alcanzar una prestación pensional (densidad de cotizaciones) y el riesgo se </w:t>
      </w:r>
      <w:r>
        <w:rPr>
          <w:rFonts w:ascii="Arial Narrow" w:hAnsi="Arial Narrow" w:cs="Arial"/>
          <w:sz w:val="28"/>
          <w:szCs w:val="28"/>
        </w:rPr>
        <w:lastRenderedPageBreak/>
        <w:t xml:space="preserve">concreta en vigencia de otra legislación que endureció los supuestos legales, necesariamente se deberá reconocer el derecho con amparo en la norma anterior. Este principio constitucional, derivado del canon 53 superior, implica la ultra actividad de la norma, pues autoriza a que una norma derogada, regule un caso posterior a su vigencia. </w:t>
      </w:r>
    </w:p>
    <w:p w:rsidR="002823C7" w:rsidRDefault="002823C7" w:rsidP="004F015F">
      <w:pPr>
        <w:pStyle w:val="Sinespaciado"/>
      </w:pPr>
    </w:p>
    <w:p w:rsidR="004F015F" w:rsidRDefault="004F015F" w:rsidP="004F015F">
      <w:pPr>
        <w:spacing w:line="360" w:lineRule="auto"/>
        <w:ind w:firstLine="708"/>
        <w:jc w:val="both"/>
        <w:rPr>
          <w:rFonts w:ascii="Arial Narrow" w:hAnsi="Arial Narrow" w:cs="Arial"/>
          <w:sz w:val="28"/>
          <w:szCs w:val="28"/>
        </w:rPr>
      </w:pPr>
      <w:r>
        <w:rPr>
          <w:rFonts w:ascii="Arial Narrow" w:hAnsi="Arial Narrow"/>
          <w:sz w:val="28"/>
          <w:szCs w:val="28"/>
          <w:lang w:eastAsia="en-US"/>
        </w:rPr>
        <w:t xml:space="preserve">En el caso puntual, la normatividad aplicable es el artículo 12 de la </w:t>
      </w:r>
      <w:r>
        <w:rPr>
          <w:rFonts w:ascii="Arial Narrow" w:hAnsi="Arial Narrow" w:cs="Arial"/>
          <w:sz w:val="28"/>
          <w:szCs w:val="28"/>
        </w:rPr>
        <w:t xml:space="preserve">Ley 797 de 2003, el cual exige para dejar causado el derecho a la pensión de sobrevivientes, </w:t>
      </w:r>
      <w:r w:rsidRPr="00F769BA">
        <w:rPr>
          <w:rFonts w:ascii="Arial Narrow" w:hAnsi="Arial Narrow" w:cs="Arial"/>
          <w:sz w:val="28"/>
          <w:szCs w:val="28"/>
        </w:rPr>
        <w:t>una densidad mínima de 50 semanas dentro de los tres</w:t>
      </w:r>
      <w:r>
        <w:rPr>
          <w:rFonts w:ascii="Arial Narrow" w:hAnsi="Arial Narrow" w:cs="Arial"/>
          <w:sz w:val="28"/>
          <w:szCs w:val="28"/>
        </w:rPr>
        <w:t xml:space="preserve"> años anteriores al </w:t>
      </w:r>
      <w:r w:rsidRPr="00F769BA">
        <w:rPr>
          <w:rFonts w:ascii="Arial Narrow" w:hAnsi="Arial Narrow" w:cs="Arial"/>
          <w:sz w:val="28"/>
          <w:szCs w:val="28"/>
        </w:rPr>
        <w:t>deceso</w:t>
      </w:r>
      <w:r>
        <w:rPr>
          <w:rFonts w:ascii="Arial Narrow" w:hAnsi="Arial Narrow" w:cs="Arial"/>
          <w:sz w:val="28"/>
          <w:szCs w:val="28"/>
        </w:rPr>
        <w:t xml:space="preserve"> del asegurado</w:t>
      </w:r>
      <w:r w:rsidRPr="00F769BA">
        <w:rPr>
          <w:rFonts w:ascii="Arial Narrow" w:hAnsi="Arial Narrow" w:cs="Arial"/>
          <w:sz w:val="28"/>
          <w:szCs w:val="28"/>
        </w:rPr>
        <w:t xml:space="preserve">; condición ésta que </w:t>
      </w:r>
      <w:r>
        <w:rPr>
          <w:rFonts w:ascii="Arial Narrow" w:hAnsi="Arial Narrow" w:cs="Arial"/>
          <w:sz w:val="28"/>
          <w:szCs w:val="28"/>
        </w:rPr>
        <w:t xml:space="preserve">claramente </w:t>
      </w:r>
      <w:r w:rsidRPr="00F769BA">
        <w:rPr>
          <w:rFonts w:ascii="Arial Narrow" w:hAnsi="Arial Narrow" w:cs="Arial"/>
          <w:sz w:val="28"/>
          <w:szCs w:val="28"/>
        </w:rPr>
        <w:t>no</w:t>
      </w:r>
      <w:r>
        <w:rPr>
          <w:rFonts w:ascii="Arial Narrow" w:hAnsi="Arial Narrow" w:cs="Arial"/>
          <w:sz w:val="28"/>
          <w:szCs w:val="28"/>
        </w:rPr>
        <w:t xml:space="preserve"> se </w:t>
      </w:r>
      <w:r w:rsidRPr="00F769BA">
        <w:rPr>
          <w:rFonts w:ascii="Arial Narrow" w:hAnsi="Arial Narrow" w:cs="Arial"/>
          <w:sz w:val="28"/>
          <w:szCs w:val="28"/>
        </w:rPr>
        <w:t>satisfizo</w:t>
      </w:r>
      <w:r w:rsidR="00404C45">
        <w:rPr>
          <w:rFonts w:ascii="Arial Narrow" w:hAnsi="Arial Narrow" w:cs="Arial"/>
          <w:sz w:val="28"/>
          <w:szCs w:val="28"/>
        </w:rPr>
        <w:t xml:space="preserve"> el afiliado</w:t>
      </w:r>
      <w:r>
        <w:rPr>
          <w:rFonts w:ascii="Arial Narrow" w:hAnsi="Arial Narrow" w:cs="Arial"/>
          <w:sz w:val="28"/>
          <w:szCs w:val="28"/>
        </w:rPr>
        <w:t>, pues en este interregno no efectuó ninguna cotización.</w:t>
      </w:r>
    </w:p>
    <w:p w:rsidR="004F015F" w:rsidRPr="00B72ADD" w:rsidRDefault="004F015F" w:rsidP="00B72ADD">
      <w:pPr>
        <w:pStyle w:val="Sinespaciado"/>
      </w:pPr>
    </w:p>
    <w:p w:rsidR="004F015F" w:rsidRDefault="004F015F" w:rsidP="004F015F">
      <w:pPr>
        <w:spacing w:line="360" w:lineRule="auto"/>
        <w:jc w:val="both"/>
        <w:rPr>
          <w:rFonts w:ascii="Arial Narrow" w:hAnsi="Arial Narrow" w:cs="Arial"/>
          <w:sz w:val="28"/>
          <w:szCs w:val="28"/>
        </w:rPr>
      </w:pPr>
      <w:r>
        <w:rPr>
          <w:rFonts w:ascii="Arial Narrow" w:hAnsi="Arial Narrow" w:cs="Arial"/>
          <w:sz w:val="28"/>
          <w:szCs w:val="28"/>
        </w:rPr>
        <w:tab/>
      </w:r>
      <w:r w:rsidRPr="00A71785">
        <w:rPr>
          <w:rFonts w:ascii="Arial Narrow" w:hAnsi="Arial Narrow" w:cs="Arial"/>
          <w:sz w:val="28"/>
          <w:szCs w:val="28"/>
        </w:rPr>
        <w:t>Bajo esas circunstancias, debe determinarse, en primer lugar, la posibilidad de acudir al Acuerdo 049 de 1990 cuando el fallecimiento ocurrió en vigencia de la Ley 797 de 2003 y, de encontrarse procedente,  analizar si el asegurado bajo aquella normatividad cumplió las condiciones exigidas, puntualmente la densidad de cotizaciones.</w:t>
      </w:r>
    </w:p>
    <w:p w:rsidR="00404C45" w:rsidRDefault="00404C45" w:rsidP="00404C45">
      <w:pPr>
        <w:pStyle w:val="Sinespaciado"/>
      </w:pPr>
    </w:p>
    <w:p w:rsidR="00404C45" w:rsidRDefault="00404C45" w:rsidP="00404C45">
      <w:pPr>
        <w:pStyle w:val="Textoindependiente32"/>
        <w:ind w:firstLine="708"/>
        <w:rPr>
          <w:rFonts w:ascii="Arial Narrow" w:hAnsi="Arial Narrow"/>
          <w:sz w:val="28"/>
          <w:szCs w:val="28"/>
        </w:rPr>
      </w:pPr>
      <w:r>
        <w:rPr>
          <w:rFonts w:ascii="Arial Narrow" w:hAnsi="Arial Narrow"/>
          <w:sz w:val="28"/>
          <w:szCs w:val="28"/>
        </w:rPr>
        <w:t xml:space="preserve">Y es de abordarse bajo esta perspectiva, en la medida en que para la mayoría de esta Sala, resulta posible acudir al Acuerdo 049 de 1990 aprobado por el Decreto 758 del mismo año, por la vía de la condición más beneficiosa, pese a que la muerte del afiliado se presentó en vigencia de la Ley 797 de 2003. </w:t>
      </w:r>
    </w:p>
    <w:p w:rsidR="00404C45" w:rsidRPr="00F02889" w:rsidRDefault="00404C45" w:rsidP="00F02889">
      <w:pPr>
        <w:pStyle w:val="Sinespaciado"/>
      </w:pPr>
    </w:p>
    <w:p w:rsidR="00F80EBF" w:rsidRPr="00F02889" w:rsidRDefault="00404C45" w:rsidP="00F02889">
      <w:pPr>
        <w:pStyle w:val="Textoindependiente32"/>
        <w:ind w:firstLine="708"/>
        <w:rPr>
          <w:rFonts w:ascii="Arial Narrow" w:hAnsi="Arial Narrow" w:cs="Tahoma"/>
          <w:sz w:val="28"/>
          <w:szCs w:val="28"/>
        </w:rPr>
      </w:pPr>
      <w:r>
        <w:rPr>
          <w:rFonts w:ascii="Arial Narrow" w:hAnsi="Arial Narrow"/>
          <w:sz w:val="28"/>
          <w:szCs w:val="28"/>
        </w:rPr>
        <w:t xml:space="preserve">Ello, por cuanto con todo el material jurisprudencial, en especial, recogido </w:t>
      </w:r>
      <w:r w:rsidR="00F02889">
        <w:rPr>
          <w:rFonts w:ascii="Arial Narrow" w:hAnsi="Arial Narrow"/>
          <w:sz w:val="28"/>
          <w:szCs w:val="28"/>
        </w:rPr>
        <w:t xml:space="preserve">en las sentencias de tutela T -084 de 2017, T 235 de 2017 y T 378 de 2017 del órgano de cierre constitucional, entre otras más, </w:t>
      </w:r>
      <w:r>
        <w:rPr>
          <w:rFonts w:ascii="Arial Narrow" w:hAnsi="Arial Narrow"/>
          <w:sz w:val="28"/>
          <w:szCs w:val="28"/>
        </w:rPr>
        <w:t>se decanta</w:t>
      </w:r>
      <w:r w:rsidRPr="00510D5E">
        <w:rPr>
          <w:rFonts w:ascii="Arial Narrow" w:hAnsi="Arial Narrow" w:cs="Tahoma"/>
          <w:sz w:val="28"/>
          <w:szCs w:val="28"/>
        </w:rPr>
        <w:t xml:space="preserve"> </w:t>
      </w:r>
      <w:r w:rsidRPr="005C6252">
        <w:rPr>
          <w:rFonts w:ascii="Arial Narrow" w:hAnsi="Arial Narrow" w:cs="Tahoma"/>
          <w:sz w:val="28"/>
          <w:szCs w:val="28"/>
        </w:rPr>
        <w:t>que más allá de acudir al concepto que en sí mismo encierra el principio de la condición más beneficiosa, a propósito de los cambios legislativos entorno a las pensiones de invalidez y sobrevivencia, a</w:t>
      </w:r>
      <w:r>
        <w:rPr>
          <w:rFonts w:ascii="Arial Narrow" w:hAnsi="Arial Narrow" w:cs="Tahoma"/>
          <w:sz w:val="28"/>
          <w:szCs w:val="28"/>
        </w:rPr>
        <w:t xml:space="preserve"> lo que también se remite es a los principios de favorabilidad, proporcionalidad, equidad, igualdad, buena fe y </w:t>
      </w:r>
      <w:r w:rsidRPr="005C6252">
        <w:rPr>
          <w:rFonts w:ascii="Arial Narrow" w:hAnsi="Arial Narrow" w:cs="Tahoma"/>
          <w:sz w:val="28"/>
          <w:szCs w:val="28"/>
        </w:rPr>
        <w:t xml:space="preserve">confianza legítima, por cuanto en una sana lógica, no tendría explicación que quien apenas haya efectuado aportes por 26 o 50 semanas, cual ocurre en el ámbito de aplicación de las </w:t>
      </w:r>
      <w:r w:rsidRPr="00F02889">
        <w:rPr>
          <w:rFonts w:ascii="Arial Narrow" w:hAnsi="Arial Narrow" w:cs="Tahoma"/>
          <w:sz w:val="28"/>
          <w:szCs w:val="28"/>
        </w:rPr>
        <w:t>leyes 100 y 797 o 860, respectivamente, se causaría el derecho a sus beneficiarios, en cambio, quienes por no haber colmado ese mínimo de cotizaciones, pero sí más de 150</w:t>
      </w:r>
      <w:r w:rsidR="00F80EBF" w:rsidRPr="00F02889">
        <w:rPr>
          <w:rFonts w:ascii="Arial Narrow" w:hAnsi="Arial Narrow" w:cs="Tahoma"/>
          <w:sz w:val="28"/>
          <w:szCs w:val="28"/>
        </w:rPr>
        <w:t xml:space="preserve"> o 300 con anterioridad a la Ley 100, quedarían por fuera de la protección legal.</w:t>
      </w:r>
    </w:p>
    <w:p w:rsidR="00F80EBF" w:rsidRDefault="00F80EBF" w:rsidP="00F80EBF">
      <w:pPr>
        <w:pStyle w:val="Sinespaciado"/>
      </w:pPr>
    </w:p>
    <w:p w:rsidR="00F80EBF" w:rsidRPr="00D61A41" w:rsidRDefault="00F80EBF" w:rsidP="00F80EBF">
      <w:pPr>
        <w:spacing w:line="360" w:lineRule="auto"/>
        <w:ind w:firstLine="708"/>
        <w:jc w:val="both"/>
        <w:rPr>
          <w:rFonts w:ascii="Arial Narrow" w:hAnsi="Arial Narrow" w:cs="Tahoma"/>
          <w:sz w:val="28"/>
          <w:szCs w:val="28"/>
        </w:rPr>
      </w:pPr>
      <w:r>
        <w:rPr>
          <w:rFonts w:ascii="Arial Narrow" w:hAnsi="Arial Narrow"/>
          <w:sz w:val="28"/>
          <w:szCs w:val="28"/>
          <w:lang w:eastAsia="en-US"/>
        </w:rPr>
        <w:t xml:space="preserve">Al respecto, esa alta magistratura </w:t>
      </w:r>
      <w:r w:rsidRPr="00D61A41">
        <w:rPr>
          <w:rFonts w:ascii="Arial Narrow" w:hAnsi="Arial Narrow" w:cs="Tahoma"/>
          <w:sz w:val="28"/>
          <w:szCs w:val="28"/>
        </w:rPr>
        <w:t>dijo:</w:t>
      </w:r>
    </w:p>
    <w:p w:rsidR="00404C45" w:rsidRPr="00217131" w:rsidRDefault="00404C45" w:rsidP="00217131">
      <w:pPr>
        <w:pStyle w:val="Sinespaciado"/>
      </w:pPr>
    </w:p>
    <w:p w:rsidR="00F80EBF" w:rsidRDefault="00F80EBF" w:rsidP="00F80EBF">
      <w:pPr>
        <w:pStyle w:val="Textoindependiente31"/>
        <w:spacing w:line="240" w:lineRule="auto"/>
        <w:ind w:firstLine="851"/>
        <w:rPr>
          <w:rFonts w:ascii="Arial Narrow" w:hAnsi="Arial Narrow" w:cs="Tahoma"/>
          <w:szCs w:val="28"/>
        </w:rPr>
      </w:pPr>
      <w:r w:rsidRPr="00D61A41">
        <w:rPr>
          <w:rFonts w:ascii="Arial Narrow" w:hAnsi="Arial Narrow" w:cs="Tahoma"/>
          <w:szCs w:val="28"/>
        </w:rPr>
        <w:t>“</w:t>
      </w:r>
      <w:r w:rsidRPr="00D61A41">
        <w:rPr>
          <w:rFonts w:ascii="Arial Narrow" w:hAnsi="Arial Narrow" w:cs="Tahoma"/>
          <w:i/>
          <w:szCs w:val="28"/>
        </w:rPr>
        <w:t>en virtud de la condición más beneficiosa, las expectativas legítimamente contraídas antes de entrar en vigencia el sistema general de pensiones de la Ley 100 de 1993 constituyen barreras, que limitan la competencia del legislador para agravar los requisitos ya cumplidos mediante reformas desprovistas de regímenes de transición. Este límite, de raigambre constitucional, es entonces oponible a la reforma introducida por la Ley 100 de 1993, en su versión original, e incluso por la Ley 860 de 2003</w:t>
      </w:r>
      <w:r w:rsidRPr="00D61A41">
        <w:rPr>
          <w:rFonts w:ascii="Arial Narrow" w:hAnsi="Arial Narrow" w:cs="Tahoma"/>
          <w:szCs w:val="28"/>
        </w:rPr>
        <w:t>”.</w:t>
      </w:r>
    </w:p>
    <w:p w:rsidR="00F80EBF" w:rsidRDefault="00F80EBF" w:rsidP="00F80EBF">
      <w:pPr>
        <w:pStyle w:val="Textoindependiente31"/>
        <w:spacing w:line="240" w:lineRule="auto"/>
        <w:ind w:firstLine="851"/>
        <w:rPr>
          <w:rFonts w:ascii="Arial Narrow" w:hAnsi="Arial Narrow" w:cs="Tahoma"/>
          <w:szCs w:val="28"/>
        </w:rPr>
      </w:pPr>
    </w:p>
    <w:p w:rsidR="00F80EBF" w:rsidRPr="00D61A41" w:rsidRDefault="00F80EBF" w:rsidP="00F80EBF">
      <w:pPr>
        <w:pStyle w:val="Textoindependiente31"/>
        <w:spacing w:line="240" w:lineRule="auto"/>
        <w:ind w:firstLine="851"/>
        <w:rPr>
          <w:rFonts w:ascii="Arial Narrow" w:hAnsi="Arial Narrow" w:cs="Tahoma"/>
          <w:szCs w:val="28"/>
        </w:rPr>
      </w:pPr>
      <w:r w:rsidRPr="00D61A41">
        <w:rPr>
          <w:rFonts w:ascii="Arial Narrow" w:hAnsi="Arial Narrow" w:cs="Tahoma"/>
          <w:szCs w:val="28"/>
        </w:rPr>
        <w:t>“</w:t>
      </w:r>
      <w:r w:rsidRPr="00D61A41">
        <w:rPr>
          <w:rFonts w:ascii="Arial Narrow" w:hAnsi="Arial Narrow" w:cs="Tahoma"/>
          <w:i/>
          <w:szCs w:val="28"/>
        </w:rPr>
        <w:t>la condición más beneficiosa se desarrolla sobre la base de la certeza, pues el operador jurídico sabe cuál es la norma vigente y cuál, por ende, debería aplicar. Lo que sucede es que, al comprobar que dicha actuación tendría unos efectos desproporcionadamente injustos en un caso particular, acude a una excepción resolviendo la situación con una norma derogada</w:t>
      </w:r>
      <w:r w:rsidRPr="00D61A41">
        <w:rPr>
          <w:rFonts w:ascii="Arial Narrow" w:hAnsi="Arial Narrow" w:cs="Tahoma"/>
          <w:szCs w:val="28"/>
        </w:rPr>
        <w:t>”.</w:t>
      </w:r>
    </w:p>
    <w:p w:rsidR="00F80EBF" w:rsidRPr="005C6252" w:rsidRDefault="00F80EBF" w:rsidP="00F80EBF">
      <w:pPr>
        <w:pStyle w:val="Textoindependiente31"/>
        <w:rPr>
          <w:rFonts w:ascii="Arial Narrow" w:hAnsi="Arial Narrow" w:cs="Tahoma"/>
          <w:szCs w:val="28"/>
        </w:rPr>
      </w:pPr>
    </w:p>
    <w:p w:rsidR="00F80EBF" w:rsidRDefault="00F80EBF" w:rsidP="00F80EBF">
      <w:pPr>
        <w:pStyle w:val="Textoindependiente31"/>
        <w:ind w:firstLine="708"/>
        <w:rPr>
          <w:rFonts w:ascii="Arial Narrow" w:hAnsi="Arial Narrow" w:cs="Tahoma"/>
          <w:szCs w:val="28"/>
        </w:rPr>
      </w:pPr>
      <w:r>
        <w:rPr>
          <w:rFonts w:ascii="Arial Narrow" w:hAnsi="Arial Narrow"/>
          <w:szCs w:val="28"/>
          <w:lang w:eastAsia="en-US"/>
        </w:rPr>
        <w:t xml:space="preserve">Lo anterior, para dejar sentado que la tesis favorable a la condición más beneficiosa se ve robustecida por sustentarse en expectativas legítimas, las cuales no admiten límites en el tiempo, por manera que su ejercicio no implica necesariamente la aplicación de la norma sucesivamente anterior, </w:t>
      </w:r>
      <w:r w:rsidRPr="00D61A41">
        <w:rPr>
          <w:rFonts w:ascii="Arial Narrow" w:hAnsi="Arial Narrow" w:cs="Tahoma"/>
          <w:szCs w:val="28"/>
        </w:rPr>
        <w:t>sobre el fundamento de que este principio se basa en la certeza y no en la duda.</w:t>
      </w:r>
    </w:p>
    <w:p w:rsidR="00F80EBF" w:rsidRDefault="00F80EBF" w:rsidP="00F80EBF">
      <w:pPr>
        <w:pStyle w:val="Sinespaciado"/>
      </w:pPr>
    </w:p>
    <w:p w:rsidR="00F80EBF" w:rsidRPr="00244AA1" w:rsidRDefault="00F80EBF" w:rsidP="00F80EBF">
      <w:pPr>
        <w:pStyle w:val="Textoindependiente31"/>
        <w:ind w:firstLine="851"/>
        <w:rPr>
          <w:rFonts w:ascii="Arial Narrow" w:hAnsi="Arial Narrow" w:cs="Tahoma"/>
          <w:szCs w:val="28"/>
        </w:rPr>
      </w:pPr>
      <w:r w:rsidRPr="00244AA1">
        <w:rPr>
          <w:rFonts w:ascii="Arial Narrow" w:hAnsi="Arial Narrow" w:cs="Tahoma"/>
          <w:szCs w:val="28"/>
        </w:rPr>
        <w:t xml:space="preserve">En lo que toca </w:t>
      </w:r>
      <w:r>
        <w:rPr>
          <w:rFonts w:ascii="Arial Narrow" w:hAnsi="Arial Narrow" w:cs="Tahoma"/>
          <w:szCs w:val="28"/>
        </w:rPr>
        <w:t>con e</w:t>
      </w:r>
      <w:r w:rsidRPr="00244AA1">
        <w:rPr>
          <w:rFonts w:ascii="Arial Narrow" w:hAnsi="Arial Narrow" w:cs="Tahoma"/>
          <w:szCs w:val="28"/>
        </w:rPr>
        <w:t xml:space="preserve">l principio de la sostenibilidad financiera del sistema de la seguridad social, </w:t>
      </w:r>
      <w:r>
        <w:rPr>
          <w:rFonts w:ascii="Arial Narrow" w:hAnsi="Arial Narrow" w:cs="Tahoma"/>
          <w:szCs w:val="28"/>
        </w:rPr>
        <w:t>introducido</w:t>
      </w:r>
      <w:r w:rsidRPr="00244AA1">
        <w:rPr>
          <w:rFonts w:ascii="Arial Narrow" w:hAnsi="Arial Narrow" w:cs="Tahoma"/>
          <w:szCs w:val="28"/>
        </w:rPr>
        <w:t xml:space="preserve"> por el Acto Legislativo 01 de 2005, señala la ameritada jurisprudencia de la Corte Suprema de Justicia:</w:t>
      </w:r>
    </w:p>
    <w:p w:rsidR="00F80EBF" w:rsidRPr="00E13461" w:rsidRDefault="00F80EBF" w:rsidP="00F80EBF">
      <w:pPr>
        <w:pStyle w:val="Sinespaciado"/>
      </w:pPr>
    </w:p>
    <w:p w:rsidR="00F80EBF" w:rsidRPr="00F02889" w:rsidRDefault="00F80EBF" w:rsidP="00F80EBF">
      <w:pPr>
        <w:pStyle w:val="Textoindependiente31"/>
        <w:spacing w:line="240" w:lineRule="auto"/>
        <w:ind w:firstLine="851"/>
        <w:rPr>
          <w:rFonts w:ascii="Arial Narrow" w:hAnsi="Arial Narrow" w:cs="Tahoma"/>
          <w:i/>
          <w:szCs w:val="28"/>
        </w:rPr>
      </w:pPr>
      <w:r w:rsidRPr="00F02889">
        <w:rPr>
          <w:rFonts w:ascii="Arial Narrow" w:hAnsi="Arial Narrow" w:cs="Tahoma"/>
          <w:i/>
          <w:szCs w:val="28"/>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F80EBF" w:rsidRPr="00F80EBF" w:rsidRDefault="00F80EBF" w:rsidP="00217131">
      <w:pPr>
        <w:pStyle w:val="Sinespaciado"/>
      </w:pPr>
    </w:p>
    <w:p w:rsidR="00F80EBF" w:rsidRPr="00F02889" w:rsidRDefault="00F80EBF" w:rsidP="00F80EBF">
      <w:pPr>
        <w:pStyle w:val="Textoindependiente31"/>
        <w:ind w:firstLine="851"/>
        <w:rPr>
          <w:rFonts w:ascii="Arial Narrow" w:hAnsi="Arial Narrow" w:cs="Tahoma"/>
          <w:szCs w:val="28"/>
        </w:rPr>
      </w:pPr>
      <w:r w:rsidRPr="00F02889">
        <w:rPr>
          <w:rFonts w:ascii="Arial Narrow" w:hAnsi="Arial Narrow" w:cs="Tahoma"/>
          <w:szCs w:val="28"/>
        </w:rPr>
        <w:lastRenderedPageBreak/>
        <w:t>Finalmente, en torno a la carga argumentativa del juez, remata diciendo el alto Tribunal que el asunto:</w:t>
      </w:r>
    </w:p>
    <w:p w:rsidR="00F80EBF" w:rsidRPr="00B72ADD" w:rsidRDefault="00F80EBF" w:rsidP="00B72ADD">
      <w:pPr>
        <w:pStyle w:val="Sinespaciado"/>
      </w:pPr>
    </w:p>
    <w:p w:rsidR="00F80EBF" w:rsidRPr="00F02889" w:rsidRDefault="00F80EBF" w:rsidP="00F80EBF">
      <w:pPr>
        <w:pStyle w:val="Textoindependiente31"/>
        <w:spacing w:line="240" w:lineRule="auto"/>
        <w:ind w:firstLine="851"/>
        <w:rPr>
          <w:rFonts w:ascii="Arial Narrow" w:hAnsi="Arial Narrow" w:cs="Tahoma"/>
          <w:szCs w:val="28"/>
        </w:rPr>
      </w:pPr>
      <w:r w:rsidRPr="00F02889">
        <w:rPr>
          <w:rFonts w:ascii="Arial Narrow" w:hAnsi="Arial Narrow" w:cs="Tahoma"/>
          <w:szCs w:val="28"/>
        </w:rPr>
        <w:t>“</w:t>
      </w:r>
      <w:r w:rsidRPr="00F02889">
        <w:rPr>
          <w:rFonts w:ascii="Arial Narrow" w:hAnsi="Arial Narrow" w:cs="Tahoma"/>
          <w:i/>
          <w:szCs w:val="28"/>
        </w:rPr>
        <w:t>versa sobre un derecho fundamental, como es el relativo al derecho a la seguridad social. Existe en este aspecto una prohibición de regresividad que incrementa la carga de argumentación judicial para retroceder en el alcance de protección alcanzado…. Esta prohibición ata a todas las autoridades, incluidas las judiciales. Por lo que para apartarse de la jurisprudencia en sentido restrictivo es preciso demostrar que hay argumentos poderosos para no incurrir en la prohibición de regresividad en los derechos sociales. Pues bien, la Corte considera que no se han aportado razones de esa naturaleza para cambiar la jurisprudencia constitucional vigente sobre la materia, o para apartarse de ella</w:t>
      </w:r>
      <w:r w:rsidRPr="00F02889">
        <w:rPr>
          <w:rFonts w:ascii="Arial Narrow" w:hAnsi="Arial Narrow" w:cs="Tahoma"/>
          <w:szCs w:val="28"/>
        </w:rPr>
        <w:t xml:space="preserve">”. </w:t>
      </w:r>
    </w:p>
    <w:p w:rsidR="00F80EBF" w:rsidRPr="00217131" w:rsidRDefault="00F80EBF" w:rsidP="00B72ADD">
      <w:pPr>
        <w:pStyle w:val="Sinespaciado"/>
        <w:spacing w:line="360" w:lineRule="auto"/>
      </w:pPr>
    </w:p>
    <w:p w:rsidR="00735318" w:rsidRDefault="00735318" w:rsidP="00735318">
      <w:pPr>
        <w:pStyle w:val="Textoindependiente31"/>
        <w:ind w:firstLine="709"/>
        <w:rPr>
          <w:rFonts w:ascii="Arial Narrow" w:hAnsi="Arial Narrow" w:cs="Tahoma"/>
          <w:szCs w:val="28"/>
        </w:rPr>
      </w:pPr>
      <w:r>
        <w:rPr>
          <w:rFonts w:ascii="Arial Narrow" w:hAnsi="Arial Narrow" w:cs="Tahoma"/>
          <w:szCs w:val="28"/>
        </w:rPr>
        <w:t xml:space="preserve">Así las cosas, como en este caso el señor </w:t>
      </w:r>
      <w:r w:rsidR="00F02889">
        <w:rPr>
          <w:rFonts w:ascii="Arial Narrow" w:hAnsi="Arial Narrow" w:cs="Tahoma"/>
          <w:szCs w:val="28"/>
        </w:rPr>
        <w:t xml:space="preserve">Hernando Gutiérrez Cardona </w:t>
      </w:r>
      <w:r>
        <w:rPr>
          <w:rFonts w:ascii="Arial Narrow" w:hAnsi="Arial Narrow" w:cs="Tahoma"/>
          <w:szCs w:val="28"/>
        </w:rPr>
        <w:t xml:space="preserve">antes del 1º de abril de 1994 había cotizado un total de </w:t>
      </w:r>
      <w:r w:rsidR="00253BB3">
        <w:rPr>
          <w:rFonts w:ascii="Arial Narrow" w:hAnsi="Arial Narrow" w:cs="Tahoma"/>
          <w:szCs w:val="28"/>
        </w:rPr>
        <w:t>602.44</w:t>
      </w:r>
      <w:r>
        <w:rPr>
          <w:rFonts w:ascii="Arial Narrow" w:hAnsi="Arial Narrow" w:cs="Tahoma"/>
          <w:szCs w:val="28"/>
        </w:rPr>
        <w:t xml:space="preserve"> semanas al sistema de pensiones, es evidente que en aplicación del aludido principio, debe entenderse que se dejó causado el derecho pensional, conforme a las pautas del Acuerdo 049 de 1990, que en su canon 6º, en concordancia con el 25, establece que deben ser 300 semanas en cualquier tiempo, densidad ampliamente superada.</w:t>
      </w:r>
    </w:p>
    <w:p w:rsidR="00735318" w:rsidRPr="00217131" w:rsidRDefault="00735318" w:rsidP="00217131">
      <w:pPr>
        <w:pStyle w:val="Sinespaciado"/>
      </w:pPr>
    </w:p>
    <w:p w:rsidR="00735318" w:rsidRDefault="00253BB3" w:rsidP="00735318">
      <w:pPr>
        <w:pStyle w:val="Textoindependiente31"/>
        <w:ind w:firstLine="709"/>
        <w:rPr>
          <w:rFonts w:ascii="Arial Narrow" w:hAnsi="Arial Narrow" w:cs="Tahoma"/>
          <w:szCs w:val="28"/>
        </w:rPr>
      </w:pPr>
      <w:r>
        <w:rPr>
          <w:rFonts w:ascii="Arial Narrow" w:hAnsi="Arial Narrow" w:cs="Tahoma"/>
          <w:szCs w:val="28"/>
        </w:rPr>
        <w:t>Aunado a lo anterior</w:t>
      </w:r>
      <w:r w:rsidR="00735318">
        <w:rPr>
          <w:rFonts w:ascii="Arial Narrow" w:hAnsi="Arial Narrow" w:cs="Tahoma"/>
          <w:szCs w:val="28"/>
        </w:rPr>
        <w:t xml:space="preserve">, ha de estimarse que el órgano de cierre de esta especialidad laboral en sentencia del 4 de diciembre de 2006, radicación 28893, no le puso límite temporal a la pensión de sobrevivientes causada con 300 semanas anteriores a la entrada en vigencia de la Ley 100/93, como sí lo hizo en relación con la causada con 150 semanas dentro de los 6 años anteriores al fallecimiento, y más recientemente, en sentencia </w:t>
      </w:r>
      <w:proofErr w:type="spellStart"/>
      <w:r w:rsidR="00735318">
        <w:rPr>
          <w:rFonts w:ascii="Arial Narrow" w:hAnsi="Arial Narrow" w:cs="Tahoma"/>
          <w:szCs w:val="28"/>
        </w:rPr>
        <w:t>SL</w:t>
      </w:r>
      <w:proofErr w:type="spellEnd"/>
      <w:r w:rsidR="00735318">
        <w:rPr>
          <w:rFonts w:ascii="Arial Narrow" w:hAnsi="Arial Narrow" w:cs="Tahoma"/>
          <w:szCs w:val="28"/>
        </w:rPr>
        <w:t xml:space="preserve"> 2358 de 2017, en relación con la aplicación de la condición más beneficiosa en la órbita de la Ley 797 de 2003. </w:t>
      </w:r>
    </w:p>
    <w:p w:rsidR="00735318" w:rsidRPr="00874003" w:rsidRDefault="00735318" w:rsidP="00735318">
      <w:pPr>
        <w:pStyle w:val="Sinespaciado"/>
      </w:pPr>
    </w:p>
    <w:p w:rsidR="00735318" w:rsidRPr="002F6DDD" w:rsidRDefault="00735318" w:rsidP="00735318">
      <w:pPr>
        <w:pStyle w:val="Textoindependiente31"/>
        <w:ind w:firstLine="851"/>
        <w:rPr>
          <w:rFonts w:ascii="Arial Narrow" w:hAnsi="Arial Narrow" w:cs="Arial"/>
          <w:szCs w:val="28"/>
        </w:rPr>
      </w:pPr>
      <w:r>
        <w:rPr>
          <w:rFonts w:ascii="Arial Narrow" w:hAnsi="Arial Narrow" w:cs="Tahoma"/>
          <w:szCs w:val="28"/>
        </w:rPr>
        <w:t xml:space="preserve">Superado </w:t>
      </w:r>
      <w:r w:rsidR="00855089">
        <w:rPr>
          <w:rFonts w:ascii="Arial Narrow" w:hAnsi="Arial Narrow" w:cs="Tahoma"/>
          <w:szCs w:val="28"/>
        </w:rPr>
        <w:t>ese primer escollo, se adentrará</w:t>
      </w:r>
      <w:r>
        <w:rPr>
          <w:rFonts w:ascii="Arial Narrow" w:hAnsi="Arial Narrow" w:cs="Tahoma"/>
          <w:szCs w:val="28"/>
        </w:rPr>
        <w:t xml:space="preserve"> la Sala en determinar si la demandante ostenta la condición de beneficiaria de la pensión de sobrevivientes reclamada, la cual está </w:t>
      </w:r>
      <w:r w:rsidRPr="00BA6D17">
        <w:rPr>
          <w:rFonts w:ascii="Arial Narrow" w:hAnsi="Arial Narrow" w:cs="Arial"/>
          <w:szCs w:val="28"/>
          <w:lang w:val="es-ES"/>
        </w:rPr>
        <w:t>supeditada a que se evidencie que hubo</w:t>
      </w:r>
      <w:r>
        <w:rPr>
          <w:rFonts w:ascii="Arial Narrow" w:hAnsi="Arial Narrow" w:cs="Arial"/>
          <w:szCs w:val="28"/>
          <w:lang w:val="es-ES"/>
        </w:rPr>
        <w:t xml:space="preserve"> convivencia con el afiliado fallecido durante -mínimo- los </w:t>
      </w:r>
      <w:r w:rsidRPr="00BA6D17">
        <w:rPr>
          <w:rFonts w:ascii="Arial Narrow" w:hAnsi="Arial Narrow" w:cs="Arial"/>
          <w:szCs w:val="28"/>
          <w:lang w:val="es-ES"/>
        </w:rPr>
        <w:t xml:space="preserve">cinco años que antecedieron </w:t>
      </w:r>
      <w:r>
        <w:rPr>
          <w:rFonts w:ascii="Arial Narrow" w:hAnsi="Arial Narrow" w:cs="Arial"/>
          <w:szCs w:val="28"/>
          <w:lang w:val="es-ES"/>
        </w:rPr>
        <w:t>su deceso.</w:t>
      </w:r>
    </w:p>
    <w:p w:rsidR="00F80EBF" w:rsidRDefault="00F80EBF" w:rsidP="00253BB3">
      <w:pPr>
        <w:pStyle w:val="Sinespaciado"/>
      </w:pPr>
    </w:p>
    <w:p w:rsidR="00253BB3" w:rsidRDefault="00253BB3" w:rsidP="00253BB3">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Para tal efecto, las declarantes Leonor Marín Gutiérrez y María Luisa Valencia Gutiérrez, relataron de manera clara y coherente q</w:t>
      </w:r>
      <w:r w:rsidR="00323B20">
        <w:rPr>
          <w:rFonts w:ascii="Arial Narrow" w:hAnsi="Arial Narrow" w:cs="Arial"/>
          <w:sz w:val="28"/>
          <w:szCs w:val="28"/>
          <w:lang w:val="es-ES"/>
        </w:rPr>
        <w:t xml:space="preserve">ue </w:t>
      </w:r>
      <w:r>
        <w:rPr>
          <w:rFonts w:ascii="Arial Narrow" w:hAnsi="Arial Narrow" w:cs="Arial"/>
          <w:sz w:val="28"/>
          <w:szCs w:val="28"/>
          <w:lang w:val="es-ES"/>
        </w:rPr>
        <w:t xml:space="preserve">conocieron a la pareja desde hace </w:t>
      </w:r>
      <w:r w:rsidR="005C2C1A">
        <w:rPr>
          <w:rFonts w:ascii="Arial Narrow" w:hAnsi="Arial Narrow" w:cs="Arial"/>
          <w:sz w:val="28"/>
          <w:szCs w:val="28"/>
          <w:lang w:val="es-ES"/>
        </w:rPr>
        <w:t>much</w:t>
      </w:r>
      <w:r w:rsidR="006E2412">
        <w:rPr>
          <w:rFonts w:ascii="Arial Narrow" w:hAnsi="Arial Narrow" w:cs="Arial"/>
          <w:sz w:val="28"/>
          <w:szCs w:val="28"/>
          <w:lang w:val="es-ES"/>
        </w:rPr>
        <w:t>os</w:t>
      </w:r>
      <w:r w:rsidR="005C2C1A">
        <w:rPr>
          <w:rFonts w:ascii="Arial Narrow" w:hAnsi="Arial Narrow" w:cs="Arial"/>
          <w:sz w:val="28"/>
          <w:szCs w:val="28"/>
          <w:lang w:val="es-ES"/>
        </w:rPr>
        <w:t xml:space="preserve"> años</w:t>
      </w:r>
      <w:r w:rsidR="006E2412">
        <w:rPr>
          <w:rFonts w:ascii="Arial Narrow" w:hAnsi="Arial Narrow" w:cs="Arial"/>
          <w:sz w:val="28"/>
          <w:szCs w:val="28"/>
          <w:lang w:val="es-ES"/>
        </w:rPr>
        <w:t xml:space="preserve">, que </w:t>
      </w:r>
      <w:r w:rsidR="005C2C1A">
        <w:rPr>
          <w:rFonts w:ascii="Arial Narrow" w:hAnsi="Arial Narrow" w:cs="Arial"/>
          <w:sz w:val="28"/>
          <w:szCs w:val="28"/>
          <w:lang w:val="es-ES"/>
        </w:rPr>
        <w:t xml:space="preserve">hicieron vida marital por más de 30 años, procrearon dos hijos, </w:t>
      </w:r>
      <w:r w:rsidR="008005DB">
        <w:rPr>
          <w:rFonts w:ascii="Arial Narrow" w:hAnsi="Arial Narrow" w:cs="Arial"/>
          <w:sz w:val="28"/>
          <w:szCs w:val="28"/>
          <w:lang w:val="es-ES"/>
        </w:rPr>
        <w:t xml:space="preserve">Miguel Ángel y Catalina, </w:t>
      </w:r>
      <w:r w:rsidR="006E2412">
        <w:rPr>
          <w:rFonts w:ascii="Arial Narrow" w:hAnsi="Arial Narrow" w:cs="Arial"/>
          <w:sz w:val="28"/>
          <w:szCs w:val="28"/>
          <w:lang w:val="es-ES"/>
        </w:rPr>
        <w:t xml:space="preserve">en la actualidad </w:t>
      </w:r>
      <w:r w:rsidR="008005DB">
        <w:rPr>
          <w:rFonts w:ascii="Arial Narrow" w:hAnsi="Arial Narrow" w:cs="Arial"/>
          <w:sz w:val="28"/>
          <w:szCs w:val="28"/>
          <w:lang w:val="es-ES"/>
        </w:rPr>
        <w:t>mayores de edad</w:t>
      </w:r>
      <w:r w:rsidR="006E2412">
        <w:rPr>
          <w:rFonts w:ascii="Arial Narrow" w:hAnsi="Arial Narrow" w:cs="Arial"/>
          <w:sz w:val="28"/>
          <w:szCs w:val="28"/>
          <w:lang w:val="es-ES"/>
        </w:rPr>
        <w:t xml:space="preserve">; que tuvieron domicilios en </w:t>
      </w:r>
      <w:r w:rsidR="006E2412">
        <w:rPr>
          <w:rFonts w:ascii="Arial Narrow" w:hAnsi="Arial Narrow" w:cs="Arial"/>
          <w:sz w:val="28"/>
          <w:szCs w:val="28"/>
          <w:lang w:val="es-ES"/>
        </w:rPr>
        <w:lastRenderedPageBreak/>
        <w:t>Cartago, Valle, Cali y por último, en los Estados Unidos, donde permanecieron hasta el</w:t>
      </w:r>
      <w:r w:rsidR="00602875">
        <w:rPr>
          <w:rFonts w:ascii="Arial Narrow" w:hAnsi="Arial Narrow" w:cs="Arial"/>
          <w:sz w:val="28"/>
          <w:szCs w:val="28"/>
          <w:lang w:val="es-ES"/>
        </w:rPr>
        <w:t xml:space="preserve"> fallecimiento d</w:t>
      </w:r>
      <w:r w:rsidR="006E2412">
        <w:rPr>
          <w:rFonts w:ascii="Arial Narrow" w:hAnsi="Arial Narrow" w:cs="Arial"/>
          <w:sz w:val="28"/>
          <w:szCs w:val="28"/>
          <w:lang w:val="es-ES"/>
        </w:rPr>
        <w:t xml:space="preserve">el causante, </w:t>
      </w:r>
      <w:r w:rsidR="00602875">
        <w:rPr>
          <w:rFonts w:ascii="Arial Narrow" w:hAnsi="Arial Narrow" w:cs="Arial"/>
          <w:sz w:val="28"/>
          <w:szCs w:val="28"/>
          <w:lang w:val="es-ES"/>
        </w:rPr>
        <w:t xml:space="preserve">producto de </w:t>
      </w:r>
      <w:r w:rsidR="006E2412">
        <w:rPr>
          <w:rFonts w:ascii="Arial Narrow" w:hAnsi="Arial Narrow" w:cs="Arial"/>
          <w:sz w:val="28"/>
          <w:szCs w:val="28"/>
          <w:lang w:val="es-ES"/>
        </w:rPr>
        <w:t xml:space="preserve">una falla cardiaca.  </w:t>
      </w:r>
      <w:r w:rsidR="00C22484">
        <w:rPr>
          <w:rFonts w:ascii="Arial Narrow" w:hAnsi="Arial Narrow" w:cs="Arial"/>
          <w:sz w:val="28"/>
          <w:szCs w:val="28"/>
          <w:lang w:val="es-ES"/>
        </w:rPr>
        <w:t>Indicaron que el causante fue el primero en rad</w:t>
      </w:r>
      <w:r w:rsidR="000D6525">
        <w:rPr>
          <w:rFonts w:ascii="Arial Narrow" w:hAnsi="Arial Narrow" w:cs="Arial"/>
          <w:sz w:val="28"/>
          <w:szCs w:val="28"/>
          <w:lang w:val="es-ES"/>
        </w:rPr>
        <w:t xml:space="preserve">icarse en los Estados Unidos, pero que </w:t>
      </w:r>
      <w:r w:rsidR="00C22484">
        <w:rPr>
          <w:rFonts w:ascii="Arial Narrow" w:hAnsi="Arial Narrow" w:cs="Arial"/>
          <w:sz w:val="28"/>
          <w:szCs w:val="28"/>
          <w:lang w:val="es-ES"/>
        </w:rPr>
        <w:t>al cabo de unos años,</w:t>
      </w:r>
      <w:r w:rsidR="000D6525">
        <w:rPr>
          <w:rFonts w:ascii="Arial Narrow" w:hAnsi="Arial Narrow" w:cs="Arial"/>
          <w:sz w:val="28"/>
          <w:szCs w:val="28"/>
          <w:lang w:val="es-ES"/>
        </w:rPr>
        <w:t xml:space="preserve"> alrededor del año 1999, </w:t>
      </w:r>
      <w:r w:rsidR="00C22484">
        <w:rPr>
          <w:rFonts w:ascii="Arial Narrow" w:hAnsi="Arial Narrow" w:cs="Arial"/>
          <w:sz w:val="28"/>
          <w:szCs w:val="28"/>
          <w:lang w:val="es-ES"/>
        </w:rPr>
        <w:t xml:space="preserve">la demandante </w:t>
      </w:r>
      <w:r w:rsidR="00F94C68">
        <w:rPr>
          <w:rFonts w:ascii="Arial Narrow" w:hAnsi="Arial Narrow" w:cs="Arial"/>
          <w:sz w:val="28"/>
          <w:szCs w:val="28"/>
          <w:lang w:val="es-ES"/>
        </w:rPr>
        <w:t xml:space="preserve">y su hija Catalina viajaron </w:t>
      </w:r>
      <w:r w:rsidR="000D6525">
        <w:rPr>
          <w:rFonts w:ascii="Arial Narrow" w:hAnsi="Arial Narrow" w:cs="Arial"/>
          <w:sz w:val="28"/>
          <w:szCs w:val="28"/>
          <w:lang w:val="es-ES"/>
        </w:rPr>
        <w:t xml:space="preserve">a ese </w:t>
      </w:r>
      <w:r w:rsidR="00F94C68">
        <w:rPr>
          <w:rFonts w:ascii="Arial Narrow" w:hAnsi="Arial Narrow" w:cs="Arial"/>
          <w:sz w:val="28"/>
          <w:szCs w:val="28"/>
          <w:lang w:val="es-ES"/>
        </w:rPr>
        <w:t>pa</w:t>
      </w:r>
      <w:r w:rsidR="000D6525">
        <w:rPr>
          <w:rFonts w:ascii="Arial Narrow" w:hAnsi="Arial Narrow" w:cs="Arial"/>
          <w:sz w:val="28"/>
          <w:szCs w:val="28"/>
          <w:lang w:val="es-ES"/>
        </w:rPr>
        <w:t>ís a reunirse definitivamente con el causante. Manifestaron igualmente las declarantes, que la pareja</w:t>
      </w:r>
      <w:r w:rsidR="00DD3F93">
        <w:rPr>
          <w:rFonts w:ascii="Arial Narrow" w:hAnsi="Arial Narrow" w:cs="Arial"/>
          <w:sz w:val="28"/>
          <w:szCs w:val="28"/>
          <w:lang w:val="es-ES"/>
        </w:rPr>
        <w:t xml:space="preserve"> convivió en forma ininterrumpida en dicho </w:t>
      </w:r>
      <w:r w:rsidR="000D6525">
        <w:rPr>
          <w:rFonts w:ascii="Arial Narrow" w:hAnsi="Arial Narrow" w:cs="Arial"/>
          <w:sz w:val="28"/>
          <w:szCs w:val="28"/>
          <w:lang w:val="es-ES"/>
        </w:rPr>
        <w:t xml:space="preserve">país, </w:t>
      </w:r>
      <w:r w:rsidR="00DD3F93">
        <w:rPr>
          <w:rFonts w:ascii="Arial Narrow" w:hAnsi="Arial Narrow" w:cs="Arial"/>
          <w:sz w:val="28"/>
          <w:szCs w:val="28"/>
          <w:lang w:val="es-ES"/>
        </w:rPr>
        <w:t>pues constantemente se comunicaban</w:t>
      </w:r>
      <w:r w:rsidR="002051B0">
        <w:rPr>
          <w:rFonts w:ascii="Arial Narrow" w:hAnsi="Arial Narrow" w:cs="Arial"/>
          <w:sz w:val="28"/>
          <w:szCs w:val="28"/>
          <w:lang w:val="es-ES"/>
        </w:rPr>
        <w:t xml:space="preserve"> vía</w:t>
      </w:r>
      <w:r w:rsidR="00DD3F93">
        <w:rPr>
          <w:rFonts w:ascii="Arial Narrow" w:hAnsi="Arial Narrow" w:cs="Arial"/>
          <w:sz w:val="28"/>
          <w:szCs w:val="28"/>
          <w:lang w:val="es-ES"/>
        </w:rPr>
        <w:t xml:space="preserve"> telefónica o </w:t>
      </w:r>
      <w:r w:rsidR="002051B0">
        <w:rPr>
          <w:rFonts w:ascii="Arial Narrow" w:hAnsi="Arial Narrow" w:cs="Arial"/>
          <w:sz w:val="28"/>
          <w:szCs w:val="28"/>
          <w:lang w:val="es-ES"/>
        </w:rPr>
        <w:t xml:space="preserve">por </w:t>
      </w:r>
      <w:r w:rsidR="00DD3F93">
        <w:rPr>
          <w:rFonts w:ascii="Arial Narrow" w:hAnsi="Arial Narrow" w:cs="Arial"/>
          <w:sz w:val="28"/>
          <w:szCs w:val="28"/>
          <w:lang w:val="es-ES"/>
        </w:rPr>
        <w:t xml:space="preserve">Skype, </w:t>
      </w:r>
      <w:r w:rsidR="002051B0">
        <w:rPr>
          <w:rFonts w:ascii="Arial Narrow" w:hAnsi="Arial Narrow" w:cs="Arial"/>
          <w:sz w:val="28"/>
          <w:szCs w:val="28"/>
          <w:lang w:val="es-ES"/>
        </w:rPr>
        <w:t xml:space="preserve">se </w:t>
      </w:r>
      <w:r w:rsidR="00DD3F93">
        <w:rPr>
          <w:rFonts w:ascii="Arial Narrow" w:hAnsi="Arial Narrow" w:cs="Arial"/>
          <w:sz w:val="28"/>
          <w:szCs w:val="28"/>
          <w:lang w:val="es-ES"/>
        </w:rPr>
        <w:t xml:space="preserve">compartían </w:t>
      </w:r>
      <w:r w:rsidR="002051B0">
        <w:rPr>
          <w:rFonts w:ascii="Arial Narrow" w:hAnsi="Arial Narrow" w:cs="Arial"/>
          <w:sz w:val="28"/>
          <w:szCs w:val="28"/>
          <w:lang w:val="es-ES"/>
        </w:rPr>
        <w:t xml:space="preserve">fotos y videos, sin que nunca </w:t>
      </w:r>
      <w:r w:rsidR="00DD3F93">
        <w:rPr>
          <w:rFonts w:ascii="Arial Narrow" w:hAnsi="Arial Narrow" w:cs="Arial"/>
          <w:sz w:val="28"/>
          <w:szCs w:val="28"/>
          <w:lang w:val="es-ES"/>
        </w:rPr>
        <w:t>tuviera</w:t>
      </w:r>
      <w:r w:rsidR="002051B0">
        <w:rPr>
          <w:rFonts w:ascii="Arial Narrow" w:hAnsi="Arial Narrow" w:cs="Arial"/>
          <w:sz w:val="28"/>
          <w:szCs w:val="28"/>
          <w:lang w:val="es-ES"/>
        </w:rPr>
        <w:t xml:space="preserve">n </w:t>
      </w:r>
      <w:r w:rsidR="00DD3F93">
        <w:rPr>
          <w:rFonts w:ascii="Arial Narrow" w:hAnsi="Arial Narrow" w:cs="Arial"/>
          <w:sz w:val="28"/>
          <w:szCs w:val="28"/>
          <w:lang w:val="es-ES"/>
        </w:rPr>
        <w:t xml:space="preserve">noticia de </w:t>
      </w:r>
      <w:r w:rsidR="00164052">
        <w:rPr>
          <w:rFonts w:ascii="Arial Narrow" w:hAnsi="Arial Narrow" w:cs="Arial"/>
          <w:sz w:val="28"/>
          <w:szCs w:val="28"/>
          <w:lang w:val="es-ES"/>
        </w:rPr>
        <w:t>separación</w:t>
      </w:r>
      <w:r w:rsidR="00DD3F93">
        <w:rPr>
          <w:rFonts w:ascii="Arial Narrow" w:hAnsi="Arial Narrow" w:cs="Arial"/>
          <w:sz w:val="28"/>
          <w:szCs w:val="28"/>
          <w:lang w:val="es-ES"/>
        </w:rPr>
        <w:t xml:space="preserve"> o rompimiento</w:t>
      </w:r>
      <w:r w:rsidR="002051B0">
        <w:rPr>
          <w:rFonts w:ascii="Arial Narrow" w:hAnsi="Arial Narrow" w:cs="Arial"/>
          <w:sz w:val="28"/>
          <w:szCs w:val="28"/>
          <w:lang w:val="es-ES"/>
        </w:rPr>
        <w:t xml:space="preserve"> alguno entre la pareja</w:t>
      </w:r>
      <w:r w:rsidR="00DD3F93">
        <w:rPr>
          <w:rFonts w:ascii="Arial Narrow" w:hAnsi="Arial Narrow" w:cs="Arial"/>
          <w:sz w:val="28"/>
          <w:szCs w:val="28"/>
          <w:lang w:val="es-ES"/>
        </w:rPr>
        <w:t xml:space="preserve">, y menos </w:t>
      </w:r>
      <w:r w:rsidR="00164052">
        <w:rPr>
          <w:rFonts w:ascii="Arial Narrow" w:hAnsi="Arial Narrow" w:cs="Arial"/>
          <w:sz w:val="28"/>
          <w:szCs w:val="28"/>
          <w:lang w:val="es-ES"/>
        </w:rPr>
        <w:t>aún</w:t>
      </w:r>
      <w:r w:rsidR="00DD3F93">
        <w:rPr>
          <w:rFonts w:ascii="Arial Narrow" w:hAnsi="Arial Narrow" w:cs="Arial"/>
          <w:sz w:val="28"/>
          <w:szCs w:val="28"/>
          <w:lang w:val="es-ES"/>
        </w:rPr>
        <w:t>, de hijos</w:t>
      </w:r>
      <w:r w:rsidR="00164052">
        <w:rPr>
          <w:rFonts w:ascii="Arial Narrow" w:hAnsi="Arial Narrow" w:cs="Arial"/>
          <w:sz w:val="28"/>
          <w:szCs w:val="28"/>
          <w:lang w:val="es-ES"/>
        </w:rPr>
        <w:t xml:space="preserve"> extramatrimoniales o </w:t>
      </w:r>
      <w:r w:rsidR="002051B0">
        <w:rPr>
          <w:rFonts w:ascii="Arial Narrow" w:hAnsi="Arial Narrow" w:cs="Arial"/>
          <w:sz w:val="28"/>
          <w:szCs w:val="28"/>
          <w:lang w:val="es-ES"/>
        </w:rPr>
        <w:t xml:space="preserve">relación sentimental </w:t>
      </w:r>
      <w:r w:rsidR="00EB3A13">
        <w:rPr>
          <w:rFonts w:ascii="Arial Narrow" w:hAnsi="Arial Narrow" w:cs="Arial"/>
          <w:sz w:val="28"/>
          <w:szCs w:val="28"/>
          <w:lang w:val="es-ES"/>
        </w:rPr>
        <w:t>diferente</w:t>
      </w:r>
      <w:r w:rsidR="00164052">
        <w:rPr>
          <w:rFonts w:ascii="Arial Narrow" w:hAnsi="Arial Narrow" w:cs="Arial"/>
          <w:sz w:val="28"/>
          <w:szCs w:val="28"/>
          <w:lang w:val="es-ES"/>
        </w:rPr>
        <w:t xml:space="preserve">. </w:t>
      </w:r>
      <w:r w:rsidR="00DD3F93">
        <w:rPr>
          <w:rFonts w:ascii="Arial Narrow" w:hAnsi="Arial Narrow" w:cs="Arial"/>
          <w:sz w:val="28"/>
          <w:szCs w:val="28"/>
          <w:lang w:val="es-ES"/>
        </w:rPr>
        <w:t xml:space="preserve"> </w:t>
      </w:r>
    </w:p>
    <w:p w:rsidR="000D6525" w:rsidRDefault="000D6525" w:rsidP="00164052">
      <w:pPr>
        <w:pStyle w:val="Sinespaciado"/>
        <w:rPr>
          <w:lang w:val="es-ES"/>
        </w:rPr>
      </w:pPr>
    </w:p>
    <w:p w:rsidR="007D1654" w:rsidRDefault="00164052" w:rsidP="007D1654">
      <w:pPr>
        <w:pStyle w:val="Sinespaciado"/>
        <w:spacing w:line="360" w:lineRule="auto"/>
        <w:ind w:firstLine="708"/>
        <w:jc w:val="both"/>
        <w:rPr>
          <w:rFonts w:ascii="Arial Narrow" w:hAnsi="Arial Narrow" w:cs="Arial"/>
          <w:sz w:val="28"/>
          <w:szCs w:val="28"/>
          <w:lang w:val="es-ES"/>
        </w:rPr>
      </w:pPr>
      <w:r>
        <w:rPr>
          <w:rFonts w:ascii="Arial Narrow" w:hAnsi="Arial Narrow"/>
          <w:sz w:val="28"/>
          <w:szCs w:val="28"/>
          <w:lang w:eastAsia="en-US"/>
        </w:rPr>
        <w:t xml:space="preserve">Tales </w:t>
      </w:r>
      <w:r w:rsidR="0074519E">
        <w:rPr>
          <w:rFonts w:ascii="Arial Narrow" w:hAnsi="Arial Narrow"/>
          <w:sz w:val="28"/>
          <w:szCs w:val="28"/>
          <w:lang w:eastAsia="en-US"/>
        </w:rPr>
        <w:t>declarantes</w:t>
      </w:r>
      <w:r w:rsidR="00EB3A13">
        <w:rPr>
          <w:rFonts w:ascii="Arial Narrow" w:hAnsi="Arial Narrow"/>
          <w:sz w:val="28"/>
          <w:szCs w:val="28"/>
          <w:lang w:eastAsia="en-US"/>
        </w:rPr>
        <w:t xml:space="preserve">, </w:t>
      </w:r>
      <w:r w:rsidR="0074519E">
        <w:rPr>
          <w:rFonts w:ascii="Arial Narrow" w:hAnsi="Arial Narrow"/>
          <w:sz w:val="28"/>
          <w:szCs w:val="28"/>
          <w:lang w:eastAsia="en-US"/>
        </w:rPr>
        <w:t xml:space="preserve">merecen </w:t>
      </w:r>
      <w:r w:rsidR="00E06552">
        <w:rPr>
          <w:rFonts w:ascii="Arial Narrow" w:hAnsi="Arial Narrow"/>
          <w:sz w:val="28"/>
          <w:szCs w:val="28"/>
          <w:lang w:eastAsia="en-US"/>
        </w:rPr>
        <w:t xml:space="preserve">total </w:t>
      </w:r>
      <w:r>
        <w:rPr>
          <w:rFonts w:ascii="Arial Narrow" w:hAnsi="Arial Narrow"/>
          <w:sz w:val="28"/>
          <w:szCs w:val="28"/>
          <w:lang w:eastAsia="en-US"/>
        </w:rPr>
        <w:t>credibilidad para la Sala</w:t>
      </w:r>
      <w:r w:rsidR="0074519E">
        <w:rPr>
          <w:rFonts w:ascii="Arial Narrow" w:hAnsi="Arial Narrow"/>
          <w:sz w:val="28"/>
          <w:szCs w:val="28"/>
          <w:lang w:eastAsia="en-US"/>
        </w:rPr>
        <w:t xml:space="preserve">, </w:t>
      </w:r>
      <w:r w:rsidR="007D1654">
        <w:rPr>
          <w:rFonts w:ascii="Arial Narrow" w:hAnsi="Arial Narrow"/>
          <w:sz w:val="28"/>
          <w:szCs w:val="28"/>
          <w:lang w:eastAsia="en-US"/>
        </w:rPr>
        <w:t xml:space="preserve">puesto que </w:t>
      </w:r>
      <w:r w:rsidR="0074519E">
        <w:rPr>
          <w:rFonts w:ascii="Arial Narrow" w:hAnsi="Arial Narrow"/>
          <w:sz w:val="28"/>
          <w:szCs w:val="28"/>
          <w:lang w:eastAsia="en-US"/>
        </w:rPr>
        <w:t>se trata de personas cercanas o allegadas por razones</w:t>
      </w:r>
      <w:r w:rsidR="007846BD">
        <w:rPr>
          <w:rFonts w:ascii="Arial Narrow" w:hAnsi="Arial Narrow"/>
          <w:sz w:val="28"/>
          <w:szCs w:val="28"/>
          <w:lang w:eastAsia="en-US"/>
        </w:rPr>
        <w:t xml:space="preserve"> de familiaridad </w:t>
      </w:r>
      <w:r w:rsidR="0074519E">
        <w:rPr>
          <w:rFonts w:ascii="Arial Narrow" w:hAnsi="Arial Narrow"/>
          <w:sz w:val="28"/>
          <w:szCs w:val="28"/>
          <w:lang w:eastAsia="en-US"/>
        </w:rPr>
        <w:t xml:space="preserve">a la pareja, </w:t>
      </w:r>
      <w:r w:rsidR="008C479F">
        <w:rPr>
          <w:rFonts w:ascii="Arial Narrow" w:hAnsi="Arial Narrow"/>
          <w:sz w:val="28"/>
          <w:szCs w:val="28"/>
          <w:lang w:eastAsia="en-US"/>
        </w:rPr>
        <w:t xml:space="preserve">que </w:t>
      </w:r>
      <w:r w:rsidR="0074519E">
        <w:rPr>
          <w:rFonts w:ascii="Arial Narrow" w:hAnsi="Arial Narrow"/>
          <w:sz w:val="28"/>
          <w:szCs w:val="28"/>
          <w:lang w:eastAsia="en-US"/>
        </w:rPr>
        <w:t xml:space="preserve">adveran haber tenido una relación </w:t>
      </w:r>
      <w:r w:rsidR="003F109D">
        <w:rPr>
          <w:rFonts w:ascii="Arial Narrow" w:hAnsi="Arial Narrow"/>
          <w:sz w:val="28"/>
          <w:szCs w:val="28"/>
          <w:lang w:eastAsia="en-US"/>
        </w:rPr>
        <w:t xml:space="preserve">constante </w:t>
      </w:r>
      <w:r w:rsidR="0074519E">
        <w:rPr>
          <w:rFonts w:ascii="Arial Narrow" w:hAnsi="Arial Narrow"/>
          <w:sz w:val="28"/>
          <w:szCs w:val="28"/>
          <w:lang w:eastAsia="en-US"/>
        </w:rPr>
        <w:t>de comunicación</w:t>
      </w:r>
      <w:r w:rsidR="008C479F">
        <w:rPr>
          <w:rFonts w:ascii="Arial Narrow" w:hAnsi="Arial Narrow"/>
          <w:sz w:val="28"/>
          <w:szCs w:val="28"/>
          <w:lang w:eastAsia="en-US"/>
        </w:rPr>
        <w:t xml:space="preserve">, </w:t>
      </w:r>
      <w:r w:rsidR="003F109D">
        <w:rPr>
          <w:rFonts w:ascii="Arial Narrow" w:hAnsi="Arial Narrow"/>
          <w:sz w:val="28"/>
          <w:szCs w:val="28"/>
          <w:lang w:eastAsia="en-US"/>
        </w:rPr>
        <w:t xml:space="preserve">muy </w:t>
      </w:r>
      <w:r w:rsidR="007D1654">
        <w:rPr>
          <w:rFonts w:ascii="Arial Narrow" w:hAnsi="Arial Narrow"/>
          <w:sz w:val="28"/>
          <w:szCs w:val="28"/>
          <w:lang w:eastAsia="en-US"/>
        </w:rPr>
        <w:t>a pesar de la lejanía</w:t>
      </w:r>
      <w:r w:rsidR="0074519E">
        <w:rPr>
          <w:rFonts w:ascii="Arial Narrow" w:hAnsi="Arial Narrow"/>
          <w:sz w:val="28"/>
          <w:szCs w:val="28"/>
          <w:lang w:eastAsia="en-US"/>
        </w:rPr>
        <w:t xml:space="preserve">, </w:t>
      </w:r>
      <w:r w:rsidR="007D1654">
        <w:rPr>
          <w:rFonts w:ascii="Arial Narrow" w:hAnsi="Arial Narrow"/>
          <w:sz w:val="28"/>
          <w:szCs w:val="28"/>
          <w:lang w:eastAsia="en-US"/>
        </w:rPr>
        <w:t xml:space="preserve">amén de que el panorama </w:t>
      </w:r>
      <w:r w:rsidR="00EB3A13">
        <w:rPr>
          <w:rFonts w:ascii="Arial Narrow" w:hAnsi="Arial Narrow"/>
          <w:sz w:val="28"/>
          <w:szCs w:val="28"/>
          <w:lang w:eastAsia="en-US"/>
        </w:rPr>
        <w:t>permite evidencia</w:t>
      </w:r>
      <w:r w:rsidR="007D1654">
        <w:rPr>
          <w:rFonts w:ascii="Arial Narrow" w:hAnsi="Arial Narrow"/>
          <w:sz w:val="28"/>
          <w:szCs w:val="28"/>
          <w:lang w:eastAsia="en-US"/>
        </w:rPr>
        <w:t>r</w:t>
      </w:r>
      <w:r w:rsidR="00EB3A13">
        <w:rPr>
          <w:rFonts w:ascii="Arial Narrow" w:hAnsi="Arial Narrow"/>
          <w:sz w:val="28"/>
          <w:szCs w:val="28"/>
          <w:lang w:eastAsia="en-US"/>
        </w:rPr>
        <w:t xml:space="preserve"> que </w:t>
      </w:r>
      <w:r w:rsidR="008C479F">
        <w:rPr>
          <w:rFonts w:ascii="Arial Narrow" w:hAnsi="Arial Narrow"/>
          <w:sz w:val="28"/>
          <w:szCs w:val="28"/>
          <w:lang w:eastAsia="en-US"/>
        </w:rPr>
        <w:t xml:space="preserve">la separación temporal que </w:t>
      </w:r>
      <w:r w:rsidR="00EB3A13">
        <w:rPr>
          <w:rFonts w:ascii="Arial Narrow" w:hAnsi="Arial Narrow"/>
          <w:sz w:val="28"/>
          <w:szCs w:val="28"/>
          <w:lang w:eastAsia="en-US"/>
        </w:rPr>
        <w:t xml:space="preserve">existió </w:t>
      </w:r>
      <w:r w:rsidR="008C479F">
        <w:rPr>
          <w:rFonts w:ascii="Arial Narrow" w:hAnsi="Arial Narrow"/>
          <w:sz w:val="28"/>
          <w:szCs w:val="28"/>
          <w:lang w:eastAsia="en-US"/>
        </w:rPr>
        <w:t xml:space="preserve">entre los cónyuges, se dio </w:t>
      </w:r>
      <w:r w:rsidR="003F109D">
        <w:rPr>
          <w:rFonts w:ascii="Arial Narrow" w:hAnsi="Arial Narrow"/>
          <w:sz w:val="28"/>
          <w:szCs w:val="28"/>
          <w:lang w:eastAsia="en-US"/>
        </w:rPr>
        <w:t xml:space="preserve">con el único propósito de </w:t>
      </w:r>
      <w:r w:rsidR="008C479F">
        <w:rPr>
          <w:rFonts w:ascii="Arial Narrow" w:hAnsi="Arial Narrow"/>
          <w:sz w:val="28"/>
          <w:szCs w:val="28"/>
          <w:lang w:eastAsia="en-US"/>
        </w:rPr>
        <w:t>materializar los fines</w:t>
      </w:r>
      <w:r w:rsidR="003F109D">
        <w:rPr>
          <w:rFonts w:ascii="Arial Narrow" w:hAnsi="Arial Narrow"/>
          <w:sz w:val="28"/>
          <w:szCs w:val="28"/>
          <w:lang w:eastAsia="en-US"/>
        </w:rPr>
        <w:t xml:space="preserve"> comunes de los </w:t>
      </w:r>
      <w:r w:rsidR="008C479F">
        <w:rPr>
          <w:rFonts w:ascii="Arial Narrow" w:hAnsi="Arial Narrow"/>
          <w:sz w:val="28"/>
          <w:szCs w:val="28"/>
          <w:lang w:eastAsia="en-US"/>
        </w:rPr>
        <w:t xml:space="preserve"> mismos</w:t>
      </w:r>
      <w:r w:rsidR="003F109D">
        <w:rPr>
          <w:rFonts w:ascii="Arial Narrow" w:hAnsi="Arial Narrow"/>
          <w:sz w:val="28"/>
          <w:szCs w:val="28"/>
          <w:lang w:eastAsia="en-US"/>
        </w:rPr>
        <w:t xml:space="preserve">, </w:t>
      </w:r>
      <w:r w:rsidR="007D1654">
        <w:rPr>
          <w:rFonts w:ascii="Arial Narrow" w:hAnsi="Arial Narrow" w:cs="Arial"/>
          <w:sz w:val="28"/>
          <w:szCs w:val="28"/>
          <w:lang w:val="es-ES"/>
        </w:rPr>
        <w:t xml:space="preserve">que no es cosa diferente a la ayuda y el crecimiento como pareja, </w:t>
      </w:r>
      <w:r w:rsidR="008C479F">
        <w:rPr>
          <w:rFonts w:ascii="Arial Narrow" w:hAnsi="Arial Narrow" w:cs="Arial"/>
          <w:sz w:val="28"/>
          <w:szCs w:val="28"/>
          <w:lang w:val="es-ES"/>
        </w:rPr>
        <w:t xml:space="preserve">para la </w:t>
      </w:r>
      <w:r w:rsidR="007D1654">
        <w:rPr>
          <w:rFonts w:ascii="Arial Narrow" w:hAnsi="Arial Narrow" w:cs="Arial"/>
          <w:sz w:val="28"/>
          <w:szCs w:val="28"/>
          <w:lang w:val="es-ES"/>
        </w:rPr>
        <w:t>consecución de unas metas sociales y económicas</w:t>
      </w:r>
      <w:r w:rsidR="008C479F">
        <w:rPr>
          <w:rFonts w:ascii="Arial Narrow" w:hAnsi="Arial Narrow" w:cs="Arial"/>
          <w:sz w:val="28"/>
          <w:szCs w:val="28"/>
          <w:lang w:val="es-ES"/>
        </w:rPr>
        <w:t xml:space="preserve">. </w:t>
      </w:r>
    </w:p>
    <w:p w:rsidR="00323B20" w:rsidRPr="004C2E07" w:rsidRDefault="00323B20" w:rsidP="004C2E07">
      <w:pPr>
        <w:pStyle w:val="Sinespaciado"/>
      </w:pPr>
    </w:p>
    <w:p w:rsidR="004C2E07" w:rsidRPr="006B4D9F" w:rsidRDefault="004C2E07" w:rsidP="004C2E07">
      <w:pPr>
        <w:pStyle w:val="Sinespaciado"/>
        <w:spacing w:line="360" w:lineRule="auto"/>
        <w:ind w:firstLine="708"/>
        <w:jc w:val="both"/>
        <w:rPr>
          <w:rFonts w:ascii="Arial Narrow" w:hAnsi="Arial Narrow"/>
          <w:sz w:val="28"/>
          <w:szCs w:val="28"/>
          <w:lang w:eastAsia="en-US"/>
        </w:rPr>
      </w:pPr>
      <w:r w:rsidRPr="006B4D9F">
        <w:rPr>
          <w:rFonts w:ascii="Arial Narrow" w:hAnsi="Arial Narrow"/>
          <w:sz w:val="28"/>
          <w:szCs w:val="28"/>
          <w:lang w:eastAsia="en-US"/>
        </w:rPr>
        <w:t xml:space="preserve">Por ende, atinó la sentenciadora de primer grado al tener a la demandante como beneficiaria de la pensión de sobrevivientes peticionada. </w:t>
      </w:r>
    </w:p>
    <w:p w:rsidR="00B72ADD" w:rsidRPr="00B72ADD" w:rsidRDefault="00B72ADD" w:rsidP="00B72ADD">
      <w:pPr>
        <w:pStyle w:val="Sinespaciado"/>
      </w:pPr>
    </w:p>
    <w:p w:rsidR="00D779AE" w:rsidRDefault="00B72ADD" w:rsidP="00B72ADD">
      <w:pPr>
        <w:spacing w:line="360" w:lineRule="auto"/>
        <w:ind w:firstLine="708"/>
        <w:jc w:val="both"/>
        <w:rPr>
          <w:rFonts w:ascii="Arial Narrow" w:hAnsi="Arial Narrow"/>
          <w:sz w:val="28"/>
          <w:szCs w:val="28"/>
        </w:rPr>
      </w:pPr>
      <w:r>
        <w:rPr>
          <w:rFonts w:ascii="Arial Narrow" w:hAnsi="Arial Narrow"/>
          <w:sz w:val="28"/>
          <w:szCs w:val="28"/>
        </w:rPr>
        <w:t>En este punto, vale la pena advertir que si bien el órgano de cierre constitucional en sentencia SU 005 de 2018, según reciente Comunicado No. 6 del 13 de febrero de 2013, unificó la jurisprudencia y realizó algunos ajustes en relación con el alcance del principio de la condición más beneficiosa</w:t>
      </w:r>
      <w:r w:rsidR="005527C2">
        <w:rPr>
          <w:rFonts w:ascii="Arial Narrow" w:hAnsi="Arial Narrow"/>
          <w:sz w:val="28"/>
          <w:szCs w:val="28"/>
        </w:rPr>
        <w:t xml:space="preserve"> en materia de pensión de sobrevivientes</w:t>
      </w:r>
      <w:r>
        <w:rPr>
          <w:rFonts w:ascii="Arial Narrow" w:hAnsi="Arial Narrow"/>
          <w:sz w:val="28"/>
          <w:szCs w:val="28"/>
        </w:rPr>
        <w:t>,</w:t>
      </w:r>
      <w:r w:rsidR="00C55782">
        <w:rPr>
          <w:rFonts w:ascii="Arial Narrow" w:hAnsi="Arial Narrow"/>
          <w:sz w:val="28"/>
          <w:szCs w:val="28"/>
        </w:rPr>
        <w:t xml:space="preserve"> </w:t>
      </w:r>
      <w:r w:rsidR="00157131">
        <w:rPr>
          <w:rFonts w:ascii="Arial Narrow" w:hAnsi="Arial Narrow"/>
          <w:sz w:val="28"/>
          <w:szCs w:val="28"/>
        </w:rPr>
        <w:t>indicando</w:t>
      </w:r>
      <w:r w:rsidR="005527C2">
        <w:rPr>
          <w:rFonts w:ascii="Arial Narrow" w:hAnsi="Arial Narrow"/>
          <w:sz w:val="28"/>
          <w:szCs w:val="28"/>
        </w:rPr>
        <w:t xml:space="preserve">, </w:t>
      </w:r>
      <w:r w:rsidR="00157131">
        <w:rPr>
          <w:rFonts w:ascii="Arial Narrow" w:hAnsi="Arial Narrow"/>
          <w:sz w:val="28"/>
          <w:szCs w:val="28"/>
        </w:rPr>
        <w:t>entre otras cosas</w:t>
      </w:r>
      <w:r w:rsidR="005527C2">
        <w:rPr>
          <w:rFonts w:ascii="Arial Narrow" w:hAnsi="Arial Narrow"/>
          <w:sz w:val="28"/>
          <w:szCs w:val="28"/>
        </w:rPr>
        <w:t xml:space="preserve">, </w:t>
      </w:r>
      <w:r w:rsidR="00157131">
        <w:rPr>
          <w:rFonts w:ascii="Arial Narrow" w:hAnsi="Arial Narrow"/>
          <w:sz w:val="28"/>
          <w:szCs w:val="28"/>
        </w:rPr>
        <w:t>que</w:t>
      </w:r>
      <w:r w:rsidR="00574F37">
        <w:rPr>
          <w:rFonts w:ascii="Arial Narrow" w:hAnsi="Arial Narrow"/>
          <w:sz w:val="28"/>
          <w:szCs w:val="28"/>
        </w:rPr>
        <w:t xml:space="preserve"> las personas que pretendan acceder al </w:t>
      </w:r>
      <w:r w:rsidR="00157131">
        <w:rPr>
          <w:rFonts w:ascii="Arial Narrow" w:hAnsi="Arial Narrow"/>
          <w:sz w:val="28"/>
          <w:szCs w:val="28"/>
        </w:rPr>
        <w:t xml:space="preserve">reconocimiento de </w:t>
      </w:r>
      <w:r w:rsidR="005527C2">
        <w:rPr>
          <w:rFonts w:ascii="Arial Narrow" w:hAnsi="Arial Narrow"/>
          <w:sz w:val="28"/>
          <w:szCs w:val="28"/>
        </w:rPr>
        <w:t xml:space="preserve">dicha prestación pensional </w:t>
      </w:r>
      <w:r w:rsidR="00157131">
        <w:rPr>
          <w:rFonts w:ascii="Arial Narrow" w:hAnsi="Arial Narrow"/>
          <w:sz w:val="28"/>
          <w:szCs w:val="28"/>
        </w:rPr>
        <w:t xml:space="preserve">con apoyo en dicho principio, </w:t>
      </w:r>
      <w:r w:rsidR="00574F37">
        <w:rPr>
          <w:rFonts w:ascii="Arial Narrow" w:hAnsi="Arial Narrow"/>
          <w:sz w:val="28"/>
          <w:szCs w:val="28"/>
        </w:rPr>
        <w:t>deb</w:t>
      </w:r>
      <w:r w:rsidR="005527C2">
        <w:rPr>
          <w:rFonts w:ascii="Arial Narrow" w:hAnsi="Arial Narrow"/>
          <w:sz w:val="28"/>
          <w:szCs w:val="28"/>
        </w:rPr>
        <w:t xml:space="preserve">en </w:t>
      </w:r>
      <w:r w:rsidR="00157131">
        <w:rPr>
          <w:rFonts w:ascii="Arial Narrow" w:hAnsi="Arial Narrow"/>
          <w:sz w:val="28"/>
          <w:szCs w:val="28"/>
        </w:rPr>
        <w:t xml:space="preserve">acreditar el cumplimiento de </w:t>
      </w:r>
      <w:r w:rsidR="00574F37">
        <w:rPr>
          <w:rFonts w:ascii="Arial Narrow" w:hAnsi="Arial Narrow"/>
          <w:sz w:val="28"/>
          <w:szCs w:val="28"/>
        </w:rPr>
        <w:t xml:space="preserve">condiciones, necesarias y en conjunto suficientes, de un </w:t>
      </w:r>
      <w:r w:rsidR="00C55782" w:rsidRPr="00157131">
        <w:rPr>
          <w:rFonts w:ascii="Arial Narrow" w:hAnsi="Arial Narrow"/>
          <w:i/>
          <w:sz w:val="28"/>
          <w:szCs w:val="28"/>
        </w:rPr>
        <w:t>test de procedencia</w:t>
      </w:r>
      <w:r w:rsidR="00574F37">
        <w:rPr>
          <w:rFonts w:ascii="Arial Narrow" w:hAnsi="Arial Narrow"/>
          <w:i/>
          <w:sz w:val="28"/>
          <w:szCs w:val="28"/>
        </w:rPr>
        <w:t xml:space="preserve"> </w:t>
      </w:r>
      <w:r w:rsidR="00574F37" w:rsidRPr="00574F37">
        <w:rPr>
          <w:rFonts w:ascii="Arial Narrow" w:hAnsi="Arial Narrow"/>
          <w:sz w:val="28"/>
          <w:szCs w:val="28"/>
        </w:rPr>
        <w:t>allí descrito</w:t>
      </w:r>
      <w:r w:rsidR="00574F37">
        <w:rPr>
          <w:rStyle w:val="Refdenotaalpie"/>
          <w:rFonts w:ascii="Arial Narrow" w:hAnsi="Arial Narrow"/>
          <w:sz w:val="28"/>
          <w:szCs w:val="28"/>
        </w:rPr>
        <w:footnoteReference w:id="1"/>
      </w:r>
      <w:r w:rsidR="00574F37">
        <w:rPr>
          <w:rFonts w:ascii="Arial Narrow" w:hAnsi="Arial Narrow"/>
          <w:i/>
          <w:sz w:val="28"/>
          <w:szCs w:val="28"/>
        </w:rPr>
        <w:t xml:space="preserve">, </w:t>
      </w:r>
      <w:r w:rsidR="00574F37" w:rsidRPr="00574F37">
        <w:rPr>
          <w:rFonts w:ascii="Arial Narrow" w:hAnsi="Arial Narrow"/>
          <w:sz w:val="28"/>
          <w:szCs w:val="28"/>
        </w:rPr>
        <w:t>lo cierto es que</w:t>
      </w:r>
      <w:r w:rsidR="005527C2">
        <w:rPr>
          <w:rFonts w:ascii="Arial Narrow" w:hAnsi="Arial Narrow"/>
          <w:sz w:val="28"/>
          <w:szCs w:val="28"/>
        </w:rPr>
        <w:t xml:space="preserve"> </w:t>
      </w:r>
      <w:r w:rsidR="006F7171">
        <w:rPr>
          <w:rFonts w:ascii="Arial Narrow" w:hAnsi="Arial Narrow"/>
          <w:sz w:val="28"/>
          <w:szCs w:val="28"/>
        </w:rPr>
        <w:t xml:space="preserve">la Sala considera </w:t>
      </w:r>
      <w:r w:rsidR="001F35A8">
        <w:rPr>
          <w:rFonts w:ascii="Arial Narrow" w:hAnsi="Arial Narrow"/>
          <w:sz w:val="28"/>
          <w:szCs w:val="28"/>
        </w:rPr>
        <w:t xml:space="preserve">desproporcionada </w:t>
      </w:r>
      <w:r w:rsidR="001F35A8">
        <w:rPr>
          <w:rFonts w:ascii="Arial Narrow" w:hAnsi="Arial Narrow"/>
          <w:sz w:val="28"/>
          <w:szCs w:val="28"/>
        </w:rPr>
        <w:lastRenderedPageBreak/>
        <w:t xml:space="preserve">la aplicación inmediata de </w:t>
      </w:r>
      <w:r w:rsidR="00F248A5">
        <w:rPr>
          <w:rFonts w:ascii="Arial Narrow" w:hAnsi="Arial Narrow"/>
          <w:sz w:val="28"/>
          <w:szCs w:val="28"/>
        </w:rPr>
        <w:t xml:space="preserve">dicho </w:t>
      </w:r>
      <w:r w:rsidR="001F35A8">
        <w:rPr>
          <w:rFonts w:ascii="Arial Narrow" w:hAnsi="Arial Narrow"/>
          <w:sz w:val="28"/>
          <w:szCs w:val="28"/>
        </w:rPr>
        <w:t>precedente judicial</w:t>
      </w:r>
      <w:r w:rsidR="006F7171">
        <w:rPr>
          <w:rFonts w:ascii="Arial Narrow" w:hAnsi="Arial Narrow"/>
          <w:sz w:val="28"/>
          <w:szCs w:val="28"/>
        </w:rPr>
        <w:t xml:space="preserve">, a aquellas personas que radicaron la demanda ordinaria laboral con anterioridad a la fecha en que se profirió dicha sentencia de unificación, pues claramente no tenían conocimiento de </w:t>
      </w:r>
      <w:r w:rsidR="00D779AE">
        <w:rPr>
          <w:rFonts w:ascii="Arial Narrow" w:hAnsi="Arial Narrow"/>
          <w:sz w:val="28"/>
          <w:szCs w:val="28"/>
        </w:rPr>
        <w:t xml:space="preserve">las </w:t>
      </w:r>
      <w:r w:rsidR="006F7171">
        <w:rPr>
          <w:rFonts w:ascii="Arial Narrow" w:hAnsi="Arial Narrow"/>
          <w:sz w:val="28"/>
          <w:szCs w:val="28"/>
        </w:rPr>
        <w:t>nuevas exigencias</w:t>
      </w:r>
      <w:r w:rsidR="006B4D9F">
        <w:rPr>
          <w:rFonts w:ascii="Arial Narrow" w:hAnsi="Arial Narrow"/>
          <w:sz w:val="28"/>
          <w:szCs w:val="28"/>
        </w:rPr>
        <w:t xml:space="preserve"> para el acceso a dicha prestación</w:t>
      </w:r>
      <w:r w:rsidR="001F35A8">
        <w:rPr>
          <w:rFonts w:ascii="Arial Narrow" w:hAnsi="Arial Narrow"/>
          <w:sz w:val="28"/>
          <w:szCs w:val="28"/>
        </w:rPr>
        <w:t xml:space="preserve">, y reclamaron </w:t>
      </w:r>
      <w:r w:rsidR="006B4D9F">
        <w:rPr>
          <w:rFonts w:ascii="Arial Narrow" w:hAnsi="Arial Narrow"/>
          <w:sz w:val="28"/>
          <w:szCs w:val="28"/>
        </w:rPr>
        <w:t xml:space="preserve">ante la justicia ordinaria basados en </w:t>
      </w:r>
      <w:r w:rsidR="001F35A8">
        <w:rPr>
          <w:rFonts w:ascii="Arial Narrow" w:hAnsi="Arial Narrow"/>
          <w:sz w:val="28"/>
          <w:szCs w:val="28"/>
        </w:rPr>
        <w:t xml:space="preserve">la línea jurisprudencial pacífica que la Corte </w:t>
      </w:r>
      <w:r w:rsidR="00F248A5">
        <w:rPr>
          <w:rFonts w:ascii="Arial Narrow" w:hAnsi="Arial Narrow"/>
          <w:sz w:val="28"/>
          <w:szCs w:val="28"/>
        </w:rPr>
        <w:t>C</w:t>
      </w:r>
      <w:r w:rsidR="001F35A8">
        <w:rPr>
          <w:rFonts w:ascii="Arial Narrow" w:hAnsi="Arial Narrow"/>
          <w:sz w:val="28"/>
          <w:szCs w:val="28"/>
        </w:rPr>
        <w:t xml:space="preserve">onstitucional había estructurado de tiempo atrás. </w:t>
      </w:r>
    </w:p>
    <w:p w:rsidR="00D779AE" w:rsidRDefault="00D779AE" w:rsidP="001F35A8">
      <w:pPr>
        <w:pStyle w:val="Sinespaciado"/>
      </w:pPr>
    </w:p>
    <w:p w:rsidR="0077465A" w:rsidRDefault="001F35A8" w:rsidP="00B72ADD">
      <w:pPr>
        <w:spacing w:line="360" w:lineRule="auto"/>
        <w:ind w:firstLine="708"/>
        <w:jc w:val="both"/>
        <w:rPr>
          <w:rFonts w:ascii="Arial Narrow" w:hAnsi="Arial Narrow"/>
          <w:sz w:val="28"/>
          <w:szCs w:val="28"/>
        </w:rPr>
      </w:pPr>
      <w:r>
        <w:rPr>
          <w:rFonts w:ascii="Arial Narrow" w:hAnsi="Arial Narrow"/>
          <w:sz w:val="28"/>
          <w:szCs w:val="28"/>
        </w:rPr>
        <w:t xml:space="preserve">De este modo, a juicio de la </w:t>
      </w:r>
      <w:r w:rsidR="006B4D9F">
        <w:rPr>
          <w:rFonts w:ascii="Arial Narrow" w:hAnsi="Arial Narrow"/>
          <w:sz w:val="28"/>
          <w:szCs w:val="28"/>
        </w:rPr>
        <w:t>Corporación</w:t>
      </w:r>
      <w:r>
        <w:rPr>
          <w:rFonts w:ascii="Arial Narrow" w:hAnsi="Arial Narrow"/>
          <w:sz w:val="28"/>
          <w:szCs w:val="28"/>
        </w:rPr>
        <w:t xml:space="preserve">, </w:t>
      </w:r>
      <w:r w:rsidR="00F248A5">
        <w:rPr>
          <w:rFonts w:ascii="Arial Narrow" w:hAnsi="Arial Narrow"/>
          <w:sz w:val="28"/>
          <w:szCs w:val="28"/>
        </w:rPr>
        <w:t xml:space="preserve">resulta más razonable aplicar </w:t>
      </w:r>
      <w:r>
        <w:rPr>
          <w:rFonts w:ascii="Arial Narrow" w:hAnsi="Arial Narrow"/>
          <w:sz w:val="28"/>
          <w:szCs w:val="28"/>
        </w:rPr>
        <w:t>el reciente pronunciamiento del órgano de cierre constitucional en sentencia SU -</w:t>
      </w:r>
      <w:r w:rsidR="00D779AE">
        <w:rPr>
          <w:rFonts w:ascii="Arial Narrow" w:hAnsi="Arial Narrow"/>
          <w:sz w:val="28"/>
          <w:szCs w:val="28"/>
        </w:rPr>
        <w:t xml:space="preserve"> </w:t>
      </w:r>
      <w:r>
        <w:rPr>
          <w:rFonts w:ascii="Arial Narrow" w:hAnsi="Arial Narrow"/>
          <w:sz w:val="28"/>
          <w:szCs w:val="28"/>
        </w:rPr>
        <w:t>005 de 2018</w:t>
      </w:r>
      <w:r w:rsidR="00F248A5">
        <w:rPr>
          <w:rFonts w:ascii="Arial Narrow" w:hAnsi="Arial Narrow"/>
          <w:sz w:val="28"/>
          <w:szCs w:val="28"/>
        </w:rPr>
        <w:t xml:space="preserve">, sólo a aquellos casos en los que la controversia judicial se formule con posterioridad a la emisión de dicho pronunciamiento </w:t>
      </w:r>
      <w:r w:rsidR="006F7171">
        <w:rPr>
          <w:rFonts w:ascii="Arial Narrow" w:hAnsi="Arial Narrow"/>
          <w:sz w:val="28"/>
          <w:szCs w:val="28"/>
        </w:rPr>
        <w:t xml:space="preserve"> </w:t>
      </w:r>
      <w:r w:rsidR="00F248A5">
        <w:rPr>
          <w:rFonts w:ascii="Arial Narrow" w:hAnsi="Arial Narrow"/>
          <w:sz w:val="28"/>
          <w:szCs w:val="28"/>
        </w:rPr>
        <w:t xml:space="preserve">-13 de febrero de 2018-, pues sólo a partir de ese </w:t>
      </w:r>
      <w:r w:rsidR="00E7570E">
        <w:rPr>
          <w:rFonts w:ascii="Arial Narrow" w:hAnsi="Arial Narrow"/>
          <w:sz w:val="28"/>
          <w:szCs w:val="28"/>
        </w:rPr>
        <w:t>momento</w:t>
      </w:r>
      <w:r w:rsidR="00F248A5">
        <w:rPr>
          <w:rFonts w:ascii="Arial Narrow" w:hAnsi="Arial Narrow"/>
          <w:sz w:val="28"/>
          <w:szCs w:val="28"/>
        </w:rPr>
        <w:t xml:space="preserve"> podría exigírsele al administrado que conozca la nueva postura jurisprudencial que impone nuevos requisitos para el reconocimiento de la pensión de sobrevivientes en aplicación del </w:t>
      </w:r>
      <w:r w:rsidR="00E7570E">
        <w:rPr>
          <w:rFonts w:ascii="Arial Narrow" w:hAnsi="Arial Narrow"/>
          <w:sz w:val="28"/>
          <w:szCs w:val="28"/>
        </w:rPr>
        <w:t>principio</w:t>
      </w:r>
      <w:r w:rsidR="00F248A5">
        <w:rPr>
          <w:rFonts w:ascii="Arial Narrow" w:hAnsi="Arial Narrow"/>
          <w:sz w:val="28"/>
          <w:szCs w:val="28"/>
        </w:rPr>
        <w:t xml:space="preserve"> de la condición m</w:t>
      </w:r>
      <w:r w:rsidR="00222C5A">
        <w:rPr>
          <w:rFonts w:ascii="Arial Narrow" w:hAnsi="Arial Narrow"/>
          <w:sz w:val="28"/>
          <w:szCs w:val="28"/>
        </w:rPr>
        <w:t xml:space="preserve">ás beneficiosa, pues obviamente que </w:t>
      </w:r>
      <w:r w:rsidR="009B182E">
        <w:rPr>
          <w:rFonts w:ascii="Arial Narrow" w:hAnsi="Arial Narrow"/>
          <w:sz w:val="28"/>
          <w:szCs w:val="28"/>
        </w:rPr>
        <w:t>si el reclamo judicial se da con posterioridad a dicha calenda, se presume que tenía p</w:t>
      </w:r>
      <w:r w:rsidR="00E12E8E">
        <w:rPr>
          <w:rFonts w:ascii="Arial Narrow" w:hAnsi="Arial Narrow"/>
          <w:sz w:val="28"/>
          <w:szCs w:val="28"/>
        </w:rPr>
        <w:t xml:space="preserve">leno conocimiento </w:t>
      </w:r>
      <w:r w:rsidR="009B182E">
        <w:rPr>
          <w:rFonts w:ascii="Arial Narrow" w:hAnsi="Arial Narrow"/>
          <w:sz w:val="28"/>
          <w:szCs w:val="28"/>
        </w:rPr>
        <w:t>de la nueva postura respecto del tema.</w:t>
      </w:r>
      <w:r w:rsidR="00222C5A">
        <w:rPr>
          <w:rFonts w:ascii="Arial Narrow" w:hAnsi="Arial Narrow"/>
          <w:sz w:val="28"/>
          <w:szCs w:val="28"/>
        </w:rPr>
        <w:t xml:space="preserve"> Por ende, se procederá de conformidad.</w:t>
      </w:r>
    </w:p>
    <w:p w:rsidR="00855089" w:rsidRDefault="00855089" w:rsidP="00855089">
      <w:pPr>
        <w:pStyle w:val="Sinespaciado"/>
      </w:pPr>
    </w:p>
    <w:p w:rsidR="00EA0474" w:rsidRPr="00010D6C" w:rsidRDefault="00855089" w:rsidP="00010D6C">
      <w:pPr>
        <w:spacing w:line="360" w:lineRule="auto"/>
        <w:ind w:firstLine="708"/>
        <w:jc w:val="both"/>
        <w:rPr>
          <w:rFonts w:ascii="Arial Narrow" w:hAnsi="Arial Narrow"/>
          <w:sz w:val="28"/>
          <w:szCs w:val="28"/>
        </w:rPr>
      </w:pPr>
      <w:r>
        <w:rPr>
          <w:rFonts w:ascii="Arial Narrow" w:hAnsi="Arial Narrow"/>
          <w:sz w:val="28"/>
          <w:szCs w:val="28"/>
        </w:rPr>
        <w:t>A pesar de lo</w:t>
      </w:r>
      <w:r w:rsidR="00010D6C">
        <w:rPr>
          <w:rFonts w:ascii="Arial Narrow" w:hAnsi="Arial Narrow"/>
          <w:sz w:val="28"/>
          <w:szCs w:val="28"/>
        </w:rPr>
        <w:t xml:space="preserve"> dicho</w:t>
      </w:r>
      <w:r w:rsidR="00681D58">
        <w:rPr>
          <w:rFonts w:ascii="Arial Narrow" w:hAnsi="Arial Narrow"/>
          <w:sz w:val="28"/>
          <w:szCs w:val="28"/>
        </w:rPr>
        <w:t xml:space="preserve"> anteriormente</w:t>
      </w:r>
      <w:r>
        <w:rPr>
          <w:rFonts w:ascii="Arial Narrow" w:hAnsi="Arial Narrow"/>
          <w:sz w:val="28"/>
          <w:szCs w:val="28"/>
        </w:rPr>
        <w:t>, en cuanto al</w:t>
      </w:r>
      <w:r w:rsidR="00681D58">
        <w:rPr>
          <w:rFonts w:ascii="Arial Narrow" w:hAnsi="Arial Narrow"/>
          <w:sz w:val="28"/>
          <w:szCs w:val="28"/>
        </w:rPr>
        <w:t xml:space="preserve"> tema del retroactivo </w:t>
      </w:r>
      <w:r w:rsidR="00010D6C">
        <w:rPr>
          <w:rFonts w:ascii="Arial Narrow" w:hAnsi="Arial Narrow"/>
          <w:sz w:val="28"/>
          <w:szCs w:val="28"/>
        </w:rPr>
        <w:t>la Sala estima que debe acogerse lo expuesto por el Alto Tribunal Constitucional</w:t>
      </w:r>
      <w:r w:rsidR="00C44399">
        <w:rPr>
          <w:rFonts w:ascii="Arial Narrow" w:hAnsi="Arial Narrow"/>
          <w:sz w:val="28"/>
          <w:szCs w:val="28"/>
        </w:rPr>
        <w:t xml:space="preserve"> en la referida sentencia de unificación. Por tanto</w:t>
      </w:r>
      <w:r w:rsidR="00010D6C">
        <w:rPr>
          <w:rFonts w:ascii="Arial Narrow" w:hAnsi="Arial Narrow"/>
          <w:sz w:val="28"/>
          <w:szCs w:val="28"/>
        </w:rPr>
        <w:t>, la prestación será reconocida a partir del momento en que se instaur</w:t>
      </w:r>
      <w:r w:rsidR="00C44399">
        <w:rPr>
          <w:rFonts w:ascii="Arial Narrow" w:hAnsi="Arial Narrow"/>
          <w:sz w:val="28"/>
          <w:szCs w:val="28"/>
        </w:rPr>
        <w:t xml:space="preserve">ó esta </w:t>
      </w:r>
      <w:r w:rsidR="00010D6C">
        <w:rPr>
          <w:rFonts w:ascii="Arial Narrow" w:hAnsi="Arial Narrow"/>
          <w:sz w:val="28"/>
          <w:szCs w:val="28"/>
        </w:rPr>
        <w:t xml:space="preserve">acción judicial, esto es, </w:t>
      </w:r>
      <w:r w:rsidR="0021139E">
        <w:rPr>
          <w:rFonts w:ascii="Arial Narrow" w:hAnsi="Arial Narrow" w:cs="Tahoma"/>
          <w:sz w:val="28"/>
          <w:szCs w:val="28"/>
        </w:rPr>
        <w:t xml:space="preserve">del 10 de junio de 2016. </w:t>
      </w:r>
      <w:r w:rsidR="00D85D76" w:rsidRPr="00010D6C">
        <w:rPr>
          <w:rFonts w:ascii="Arial Narrow" w:hAnsi="Arial Narrow" w:cs="Arial"/>
          <w:sz w:val="28"/>
          <w:szCs w:val="28"/>
        </w:rPr>
        <w:t>Efectuados</w:t>
      </w:r>
      <w:r w:rsidR="001C40D4" w:rsidRPr="00010D6C">
        <w:rPr>
          <w:rFonts w:ascii="Arial Narrow" w:hAnsi="Arial Narrow" w:cs="Arial"/>
          <w:sz w:val="28"/>
          <w:szCs w:val="28"/>
        </w:rPr>
        <w:t xml:space="preserve"> los cálculos respectivos, tomando en cuenta una mesada pensional equivalente al salario m</w:t>
      </w:r>
      <w:r w:rsidR="00D85D76" w:rsidRPr="00010D6C">
        <w:rPr>
          <w:rFonts w:ascii="Arial Narrow" w:hAnsi="Arial Narrow" w:cs="Arial"/>
          <w:sz w:val="28"/>
          <w:szCs w:val="28"/>
        </w:rPr>
        <w:t>ínimo y 13 mesadas a</w:t>
      </w:r>
      <w:r w:rsidR="00D85D76" w:rsidRPr="0021139E">
        <w:rPr>
          <w:rFonts w:ascii="Arial Narrow" w:hAnsi="Arial Narrow" w:cs="Arial"/>
          <w:sz w:val="28"/>
          <w:szCs w:val="28"/>
        </w:rPr>
        <w:t xml:space="preserve">nuales, el retroactivo pensional </w:t>
      </w:r>
      <w:r w:rsidR="00E87E6A" w:rsidRPr="0021139E">
        <w:rPr>
          <w:rFonts w:ascii="Arial Narrow" w:hAnsi="Arial Narrow" w:cs="Arial"/>
          <w:sz w:val="28"/>
          <w:szCs w:val="28"/>
        </w:rPr>
        <w:t xml:space="preserve">causado entre el 10 de junio </w:t>
      </w:r>
      <w:r w:rsidR="004E40A1">
        <w:rPr>
          <w:rFonts w:ascii="Arial Narrow" w:hAnsi="Arial Narrow" w:cs="Arial"/>
          <w:sz w:val="28"/>
          <w:szCs w:val="28"/>
        </w:rPr>
        <w:t xml:space="preserve">           </w:t>
      </w:r>
      <w:r w:rsidR="00E87E6A" w:rsidRPr="0021139E">
        <w:rPr>
          <w:rFonts w:ascii="Arial Narrow" w:hAnsi="Arial Narrow" w:cs="Arial"/>
          <w:sz w:val="28"/>
          <w:szCs w:val="28"/>
        </w:rPr>
        <w:t>de 201</w:t>
      </w:r>
      <w:r w:rsidR="004E40A1">
        <w:rPr>
          <w:rFonts w:ascii="Arial Narrow" w:hAnsi="Arial Narrow" w:cs="Arial"/>
          <w:sz w:val="28"/>
          <w:szCs w:val="28"/>
        </w:rPr>
        <w:t>8</w:t>
      </w:r>
      <w:r w:rsidR="00E87E6A" w:rsidRPr="0021139E">
        <w:rPr>
          <w:rFonts w:ascii="Arial Narrow" w:hAnsi="Arial Narrow" w:cs="Arial"/>
          <w:sz w:val="28"/>
          <w:szCs w:val="28"/>
        </w:rPr>
        <w:t xml:space="preserve"> y el 31 de marzo de 201</w:t>
      </w:r>
      <w:r w:rsidR="0021139E">
        <w:rPr>
          <w:rFonts w:ascii="Arial Narrow" w:hAnsi="Arial Narrow" w:cs="Arial"/>
          <w:sz w:val="28"/>
          <w:szCs w:val="28"/>
        </w:rPr>
        <w:t>8</w:t>
      </w:r>
      <w:r w:rsidR="004E40A1">
        <w:rPr>
          <w:rFonts w:ascii="Arial Narrow" w:hAnsi="Arial Narrow" w:cs="Arial"/>
          <w:sz w:val="28"/>
          <w:szCs w:val="28"/>
        </w:rPr>
        <w:t>, asciende a la suma de $</w:t>
      </w:r>
      <w:r w:rsidR="00B23EEB" w:rsidRPr="0021139E">
        <w:rPr>
          <w:rFonts w:ascii="Arial Narrow" w:hAnsi="Arial Narrow" w:cs="Arial"/>
          <w:sz w:val="28"/>
          <w:szCs w:val="28"/>
        </w:rPr>
        <w:t xml:space="preserve">17`215.265, </w:t>
      </w:r>
      <w:r w:rsidR="002372C4" w:rsidRPr="0021139E">
        <w:rPr>
          <w:rFonts w:ascii="Arial Narrow" w:hAnsi="Arial Narrow" w:cs="Arial"/>
          <w:sz w:val="28"/>
          <w:szCs w:val="28"/>
        </w:rPr>
        <w:t>conforme</w:t>
      </w:r>
      <w:r w:rsidR="00B23EEB" w:rsidRPr="0021139E">
        <w:rPr>
          <w:rFonts w:ascii="Arial Narrow" w:hAnsi="Arial Narrow" w:cs="Arial"/>
          <w:sz w:val="28"/>
          <w:szCs w:val="28"/>
        </w:rPr>
        <w:t xml:space="preserve"> al </w:t>
      </w:r>
      <w:r w:rsidR="002372C4" w:rsidRPr="0021139E">
        <w:rPr>
          <w:rFonts w:ascii="Arial Narrow" w:hAnsi="Arial Narrow" w:cs="Arial"/>
          <w:sz w:val="28"/>
          <w:szCs w:val="28"/>
        </w:rPr>
        <w:t xml:space="preserve">cuadro que se pone de presente </w:t>
      </w:r>
      <w:r w:rsidR="00B23EEB" w:rsidRPr="0021139E">
        <w:rPr>
          <w:rFonts w:ascii="Arial Narrow" w:hAnsi="Arial Narrow" w:cs="Arial"/>
          <w:sz w:val="28"/>
          <w:szCs w:val="28"/>
        </w:rPr>
        <w:t xml:space="preserve">a los asistentes y hará parte integrante del acta final de esta audiencia. </w:t>
      </w:r>
    </w:p>
    <w:p w:rsidR="002372C4" w:rsidRDefault="002372C4" w:rsidP="002372C4">
      <w:pPr>
        <w:pStyle w:val="Sinespaciado"/>
      </w:pPr>
    </w:p>
    <w:p w:rsidR="002372C4" w:rsidRDefault="002372C4" w:rsidP="00EA0474">
      <w:pPr>
        <w:pStyle w:val="Textoindependiente31"/>
        <w:ind w:firstLine="851"/>
        <w:rPr>
          <w:rFonts w:ascii="Arial Narrow" w:hAnsi="Arial Narrow" w:cs="Tahoma"/>
          <w:szCs w:val="28"/>
        </w:rPr>
      </w:pPr>
      <w:r>
        <w:rPr>
          <w:rFonts w:ascii="Arial Narrow" w:hAnsi="Arial Narrow" w:cs="Tahoma"/>
          <w:szCs w:val="28"/>
        </w:rPr>
        <w:t xml:space="preserve">Se modificará, por ende, el ordinal 3 de la sentencia consultada. </w:t>
      </w:r>
    </w:p>
    <w:p w:rsidR="002372C4" w:rsidRDefault="002372C4" w:rsidP="002372C4">
      <w:pPr>
        <w:pStyle w:val="Sinespaciado"/>
      </w:pPr>
    </w:p>
    <w:p w:rsidR="002372C4" w:rsidRDefault="002372C4" w:rsidP="002372C4">
      <w:pPr>
        <w:pStyle w:val="Textoindependiente31"/>
        <w:ind w:firstLine="851"/>
        <w:rPr>
          <w:rFonts w:ascii="Arial Narrow" w:hAnsi="Arial Narrow" w:cs="Tahoma"/>
          <w:szCs w:val="28"/>
        </w:rPr>
      </w:pPr>
      <w:r>
        <w:rPr>
          <w:rFonts w:ascii="Arial Narrow" w:hAnsi="Arial Narrow" w:cs="Tahoma"/>
          <w:szCs w:val="28"/>
        </w:rPr>
        <w:t>En cuanto a los intereses moratorios a los cuales accedió la a-quo, se dirá que no hay lugar a su imposición, como quiera que se está en frente de un evento en que las actuaciones de las administradoras de pensiones, al no reconocer o pagar las prestaciones periódicas a su cargo, “</w:t>
      </w:r>
      <w:r w:rsidRPr="006C4E86">
        <w:rPr>
          <w:rFonts w:ascii="Arial Narrow" w:hAnsi="Arial Narrow" w:cs="Tahoma"/>
          <w:i/>
          <w:szCs w:val="28"/>
        </w:rPr>
        <w:t xml:space="preserve">encuentran plena justificación bien porque tengan </w:t>
      </w:r>
      <w:r w:rsidRPr="006C4E86">
        <w:rPr>
          <w:rFonts w:ascii="Arial Narrow" w:hAnsi="Arial Narrow" w:cs="Tahoma"/>
          <w:i/>
          <w:szCs w:val="28"/>
        </w:rPr>
        <w:lastRenderedPageBreak/>
        <w:t>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r>
        <w:rPr>
          <w:rFonts w:ascii="Arial Narrow" w:hAnsi="Arial Narrow" w:cs="Tahoma"/>
          <w:szCs w:val="28"/>
        </w:rPr>
        <w:t>”. Así lo estableció el órgano de cierre de esta especialidad laboral en Sent.02 de octubre de 2013. Rad. 44.454 Cas. Laboral.</w:t>
      </w:r>
    </w:p>
    <w:p w:rsidR="00D775C6" w:rsidRDefault="00D775C6" w:rsidP="009D5C3C">
      <w:pPr>
        <w:pStyle w:val="Sinespaciado"/>
      </w:pPr>
    </w:p>
    <w:p w:rsidR="00D775C6" w:rsidRDefault="00D775C6" w:rsidP="002372C4">
      <w:pPr>
        <w:pStyle w:val="Textoindependiente31"/>
        <w:ind w:firstLine="851"/>
        <w:rPr>
          <w:rFonts w:ascii="Arial Narrow" w:hAnsi="Arial Narrow" w:cs="Tahoma"/>
          <w:szCs w:val="28"/>
        </w:rPr>
      </w:pPr>
      <w:r>
        <w:rPr>
          <w:rFonts w:ascii="Arial Narrow" w:hAnsi="Arial Narrow" w:cs="Tahoma"/>
          <w:szCs w:val="28"/>
        </w:rPr>
        <w:t>Por ende, se revocará el ordinal 4º de la providencia, para en su lugar, absolver a la entidad demandada del pago de los referidos intereses de mora.</w:t>
      </w:r>
    </w:p>
    <w:p w:rsidR="00D338B2" w:rsidRDefault="00D338B2" w:rsidP="001C383C">
      <w:pPr>
        <w:pStyle w:val="Sinespaciado"/>
      </w:pPr>
    </w:p>
    <w:p w:rsidR="00D338B2" w:rsidRDefault="00D338B2" w:rsidP="002372C4">
      <w:pPr>
        <w:pStyle w:val="Textoindependiente31"/>
        <w:ind w:firstLine="851"/>
        <w:rPr>
          <w:rFonts w:ascii="Arial Narrow" w:hAnsi="Arial Narrow" w:cs="Tahoma"/>
          <w:szCs w:val="28"/>
        </w:rPr>
      </w:pPr>
      <w:r>
        <w:rPr>
          <w:rFonts w:ascii="Arial Narrow" w:hAnsi="Arial Narrow" w:cs="Tahoma"/>
          <w:szCs w:val="28"/>
        </w:rPr>
        <w:t xml:space="preserve">Se exonerará a la entidad demandada de las costas procesales en ambas instancias, por los motivos </w:t>
      </w:r>
      <w:r w:rsidR="006D0511">
        <w:rPr>
          <w:rFonts w:ascii="Arial Narrow" w:hAnsi="Arial Narrow" w:cs="Tahoma"/>
          <w:szCs w:val="28"/>
        </w:rPr>
        <w:t>antes</w:t>
      </w:r>
      <w:r>
        <w:rPr>
          <w:rFonts w:ascii="Arial Narrow" w:hAnsi="Arial Narrow" w:cs="Tahoma"/>
          <w:szCs w:val="28"/>
        </w:rPr>
        <w:t xml:space="preserve"> referidos.</w:t>
      </w:r>
    </w:p>
    <w:p w:rsidR="001C36EE" w:rsidRPr="006D0511" w:rsidRDefault="001C36EE" w:rsidP="006D0511">
      <w:pPr>
        <w:pStyle w:val="Sinespaciado"/>
      </w:pPr>
    </w:p>
    <w:p w:rsidR="001C36EE" w:rsidRPr="006B4716" w:rsidRDefault="001C36EE" w:rsidP="001C36EE">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6D0511" w:rsidRDefault="006D0511" w:rsidP="001C36EE">
      <w:pPr>
        <w:spacing w:line="360" w:lineRule="auto"/>
        <w:jc w:val="center"/>
        <w:rPr>
          <w:rFonts w:ascii="Arial Narrow" w:hAnsi="Arial Narrow" w:cs="Arial"/>
          <w:b/>
          <w:i/>
          <w:sz w:val="28"/>
          <w:szCs w:val="28"/>
        </w:rPr>
      </w:pPr>
    </w:p>
    <w:p w:rsidR="001C36EE" w:rsidRPr="006B4716" w:rsidRDefault="001C36EE" w:rsidP="001C36EE">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C36EE" w:rsidRPr="00B13CBF" w:rsidRDefault="001C36EE" w:rsidP="00B13CBF">
      <w:pPr>
        <w:pStyle w:val="Sinespaciado"/>
      </w:pPr>
    </w:p>
    <w:p w:rsidR="006D0511" w:rsidRDefault="001C36EE" w:rsidP="006D0511">
      <w:pPr>
        <w:pStyle w:val="Textoindependiente31"/>
        <w:numPr>
          <w:ilvl w:val="0"/>
          <w:numId w:val="1"/>
        </w:numPr>
        <w:ind w:left="0" w:firstLine="708"/>
        <w:rPr>
          <w:rFonts w:ascii="Arial Narrow" w:hAnsi="Arial Narrow" w:cs="Arial"/>
          <w:szCs w:val="28"/>
        </w:rPr>
      </w:pPr>
      <w:r>
        <w:rPr>
          <w:rFonts w:ascii="Arial Narrow" w:hAnsi="Arial Narrow" w:cs="Arial"/>
          <w:b/>
          <w:i/>
          <w:spacing w:val="-2"/>
          <w:szCs w:val="28"/>
        </w:rPr>
        <w:t xml:space="preserve">Modificar </w:t>
      </w:r>
      <w:r w:rsidRPr="00FE15BF">
        <w:rPr>
          <w:rFonts w:ascii="Arial Narrow" w:hAnsi="Arial Narrow" w:cs="Arial"/>
          <w:spacing w:val="-2"/>
          <w:szCs w:val="28"/>
        </w:rPr>
        <w:t xml:space="preserve">el ordinal </w:t>
      </w:r>
      <w:r w:rsidR="001C383C">
        <w:rPr>
          <w:rFonts w:ascii="Arial Narrow" w:hAnsi="Arial Narrow" w:cs="Arial"/>
          <w:spacing w:val="-2"/>
          <w:szCs w:val="28"/>
        </w:rPr>
        <w:t>3</w:t>
      </w:r>
      <w:r w:rsidRPr="00FE15BF">
        <w:rPr>
          <w:rFonts w:ascii="Arial Narrow" w:hAnsi="Arial Narrow" w:cs="Arial"/>
          <w:spacing w:val="-2"/>
          <w:szCs w:val="28"/>
        </w:rPr>
        <w:t>º</w:t>
      </w:r>
      <w:r>
        <w:rPr>
          <w:rFonts w:ascii="Arial Narrow" w:hAnsi="Arial Narrow" w:cs="Arial"/>
          <w:b/>
          <w:i/>
          <w:spacing w:val="-2"/>
          <w:szCs w:val="28"/>
        </w:rPr>
        <w:t xml:space="preserve"> </w:t>
      </w:r>
      <w:r w:rsidRPr="003F3393">
        <w:rPr>
          <w:rFonts w:ascii="Arial Narrow" w:hAnsi="Arial Narrow" w:cs="Arial"/>
          <w:szCs w:val="28"/>
        </w:rPr>
        <w:t xml:space="preserve">la sentencia proferida el </w:t>
      </w:r>
      <w:r w:rsidR="001C383C">
        <w:rPr>
          <w:rFonts w:ascii="Arial Narrow" w:hAnsi="Arial Narrow" w:cs="Arial"/>
          <w:szCs w:val="28"/>
        </w:rPr>
        <w:t xml:space="preserve">31 de mayo </w:t>
      </w:r>
      <w:r w:rsidRPr="003F3393">
        <w:rPr>
          <w:rFonts w:ascii="Arial Narrow" w:hAnsi="Arial Narrow" w:cs="Arial"/>
          <w:szCs w:val="28"/>
        </w:rPr>
        <w:t xml:space="preserve">de 2017 por el Juzgado </w:t>
      </w:r>
      <w:r w:rsidR="001C383C">
        <w:rPr>
          <w:rFonts w:ascii="Arial Narrow" w:hAnsi="Arial Narrow" w:cs="Arial"/>
          <w:szCs w:val="28"/>
        </w:rPr>
        <w:t xml:space="preserve">Quinto </w:t>
      </w:r>
      <w:r w:rsidRPr="003F3393">
        <w:rPr>
          <w:rFonts w:ascii="Arial Narrow" w:hAnsi="Arial Narrow" w:cs="Arial"/>
          <w:szCs w:val="28"/>
        </w:rPr>
        <w:t>Laboral del Circuito de Pereira, dentro del proceso ordinario laboral de la referencia</w:t>
      </w:r>
      <w:r>
        <w:rPr>
          <w:rFonts w:ascii="Arial Narrow" w:hAnsi="Arial Narrow" w:cs="Arial"/>
          <w:szCs w:val="28"/>
        </w:rPr>
        <w:t>, en el sentido de indicar q</w:t>
      </w:r>
      <w:r w:rsidRPr="003F3393">
        <w:rPr>
          <w:rFonts w:ascii="Arial Narrow" w:hAnsi="Arial Narrow" w:cs="Arial"/>
          <w:szCs w:val="28"/>
        </w:rPr>
        <w:t xml:space="preserve">ue </w:t>
      </w:r>
      <w:r w:rsidR="001C383C">
        <w:rPr>
          <w:rFonts w:ascii="Arial Narrow" w:hAnsi="Arial Narrow" w:cs="Arial"/>
          <w:szCs w:val="28"/>
        </w:rPr>
        <w:t xml:space="preserve">el retroactivo pensional </w:t>
      </w:r>
      <w:r w:rsidR="00B13CBF">
        <w:rPr>
          <w:rFonts w:ascii="Arial Narrow" w:hAnsi="Arial Narrow" w:cs="Arial"/>
          <w:szCs w:val="28"/>
        </w:rPr>
        <w:t xml:space="preserve">en </w:t>
      </w:r>
      <w:r w:rsidR="001C383C">
        <w:rPr>
          <w:rFonts w:ascii="Arial Narrow" w:hAnsi="Arial Narrow" w:cs="Arial"/>
          <w:szCs w:val="28"/>
        </w:rPr>
        <w:t xml:space="preserve">favor de la promotora de este litigio, </w:t>
      </w:r>
      <w:r w:rsidR="00B13CBF">
        <w:rPr>
          <w:rFonts w:ascii="Arial Narrow" w:hAnsi="Arial Narrow" w:cs="Arial"/>
          <w:szCs w:val="28"/>
        </w:rPr>
        <w:t>es el causado entre el 10 de junio de 2016 y el 31 de marzo de 2018, en cuantía de $</w:t>
      </w:r>
      <w:r w:rsidR="00B13CBF" w:rsidRPr="002372C4">
        <w:rPr>
          <w:rFonts w:ascii="Arial Narrow" w:hAnsi="Arial Narrow" w:cs="Arial"/>
          <w:szCs w:val="28"/>
        </w:rPr>
        <w:t>17`215.265</w:t>
      </w:r>
      <w:r w:rsidR="00B13CBF">
        <w:rPr>
          <w:rFonts w:ascii="Arial Narrow" w:hAnsi="Arial Narrow" w:cs="Arial"/>
          <w:szCs w:val="28"/>
        </w:rPr>
        <w:t>, sin perjuicio de que se siga generando hasta su soluci</w:t>
      </w:r>
      <w:r w:rsidR="006D0511">
        <w:rPr>
          <w:rFonts w:ascii="Arial Narrow" w:hAnsi="Arial Narrow" w:cs="Arial"/>
          <w:szCs w:val="28"/>
        </w:rPr>
        <w:t xml:space="preserve">ón. </w:t>
      </w:r>
    </w:p>
    <w:p w:rsidR="006D0511" w:rsidRPr="006D0511" w:rsidRDefault="00B13CBF" w:rsidP="006D0511">
      <w:pPr>
        <w:pStyle w:val="Textoindependiente31"/>
        <w:numPr>
          <w:ilvl w:val="0"/>
          <w:numId w:val="1"/>
        </w:numPr>
        <w:ind w:left="0" w:firstLine="708"/>
        <w:rPr>
          <w:rFonts w:ascii="Arial Narrow" w:hAnsi="Arial Narrow" w:cs="Arial"/>
          <w:szCs w:val="28"/>
        </w:rPr>
      </w:pPr>
      <w:r w:rsidRPr="006D0511">
        <w:rPr>
          <w:rFonts w:ascii="Arial Narrow" w:hAnsi="Arial Narrow" w:cs="Arial"/>
          <w:szCs w:val="28"/>
        </w:rPr>
        <w:t xml:space="preserve"> </w:t>
      </w:r>
      <w:r w:rsidR="006D0511" w:rsidRPr="006D0511">
        <w:rPr>
          <w:rFonts w:ascii="Arial Narrow" w:hAnsi="Arial Narrow" w:cs="Arial"/>
          <w:b/>
          <w:szCs w:val="28"/>
        </w:rPr>
        <w:t>Revocar</w:t>
      </w:r>
      <w:r w:rsidR="006D0511" w:rsidRPr="006D0511">
        <w:rPr>
          <w:rFonts w:ascii="Arial Narrow" w:hAnsi="Arial Narrow" w:cs="Arial"/>
          <w:szCs w:val="28"/>
        </w:rPr>
        <w:t xml:space="preserve"> el ordinal 4º y 5º </w:t>
      </w:r>
      <w:r w:rsidR="006D0511" w:rsidRPr="006D0511">
        <w:rPr>
          <w:rFonts w:ascii="Arial Narrow" w:hAnsi="Arial Narrow" w:cs="Arial"/>
          <w:spacing w:val="-2"/>
          <w:szCs w:val="28"/>
        </w:rPr>
        <w:t xml:space="preserve">de la sentencia referida, y en su lugar, absolver a la Administradora Colombiana de Pensiones </w:t>
      </w:r>
      <w:proofErr w:type="spellStart"/>
      <w:r w:rsidR="006D0511" w:rsidRPr="006D0511">
        <w:rPr>
          <w:rFonts w:ascii="Arial Narrow" w:hAnsi="Arial Narrow" w:cs="Arial"/>
          <w:spacing w:val="-2"/>
          <w:szCs w:val="28"/>
        </w:rPr>
        <w:t>Colpensiones</w:t>
      </w:r>
      <w:proofErr w:type="spellEnd"/>
      <w:r w:rsidR="006D0511" w:rsidRPr="006D0511">
        <w:rPr>
          <w:rFonts w:ascii="Arial Narrow" w:hAnsi="Arial Narrow" w:cs="Arial"/>
          <w:spacing w:val="-2"/>
          <w:szCs w:val="28"/>
        </w:rPr>
        <w:t xml:space="preserve"> del pago de los intereses moratorios peticionados y las costas procesales de primera instancia.</w:t>
      </w:r>
    </w:p>
    <w:p w:rsidR="006D0511" w:rsidRDefault="006D0511" w:rsidP="006D0511">
      <w:pPr>
        <w:pStyle w:val="Sinespaciado"/>
      </w:pPr>
    </w:p>
    <w:p w:rsidR="006D0511" w:rsidRDefault="006D0511" w:rsidP="006D0511">
      <w:pPr>
        <w:pStyle w:val="Textoindependiente31"/>
        <w:numPr>
          <w:ilvl w:val="0"/>
          <w:numId w:val="1"/>
        </w:numPr>
        <w:ind w:left="0" w:firstLine="708"/>
        <w:rPr>
          <w:rFonts w:ascii="Arial Narrow" w:hAnsi="Arial Narrow" w:cs="Arial"/>
          <w:szCs w:val="28"/>
        </w:rPr>
      </w:pPr>
      <w:r w:rsidRPr="006D0511">
        <w:rPr>
          <w:rFonts w:ascii="Arial Narrow" w:hAnsi="Arial Narrow" w:cs="Arial"/>
          <w:szCs w:val="28"/>
        </w:rPr>
        <w:t>Confirma todo lo demás.</w:t>
      </w:r>
    </w:p>
    <w:p w:rsidR="006D0511" w:rsidRDefault="006D0511" w:rsidP="006D0511">
      <w:pPr>
        <w:pStyle w:val="Sinespaciado"/>
      </w:pPr>
    </w:p>
    <w:p w:rsidR="001C36EE" w:rsidRPr="006D0511" w:rsidRDefault="006D0511" w:rsidP="006D0511">
      <w:pPr>
        <w:pStyle w:val="Textoindependiente31"/>
        <w:numPr>
          <w:ilvl w:val="0"/>
          <w:numId w:val="1"/>
        </w:numPr>
        <w:ind w:left="0" w:firstLine="708"/>
        <w:rPr>
          <w:rFonts w:ascii="Arial Narrow" w:hAnsi="Arial Narrow" w:cs="Arial"/>
          <w:szCs w:val="28"/>
        </w:rPr>
      </w:pPr>
      <w:r w:rsidRPr="006D0511">
        <w:rPr>
          <w:rFonts w:ascii="Arial Narrow" w:hAnsi="Arial Narrow" w:cs="Arial"/>
          <w:szCs w:val="28"/>
        </w:rPr>
        <w:t xml:space="preserve">Sin costas en esta instancia. </w:t>
      </w:r>
    </w:p>
    <w:p w:rsidR="006D0511" w:rsidRDefault="006D0511" w:rsidP="006D0511">
      <w:pPr>
        <w:pStyle w:val="Prrafodelista"/>
      </w:pPr>
    </w:p>
    <w:p w:rsidR="001C36EE" w:rsidRPr="00E80808" w:rsidRDefault="001C36EE" w:rsidP="001C36EE">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1C36EE" w:rsidRPr="00E80808" w:rsidRDefault="001C36EE" w:rsidP="001C36EE">
      <w:pPr>
        <w:pStyle w:val="Sinespaciado"/>
        <w:rPr>
          <w:lang w:val="es-ES"/>
        </w:rPr>
      </w:pPr>
    </w:p>
    <w:p w:rsidR="001C36EE" w:rsidRPr="00E80808" w:rsidRDefault="001C36EE" w:rsidP="001C36EE">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1C36EE" w:rsidRPr="00E80808" w:rsidRDefault="001C36EE" w:rsidP="001C36EE">
      <w:pPr>
        <w:pStyle w:val="Sinespaciado"/>
        <w:rPr>
          <w:lang w:val="es-ES"/>
        </w:rPr>
      </w:pPr>
    </w:p>
    <w:p w:rsidR="001C36EE" w:rsidRPr="00E80808" w:rsidRDefault="001C36EE" w:rsidP="001C36EE">
      <w:pPr>
        <w:pStyle w:val="Sinespaciado"/>
        <w:rPr>
          <w:lang w:val="es-ES"/>
        </w:rPr>
      </w:pPr>
    </w:p>
    <w:p w:rsidR="001C36EE" w:rsidRDefault="001C36EE" w:rsidP="001C36EE">
      <w:pPr>
        <w:ind w:firstLine="900"/>
        <w:jc w:val="center"/>
        <w:rPr>
          <w:rFonts w:ascii="Arial Narrow" w:hAnsi="Arial Narrow" w:cs="Microsoft Sans Serif"/>
          <w:b/>
          <w:bCs/>
          <w:iCs/>
          <w:sz w:val="28"/>
          <w:szCs w:val="28"/>
          <w:lang w:val="es-ES"/>
        </w:rPr>
      </w:pPr>
    </w:p>
    <w:p w:rsidR="001C36EE" w:rsidRDefault="001C36EE" w:rsidP="001C36EE">
      <w:pPr>
        <w:ind w:firstLine="900"/>
        <w:jc w:val="center"/>
        <w:rPr>
          <w:rFonts w:ascii="Arial Narrow" w:hAnsi="Arial Narrow" w:cs="Microsoft Sans Serif"/>
          <w:b/>
          <w:bCs/>
          <w:iCs/>
          <w:sz w:val="28"/>
          <w:szCs w:val="28"/>
          <w:lang w:val="es-ES"/>
        </w:rPr>
      </w:pPr>
    </w:p>
    <w:p w:rsidR="001C36EE" w:rsidRPr="00E80808" w:rsidRDefault="001C36EE" w:rsidP="001C36EE">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1C36EE" w:rsidRPr="00E80808" w:rsidRDefault="001C36EE" w:rsidP="001C36EE">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1C36EE" w:rsidRPr="00E80808" w:rsidRDefault="001C36EE" w:rsidP="001C36EE">
      <w:pPr>
        <w:ind w:firstLine="900"/>
        <w:jc w:val="both"/>
        <w:rPr>
          <w:rFonts w:ascii="Arial Narrow" w:hAnsi="Arial Narrow" w:cs="Microsoft Sans Serif"/>
          <w:b/>
          <w:sz w:val="28"/>
          <w:szCs w:val="28"/>
          <w:lang w:val="es-ES"/>
        </w:rPr>
      </w:pPr>
    </w:p>
    <w:p w:rsidR="001C36EE" w:rsidRDefault="001C36EE" w:rsidP="001C36EE">
      <w:pPr>
        <w:pStyle w:val="Sinespaciado"/>
        <w:rPr>
          <w:lang w:val="es-ES"/>
        </w:rPr>
      </w:pPr>
    </w:p>
    <w:p w:rsidR="001C36EE" w:rsidRPr="00E80808" w:rsidRDefault="001C36EE" w:rsidP="001C36EE">
      <w:pPr>
        <w:spacing w:line="360" w:lineRule="auto"/>
        <w:jc w:val="both"/>
        <w:rPr>
          <w:rFonts w:ascii="Arial Narrow" w:hAnsi="Arial Narrow" w:cs="Microsoft Sans Serif"/>
          <w:b/>
          <w:bCs/>
          <w:iCs/>
          <w:sz w:val="28"/>
          <w:szCs w:val="28"/>
          <w:lang w:val="es-ES"/>
        </w:rPr>
      </w:pPr>
    </w:p>
    <w:p w:rsidR="001C36EE" w:rsidRPr="00E80808" w:rsidRDefault="001C36EE" w:rsidP="001C36EE">
      <w:pPr>
        <w:jc w:val="both"/>
        <w:rPr>
          <w:rFonts w:ascii="Arial Narrow" w:hAnsi="Arial Narrow" w:cs="Microsoft Sans Serif"/>
          <w:b/>
          <w:bCs/>
          <w:iCs/>
          <w:sz w:val="28"/>
          <w:szCs w:val="28"/>
          <w:lang w:val="es-ES"/>
        </w:rPr>
      </w:pPr>
    </w:p>
    <w:p w:rsidR="001C36EE" w:rsidRPr="00E80808" w:rsidRDefault="001C36EE" w:rsidP="001C36EE">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SEPÚLVEDA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t xml:space="preserve">ANA LUCIA CAICEDO </w:t>
      </w:r>
      <w:proofErr w:type="spellStart"/>
      <w:r>
        <w:rPr>
          <w:rFonts w:ascii="Arial Narrow" w:hAnsi="Arial Narrow" w:cs="Microsoft Sans Serif"/>
          <w:b/>
          <w:bCs/>
          <w:iCs/>
          <w:sz w:val="28"/>
          <w:szCs w:val="28"/>
          <w:lang w:val="es-ES"/>
        </w:rPr>
        <w:t>CALDERON</w:t>
      </w:r>
      <w:proofErr w:type="spellEnd"/>
      <w:r>
        <w:rPr>
          <w:rFonts w:ascii="Arial Narrow" w:hAnsi="Arial Narrow" w:cs="Microsoft Sans Serif"/>
          <w:b/>
          <w:bCs/>
          <w:iCs/>
          <w:sz w:val="28"/>
          <w:szCs w:val="28"/>
          <w:lang w:val="es-ES"/>
        </w:rPr>
        <w:t xml:space="preserve"> </w:t>
      </w:r>
      <w:r w:rsidRPr="00E80808">
        <w:rPr>
          <w:rFonts w:ascii="Arial Narrow" w:hAnsi="Arial Narrow" w:cs="Microsoft Sans Serif"/>
          <w:b/>
          <w:bCs/>
          <w:iCs/>
          <w:sz w:val="28"/>
          <w:szCs w:val="28"/>
          <w:lang w:val="es-ES"/>
        </w:rPr>
        <w:t xml:space="preserve">                 </w:t>
      </w:r>
    </w:p>
    <w:p w:rsidR="001C36EE" w:rsidRDefault="001C36EE" w:rsidP="001C36EE">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1C36EE" w:rsidRDefault="001C36EE" w:rsidP="001C36EE">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6D0511">
        <w:rPr>
          <w:rFonts w:ascii="Arial Narrow" w:hAnsi="Arial Narrow" w:cs="Microsoft Sans Serif"/>
          <w:bCs/>
          <w:iCs/>
          <w:sz w:val="28"/>
          <w:szCs w:val="28"/>
          <w:lang w:val="es-ES"/>
        </w:rPr>
        <w:t xml:space="preserve">         -Salva voto - </w:t>
      </w:r>
    </w:p>
    <w:p w:rsidR="001C36EE" w:rsidRDefault="001C36EE" w:rsidP="001C36EE">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1C36EE" w:rsidRPr="00E80808" w:rsidRDefault="001C36EE" w:rsidP="001C36EE">
      <w:pPr>
        <w:pStyle w:val="Sinespaciado"/>
        <w:rPr>
          <w:lang w:val="es-ES"/>
        </w:rPr>
      </w:pPr>
    </w:p>
    <w:p w:rsidR="001C36EE" w:rsidRDefault="001C36EE" w:rsidP="001C36EE">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1C36EE" w:rsidRDefault="001C36EE" w:rsidP="001C36EE">
      <w:pPr>
        <w:pStyle w:val="Sinespaciado"/>
        <w:rPr>
          <w:lang w:val="es-ES"/>
        </w:rPr>
      </w:pPr>
    </w:p>
    <w:p w:rsidR="001C36EE" w:rsidRPr="00E80808" w:rsidRDefault="001C36EE" w:rsidP="001C36EE">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1C36EE" w:rsidRDefault="001C36EE" w:rsidP="001C36EE">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Pr="00E80808">
        <w:rPr>
          <w:rFonts w:ascii="Arial Narrow" w:hAnsi="Arial Narrow" w:cs="Microsoft Sans Serif"/>
          <w:iCs/>
          <w:sz w:val="28"/>
          <w:szCs w:val="28"/>
          <w:lang w:val="es-ES"/>
        </w:rPr>
        <w:t>Secretari</w:t>
      </w:r>
      <w:r>
        <w:rPr>
          <w:rFonts w:ascii="Arial Narrow" w:hAnsi="Arial Narrow" w:cs="Microsoft Sans Serif"/>
          <w:iCs/>
          <w:sz w:val="28"/>
          <w:szCs w:val="28"/>
          <w:lang w:val="es-ES"/>
        </w:rPr>
        <w:t>o</w:t>
      </w:r>
    </w:p>
    <w:p w:rsidR="001C36EE" w:rsidRDefault="001C36EE" w:rsidP="001C36EE">
      <w:pPr>
        <w:ind w:firstLine="900"/>
        <w:rPr>
          <w:rFonts w:ascii="Arial Narrow" w:hAnsi="Arial Narrow" w:cs="Microsoft Sans Serif"/>
          <w:iCs/>
          <w:sz w:val="28"/>
          <w:szCs w:val="28"/>
          <w:lang w:val="es-ES"/>
        </w:rPr>
      </w:pPr>
    </w:p>
    <w:p w:rsidR="001C36EE" w:rsidRDefault="001C36EE" w:rsidP="001C36EE">
      <w:pPr>
        <w:spacing w:line="360" w:lineRule="auto"/>
        <w:ind w:firstLine="851"/>
        <w:jc w:val="center"/>
        <w:rPr>
          <w:rFonts w:ascii="Arial Narrow" w:hAnsi="Arial Narrow" w:cs="Arial"/>
          <w:b/>
          <w:sz w:val="28"/>
          <w:szCs w:val="28"/>
          <w:lang w:val="es-ES"/>
        </w:rPr>
      </w:pPr>
    </w:p>
    <w:p w:rsidR="001C36EE" w:rsidRDefault="001C36EE" w:rsidP="001C36EE">
      <w:pPr>
        <w:spacing w:line="360" w:lineRule="auto"/>
        <w:ind w:firstLine="851"/>
        <w:jc w:val="center"/>
        <w:rPr>
          <w:rFonts w:ascii="Arial Narrow" w:hAnsi="Arial Narrow" w:cs="Arial"/>
          <w:b/>
          <w:sz w:val="28"/>
          <w:szCs w:val="28"/>
          <w:lang w:val="es-ES"/>
        </w:rPr>
      </w:pPr>
    </w:p>
    <w:p w:rsidR="001C36EE" w:rsidRDefault="001C36EE" w:rsidP="001C36EE">
      <w:pPr>
        <w:spacing w:line="360" w:lineRule="auto"/>
        <w:ind w:firstLine="851"/>
        <w:jc w:val="center"/>
        <w:rPr>
          <w:rFonts w:ascii="Arial Narrow" w:hAnsi="Arial Narrow" w:cs="Arial"/>
          <w:b/>
          <w:sz w:val="28"/>
          <w:szCs w:val="28"/>
          <w:lang w:val="es-ES"/>
        </w:rPr>
      </w:pPr>
    </w:p>
    <w:p w:rsidR="001C36EE" w:rsidRDefault="001C36EE" w:rsidP="001C36EE"/>
    <w:p w:rsidR="001C36EE" w:rsidRDefault="001C36EE" w:rsidP="001C36EE"/>
    <w:p w:rsidR="001C36EE" w:rsidRDefault="001C36EE" w:rsidP="001C36EE"/>
    <w:p w:rsidR="001C36EE" w:rsidRDefault="001C36EE" w:rsidP="001C36EE"/>
    <w:p w:rsidR="001C36EE" w:rsidRDefault="001C36EE" w:rsidP="001C36EE"/>
    <w:p w:rsidR="001C36EE" w:rsidRDefault="001C36EE" w:rsidP="001C36EE"/>
    <w:p w:rsidR="001C36EE" w:rsidRDefault="001C36EE" w:rsidP="001C36EE"/>
    <w:p w:rsidR="001C36EE" w:rsidRDefault="001C36EE" w:rsidP="001C36EE"/>
    <w:p w:rsidR="001C36EE" w:rsidRDefault="001C36EE" w:rsidP="001C36EE"/>
    <w:p w:rsidR="001C36EE" w:rsidRDefault="001C36EE" w:rsidP="001C36EE"/>
    <w:p w:rsidR="001C36EE" w:rsidRDefault="001C36EE" w:rsidP="001C36EE"/>
    <w:p w:rsidR="001C36EE" w:rsidRDefault="001C36EE" w:rsidP="001C36EE"/>
    <w:p w:rsidR="001C36EE" w:rsidRDefault="001C36EE" w:rsidP="001C36EE">
      <w:pPr>
        <w:jc w:val="center"/>
        <w:rPr>
          <w:rFonts w:ascii="Arial Narrow" w:hAnsi="Arial Narrow"/>
          <w:sz w:val="28"/>
          <w:szCs w:val="28"/>
        </w:rPr>
      </w:pPr>
      <w:r w:rsidRPr="00053D6A">
        <w:rPr>
          <w:rFonts w:ascii="Arial Narrow" w:hAnsi="Arial Narrow"/>
          <w:sz w:val="28"/>
          <w:szCs w:val="28"/>
        </w:rPr>
        <w:t>ANEXO</w:t>
      </w:r>
    </w:p>
    <w:p w:rsidR="001C36EE" w:rsidRPr="00053D6A" w:rsidRDefault="001C36EE" w:rsidP="001C36EE">
      <w:pPr>
        <w:jc w:val="center"/>
        <w:rPr>
          <w:rFonts w:ascii="Arial Narrow" w:hAnsi="Arial Narrow"/>
          <w:sz w:val="28"/>
          <w:szCs w:val="28"/>
        </w:rPr>
      </w:pPr>
    </w:p>
    <w:p w:rsidR="001C36EE" w:rsidRPr="00053D6A" w:rsidRDefault="001C36EE" w:rsidP="001C36EE">
      <w:pPr>
        <w:jc w:val="center"/>
        <w:rPr>
          <w:rFonts w:ascii="Arial Narrow" w:hAnsi="Arial Narrow"/>
        </w:rPr>
      </w:pPr>
    </w:p>
    <w:tbl>
      <w:tblPr>
        <w:tblW w:w="5120" w:type="dxa"/>
        <w:tblInd w:w="1850" w:type="dxa"/>
        <w:tblCellMar>
          <w:left w:w="70" w:type="dxa"/>
          <w:right w:w="70" w:type="dxa"/>
        </w:tblCellMar>
        <w:tblLook w:val="04A0" w:firstRow="1" w:lastRow="0" w:firstColumn="1" w:lastColumn="0" w:noHBand="0" w:noVBand="1"/>
      </w:tblPr>
      <w:tblGrid>
        <w:gridCol w:w="1200"/>
        <w:gridCol w:w="1220"/>
        <w:gridCol w:w="1200"/>
        <w:gridCol w:w="1500"/>
      </w:tblGrid>
      <w:tr w:rsidR="006D0511" w:rsidRPr="006D0511" w:rsidTr="006D0511">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511" w:rsidRPr="006D0511" w:rsidRDefault="006D0511" w:rsidP="006D0511">
            <w:pPr>
              <w:jc w:val="center"/>
              <w:rPr>
                <w:rFonts w:ascii="Arial Narrow" w:hAnsi="Arial Narrow"/>
                <w:b/>
                <w:bCs/>
                <w:color w:val="000000"/>
                <w:sz w:val="22"/>
                <w:szCs w:val="22"/>
                <w:lang w:val="es-ES"/>
              </w:rPr>
            </w:pPr>
            <w:r w:rsidRPr="006D0511">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D0511" w:rsidRPr="006D0511" w:rsidRDefault="006D0511" w:rsidP="006D0511">
            <w:pPr>
              <w:jc w:val="center"/>
              <w:rPr>
                <w:rFonts w:ascii="Arial Narrow" w:hAnsi="Arial Narrow"/>
                <w:b/>
                <w:bCs/>
                <w:color w:val="000000"/>
                <w:sz w:val="22"/>
                <w:szCs w:val="22"/>
                <w:lang w:val="es-ES"/>
              </w:rPr>
            </w:pPr>
            <w:r w:rsidRPr="006D0511">
              <w:rPr>
                <w:rFonts w:ascii="Arial Narrow" w:hAnsi="Arial Narrow"/>
                <w:b/>
                <w:bCs/>
                <w:color w:val="000000"/>
                <w:sz w:val="22"/>
                <w:szCs w:val="22"/>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D0511" w:rsidRPr="006D0511" w:rsidRDefault="006D0511" w:rsidP="006D0511">
            <w:pPr>
              <w:jc w:val="center"/>
              <w:rPr>
                <w:rFonts w:ascii="Arial Narrow" w:hAnsi="Arial Narrow"/>
                <w:b/>
                <w:bCs/>
                <w:color w:val="000000"/>
                <w:sz w:val="22"/>
                <w:szCs w:val="22"/>
                <w:lang w:val="es-ES"/>
              </w:rPr>
            </w:pPr>
            <w:r w:rsidRPr="006D0511">
              <w:rPr>
                <w:rFonts w:ascii="Arial Narrow" w:hAnsi="Arial Narrow"/>
                <w:b/>
                <w:bCs/>
                <w:color w:val="000000"/>
                <w:sz w:val="22"/>
                <w:szCs w:val="22"/>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D0511" w:rsidRPr="006D0511" w:rsidRDefault="006D0511" w:rsidP="006D0511">
            <w:pPr>
              <w:jc w:val="center"/>
              <w:rPr>
                <w:rFonts w:ascii="Arial Narrow" w:hAnsi="Arial Narrow"/>
                <w:b/>
                <w:bCs/>
                <w:color w:val="000000"/>
                <w:sz w:val="22"/>
                <w:szCs w:val="22"/>
                <w:lang w:val="es-ES"/>
              </w:rPr>
            </w:pPr>
            <w:r w:rsidRPr="006D0511">
              <w:rPr>
                <w:rFonts w:ascii="Arial Narrow" w:hAnsi="Arial Narrow"/>
                <w:b/>
                <w:bCs/>
                <w:color w:val="000000"/>
                <w:sz w:val="22"/>
                <w:szCs w:val="22"/>
                <w:lang w:val="es-ES"/>
              </w:rPr>
              <w:t xml:space="preserve">TOTAL </w:t>
            </w:r>
          </w:p>
        </w:tc>
      </w:tr>
      <w:tr w:rsidR="006D0511" w:rsidRPr="006D0511" w:rsidTr="006D0511">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D0511" w:rsidRPr="006D0511" w:rsidRDefault="006D0511" w:rsidP="006D0511">
            <w:pPr>
              <w:jc w:val="center"/>
              <w:rPr>
                <w:rFonts w:ascii="Arial Narrow" w:hAnsi="Arial Narrow"/>
                <w:color w:val="000000"/>
                <w:sz w:val="22"/>
                <w:szCs w:val="22"/>
                <w:lang w:val="es-ES"/>
              </w:rPr>
            </w:pPr>
            <w:r w:rsidRPr="006D0511">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6D0511" w:rsidRPr="006D0511" w:rsidRDefault="006D0511" w:rsidP="006D0511">
            <w:pPr>
              <w:jc w:val="center"/>
              <w:rPr>
                <w:rFonts w:ascii="Arial Narrow" w:hAnsi="Arial Narrow"/>
                <w:color w:val="000000"/>
                <w:sz w:val="22"/>
                <w:szCs w:val="22"/>
                <w:lang w:val="es-ES"/>
              </w:rPr>
            </w:pPr>
            <w:r w:rsidRPr="006D0511">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6D0511" w:rsidRPr="006D0511" w:rsidRDefault="006D0511" w:rsidP="006D0511">
            <w:pPr>
              <w:jc w:val="center"/>
              <w:rPr>
                <w:rFonts w:ascii="Arial Narrow" w:hAnsi="Arial Narrow"/>
                <w:color w:val="000000"/>
                <w:sz w:val="22"/>
                <w:szCs w:val="22"/>
                <w:lang w:val="es-ES"/>
              </w:rPr>
            </w:pPr>
            <w:r w:rsidRPr="006D0511">
              <w:rPr>
                <w:rFonts w:ascii="Arial Narrow" w:hAnsi="Arial Narrow"/>
                <w:color w:val="000000"/>
                <w:sz w:val="22"/>
                <w:szCs w:val="22"/>
                <w:lang w:val="es-ES"/>
              </w:rPr>
              <w:t>7,66</w:t>
            </w:r>
          </w:p>
        </w:tc>
        <w:tc>
          <w:tcPr>
            <w:tcW w:w="1500" w:type="dxa"/>
            <w:tcBorders>
              <w:top w:val="nil"/>
              <w:left w:val="nil"/>
              <w:bottom w:val="single" w:sz="4" w:space="0" w:color="auto"/>
              <w:right w:val="single" w:sz="4" w:space="0" w:color="auto"/>
            </w:tcBorders>
            <w:shd w:val="clear" w:color="auto" w:fill="auto"/>
            <w:vAlign w:val="center"/>
            <w:hideMark/>
          </w:tcPr>
          <w:p w:rsidR="006D0511" w:rsidRPr="006D0511" w:rsidRDefault="006D0511" w:rsidP="006D0511">
            <w:pPr>
              <w:jc w:val="center"/>
              <w:rPr>
                <w:rFonts w:ascii="Arial Narrow" w:hAnsi="Arial Narrow"/>
                <w:color w:val="000000"/>
                <w:sz w:val="22"/>
                <w:szCs w:val="22"/>
                <w:lang w:val="es-ES"/>
              </w:rPr>
            </w:pPr>
            <w:r w:rsidRPr="006D0511">
              <w:rPr>
                <w:rFonts w:ascii="Arial Narrow" w:hAnsi="Arial Narrow"/>
                <w:color w:val="000000"/>
                <w:sz w:val="22"/>
                <w:szCs w:val="22"/>
                <w:lang w:val="es-ES"/>
              </w:rPr>
              <w:t>$5.281.218</w:t>
            </w:r>
          </w:p>
        </w:tc>
      </w:tr>
      <w:tr w:rsidR="006D0511" w:rsidRPr="006D0511" w:rsidTr="006D0511">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D0511" w:rsidRPr="006D0511" w:rsidRDefault="006D0511" w:rsidP="006D0511">
            <w:pPr>
              <w:jc w:val="center"/>
              <w:rPr>
                <w:rFonts w:ascii="Arial Narrow" w:hAnsi="Arial Narrow"/>
                <w:color w:val="000000"/>
                <w:sz w:val="22"/>
                <w:szCs w:val="22"/>
                <w:lang w:val="es-ES"/>
              </w:rPr>
            </w:pPr>
            <w:r w:rsidRPr="006D0511">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6D0511" w:rsidRPr="006D0511" w:rsidRDefault="006D0511" w:rsidP="006D0511">
            <w:pPr>
              <w:jc w:val="center"/>
              <w:rPr>
                <w:rFonts w:ascii="Arial Narrow" w:hAnsi="Arial Narrow"/>
                <w:color w:val="000000"/>
                <w:sz w:val="22"/>
                <w:szCs w:val="22"/>
                <w:lang w:val="es-ES"/>
              </w:rPr>
            </w:pPr>
            <w:r w:rsidRPr="006D0511">
              <w:rPr>
                <w:rFonts w:ascii="Arial Narrow" w:hAnsi="Arial Narrow"/>
                <w:color w:val="000000"/>
                <w:sz w:val="22"/>
                <w:szCs w:val="22"/>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6D0511" w:rsidRPr="006D0511" w:rsidRDefault="006D0511" w:rsidP="006D0511">
            <w:pPr>
              <w:jc w:val="center"/>
              <w:rPr>
                <w:rFonts w:ascii="Arial Narrow" w:hAnsi="Arial Narrow"/>
                <w:color w:val="000000"/>
                <w:sz w:val="22"/>
                <w:szCs w:val="22"/>
                <w:lang w:val="es-ES"/>
              </w:rPr>
            </w:pPr>
            <w:r w:rsidRPr="006D0511">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6D0511" w:rsidRPr="006D0511" w:rsidRDefault="006D0511" w:rsidP="006D0511">
            <w:pPr>
              <w:jc w:val="center"/>
              <w:rPr>
                <w:rFonts w:ascii="Arial Narrow" w:hAnsi="Arial Narrow"/>
                <w:color w:val="000000"/>
                <w:sz w:val="22"/>
                <w:szCs w:val="22"/>
                <w:lang w:val="es-ES"/>
              </w:rPr>
            </w:pPr>
            <w:r w:rsidRPr="006D0511">
              <w:rPr>
                <w:rFonts w:ascii="Arial Narrow" w:hAnsi="Arial Narrow"/>
                <w:color w:val="000000"/>
                <w:sz w:val="22"/>
                <w:szCs w:val="22"/>
                <w:lang w:val="es-ES"/>
              </w:rPr>
              <w:t>$9.590.321</w:t>
            </w:r>
          </w:p>
        </w:tc>
      </w:tr>
      <w:tr w:rsidR="006D0511" w:rsidRPr="006D0511" w:rsidTr="006D0511">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D0511" w:rsidRPr="006D0511" w:rsidRDefault="006D0511" w:rsidP="006D0511">
            <w:pPr>
              <w:jc w:val="center"/>
              <w:rPr>
                <w:rFonts w:ascii="Arial Narrow" w:hAnsi="Arial Narrow"/>
                <w:color w:val="000000"/>
                <w:sz w:val="22"/>
                <w:szCs w:val="22"/>
                <w:lang w:val="es-ES"/>
              </w:rPr>
            </w:pPr>
            <w:r w:rsidRPr="006D0511">
              <w:rPr>
                <w:rFonts w:ascii="Arial Narrow" w:hAnsi="Arial Narrow"/>
                <w:color w:val="000000"/>
                <w:sz w:val="22"/>
                <w:szCs w:val="22"/>
                <w:lang w:val="es-ES"/>
              </w:rPr>
              <w:t>2018</w:t>
            </w:r>
          </w:p>
        </w:tc>
        <w:tc>
          <w:tcPr>
            <w:tcW w:w="1220" w:type="dxa"/>
            <w:tcBorders>
              <w:top w:val="nil"/>
              <w:left w:val="nil"/>
              <w:bottom w:val="single" w:sz="4" w:space="0" w:color="auto"/>
              <w:right w:val="single" w:sz="4" w:space="0" w:color="auto"/>
            </w:tcBorders>
            <w:shd w:val="clear" w:color="auto" w:fill="auto"/>
            <w:vAlign w:val="center"/>
            <w:hideMark/>
          </w:tcPr>
          <w:p w:rsidR="006D0511" w:rsidRPr="006D0511" w:rsidRDefault="006D0511" w:rsidP="006D0511">
            <w:pPr>
              <w:jc w:val="center"/>
              <w:rPr>
                <w:rFonts w:ascii="Arial Narrow" w:hAnsi="Arial Narrow"/>
                <w:color w:val="000000"/>
                <w:sz w:val="22"/>
                <w:szCs w:val="22"/>
                <w:lang w:val="es-ES"/>
              </w:rPr>
            </w:pPr>
            <w:r w:rsidRPr="006D0511">
              <w:rPr>
                <w:rFonts w:ascii="Arial Narrow" w:hAnsi="Arial Narrow"/>
                <w:color w:val="000000"/>
                <w:sz w:val="22"/>
                <w:szCs w:val="22"/>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rsidR="006D0511" w:rsidRPr="006D0511" w:rsidRDefault="006D0511" w:rsidP="006D0511">
            <w:pPr>
              <w:jc w:val="center"/>
              <w:rPr>
                <w:rFonts w:ascii="Arial Narrow" w:hAnsi="Arial Narrow"/>
                <w:color w:val="000000"/>
                <w:sz w:val="22"/>
                <w:szCs w:val="22"/>
                <w:lang w:val="es-ES"/>
              </w:rPr>
            </w:pPr>
            <w:r w:rsidRPr="006D0511">
              <w:rPr>
                <w:rFonts w:ascii="Arial Narrow" w:hAnsi="Arial Narrow"/>
                <w:color w:val="000000"/>
                <w:sz w:val="22"/>
                <w:szCs w:val="22"/>
                <w:lang w:val="es-ES"/>
              </w:rPr>
              <w:t>3</w:t>
            </w:r>
          </w:p>
        </w:tc>
        <w:tc>
          <w:tcPr>
            <w:tcW w:w="1500" w:type="dxa"/>
            <w:tcBorders>
              <w:top w:val="nil"/>
              <w:left w:val="nil"/>
              <w:bottom w:val="single" w:sz="4" w:space="0" w:color="auto"/>
              <w:right w:val="single" w:sz="4" w:space="0" w:color="auto"/>
            </w:tcBorders>
            <w:shd w:val="clear" w:color="auto" w:fill="auto"/>
            <w:vAlign w:val="center"/>
            <w:hideMark/>
          </w:tcPr>
          <w:p w:rsidR="006D0511" w:rsidRPr="006D0511" w:rsidRDefault="006D0511" w:rsidP="006D0511">
            <w:pPr>
              <w:jc w:val="center"/>
              <w:rPr>
                <w:rFonts w:ascii="Arial Narrow" w:hAnsi="Arial Narrow"/>
                <w:color w:val="000000"/>
                <w:sz w:val="22"/>
                <w:szCs w:val="22"/>
                <w:lang w:val="es-ES"/>
              </w:rPr>
            </w:pPr>
            <w:r w:rsidRPr="006D0511">
              <w:rPr>
                <w:rFonts w:ascii="Arial Narrow" w:hAnsi="Arial Narrow"/>
                <w:color w:val="000000"/>
                <w:sz w:val="22"/>
                <w:szCs w:val="22"/>
                <w:lang w:val="es-ES"/>
              </w:rPr>
              <w:t>$2.343.726</w:t>
            </w:r>
          </w:p>
        </w:tc>
      </w:tr>
      <w:tr w:rsidR="006D0511" w:rsidRPr="006D0511" w:rsidTr="006D0511">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0511" w:rsidRPr="006D0511" w:rsidRDefault="006D0511" w:rsidP="006D0511">
            <w:pPr>
              <w:jc w:val="center"/>
              <w:rPr>
                <w:rFonts w:ascii="Arial Narrow" w:hAnsi="Arial Narrow"/>
                <w:color w:val="000000"/>
                <w:sz w:val="22"/>
                <w:szCs w:val="22"/>
                <w:lang w:val="es-ES"/>
              </w:rPr>
            </w:pPr>
            <w:r w:rsidRPr="006D0511">
              <w:rPr>
                <w:rFonts w:ascii="Arial Narrow" w:hAnsi="Arial Narrow"/>
                <w:color w:val="000000"/>
                <w:sz w:val="22"/>
                <w:szCs w:val="22"/>
                <w:lang w:val="es-ES"/>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6D0511" w:rsidRPr="006D0511" w:rsidRDefault="006D0511" w:rsidP="006D0511">
            <w:pPr>
              <w:jc w:val="center"/>
              <w:rPr>
                <w:rFonts w:ascii="Arial Narrow" w:hAnsi="Arial Narrow"/>
                <w:b/>
                <w:bCs/>
                <w:color w:val="000000"/>
                <w:sz w:val="22"/>
                <w:szCs w:val="22"/>
                <w:lang w:val="es-ES"/>
              </w:rPr>
            </w:pPr>
            <w:r w:rsidRPr="006D0511">
              <w:rPr>
                <w:rFonts w:ascii="Arial Narrow" w:hAnsi="Arial Narrow"/>
                <w:b/>
                <w:bCs/>
                <w:color w:val="000000"/>
                <w:sz w:val="22"/>
                <w:szCs w:val="22"/>
                <w:lang w:val="es-ES"/>
              </w:rPr>
              <w:t>$17.215.265</w:t>
            </w:r>
          </w:p>
        </w:tc>
      </w:tr>
    </w:tbl>
    <w:p w:rsidR="001C36EE" w:rsidRDefault="001C36EE" w:rsidP="001C36EE"/>
    <w:p w:rsidR="00C35CA1" w:rsidRDefault="00C35CA1"/>
    <w:sectPr w:rsidR="00C35CA1"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FE5" w:rsidRDefault="00BA1FE5" w:rsidP="001C36EE">
      <w:r>
        <w:separator/>
      </w:r>
    </w:p>
  </w:endnote>
  <w:endnote w:type="continuationSeparator" w:id="0">
    <w:p w:rsidR="00BA1FE5" w:rsidRDefault="00BA1FE5" w:rsidP="001C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man 12cpi">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5A" w:rsidRDefault="0081671D"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275A" w:rsidRDefault="00BA1FE5"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5A" w:rsidRDefault="0081671D"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6FC4">
      <w:rPr>
        <w:rStyle w:val="Nmerodepgina"/>
        <w:noProof/>
      </w:rPr>
      <w:t>11</w:t>
    </w:r>
    <w:r>
      <w:rPr>
        <w:rStyle w:val="Nmerodepgina"/>
      </w:rPr>
      <w:fldChar w:fldCharType="end"/>
    </w:r>
  </w:p>
  <w:p w:rsidR="0048275A" w:rsidRDefault="00BA1FE5"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FE5" w:rsidRDefault="00BA1FE5" w:rsidP="001C36EE">
      <w:r>
        <w:separator/>
      </w:r>
    </w:p>
  </w:footnote>
  <w:footnote w:type="continuationSeparator" w:id="0">
    <w:p w:rsidR="00BA1FE5" w:rsidRDefault="00BA1FE5" w:rsidP="001C36EE">
      <w:r>
        <w:continuationSeparator/>
      </w:r>
    </w:p>
  </w:footnote>
  <w:footnote w:id="1">
    <w:p w:rsidR="00574F37" w:rsidRPr="00574F37" w:rsidRDefault="00574F37" w:rsidP="00574F37">
      <w:pPr>
        <w:pStyle w:val="Textonotapie"/>
        <w:jc w:val="both"/>
        <w:rPr>
          <w:rFonts w:ascii="Arial Narrow" w:hAnsi="Arial Narrow"/>
          <w:sz w:val="18"/>
          <w:szCs w:val="18"/>
          <w:lang w:val="es-CO"/>
        </w:rPr>
      </w:pPr>
      <w:r>
        <w:rPr>
          <w:rStyle w:val="Refdenotaalpie"/>
        </w:rPr>
        <w:footnoteRef/>
      </w:r>
      <w:r>
        <w:t xml:space="preserve"> i</w:t>
      </w:r>
      <w:r w:rsidRPr="00574F37">
        <w:rPr>
          <w:rFonts w:ascii="Arial Narrow" w:hAnsi="Arial Narrow"/>
          <w:sz w:val="18"/>
          <w:szCs w:val="18"/>
        </w:rPr>
        <w:t xml:space="preserve">. Debe establecerse que el accionante pertenece a un grupo de especial protección constitucional o se encuentra en uno o varios supuestos de riesgo tales como analfabetismo, vejez, enfermedad, pobreza extrema, cabeza de familia o desplazamiento. ii. Debe establecerse que la carencia del reconocimiento de la pensión de sobrevivientes que solicita el accionante afecta directamente la satisfacción de sus necesidades básicas, esto es, su mínimo vital y, en consecuencia, una vida en condiciones dignas. iii. Debe establecerse que el accionante dependía económicamente del causante antes del fallecimiento de este, de tal manera que la pensión de sobreviviente sustituye el ingreso que aportaba el causante al </w:t>
      </w:r>
      <w:proofErr w:type="spellStart"/>
      <w:r w:rsidRPr="00574F37">
        <w:rPr>
          <w:rFonts w:ascii="Arial Narrow" w:hAnsi="Arial Narrow"/>
          <w:sz w:val="18"/>
          <w:szCs w:val="18"/>
        </w:rPr>
        <w:t>tutelante</w:t>
      </w:r>
      <w:proofErr w:type="spellEnd"/>
      <w:r w:rsidRPr="00574F37">
        <w:rPr>
          <w:rFonts w:ascii="Arial Narrow" w:hAnsi="Arial Narrow"/>
          <w:sz w:val="18"/>
          <w:szCs w:val="18"/>
        </w:rPr>
        <w:t>-beneficiario. iv. Debe establecerse que el causante se encontraba en circunstancias en las cuales no le fue posible cotizar las semanas previstas en el Sistema General de Pensiones para adquirir la pensión de sobrevivientes. v. Debe establecerse que el accionante tuvo una actuación diligente en adelantar las solicitudes administrativas o judiciales para solicitar el reconocimiento de la pensión de sobrevivientes.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B0" w:rsidRPr="00C118B0" w:rsidRDefault="0081671D" w:rsidP="00FB2365">
    <w:pPr>
      <w:jc w:val="both"/>
      <w:rPr>
        <w:rFonts w:ascii="Arial Narrow" w:hAnsi="Arial Narrow" w:cs="Arial"/>
        <w:bCs/>
        <w:sz w:val="16"/>
        <w:szCs w:val="16"/>
      </w:rPr>
    </w:pPr>
    <w:r w:rsidRPr="00C118B0">
      <w:rPr>
        <w:rFonts w:ascii="Arial Narrow" w:hAnsi="Arial Narrow" w:cs="Arial"/>
        <w:bCs/>
        <w:sz w:val="16"/>
        <w:szCs w:val="16"/>
      </w:rPr>
      <w:t>Radicación No: 66001-31-05-00</w:t>
    </w:r>
    <w:r w:rsidR="00975368">
      <w:rPr>
        <w:rFonts w:ascii="Arial Narrow" w:hAnsi="Arial Narrow" w:cs="Arial"/>
        <w:bCs/>
        <w:sz w:val="16"/>
        <w:szCs w:val="16"/>
      </w:rPr>
      <w:t>5</w:t>
    </w:r>
    <w:r w:rsidRPr="00C118B0">
      <w:rPr>
        <w:rFonts w:ascii="Arial Narrow" w:hAnsi="Arial Narrow" w:cs="Arial"/>
        <w:bCs/>
        <w:sz w:val="16"/>
        <w:szCs w:val="16"/>
      </w:rPr>
      <w:t>-201</w:t>
    </w:r>
    <w:r w:rsidR="00975368">
      <w:rPr>
        <w:rFonts w:ascii="Arial Narrow" w:hAnsi="Arial Narrow" w:cs="Arial"/>
        <w:bCs/>
        <w:sz w:val="16"/>
        <w:szCs w:val="16"/>
      </w:rPr>
      <w:t>6-00480-01</w:t>
    </w:r>
  </w:p>
  <w:p w:rsidR="0048275A" w:rsidRPr="00C118B0" w:rsidRDefault="00975368" w:rsidP="00FB2365">
    <w:pPr>
      <w:jc w:val="both"/>
      <w:rPr>
        <w:rFonts w:ascii="Arial Narrow" w:hAnsi="Arial Narrow" w:cs="Arial"/>
        <w:bCs/>
        <w:sz w:val="16"/>
        <w:szCs w:val="16"/>
      </w:rPr>
    </w:pPr>
    <w:r>
      <w:rPr>
        <w:rFonts w:ascii="Arial Narrow" w:hAnsi="Arial Narrow" w:cs="Arial"/>
        <w:bCs/>
        <w:sz w:val="16"/>
        <w:szCs w:val="16"/>
      </w:rPr>
      <w:t xml:space="preserve">Alba Inés Marín Gutiérrez </w:t>
    </w:r>
    <w:r w:rsidR="0081671D" w:rsidRPr="00C118B0">
      <w:rPr>
        <w:rFonts w:ascii="Arial Narrow" w:hAnsi="Arial Narrow" w:cs="Arial"/>
        <w:bCs/>
        <w:sz w:val="16"/>
        <w:szCs w:val="16"/>
      </w:rPr>
      <w:t xml:space="preserve">vs </w:t>
    </w:r>
    <w:proofErr w:type="spellStart"/>
    <w:r w:rsidR="0081671D" w:rsidRPr="00C118B0">
      <w:rPr>
        <w:rFonts w:ascii="Arial Narrow" w:hAnsi="Arial Narrow" w:cs="Arial"/>
        <w:bCs/>
        <w:sz w:val="16"/>
        <w:szCs w:val="16"/>
      </w:rPr>
      <w:t>Colpensiones</w:t>
    </w:r>
    <w:proofErr w:type="spellEnd"/>
    <w:r w:rsidR="0081671D" w:rsidRPr="00C118B0">
      <w:rPr>
        <w:rFonts w:ascii="Arial Narrow" w:hAnsi="Arial Narrow" w:cs="Arial"/>
        <w:bCs/>
        <w:sz w:val="16"/>
        <w:szCs w:val="16"/>
      </w:rPr>
      <w:t xml:space="preserve"> </w:t>
    </w:r>
  </w:p>
  <w:p w:rsidR="0048275A" w:rsidRDefault="00BA1F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BE9"/>
    <w:multiLevelType w:val="hybridMultilevel"/>
    <w:tmpl w:val="ECF40DEE"/>
    <w:lvl w:ilvl="0" w:tplc="3A368CEE">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45F63D93"/>
    <w:multiLevelType w:val="hybridMultilevel"/>
    <w:tmpl w:val="88500B66"/>
    <w:lvl w:ilvl="0" w:tplc="87BEE9F2">
      <w:start w:val="1"/>
      <w:numFmt w:val="decimal"/>
      <w:lvlText w:val="%1."/>
      <w:lvlJc w:val="left"/>
      <w:pPr>
        <w:ind w:left="1068" w:hanging="360"/>
      </w:pPr>
      <w:rPr>
        <w:rFonts w:ascii="Arial Narrow" w:eastAsia="Times New Roman" w:hAnsi="Arial Narrow" w:cs="Arial"/>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EE"/>
    <w:rsid w:val="00010D6C"/>
    <w:rsid w:val="00042127"/>
    <w:rsid w:val="000D6525"/>
    <w:rsid w:val="000F75E3"/>
    <w:rsid w:val="001417FE"/>
    <w:rsid w:val="00157131"/>
    <w:rsid w:val="00164052"/>
    <w:rsid w:val="001C36EE"/>
    <w:rsid w:val="001C383C"/>
    <w:rsid w:val="001C40D4"/>
    <w:rsid w:val="001F35A8"/>
    <w:rsid w:val="002051B0"/>
    <w:rsid w:val="0021139E"/>
    <w:rsid w:val="00217131"/>
    <w:rsid w:val="00222C5A"/>
    <w:rsid w:val="002372C4"/>
    <w:rsid w:val="00253BB3"/>
    <w:rsid w:val="002823C7"/>
    <w:rsid w:val="00323B20"/>
    <w:rsid w:val="003D6FC4"/>
    <w:rsid w:val="003F109D"/>
    <w:rsid w:val="00404C45"/>
    <w:rsid w:val="00442DB3"/>
    <w:rsid w:val="004C2E07"/>
    <w:rsid w:val="004E40A1"/>
    <w:rsid w:val="004F015F"/>
    <w:rsid w:val="005527C2"/>
    <w:rsid w:val="00574F37"/>
    <w:rsid w:val="005B43BB"/>
    <w:rsid w:val="005C2C1A"/>
    <w:rsid w:val="005C3776"/>
    <w:rsid w:val="005E6C05"/>
    <w:rsid w:val="00602875"/>
    <w:rsid w:val="00610415"/>
    <w:rsid w:val="006164C6"/>
    <w:rsid w:val="00681D58"/>
    <w:rsid w:val="006B4D9F"/>
    <w:rsid w:val="006D0511"/>
    <w:rsid w:val="006E2412"/>
    <w:rsid w:val="006F7171"/>
    <w:rsid w:val="00735318"/>
    <w:rsid w:val="0074519E"/>
    <w:rsid w:val="0077465A"/>
    <w:rsid w:val="007846BD"/>
    <w:rsid w:val="00795D2D"/>
    <w:rsid w:val="007D1654"/>
    <w:rsid w:val="008005DB"/>
    <w:rsid w:val="0081671D"/>
    <w:rsid w:val="00855089"/>
    <w:rsid w:val="008C479F"/>
    <w:rsid w:val="008C59D1"/>
    <w:rsid w:val="008F4AAE"/>
    <w:rsid w:val="00975368"/>
    <w:rsid w:val="00985E92"/>
    <w:rsid w:val="009A3D3E"/>
    <w:rsid w:val="009B182E"/>
    <w:rsid w:val="009D5C3C"/>
    <w:rsid w:val="00A35116"/>
    <w:rsid w:val="00A63214"/>
    <w:rsid w:val="00B13CBF"/>
    <w:rsid w:val="00B23EEB"/>
    <w:rsid w:val="00B72ADD"/>
    <w:rsid w:val="00BA1FE5"/>
    <w:rsid w:val="00BE7032"/>
    <w:rsid w:val="00C07565"/>
    <w:rsid w:val="00C22484"/>
    <w:rsid w:val="00C35CA1"/>
    <w:rsid w:val="00C44399"/>
    <w:rsid w:val="00C55782"/>
    <w:rsid w:val="00CC14F7"/>
    <w:rsid w:val="00CC7EAB"/>
    <w:rsid w:val="00D110F2"/>
    <w:rsid w:val="00D338B2"/>
    <w:rsid w:val="00D775C6"/>
    <w:rsid w:val="00D779AE"/>
    <w:rsid w:val="00D85D76"/>
    <w:rsid w:val="00DD3F93"/>
    <w:rsid w:val="00DE4A0A"/>
    <w:rsid w:val="00DF41EB"/>
    <w:rsid w:val="00E05794"/>
    <w:rsid w:val="00E06552"/>
    <w:rsid w:val="00E12E8E"/>
    <w:rsid w:val="00E67C0A"/>
    <w:rsid w:val="00E7570E"/>
    <w:rsid w:val="00E87E6A"/>
    <w:rsid w:val="00EA0474"/>
    <w:rsid w:val="00EB3A13"/>
    <w:rsid w:val="00EC28E3"/>
    <w:rsid w:val="00F02889"/>
    <w:rsid w:val="00F248A5"/>
    <w:rsid w:val="00F45CB3"/>
    <w:rsid w:val="00F75950"/>
    <w:rsid w:val="00F80EBF"/>
    <w:rsid w:val="00F94C68"/>
    <w:rsid w:val="00FB29FB"/>
    <w:rsid w:val="00FC0AC9"/>
    <w:rsid w:val="00FC73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A6E4A41-E4B7-4B56-8F0E-F3BA4453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6EE"/>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2823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C36EE"/>
    <w:pPr>
      <w:tabs>
        <w:tab w:val="center" w:pos="4252"/>
        <w:tab w:val="right" w:pos="8504"/>
      </w:tabs>
    </w:pPr>
  </w:style>
  <w:style w:type="character" w:customStyle="1" w:styleId="PiedepginaCar">
    <w:name w:val="Pie de página Car"/>
    <w:basedOn w:val="Fuentedeprrafopredeter"/>
    <w:link w:val="Piedepgina"/>
    <w:rsid w:val="001C36E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C36EE"/>
  </w:style>
  <w:style w:type="paragraph" w:styleId="Encabezado">
    <w:name w:val="header"/>
    <w:basedOn w:val="Normal"/>
    <w:link w:val="EncabezadoCar"/>
    <w:rsid w:val="001C36EE"/>
    <w:pPr>
      <w:tabs>
        <w:tab w:val="center" w:pos="4252"/>
        <w:tab w:val="right" w:pos="8504"/>
      </w:tabs>
    </w:pPr>
  </w:style>
  <w:style w:type="character" w:customStyle="1" w:styleId="EncabezadoCar">
    <w:name w:val="Encabezado Car"/>
    <w:basedOn w:val="Fuentedeprrafopredeter"/>
    <w:link w:val="Encabezado"/>
    <w:rsid w:val="001C36EE"/>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C36EE"/>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1C36EE"/>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1C36EE"/>
    <w:pPr>
      <w:spacing w:line="360" w:lineRule="auto"/>
      <w:jc w:val="both"/>
    </w:pPr>
    <w:rPr>
      <w:rFonts w:ascii="Arial" w:hAnsi="Arial"/>
      <w:sz w:val="28"/>
    </w:rPr>
  </w:style>
  <w:style w:type="paragraph" w:styleId="Textonotapie">
    <w:name w:val="footnote text"/>
    <w:basedOn w:val="Normal"/>
    <w:link w:val="TextonotapieCar"/>
    <w:uiPriority w:val="99"/>
    <w:semiHidden/>
    <w:unhideWhenUsed/>
    <w:rsid w:val="001C36EE"/>
    <w:rPr>
      <w:sz w:val="20"/>
    </w:rPr>
  </w:style>
  <w:style w:type="character" w:customStyle="1" w:styleId="TextonotapieCar">
    <w:name w:val="Texto nota pie Car"/>
    <w:basedOn w:val="Fuentedeprrafopredeter"/>
    <w:link w:val="Textonotapie"/>
    <w:uiPriority w:val="99"/>
    <w:semiHidden/>
    <w:rsid w:val="001C36EE"/>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1C36EE"/>
    <w:rPr>
      <w:vertAlign w:val="superscript"/>
    </w:rPr>
  </w:style>
  <w:style w:type="paragraph" w:styleId="Prrafodelista">
    <w:name w:val="List Paragraph"/>
    <w:basedOn w:val="Normal"/>
    <w:uiPriority w:val="34"/>
    <w:qFormat/>
    <w:rsid w:val="001C36EE"/>
    <w:pPr>
      <w:ind w:left="720"/>
      <w:contextualSpacing/>
    </w:pPr>
  </w:style>
  <w:style w:type="character" w:customStyle="1" w:styleId="Ttulo1Car">
    <w:name w:val="Título 1 Car"/>
    <w:basedOn w:val="Fuentedeprrafopredeter"/>
    <w:link w:val="Ttulo1"/>
    <w:uiPriority w:val="9"/>
    <w:rsid w:val="002823C7"/>
    <w:rPr>
      <w:rFonts w:asciiTheme="majorHAnsi" w:eastAsiaTheme="majorEastAsia" w:hAnsiTheme="majorHAnsi" w:cstheme="majorBidi"/>
      <w:color w:val="2E74B5" w:themeColor="accent1" w:themeShade="BF"/>
      <w:sz w:val="32"/>
      <w:szCs w:val="32"/>
      <w:lang w:val="es-ES_tradnl" w:eastAsia="es-ES"/>
    </w:rPr>
  </w:style>
  <w:style w:type="paragraph" w:customStyle="1" w:styleId="Textoindependiente32">
    <w:name w:val="Texto independiente 32"/>
    <w:basedOn w:val="Normal"/>
    <w:rsid w:val="00404C45"/>
    <w:pPr>
      <w:spacing w:line="360" w:lineRule="auto"/>
      <w:jc w:val="both"/>
    </w:pPr>
    <w:rPr>
      <w:rFonts w:ascii="Arial" w:hAnsi="Arial"/>
    </w:rPr>
  </w:style>
  <w:style w:type="paragraph" w:styleId="NormalWeb">
    <w:name w:val="Normal (Web)"/>
    <w:basedOn w:val="Normal"/>
    <w:uiPriority w:val="99"/>
    <w:semiHidden/>
    <w:unhideWhenUsed/>
    <w:rsid w:val="009B182E"/>
    <w:pPr>
      <w:spacing w:before="100" w:beforeAutospacing="1" w:after="100" w:afterAutospacing="1"/>
    </w:pPr>
    <w:rPr>
      <w:szCs w:val="24"/>
      <w:lang w:val="es-ES"/>
    </w:rPr>
  </w:style>
  <w:style w:type="paragraph" w:customStyle="1" w:styleId="a">
    <w:basedOn w:val="Normal"/>
    <w:next w:val="Puesto"/>
    <w:link w:val="PuestoCar"/>
    <w:qFormat/>
    <w:rsid w:val="00A63214"/>
    <w:pPr>
      <w:widowControl w:val="0"/>
      <w:autoSpaceDE w:val="0"/>
      <w:autoSpaceDN w:val="0"/>
      <w:adjustRightInd w:val="0"/>
      <w:jc w:val="center"/>
    </w:pPr>
    <w:rPr>
      <w:rFonts w:ascii="Roman 12cpi" w:hAnsi="Roman 12cpi" w:cstheme="minorBidi"/>
      <w:b/>
      <w:bCs/>
      <w:sz w:val="22"/>
      <w:szCs w:val="22"/>
      <w:lang w:val="es-ES" w:eastAsia="en-US"/>
    </w:rPr>
  </w:style>
  <w:style w:type="character" w:customStyle="1" w:styleId="PuestoCar">
    <w:name w:val="Puesto Car"/>
    <w:link w:val="a"/>
    <w:rsid w:val="00A63214"/>
    <w:rPr>
      <w:rFonts w:ascii="Roman 12cpi" w:eastAsia="Times New Roman" w:hAnsi="Roman 12cpi"/>
      <w:b/>
      <w:bCs/>
    </w:rPr>
  </w:style>
  <w:style w:type="paragraph" w:styleId="Puesto">
    <w:name w:val="Title"/>
    <w:basedOn w:val="Normal"/>
    <w:next w:val="Normal"/>
    <w:link w:val="PuestoCar1"/>
    <w:uiPriority w:val="10"/>
    <w:qFormat/>
    <w:rsid w:val="00A63214"/>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A63214"/>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81047">
      <w:bodyDiv w:val="1"/>
      <w:marLeft w:val="0"/>
      <w:marRight w:val="0"/>
      <w:marTop w:val="0"/>
      <w:marBottom w:val="0"/>
      <w:divBdr>
        <w:top w:val="none" w:sz="0" w:space="0" w:color="auto"/>
        <w:left w:val="none" w:sz="0" w:space="0" w:color="auto"/>
        <w:bottom w:val="none" w:sz="0" w:space="0" w:color="auto"/>
        <w:right w:val="none" w:sz="0" w:space="0" w:color="auto"/>
      </w:divBdr>
    </w:div>
    <w:div w:id="14593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8E609-F54C-4BC1-B5E7-354F7D46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Pages>
  <Words>3949</Words>
  <Characters>21723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51</cp:revision>
  <dcterms:created xsi:type="dcterms:W3CDTF">2018-04-18T12:27:00Z</dcterms:created>
  <dcterms:modified xsi:type="dcterms:W3CDTF">2018-05-18T15:50:00Z</dcterms:modified>
</cp:coreProperties>
</file>