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B51" w:rsidRPr="009537D7" w:rsidRDefault="006B1B51" w:rsidP="006B1B51">
      <w:pPr>
        <w:widowControl w:val="0"/>
        <w:pBdr>
          <w:top w:val="single" w:sz="4" w:space="1" w:color="auto"/>
          <w:left w:val="single" w:sz="4" w:space="4" w:color="auto"/>
          <w:bottom w:val="single" w:sz="4" w:space="1" w:color="auto"/>
          <w:right w:val="single" w:sz="4" w:space="4" w:color="auto"/>
        </w:pBdr>
        <w:shd w:val="clear" w:color="auto" w:fill="FFFFFF"/>
        <w:overflowPunct w:val="0"/>
        <w:autoSpaceDE w:val="0"/>
        <w:autoSpaceDN w:val="0"/>
        <w:adjustRightInd w:val="0"/>
        <w:spacing w:after="200"/>
        <w:jc w:val="both"/>
        <w:rPr>
          <w:rFonts w:ascii="Arial" w:eastAsia="Calibri" w:hAnsi="Arial" w:cs="Arial"/>
          <w:color w:val="FF0000"/>
          <w:kern w:val="28"/>
          <w:sz w:val="22"/>
          <w:szCs w:val="22"/>
          <w:lang w:val="es-CO" w:eastAsia="fr-FR"/>
        </w:rPr>
      </w:pPr>
      <w:r w:rsidRPr="00AD53E0">
        <w:rPr>
          <w:rFonts w:ascii="Arial" w:eastAsia="Calibri" w:hAnsi="Arial" w:cs="Arial"/>
          <w:color w:val="FF0000"/>
          <w:kern w:val="28"/>
          <w:sz w:val="18"/>
          <w:szCs w:val="18"/>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9537D7">
        <w:rPr>
          <w:rFonts w:ascii="Arial" w:eastAsia="Calibri" w:hAnsi="Arial" w:cs="Arial"/>
          <w:color w:val="FF0000"/>
          <w:kern w:val="28"/>
          <w:sz w:val="22"/>
          <w:szCs w:val="22"/>
          <w:lang w:val="es-CO" w:eastAsia="fr-FR"/>
        </w:rPr>
        <w:t>. </w:t>
      </w:r>
    </w:p>
    <w:p w:rsidR="001B184E" w:rsidRPr="006B1B51" w:rsidRDefault="001B184E" w:rsidP="006B1B51">
      <w:pPr>
        <w:jc w:val="both"/>
        <w:rPr>
          <w:rFonts w:ascii="Arial" w:hAnsi="Arial" w:cs="Arial"/>
          <w:sz w:val="22"/>
          <w:szCs w:val="22"/>
        </w:rPr>
      </w:pPr>
      <w:r w:rsidRPr="006B1B51">
        <w:rPr>
          <w:rFonts w:ascii="Arial" w:hAnsi="Arial" w:cs="Arial"/>
          <w:sz w:val="22"/>
          <w:szCs w:val="22"/>
        </w:rPr>
        <w:t>Providencia</w:t>
      </w:r>
      <w:r w:rsidR="006B1B51">
        <w:rPr>
          <w:rFonts w:ascii="Arial" w:hAnsi="Arial" w:cs="Arial"/>
          <w:sz w:val="22"/>
          <w:szCs w:val="22"/>
        </w:rPr>
        <w:t>:</w:t>
      </w:r>
      <w:r w:rsidR="006B1B51">
        <w:rPr>
          <w:rFonts w:ascii="Arial" w:hAnsi="Arial" w:cs="Arial"/>
          <w:sz w:val="22"/>
          <w:szCs w:val="22"/>
        </w:rPr>
        <w:tab/>
      </w:r>
      <w:r w:rsidR="006B1B51">
        <w:rPr>
          <w:rFonts w:ascii="Arial" w:hAnsi="Arial" w:cs="Arial"/>
          <w:sz w:val="22"/>
          <w:szCs w:val="22"/>
        </w:rPr>
        <w:tab/>
        <w:t>Sentencia 2ª. Instancia -</w:t>
      </w:r>
      <w:r w:rsidRPr="006B1B51">
        <w:rPr>
          <w:rFonts w:ascii="Arial" w:hAnsi="Arial" w:cs="Arial"/>
          <w:sz w:val="22"/>
          <w:szCs w:val="22"/>
        </w:rPr>
        <w:t xml:space="preserve"> 2 de agosto de 2018. </w:t>
      </w:r>
    </w:p>
    <w:p w:rsidR="001B184E" w:rsidRPr="006B1B51" w:rsidRDefault="001B184E" w:rsidP="006B1B51">
      <w:pPr>
        <w:jc w:val="both"/>
        <w:rPr>
          <w:rFonts w:ascii="Arial" w:hAnsi="Arial" w:cs="Arial"/>
          <w:bCs/>
          <w:sz w:val="22"/>
          <w:szCs w:val="22"/>
        </w:rPr>
      </w:pPr>
      <w:r w:rsidRPr="006B1B51">
        <w:rPr>
          <w:rFonts w:ascii="Arial" w:hAnsi="Arial" w:cs="Arial"/>
          <w:bCs/>
          <w:sz w:val="22"/>
          <w:szCs w:val="22"/>
        </w:rPr>
        <w:t>Radicación No:</w:t>
      </w:r>
      <w:r w:rsidRPr="006B1B51">
        <w:rPr>
          <w:rFonts w:ascii="Arial" w:hAnsi="Arial" w:cs="Arial"/>
          <w:bCs/>
          <w:sz w:val="22"/>
          <w:szCs w:val="22"/>
        </w:rPr>
        <w:tab/>
        <w:t>66001-31-05-004-2017-00129-01</w:t>
      </w:r>
    </w:p>
    <w:p w:rsidR="001B184E" w:rsidRPr="006B1B51" w:rsidRDefault="001B184E" w:rsidP="006B1B51">
      <w:pPr>
        <w:jc w:val="both"/>
        <w:rPr>
          <w:rFonts w:ascii="Arial" w:hAnsi="Arial" w:cs="Arial"/>
          <w:iCs/>
          <w:sz w:val="22"/>
          <w:szCs w:val="22"/>
        </w:rPr>
      </w:pPr>
      <w:r w:rsidRPr="006B1B51">
        <w:rPr>
          <w:rFonts w:ascii="Arial" w:hAnsi="Arial" w:cs="Arial"/>
          <w:bCs/>
          <w:iCs/>
          <w:sz w:val="22"/>
          <w:szCs w:val="22"/>
        </w:rPr>
        <w:t>Proceso:</w:t>
      </w:r>
      <w:r w:rsidRPr="006B1B51">
        <w:rPr>
          <w:rFonts w:ascii="Arial" w:hAnsi="Arial" w:cs="Arial"/>
          <w:iCs/>
          <w:sz w:val="22"/>
          <w:szCs w:val="22"/>
        </w:rPr>
        <w:tab/>
      </w:r>
      <w:r w:rsidRPr="006B1B51">
        <w:rPr>
          <w:rFonts w:ascii="Arial" w:hAnsi="Arial" w:cs="Arial"/>
          <w:iCs/>
          <w:sz w:val="22"/>
          <w:szCs w:val="22"/>
        </w:rPr>
        <w:tab/>
        <w:t>Ordinario Laboral</w:t>
      </w:r>
    </w:p>
    <w:p w:rsidR="001B184E" w:rsidRPr="006B1B51" w:rsidRDefault="001B184E" w:rsidP="006B1B51">
      <w:pPr>
        <w:ind w:firstLine="6"/>
        <w:jc w:val="both"/>
        <w:rPr>
          <w:rFonts w:ascii="Arial" w:hAnsi="Arial" w:cs="Arial"/>
          <w:iCs/>
          <w:sz w:val="22"/>
          <w:szCs w:val="22"/>
        </w:rPr>
      </w:pPr>
      <w:r w:rsidRPr="006B1B51">
        <w:rPr>
          <w:rFonts w:ascii="Arial" w:hAnsi="Arial" w:cs="Arial"/>
          <w:iCs/>
          <w:sz w:val="22"/>
          <w:szCs w:val="22"/>
        </w:rPr>
        <w:t xml:space="preserve">Demandante:     </w:t>
      </w:r>
      <w:r w:rsidRPr="006B1B51">
        <w:rPr>
          <w:rFonts w:ascii="Arial" w:hAnsi="Arial" w:cs="Arial"/>
          <w:iCs/>
          <w:sz w:val="22"/>
          <w:szCs w:val="22"/>
        </w:rPr>
        <w:tab/>
        <w:t xml:space="preserve">María Nubia Cortes López    </w:t>
      </w:r>
    </w:p>
    <w:p w:rsidR="001B184E" w:rsidRPr="006B1B51" w:rsidRDefault="001B184E" w:rsidP="006B1B51">
      <w:pPr>
        <w:ind w:firstLine="6"/>
        <w:jc w:val="both"/>
        <w:rPr>
          <w:rFonts w:ascii="Arial" w:hAnsi="Arial" w:cs="Arial"/>
          <w:bCs/>
          <w:sz w:val="22"/>
          <w:szCs w:val="22"/>
        </w:rPr>
      </w:pPr>
      <w:r w:rsidRPr="006B1B51">
        <w:rPr>
          <w:rFonts w:ascii="Arial" w:hAnsi="Arial" w:cs="Arial"/>
          <w:bCs/>
          <w:sz w:val="22"/>
          <w:szCs w:val="22"/>
        </w:rPr>
        <w:t>Demandado:</w:t>
      </w:r>
      <w:r w:rsidRPr="006B1B51">
        <w:rPr>
          <w:rFonts w:ascii="Arial" w:hAnsi="Arial" w:cs="Arial"/>
          <w:bCs/>
          <w:sz w:val="22"/>
          <w:szCs w:val="22"/>
        </w:rPr>
        <w:tab/>
      </w:r>
      <w:r w:rsidRPr="006B1B51">
        <w:rPr>
          <w:rFonts w:ascii="Arial" w:hAnsi="Arial" w:cs="Arial"/>
          <w:bCs/>
          <w:sz w:val="22"/>
          <w:szCs w:val="22"/>
        </w:rPr>
        <w:tab/>
        <w:t>Colpensiones</w:t>
      </w:r>
    </w:p>
    <w:p w:rsidR="001B184E" w:rsidRPr="006B1B51" w:rsidRDefault="001B184E" w:rsidP="006B1B51">
      <w:pPr>
        <w:jc w:val="both"/>
        <w:rPr>
          <w:rFonts w:ascii="Arial" w:hAnsi="Arial" w:cs="Arial"/>
          <w:sz w:val="22"/>
          <w:szCs w:val="22"/>
        </w:rPr>
      </w:pPr>
      <w:r w:rsidRPr="006B1B51">
        <w:rPr>
          <w:rFonts w:ascii="Arial" w:hAnsi="Arial" w:cs="Arial"/>
          <w:sz w:val="22"/>
          <w:szCs w:val="22"/>
        </w:rPr>
        <w:t xml:space="preserve">Juzgado de origen:   </w:t>
      </w:r>
      <w:r w:rsidRPr="006B1B51">
        <w:rPr>
          <w:rFonts w:ascii="Arial" w:hAnsi="Arial" w:cs="Arial"/>
          <w:sz w:val="22"/>
          <w:szCs w:val="22"/>
        </w:rPr>
        <w:tab/>
        <w:t>Cuarto Laboral del Circuito de Pereira.</w:t>
      </w:r>
    </w:p>
    <w:p w:rsidR="001B184E" w:rsidRPr="006B1B51" w:rsidRDefault="006B1B51" w:rsidP="006B1B51">
      <w:pPr>
        <w:jc w:val="both"/>
        <w:rPr>
          <w:rFonts w:ascii="Arial" w:hAnsi="Arial" w:cs="Arial"/>
          <w:iCs/>
          <w:sz w:val="22"/>
          <w:szCs w:val="22"/>
        </w:rPr>
      </w:pPr>
      <w:r>
        <w:rPr>
          <w:rFonts w:ascii="Arial" w:hAnsi="Arial" w:cs="Arial"/>
          <w:iCs/>
          <w:sz w:val="22"/>
          <w:szCs w:val="22"/>
        </w:rPr>
        <w:t>Magistrado Ponente: F</w:t>
      </w:r>
      <w:r w:rsidR="001B184E" w:rsidRPr="006B1B51">
        <w:rPr>
          <w:rFonts w:ascii="Arial" w:hAnsi="Arial" w:cs="Arial"/>
          <w:iCs/>
          <w:sz w:val="22"/>
          <w:szCs w:val="22"/>
        </w:rPr>
        <w:t>rancisco Javier Tamayo Tabares.</w:t>
      </w:r>
    </w:p>
    <w:p w:rsidR="006B1B51" w:rsidRPr="006B1B51" w:rsidRDefault="006B1B51" w:rsidP="006B1B51">
      <w:pPr>
        <w:ind w:left="2127" w:hanging="2127"/>
        <w:jc w:val="both"/>
        <w:rPr>
          <w:rFonts w:ascii="Arial" w:hAnsi="Arial" w:cs="Arial"/>
          <w:bCs/>
          <w:sz w:val="22"/>
          <w:szCs w:val="22"/>
        </w:rPr>
      </w:pPr>
    </w:p>
    <w:p w:rsidR="006B1B51" w:rsidRDefault="006B1B51" w:rsidP="007D0FF1">
      <w:pPr>
        <w:ind w:left="2127" w:hanging="2127"/>
        <w:jc w:val="both"/>
        <w:rPr>
          <w:rFonts w:ascii="Arial Narrow" w:hAnsi="Arial Narrow" w:cs="Arial"/>
          <w:b/>
          <w:bCs/>
          <w:sz w:val="18"/>
          <w:szCs w:val="18"/>
        </w:rPr>
      </w:pPr>
    </w:p>
    <w:p w:rsidR="006B1B51" w:rsidRDefault="006B1B51" w:rsidP="007D0FF1">
      <w:pPr>
        <w:ind w:left="2127" w:hanging="2127"/>
        <w:jc w:val="both"/>
        <w:rPr>
          <w:rFonts w:ascii="Arial Narrow" w:hAnsi="Arial Narrow" w:cs="Arial"/>
          <w:b/>
          <w:bCs/>
          <w:sz w:val="18"/>
          <w:szCs w:val="18"/>
        </w:rPr>
      </w:pPr>
    </w:p>
    <w:p w:rsidR="00641A3E" w:rsidRPr="001E0E55" w:rsidRDefault="001B184E" w:rsidP="00641A3E">
      <w:pPr>
        <w:tabs>
          <w:tab w:val="left" w:pos="1985"/>
        </w:tabs>
        <w:jc w:val="both"/>
        <w:rPr>
          <w:rFonts w:ascii="Arial" w:hAnsi="Arial" w:cs="Arial"/>
          <w:b/>
          <w:sz w:val="22"/>
          <w:szCs w:val="22"/>
          <w:lang w:val="es-CO" w:eastAsia="fr-FR"/>
        </w:rPr>
      </w:pPr>
      <w:r w:rsidRPr="002D2F38">
        <w:rPr>
          <w:rFonts w:ascii="Arial" w:hAnsi="Arial" w:cs="Arial"/>
          <w:b/>
          <w:bCs/>
          <w:sz w:val="22"/>
          <w:szCs w:val="22"/>
        </w:rPr>
        <w:t>Tema</w:t>
      </w:r>
      <w:r w:rsidR="006B1B51" w:rsidRPr="002D2F38">
        <w:rPr>
          <w:rFonts w:ascii="Arial" w:hAnsi="Arial" w:cs="Arial"/>
          <w:b/>
          <w:bCs/>
          <w:sz w:val="22"/>
          <w:szCs w:val="22"/>
        </w:rPr>
        <w:t>s:</w:t>
      </w:r>
      <w:r w:rsidR="005A15B7" w:rsidRPr="002D2F38">
        <w:rPr>
          <w:rFonts w:ascii="Arial" w:hAnsi="Arial" w:cs="Arial"/>
          <w:b/>
          <w:bCs/>
          <w:sz w:val="22"/>
          <w:szCs w:val="22"/>
        </w:rPr>
        <w:tab/>
        <w:t xml:space="preserve">RECONOCIMIENTO Y PAGO </w:t>
      </w:r>
      <w:r w:rsidR="002D2F38">
        <w:rPr>
          <w:rFonts w:ascii="Arial" w:hAnsi="Arial" w:cs="Arial"/>
          <w:b/>
          <w:bCs/>
          <w:sz w:val="22"/>
          <w:szCs w:val="22"/>
        </w:rPr>
        <w:t xml:space="preserve">DE LA </w:t>
      </w:r>
      <w:r w:rsidR="005A15B7" w:rsidRPr="002D2F38">
        <w:rPr>
          <w:rFonts w:ascii="Arial" w:hAnsi="Arial" w:cs="Arial"/>
          <w:b/>
          <w:bCs/>
          <w:sz w:val="22"/>
          <w:szCs w:val="22"/>
        </w:rPr>
        <w:t xml:space="preserve">PENSIÓN DE VEJEZ/ </w:t>
      </w:r>
      <w:r w:rsidR="00641A3E">
        <w:rPr>
          <w:rFonts w:ascii="Arial" w:hAnsi="Arial" w:cs="Arial"/>
          <w:b/>
          <w:bCs/>
          <w:sz w:val="22"/>
          <w:szCs w:val="22"/>
        </w:rPr>
        <w:t>CUMPLIÓ EDAD EN VIGENCIA DE LA</w:t>
      </w:r>
      <w:r w:rsidR="005A15B7" w:rsidRPr="002D2F38">
        <w:rPr>
          <w:rFonts w:ascii="Arial" w:hAnsi="Arial" w:cs="Arial"/>
          <w:b/>
          <w:bCs/>
          <w:sz w:val="22"/>
          <w:szCs w:val="22"/>
        </w:rPr>
        <w:t xml:space="preserve"> LEY 100 DE 1993/ </w:t>
      </w:r>
      <w:r w:rsidR="00046356">
        <w:rPr>
          <w:rFonts w:ascii="Arial" w:hAnsi="Arial" w:cs="Arial"/>
          <w:b/>
          <w:bCs/>
          <w:sz w:val="22"/>
          <w:szCs w:val="22"/>
        </w:rPr>
        <w:t xml:space="preserve">RÉGIMEN DE TRANSICIÓN –Acto Legislativo 01 de 2005/ </w:t>
      </w:r>
      <w:r w:rsidR="00641A3E">
        <w:rPr>
          <w:rFonts w:ascii="Arial" w:hAnsi="Arial" w:cs="Arial"/>
          <w:b/>
          <w:bCs/>
          <w:sz w:val="22"/>
          <w:szCs w:val="22"/>
        </w:rPr>
        <w:t>NO SE CONFIGURA EXPECTATIVA LEGÍTIMA/</w:t>
      </w:r>
      <w:r w:rsidR="00046356">
        <w:rPr>
          <w:rFonts w:ascii="Arial" w:hAnsi="Arial" w:cs="Arial"/>
          <w:b/>
          <w:bCs/>
          <w:sz w:val="22"/>
          <w:szCs w:val="22"/>
        </w:rPr>
        <w:t xml:space="preserve"> </w:t>
      </w:r>
      <w:r w:rsidR="00046356" w:rsidRPr="001E0E55">
        <w:rPr>
          <w:rFonts w:ascii="Arial" w:hAnsi="Arial" w:cs="Arial"/>
          <w:b/>
          <w:sz w:val="22"/>
          <w:szCs w:val="22"/>
          <w:lang w:val="es-ES"/>
        </w:rPr>
        <w:t>LEY 797 DE 2003  /</w:t>
      </w:r>
      <w:r w:rsidR="00046356" w:rsidRPr="001E0E55">
        <w:rPr>
          <w:rFonts w:ascii="Arial" w:hAnsi="Arial" w:cs="Arial"/>
          <w:b/>
          <w:bCs/>
          <w:sz w:val="22"/>
          <w:szCs w:val="22"/>
        </w:rPr>
        <w:t xml:space="preserve">INCUMPLIMIENTO DE LA </w:t>
      </w:r>
      <w:r w:rsidR="00641A3E" w:rsidRPr="001E0E55">
        <w:rPr>
          <w:rFonts w:ascii="Arial" w:hAnsi="Arial" w:cs="Arial"/>
          <w:b/>
          <w:bCs/>
          <w:sz w:val="22"/>
          <w:szCs w:val="22"/>
        </w:rPr>
        <w:t>DENSIDAD DE SEMANAS DE COTIZACIÓN</w:t>
      </w:r>
      <w:r w:rsidR="001E0E55" w:rsidRPr="001E0E55">
        <w:rPr>
          <w:rFonts w:ascii="Arial" w:hAnsi="Arial" w:cs="Arial"/>
          <w:b/>
          <w:bCs/>
          <w:sz w:val="22"/>
          <w:szCs w:val="22"/>
        </w:rPr>
        <w:t>/</w:t>
      </w:r>
      <w:r w:rsidR="00641A3E" w:rsidRPr="001E0E55">
        <w:rPr>
          <w:rFonts w:ascii="Arial" w:hAnsi="Arial" w:cs="Arial"/>
          <w:b/>
          <w:sz w:val="22"/>
          <w:szCs w:val="22"/>
          <w:lang w:val="es-CO" w:eastAsia="fr-FR"/>
        </w:rPr>
        <w:t xml:space="preserve"> </w:t>
      </w:r>
      <w:r w:rsidR="001E0E55" w:rsidRPr="001E0E55">
        <w:rPr>
          <w:rFonts w:ascii="Arial" w:hAnsi="Arial" w:cs="Arial"/>
          <w:b/>
          <w:sz w:val="22"/>
          <w:szCs w:val="22"/>
          <w:lang w:val="es-CO" w:eastAsia="fr-FR"/>
        </w:rPr>
        <w:t>SE APLICA GRADUALIDAD DESDE EL 01 DE ENERO DE 2005</w:t>
      </w:r>
      <w:r w:rsidR="001E0E55">
        <w:rPr>
          <w:rFonts w:ascii="Arial" w:hAnsi="Arial" w:cs="Arial"/>
          <w:b/>
          <w:sz w:val="22"/>
          <w:szCs w:val="22"/>
          <w:lang w:val="es-CO" w:eastAsia="fr-FR"/>
        </w:rPr>
        <w:t xml:space="preserve">/ </w:t>
      </w:r>
      <w:r w:rsidR="00641A3E" w:rsidRPr="001E0E55">
        <w:rPr>
          <w:rFonts w:ascii="Arial" w:hAnsi="Arial" w:cs="Arial"/>
          <w:b/>
          <w:sz w:val="22"/>
          <w:szCs w:val="22"/>
          <w:lang w:val="es-CO" w:eastAsia="fr-FR"/>
        </w:rPr>
        <w:t>CONFIRMA / NIEGA</w:t>
      </w:r>
      <w:r w:rsidR="001E0E55">
        <w:rPr>
          <w:rFonts w:ascii="Arial" w:hAnsi="Arial" w:cs="Arial"/>
          <w:b/>
          <w:sz w:val="22"/>
          <w:szCs w:val="22"/>
          <w:lang w:val="es-CO" w:eastAsia="fr-FR"/>
        </w:rPr>
        <w:t>.</w:t>
      </w:r>
      <w:bookmarkStart w:id="0" w:name="_GoBack"/>
      <w:bookmarkEnd w:id="0"/>
      <w:r w:rsidR="00641A3E" w:rsidRPr="001E0E55">
        <w:rPr>
          <w:rFonts w:ascii="Arial" w:hAnsi="Arial" w:cs="Arial"/>
          <w:b/>
          <w:sz w:val="22"/>
          <w:szCs w:val="22"/>
          <w:lang w:val="es-CO" w:eastAsia="fr-FR"/>
        </w:rPr>
        <w:t xml:space="preserve"> </w:t>
      </w:r>
    </w:p>
    <w:p w:rsidR="001E0E55" w:rsidRDefault="001E0E55" w:rsidP="002D2F38">
      <w:pPr>
        <w:autoSpaceDE w:val="0"/>
        <w:autoSpaceDN w:val="0"/>
        <w:adjustRightInd w:val="0"/>
        <w:jc w:val="both"/>
        <w:rPr>
          <w:rFonts w:ascii="Arial" w:hAnsi="Arial" w:cs="Arial"/>
          <w:sz w:val="22"/>
          <w:szCs w:val="22"/>
          <w:lang w:val="es-ES"/>
        </w:rPr>
      </w:pPr>
    </w:p>
    <w:p w:rsidR="005A15B7" w:rsidRPr="002D2F38" w:rsidRDefault="005A15B7" w:rsidP="002D2F38">
      <w:pPr>
        <w:autoSpaceDE w:val="0"/>
        <w:autoSpaceDN w:val="0"/>
        <w:adjustRightInd w:val="0"/>
        <w:jc w:val="both"/>
        <w:rPr>
          <w:rFonts w:ascii="Arial" w:hAnsi="Arial" w:cs="Arial"/>
          <w:sz w:val="22"/>
          <w:szCs w:val="22"/>
          <w:lang w:val="es-ES"/>
        </w:rPr>
      </w:pPr>
      <w:r w:rsidRPr="002D2F38">
        <w:rPr>
          <w:rFonts w:ascii="Arial" w:hAnsi="Arial" w:cs="Arial"/>
          <w:sz w:val="22"/>
          <w:szCs w:val="22"/>
          <w:lang w:val="es-ES"/>
        </w:rPr>
        <w:t>No obstante, con posterioridad a dicha norma, se expidió el Acto Legislativo 01 de 2005, mediante el cual se modificó el artículo 48 superior, en el que se indicó en el parágrafo 4º, que el régimen de transición se extendía hasta el 31 de julio de 2010, salvo para aquellas personas que al momento de entrar a regir dicho acto modificatorio de la Constitución, esto es, al -29 de julio de 2005-, contarán con 750 semanas, caso en el cual el beneficio de la transición se extendería hasta el año 2014.</w:t>
      </w:r>
    </w:p>
    <w:p w:rsidR="005A15B7" w:rsidRPr="002D2F38" w:rsidRDefault="005A15B7" w:rsidP="002D2F38">
      <w:pPr>
        <w:pStyle w:val="Sinespaciado"/>
        <w:rPr>
          <w:rFonts w:ascii="Arial" w:hAnsi="Arial" w:cs="Arial"/>
          <w:lang w:val="es-ES"/>
        </w:rPr>
      </w:pPr>
    </w:p>
    <w:p w:rsidR="005A15B7" w:rsidRPr="002D2F38" w:rsidRDefault="005A15B7" w:rsidP="002D2F38">
      <w:pPr>
        <w:autoSpaceDE w:val="0"/>
        <w:autoSpaceDN w:val="0"/>
        <w:adjustRightInd w:val="0"/>
        <w:jc w:val="both"/>
        <w:rPr>
          <w:rFonts w:ascii="Arial" w:hAnsi="Arial" w:cs="Arial"/>
          <w:sz w:val="22"/>
          <w:szCs w:val="22"/>
          <w:lang w:val="es-ES"/>
        </w:rPr>
      </w:pPr>
      <w:r w:rsidRPr="002D2F38">
        <w:rPr>
          <w:rFonts w:ascii="Arial" w:hAnsi="Arial" w:cs="Arial"/>
          <w:spacing w:val="-3"/>
          <w:sz w:val="22"/>
          <w:szCs w:val="22"/>
        </w:rPr>
        <w:t xml:space="preserve">En el sub-lite, no se discuten los hechos atinentes a que la demandante nació el 26 de septiembre de 1952, </w:t>
      </w:r>
      <w:r w:rsidRPr="002D2F38">
        <w:rPr>
          <w:rFonts w:ascii="Arial" w:hAnsi="Arial" w:cs="Arial"/>
          <w:sz w:val="22"/>
          <w:szCs w:val="22"/>
          <w:lang w:val="es-ES"/>
        </w:rPr>
        <w:t>y que por tanto, al 1º de abril de 1994 contaba con más de 40 años de edad, siendo entonces, en principio, beneficiaria del aludido régimen de transición, por lo menos hasta el 31 de julio de 2010, pues adquirió la edad mínima para pensión el 26 de septiembre de 2007.</w:t>
      </w:r>
    </w:p>
    <w:p w:rsidR="002D2F38" w:rsidRPr="002D2F38" w:rsidRDefault="002D2F38" w:rsidP="002D2F38">
      <w:pPr>
        <w:jc w:val="both"/>
        <w:rPr>
          <w:rFonts w:ascii="Arial" w:hAnsi="Arial" w:cs="Arial"/>
          <w:sz w:val="22"/>
          <w:szCs w:val="22"/>
          <w:lang w:val="es-ES"/>
        </w:rPr>
      </w:pPr>
    </w:p>
    <w:p w:rsidR="002D2F38" w:rsidRPr="002D2F38" w:rsidRDefault="002D2F38" w:rsidP="002D2F38">
      <w:pPr>
        <w:jc w:val="both"/>
        <w:rPr>
          <w:rFonts w:ascii="Arial" w:hAnsi="Arial" w:cs="Arial"/>
          <w:sz w:val="22"/>
          <w:szCs w:val="22"/>
          <w:lang w:val="es-ES"/>
        </w:rPr>
      </w:pPr>
      <w:r w:rsidRPr="002D2F38">
        <w:rPr>
          <w:rFonts w:ascii="Arial" w:hAnsi="Arial" w:cs="Arial"/>
          <w:sz w:val="22"/>
          <w:szCs w:val="22"/>
          <w:lang w:val="es-ES"/>
        </w:rPr>
        <w:t xml:space="preserve">Sin embargo, era menester que la demandante aglutinara a la fecha de expedición del Acto Legislativo 01/05, es decir, al 29 de julio de 2005, al menos 750 semanas o su equivalente en servicios, en orden a que los beneficios del régimen de transición le fueran extendidos hasta el 31 de diciembre de 2014. Verificado tal presupuesto, encuentra la Sala que la actora únicamente reportaba a esa calenda un total de 691 semanas, por lo que se concluye que perdió el derecho al régimen de transición del artículo 36 de la Ley 100 de 1993, y en consecuencia, no podía pretender su pensión de vejez al amparo del Acuerdo 049 de 1990, tal cual lo concluyó la a-quo. </w:t>
      </w:r>
    </w:p>
    <w:p w:rsidR="002D2F38" w:rsidRPr="002D2F38" w:rsidRDefault="002D2F38" w:rsidP="002D2F38">
      <w:pPr>
        <w:jc w:val="both"/>
        <w:rPr>
          <w:rFonts w:ascii="Arial" w:hAnsi="Arial" w:cs="Arial"/>
          <w:sz w:val="22"/>
          <w:szCs w:val="22"/>
          <w:lang w:val="es-ES"/>
        </w:rPr>
      </w:pPr>
      <w:r w:rsidRPr="002D2F38">
        <w:rPr>
          <w:rFonts w:ascii="Arial" w:hAnsi="Arial" w:cs="Arial"/>
          <w:sz w:val="22"/>
          <w:szCs w:val="22"/>
          <w:lang w:val="es-ES"/>
        </w:rPr>
        <w:t xml:space="preserve"> (…)</w:t>
      </w:r>
    </w:p>
    <w:p w:rsidR="005A15B7" w:rsidRPr="002D2F38" w:rsidRDefault="005A15B7" w:rsidP="002D2F38">
      <w:pPr>
        <w:jc w:val="both"/>
        <w:rPr>
          <w:rFonts w:ascii="Arial" w:hAnsi="Arial" w:cs="Arial"/>
          <w:spacing w:val="-3"/>
          <w:sz w:val="22"/>
          <w:szCs w:val="22"/>
        </w:rPr>
      </w:pPr>
      <w:r w:rsidRPr="002D2F38">
        <w:rPr>
          <w:rFonts w:ascii="Arial" w:hAnsi="Arial" w:cs="Arial"/>
          <w:sz w:val="22"/>
          <w:szCs w:val="22"/>
          <w:lang w:val="es-ES"/>
        </w:rPr>
        <w:t xml:space="preserve">Ahora bien, teniendo en cuenta que la demandante no reunió ninguno de los requisitos para obtener la prestación pensional antes de que entrara a regir la Ley 797 de 2003, </w:t>
      </w:r>
      <w:r w:rsidRPr="002D2F38">
        <w:rPr>
          <w:rFonts w:ascii="Arial" w:hAnsi="Arial" w:cs="Arial"/>
          <w:spacing w:val="-3"/>
          <w:sz w:val="22"/>
          <w:szCs w:val="22"/>
        </w:rPr>
        <w:t xml:space="preserve">ninguna expectativa legitima puede constituir el periodo de la ley en que aún no había empezado a correr la gradualidad impuesta en su propio texto, por cuanto desde el mismo instante en que entró en vigor dicho precepto normativo, la actora conocía las condiciones en torno a la viabilidad de la prestación reclamada. </w:t>
      </w:r>
    </w:p>
    <w:p w:rsidR="002D2F38" w:rsidRPr="002D2F38" w:rsidRDefault="002D2F38" w:rsidP="002D2F38">
      <w:pPr>
        <w:jc w:val="both"/>
        <w:rPr>
          <w:rFonts w:ascii="Arial" w:hAnsi="Arial" w:cs="Arial"/>
          <w:sz w:val="22"/>
          <w:szCs w:val="22"/>
        </w:rPr>
      </w:pPr>
      <w:r w:rsidRPr="002D2F38">
        <w:rPr>
          <w:rFonts w:ascii="Arial" w:hAnsi="Arial" w:cs="Arial"/>
          <w:spacing w:val="-3"/>
          <w:sz w:val="22"/>
          <w:szCs w:val="22"/>
        </w:rPr>
        <w:t>(…)</w:t>
      </w:r>
    </w:p>
    <w:p w:rsidR="005A15B7" w:rsidRPr="002D2F38" w:rsidRDefault="005A15B7" w:rsidP="002D2F38">
      <w:pPr>
        <w:jc w:val="both"/>
        <w:rPr>
          <w:rFonts w:ascii="Arial" w:hAnsi="Arial" w:cs="Arial"/>
          <w:sz w:val="22"/>
          <w:szCs w:val="22"/>
          <w:lang w:val="es-ES"/>
        </w:rPr>
      </w:pPr>
      <w:r w:rsidRPr="002D2F38">
        <w:rPr>
          <w:rFonts w:ascii="Arial" w:hAnsi="Arial" w:cs="Arial"/>
          <w:spacing w:val="-3"/>
          <w:sz w:val="22"/>
          <w:szCs w:val="22"/>
        </w:rPr>
        <w:t xml:space="preserve">En ese orden, no erró la sentenciadora de primer grado cuando concluyó que la situación pensional de la demandante estaba regida en su integridad por la Ley 797 de 2003, pues una vez cumplió la edad el 26 de mayo de 2007, quedó a la espera de cumplir el número de aportes con los cuales obtendría su pensión de vejez, acorde con la escala implementada por la Ley 797 a partir de 1 de enero de 2005, los cuales valga anotar, no acreditó, por cuanto apenas cuenta con 1.012,43 semanas, según historia laboral visible a folio 9, </w:t>
      </w:r>
      <w:r w:rsidRPr="002D2F38">
        <w:rPr>
          <w:rFonts w:ascii="Arial" w:hAnsi="Arial" w:cs="Arial"/>
          <w:sz w:val="22"/>
          <w:szCs w:val="22"/>
          <w:lang w:val="es-ES"/>
        </w:rPr>
        <w:t xml:space="preserve">cifra claramente inferior a la exigida  para el momento en que arribó a la edad mínima, pues se exigían 1.100 semanas. </w:t>
      </w:r>
    </w:p>
    <w:p w:rsidR="005A15B7" w:rsidRPr="00EC192D" w:rsidRDefault="005A15B7" w:rsidP="005A15B7">
      <w:pPr>
        <w:pStyle w:val="Sinespaciado"/>
      </w:pPr>
    </w:p>
    <w:p w:rsidR="005A15B7" w:rsidRDefault="005A15B7" w:rsidP="005A15B7">
      <w:pPr>
        <w:pStyle w:val="Sinespaciado"/>
        <w:rPr>
          <w:lang w:val="es-ES"/>
        </w:rPr>
      </w:pPr>
    </w:p>
    <w:p w:rsidR="006B1B51" w:rsidRDefault="006B1B51" w:rsidP="006B1B51">
      <w:pPr>
        <w:spacing w:line="360" w:lineRule="auto"/>
        <w:jc w:val="both"/>
        <w:rPr>
          <w:rFonts w:ascii="Arial Narrow" w:hAnsi="Arial Narrow" w:cs="Arial"/>
          <w:bCs/>
          <w:i/>
          <w:iCs/>
          <w:sz w:val="32"/>
          <w:szCs w:val="32"/>
          <w:u w:val="single"/>
        </w:rPr>
      </w:pPr>
      <w:r w:rsidRPr="00AE68C8">
        <w:rPr>
          <w:rFonts w:ascii="Arial Narrow" w:hAnsi="Arial Narrow" w:cs="Arial"/>
          <w:bCs/>
          <w:i/>
          <w:iCs/>
          <w:sz w:val="32"/>
          <w:szCs w:val="32"/>
          <w:u w:val="single"/>
        </w:rPr>
        <w:t>ORALIDAD</w:t>
      </w:r>
    </w:p>
    <w:p w:rsidR="001B184E" w:rsidRPr="00AE68C8" w:rsidRDefault="001B184E" w:rsidP="001B184E">
      <w:pPr>
        <w:spacing w:line="360" w:lineRule="auto"/>
        <w:ind w:firstLine="840"/>
        <w:rPr>
          <w:rFonts w:ascii="Arial Narrow" w:hAnsi="Arial Narrow" w:cs="Arial"/>
          <w:sz w:val="28"/>
          <w:szCs w:val="28"/>
        </w:rPr>
      </w:pPr>
      <w:r w:rsidRPr="00AE68C8">
        <w:rPr>
          <w:rFonts w:ascii="Arial Narrow" w:hAnsi="Arial Narrow" w:cs="Arial"/>
          <w:sz w:val="28"/>
          <w:szCs w:val="28"/>
          <w:u w:val="single"/>
        </w:rPr>
        <w:lastRenderedPageBreak/>
        <w:t>AUDIENCIA PÚBLICA</w:t>
      </w:r>
      <w:r w:rsidRPr="00AE68C8">
        <w:rPr>
          <w:rFonts w:ascii="Arial Narrow" w:hAnsi="Arial Narrow" w:cs="Arial"/>
          <w:sz w:val="28"/>
          <w:szCs w:val="28"/>
        </w:rPr>
        <w:t>:</w:t>
      </w:r>
    </w:p>
    <w:p w:rsidR="001B184E" w:rsidRPr="000F5EA8" w:rsidRDefault="000F5EA8" w:rsidP="000F5EA8">
      <w:pPr>
        <w:pStyle w:val="Sinespaciado"/>
      </w:pPr>
      <w:r>
        <w:tab/>
      </w:r>
    </w:p>
    <w:p w:rsidR="001B184E" w:rsidRPr="00685EF6" w:rsidRDefault="001B184E" w:rsidP="001B184E">
      <w:pPr>
        <w:spacing w:line="360" w:lineRule="auto"/>
        <w:ind w:firstLine="851"/>
        <w:jc w:val="both"/>
        <w:rPr>
          <w:rFonts w:ascii="Arial Narrow" w:hAnsi="Arial Narrow" w:cs="Arial"/>
          <w:color w:val="FF0000"/>
          <w:sz w:val="28"/>
          <w:szCs w:val="28"/>
        </w:rPr>
      </w:pPr>
      <w:r>
        <w:rPr>
          <w:rFonts w:ascii="Arial Narrow" w:eastAsia="Calibri" w:hAnsi="Arial Narrow" w:cs="Arial"/>
          <w:sz w:val="28"/>
          <w:szCs w:val="28"/>
          <w:lang w:val="es-CO" w:eastAsia="en-US"/>
        </w:rPr>
        <w:t xml:space="preserve">En Pereira, a los dos (02) </w:t>
      </w:r>
      <w:r w:rsidRPr="008105C9">
        <w:rPr>
          <w:rFonts w:ascii="Arial Narrow" w:eastAsia="Calibri" w:hAnsi="Arial Narrow" w:cs="Arial"/>
          <w:sz w:val="28"/>
          <w:szCs w:val="28"/>
          <w:lang w:val="es-CO" w:eastAsia="en-US"/>
        </w:rPr>
        <w:t xml:space="preserve">días del mes de </w:t>
      </w:r>
      <w:r>
        <w:rPr>
          <w:rFonts w:ascii="Arial Narrow" w:eastAsia="Calibri" w:hAnsi="Arial Narrow" w:cs="Arial"/>
          <w:sz w:val="28"/>
          <w:szCs w:val="28"/>
          <w:lang w:val="es-CO" w:eastAsia="en-US"/>
        </w:rPr>
        <w:t>agosto de dos mil dieciocho  (</w:t>
      </w:r>
      <w:r w:rsidRPr="008105C9">
        <w:rPr>
          <w:rFonts w:ascii="Arial Narrow" w:eastAsia="Calibri" w:hAnsi="Arial Narrow" w:cs="Arial"/>
          <w:sz w:val="28"/>
          <w:szCs w:val="28"/>
          <w:lang w:val="es-CO" w:eastAsia="en-US"/>
        </w:rPr>
        <w:t>201</w:t>
      </w:r>
      <w:r>
        <w:rPr>
          <w:rFonts w:ascii="Arial Narrow" w:eastAsia="Calibri" w:hAnsi="Arial Narrow" w:cs="Arial"/>
          <w:sz w:val="28"/>
          <w:szCs w:val="28"/>
          <w:lang w:val="es-CO" w:eastAsia="en-US"/>
        </w:rPr>
        <w:t>8</w:t>
      </w:r>
      <w:r w:rsidRPr="008105C9">
        <w:rPr>
          <w:rFonts w:ascii="Arial Narrow" w:eastAsia="Calibri" w:hAnsi="Arial Narrow" w:cs="Arial"/>
          <w:sz w:val="28"/>
          <w:szCs w:val="28"/>
          <w:lang w:val="es-CO" w:eastAsia="en-US"/>
        </w:rPr>
        <w:t>), siendo las</w:t>
      </w:r>
      <w:r>
        <w:rPr>
          <w:rFonts w:ascii="Arial Narrow" w:eastAsia="Calibri" w:hAnsi="Arial Narrow" w:cs="Arial"/>
          <w:sz w:val="28"/>
          <w:szCs w:val="28"/>
          <w:lang w:val="es-CO" w:eastAsia="en-US"/>
        </w:rPr>
        <w:t xml:space="preserve"> </w:t>
      </w:r>
      <w:r w:rsidRPr="001B184E">
        <w:rPr>
          <w:rFonts w:ascii="Arial Narrow" w:eastAsia="Calibri" w:hAnsi="Arial Narrow" w:cs="Arial"/>
          <w:sz w:val="28"/>
          <w:szCs w:val="28"/>
          <w:lang w:val="es-CO" w:eastAsia="en-US"/>
        </w:rPr>
        <w:t xml:space="preserve">nueve de la mañana (09:00 a.m.), </w:t>
      </w:r>
      <w:r w:rsidRPr="001B184E">
        <w:rPr>
          <w:rFonts w:ascii="Arial Narrow" w:hAnsi="Arial Narrow" w:cs="Tahoma"/>
          <w:bCs/>
          <w:sz w:val="28"/>
          <w:szCs w:val="28"/>
          <w:lang w:eastAsia="es-CO"/>
        </w:rPr>
        <w:t xml:space="preserve">reunidos </w:t>
      </w:r>
      <w:r w:rsidRPr="008105C9">
        <w:rPr>
          <w:rFonts w:ascii="Arial Narrow" w:hAnsi="Arial Narrow" w:cs="Tahoma"/>
          <w:bCs/>
          <w:color w:val="000000"/>
          <w:sz w:val="28"/>
          <w:szCs w:val="28"/>
          <w:lang w:eastAsia="es-CO"/>
        </w:rPr>
        <w:t>en la Sala de Audiencia la</w:t>
      </w:r>
      <w:r>
        <w:rPr>
          <w:rFonts w:ascii="Arial Narrow" w:hAnsi="Arial Narrow" w:cs="Tahoma"/>
          <w:bCs/>
          <w:color w:val="000000"/>
          <w:sz w:val="28"/>
          <w:szCs w:val="28"/>
          <w:lang w:eastAsia="es-CO"/>
        </w:rPr>
        <w:t>s</w:t>
      </w:r>
      <w:r w:rsidRPr="008105C9">
        <w:rPr>
          <w:rFonts w:ascii="Arial Narrow" w:hAnsi="Arial Narrow" w:cs="Tahoma"/>
          <w:bCs/>
          <w:color w:val="000000"/>
          <w:sz w:val="28"/>
          <w:szCs w:val="28"/>
          <w:lang w:eastAsia="es-CO"/>
        </w:rPr>
        <w:t xml:space="preserve"> magistrada</w:t>
      </w:r>
      <w:r>
        <w:rPr>
          <w:rFonts w:ascii="Arial Narrow" w:hAnsi="Arial Narrow" w:cs="Tahoma"/>
          <w:bCs/>
          <w:color w:val="000000"/>
          <w:sz w:val="28"/>
          <w:szCs w:val="28"/>
          <w:lang w:eastAsia="es-CO"/>
        </w:rPr>
        <w:t>s</w:t>
      </w:r>
      <w:r w:rsidRPr="008105C9">
        <w:rPr>
          <w:rFonts w:ascii="Arial Narrow" w:hAnsi="Arial Narrow" w:cs="Tahoma"/>
          <w:bCs/>
          <w:color w:val="000000"/>
          <w:sz w:val="28"/>
          <w:szCs w:val="28"/>
          <w:lang w:eastAsia="es-CO"/>
        </w:rPr>
        <w:t xml:space="preserve"> y</w:t>
      </w:r>
      <w:r>
        <w:rPr>
          <w:rFonts w:ascii="Arial Narrow" w:hAnsi="Arial Narrow" w:cs="Tahoma"/>
          <w:bCs/>
          <w:color w:val="000000"/>
          <w:sz w:val="28"/>
          <w:szCs w:val="28"/>
          <w:lang w:eastAsia="es-CO"/>
        </w:rPr>
        <w:t xml:space="preserve"> el suscrito magistrado </w:t>
      </w:r>
      <w:r w:rsidRPr="008105C9">
        <w:rPr>
          <w:rFonts w:ascii="Arial Narrow" w:hAnsi="Arial Narrow" w:cs="Tahoma"/>
          <w:bCs/>
          <w:color w:val="000000"/>
          <w:sz w:val="28"/>
          <w:szCs w:val="28"/>
          <w:lang w:eastAsia="es-CO"/>
        </w:rPr>
        <w:t xml:space="preserve">de la Sala </w:t>
      </w:r>
      <w:r>
        <w:rPr>
          <w:rFonts w:ascii="Arial Narrow" w:hAnsi="Arial Narrow" w:cs="Tahoma"/>
          <w:bCs/>
          <w:color w:val="000000"/>
          <w:sz w:val="28"/>
          <w:szCs w:val="28"/>
          <w:lang w:eastAsia="es-CO"/>
        </w:rPr>
        <w:t xml:space="preserve">Cuarta </w:t>
      </w:r>
      <w:r w:rsidRPr="008105C9">
        <w:rPr>
          <w:rFonts w:ascii="Arial Narrow" w:hAnsi="Arial Narrow" w:cs="Tahoma"/>
          <w:bCs/>
          <w:color w:val="000000"/>
          <w:sz w:val="28"/>
          <w:szCs w:val="28"/>
          <w:lang w:eastAsia="es-CO"/>
        </w:rPr>
        <w:t xml:space="preserve">Laboral del Tribunal Superior de Pereira, el ponente declara abierto el acto, que tiene por objeto resolver el </w:t>
      </w:r>
      <w:r>
        <w:rPr>
          <w:rFonts w:ascii="Arial Narrow" w:hAnsi="Arial Narrow" w:cs="Tahoma"/>
          <w:bCs/>
          <w:color w:val="000000"/>
          <w:sz w:val="28"/>
          <w:szCs w:val="28"/>
          <w:lang w:eastAsia="es-CO"/>
        </w:rPr>
        <w:t xml:space="preserve">grado jurisdiccional de consulta frente a la </w:t>
      </w:r>
      <w:r w:rsidRPr="008105C9">
        <w:rPr>
          <w:rFonts w:ascii="Arial Narrow" w:hAnsi="Arial Narrow" w:cs="Arial"/>
          <w:sz w:val="28"/>
          <w:szCs w:val="28"/>
        </w:rPr>
        <w:t>sentencia proferida el</w:t>
      </w:r>
      <w:r>
        <w:rPr>
          <w:rFonts w:ascii="Arial Narrow" w:hAnsi="Arial Narrow" w:cs="Arial"/>
          <w:sz w:val="28"/>
          <w:szCs w:val="28"/>
        </w:rPr>
        <w:t xml:space="preserve"> 27 de septiembre de 2017 </w:t>
      </w:r>
      <w:r w:rsidRPr="008105C9">
        <w:rPr>
          <w:rFonts w:ascii="Arial Narrow" w:hAnsi="Arial Narrow" w:cs="Arial"/>
          <w:sz w:val="28"/>
          <w:szCs w:val="28"/>
        </w:rPr>
        <w:t xml:space="preserve">por el Juzgado </w:t>
      </w:r>
      <w:r>
        <w:rPr>
          <w:rFonts w:ascii="Arial Narrow" w:hAnsi="Arial Narrow" w:cs="Arial"/>
          <w:sz w:val="28"/>
          <w:szCs w:val="28"/>
        </w:rPr>
        <w:t xml:space="preserve">Cuarto Laboral </w:t>
      </w:r>
      <w:r w:rsidRPr="008105C9">
        <w:rPr>
          <w:rFonts w:ascii="Arial Narrow" w:hAnsi="Arial Narrow" w:cs="Arial"/>
          <w:sz w:val="28"/>
          <w:szCs w:val="28"/>
        </w:rPr>
        <w:t xml:space="preserve">del Circuito de Pereira, dentro del proceso ordinario laboral promovido por </w:t>
      </w:r>
      <w:r>
        <w:rPr>
          <w:rFonts w:ascii="Arial Narrow" w:hAnsi="Arial Narrow" w:cs="Arial"/>
          <w:i/>
          <w:iCs/>
          <w:sz w:val="28"/>
          <w:szCs w:val="28"/>
        </w:rPr>
        <w:t xml:space="preserve">María Nubia Cortes López </w:t>
      </w:r>
      <w:r w:rsidRPr="00F51071">
        <w:rPr>
          <w:rFonts w:ascii="Arial Narrow" w:hAnsi="Arial Narrow" w:cs="Arial"/>
          <w:sz w:val="28"/>
          <w:szCs w:val="28"/>
        </w:rPr>
        <w:t xml:space="preserve">contra la </w:t>
      </w:r>
      <w:r w:rsidRPr="00F51071">
        <w:rPr>
          <w:rFonts w:ascii="Arial Narrow" w:hAnsi="Arial Narrow" w:cs="Arial"/>
          <w:i/>
          <w:sz w:val="28"/>
          <w:szCs w:val="28"/>
        </w:rPr>
        <w:t>Administradora Colomb</w:t>
      </w:r>
      <w:r>
        <w:rPr>
          <w:rFonts w:ascii="Arial Narrow" w:hAnsi="Arial Narrow" w:cs="Arial"/>
          <w:i/>
          <w:sz w:val="28"/>
          <w:szCs w:val="28"/>
        </w:rPr>
        <w:t>iana de Pensiones Colpensiones.</w:t>
      </w:r>
    </w:p>
    <w:p w:rsidR="001B184E" w:rsidRPr="00837C04" w:rsidRDefault="001B184E" w:rsidP="001B184E">
      <w:pPr>
        <w:pStyle w:val="Sinespaciado"/>
      </w:pPr>
    </w:p>
    <w:p w:rsidR="000F5EA8" w:rsidRPr="000F5EA8" w:rsidRDefault="001B184E" w:rsidP="000F5EA8">
      <w:pPr>
        <w:pStyle w:val="Prrafodelista"/>
        <w:numPr>
          <w:ilvl w:val="0"/>
          <w:numId w:val="1"/>
        </w:numPr>
        <w:tabs>
          <w:tab w:val="left" w:pos="1571"/>
        </w:tabs>
        <w:spacing w:line="360" w:lineRule="auto"/>
        <w:ind w:hanging="295"/>
        <w:jc w:val="both"/>
        <w:rPr>
          <w:rFonts w:ascii="Arial Narrow" w:hAnsi="Arial Narrow" w:cs="Tahoma"/>
          <w:sz w:val="28"/>
          <w:szCs w:val="28"/>
        </w:rPr>
      </w:pPr>
      <w:r w:rsidRPr="000F5EA8">
        <w:rPr>
          <w:rFonts w:ascii="Arial Narrow" w:hAnsi="Arial Narrow" w:cs="Tahoma"/>
          <w:i/>
          <w:sz w:val="28"/>
          <w:szCs w:val="28"/>
        </w:rPr>
        <w:t>INTRODUCCIÓN</w:t>
      </w:r>
    </w:p>
    <w:p w:rsidR="000F5EA8" w:rsidRPr="000F5EA8" w:rsidRDefault="000F5EA8" w:rsidP="000F5EA8">
      <w:pPr>
        <w:pStyle w:val="Sinespaciado"/>
      </w:pPr>
    </w:p>
    <w:p w:rsidR="001B184E" w:rsidRPr="000F5EA8" w:rsidRDefault="001B184E" w:rsidP="000F5EA8">
      <w:pPr>
        <w:spacing w:line="360" w:lineRule="auto"/>
        <w:ind w:firstLine="708"/>
        <w:jc w:val="both"/>
        <w:rPr>
          <w:rFonts w:ascii="Arial Narrow" w:hAnsi="Arial Narrow" w:cs="Tahoma"/>
          <w:sz w:val="28"/>
          <w:szCs w:val="28"/>
        </w:rPr>
      </w:pPr>
      <w:r w:rsidRPr="000F5EA8">
        <w:rPr>
          <w:rFonts w:ascii="Arial Narrow" w:hAnsi="Arial Narrow" w:cs="Tahoma"/>
          <w:sz w:val="28"/>
          <w:szCs w:val="28"/>
        </w:rPr>
        <w:t xml:space="preserve">La demandante pretende que se declare que tiene derecho a la pensión de vejez, y en consecuencia, se condene a la entidad demandada a reconocer y pagar dicha prestación a partir del 1° de octubre de 2016, junto con el retroactivo, los intereses moratorios contenidos en el canon 141 de la Ley 100/93, más las costas del proceso. </w:t>
      </w:r>
    </w:p>
    <w:p w:rsidR="001B184E" w:rsidRPr="00FC7F0B" w:rsidRDefault="001B184E" w:rsidP="001B184E">
      <w:pPr>
        <w:pStyle w:val="Sinespaciado"/>
      </w:pPr>
    </w:p>
    <w:p w:rsidR="002F3790" w:rsidRDefault="001B184E" w:rsidP="001B184E">
      <w:pPr>
        <w:shd w:val="clear" w:color="auto" w:fill="FFFFFF"/>
        <w:spacing w:line="360" w:lineRule="auto"/>
        <w:ind w:firstLine="851"/>
        <w:jc w:val="both"/>
        <w:rPr>
          <w:rFonts w:ascii="Arial Narrow" w:hAnsi="Arial Narrow" w:cs="Tahoma"/>
          <w:color w:val="000000"/>
          <w:sz w:val="28"/>
          <w:szCs w:val="28"/>
          <w:lang w:eastAsia="es-CO"/>
        </w:rPr>
      </w:pPr>
      <w:r w:rsidRPr="008105C9">
        <w:rPr>
          <w:rFonts w:ascii="Arial Narrow" w:hAnsi="Arial Narrow" w:cs="Tahoma"/>
          <w:color w:val="000000"/>
          <w:sz w:val="28"/>
          <w:szCs w:val="28"/>
          <w:lang w:eastAsia="es-CO"/>
        </w:rPr>
        <w:t>Como fundamento a sus pedimentos exp</w:t>
      </w:r>
      <w:r>
        <w:rPr>
          <w:rFonts w:ascii="Arial Narrow" w:hAnsi="Arial Narrow" w:cs="Tahoma"/>
          <w:color w:val="000000"/>
          <w:sz w:val="28"/>
          <w:szCs w:val="28"/>
          <w:lang w:eastAsia="es-CO"/>
        </w:rPr>
        <w:t xml:space="preserve">one que nació el </w:t>
      </w:r>
      <w:r w:rsidR="002F3790">
        <w:rPr>
          <w:rFonts w:ascii="Arial Narrow" w:hAnsi="Arial Narrow" w:cs="Tahoma"/>
          <w:color w:val="000000"/>
          <w:sz w:val="28"/>
          <w:szCs w:val="28"/>
          <w:lang w:eastAsia="es-CO"/>
        </w:rPr>
        <w:t xml:space="preserve">26 de septiembre de 1952, </w:t>
      </w:r>
      <w:r w:rsidR="000F5EA8">
        <w:rPr>
          <w:rFonts w:ascii="Arial Narrow" w:hAnsi="Arial Narrow" w:cs="Tahoma"/>
          <w:color w:val="000000"/>
          <w:sz w:val="28"/>
          <w:szCs w:val="28"/>
          <w:lang w:eastAsia="es-CO"/>
        </w:rPr>
        <w:t xml:space="preserve">por lo que </w:t>
      </w:r>
      <w:r w:rsidR="002F3790">
        <w:rPr>
          <w:rFonts w:ascii="Arial Narrow" w:hAnsi="Arial Narrow" w:cs="Tahoma"/>
          <w:color w:val="000000"/>
          <w:sz w:val="28"/>
          <w:szCs w:val="28"/>
          <w:lang w:eastAsia="es-CO"/>
        </w:rPr>
        <w:t xml:space="preserve">la entrada en vigencia de la Ley 100/93 tenía 41 años de edad; que cotizó al sistema pensional un total de 1.012,43 semanas; que mediante Resolución No. 6230 de 2008 el extinto </w:t>
      </w:r>
      <w:proofErr w:type="spellStart"/>
      <w:r w:rsidR="002F3790">
        <w:rPr>
          <w:rFonts w:ascii="Arial Narrow" w:hAnsi="Arial Narrow" w:cs="Tahoma"/>
          <w:color w:val="000000"/>
          <w:sz w:val="28"/>
          <w:szCs w:val="28"/>
          <w:lang w:eastAsia="es-CO"/>
        </w:rPr>
        <w:t>ISS</w:t>
      </w:r>
      <w:proofErr w:type="spellEnd"/>
      <w:r w:rsidR="002F3790">
        <w:rPr>
          <w:rFonts w:ascii="Arial Narrow" w:hAnsi="Arial Narrow" w:cs="Tahoma"/>
          <w:color w:val="000000"/>
          <w:sz w:val="28"/>
          <w:szCs w:val="28"/>
          <w:lang w:eastAsia="es-CO"/>
        </w:rPr>
        <w:t xml:space="preserve"> le informó que debía </w:t>
      </w:r>
      <w:r w:rsidR="000F5EA8">
        <w:rPr>
          <w:rFonts w:ascii="Arial Narrow" w:hAnsi="Arial Narrow" w:cs="Tahoma"/>
          <w:color w:val="000000"/>
          <w:sz w:val="28"/>
          <w:szCs w:val="28"/>
          <w:lang w:eastAsia="es-CO"/>
        </w:rPr>
        <w:t xml:space="preserve">seguir cotizando hasta alcanzar </w:t>
      </w:r>
      <w:r w:rsidR="002F3790">
        <w:rPr>
          <w:rFonts w:ascii="Arial Narrow" w:hAnsi="Arial Narrow" w:cs="Tahoma"/>
          <w:color w:val="000000"/>
          <w:sz w:val="28"/>
          <w:szCs w:val="28"/>
          <w:lang w:eastAsia="es-CO"/>
        </w:rPr>
        <w:t xml:space="preserve">un mínimo de 1.000 semanas en cualquier tiempo; que el 23 de noviembre de 2016 </w:t>
      </w:r>
      <w:r w:rsidR="000F5EA8">
        <w:rPr>
          <w:rFonts w:ascii="Arial Narrow" w:hAnsi="Arial Narrow" w:cs="Tahoma"/>
          <w:color w:val="000000"/>
          <w:sz w:val="28"/>
          <w:szCs w:val="28"/>
          <w:lang w:eastAsia="es-CO"/>
        </w:rPr>
        <w:t xml:space="preserve">presentó nuevamente solicitud de pensión de </w:t>
      </w:r>
      <w:r w:rsidR="002F3790">
        <w:rPr>
          <w:rFonts w:ascii="Arial Narrow" w:hAnsi="Arial Narrow" w:cs="Tahoma"/>
          <w:color w:val="000000"/>
          <w:sz w:val="28"/>
          <w:szCs w:val="28"/>
          <w:lang w:eastAsia="es-CO"/>
        </w:rPr>
        <w:t xml:space="preserve">vejez, misma que fue resuelta negativamente por la entidad a través de Resolución </w:t>
      </w:r>
      <w:proofErr w:type="spellStart"/>
      <w:r w:rsidR="002F3790">
        <w:rPr>
          <w:rFonts w:ascii="Arial Narrow" w:hAnsi="Arial Narrow" w:cs="Tahoma"/>
          <w:color w:val="000000"/>
          <w:sz w:val="28"/>
          <w:szCs w:val="28"/>
          <w:lang w:eastAsia="es-CO"/>
        </w:rPr>
        <w:t>GNR</w:t>
      </w:r>
      <w:proofErr w:type="spellEnd"/>
      <w:r w:rsidR="002F3790">
        <w:rPr>
          <w:rFonts w:ascii="Arial Narrow" w:hAnsi="Arial Narrow" w:cs="Tahoma"/>
          <w:color w:val="000000"/>
          <w:sz w:val="28"/>
          <w:szCs w:val="28"/>
          <w:lang w:eastAsia="es-CO"/>
        </w:rPr>
        <w:t xml:space="preserve"> 19225 de 2017</w:t>
      </w:r>
      <w:r w:rsidR="0045605A">
        <w:rPr>
          <w:rFonts w:ascii="Arial Narrow" w:hAnsi="Arial Narrow" w:cs="Tahoma"/>
          <w:color w:val="000000"/>
          <w:sz w:val="28"/>
          <w:szCs w:val="28"/>
          <w:lang w:eastAsia="es-CO"/>
        </w:rPr>
        <w:t xml:space="preserve">, quedando agotada en debida forma la vía gubernativa. </w:t>
      </w:r>
    </w:p>
    <w:p w:rsidR="001B184E" w:rsidRDefault="001B184E" w:rsidP="001B184E">
      <w:pPr>
        <w:spacing w:line="360" w:lineRule="auto"/>
        <w:ind w:firstLine="708"/>
        <w:jc w:val="both"/>
        <w:rPr>
          <w:rFonts w:ascii="Arial Narrow" w:hAnsi="Arial Narrow" w:cs="Arial"/>
          <w:sz w:val="28"/>
          <w:szCs w:val="28"/>
        </w:rPr>
      </w:pPr>
      <w:r>
        <w:rPr>
          <w:rFonts w:ascii="Arial Narrow" w:hAnsi="Arial Narrow" w:cs="Arial"/>
          <w:sz w:val="28"/>
          <w:szCs w:val="28"/>
        </w:rPr>
        <w:t xml:space="preserve">Admitida la demanda se corrió traslado a </w:t>
      </w:r>
      <w:r w:rsidRPr="009868D1">
        <w:rPr>
          <w:rFonts w:ascii="Arial Narrow" w:hAnsi="Arial Narrow" w:cs="Arial"/>
          <w:sz w:val="28"/>
          <w:szCs w:val="28"/>
        </w:rPr>
        <w:t>Colpensiones</w:t>
      </w:r>
      <w:r>
        <w:rPr>
          <w:rFonts w:ascii="Arial Narrow" w:hAnsi="Arial Narrow" w:cs="Arial"/>
          <w:b/>
          <w:sz w:val="28"/>
          <w:szCs w:val="28"/>
        </w:rPr>
        <w:t xml:space="preserve">, </w:t>
      </w:r>
      <w:r w:rsidRPr="00881C80">
        <w:rPr>
          <w:rFonts w:ascii="Arial Narrow" w:hAnsi="Arial Narrow" w:cs="Arial"/>
          <w:sz w:val="28"/>
          <w:szCs w:val="28"/>
        </w:rPr>
        <w:t xml:space="preserve">quien </w:t>
      </w:r>
      <w:r>
        <w:rPr>
          <w:rFonts w:ascii="Arial Narrow" w:hAnsi="Arial Narrow" w:cs="Arial"/>
          <w:sz w:val="28"/>
          <w:szCs w:val="28"/>
        </w:rPr>
        <w:t xml:space="preserve">a través de su portavoz judicial allegó </w:t>
      </w:r>
      <w:r w:rsidRPr="00881C80">
        <w:rPr>
          <w:rFonts w:ascii="Arial Narrow" w:hAnsi="Arial Narrow" w:cs="Arial"/>
          <w:sz w:val="28"/>
          <w:szCs w:val="28"/>
        </w:rPr>
        <w:t>respuesta, oponiéndose a l</w:t>
      </w:r>
      <w:r>
        <w:rPr>
          <w:rFonts w:ascii="Arial Narrow" w:hAnsi="Arial Narrow" w:cs="Arial"/>
          <w:sz w:val="28"/>
          <w:szCs w:val="28"/>
        </w:rPr>
        <w:t xml:space="preserve">a totalidad de las pretensiones, al considerar que la actora no cumple con los requisitos para acceder al derecho pensional reclamado. </w:t>
      </w:r>
      <w:r w:rsidRPr="00881C80">
        <w:rPr>
          <w:rFonts w:ascii="Arial Narrow" w:hAnsi="Arial Narrow" w:cs="Arial"/>
          <w:sz w:val="28"/>
          <w:szCs w:val="28"/>
        </w:rPr>
        <w:t xml:space="preserve">En su defensa, propuso como excepciones </w:t>
      </w:r>
      <w:r>
        <w:rPr>
          <w:rFonts w:ascii="Arial Narrow" w:hAnsi="Arial Narrow" w:cs="Arial"/>
          <w:sz w:val="28"/>
          <w:szCs w:val="28"/>
        </w:rPr>
        <w:t xml:space="preserve">las de </w:t>
      </w:r>
      <w:r w:rsidRPr="00881C80">
        <w:rPr>
          <w:rFonts w:ascii="Arial Narrow" w:hAnsi="Arial Narrow" w:cs="Arial"/>
          <w:sz w:val="28"/>
          <w:szCs w:val="28"/>
        </w:rPr>
        <w:t>“Inexistenci</w:t>
      </w:r>
      <w:r>
        <w:rPr>
          <w:rFonts w:ascii="Arial Narrow" w:hAnsi="Arial Narrow" w:cs="Arial"/>
          <w:sz w:val="28"/>
          <w:szCs w:val="28"/>
        </w:rPr>
        <w:t>a de</w:t>
      </w:r>
      <w:r w:rsidR="0045605A">
        <w:rPr>
          <w:rFonts w:ascii="Arial Narrow" w:hAnsi="Arial Narrow" w:cs="Arial"/>
          <w:sz w:val="28"/>
          <w:szCs w:val="28"/>
        </w:rPr>
        <w:t xml:space="preserve"> la obligación y cobro de lo no debido</w:t>
      </w:r>
      <w:r>
        <w:rPr>
          <w:rFonts w:ascii="Arial Narrow" w:hAnsi="Arial Narrow" w:cs="Arial"/>
          <w:sz w:val="28"/>
          <w:szCs w:val="28"/>
        </w:rPr>
        <w:t xml:space="preserve">”, </w:t>
      </w:r>
      <w:r w:rsidR="0045605A">
        <w:rPr>
          <w:rFonts w:ascii="Arial Narrow" w:hAnsi="Arial Narrow" w:cs="Arial"/>
          <w:sz w:val="28"/>
          <w:szCs w:val="28"/>
        </w:rPr>
        <w:t xml:space="preserve">“Imposibilidad jurídica para cumplir con las obligaciones pretendidas”, </w:t>
      </w:r>
      <w:r>
        <w:rPr>
          <w:rFonts w:ascii="Arial Narrow" w:hAnsi="Arial Narrow" w:cs="Arial"/>
          <w:sz w:val="28"/>
          <w:szCs w:val="28"/>
        </w:rPr>
        <w:t xml:space="preserve">“Prescripción” y “Buena fe”. </w:t>
      </w:r>
    </w:p>
    <w:p w:rsidR="001B184E" w:rsidRDefault="001B184E" w:rsidP="001B184E">
      <w:pPr>
        <w:pStyle w:val="Sinespaciado"/>
        <w:spacing w:line="360" w:lineRule="auto"/>
      </w:pPr>
    </w:p>
    <w:p w:rsidR="001B184E" w:rsidRPr="00881C80" w:rsidRDefault="001B184E" w:rsidP="001B184E">
      <w:pPr>
        <w:pStyle w:val="Prrafodelista"/>
        <w:numPr>
          <w:ilvl w:val="0"/>
          <w:numId w:val="1"/>
        </w:numPr>
        <w:spacing w:line="360" w:lineRule="auto"/>
        <w:jc w:val="both"/>
        <w:rPr>
          <w:rFonts w:ascii="Arial Narrow" w:hAnsi="Arial Narrow" w:cs="Arial"/>
          <w:i/>
          <w:sz w:val="28"/>
          <w:szCs w:val="28"/>
        </w:rPr>
      </w:pPr>
      <w:r>
        <w:rPr>
          <w:rFonts w:ascii="Arial Narrow" w:hAnsi="Arial Narrow" w:cs="Arial"/>
          <w:i/>
          <w:sz w:val="28"/>
          <w:szCs w:val="28"/>
        </w:rPr>
        <w:t>SENTENCIA</w:t>
      </w:r>
    </w:p>
    <w:p w:rsidR="001B184E" w:rsidRPr="00FC7F0B" w:rsidRDefault="001B184E" w:rsidP="001B184E">
      <w:pPr>
        <w:pStyle w:val="Sinespaciado"/>
      </w:pPr>
    </w:p>
    <w:p w:rsidR="001B184E" w:rsidRPr="000F7876" w:rsidRDefault="001B184E" w:rsidP="001B184E">
      <w:pPr>
        <w:spacing w:line="360" w:lineRule="auto"/>
        <w:ind w:firstLine="708"/>
        <w:jc w:val="both"/>
        <w:rPr>
          <w:rFonts w:ascii="Arial Narrow" w:hAnsi="Arial Narrow" w:cs="Arial"/>
          <w:color w:val="FF0000"/>
          <w:sz w:val="28"/>
          <w:szCs w:val="28"/>
        </w:rPr>
      </w:pPr>
      <w:r w:rsidRPr="00BE4D77">
        <w:rPr>
          <w:rFonts w:ascii="Arial Narrow" w:hAnsi="Arial Narrow" w:cs="Arial"/>
          <w:sz w:val="28"/>
          <w:szCs w:val="28"/>
        </w:rPr>
        <w:t xml:space="preserve">El Juzgado </w:t>
      </w:r>
      <w:r>
        <w:rPr>
          <w:rFonts w:ascii="Arial Narrow" w:hAnsi="Arial Narrow" w:cs="Arial"/>
          <w:sz w:val="28"/>
          <w:szCs w:val="28"/>
        </w:rPr>
        <w:t xml:space="preserve">de conocimiento </w:t>
      </w:r>
      <w:r w:rsidRPr="00BE4D77">
        <w:rPr>
          <w:rFonts w:ascii="Arial Narrow" w:hAnsi="Arial Narrow" w:cs="Arial"/>
          <w:sz w:val="28"/>
          <w:szCs w:val="28"/>
        </w:rPr>
        <w:t xml:space="preserve">mediante fallo del </w:t>
      </w:r>
      <w:r w:rsidR="0045605A">
        <w:rPr>
          <w:rFonts w:ascii="Arial Narrow" w:hAnsi="Arial Narrow" w:cs="Arial"/>
          <w:sz w:val="28"/>
          <w:szCs w:val="28"/>
        </w:rPr>
        <w:t xml:space="preserve">27 de septiembre de 2017, </w:t>
      </w:r>
      <w:r w:rsidR="000C10C6">
        <w:rPr>
          <w:rFonts w:ascii="Arial Narrow" w:hAnsi="Arial Narrow" w:cs="Arial"/>
          <w:sz w:val="28"/>
          <w:szCs w:val="28"/>
        </w:rPr>
        <w:t xml:space="preserve">negó las pretensiones de la demanda y </w:t>
      </w:r>
      <w:r>
        <w:rPr>
          <w:rFonts w:ascii="Arial Narrow" w:hAnsi="Arial Narrow" w:cs="Arial"/>
          <w:sz w:val="28"/>
          <w:szCs w:val="28"/>
        </w:rPr>
        <w:t>condenó en costas a la parte vencida en un 100%. Para así concluir, indicó que si bien, en principio</w:t>
      </w:r>
      <w:r w:rsidRPr="005A60B1">
        <w:rPr>
          <w:rFonts w:ascii="Arial Narrow" w:hAnsi="Arial Narrow" w:cs="Arial"/>
          <w:sz w:val="28"/>
          <w:szCs w:val="28"/>
        </w:rPr>
        <w:t xml:space="preserve">, la demandante era beneficiaria </w:t>
      </w:r>
      <w:r>
        <w:rPr>
          <w:rFonts w:ascii="Arial Narrow" w:hAnsi="Arial Narrow" w:cs="Arial"/>
          <w:sz w:val="28"/>
          <w:szCs w:val="28"/>
        </w:rPr>
        <w:t xml:space="preserve">del régimen de transición que contempla el artículo 36 de la Ley 100/93, puesto que al 1º de abril de 1994 tenía más de 35 años de edad, no consolidó su derecho pensional con antelación al 31 de julio de 2010, ni satisfizo las 750 semanas exigidas en el Acto Legislativo </w:t>
      </w:r>
      <w:r w:rsidRPr="000F5EA8">
        <w:rPr>
          <w:rFonts w:ascii="Arial Narrow" w:hAnsi="Arial Narrow" w:cs="Arial"/>
          <w:sz w:val="28"/>
          <w:szCs w:val="28"/>
        </w:rPr>
        <w:t>01 de 2005, para extender dichos beneficios del régimen de transición hasta el 2014, pues al 29 de julio de 2005 sólo reportó un total de</w:t>
      </w:r>
      <w:r w:rsidR="000F5EA8" w:rsidRPr="000F5EA8">
        <w:rPr>
          <w:rFonts w:ascii="Arial Narrow" w:hAnsi="Arial Narrow" w:cs="Arial"/>
          <w:sz w:val="28"/>
          <w:szCs w:val="28"/>
        </w:rPr>
        <w:t xml:space="preserve"> 691</w:t>
      </w:r>
      <w:r w:rsidRPr="000F5EA8">
        <w:rPr>
          <w:rFonts w:ascii="Arial Narrow" w:hAnsi="Arial Narrow" w:cs="Arial"/>
          <w:sz w:val="28"/>
          <w:szCs w:val="28"/>
        </w:rPr>
        <w:t xml:space="preserve"> semanas de aportes. Por último, encontró que la actora tampoco acredita el cumplimiento de los requisitos exigidos por la Ley 797 de 2003 para acceder al derecho pensional solicitado.</w:t>
      </w:r>
    </w:p>
    <w:p w:rsidR="001B184E" w:rsidRDefault="001B184E" w:rsidP="001B184E">
      <w:pPr>
        <w:shd w:val="clear" w:color="auto" w:fill="FFFFFF"/>
        <w:spacing w:line="360" w:lineRule="auto"/>
        <w:contextualSpacing/>
        <w:jc w:val="both"/>
        <w:rPr>
          <w:rFonts w:asciiTheme="minorHAnsi" w:eastAsiaTheme="minorHAnsi" w:hAnsiTheme="minorHAnsi" w:cstheme="minorBidi"/>
          <w:sz w:val="22"/>
          <w:szCs w:val="22"/>
          <w:lang w:eastAsia="en-US"/>
        </w:rPr>
      </w:pPr>
    </w:p>
    <w:p w:rsidR="001B184E" w:rsidRDefault="000C10C6" w:rsidP="001B184E">
      <w:pPr>
        <w:pStyle w:val="Prrafodelista"/>
        <w:numPr>
          <w:ilvl w:val="0"/>
          <w:numId w:val="1"/>
        </w:numPr>
        <w:shd w:val="clear" w:color="auto" w:fill="FFFFFF"/>
        <w:spacing w:line="360" w:lineRule="auto"/>
        <w:contextualSpacing/>
        <w:jc w:val="both"/>
        <w:rPr>
          <w:rFonts w:ascii="Arial Narrow" w:hAnsi="Arial Narrow" w:cs="Tahoma"/>
          <w:i/>
          <w:sz w:val="28"/>
          <w:szCs w:val="28"/>
        </w:rPr>
      </w:pPr>
      <w:r>
        <w:rPr>
          <w:rFonts w:ascii="Arial Narrow" w:hAnsi="Arial Narrow" w:cs="Tahoma"/>
          <w:i/>
          <w:sz w:val="28"/>
          <w:szCs w:val="28"/>
        </w:rPr>
        <w:t xml:space="preserve">CONSULTA </w:t>
      </w:r>
    </w:p>
    <w:p w:rsidR="000C10C6" w:rsidRPr="007D0FF1" w:rsidRDefault="000C10C6" w:rsidP="007D0FF1">
      <w:pPr>
        <w:pStyle w:val="Sinespaciado"/>
      </w:pPr>
      <w:r>
        <w:tab/>
      </w:r>
    </w:p>
    <w:p w:rsidR="000C10C6" w:rsidRDefault="000C10C6" w:rsidP="000C10C6">
      <w:pPr>
        <w:shd w:val="clear" w:color="auto" w:fill="FFFFFF"/>
        <w:spacing w:line="360" w:lineRule="auto"/>
        <w:ind w:firstLine="708"/>
        <w:jc w:val="both"/>
        <w:rPr>
          <w:rFonts w:ascii="Arial Narrow" w:hAnsi="Arial Narrow" w:cs="Tahoma"/>
          <w:iCs/>
          <w:color w:val="000000"/>
          <w:sz w:val="28"/>
          <w:szCs w:val="28"/>
          <w:lang w:val="es-MX" w:eastAsia="es-CO"/>
        </w:rPr>
      </w:pPr>
      <w:r w:rsidRPr="00E32795">
        <w:rPr>
          <w:rFonts w:ascii="Arial Narrow" w:hAnsi="Arial Narrow" w:cs="Tahoma"/>
          <w:iCs/>
          <w:color w:val="000000"/>
          <w:sz w:val="28"/>
          <w:szCs w:val="28"/>
          <w:lang w:val="es-MX" w:eastAsia="es-CO"/>
        </w:rPr>
        <w:t>Dado que la decisión</w:t>
      </w:r>
      <w:r>
        <w:rPr>
          <w:rFonts w:ascii="Arial Narrow" w:hAnsi="Arial Narrow" w:cs="Tahoma"/>
          <w:iCs/>
          <w:color w:val="000000"/>
          <w:sz w:val="28"/>
          <w:szCs w:val="28"/>
          <w:lang w:val="es-MX" w:eastAsia="es-CO"/>
        </w:rPr>
        <w:t xml:space="preserve"> fue adversa a los intereses de la demandante</w:t>
      </w:r>
      <w:r w:rsidRPr="00E32795">
        <w:rPr>
          <w:rFonts w:ascii="Arial Narrow" w:hAnsi="Arial Narrow" w:cs="Tahoma"/>
          <w:iCs/>
          <w:color w:val="000000"/>
          <w:sz w:val="28"/>
          <w:szCs w:val="28"/>
          <w:lang w:val="es-MX" w:eastAsia="es-CO"/>
        </w:rPr>
        <w:t>, se remitió</w:t>
      </w:r>
      <w:r>
        <w:rPr>
          <w:rFonts w:ascii="Arial Narrow" w:hAnsi="Arial Narrow" w:cs="Tahoma"/>
          <w:iCs/>
          <w:color w:val="000000"/>
          <w:sz w:val="28"/>
          <w:szCs w:val="28"/>
          <w:lang w:val="es-MX" w:eastAsia="es-CO"/>
        </w:rPr>
        <w:t xml:space="preserve"> ante esta Sala </w:t>
      </w:r>
      <w:r w:rsidRPr="00E32795">
        <w:rPr>
          <w:rFonts w:ascii="Arial Narrow" w:hAnsi="Arial Narrow" w:cs="Tahoma"/>
          <w:iCs/>
          <w:color w:val="000000"/>
          <w:sz w:val="28"/>
          <w:szCs w:val="28"/>
          <w:lang w:val="es-MX" w:eastAsia="es-CO"/>
        </w:rPr>
        <w:t>para que se surta el g</w:t>
      </w:r>
      <w:r>
        <w:rPr>
          <w:rFonts w:ascii="Arial Narrow" w:hAnsi="Arial Narrow" w:cs="Tahoma"/>
          <w:iCs/>
          <w:color w:val="000000"/>
          <w:sz w:val="28"/>
          <w:szCs w:val="28"/>
          <w:lang w:val="es-MX" w:eastAsia="es-CO"/>
        </w:rPr>
        <w:t>rado jurisdiccional de consulta a su favor,</w:t>
      </w:r>
      <w:r w:rsidRPr="00E32795">
        <w:rPr>
          <w:rFonts w:ascii="Arial Narrow" w:hAnsi="Arial Narrow" w:cs="Tahoma"/>
          <w:iCs/>
          <w:color w:val="000000"/>
          <w:sz w:val="28"/>
          <w:szCs w:val="28"/>
          <w:lang w:val="es-MX" w:eastAsia="es-CO"/>
        </w:rPr>
        <w:t xml:space="preserve"> tal como lo manda el artículo 69 del </w:t>
      </w:r>
      <w:proofErr w:type="spellStart"/>
      <w:r w:rsidRPr="00E32795">
        <w:rPr>
          <w:rFonts w:ascii="Arial Narrow" w:hAnsi="Arial Narrow" w:cs="Tahoma"/>
          <w:iCs/>
          <w:color w:val="000000"/>
          <w:sz w:val="28"/>
          <w:szCs w:val="28"/>
          <w:lang w:val="es-MX" w:eastAsia="es-CO"/>
        </w:rPr>
        <w:t>C.P.T</w:t>
      </w:r>
      <w:proofErr w:type="spellEnd"/>
      <w:r w:rsidRPr="00E32795">
        <w:rPr>
          <w:rFonts w:ascii="Arial Narrow" w:hAnsi="Arial Narrow" w:cs="Tahoma"/>
          <w:iCs/>
          <w:color w:val="000000"/>
          <w:sz w:val="28"/>
          <w:szCs w:val="28"/>
          <w:lang w:val="es-MX" w:eastAsia="es-CO"/>
        </w:rPr>
        <w:t xml:space="preserve"> </w:t>
      </w:r>
    </w:p>
    <w:p w:rsidR="001B184E" w:rsidRPr="00A2569D" w:rsidRDefault="000F5EA8" w:rsidP="000F5EA8">
      <w:pPr>
        <w:shd w:val="clear" w:color="auto" w:fill="FFFFFF"/>
        <w:tabs>
          <w:tab w:val="left" w:pos="2100"/>
        </w:tabs>
        <w:spacing w:line="360" w:lineRule="auto"/>
        <w:contextualSpacing/>
        <w:jc w:val="both"/>
      </w:pPr>
      <w:r>
        <w:rPr>
          <w:rFonts w:ascii="Arial Narrow" w:hAnsi="Arial Narrow" w:cs="Tahoma"/>
          <w:i/>
          <w:sz w:val="28"/>
          <w:szCs w:val="28"/>
        </w:rPr>
        <w:tab/>
      </w:r>
    </w:p>
    <w:p w:rsidR="001B184E" w:rsidRPr="00A2569D" w:rsidRDefault="001B184E" w:rsidP="001B184E">
      <w:pPr>
        <w:pStyle w:val="Prrafodelista"/>
        <w:numPr>
          <w:ilvl w:val="0"/>
          <w:numId w:val="1"/>
        </w:numPr>
        <w:tabs>
          <w:tab w:val="left" w:pos="0"/>
          <w:tab w:val="left" w:pos="8647"/>
        </w:tabs>
        <w:suppressAutoHyphens/>
        <w:spacing w:line="360" w:lineRule="auto"/>
        <w:contextualSpacing/>
        <w:jc w:val="both"/>
        <w:rPr>
          <w:rFonts w:ascii="Arial Narrow" w:hAnsi="Arial Narrow" w:cs="Tahoma"/>
          <w:sz w:val="28"/>
          <w:szCs w:val="28"/>
        </w:rPr>
      </w:pPr>
      <w:r w:rsidRPr="00A2569D">
        <w:rPr>
          <w:rFonts w:ascii="Arial Narrow" w:hAnsi="Arial Narrow" w:cs="Tahoma"/>
          <w:i/>
          <w:sz w:val="28"/>
          <w:szCs w:val="28"/>
        </w:rPr>
        <w:t>ALEGATOS EN ESTA INSTANCIA</w:t>
      </w:r>
      <w:r w:rsidRPr="00A2569D">
        <w:rPr>
          <w:rFonts w:ascii="Arial Narrow" w:hAnsi="Arial Narrow" w:cs="Tahoma"/>
          <w:sz w:val="28"/>
          <w:szCs w:val="28"/>
        </w:rPr>
        <w:t>:</w:t>
      </w:r>
    </w:p>
    <w:p w:rsidR="001B184E" w:rsidRPr="00BB58A1" w:rsidRDefault="001B184E" w:rsidP="001B184E">
      <w:pPr>
        <w:pStyle w:val="Sinespaciado"/>
      </w:pPr>
    </w:p>
    <w:p w:rsidR="001B184E" w:rsidRDefault="001B184E" w:rsidP="001B184E">
      <w:pPr>
        <w:pStyle w:val="Sinespaciado"/>
        <w:spacing w:line="360" w:lineRule="auto"/>
        <w:ind w:firstLine="708"/>
        <w:jc w:val="both"/>
        <w:rPr>
          <w:rFonts w:ascii="Arial Narrow" w:hAnsi="Arial Narrow"/>
          <w:sz w:val="28"/>
          <w:szCs w:val="28"/>
        </w:rPr>
      </w:pPr>
      <w:r w:rsidRPr="006B4716">
        <w:rPr>
          <w:rFonts w:ascii="Arial Narrow" w:hAnsi="Arial Narrow"/>
          <w:sz w:val="28"/>
          <w:szCs w:val="28"/>
        </w:rPr>
        <w:t xml:space="preserve">En este estado de la diligencia y antes de que la Colegiatura, </w:t>
      </w:r>
      <w:r>
        <w:rPr>
          <w:rFonts w:ascii="Arial Narrow" w:hAnsi="Arial Narrow"/>
          <w:sz w:val="28"/>
          <w:szCs w:val="28"/>
        </w:rPr>
        <w:t xml:space="preserve">proceda a decidir lo de su competencia, </w:t>
      </w:r>
      <w:r w:rsidRPr="006B4716">
        <w:rPr>
          <w:rFonts w:ascii="Arial Narrow" w:hAnsi="Arial Narrow"/>
          <w:sz w:val="28"/>
          <w:szCs w:val="28"/>
        </w:rPr>
        <w:t>se corre traslado por el término de 8 minutos, a cada uno de los voceros judiciales de las partes asistentes a la audiencia, empezando p</w:t>
      </w:r>
      <w:r>
        <w:rPr>
          <w:rFonts w:ascii="Arial Narrow" w:hAnsi="Arial Narrow"/>
          <w:sz w:val="28"/>
          <w:szCs w:val="28"/>
        </w:rPr>
        <w:t xml:space="preserve">or la parte </w:t>
      </w:r>
      <w:r w:rsidR="000F5EA8">
        <w:rPr>
          <w:rFonts w:ascii="Arial Narrow" w:hAnsi="Arial Narrow"/>
          <w:sz w:val="28"/>
          <w:szCs w:val="28"/>
        </w:rPr>
        <w:t>demandante</w:t>
      </w:r>
      <w:r>
        <w:rPr>
          <w:rFonts w:ascii="Arial Narrow" w:hAnsi="Arial Narrow"/>
          <w:sz w:val="28"/>
          <w:szCs w:val="28"/>
        </w:rPr>
        <w:t xml:space="preserve">. </w:t>
      </w:r>
      <w:r w:rsidRPr="006B4716">
        <w:rPr>
          <w:rFonts w:ascii="Arial Narrow" w:hAnsi="Arial Narrow"/>
          <w:sz w:val="28"/>
          <w:szCs w:val="28"/>
        </w:rPr>
        <w:t xml:space="preserve">Escuchadas las anteriores intervenciones que en síntesis reflejan los puntos debatidos por los integrantes de la Sala, se procede a decidir </w:t>
      </w:r>
      <w:r>
        <w:rPr>
          <w:rFonts w:ascii="Arial Narrow" w:hAnsi="Arial Narrow"/>
          <w:sz w:val="28"/>
          <w:szCs w:val="28"/>
        </w:rPr>
        <w:t>lo que corresponda, previas las siguientes:</w:t>
      </w:r>
    </w:p>
    <w:p w:rsidR="001B184E" w:rsidRDefault="0036700D" w:rsidP="0036700D">
      <w:pPr>
        <w:pStyle w:val="Sinespaciado"/>
        <w:tabs>
          <w:tab w:val="left" w:pos="1905"/>
        </w:tabs>
        <w:spacing w:line="360" w:lineRule="auto"/>
        <w:rPr>
          <w:lang w:val="es-MX" w:eastAsia="es-CO"/>
        </w:rPr>
      </w:pPr>
      <w:r>
        <w:rPr>
          <w:lang w:val="es-MX" w:eastAsia="es-CO"/>
        </w:rPr>
        <w:tab/>
      </w:r>
    </w:p>
    <w:p w:rsidR="001B184E" w:rsidRPr="00A04952" w:rsidRDefault="001B184E" w:rsidP="001B184E">
      <w:pPr>
        <w:pStyle w:val="Prrafodelista"/>
        <w:numPr>
          <w:ilvl w:val="0"/>
          <w:numId w:val="1"/>
        </w:numPr>
        <w:shd w:val="clear" w:color="auto" w:fill="FFFFFF"/>
        <w:spacing w:line="360" w:lineRule="auto"/>
        <w:contextualSpacing/>
        <w:jc w:val="both"/>
        <w:rPr>
          <w:rFonts w:ascii="Arial Narrow" w:hAnsi="Arial Narrow" w:cs="Tahoma"/>
          <w:i/>
          <w:iCs/>
          <w:color w:val="000000"/>
          <w:sz w:val="28"/>
          <w:szCs w:val="28"/>
          <w:lang w:val="es-MX" w:eastAsia="es-CO"/>
        </w:rPr>
      </w:pPr>
      <w:r w:rsidRPr="00A04952">
        <w:rPr>
          <w:rFonts w:ascii="Arial Narrow" w:hAnsi="Arial Narrow" w:cs="Tahoma"/>
          <w:i/>
          <w:iCs/>
          <w:color w:val="000000"/>
          <w:sz w:val="28"/>
          <w:szCs w:val="28"/>
          <w:lang w:val="es-MX" w:eastAsia="es-CO"/>
        </w:rPr>
        <w:t>CONSIDERACIONES</w:t>
      </w:r>
    </w:p>
    <w:p w:rsidR="001B184E" w:rsidRPr="00BB58A1" w:rsidRDefault="001B184E" w:rsidP="001B184E">
      <w:pPr>
        <w:pStyle w:val="Sinespaciado"/>
      </w:pPr>
    </w:p>
    <w:p w:rsidR="001B184E" w:rsidRDefault="001B184E" w:rsidP="001B184E">
      <w:pPr>
        <w:shd w:val="clear" w:color="auto" w:fill="FFFFFF"/>
        <w:tabs>
          <w:tab w:val="left" w:pos="5197"/>
        </w:tabs>
        <w:spacing w:line="360" w:lineRule="auto"/>
        <w:ind w:firstLine="851"/>
        <w:jc w:val="both"/>
        <w:rPr>
          <w:rFonts w:ascii="Arial Narrow" w:hAnsi="Arial Narrow" w:cs="Tahoma"/>
          <w:b/>
          <w:i/>
          <w:sz w:val="28"/>
          <w:szCs w:val="28"/>
        </w:rPr>
      </w:pPr>
      <w:r w:rsidRPr="00A04952">
        <w:rPr>
          <w:rFonts w:ascii="Arial Narrow" w:hAnsi="Arial Narrow" w:cs="Tahoma"/>
          <w:i/>
          <w:sz w:val="28"/>
          <w:szCs w:val="28"/>
        </w:rPr>
        <w:t>Del problema jurídico</w:t>
      </w:r>
      <w:r w:rsidRPr="006B4716">
        <w:rPr>
          <w:rFonts w:ascii="Arial Narrow" w:hAnsi="Arial Narrow" w:cs="Tahoma"/>
          <w:b/>
          <w:i/>
          <w:sz w:val="28"/>
          <w:szCs w:val="28"/>
        </w:rPr>
        <w:t>.</w:t>
      </w:r>
    </w:p>
    <w:p w:rsidR="001B184E" w:rsidRPr="00BB58A1" w:rsidRDefault="001B184E" w:rsidP="001B184E">
      <w:pPr>
        <w:pStyle w:val="Sinespaciado"/>
      </w:pPr>
    </w:p>
    <w:p w:rsidR="001B184E" w:rsidRDefault="001B184E" w:rsidP="0036700D">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r>
        <w:rPr>
          <w:rFonts w:ascii="Arial Narrow" w:hAnsi="Arial Narrow" w:cs="Tahoma"/>
          <w:i/>
          <w:color w:val="000000"/>
          <w:sz w:val="28"/>
          <w:szCs w:val="28"/>
          <w:lang w:eastAsia="es-CO"/>
        </w:rPr>
        <w:t>¿Le asiste a la demandante el derecho a la pensión de vejez que por esta vía judicial reclama?</w:t>
      </w:r>
    </w:p>
    <w:p w:rsidR="001B184E" w:rsidRPr="00024021" w:rsidRDefault="001B184E" w:rsidP="0036700D">
      <w:pPr>
        <w:pStyle w:val="Sinespaciado"/>
        <w:spacing w:line="480" w:lineRule="auto"/>
      </w:pPr>
    </w:p>
    <w:p w:rsidR="001B184E" w:rsidRDefault="001B184E" w:rsidP="001B184E">
      <w:pPr>
        <w:pStyle w:val="Sinespaciado"/>
        <w:ind w:firstLine="708"/>
        <w:rPr>
          <w:rFonts w:ascii="Arial Narrow" w:hAnsi="Arial Narrow"/>
          <w:sz w:val="28"/>
          <w:szCs w:val="28"/>
        </w:rPr>
      </w:pPr>
      <w:r w:rsidRPr="00CF09FC">
        <w:rPr>
          <w:rFonts w:ascii="Arial Narrow" w:hAnsi="Arial Narrow"/>
          <w:sz w:val="28"/>
          <w:szCs w:val="28"/>
        </w:rPr>
        <w:lastRenderedPageBreak/>
        <w:t>Desenvolvimiento de la problemática planteada</w:t>
      </w:r>
    </w:p>
    <w:p w:rsidR="001B184E" w:rsidRPr="00BB58A1" w:rsidRDefault="001B184E" w:rsidP="0036700D">
      <w:pPr>
        <w:pStyle w:val="Sinespaciado"/>
        <w:spacing w:line="360" w:lineRule="auto"/>
      </w:pPr>
    </w:p>
    <w:p w:rsidR="00576E38" w:rsidRDefault="00576E38" w:rsidP="00576E38">
      <w:pPr>
        <w:autoSpaceDE w:val="0"/>
        <w:autoSpaceDN w:val="0"/>
        <w:adjustRightInd w:val="0"/>
        <w:spacing w:line="360" w:lineRule="auto"/>
        <w:ind w:firstLine="708"/>
        <w:jc w:val="both"/>
        <w:rPr>
          <w:rFonts w:ascii="Arial Narrow" w:hAnsi="Arial Narrow" w:cs="Arial"/>
          <w:sz w:val="28"/>
          <w:szCs w:val="28"/>
          <w:lang w:val="es-ES"/>
        </w:rPr>
      </w:pPr>
      <w:r w:rsidRPr="005E6280">
        <w:rPr>
          <w:rFonts w:ascii="Arial Narrow" w:hAnsi="Arial Narrow" w:cs="Arial"/>
          <w:sz w:val="28"/>
          <w:szCs w:val="28"/>
          <w:lang w:val="es-ES"/>
        </w:rPr>
        <w:t xml:space="preserve">Con el advenimiento de la Ley 100 de 1993 y con miras a proteger expectativas legítimas, el legislador estableció un régimen de transición, en virtud del cual, se mantenían vigentes para ciertos grupos, los presupuestos para pensionarse del régimen anterior, puntualmente, se mantienen la edad, el tiempo para pensionarse y el monto de la pensión exigidos en la normatividad anterior que le fuere aplicable. </w:t>
      </w:r>
    </w:p>
    <w:p w:rsidR="00576E38" w:rsidRPr="007D0FF1" w:rsidRDefault="00576E38" w:rsidP="0036700D">
      <w:pPr>
        <w:pStyle w:val="Sinespaciado"/>
        <w:spacing w:line="360" w:lineRule="auto"/>
      </w:pPr>
    </w:p>
    <w:p w:rsidR="00576E38" w:rsidRDefault="00576E38" w:rsidP="00576E38">
      <w:pPr>
        <w:autoSpaceDE w:val="0"/>
        <w:autoSpaceDN w:val="0"/>
        <w:adjustRightInd w:val="0"/>
        <w:spacing w:line="360" w:lineRule="auto"/>
        <w:ind w:firstLine="708"/>
        <w:jc w:val="both"/>
        <w:rPr>
          <w:rFonts w:ascii="Arial Narrow" w:hAnsi="Arial Narrow" w:cs="Arial"/>
          <w:sz w:val="28"/>
          <w:szCs w:val="28"/>
          <w:lang w:val="es-ES"/>
        </w:rPr>
      </w:pPr>
      <w:r w:rsidRPr="005E6280">
        <w:rPr>
          <w:rFonts w:ascii="Arial Narrow" w:hAnsi="Arial Narrow" w:cs="Arial"/>
          <w:sz w:val="28"/>
          <w:szCs w:val="28"/>
          <w:lang w:val="es-ES"/>
        </w:rPr>
        <w:t>Tales grupos se encuentran determinados en el artículo 36 de</w:t>
      </w:r>
      <w:r>
        <w:rPr>
          <w:rFonts w:ascii="Arial Narrow" w:hAnsi="Arial Narrow" w:cs="Arial"/>
          <w:sz w:val="28"/>
          <w:szCs w:val="28"/>
          <w:lang w:val="es-ES"/>
        </w:rPr>
        <w:t xml:space="preserve">l presupuesto legal en mención, en el que se estableció que las pautas de dicho régimen serían aplicables para quienes al momento de entrada en vigencia de dicha ley -1º de abril de1994-, tuvieran 35 o más años de edad, en caso de las mujeres o 15 o más años de servicios o su equivalente en cotizaciones, </w:t>
      </w:r>
      <w:r w:rsidRPr="009D005E">
        <w:rPr>
          <w:rFonts w:ascii="Arial Narrow" w:hAnsi="Arial Narrow" w:cs="Arial"/>
          <w:sz w:val="28"/>
          <w:szCs w:val="28"/>
          <w:lang w:val="es-ES"/>
        </w:rPr>
        <w:t>sin importar la edad.</w:t>
      </w:r>
    </w:p>
    <w:p w:rsidR="00576E38" w:rsidRPr="007D0FF1" w:rsidRDefault="00576E38" w:rsidP="0036700D">
      <w:pPr>
        <w:pStyle w:val="Sinespaciado"/>
        <w:spacing w:line="360" w:lineRule="auto"/>
      </w:pPr>
    </w:p>
    <w:p w:rsidR="00576E38" w:rsidRDefault="00576E38" w:rsidP="00576E38">
      <w:pPr>
        <w:autoSpaceDE w:val="0"/>
        <w:autoSpaceDN w:val="0"/>
        <w:adjustRightInd w:val="0"/>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No obstante</w:t>
      </w:r>
      <w:r w:rsidRPr="005E6280">
        <w:rPr>
          <w:rFonts w:ascii="Arial Narrow" w:hAnsi="Arial Narrow" w:cs="Arial"/>
          <w:sz w:val="28"/>
          <w:szCs w:val="28"/>
          <w:lang w:val="es-ES"/>
        </w:rPr>
        <w:t xml:space="preserve">, con posterioridad a dicha norma, se </w:t>
      </w:r>
      <w:r>
        <w:rPr>
          <w:rFonts w:ascii="Arial Narrow" w:hAnsi="Arial Narrow" w:cs="Arial"/>
          <w:sz w:val="28"/>
          <w:szCs w:val="28"/>
          <w:lang w:val="es-ES"/>
        </w:rPr>
        <w:t xml:space="preserve">expidió </w:t>
      </w:r>
      <w:r w:rsidRPr="005E6280">
        <w:rPr>
          <w:rFonts w:ascii="Arial Narrow" w:hAnsi="Arial Narrow" w:cs="Arial"/>
          <w:sz w:val="28"/>
          <w:szCs w:val="28"/>
          <w:lang w:val="es-ES"/>
        </w:rPr>
        <w:t>el Acto Legislativo 01 de 2005, mediante el cual se modificó el artículo 48 superior, e</w:t>
      </w:r>
      <w:r>
        <w:rPr>
          <w:rFonts w:ascii="Arial Narrow" w:hAnsi="Arial Narrow" w:cs="Arial"/>
          <w:sz w:val="28"/>
          <w:szCs w:val="28"/>
          <w:lang w:val="es-ES"/>
        </w:rPr>
        <w:t xml:space="preserve">n el que se </w:t>
      </w:r>
      <w:r w:rsidRPr="005E6280">
        <w:rPr>
          <w:rFonts w:ascii="Arial Narrow" w:hAnsi="Arial Narrow" w:cs="Arial"/>
          <w:sz w:val="28"/>
          <w:szCs w:val="28"/>
          <w:lang w:val="es-ES"/>
        </w:rPr>
        <w:t xml:space="preserve">indicó </w:t>
      </w:r>
      <w:r>
        <w:rPr>
          <w:rFonts w:ascii="Arial Narrow" w:hAnsi="Arial Narrow" w:cs="Arial"/>
          <w:sz w:val="28"/>
          <w:szCs w:val="28"/>
          <w:lang w:val="es-ES"/>
        </w:rPr>
        <w:t xml:space="preserve">en el parágrafo 4º, </w:t>
      </w:r>
      <w:r w:rsidRPr="005E6280">
        <w:rPr>
          <w:rFonts w:ascii="Arial Narrow" w:hAnsi="Arial Narrow" w:cs="Arial"/>
          <w:sz w:val="28"/>
          <w:szCs w:val="28"/>
          <w:lang w:val="es-ES"/>
        </w:rPr>
        <w:t>que el régimen de transición se extendía hasta el 31 de julio de 2010</w:t>
      </w:r>
      <w:r>
        <w:rPr>
          <w:rFonts w:ascii="Arial Narrow" w:hAnsi="Arial Narrow" w:cs="Arial"/>
          <w:sz w:val="28"/>
          <w:szCs w:val="28"/>
          <w:lang w:val="es-ES"/>
        </w:rPr>
        <w:t xml:space="preserve">, salvo para aquellas </w:t>
      </w:r>
      <w:r w:rsidRPr="005E6280">
        <w:rPr>
          <w:rFonts w:ascii="Arial Narrow" w:hAnsi="Arial Narrow" w:cs="Arial"/>
          <w:sz w:val="28"/>
          <w:szCs w:val="28"/>
          <w:lang w:val="es-ES"/>
        </w:rPr>
        <w:t>personas que al momento de entrar a regir dicho acto modificatorio de la Constitución</w:t>
      </w:r>
      <w:r>
        <w:rPr>
          <w:rFonts w:ascii="Arial Narrow" w:hAnsi="Arial Narrow" w:cs="Arial"/>
          <w:sz w:val="28"/>
          <w:szCs w:val="28"/>
          <w:lang w:val="es-ES"/>
        </w:rPr>
        <w:t xml:space="preserve">, esto es, al </w:t>
      </w:r>
      <w:r w:rsidRPr="005E6280">
        <w:rPr>
          <w:rFonts w:ascii="Arial Narrow" w:hAnsi="Arial Narrow" w:cs="Arial"/>
          <w:sz w:val="28"/>
          <w:szCs w:val="28"/>
          <w:lang w:val="es-ES"/>
        </w:rPr>
        <w:t>-29 de julio de 200</w:t>
      </w:r>
      <w:r>
        <w:rPr>
          <w:rFonts w:ascii="Arial Narrow" w:hAnsi="Arial Narrow" w:cs="Arial"/>
          <w:sz w:val="28"/>
          <w:szCs w:val="28"/>
          <w:lang w:val="es-ES"/>
        </w:rPr>
        <w:t xml:space="preserve">5-, </w:t>
      </w:r>
      <w:r w:rsidRPr="005E6280">
        <w:rPr>
          <w:rFonts w:ascii="Arial Narrow" w:hAnsi="Arial Narrow" w:cs="Arial"/>
          <w:sz w:val="28"/>
          <w:szCs w:val="28"/>
          <w:lang w:val="es-ES"/>
        </w:rPr>
        <w:t xml:space="preserve">contarán con 750 semanas, </w:t>
      </w:r>
      <w:r>
        <w:rPr>
          <w:rFonts w:ascii="Arial Narrow" w:hAnsi="Arial Narrow" w:cs="Arial"/>
          <w:sz w:val="28"/>
          <w:szCs w:val="28"/>
          <w:lang w:val="es-ES"/>
        </w:rPr>
        <w:t xml:space="preserve">caso en el cual </w:t>
      </w:r>
      <w:r w:rsidRPr="005E6280">
        <w:rPr>
          <w:rFonts w:ascii="Arial Narrow" w:hAnsi="Arial Narrow" w:cs="Arial"/>
          <w:sz w:val="28"/>
          <w:szCs w:val="28"/>
          <w:lang w:val="es-ES"/>
        </w:rPr>
        <w:t xml:space="preserve">el beneficio de la transición </w:t>
      </w:r>
      <w:r>
        <w:rPr>
          <w:rFonts w:ascii="Arial Narrow" w:hAnsi="Arial Narrow" w:cs="Arial"/>
          <w:sz w:val="28"/>
          <w:szCs w:val="28"/>
          <w:lang w:val="es-ES"/>
        </w:rPr>
        <w:t xml:space="preserve">se extendería </w:t>
      </w:r>
      <w:r w:rsidRPr="005E6280">
        <w:rPr>
          <w:rFonts w:ascii="Arial Narrow" w:hAnsi="Arial Narrow" w:cs="Arial"/>
          <w:sz w:val="28"/>
          <w:szCs w:val="28"/>
          <w:lang w:val="es-ES"/>
        </w:rPr>
        <w:t>hasta el año 2014.</w:t>
      </w:r>
    </w:p>
    <w:p w:rsidR="00576E38" w:rsidRPr="005E6280" w:rsidRDefault="00576E38" w:rsidP="0036700D">
      <w:pPr>
        <w:pStyle w:val="Sinespaciado"/>
        <w:spacing w:line="360" w:lineRule="auto"/>
        <w:rPr>
          <w:lang w:val="es-ES"/>
        </w:rPr>
      </w:pPr>
    </w:p>
    <w:p w:rsidR="00576E38" w:rsidRDefault="00576E38" w:rsidP="00576E38">
      <w:pPr>
        <w:autoSpaceDE w:val="0"/>
        <w:autoSpaceDN w:val="0"/>
        <w:adjustRightInd w:val="0"/>
        <w:spacing w:line="360" w:lineRule="auto"/>
        <w:ind w:firstLine="851"/>
        <w:jc w:val="both"/>
        <w:rPr>
          <w:rFonts w:ascii="Arial Narrow" w:hAnsi="Arial Narrow" w:cs="Arial"/>
          <w:sz w:val="28"/>
          <w:szCs w:val="28"/>
          <w:lang w:val="es-ES"/>
        </w:rPr>
      </w:pPr>
      <w:r>
        <w:rPr>
          <w:rFonts w:ascii="Arial Narrow" w:hAnsi="Arial Narrow" w:cs="Arial"/>
          <w:spacing w:val="-3"/>
          <w:sz w:val="28"/>
          <w:szCs w:val="28"/>
        </w:rPr>
        <w:t>En el sub-lite, n</w:t>
      </w:r>
      <w:r w:rsidR="001B184E">
        <w:rPr>
          <w:rFonts w:ascii="Arial Narrow" w:hAnsi="Arial Narrow" w:cs="Arial"/>
          <w:spacing w:val="-3"/>
          <w:sz w:val="28"/>
          <w:szCs w:val="28"/>
        </w:rPr>
        <w:t xml:space="preserve">o se discuten los hechos atinentes a que la demandante </w:t>
      </w:r>
      <w:r>
        <w:rPr>
          <w:rFonts w:ascii="Arial Narrow" w:hAnsi="Arial Narrow" w:cs="Arial"/>
          <w:spacing w:val="-3"/>
          <w:sz w:val="28"/>
          <w:szCs w:val="28"/>
        </w:rPr>
        <w:t xml:space="preserve">nació el </w:t>
      </w:r>
      <w:r w:rsidR="000F5EA8">
        <w:rPr>
          <w:rFonts w:ascii="Arial Narrow" w:hAnsi="Arial Narrow" w:cs="Arial"/>
          <w:spacing w:val="-3"/>
          <w:sz w:val="28"/>
          <w:szCs w:val="28"/>
        </w:rPr>
        <w:t xml:space="preserve">26 de septiembre de </w:t>
      </w:r>
      <w:r>
        <w:rPr>
          <w:rFonts w:ascii="Arial Narrow" w:hAnsi="Arial Narrow" w:cs="Arial"/>
          <w:spacing w:val="-3"/>
          <w:sz w:val="28"/>
          <w:szCs w:val="28"/>
        </w:rPr>
        <w:t xml:space="preserve">1952, </w:t>
      </w:r>
      <w:r w:rsidRPr="00182285">
        <w:rPr>
          <w:rFonts w:ascii="Arial Narrow" w:hAnsi="Arial Narrow" w:cs="Arial"/>
          <w:sz w:val="28"/>
          <w:szCs w:val="28"/>
          <w:lang w:val="es-ES"/>
        </w:rPr>
        <w:t xml:space="preserve">y </w:t>
      </w:r>
      <w:r>
        <w:rPr>
          <w:rFonts w:ascii="Arial Narrow" w:hAnsi="Arial Narrow" w:cs="Arial"/>
          <w:sz w:val="28"/>
          <w:szCs w:val="28"/>
          <w:lang w:val="es-ES"/>
        </w:rPr>
        <w:t xml:space="preserve">que </w:t>
      </w:r>
      <w:r w:rsidRPr="00182285">
        <w:rPr>
          <w:rFonts w:ascii="Arial Narrow" w:hAnsi="Arial Narrow" w:cs="Arial"/>
          <w:sz w:val="28"/>
          <w:szCs w:val="28"/>
          <w:lang w:val="es-ES"/>
        </w:rPr>
        <w:t>por tanto, al 1º de abril de 1994 contaba con más de 40 años de edad</w:t>
      </w:r>
      <w:r>
        <w:rPr>
          <w:rFonts w:ascii="Arial Narrow" w:hAnsi="Arial Narrow" w:cs="Arial"/>
          <w:sz w:val="28"/>
          <w:szCs w:val="28"/>
          <w:lang w:val="es-ES"/>
        </w:rPr>
        <w:t>, siendo entonces, en principio, beneficiaria del aludido régimen de transición, por lo menos hasta el 31 de julio de 2010, pues adquirió la edad mínima para pensión el 26 de septiembre de 2007.</w:t>
      </w:r>
    </w:p>
    <w:p w:rsidR="00747C5F" w:rsidRPr="00520812" w:rsidRDefault="00747C5F" w:rsidP="0036700D">
      <w:pPr>
        <w:pStyle w:val="Sinespaciado"/>
        <w:spacing w:line="360" w:lineRule="auto"/>
      </w:pPr>
    </w:p>
    <w:p w:rsidR="00520812" w:rsidRDefault="005D6B8F" w:rsidP="00520812">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Sin embargo, era menester </w:t>
      </w:r>
      <w:r w:rsidR="00520812" w:rsidRPr="00157F13">
        <w:rPr>
          <w:rFonts w:ascii="Arial Narrow" w:hAnsi="Arial Narrow" w:cs="Arial"/>
          <w:sz w:val="28"/>
          <w:szCs w:val="28"/>
          <w:lang w:val="es-ES"/>
        </w:rPr>
        <w:t xml:space="preserve">que </w:t>
      </w:r>
      <w:r w:rsidR="00520812">
        <w:rPr>
          <w:rFonts w:ascii="Arial Narrow" w:hAnsi="Arial Narrow" w:cs="Arial"/>
          <w:sz w:val="28"/>
          <w:szCs w:val="28"/>
          <w:lang w:val="es-ES"/>
        </w:rPr>
        <w:t>la</w:t>
      </w:r>
      <w:r w:rsidR="00520812" w:rsidRPr="00157F13">
        <w:rPr>
          <w:rFonts w:ascii="Arial Narrow" w:hAnsi="Arial Narrow" w:cs="Arial"/>
          <w:sz w:val="28"/>
          <w:szCs w:val="28"/>
          <w:lang w:val="es-ES"/>
        </w:rPr>
        <w:t xml:space="preserve"> demandante aglutinara a la fecha de expedición del Acto Legislativo 01/05, es decir, al 29 de julio de 2005, al menos 750 semanas o su equivalente en servicios, en orden a que los beneficios del régimen de transición le </w:t>
      </w:r>
      <w:r w:rsidR="00520812" w:rsidRPr="00101FD3">
        <w:rPr>
          <w:rFonts w:ascii="Arial Narrow" w:hAnsi="Arial Narrow" w:cs="Arial"/>
          <w:sz w:val="28"/>
          <w:szCs w:val="28"/>
          <w:lang w:val="es-ES"/>
        </w:rPr>
        <w:t>fueran extendidos hasta el 31 de diciembre de 2014. Verificado tal presupuesto</w:t>
      </w:r>
      <w:r w:rsidR="00520812">
        <w:rPr>
          <w:rFonts w:ascii="Arial Narrow" w:hAnsi="Arial Narrow" w:cs="Arial"/>
          <w:sz w:val="28"/>
          <w:szCs w:val="28"/>
          <w:lang w:val="es-ES"/>
        </w:rPr>
        <w:t xml:space="preserve">, encuentra la Sala que la actora </w:t>
      </w:r>
      <w:r w:rsidR="00520812" w:rsidRPr="00101FD3">
        <w:rPr>
          <w:rFonts w:ascii="Arial Narrow" w:hAnsi="Arial Narrow" w:cs="Arial"/>
          <w:sz w:val="28"/>
          <w:szCs w:val="28"/>
          <w:lang w:val="es-ES"/>
        </w:rPr>
        <w:t xml:space="preserve">únicamente reportaba a esa </w:t>
      </w:r>
      <w:r w:rsidR="00520812" w:rsidRPr="00520812">
        <w:rPr>
          <w:rFonts w:ascii="Arial Narrow" w:hAnsi="Arial Narrow" w:cs="Arial"/>
          <w:sz w:val="28"/>
          <w:szCs w:val="28"/>
          <w:lang w:val="es-ES"/>
        </w:rPr>
        <w:t xml:space="preserve">calenda un total de 691 semanas, por lo que se concluye que perdió el derecho al régimen de </w:t>
      </w:r>
      <w:r w:rsidR="00520812" w:rsidRPr="00520812">
        <w:rPr>
          <w:rFonts w:ascii="Arial Narrow" w:hAnsi="Arial Narrow" w:cs="Arial"/>
          <w:sz w:val="28"/>
          <w:szCs w:val="28"/>
          <w:lang w:val="es-ES"/>
        </w:rPr>
        <w:lastRenderedPageBreak/>
        <w:t xml:space="preserve">transición del </w:t>
      </w:r>
      <w:r w:rsidR="00520812" w:rsidRPr="00101FD3">
        <w:rPr>
          <w:rFonts w:ascii="Arial Narrow" w:hAnsi="Arial Narrow" w:cs="Arial"/>
          <w:sz w:val="28"/>
          <w:szCs w:val="28"/>
          <w:lang w:val="es-ES"/>
        </w:rPr>
        <w:t>artículo 36 de la Ley 100 de 1993, y en consecuencia, no podía pretender su pensión de vejez al amparo del Acuerdo 049 de 1990</w:t>
      </w:r>
      <w:r w:rsidR="00520812">
        <w:rPr>
          <w:rFonts w:ascii="Arial Narrow" w:hAnsi="Arial Narrow" w:cs="Arial"/>
          <w:sz w:val="28"/>
          <w:szCs w:val="28"/>
          <w:lang w:val="es-ES"/>
        </w:rPr>
        <w:t xml:space="preserve">, tal cual lo concluyó la a-quo. </w:t>
      </w:r>
    </w:p>
    <w:p w:rsidR="00520812" w:rsidRDefault="00520812" w:rsidP="0036700D">
      <w:pPr>
        <w:pStyle w:val="Sinespaciado"/>
        <w:spacing w:line="360" w:lineRule="auto"/>
        <w:rPr>
          <w:lang w:val="es-ES"/>
        </w:rPr>
      </w:pPr>
    </w:p>
    <w:p w:rsidR="0036700D" w:rsidRDefault="00FA3006" w:rsidP="00A42B68">
      <w:pPr>
        <w:autoSpaceDE w:val="0"/>
        <w:autoSpaceDN w:val="0"/>
        <w:adjustRightInd w:val="0"/>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Y es que vale decir</w:t>
      </w:r>
      <w:r w:rsidRPr="00D066CC">
        <w:rPr>
          <w:rFonts w:ascii="Arial Narrow" w:hAnsi="Arial Narrow" w:cs="Arial"/>
          <w:sz w:val="28"/>
          <w:szCs w:val="28"/>
          <w:lang w:val="es-ES"/>
        </w:rPr>
        <w:t xml:space="preserve">, que el cumplir con alguno de los requisitos consagrados en el artículo 36 de la Ley 100 de 1993 para acceder al régimen de transición, no implica el mantenimiento pétreo e indefinido de tales condiciones, sino que le garantizaba que, en un espacio temporal que se concretó con el Acto Legislativo 01 de 2005, se le respetaran y mantuvieran las condiciones pensionales del régimen anterior que tuviere, pero siempre con la carga de cumplir con las exigencias legales en un lapso determinado. </w:t>
      </w:r>
    </w:p>
    <w:p w:rsidR="0036700D" w:rsidRPr="0036700D" w:rsidRDefault="0036700D" w:rsidP="0036700D">
      <w:pPr>
        <w:pStyle w:val="Sinespaciado"/>
      </w:pPr>
    </w:p>
    <w:p w:rsidR="00FA3006" w:rsidRDefault="00FA3006" w:rsidP="00A42B68">
      <w:pPr>
        <w:autoSpaceDE w:val="0"/>
        <w:autoSpaceDN w:val="0"/>
        <w:adjustRightInd w:val="0"/>
        <w:spacing w:line="360" w:lineRule="auto"/>
        <w:ind w:firstLine="851"/>
        <w:jc w:val="both"/>
        <w:rPr>
          <w:rFonts w:ascii="Arial Narrow" w:hAnsi="Arial Narrow" w:cs="Arial"/>
          <w:sz w:val="28"/>
          <w:szCs w:val="28"/>
          <w:lang w:val="es-ES"/>
        </w:rPr>
      </w:pPr>
      <w:r w:rsidRPr="00D066CC">
        <w:rPr>
          <w:rFonts w:ascii="Arial Narrow" w:hAnsi="Arial Narrow" w:cs="Arial"/>
          <w:sz w:val="28"/>
          <w:szCs w:val="28"/>
          <w:lang w:val="es-ES"/>
        </w:rPr>
        <w:t>A</w:t>
      </w:r>
      <w:r>
        <w:rPr>
          <w:rFonts w:ascii="Arial Narrow" w:hAnsi="Arial Narrow" w:cs="Arial"/>
          <w:sz w:val="28"/>
          <w:szCs w:val="28"/>
          <w:lang w:val="es-ES"/>
        </w:rPr>
        <w:t xml:space="preserve">l respecto, la sentencia </w:t>
      </w:r>
      <w:proofErr w:type="spellStart"/>
      <w:r w:rsidRPr="00D066CC">
        <w:rPr>
          <w:rFonts w:ascii="Arial Narrow" w:hAnsi="Arial Narrow" w:cs="Arial"/>
          <w:sz w:val="28"/>
          <w:szCs w:val="28"/>
          <w:lang w:val="es-ES"/>
        </w:rPr>
        <w:t>SL</w:t>
      </w:r>
      <w:proofErr w:type="spellEnd"/>
      <w:r w:rsidRPr="00D066CC">
        <w:rPr>
          <w:rFonts w:ascii="Arial Narrow" w:hAnsi="Arial Narrow" w:cs="Arial"/>
          <w:sz w:val="28"/>
          <w:szCs w:val="28"/>
          <w:lang w:val="es-ES"/>
        </w:rPr>
        <w:t xml:space="preserve"> 19568 de 2017</w:t>
      </w:r>
      <w:r>
        <w:rPr>
          <w:rFonts w:ascii="Arial Narrow" w:hAnsi="Arial Narrow" w:cs="Arial"/>
          <w:sz w:val="28"/>
          <w:szCs w:val="28"/>
          <w:lang w:val="es-ES"/>
        </w:rPr>
        <w:t xml:space="preserve">, del órgano de cierre de esta especialidad laboral precisó claramente que: </w:t>
      </w:r>
    </w:p>
    <w:p w:rsidR="00FA3006" w:rsidRPr="0036700D" w:rsidRDefault="00EA39D0" w:rsidP="0036700D">
      <w:pPr>
        <w:pStyle w:val="Sinespaciado"/>
      </w:pPr>
      <w:r>
        <w:rPr>
          <w:lang w:val="es-ES"/>
        </w:rPr>
        <w:tab/>
      </w:r>
    </w:p>
    <w:p w:rsidR="00FA3006" w:rsidRDefault="00FA3006" w:rsidP="0036700D">
      <w:pPr>
        <w:autoSpaceDE w:val="0"/>
        <w:autoSpaceDN w:val="0"/>
        <w:adjustRightInd w:val="0"/>
        <w:ind w:left="426" w:right="51" w:firstLine="851"/>
        <w:jc w:val="both"/>
        <w:rPr>
          <w:rFonts w:ascii="Arial Narrow" w:hAnsi="Arial Narrow" w:cs="Arial"/>
          <w:i/>
          <w:sz w:val="29"/>
          <w:szCs w:val="29"/>
          <w:lang w:val="es-ES"/>
        </w:rPr>
      </w:pPr>
      <w:r>
        <w:rPr>
          <w:rFonts w:ascii="Arial Narrow" w:hAnsi="Arial Narrow" w:cs="Arial"/>
          <w:sz w:val="28"/>
          <w:szCs w:val="28"/>
          <w:lang w:val="es-ES"/>
        </w:rPr>
        <w:t>“</w:t>
      </w:r>
      <w:r w:rsidRPr="0073739C">
        <w:rPr>
          <w:rFonts w:ascii="Arial Narrow" w:hAnsi="Arial Narrow" w:cs="Arial"/>
          <w:i/>
          <w:sz w:val="29"/>
          <w:szCs w:val="29"/>
          <w:lang w:val="es-ES"/>
        </w:rPr>
        <w:t>el citado Acto Legislativo fue el que dio precisión al término de vigencia del régimen de transición, dejando claro que éste fenecía el 31 de julio de 2010, habilitando como término último de adquisición del derecho el 31 de diciembre de 2014, para quienes contaban al momento de su vigencia por lo menos con 750 semanas de cotización.</w:t>
      </w:r>
    </w:p>
    <w:p w:rsidR="00FA3006" w:rsidRPr="0073739C" w:rsidRDefault="00FA3006" w:rsidP="0036700D">
      <w:pPr>
        <w:pStyle w:val="Sinespaciado"/>
        <w:ind w:left="426" w:right="51"/>
        <w:rPr>
          <w:lang w:val="es-ES"/>
        </w:rPr>
      </w:pPr>
    </w:p>
    <w:p w:rsidR="00FA3006" w:rsidRDefault="00FA3006" w:rsidP="0036700D">
      <w:pPr>
        <w:autoSpaceDE w:val="0"/>
        <w:autoSpaceDN w:val="0"/>
        <w:adjustRightInd w:val="0"/>
        <w:ind w:left="426" w:right="51" w:firstLine="851"/>
        <w:jc w:val="both"/>
        <w:rPr>
          <w:rFonts w:ascii="Arial Narrow" w:hAnsi="Arial Narrow" w:cs="Arial"/>
          <w:b/>
          <w:i/>
          <w:sz w:val="29"/>
          <w:szCs w:val="29"/>
          <w:lang w:val="es-ES"/>
        </w:rPr>
      </w:pPr>
      <w:r w:rsidRPr="00E67D5B">
        <w:rPr>
          <w:rFonts w:ascii="Arial Narrow" w:hAnsi="Arial Narrow" w:cs="Arial"/>
          <w:i/>
          <w:sz w:val="29"/>
          <w:szCs w:val="29"/>
          <w:lang w:val="es-ES"/>
        </w:rPr>
        <w:t xml:space="preserve">De otra parte, vale la pena señalar que aunque el principio de confianza legítima busca amparar la expectativa legítima del administrado, para que determinada situación de hecho o regulación jurídica no sea modificada intempestivamente, </w:t>
      </w:r>
      <w:r w:rsidRPr="00E67D5B">
        <w:rPr>
          <w:rFonts w:ascii="Arial Narrow" w:hAnsi="Arial Narrow" w:cs="Arial"/>
          <w:b/>
          <w:i/>
          <w:sz w:val="29"/>
          <w:szCs w:val="29"/>
          <w:lang w:val="es-ES"/>
        </w:rPr>
        <w:t>ello no quiere decir que el legislador esté obligado a mantenerla en el tiempo, pues la podrá modificar “bajo parámetros de justicia y de equidad que la Constitución le fija para el cumplimiento cabal de sus funciones” (CC C-428-2009).</w:t>
      </w:r>
      <w:r>
        <w:rPr>
          <w:rFonts w:ascii="Arial Narrow" w:hAnsi="Arial Narrow" w:cs="Arial"/>
          <w:b/>
          <w:i/>
          <w:sz w:val="29"/>
          <w:szCs w:val="29"/>
          <w:lang w:val="es-ES"/>
        </w:rPr>
        <w:t>”</w:t>
      </w:r>
    </w:p>
    <w:p w:rsidR="00FA3006" w:rsidRPr="00E67D5B" w:rsidRDefault="00FA3006" w:rsidP="00FA3006">
      <w:pPr>
        <w:pStyle w:val="Sinespaciado"/>
        <w:rPr>
          <w:lang w:val="es-ES"/>
        </w:rPr>
      </w:pPr>
    </w:p>
    <w:p w:rsidR="00FA3006" w:rsidRPr="00EA39D0" w:rsidRDefault="00FA3006" w:rsidP="00EA39D0">
      <w:pPr>
        <w:pStyle w:val="Sinespaciado"/>
      </w:pPr>
    </w:p>
    <w:p w:rsidR="00FA3006" w:rsidRDefault="00FA3006" w:rsidP="00FA3006">
      <w:pPr>
        <w:spacing w:line="360" w:lineRule="auto"/>
        <w:ind w:firstLine="708"/>
        <w:jc w:val="both"/>
        <w:rPr>
          <w:rFonts w:ascii="Arial Narrow" w:hAnsi="Arial Narrow" w:cs="Arial"/>
          <w:spacing w:val="-3"/>
          <w:sz w:val="28"/>
          <w:szCs w:val="28"/>
        </w:rPr>
      </w:pPr>
      <w:r>
        <w:rPr>
          <w:rFonts w:ascii="Arial Narrow" w:hAnsi="Arial Narrow" w:cs="Arial"/>
          <w:sz w:val="28"/>
          <w:szCs w:val="28"/>
          <w:lang w:val="es-ES"/>
        </w:rPr>
        <w:t xml:space="preserve">Ahora bien, teniendo en cuenta que </w:t>
      </w:r>
      <w:r w:rsidR="00EA39D0">
        <w:rPr>
          <w:rFonts w:ascii="Arial Narrow" w:hAnsi="Arial Narrow" w:cs="Arial"/>
          <w:sz w:val="28"/>
          <w:szCs w:val="28"/>
          <w:lang w:val="es-ES"/>
        </w:rPr>
        <w:t>la</w:t>
      </w:r>
      <w:r>
        <w:rPr>
          <w:rFonts w:ascii="Arial Narrow" w:hAnsi="Arial Narrow" w:cs="Arial"/>
          <w:sz w:val="28"/>
          <w:szCs w:val="28"/>
          <w:lang w:val="es-ES"/>
        </w:rPr>
        <w:t xml:space="preserve"> demandante no reunió ninguno de los requisitos para obtener la prestación pensional antes de que entrara a regir la Ley 797 de 2003, </w:t>
      </w:r>
      <w:r>
        <w:rPr>
          <w:rFonts w:ascii="Arial Narrow" w:hAnsi="Arial Narrow" w:cs="Arial"/>
          <w:spacing w:val="-3"/>
          <w:sz w:val="28"/>
          <w:szCs w:val="28"/>
        </w:rPr>
        <w:t xml:space="preserve">ninguna expectativa legitima puede </w:t>
      </w:r>
      <w:r w:rsidR="00A42B68">
        <w:rPr>
          <w:rFonts w:ascii="Arial Narrow" w:hAnsi="Arial Narrow" w:cs="Arial"/>
          <w:spacing w:val="-3"/>
          <w:sz w:val="28"/>
          <w:szCs w:val="28"/>
        </w:rPr>
        <w:t>constituir el periodo de la ley</w:t>
      </w:r>
      <w:r>
        <w:rPr>
          <w:rFonts w:ascii="Arial Narrow" w:hAnsi="Arial Narrow" w:cs="Arial"/>
          <w:spacing w:val="-3"/>
          <w:sz w:val="28"/>
          <w:szCs w:val="28"/>
        </w:rPr>
        <w:t xml:space="preserve"> en que aún no había empezado a correr la gradualidad impuesta en su propio texto, por cuanto desde el mismo instante en que entró en vigor dicho precepto normativo, </w:t>
      </w:r>
      <w:r w:rsidR="00EA39D0">
        <w:rPr>
          <w:rFonts w:ascii="Arial Narrow" w:hAnsi="Arial Narrow" w:cs="Arial"/>
          <w:spacing w:val="-3"/>
          <w:sz w:val="28"/>
          <w:szCs w:val="28"/>
        </w:rPr>
        <w:t>la actora</w:t>
      </w:r>
      <w:r>
        <w:rPr>
          <w:rFonts w:ascii="Arial Narrow" w:hAnsi="Arial Narrow" w:cs="Arial"/>
          <w:spacing w:val="-3"/>
          <w:sz w:val="28"/>
          <w:szCs w:val="28"/>
        </w:rPr>
        <w:t xml:space="preserve"> conocía las condiciones en torno a la viabilidad de la prestación reclamada. Así lo decantó el órgano de cierre de la especialidad laboral en sentencia </w:t>
      </w:r>
      <w:proofErr w:type="spellStart"/>
      <w:r>
        <w:rPr>
          <w:rFonts w:ascii="Arial Narrow" w:hAnsi="Arial Narrow" w:cs="Arial"/>
          <w:spacing w:val="-3"/>
          <w:sz w:val="28"/>
          <w:szCs w:val="28"/>
        </w:rPr>
        <w:t>SL</w:t>
      </w:r>
      <w:proofErr w:type="spellEnd"/>
      <w:r>
        <w:rPr>
          <w:rFonts w:ascii="Arial Narrow" w:hAnsi="Arial Narrow" w:cs="Arial"/>
          <w:spacing w:val="-3"/>
          <w:sz w:val="28"/>
          <w:szCs w:val="28"/>
        </w:rPr>
        <w:t xml:space="preserve"> 7039 del 5 de abril de 2017, radicado 73273 en los siguientes términos: </w:t>
      </w:r>
    </w:p>
    <w:p w:rsidR="00FA3006" w:rsidRPr="00FB0B60" w:rsidRDefault="00FA3006" w:rsidP="00FA3006">
      <w:pPr>
        <w:pStyle w:val="Sinespaciado"/>
        <w:rPr>
          <w:lang w:val="es-ES"/>
        </w:rPr>
      </w:pPr>
      <w:r w:rsidRPr="00FB0B60">
        <w:rPr>
          <w:lang w:val="es-ES"/>
        </w:rPr>
        <w:t xml:space="preserve"> </w:t>
      </w:r>
    </w:p>
    <w:p w:rsidR="00FA3006" w:rsidRPr="00FB0B60" w:rsidRDefault="00FA3006" w:rsidP="00FA3006">
      <w:pPr>
        <w:spacing w:line="276" w:lineRule="auto"/>
        <w:ind w:left="142" w:firstLine="566"/>
        <w:jc w:val="both"/>
        <w:rPr>
          <w:rFonts w:ascii="Arial Narrow" w:hAnsi="Arial Narrow" w:cs="Arial"/>
          <w:i/>
          <w:spacing w:val="-3"/>
          <w:sz w:val="28"/>
          <w:szCs w:val="28"/>
        </w:rPr>
      </w:pPr>
      <w:r>
        <w:rPr>
          <w:rFonts w:ascii="Arial Narrow" w:hAnsi="Arial Narrow" w:cs="Arial"/>
          <w:spacing w:val="-3"/>
          <w:sz w:val="28"/>
          <w:szCs w:val="28"/>
        </w:rPr>
        <w:lastRenderedPageBreak/>
        <w:t xml:space="preserve">“(…) </w:t>
      </w:r>
      <w:r w:rsidRPr="00FB0B60">
        <w:rPr>
          <w:rFonts w:ascii="Arial Narrow" w:hAnsi="Arial Narrow"/>
          <w:i/>
          <w:sz w:val="28"/>
          <w:szCs w:val="28"/>
        </w:rPr>
        <w:t>quienes antes del 29 de enero de 2003 no habían adquirido el derecho a la pensión de vejez, pues no habían satisfecho los requisitos consagrados en el artículo 33 original de la Ley 100 de 1993, quedaron sometidos a las exigencias del artículo 9 de la Ley 797 de 2003, según la cual los afiliados que no alcanzaron a cotizar 1000 semanas antes de que terminara el año 2005, deben acreditar la densidad de aportes con los incrementos que estatuyó dicha regla de derecho”</w:t>
      </w:r>
    </w:p>
    <w:p w:rsidR="00FA3006" w:rsidRPr="00A42B68" w:rsidRDefault="00A42B68" w:rsidP="00A42B68">
      <w:pPr>
        <w:pStyle w:val="Sinespaciado"/>
        <w:spacing w:line="276" w:lineRule="auto"/>
      </w:pPr>
      <w:r>
        <w:tab/>
      </w:r>
    </w:p>
    <w:p w:rsidR="00FA3006" w:rsidRDefault="00FA3006" w:rsidP="00FA3006">
      <w:pPr>
        <w:spacing w:line="360" w:lineRule="auto"/>
        <w:ind w:firstLine="851"/>
        <w:jc w:val="both"/>
        <w:rPr>
          <w:rFonts w:ascii="Arial Narrow" w:hAnsi="Arial Narrow" w:cs="Arial"/>
          <w:sz w:val="28"/>
          <w:szCs w:val="28"/>
          <w:lang w:val="es-ES"/>
        </w:rPr>
      </w:pPr>
      <w:r>
        <w:rPr>
          <w:rFonts w:ascii="Arial Narrow" w:hAnsi="Arial Narrow" w:cs="Arial"/>
          <w:spacing w:val="-3"/>
          <w:sz w:val="28"/>
          <w:szCs w:val="28"/>
        </w:rPr>
        <w:t>En ese orden, no erró la sentenciadora de primer grado cuando concluyó que la situación pensional de</w:t>
      </w:r>
      <w:r w:rsidR="00A42B68">
        <w:rPr>
          <w:rFonts w:ascii="Arial Narrow" w:hAnsi="Arial Narrow" w:cs="Arial"/>
          <w:spacing w:val="-3"/>
          <w:sz w:val="28"/>
          <w:szCs w:val="28"/>
        </w:rPr>
        <w:t xml:space="preserve"> la</w:t>
      </w:r>
      <w:r>
        <w:rPr>
          <w:rFonts w:ascii="Arial Narrow" w:hAnsi="Arial Narrow" w:cs="Arial"/>
          <w:spacing w:val="-3"/>
          <w:sz w:val="28"/>
          <w:szCs w:val="28"/>
        </w:rPr>
        <w:t xml:space="preserve"> demandante estaba regida en su integridad por la Ley 797 de 2003, pues una vez </w:t>
      </w:r>
      <w:r w:rsidRPr="00EC192D">
        <w:rPr>
          <w:rFonts w:ascii="Arial Narrow" w:hAnsi="Arial Narrow" w:cs="Arial"/>
          <w:spacing w:val="-3"/>
          <w:sz w:val="28"/>
          <w:szCs w:val="28"/>
        </w:rPr>
        <w:t xml:space="preserve">cumplió la edad el </w:t>
      </w:r>
      <w:r w:rsidR="00A42B68">
        <w:rPr>
          <w:rFonts w:ascii="Arial Narrow" w:hAnsi="Arial Narrow" w:cs="Arial"/>
          <w:spacing w:val="-3"/>
          <w:sz w:val="28"/>
          <w:szCs w:val="28"/>
        </w:rPr>
        <w:t>26 de mayo de 2007</w:t>
      </w:r>
      <w:r w:rsidRPr="00EC192D">
        <w:rPr>
          <w:rFonts w:ascii="Arial Narrow" w:hAnsi="Arial Narrow" w:cs="Arial"/>
          <w:spacing w:val="-3"/>
          <w:sz w:val="28"/>
          <w:szCs w:val="28"/>
        </w:rPr>
        <w:t>, quedó a la espera de cumplir el número de aportes con los cuales obtendría su pensión de vejez, acorde con la escala implementada por la Ley 797 a partir de 1 de enero de 2005, los cuales valga anotar, no acreditó, por cuanto apenas cuenta con 1.0</w:t>
      </w:r>
      <w:r w:rsidR="00A42B68">
        <w:rPr>
          <w:rFonts w:ascii="Arial Narrow" w:hAnsi="Arial Narrow" w:cs="Arial"/>
          <w:spacing w:val="-3"/>
          <w:sz w:val="28"/>
          <w:szCs w:val="28"/>
        </w:rPr>
        <w:t>12,43</w:t>
      </w:r>
      <w:r w:rsidRPr="00EC192D">
        <w:rPr>
          <w:rFonts w:ascii="Arial Narrow" w:hAnsi="Arial Narrow" w:cs="Arial"/>
          <w:spacing w:val="-3"/>
          <w:sz w:val="28"/>
          <w:szCs w:val="28"/>
        </w:rPr>
        <w:t xml:space="preserve"> semanas</w:t>
      </w:r>
      <w:r w:rsidR="00A42B68">
        <w:rPr>
          <w:rFonts w:ascii="Arial Narrow" w:hAnsi="Arial Narrow" w:cs="Arial"/>
          <w:spacing w:val="-3"/>
          <w:sz w:val="28"/>
          <w:szCs w:val="28"/>
        </w:rPr>
        <w:t xml:space="preserve">, según historia laboral visible a folio 9, </w:t>
      </w:r>
      <w:r w:rsidRPr="00EC192D">
        <w:rPr>
          <w:rFonts w:ascii="Arial Narrow" w:hAnsi="Arial Narrow" w:cs="Arial"/>
          <w:sz w:val="28"/>
          <w:szCs w:val="28"/>
          <w:lang w:val="es-ES"/>
        </w:rPr>
        <w:t xml:space="preserve">cifra claramente inferior a </w:t>
      </w:r>
      <w:r>
        <w:rPr>
          <w:rFonts w:ascii="Arial Narrow" w:hAnsi="Arial Narrow" w:cs="Arial"/>
          <w:sz w:val="28"/>
          <w:szCs w:val="28"/>
          <w:lang w:val="es-ES"/>
        </w:rPr>
        <w:t xml:space="preserve">la exigida </w:t>
      </w:r>
      <w:r w:rsidR="00881FB6">
        <w:rPr>
          <w:rFonts w:ascii="Arial Narrow" w:hAnsi="Arial Narrow" w:cs="Arial"/>
          <w:sz w:val="28"/>
          <w:szCs w:val="28"/>
          <w:lang w:val="es-ES"/>
        </w:rPr>
        <w:t xml:space="preserve"> para el momento en que arribó a la edad mínima, pues se exigían 1</w:t>
      </w:r>
      <w:r>
        <w:rPr>
          <w:rFonts w:ascii="Arial Narrow" w:hAnsi="Arial Narrow" w:cs="Arial"/>
          <w:sz w:val="28"/>
          <w:szCs w:val="28"/>
          <w:lang w:val="es-ES"/>
        </w:rPr>
        <w:t>.</w:t>
      </w:r>
      <w:r w:rsidR="00A42B68">
        <w:rPr>
          <w:rFonts w:ascii="Arial Narrow" w:hAnsi="Arial Narrow" w:cs="Arial"/>
          <w:sz w:val="28"/>
          <w:szCs w:val="28"/>
          <w:lang w:val="es-ES"/>
        </w:rPr>
        <w:t>1</w:t>
      </w:r>
      <w:r>
        <w:rPr>
          <w:rFonts w:ascii="Arial Narrow" w:hAnsi="Arial Narrow" w:cs="Arial"/>
          <w:sz w:val="28"/>
          <w:szCs w:val="28"/>
          <w:lang w:val="es-ES"/>
        </w:rPr>
        <w:t xml:space="preserve">00 semanas. </w:t>
      </w:r>
    </w:p>
    <w:p w:rsidR="00FA3006" w:rsidRPr="00EC192D" w:rsidRDefault="00FA3006" w:rsidP="00FA3006">
      <w:pPr>
        <w:pStyle w:val="Sinespaciado"/>
      </w:pPr>
    </w:p>
    <w:p w:rsidR="00FA3006" w:rsidRPr="00EC192D" w:rsidRDefault="00FA3006" w:rsidP="00FA3006">
      <w:pPr>
        <w:autoSpaceDE w:val="0"/>
        <w:autoSpaceDN w:val="0"/>
        <w:adjustRightInd w:val="0"/>
        <w:spacing w:line="360" w:lineRule="auto"/>
        <w:ind w:firstLine="851"/>
        <w:jc w:val="both"/>
        <w:rPr>
          <w:rFonts w:ascii="Arial Narrow" w:hAnsi="Arial Narrow" w:cs="Arial"/>
          <w:sz w:val="28"/>
          <w:szCs w:val="28"/>
          <w:lang w:val="es-ES"/>
        </w:rPr>
      </w:pPr>
      <w:r w:rsidRPr="00EC192D">
        <w:rPr>
          <w:rFonts w:ascii="Arial Narrow" w:hAnsi="Arial Narrow" w:cs="Arial"/>
          <w:sz w:val="28"/>
          <w:szCs w:val="28"/>
          <w:lang w:val="es-ES"/>
        </w:rPr>
        <w:t>Por ende, la única vía posible es la de desestimar las pretensiones de la demanda, como lo indicó la a quo, debiéndose por ende confirmar la sentencia de primera instancia.</w:t>
      </w:r>
    </w:p>
    <w:p w:rsidR="00FA3006" w:rsidRDefault="00FA3006" w:rsidP="007D0FF1">
      <w:pPr>
        <w:pStyle w:val="Sinespaciado"/>
        <w:rPr>
          <w:lang w:val="es-ES"/>
        </w:rPr>
      </w:pPr>
    </w:p>
    <w:p w:rsidR="00576E38" w:rsidRDefault="00C003E9" w:rsidP="00576E38">
      <w:pPr>
        <w:autoSpaceDE w:val="0"/>
        <w:autoSpaceDN w:val="0"/>
        <w:adjustRightInd w:val="0"/>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Sin costas en esta instancia, dado que se conoce en virtud del grado jurisdiccional de consulta. </w:t>
      </w:r>
    </w:p>
    <w:p w:rsidR="0036700D" w:rsidRDefault="0036700D" w:rsidP="00576E38">
      <w:pPr>
        <w:autoSpaceDE w:val="0"/>
        <w:autoSpaceDN w:val="0"/>
        <w:adjustRightInd w:val="0"/>
        <w:spacing w:line="360" w:lineRule="auto"/>
        <w:ind w:firstLine="851"/>
        <w:jc w:val="both"/>
        <w:rPr>
          <w:rFonts w:ascii="Arial Narrow" w:hAnsi="Arial Narrow" w:cs="Arial"/>
          <w:sz w:val="28"/>
          <w:szCs w:val="28"/>
          <w:lang w:val="es-ES"/>
        </w:rPr>
      </w:pPr>
    </w:p>
    <w:p w:rsidR="001B184E" w:rsidRDefault="001B184E" w:rsidP="001B184E">
      <w:pPr>
        <w:pStyle w:val="Prrafodelista2"/>
        <w:spacing w:after="0" w:line="360" w:lineRule="auto"/>
        <w:ind w:left="0" w:firstLine="708"/>
        <w:jc w:val="both"/>
        <w:rPr>
          <w:rFonts w:ascii="Arial Narrow" w:hAnsi="Arial Narrow"/>
          <w:sz w:val="28"/>
          <w:szCs w:val="28"/>
        </w:rPr>
      </w:pPr>
      <w:r w:rsidRPr="008E1295">
        <w:rPr>
          <w:rFonts w:ascii="Arial Narrow" w:hAnsi="Arial Narrow"/>
          <w:sz w:val="28"/>
          <w:szCs w:val="28"/>
        </w:rPr>
        <w:t xml:space="preserve">En mérito de lo expuesto, </w:t>
      </w:r>
      <w:r w:rsidRPr="0019399A">
        <w:rPr>
          <w:rFonts w:ascii="Arial Narrow" w:hAnsi="Arial Narrow"/>
          <w:sz w:val="28"/>
          <w:szCs w:val="28"/>
        </w:rPr>
        <w:t xml:space="preserve">el Tribunal Superior del Distrito Judicial de Pereira - Risaralda, Sala </w:t>
      </w:r>
      <w:r>
        <w:rPr>
          <w:rFonts w:ascii="Arial Narrow" w:hAnsi="Arial Narrow"/>
          <w:sz w:val="28"/>
          <w:szCs w:val="28"/>
        </w:rPr>
        <w:t xml:space="preserve">Cuarta de Decisión </w:t>
      </w:r>
      <w:r w:rsidRPr="0019399A">
        <w:rPr>
          <w:rFonts w:ascii="Arial Narrow" w:hAnsi="Arial Narrow"/>
          <w:sz w:val="28"/>
          <w:szCs w:val="28"/>
        </w:rPr>
        <w:t>Laboral, administrando justicia en nombre de la República y por autoridad de la ley,</w:t>
      </w:r>
    </w:p>
    <w:p w:rsidR="001B184E" w:rsidRPr="00EE724A" w:rsidRDefault="001B184E" w:rsidP="001B184E">
      <w:pPr>
        <w:pStyle w:val="Sinespaciado"/>
      </w:pPr>
    </w:p>
    <w:p w:rsidR="001B184E" w:rsidRPr="0019399A" w:rsidRDefault="001B184E" w:rsidP="001B184E">
      <w:pPr>
        <w:spacing w:line="360" w:lineRule="auto"/>
        <w:jc w:val="center"/>
        <w:rPr>
          <w:rFonts w:ascii="Arial Narrow" w:hAnsi="Arial Narrow" w:cs="Arial"/>
          <w:i/>
          <w:sz w:val="28"/>
          <w:szCs w:val="28"/>
        </w:rPr>
      </w:pPr>
      <w:r w:rsidRPr="0019399A">
        <w:rPr>
          <w:rFonts w:ascii="Arial Narrow" w:hAnsi="Arial Narrow" w:cs="Arial"/>
          <w:i/>
          <w:sz w:val="28"/>
          <w:szCs w:val="28"/>
        </w:rPr>
        <w:t>FALLA</w:t>
      </w:r>
    </w:p>
    <w:p w:rsidR="001B184E" w:rsidRPr="0019399A" w:rsidRDefault="001B184E" w:rsidP="001B184E">
      <w:pPr>
        <w:pStyle w:val="Sinespaciado"/>
      </w:pPr>
    </w:p>
    <w:p w:rsidR="001B184E" w:rsidRPr="0019399A" w:rsidRDefault="001B184E" w:rsidP="001B184E">
      <w:pPr>
        <w:pStyle w:val="Textoindependiente31"/>
        <w:numPr>
          <w:ilvl w:val="0"/>
          <w:numId w:val="2"/>
        </w:numPr>
        <w:ind w:left="0" w:firstLine="426"/>
        <w:rPr>
          <w:rFonts w:ascii="Arial Narrow" w:hAnsi="Arial Narrow" w:cs="Arial"/>
          <w:bCs/>
          <w:szCs w:val="28"/>
        </w:rPr>
      </w:pPr>
      <w:r w:rsidRPr="0019399A">
        <w:rPr>
          <w:rFonts w:ascii="Arial Narrow" w:hAnsi="Arial Narrow" w:cs="Arial"/>
          <w:i/>
          <w:spacing w:val="-2"/>
          <w:szCs w:val="28"/>
        </w:rPr>
        <w:t xml:space="preserve">Confirma </w:t>
      </w:r>
      <w:r w:rsidRPr="0019399A">
        <w:rPr>
          <w:rFonts w:ascii="Arial Narrow" w:hAnsi="Arial Narrow" w:cs="Arial"/>
          <w:spacing w:val="-2"/>
          <w:szCs w:val="28"/>
        </w:rPr>
        <w:t>l</w:t>
      </w:r>
      <w:r w:rsidRPr="0019399A">
        <w:rPr>
          <w:rFonts w:ascii="Arial Narrow" w:hAnsi="Arial Narrow" w:cs="Arial"/>
          <w:szCs w:val="28"/>
        </w:rPr>
        <w:t xml:space="preserve">a sentencia proferida el </w:t>
      </w:r>
      <w:r w:rsidR="00C003E9">
        <w:rPr>
          <w:rFonts w:ascii="Arial Narrow" w:hAnsi="Arial Narrow" w:cs="Arial"/>
          <w:szCs w:val="28"/>
        </w:rPr>
        <w:t>27 de septiembre de 2</w:t>
      </w:r>
      <w:r>
        <w:rPr>
          <w:rFonts w:ascii="Arial Narrow" w:hAnsi="Arial Narrow" w:cs="Arial"/>
          <w:szCs w:val="28"/>
        </w:rPr>
        <w:t>017</w:t>
      </w:r>
      <w:r w:rsidRPr="0019399A">
        <w:rPr>
          <w:rFonts w:ascii="Arial Narrow" w:hAnsi="Arial Narrow" w:cs="Arial"/>
          <w:szCs w:val="28"/>
        </w:rPr>
        <w:t xml:space="preserve">, por el Juzgado </w:t>
      </w:r>
      <w:r w:rsidR="00C003E9">
        <w:rPr>
          <w:rFonts w:ascii="Arial Narrow" w:hAnsi="Arial Narrow" w:cs="Arial"/>
          <w:szCs w:val="28"/>
        </w:rPr>
        <w:t xml:space="preserve">Cuarto </w:t>
      </w:r>
      <w:r w:rsidRPr="0019399A">
        <w:rPr>
          <w:rFonts w:ascii="Arial Narrow" w:hAnsi="Arial Narrow" w:cs="Arial"/>
          <w:szCs w:val="28"/>
        </w:rPr>
        <w:t xml:space="preserve">Laboral del Circuito de Pereira, dentro del proceso ordinario laboral de </w:t>
      </w:r>
      <w:r w:rsidRPr="0019399A">
        <w:rPr>
          <w:rFonts w:ascii="Arial Narrow" w:hAnsi="Arial Narrow" w:cs="Arial"/>
          <w:iCs/>
          <w:szCs w:val="28"/>
        </w:rPr>
        <w:t xml:space="preserve">la referencia. </w:t>
      </w:r>
    </w:p>
    <w:p w:rsidR="001B184E" w:rsidRPr="00D05E73" w:rsidRDefault="001B184E" w:rsidP="001B184E">
      <w:pPr>
        <w:pStyle w:val="Sinespaciado"/>
      </w:pPr>
    </w:p>
    <w:p w:rsidR="001B184E" w:rsidRPr="0019399A" w:rsidRDefault="00C003E9" w:rsidP="001B184E">
      <w:pPr>
        <w:pStyle w:val="Textoindependiente31"/>
        <w:numPr>
          <w:ilvl w:val="0"/>
          <w:numId w:val="2"/>
        </w:numPr>
        <w:ind w:left="0" w:firstLine="426"/>
        <w:rPr>
          <w:rFonts w:ascii="Arial Narrow" w:hAnsi="Arial Narrow" w:cs="Arial"/>
          <w:iCs/>
          <w:kern w:val="28"/>
          <w:szCs w:val="28"/>
          <w:lang w:val="es-CO"/>
        </w:rPr>
      </w:pPr>
      <w:r>
        <w:rPr>
          <w:rFonts w:ascii="Arial Narrow" w:hAnsi="Arial Narrow" w:cs="Arial"/>
          <w:iCs/>
          <w:kern w:val="28"/>
          <w:szCs w:val="28"/>
          <w:lang w:val="es-CO"/>
        </w:rPr>
        <w:t>Sin costas en esta instancia</w:t>
      </w:r>
      <w:r w:rsidR="001B184E" w:rsidRPr="0019399A">
        <w:rPr>
          <w:rFonts w:ascii="Arial Narrow" w:hAnsi="Arial Narrow" w:cs="Arial"/>
          <w:iCs/>
          <w:kern w:val="28"/>
          <w:szCs w:val="28"/>
          <w:lang w:val="es-CO"/>
        </w:rPr>
        <w:t xml:space="preserve">. </w:t>
      </w:r>
    </w:p>
    <w:p w:rsidR="001B184E" w:rsidRPr="0019399A" w:rsidRDefault="001B184E" w:rsidP="001B184E">
      <w:pPr>
        <w:pStyle w:val="Sinespaciado"/>
      </w:pPr>
    </w:p>
    <w:p w:rsidR="001B184E" w:rsidRPr="0019399A" w:rsidRDefault="001B184E" w:rsidP="001B184E">
      <w:pPr>
        <w:spacing w:line="360" w:lineRule="auto"/>
        <w:ind w:firstLine="900"/>
        <w:jc w:val="both"/>
        <w:rPr>
          <w:rFonts w:ascii="Arial Narrow" w:hAnsi="Arial Narrow" w:cs="Microsoft Sans Serif"/>
          <w:bCs/>
          <w:i/>
          <w:iCs/>
          <w:sz w:val="28"/>
          <w:szCs w:val="28"/>
          <w:lang w:val="es-ES"/>
        </w:rPr>
      </w:pPr>
      <w:r w:rsidRPr="0019399A">
        <w:rPr>
          <w:rFonts w:ascii="Arial Narrow" w:hAnsi="Arial Narrow" w:cs="Microsoft Sans Serif"/>
          <w:bCs/>
          <w:i/>
          <w:iCs/>
          <w:sz w:val="28"/>
          <w:szCs w:val="28"/>
          <w:lang w:val="es-ES"/>
        </w:rPr>
        <w:t>NOTIFÍQUESE, CÚMPLASE Y DEVUÉLVASE.</w:t>
      </w:r>
    </w:p>
    <w:p w:rsidR="001B184E" w:rsidRPr="0019399A" w:rsidRDefault="001B184E" w:rsidP="001B184E">
      <w:pPr>
        <w:pStyle w:val="Sinespaciado"/>
      </w:pPr>
    </w:p>
    <w:p w:rsidR="001B184E" w:rsidRPr="0019399A" w:rsidRDefault="001B184E" w:rsidP="001B184E">
      <w:pPr>
        <w:spacing w:line="360" w:lineRule="auto"/>
        <w:ind w:firstLine="900"/>
        <w:jc w:val="both"/>
        <w:rPr>
          <w:rFonts w:ascii="Arial Narrow" w:hAnsi="Arial Narrow" w:cs="Microsoft Sans Serif"/>
          <w:bCs/>
          <w:iCs/>
          <w:sz w:val="28"/>
          <w:szCs w:val="28"/>
          <w:lang w:val="es-ES"/>
        </w:rPr>
      </w:pPr>
      <w:r w:rsidRPr="0019399A">
        <w:rPr>
          <w:rFonts w:ascii="Arial Narrow" w:hAnsi="Arial Narrow" w:cs="Microsoft Sans Serif"/>
          <w:bCs/>
          <w:iCs/>
          <w:sz w:val="28"/>
          <w:szCs w:val="28"/>
          <w:lang w:val="es-ES"/>
        </w:rPr>
        <w:t>La anterior decisión queda notificada en estrados.</w:t>
      </w:r>
    </w:p>
    <w:p w:rsidR="001B184E" w:rsidRPr="0019399A" w:rsidRDefault="001B184E" w:rsidP="001B184E">
      <w:pPr>
        <w:pStyle w:val="Sinespaciado"/>
        <w:rPr>
          <w:lang w:val="es-ES"/>
        </w:rPr>
      </w:pPr>
    </w:p>
    <w:p w:rsidR="001B184E" w:rsidRPr="0019399A" w:rsidRDefault="001B184E" w:rsidP="001B184E">
      <w:pPr>
        <w:spacing w:line="360" w:lineRule="auto"/>
        <w:ind w:firstLine="900"/>
        <w:jc w:val="both"/>
        <w:rPr>
          <w:rFonts w:ascii="Arial Narrow" w:hAnsi="Arial Narrow" w:cs="Microsoft Sans Serif"/>
          <w:bCs/>
          <w:iCs/>
          <w:sz w:val="28"/>
          <w:szCs w:val="28"/>
          <w:lang w:val="es-ES"/>
        </w:rPr>
      </w:pPr>
    </w:p>
    <w:p w:rsidR="001B184E" w:rsidRPr="0019399A" w:rsidRDefault="001B184E" w:rsidP="001B184E">
      <w:pPr>
        <w:ind w:firstLine="900"/>
        <w:jc w:val="center"/>
        <w:rPr>
          <w:rFonts w:ascii="Arial Narrow" w:hAnsi="Arial Narrow" w:cs="Microsoft Sans Serif"/>
          <w:bCs/>
          <w:iCs/>
          <w:sz w:val="28"/>
          <w:szCs w:val="28"/>
          <w:lang w:val="es-ES"/>
        </w:rPr>
      </w:pPr>
    </w:p>
    <w:p w:rsidR="001B184E" w:rsidRPr="0019399A" w:rsidRDefault="001B184E" w:rsidP="001B184E">
      <w:pPr>
        <w:ind w:firstLine="900"/>
        <w:jc w:val="center"/>
        <w:rPr>
          <w:rFonts w:ascii="Arial Narrow" w:hAnsi="Arial Narrow" w:cs="Microsoft Sans Serif"/>
          <w:bCs/>
          <w:iCs/>
          <w:sz w:val="28"/>
          <w:szCs w:val="28"/>
          <w:lang w:val="es-ES"/>
        </w:rPr>
      </w:pPr>
      <w:r w:rsidRPr="0019399A">
        <w:rPr>
          <w:rFonts w:ascii="Arial Narrow" w:hAnsi="Arial Narrow" w:cs="Microsoft Sans Serif"/>
          <w:bCs/>
          <w:iCs/>
          <w:sz w:val="28"/>
          <w:szCs w:val="28"/>
          <w:lang w:val="es-ES"/>
        </w:rPr>
        <w:t>FRANCISCO JAVIER TAMAYO TABARES</w:t>
      </w:r>
    </w:p>
    <w:p w:rsidR="001B184E" w:rsidRPr="0019399A" w:rsidRDefault="001B184E" w:rsidP="001B184E">
      <w:pPr>
        <w:ind w:firstLine="900"/>
        <w:jc w:val="center"/>
        <w:rPr>
          <w:rFonts w:ascii="Arial Narrow" w:hAnsi="Arial Narrow" w:cs="Microsoft Sans Serif"/>
          <w:sz w:val="28"/>
          <w:szCs w:val="28"/>
          <w:lang w:val="es-ES"/>
        </w:rPr>
      </w:pPr>
      <w:r w:rsidRPr="0019399A">
        <w:rPr>
          <w:rFonts w:ascii="Arial Narrow" w:hAnsi="Arial Narrow" w:cs="Microsoft Sans Serif"/>
          <w:sz w:val="28"/>
          <w:szCs w:val="28"/>
          <w:lang w:val="es-ES"/>
        </w:rPr>
        <w:t>Magistrado</w:t>
      </w:r>
    </w:p>
    <w:p w:rsidR="001B184E" w:rsidRDefault="001B184E" w:rsidP="001B184E">
      <w:pPr>
        <w:spacing w:line="360" w:lineRule="auto"/>
        <w:jc w:val="both"/>
        <w:rPr>
          <w:rFonts w:ascii="Arial Narrow" w:hAnsi="Arial Narrow" w:cs="Microsoft Sans Serif"/>
          <w:bCs/>
          <w:iCs/>
          <w:sz w:val="28"/>
          <w:szCs w:val="28"/>
          <w:lang w:val="es-ES"/>
        </w:rPr>
      </w:pPr>
    </w:p>
    <w:p w:rsidR="001B184E" w:rsidRPr="0019399A" w:rsidRDefault="001B184E" w:rsidP="001B184E">
      <w:pPr>
        <w:pStyle w:val="Sinespaciado"/>
        <w:rPr>
          <w:lang w:val="es-ES"/>
        </w:rPr>
      </w:pPr>
    </w:p>
    <w:p w:rsidR="001B184E" w:rsidRPr="0019399A" w:rsidRDefault="001B184E" w:rsidP="001B184E">
      <w:pPr>
        <w:pStyle w:val="Sinespaciado"/>
        <w:rPr>
          <w:lang w:val="es-ES"/>
        </w:rPr>
      </w:pPr>
    </w:p>
    <w:p w:rsidR="001B184E" w:rsidRPr="0019399A" w:rsidRDefault="001B184E" w:rsidP="001B184E">
      <w:pPr>
        <w:jc w:val="both"/>
        <w:rPr>
          <w:rFonts w:ascii="Arial Narrow" w:hAnsi="Arial Narrow" w:cs="Microsoft Sans Serif"/>
          <w:sz w:val="28"/>
          <w:szCs w:val="28"/>
          <w:lang w:val="es-ES"/>
        </w:rPr>
      </w:pPr>
      <w:r w:rsidRPr="0019399A">
        <w:rPr>
          <w:rFonts w:ascii="Arial Narrow" w:hAnsi="Arial Narrow" w:cs="Microsoft Sans Serif"/>
          <w:bCs/>
          <w:iCs/>
          <w:sz w:val="28"/>
          <w:szCs w:val="28"/>
          <w:lang w:val="es-ES"/>
        </w:rPr>
        <w:t xml:space="preserve">ANA LUCÍA CAICEDO CALDERÓN                            </w:t>
      </w:r>
      <w:r>
        <w:rPr>
          <w:rFonts w:ascii="Arial Narrow" w:hAnsi="Arial Narrow" w:cs="Microsoft Sans Serif"/>
          <w:bCs/>
          <w:iCs/>
          <w:sz w:val="28"/>
          <w:szCs w:val="28"/>
          <w:lang w:val="es-ES"/>
        </w:rPr>
        <w:t xml:space="preserve">OLGA LUCÍA HOYOS SEPÚLVEDA </w:t>
      </w:r>
    </w:p>
    <w:p w:rsidR="001B184E" w:rsidRDefault="001B184E" w:rsidP="001B184E">
      <w:pPr>
        <w:ind w:left="708" w:firstLine="708"/>
        <w:jc w:val="both"/>
      </w:pPr>
      <w:r w:rsidRPr="0019399A">
        <w:rPr>
          <w:rFonts w:ascii="Arial Narrow" w:hAnsi="Arial Narrow" w:cs="Microsoft Sans Serif"/>
          <w:bCs/>
          <w:iCs/>
          <w:sz w:val="28"/>
          <w:szCs w:val="28"/>
          <w:lang w:val="es-ES"/>
        </w:rPr>
        <w:t xml:space="preserve">Magistrada </w:t>
      </w:r>
      <w:r w:rsidRPr="0019399A">
        <w:rPr>
          <w:rFonts w:ascii="Arial Narrow" w:hAnsi="Arial Narrow" w:cs="Microsoft Sans Serif"/>
          <w:bCs/>
          <w:iCs/>
          <w:sz w:val="28"/>
          <w:szCs w:val="28"/>
          <w:lang w:val="es-ES"/>
        </w:rPr>
        <w:tab/>
      </w:r>
      <w:r w:rsidRPr="0019399A">
        <w:rPr>
          <w:rFonts w:ascii="Arial Narrow" w:hAnsi="Arial Narrow" w:cs="Microsoft Sans Serif"/>
          <w:bCs/>
          <w:iCs/>
          <w:sz w:val="28"/>
          <w:szCs w:val="28"/>
          <w:lang w:val="es-ES"/>
        </w:rPr>
        <w:tab/>
      </w:r>
      <w:r w:rsidRPr="0019399A">
        <w:rPr>
          <w:rFonts w:ascii="Arial Narrow" w:hAnsi="Arial Narrow" w:cs="Microsoft Sans Serif"/>
          <w:bCs/>
          <w:iCs/>
          <w:sz w:val="28"/>
          <w:szCs w:val="28"/>
          <w:lang w:val="es-ES"/>
        </w:rPr>
        <w:tab/>
        <w:t xml:space="preserve">                      </w:t>
      </w:r>
      <w:r w:rsidRPr="0019399A">
        <w:rPr>
          <w:rFonts w:ascii="Arial Narrow" w:hAnsi="Arial Narrow" w:cs="Microsoft Sans Serif"/>
          <w:bCs/>
          <w:iCs/>
          <w:sz w:val="28"/>
          <w:szCs w:val="28"/>
          <w:lang w:val="es-ES"/>
        </w:rPr>
        <w:tab/>
      </w:r>
      <w:r w:rsidRPr="0019399A">
        <w:rPr>
          <w:rFonts w:ascii="Arial Narrow" w:hAnsi="Arial Narrow" w:cs="Microsoft Sans Serif"/>
          <w:bCs/>
          <w:iCs/>
          <w:sz w:val="28"/>
          <w:szCs w:val="28"/>
          <w:lang w:val="es-ES"/>
        </w:rPr>
        <w:tab/>
        <w:t xml:space="preserve">Magistrado                                                                              </w:t>
      </w:r>
      <w:r w:rsidRPr="0019399A">
        <w:rPr>
          <w:rFonts w:ascii="Arial Narrow" w:hAnsi="Arial Narrow" w:cs="Microsoft Sans Serif"/>
          <w:bCs/>
          <w:iCs/>
          <w:sz w:val="28"/>
          <w:szCs w:val="28"/>
          <w:lang w:val="es-ES"/>
        </w:rPr>
        <w:tab/>
      </w:r>
      <w:r w:rsidRPr="0019399A">
        <w:rPr>
          <w:rFonts w:ascii="Arial Narrow" w:hAnsi="Arial Narrow" w:cs="Microsoft Sans Serif"/>
          <w:bCs/>
          <w:iCs/>
          <w:sz w:val="28"/>
          <w:szCs w:val="28"/>
          <w:lang w:val="es-ES"/>
        </w:rPr>
        <w:tab/>
      </w:r>
      <w:r w:rsidRPr="0019399A">
        <w:rPr>
          <w:rFonts w:ascii="Arial Narrow" w:hAnsi="Arial Narrow" w:cs="Microsoft Sans Serif"/>
          <w:bCs/>
          <w:iCs/>
          <w:sz w:val="28"/>
          <w:szCs w:val="28"/>
          <w:lang w:val="es-ES"/>
        </w:rPr>
        <w:tab/>
      </w:r>
    </w:p>
    <w:p w:rsidR="00C35CA1" w:rsidRDefault="00C35CA1"/>
    <w:sectPr w:rsidR="00C35CA1" w:rsidSect="00C31C22">
      <w:headerReference w:type="default" r:id="rId7"/>
      <w:footerReference w:type="even" r:id="rId8"/>
      <w:footerReference w:type="default" r:id="rId9"/>
      <w:pgSz w:w="12242" w:h="18722" w:code="121"/>
      <w:pgMar w:top="170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46EB" w:rsidRDefault="009346EB" w:rsidP="001B184E">
      <w:r>
        <w:separator/>
      </w:r>
    </w:p>
  </w:endnote>
  <w:endnote w:type="continuationSeparator" w:id="0">
    <w:p w:rsidR="009346EB" w:rsidRDefault="009346EB" w:rsidP="001B1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DCC" w:rsidRDefault="00441D5E" w:rsidP="004609D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82DCC" w:rsidRDefault="009346EB" w:rsidP="004609D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DCC" w:rsidRDefault="00441D5E" w:rsidP="004609D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E0E55">
      <w:rPr>
        <w:rStyle w:val="Nmerodepgina"/>
        <w:noProof/>
      </w:rPr>
      <w:t>7</w:t>
    </w:r>
    <w:r>
      <w:rPr>
        <w:rStyle w:val="Nmerodepgina"/>
      </w:rPr>
      <w:fldChar w:fldCharType="end"/>
    </w:r>
  </w:p>
  <w:p w:rsidR="00C82DCC" w:rsidRDefault="009346EB" w:rsidP="004609D0">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46EB" w:rsidRDefault="009346EB" w:rsidP="001B184E">
      <w:r>
        <w:separator/>
      </w:r>
    </w:p>
  </w:footnote>
  <w:footnote w:type="continuationSeparator" w:id="0">
    <w:p w:rsidR="009346EB" w:rsidRDefault="009346EB" w:rsidP="001B18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DCC" w:rsidRDefault="00441D5E" w:rsidP="004609D0">
    <w:pPr>
      <w:jc w:val="both"/>
      <w:rPr>
        <w:rFonts w:ascii="Arial Narrow" w:hAnsi="Arial Narrow" w:cs="Arial"/>
        <w:bCs/>
        <w:sz w:val="18"/>
        <w:szCs w:val="18"/>
      </w:rPr>
    </w:pPr>
    <w:r w:rsidRPr="0015409B">
      <w:rPr>
        <w:rFonts w:ascii="Arial Narrow" w:hAnsi="Arial Narrow" w:cs="Arial"/>
        <w:bCs/>
        <w:sz w:val="18"/>
        <w:szCs w:val="18"/>
      </w:rPr>
      <w:t>Radicación No: 66001-31-05-00</w:t>
    </w:r>
    <w:r w:rsidR="001B184E">
      <w:rPr>
        <w:rFonts w:ascii="Arial Narrow" w:hAnsi="Arial Narrow" w:cs="Arial"/>
        <w:bCs/>
        <w:sz w:val="18"/>
        <w:szCs w:val="18"/>
      </w:rPr>
      <w:t>4-2017-00129-01</w:t>
    </w:r>
  </w:p>
  <w:p w:rsidR="00C82DCC" w:rsidRPr="0015409B" w:rsidRDefault="001B184E" w:rsidP="004609D0">
    <w:pPr>
      <w:jc w:val="both"/>
      <w:rPr>
        <w:rFonts w:ascii="Arial Narrow" w:hAnsi="Arial Narrow"/>
        <w:sz w:val="18"/>
        <w:szCs w:val="18"/>
        <w:lang w:val="es-ES"/>
      </w:rPr>
    </w:pPr>
    <w:r>
      <w:rPr>
        <w:rFonts w:ascii="Arial Narrow" w:hAnsi="Arial Narrow" w:cs="Arial"/>
        <w:bCs/>
        <w:sz w:val="18"/>
        <w:szCs w:val="18"/>
      </w:rPr>
      <w:t xml:space="preserve">María Nubia Cortes López </w:t>
    </w:r>
    <w:r w:rsidR="00441D5E">
      <w:rPr>
        <w:rFonts w:ascii="Arial Narrow" w:hAnsi="Arial Narrow" w:cs="Arial"/>
        <w:bCs/>
        <w:sz w:val="18"/>
        <w:szCs w:val="18"/>
      </w:rPr>
      <w:t>vs</w:t>
    </w:r>
    <w:r w:rsidR="00441D5E" w:rsidRPr="0015409B">
      <w:rPr>
        <w:rFonts w:ascii="Arial Narrow" w:hAnsi="Arial Narrow" w:cs="Arial"/>
        <w:bCs/>
        <w:sz w:val="18"/>
        <w:szCs w:val="18"/>
        <w:lang w:val="es-ES"/>
      </w:rPr>
      <w:t xml:space="preserve"> </w:t>
    </w:r>
    <w:r w:rsidR="00441D5E">
      <w:rPr>
        <w:rFonts w:ascii="Arial Narrow" w:hAnsi="Arial Narrow" w:cs="Arial"/>
        <w:bCs/>
        <w:sz w:val="18"/>
        <w:szCs w:val="18"/>
        <w:lang w:val="es-ES"/>
      </w:rPr>
      <w:t xml:space="preserve">Colpensiones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354AB"/>
    <w:multiLevelType w:val="hybridMultilevel"/>
    <w:tmpl w:val="340637B8"/>
    <w:lvl w:ilvl="0" w:tplc="168E82B8">
      <w:start w:val="1"/>
      <w:numFmt w:val="decimal"/>
      <w:lvlText w:val="%1."/>
      <w:lvlJc w:val="left"/>
      <w:pPr>
        <w:ind w:left="4613" w:hanging="360"/>
      </w:pPr>
      <w:rPr>
        <w:rFonts w:hint="default"/>
        <w:b w:val="0"/>
        <w:i/>
      </w:rPr>
    </w:lvl>
    <w:lvl w:ilvl="1" w:tplc="240A0019" w:tentative="1">
      <w:start w:val="1"/>
      <w:numFmt w:val="lowerLetter"/>
      <w:lvlText w:val="%2."/>
      <w:lvlJc w:val="left"/>
      <w:pPr>
        <w:ind w:left="4956" w:hanging="360"/>
      </w:pPr>
    </w:lvl>
    <w:lvl w:ilvl="2" w:tplc="240A001B" w:tentative="1">
      <w:start w:val="1"/>
      <w:numFmt w:val="lowerRoman"/>
      <w:lvlText w:val="%3."/>
      <w:lvlJc w:val="right"/>
      <w:pPr>
        <w:ind w:left="5676" w:hanging="180"/>
      </w:pPr>
    </w:lvl>
    <w:lvl w:ilvl="3" w:tplc="240A000F" w:tentative="1">
      <w:start w:val="1"/>
      <w:numFmt w:val="decimal"/>
      <w:lvlText w:val="%4."/>
      <w:lvlJc w:val="left"/>
      <w:pPr>
        <w:ind w:left="6396" w:hanging="360"/>
      </w:pPr>
    </w:lvl>
    <w:lvl w:ilvl="4" w:tplc="240A0019" w:tentative="1">
      <w:start w:val="1"/>
      <w:numFmt w:val="lowerLetter"/>
      <w:lvlText w:val="%5."/>
      <w:lvlJc w:val="left"/>
      <w:pPr>
        <w:ind w:left="7116" w:hanging="360"/>
      </w:pPr>
    </w:lvl>
    <w:lvl w:ilvl="5" w:tplc="240A001B" w:tentative="1">
      <w:start w:val="1"/>
      <w:numFmt w:val="lowerRoman"/>
      <w:lvlText w:val="%6."/>
      <w:lvlJc w:val="right"/>
      <w:pPr>
        <w:ind w:left="7836" w:hanging="180"/>
      </w:pPr>
    </w:lvl>
    <w:lvl w:ilvl="6" w:tplc="240A000F" w:tentative="1">
      <w:start w:val="1"/>
      <w:numFmt w:val="decimal"/>
      <w:lvlText w:val="%7."/>
      <w:lvlJc w:val="left"/>
      <w:pPr>
        <w:ind w:left="8556" w:hanging="360"/>
      </w:pPr>
    </w:lvl>
    <w:lvl w:ilvl="7" w:tplc="240A0019" w:tentative="1">
      <w:start w:val="1"/>
      <w:numFmt w:val="lowerLetter"/>
      <w:lvlText w:val="%8."/>
      <w:lvlJc w:val="left"/>
      <w:pPr>
        <w:ind w:left="9276" w:hanging="360"/>
      </w:pPr>
    </w:lvl>
    <w:lvl w:ilvl="8" w:tplc="240A001B" w:tentative="1">
      <w:start w:val="1"/>
      <w:numFmt w:val="lowerRoman"/>
      <w:lvlText w:val="%9."/>
      <w:lvlJc w:val="right"/>
      <w:pPr>
        <w:ind w:left="9996" w:hanging="180"/>
      </w:pPr>
    </w:lvl>
  </w:abstractNum>
  <w:abstractNum w:abstractNumId="1">
    <w:nsid w:val="74787928"/>
    <w:multiLevelType w:val="multilevel"/>
    <w:tmpl w:val="76368640"/>
    <w:lvl w:ilvl="0">
      <w:start w:val="1"/>
      <w:numFmt w:val="upperRoman"/>
      <w:lvlText w:val="%1."/>
      <w:lvlJc w:val="left"/>
      <w:pPr>
        <w:ind w:left="1571" w:hanging="720"/>
      </w:pPr>
      <w:rPr>
        <w:rFonts w:hint="default"/>
        <w:i/>
      </w:rPr>
    </w:lvl>
    <w:lvl w:ilvl="1">
      <w:start w:val="1"/>
      <w:numFmt w:val="decimal"/>
      <w:isLgl/>
      <w:lvlText w:val="%1.%2"/>
      <w:lvlJc w:val="left"/>
      <w:pPr>
        <w:ind w:left="1256" w:hanging="405"/>
      </w:pPr>
      <w:rPr>
        <w:rFonts w:cs="Tahoma" w:hint="default"/>
        <w:sz w:val="28"/>
      </w:rPr>
    </w:lvl>
    <w:lvl w:ilvl="2">
      <w:start w:val="1"/>
      <w:numFmt w:val="decimal"/>
      <w:isLgl/>
      <w:lvlText w:val="%1.%2.%3"/>
      <w:lvlJc w:val="left"/>
      <w:pPr>
        <w:ind w:left="1571" w:hanging="720"/>
      </w:pPr>
      <w:rPr>
        <w:rFonts w:cs="Tahoma" w:hint="default"/>
        <w:sz w:val="28"/>
      </w:rPr>
    </w:lvl>
    <w:lvl w:ilvl="3">
      <w:start w:val="1"/>
      <w:numFmt w:val="decimal"/>
      <w:isLgl/>
      <w:lvlText w:val="%1.%2.%3.%4"/>
      <w:lvlJc w:val="left"/>
      <w:pPr>
        <w:ind w:left="1931" w:hanging="1080"/>
      </w:pPr>
      <w:rPr>
        <w:rFonts w:cs="Tahoma" w:hint="default"/>
        <w:sz w:val="28"/>
      </w:rPr>
    </w:lvl>
    <w:lvl w:ilvl="4">
      <w:start w:val="1"/>
      <w:numFmt w:val="decimal"/>
      <w:isLgl/>
      <w:lvlText w:val="%1.%2.%3.%4.%5"/>
      <w:lvlJc w:val="left"/>
      <w:pPr>
        <w:ind w:left="1931" w:hanging="1080"/>
      </w:pPr>
      <w:rPr>
        <w:rFonts w:cs="Tahoma" w:hint="default"/>
        <w:sz w:val="28"/>
      </w:rPr>
    </w:lvl>
    <w:lvl w:ilvl="5">
      <w:start w:val="1"/>
      <w:numFmt w:val="decimal"/>
      <w:isLgl/>
      <w:lvlText w:val="%1.%2.%3.%4.%5.%6"/>
      <w:lvlJc w:val="left"/>
      <w:pPr>
        <w:ind w:left="2291" w:hanging="1440"/>
      </w:pPr>
      <w:rPr>
        <w:rFonts w:cs="Tahoma" w:hint="default"/>
        <w:sz w:val="28"/>
      </w:rPr>
    </w:lvl>
    <w:lvl w:ilvl="6">
      <w:start w:val="1"/>
      <w:numFmt w:val="decimal"/>
      <w:isLgl/>
      <w:lvlText w:val="%1.%2.%3.%4.%5.%6.%7"/>
      <w:lvlJc w:val="left"/>
      <w:pPr>
        <w:ind w:left="2291" w:hanging="1440"/>
      </w:pPr>
      <w:rPr>
        <w:rFonts w:cs="Tahoma" w:hint="default"/>
        <w:sz w:val="28"/>
      </w:rPr>
    </w:lvl>
    <w:lvl w:ilvl="7">
      <w:start w:val="1"/>
      <w:numFmt w:val="decimal"/>
      <w:isLgl/>
      <w:lvlText w:val="%1.%2.%3.%4.%5.%6.%7.%8"/>
      <w:lvlJc w:val="left"/>
      <w:pPr>
        <w:ind w:left="2651" w:hanging="1800"/>
      </w:pPr>
      <w:rPr>
        <w:rFonts w:cs="Tahoma" w:hint="default"/>
        <w:sz w:val="28"/>
      </w:rPr>
    </w:lvl>
    <w:lvl w:ilvl="8">
      <w:start w:val="1"/>
      <w:numFmt w:val="decimal"/>
      <w:isLgl/>
      <w:lvlText w:val="%1.%2.%3.%4.%5.%6.%7.%8.%9"/>
      <w:lvlJc w:val="left"/>
      <w:pPr>
        <w:ind w:left="2651" w:hanging="1800"/>
      </w:pPr>
      <w:rPr>
        <w:rFonts w:cs="Tahoma" w:hint="default"/>
        <w:sz w:val="28"/>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84E"/>
    <w:rsid w:val="00046356"/>
    <w:rsid w:val="000C10C6"/>
    <w:rsid w:val="000F5EA8"/>
    <w:rsid w:val="001417FE"/>
    <w:rsid w:val="001B184E"/>
    <w:rsid w:val="001E0E55"/>
    <w:rsid w:val="002D2F38"/>
    <w:rsid w:val="002F3790"/>
    <w:rsid w:val="0036700D"/>
    <w:rsid w:val="00441D5E"/>
    <w:rsid w:val="0045605A"/>
    <w:rsid w:val="004F3B7F"/>
    <w:rsid w:val="00520812"/>
    <w:rsid w:val="00576E38"/>
    <w:rsid w:val="005A15B7"/>
    <w:rsid w:val="005D6B8F"/>
    <w:rsid w:val="00641A3E"/>
    <w:rsid w:val="006B1B51"/>
    <w:rsid w:val="00747C5F"/>
    <w:rsid w:val="007D0FF1"/>
    <w:rsid w:val="00841778"/>
    <w:rsid w:val="00881FB6"/>
    <w:rsid w:val="008F6914"/>
    <w:rsid w:val="009346EB"/>
    <w:rsid w:val="00A42B68"/>
    <w:rsid w:val="00B960E2"/>
    <w:rsid w:val="00BE7032"/>
    <w:rsid w:val="00C003E9"/>
    <w:rsid w:val="00C35CA1"/>
    <w:rsid w:val="00C56C1B"/>
    <w:rsid w:val="00E0085F"/>
    <w:rsid w:val="00E609E0"/>
    <w:rsid w:val="00EA39D0"/>
    <w:rsid w:val="00F03915"/>
    <w:rsid w:val="00F15AF4"/>
    <w:rsid w:val="00FA300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4AFABE-3785-4BB6-8E4C-EC18501EB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84E"/>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1B184E"/>
    <w:pPr>
      <w:tabs>
        <w:tab w:val="center" w:pos="4252"/>
        <w:tab w:val="right" w:pos="8504"/>
      </w:tabs>
    </w:pPr>
  </w:style>
  <w:style w:type="character" w:customStyle="1" w:styleId="PiedepginaCar">
    <w:name w:val="Pie de página Car"/>
    <w:basedOn w:val="Fuentedeprrafopredeter"/>
    <w:link w:val="Piedepgina"/>
    <w:rsid w:val="001B184E"/>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1B184E"/>
  </w:style>
  <w:style w:type="paragraph" w:styleId="Prrafodelista">
    <w:name w:val="List Paragraph"/>
    <w:basedOn w:val="Normal"/>
    <w:uiPriority w:val="34"/>
    <w:qFormat/>
    <w:rsid w:val="001B184E"/>
    <w:pPr>
      <w:ind w:left="708"/>
    </w:pPr>
  </w:style>
  <w:style w:type="paragraph" w:styleId="Sinespaciado">
    <w:name w:val="No Spacing"/>
    <w:uiPriority w:val="1"/>
    <w:qFormat/>
    <w:rsid w:val="001B184E"/>
    <w:pPr>
      <w:spacing w:after="0" w:line="240" w:lineRule="auto"/>
    </w:pPr>
    <w:rPr>
      <w:lang w:val="es-ES_tradnl"/>
    </w:rPr>
  </w:style>
  <w:style w:type="paragraph" w:customStyle="1" w:styleId="Prrafodelista2">
    <w:name w:val="Párrafo de lista2"/>
    <w:basedOn w:val="Normal"/>
    <w:rsid w:val="001B184E"/>
    <w:pPr>
      <w:spacing w:after="200" w:line="276" w:lineRule="auto"/>
      <w:ind w:left="720"/>
      <w:contextualSpacing/>
    </w:pPr>
    <w:rPr>
      <w:rFonts w:ascii="Calibri" w:hAnsi="Calibri"/>
      <w:sz w:val="22"/>
      <w:szCs w:val="22"/>
      <w:lang w:val="es-CO" w:eastAsia="en-US"/>
    </w:rPr>
  </w:style>
  <w:style w:type="paragraph" w:customStyle="1" w:styleId="Textoindependiente31">
    <w:name w:val="Texto independiente 31"/>
    <w:basedOn w:val="Normal"/>
    <w:rsid w:val="001B184E"/>
    <w:pPr>
      <w:spacing w:line="360" w:lineRule="auto"/>
      <w:jc w:val="both"/>
    </w:pPr>
    <w:rPr>
      <w:rFonts w:ascii="Arial" w:hAnsi="Arial"/>
      <w:sz w:val="28"/>
    </w:rPr>
  </w:style>
  <w:style w:type="paragraph" w:styleId="Encabezado">
    <w:name w:val="header"/>
    <w:basedOn w:val="Normal"/>
    <w:link w:val="EncabezadoCar"/>
    <w:uiPriority w:val="99"/>
    <w:unhideWhenUsed/>
    <w:rsid w:val="001B184E"/>
    <w:pPr>
      <w:tabs>
        <w:tab w:val="center" w:pos="4252"/>
        <w:tab w:val="right" w:pos="8504"/>
      </w:tabs>
    </w:pPr>
  </w:style>
  <w:style w:type="character" w:customStyle="1" w:styleId="EncabezadoCar">
    <w:name w:val="Encabezado Car"/>
    <w:basedOn w:val="Fuentedeprrafopredeter"/>
    <w:link w:val="Encabezado"/>
    <w:uiPriority w:val="99"/>
    <w:rsid w:val="001B184E"/>
    <w:rPr>
      <w:rFonts w:ascii="Times New Roman" w:eastAsia="Times New Roman" w:hAnsi="Times New Roman"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7</Pages>
  <Words>2148</Words>
  <Characters>11819</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Henry Lora Rodriguez</cp:lastModifiedBy>
  <cp:revision>12</cp:revision>
  <dcterms:created xsi:type="dcterms:W3CDTF">2018-07-19T21:30:00Z</dcterms:created>
  <dcterms:modified xsi:type="dcterms:W3CDTF">2018-10-01T15:17:00Z</dcterms:modified>
</cp:coreProperties>
</file>