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61" w:rsidRPr="009537D7" w:rsidRDefault="00387561" w:rsidP="0038756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2"/>
          <w:szCs w:val="22"/>
          <w:lang w:val="es-CO" w:eastAsia="fr-FR"/>
        </w:rPr>
      </w:pPr>
      <w:r w:rsidRPr="00AD53E0">
        <w:rPr>
          <w:rFonts w:ascii="Arial" w:eastAsia="Calibri" w:hAnsi="Arial" w:cs="Arial"/>
          <w:color w:val="FF0000"/>
          <w:kern w:val="28"/>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537D7">
        <w:rPr>
          <w:rFonts w:ascii="Arial" w:eastAsia="Calibri" w:hAnsi="Arial" w:cs="Arial"/>
          <w:color w:val="FF0000"/>
          <w:kern w:val="28"/>
          <w:sz w:val="22"/>
          <w:szCs w:val="22"/>
          <w:lang w:val="es-CO" w:eastAsia="fr-FR"/>
        </w:rPr>
        <w:t>. </w:t>
      </w:r>
    </w:p>
    <w:p w:rsidR="00DA5D26" w:rsidRPr="00A96368" w:rsidRDefault="00DA5D26" w:rsidP="00DA5D26">
      <w:pPr>
        <w:pStyle w:val="Sinespaciado"/>
      </w:pPr>
    </w:p>
    <w:p w:rsidR="00DA5D26" w:rsidRPr="00D44E3E" w:rsidRDefault="00DA5D26" w:rsidP="00DA5D26">
      <w:pPr>
        <w:jc w:val="both"/>
        <w:rPr>
          <w:rFonts w:ascii="Arial Narrow" w:hAnsi="Arial Narrow" w:cs="Arial"/>
          <w:sz w:val="22"/>
          <w:szCs w:val="22"/>
        </w:rPr>
      </w:pPr>
      <w:r w:rsidRPr="00D44E3E">
        <w:rPr>
          <w:rFonts w:ascii="Arial Narrow" w:hAnsi="Arial Narrow" w:cs="Arial"/>
          <w:sz w:val="22"/>
          <w:szCs w:val="22"/>
        </w:rPr>
        <w:t xml:space="preserve">Providencia: </w:t>
      </w:r>
      <w:r w:rsidRPr="00D44E3E">
        <w:rPr>
          <w:rFonts w:ascii="Arial Narrow" w:hAnsi="Arial Narrow" w:cs="Arial"/>
          <w:sz w:val="22"/>
          <w:szCs w:val="22"/>
        </w:rPr>
        <w:tab/>
      </w:r>
      <w:r w:rsidRPr="00D44E3E">
        <w:rPr>
          <w:rFonts w:ascii="Arial Narrow" w:hAnsi="Arial Narrow" w:cs="Arial"/>
          <w:sz w:val="22"/>
          <w:szCs w:val="22"/>
        </w:rPr>
        <w:tab/>
        <w:t xml:space="preserve">Sentencia </w:t>
      </w:r>
      <w:r w:rsidR="005245B9">
        <w:rPr>
          <w:rFonts w:ascii="Arial Narrow" w:hAnsi="Arial Narrow" w:cs="Arial"/>
          <w:sz w:val="22"/>
          <w:szCs w:val="22"/>
        </w:rPr>
        <w:t xml:space="preserve">2ª. </w:t>
      </w:r>
      <w:r w:rsidRPr="00D44E3E">
        <w:rPr>
          <w:rFonts w:ascii="Arial Narrow" w:hAnsi="Arial Narrow" w:cs="Arial"/>
          <w:sz w:val="22"/>
          <w:szCs w:val="22"/>
        </w:rPr>
        <w:t xml:space="preserve">Instancia, </w:t>
      </w:r>
      <w:r w:rsidR="00066E7D" w:rsidRPr="00D44E3E">
        <w:rPr>
          <w:rFonts w:ascii="Arial Narrow" w:hAnsi="Arial Narrow" w:cs="Arial"/>
          <w:sz w:val="22"/>
          <w:szCs w:val="22"/>
        </w:rPr>
        <w:t>2</w:t>
      </w:r>
      <w:r w:rsidRPr="00D44E3E">
        <w:rPr>
          <w:rFonts w:ascii="Arial Narrow" w:hAnsi="Arial Narrow" w:cs="Arial"/>
          <w:sz w:val="22"/>
          <w:szCs w:val="22"/>
        </w:rPr>
        <w:t xml:space="preserve"> de </w:t>
      </w:r>
      <w:r w:rsidR="005607D5" w:rsidRPr="00D44E3E">
        <w:rPr>
          <w:rFonts w:ascii="Arial Narrow" w:hAnsi="Arial Narrow" w:cs="Arial"/>
          <w:sz w:val="22"/>
          <w:szCs w:val="22"/>
        </w:rPr>
        <w:t>agosto</w:t>
      </w:r>
      <w:r w:rsidRPr="00D44E3E">
        <w:rPr>
          <w:rFonts w:ascii="Arial Narrow" w:hAnsi="Arial Narrow" w:cs="Arial"/>
          <w:sz w:val="22"/>
          <w:szCs w:val="22"/>
        </w:rPr>
        <w:t xml:space="preserve"> de 201</w:t>
      </w:r>
      <w:r w:rsidR="005607D5" w:rsidRPr="00D44E3E">
        <w:rPr>
          <w:rFonts w:ascii="Arial Narrow" w:hAnsi="Arial Narrow" w:cs="Arial"/>
          <w:sz w:val="22"/>
          <w:szCs w:val="22"/>
        </w:rPr>
        <w:t>8</w:t>
      </w:r>
      <w:r w:rsidRPr="00D44E3E">
        <w:rPr>
          <w:rFonts w:ascii="Arial Narrow" w:hAnsi="Arial Narrow" w:cs="Arial"/>
          <w:sz w:val="22"/>
          <w:szCs w:val="22"/>
        </w:rPr>
        <w:t>.</w:t>
      </w:r>
    </w:p>
    <w:p w:rsidR="00DA5D26" w:rsidRPr="00D44E3E" w:rsidRDefault="00DA5D26" w:rsidP="00DA5D26">
      <w:pPr>
        <w:jc w:val="both"/>
        <w:rPr>
          <w:rFonts w:ascii="Arial Narrow" w:hAnsi="Arial Narrow" w:cs="Arial"/>
          <w:bCs/>
          <w:iCs/>
          <w:sz w:val="22"/>
          <w:szCs w:val="22"/>
        </w:rPr>
      </w:pPr>
      <w:r w:rsidRPr="00D44E3E">
        <w:rPr>
          <w:rFonts w:ascii="Arial Narrow" w:hAnsi="Arial Narrow" w:cs="Arial"/>
          <w:bCs/>
          <w:sz w:val="22"/>
          <w:szCs w:val="22"/>
        </w:rPr>
        <w:t xml:space="preserve">Radicación No: </w:t>
      </w:r>
      <w:r w:rsidRPr="00D44E3E">
        <w:rPr>
          <w:rFonts w:ascii="Arial Narrow" w:hAnsi="Arial Narrow" w:cs="Arial"/>
          <w:bCs/>
          <w:sz w:val="22"/>
          <w:szCs w:val="22"/>
        </w:rPr>
        <w:tab/>
        <w:t xml:space="preserve">      </w:t>
      </w:r>
      <w:r w:rsidRPr="00D44E3E">
        <w:rPr>
          <w:rFonts w:ascii="Arial Narrow" w:hAnsi="Arial Narrow" w:cs="Arial"/>
          <w:bCs/>
          <w:sz w:val="22"/>
          <w:szCs w:val="22"/>
        </w:rPr>
        <w:tab/>
        <w:t>66001-31-05-00</w:t>
      </w:r>
      <w:r w:rsidR="00066E7D" w:rsidRPr="00D44E3E">
        <w:rPr>
          <w:rFonts w:ascii="Arial Narrow" w:hAnsi="Arial Narrow" w:cs="Arial"/>
          <w:bCs/>
          <w:sz w:val="22"/>
          <w:szCs w:val="22"/>
        </w:rPr>
        <w:t>3</w:t>
      </w:r>
      <w:r w:rsidRPr="00D44E3E">
        <w:rPr>
          <w:rFonts w:ascii="Arial Narrow" w:hAnsi="Arial Narrow" w:cs="Arial"/>
          <w:bCs/>
          <w:sz w:val="22"/>
          <w:szCs w:val="22"/>
        </w:rPr>
        <w:t>-201</w:t>
      </w:r>
      <w:r w:rsidR="005607D5" w:rsidRPr="00D44E3E">
        <w:rPr>
          <w:rFonts w:ascii="Arial Narrow" w:hAnsi="Arial Narrow" w:cs="Arial"/>
          <w:bCs/>
          <w:sz w:val="22"/>
          <w:szCs w:val="22"/>
        </w:rPr>
        <w:t>7</w:t>
      </w:r>
      <w:r w:rsidRPr="00D44E3E">
        <w:rPr>
          <w:rFonts w:ascii="Arial Narrow" w:hAnsi="Arial Narrow" w:cs="Arial"/>
          <w:bCs/>
          <w:sz w:val="22"/>
          <w:szCs w:val="22"/>
        </w:rPr>
        <w:t>-00</w:t>
      </w:r>
      <w:r w:rsidR="005607D5" w:rsidRPr="00D44E3E">
        <w:rPr>
          <w:rFonts w:ascii="Arial Narrow" w:hAnsi="Arial Narrow" w:cs="Arial"/>
          <w:bCs/>
          <w:sz w:val="22"/>
          <w:szCs w:val="22"/>
        </w:rPr>
        <w:t>157</w:t>
      </w:r>
      <w:r w:rsidRPr="00D44E3E">
        <w:rPr>
          <w:rFonts w:ascii="Arial Narrow" w:hAnsi="Arial Narrow" w:cs="Arial"/>
          <w:bCs/>
          <w:sz w:val="22"/>
          <w:szCs w:val="22"/>
        </w:rPr>
        <w:t>-01</w:t>
      </w:r>
    </w:p>
    <w:p w:rsidR="00DA5D26" w:rsidRPr="00D44E3E" w:rsidRDefault="00DA5D26" w:rsidP="00DA5D26">
      <w:pPr>
        <w:jc w:val="both"/>
        <w:rPr>
          <w:rFonts w:ascii="Arial Narrow" w:hAnsi="Arial Narrow" w:cs="Arial"/>
          <w:iCs/>
          <w:sz w:val="22"/>
          <w:szCs w:val="22"/>
        </w:rPr>
      </w:pPr>
      <w:r w:rsidRPr="00D44E3E">
        <w:rPr>
          <w:rFonts w:ascii="Arial Narrow" w:hAnsi="Arial Narrow" w:cs="Arial"/>
          <w:bCs/>
          <w:iCs/>
          <w:sz w:val="22"/>
          <w:szCs w:val="22"/>
        </w:rPr>
        <w:t>Proceso:</w:t>
      </w:r>
      <w:r w:rsidRPr="00D44E3E">
        <w:rPr>
          <w:rFonts w:ascii="Arial Narrow" w:hAnsi="Arial Narrow" w:cs="Arial"/>
          <w:iCs/>
          <w:sz w:val="22"/>
          <w:szCs w:val="22"/>
        </w:rPr>
        <w:t xml:space="preserve"> </w:t>
      </w:r>
      <w:r w:rsidRPr="00D44E3E">
        <w:rPr>
          <w:rFonts w:ascii="Arial Narrow" w:hAnsi="Arial Narrow" w:cs="Arial"/>
          <w:iCs/>
          <w:sz w:val="22"/>
          <w:szCs w:val="22"/>
        </w:rPr>
        <w:tab/>
      </w:r>
      <w:r w:rsidRPr="00D44E3E">
        <w:rPr>
          <w:rFonts w:ascii="Arial Narrow" w:hAnsi="Arial Narrow" w:cs="Arial"/>
          <w:iCs/>
          <w:sz w:val="22"/>
          <w:szCs w:val="22"/>
        </w:rPr>
        <w:tab/>
        <w:t>Ordinario Laboral.</w:t>
      </w:r>
    </w:p>
    <w:p w:rsidR="00DA5D26" w:rsidRPr="00D44E3E" w:rsidRDefault="00DA5D26" w:rsidP="00DA5D26">
      <w:pPr>
        <w:ind w:firstLine="6"/>
        <w:jc w:val="both"/>
        <w:rPr>
          <w:rFonts w:ascii="Arial Narrow" w:hAnsi="Arial Narrow" w:cs="Arial"/>
          <w:bCs/>
          <w:sz w:val="22"/>
          <w:szCs w:val="22"/>
        </w:rPr>
      </w:pPr>
      <w:r w:rsidRPr="00D44E3E">
        <w:rPr>
          <w:rFonts w:ascii="Arial Narrow" w:hAnsi="Arial Narrow" w:cs="Arial"/>
          <w:iCs/>
          <w:sz w:val="22"/>
          <w:szCs w:val="22"/>
        </w:rPr>
        <w:t xml:space="preserve">Demandante:     </w:t>
      </w:r>
      <w:r w:rsidRPr="00D44E3E">
        <w:rPr>
          <w:rFonts w:ascii="Arial Narrow" w:hAnsi="Arial Narrow" w:cs="Arial"/>
          <w:iCs/>
          <w:sz w:val="22"/>
          <w:szCs w:val="22"/>
        </w:rPr>
        <w:tab/>
      </w:r>
      <w:r w:rsidRPr="00D44E3E">
        <w:rPr>
          <w:rFonts w:ascii="Arial Narrow" w:hAnsi="Arial Narrow" w:cs="Arial"/>
          <w:iCs/>
          <w:sz w:val="22"/>
          <w:szCs w:val="22"/>
        </w:rPr>
        <w:tab/>
      </w:r>
      <w:r w:rsidR="005607D5" w:rsidRPr="00D44E3E">
        <w:rPr>
          <w:rFonts w:ascii="Arial Narrow" w:hAnsi="Arial Narrow" w:cs="Arial"/>
          <w:iCs/>
          <w:sz w:val="22"/>
          <w:szCs w:val="22"/>
        </w:rPr>
        <w:t xml:space="preserve">Aurelio </w:t>
      </w:r>
      <w:proofErr w:type="spellStart"/>
      <w:r w:rsidR="005607D5" w:rsidRPr="00D44E3E">
        <w:rPr>
          <w:rFonts w:ascii="Arial Narrow" w:hAnsi="Arial Narrow" w:cs="Arial"/>
          <w:iCs/>
          <w:sz w:val="22"/>
          <w:szCs w:val="22"/>
        </w:rPr>
        <w:t>Betancurt</w:t>
      </w:r>
      <w:proofErr w:type="spellEnd"/>
      <w:r w:rsidR="005607D5" w:rsidRPr="00D44E3E">
        <w:rPr>
          <w:rFonts w:ascii="Arial Narrow" w:hAnsi="Arial Narrow" w:cs="Arial"/>
          <w:iCs/>
          <w:sz w:val="22"/>
          <w:szCs w:val="22"/>
        </w:rPr>
        <w:t xml:space="preserve"> Arcila</w:t>
      </w:r>
    </w:p>
    <w:p w:rsidR="00DA5D26" w:rsidRPr="00D44E3E" w:rsidRDefault="00DA5D26" w:rsidP="00DA5D26">
      <w:pPr>
        <w:ind w:firstLine="6"/>
        <w:jc w:val="both"/>
        <w:rPr>
          <w:rFonts w:ascii="Arial Narrow" w:hAnsi="Arial Narrow" w:cs="Arial"/>
          <w:bCs/>
          <w:sz w:val="22"/>
          <w:szCs w:val="22"/>
        </w:rPr>
      </w:pPr>
      <w:r w:rsidRPr="00D44E3E">
        <w:rPr>
          <w:rFonts w:ascii="Arial Narrow" w:hAnsi="Arial Narrow" w:cs="Arial"/>
          <w:bCs/>
          <w:sz w:val="22"/>
          <w:szCs w:val="22"/>
        </w:rPr>
        <w:t xml:space="preserve">Demandado:            </w:t>
      </w:r>
      <w:r w:rsidRPr="00D44E3E">
        <w:rPr>
          <w:rFonts w:ascii="Arial Narrow" w:hAnsi="Arial Narrow" w:cs="Arial"/>
          <w:bCs/>
          <w:sz w:val="22"/>
          <w:szCs w:val="22"/>
        </w:rPr>
        <w:tab/>
        <w:t>Colpensiones</w:t>
      </w:r>
    </w:p>
    <w:p w:rsidR="00DA5D26" w:rsidRPr="00D44E3E" w:rsidRDefault="00DA5D26" w:rsidP="00DA5D26">
      <w:pPr>
        <w:jc w:val="both"/>
        <w:rPr>
          <w:rFonts w:ascii="Arial Narrow" w:hAnsi="Arial Narrow" w:cs="Arial"/>
          <w:sz w:val="22"/>
          <w:szCs w:val="22"/>
        </w:rPr>
      </w:pPr>
      <w:r w:rsidRPr="00D44E3E">
        <w:rPr>
          <w:rFonts w:ascii="Arial Narrow" w:hAnsi="Arial Narrow" w:cs="Arial"/>
          <w:sz w:val="22"/>
          <w:szCs w:val="22"/>
        </w:rPr>
        <w:t xml:space="preserve">Juzgado de origen:     </w:t>
      </w:r>
      <w:r w:rsidRPr="00D44E3E">
        <w:rPr>
          <w:rFonts w:ascii="Arial Narrow" w:hAnsi="Arial Narrow" w:cs="Arial"/>
          <w:sz w:val="22"/>
          <w:szCs w:val="22"/>
        </w:rPr>
        <w:tab/>
      </w:r>
      <w:r w:rsidR="00066E7D" w:rsidRPr="00D44E3E">
        <w:rPr>
          <w:rFonts w:ascii="Arial Narrow" w:hAnsi="Arial Narrow" w:cs="Arial"/>
          <w:sz w:val="22"/>
          <w:szCs w:val="22"/>
        </w:rPr>
        <w:t>Tercero</w:t>
      </w:r>
      <w:r w:rsidRPr="00D44E3E">
        <w:rPr>
          <w:rFonts w:ascii="Arial Narrow" w:hAnsi="Arial Narrow" w:cs="Arial"/>
          <w:sz w:val="22"/>
          <w:szCs w:val="22"/>
        </w:rPr>
        <w:t xml:space="preserve"> Laboral del Circuito de Pereira.</w:t>
      </w:r>
    </w:p>
    <w:p w:rsidR="00DA5D26" w:rsidRPr="00387561" w:rsidRDefault="00DA5D26" w:rsidP="00DA5D26">
      <w:pPr>
        <w:jc w:val="both"/>
        <w:rPr>
          <w:rFonts w:ascii="Arial Narrow" w:hAnsi="Arial Narrow" w:cs="Arial"/>
          <w:iCs/>
          <w:sz w:val="22"/>
          <w:szCs w:val="22"/>
        </w:rPr>
      </w:pPr>
      <w:r w:rsidRPr="00D44E3E">
        <w:rPr>
          <w:rFonts w:ascii="Arial Narrow" w:hAnsi="Arial Narrow" w:cs="Arial"/>
          <w:iCs/>
          <w:sz w:val="22"/>
          <w:szCs w:val="22"/>
        </w:rPr>
        <w:t xml:space="preserve">Magistrado Ponente:     </w:t>
      </w:r>
      <w:r w:rsidRPr="00D44E3E">
        <w:rPr>
          <w:rFonts w:ascii="Arial Narrow" w:hAnsi="Arial Narrow" w:cs="Arial"/>
          <w:iCs/>
          <w:sz w:val="22"/>
          <w:szCs w:val="22"/>
        </w:rPr>
        <w:tab/>
        <w:t>Francisco Javier Tamayo Tabares.</w:t>
      </w:r>
    </w:p>
    <w:p w:rsidR="00387561" w:rsidRPr="00D44E3E" w:rsidRDefault="00387561" w:rsidP="00387561">
      <w:pPr>
        <w:spacing w:line="276" w:lineRule="auto"/>
        <w:jc w:val="both"/>
        <w:rPr>
          <w:rFonts w:ascii="Arial" w:hAnsi="Arial" w:cs="Arial"/>
          <w:b/>
          <w:bCs/>
          <w:sz w:val="22"/>
          <w:szCs w:val="22"/>
          <w:lang w:val="es-ES"/>
        </w:rPr>
      </w:pPr>
    </w:p>
    <w:p w:rsidR="00387561" w:rsidRDefault="00387561" w:rsidP="00387561">
      <w:pPr>
        <w:jc w:val="both"/>
        <w:rPr>
          <w:rFonts w:ascii="Arial" w:hAnsi="Arial" w:cs="Arial"/>
          <w:b/>
          <w:sz w:val="22"/>
          <w:szCs w:val="22"/>
          <w:lang w:val="es-CO" w:eastAsia="fr-FR"/>
        </w:rPr>
      </w:pPr>
      <w:r w:rsidRPr="00D44E3E">
        <w:rPr>
          <w:rFonts w:ascii="Arial" w:hAnsi="Arial" w:cs="Arial"/>
          <w:b/>
          <w:sz w:val="22"/>
          <w:szCs w:val="22"/>
          <w:lang w:val="es-CO" w:eastAsia="fr-FR"/>
        </w:rPr>
        <w:t xml:space="preserve">Temas: </w:t>
      </w:r>
      <w:r w:rsidRPr="00D44E3E">
        <w:rPr>
          <w:rFonts w:ascii="Arial" w:hAnsi="Arial" w:cs="Arial"/>
          <w:b/>
          <w:sz w:val="22"/>
          <w:szCs w:val="22"/>
          <w:lang w:val="es-CO" w:eastAsia="fr-FR"/>
        </w:rPr>
        <w:tab/>
      </w:r>
      <w:r w:rsidRPr="00D44E3E">
        <w:rPr>
          <w:rFonts w:ascii="Arial" w:hAnsi="Arial" w:cs="Arial"/>
          <w:b/>
          <w:sz w:val="22"/>
          <w:szCs w:val="22"/>
          <w:lang w:val="es-CO" w:eastAsia="fr-FR"/>
        </w:rPr>
        <w:tab/>
        <w:t xml:space="preserve">PENSIÓN DE VEJEZ / INCREMENTOS PENSIONALES –Naturaleza jurídica- / ACUERDO 049 / </w:t>
      </w:r>
      <w:r w:rsidR="00D44E3E">
        <w:rPr>
          <w:rFonts w:ascii="Arial" w:hAnsi="Arial" w:cs="Arial"/>
          <w:b/>
          <w:sz w:val="22"/>
          <w:szCs w:val="22"/>
          <w:lang w:val="es-CO" w:eastAsia="fr-FR"/>
        </w:rPr>
        <w:t xml:space="preserve">NO </w:t>
      </w:r>
      <w:r w:rsidRPr="00D44E3E">
        <w:rPr>
          <w:rFonts w:ascii="Arial" w:hAnsi="Arial" w:cs="Arial"/>
          <w:b/>
          <w:sz w:val="22"/>
          <w:szCs w:val="22"/>
          <w:lang w:val="es-CO" w:eastAsia="fr-FR"/>
        </w:rPr>
        <w:t xml:space="preserve">HACEN PARTE DE LA PENSIÓN DE VEJEZ O INVALIDEZ / </w:t>
      </w:r>
      <w:r w:rsidR="005245B9">
        <w:rPr>
          <w:rFonts w:ascii="Arial" w:hAnsi="Arial" w:cs="Arial"/>
          <w:b/>
          <w:sz w:val="22"/>
          <w:szCs w:val="22"/>
          <w:lang w:val="es-CO" w:eastAsia="fr-FR"/>
        </w:rPr>
        <w:t xml:space="preserve">EXTINCIÓN POR EL FENÓMENO DE LA </w:t>
      </w:r>
      <w:r w:rsidRPr="00D44E3E">
        <w:rPr>
          <w:rFonts w:ascii="Arial" w:hAnsi="Arial" w:cs="Arial"/>
          <w:b/>
          <w:sz w:val="22"/>
          <w:szCs w:val="22"/>
          <w:lang w:val="es-CO" w:eastAsia="fr-FR"/>
        </w:rPr>
        <w:t>PRESCRIPCIÓN / DEBEN EXIGIRSE DENTRO DE LOS 3 AÑOS SIGUIENTES AL RECONOCIMIENTO PENSIONAL / CONFIRMA / NIEGA</w:t>
      </w:r>
      <w:bookmarkStart w:id="0" w:name="_GoBack"/>
      <w:bookmarkEnd w:id="0"/>
    </w:p>
    <w:p w:rsidR="00D44E3E" w:rsidRPr="00D44E3E" w:rsidRDefault="00D44E3E" w:rsidP="00387561">
      <w:pPr>
        <w:jc w:val="both"/>
        <w:rPr>
          <w:rFonts w:ascii="Arial" w:hAnsi="Arial" w:cs="Arial"/>
          <w:b/>
          <w:sz w:val="22"/>
          <w:szCs w:val="22"/>
          <w:lang w:val="es-CO" w:eastAsia="fr-FR"/>
        </w:rPr>
      </w:pPr>
    </w:p>
    <w:p w:rsidR="00387561" w:rsidRPr="00D44E3E" w:rsidRDefault="00387561" w:rsidP="00C605CD">
      <w:pPr>
        <w:spacing w:before="20" w:after="20"/>
        <w:ind w:left="2124" w:hanging="2124"/>
        <w:jc w:val="both"/>
        <w:rPr>
          <w:rFonts w:ascii="Arial Narrow" w:hAnsi="Arial Narrow" w:cs="Arial"/>
          <w:bCs/>
          <w:sz w:val="22"/>
          <w:szCs w:val="22"/>
        </w:rPr>
      </w:pPr>
    </w:p>
    <w:p w:rsidR="00D44E3E" w:rsidRPr="00D44E3E" w:rsidRDefault="00D44E3E" w:rsidP="00D44E3E">
      <w:pPr>
        <w:pStyle w:val="Textoindependiente"/>
        <w:spacing w:line="360" w:lineRule="auto"/>
        <w:rPr>
          <w:sz w:val="22"/>
        </w:rPr>
      </w:pPr>
      <w:r w:rsidRPr="00D44E3E">
        <w:rPr>
          <w:sz w:val="22"/>
        </w:rPr>
        <w:t xml:space="preserve">En el caso puntual, se tiene que al señor </w:t>
      </w:r>
      <w:proofErr w:type="spellStart"/>
      <w:r w:rsidRPr="00D44E3E">
        <w:rPr>
          <w:sz w:val="22"/>
        </w:rPr>
        <w:t>Betancurt</w:t>
      </w:r>
      <w:proofErr w:type="spellEnd"/>
      <w:r w:rsidRPr="00D44E3E">
        <w:rPr>
          <w:sz w:val="22"/>
        </w:rPr>
        <w:t xml:space="preserve"> Arcila se le reconoció su pensión de vejez mediante Resolución No. 000648 del 19 de marzo de 2002, con efectos a partir del 03 de noviembre de 2001 y cuyo fundamento legal lo fue el Acuerdo 049 de 1990 en virtud del régimen de transición. Existe además en el infolio prueba documental idónea que acredita el vínculo marital del actor con la señora Amparo Gallego de </w:t>
      </w:r>
      <w:proofErr w:type="spellStart"/>
      <w:r w:rsidRPr="00D44E3E">
        <w:rPr>
          <w:sz w:val="22"/>
        </w:rPr>
        <w:t>Betancurt</w:t>
      </w:r>
      <w:proofErr w:type="spellEnd"/>
      <w:r w:rsidRPr="00D44E3E">
        <w:rPr>
          <w:sz w:val="22"/>
        </w:rPr>
        <w:t>, el cual data desde el 23 de diciembre de 1964 –</w:t>
      </w:r>
      <w:proofErr w:type="spellStart"/>
      <w:r w:rsidRPr="00D44E3E">
        <w:rPr>
          <w:sz w:val="22"/>
        </w:rPr>
        <w:t>fl</w:t>
      </w:r>
      <w:proofErr w:type="spellEnd"/>
      <w:r w:rsidRPr="00D44E3E">
        <w:rPr>
          <w:sz w:val="22"/>
        </w:rPr>
        <w:t xml:space="preserve">. 17- sin que exista nota alguna que desdiga de la existencia del vínculo. Además, los testimonios de José William Díaz Serna y María Clemencia </w:t>
      </w:r>
      <w:proofErr w:type="spellStart"/>
      <w:r w:rsidRPr="00D44E3E">
        <w:rPr>
          <w:sz w:val="22"/>
        </w:rPr>
        <w:t>Alzate</w:t>
      </w:r>
      <w:proofErr w:type="spellEnd"/>
      <w:r w:rsidRPr="00D44E3E">
        <w:rPr>
          <w:sz w:val="22"/>
        </w:rPr>
        <w:t xml:space="preserve"> </w:t>
      </w:r>
      <w:proofErr w:type="spellStart"/>
      <w:r w:rsidRPr="00D44E3E">
        <w:rPr>
          <w:sz w:val="22"/>
        </w:rPr>
        <w:t>Betancurt</w:t>
      </w:r>
      <w:proofErr w:type="spellEnd"/>
      <w:r w:rsidRPr="00D44E3E">
        <w:rPr>
          <w:sz w:val="22"/>
        </w:rPr>
        <w:t xml:space="preserve">, dan fe de que la mencionada señora y el actor conviven y lo han hecho de manera ininterrumpida, que aquella depende económicamente de éste, pues no cuenta con pensión, trabajo ni bienes que le produzcan renta, razón por la cual, ninguna duda queda acerca de que en el caso puntual el señor </w:t>
      </w:r>
      <w:proofErr w:type="spellStart"/>
      <w:r w:rsidRPr="00D44E3E">
        <w:rPr>
          <w:sz w:val="22"/>
        </w:rPr>
        <w:t>Betancurt</w:t>
      </w:r>
      <w:proofErr w:type="spellEnd"/>
      <w:r w:rsidRPr="00D44E3E">
        <w:rPr>
          <w:sz w:val="22"/>
        </w:rPr>
        <w:t xml:space="preserve"> Arcila cuenta con el derecho a los incrementos pensionales, los cuales se le hicieron exigible desde la calenda en que le fue notificado el reconocimiento pensional, esto es, desde el 02 de mayo de 2002, conforme a la constancia que aparece en el expediente administrativo aportado en medio magnético –</w:t>
      </w:r>
      <w:proofErr w:type="spellStart"/>
      <w:r w:rsidRPr="00D44E3E">
        <w:rPr>
          <w:sz w:val="22"/>
        </w:rPr>
        <w:t>fl</w:t>
      </w:r>
      <w:proofErr w:type="spellEnd"/>
      <w:r w:rsidRPr="00D44E3E">
        <w:rPr>
          <w:sz w:val="22"/>
        </w:rPr>
        <w:t xml:space="preserve">. 42-. </w:t>
      </w:r>
    </w:p>
    <w:p w:rsidR="00D44E3E" w:rsidRPr="00D44E3E" w:rsidRDefault="00D44E3E" w:rsidP="00D44E3E">
      <w:pPr>
        <w:pStyle w:val="Textoindependiente"/>
        <w:spacing w:line="360" w:lineRule="auto"/>
        <w:ind w:firstLine="851"/>
        <w:rPr>
          <w:sz w:val="22"/>
        </w:rPr>
      </w:pPr>
    </w:p>
    <w:p w:rsidR="00D44E3E" w:rsidRPr="00D44E3E" w:rsidRDefault="00D44E3E" w:rsidP="00D44E3E">
      <w:pPr>
        <w:pStyle w:val="Textoindependiente"/>
        <w:spacing w:line="360" w:lineRule="auto"/>
        <w:rPr>
          <w:sz w:val="22"/>
        </w:rPr>
      </w:pPr>
      <w:r w:rsidRPr="00D44E3E">
        <w:rPr>
          <w:sz w:val="22"/>
        </w:rPr>
        <w:t xml:space="preserve">Establecida la existencia del derecho, es del caso entrar a determinar si alguno de los medios exceptivos propuestos por la parte demandada, tiene la virtualidad de extinguirlos, encontrando que, en efecto, la entidad demandada propuso en la contestación la excepción de prescripción. Atendiendo las consideraciones vertidas en párrafos atrás, los incrementos pensionales claramente son susceptibles de ser extintos por el paso del tiempo, puntualmente, si una vez reconocida la pensión con fundamento en el Acuerdo 049 de 1990, no se exigen en el trienio siguiente, conforme a lo normado en los cánones 151 y 488 del </w:t>
      </w:r>
      <w:proofErr w:type="spellStart"/>
      <w:r w:rsidRPr="00D44E3E">
        <w:rPr>
          <w:sz w:val="22"/>
        </w:rPr>
        <w:t>CPLSS</w:t>
      </w:r>
      <w:proofErr w:type="spellEnd"/>
      <w:r w:rsidRPr="00D44E3E">
        <w:rPr>
          <w:sz w:val="22"/>
        </w:rPr>
        <w:t xml:space="preserve"> y del CL, respectivamente. En el caso de marras, es evidente que dicho período de tres años fue ampliamente superado, pues al actor se le notificó la Resolución de reconocimiento pensional el 02 de mayo de 2002, por lo que debió haber reclamado los incrementos pensionales, a más tardar, el 02 de mayo de 2005, pero apenas lo hizo el 30 de noviembre de 2016 –</w:t>
      </w:r>
      <w:proofErr w:type="spellStart"/>
      <w:r w:rsidRPr="00D44E3E">
        <w:rPr>
          <w:sz w:val="22"/>
        </w:rPr>
        <w:t>fl</w:t>
      </w:r>
      <w:proofErr w:type="spellEnd"/>
      <w:r w:rsidRPr="00D44E3E">
        <w:rPr>
          <w:sz w:val="22"/>
        </w:rPr>
        <w:t xml:space="preserve">. 14-, siendo por tanto evidente que se superó el lapso de tres </w:t>
      </w:r>
      <w:r w:rsidRPr="00D44E3E">
        <w:rPr>
          <w:sz w:val="22"/>
        </w:rPr>
        <w:lastRenderedPageBreak/>
        <w:t>años y operando, de manera extintiva, el fenómeno de la prescripción, tal como lo dijo la Jueza de primer grado, debiéndose por tanto confirmar tal decisión.</w:t>
      </w:r>
    </w:p>
    <w:p w:rsidR="00D44E3E" w:rsidRPr="00D44E3E" w:rsidRDefault="00D44E3E" w:rsidP="00D44E3E">
      <w:pPr>
        <w:pStyle w:val="Textoindependiente"/>
        <w:spacing w:line="360" w:lineRule="auto"/>
        <w:ind w:firstLine="851"/>
        <w:rPr>
          <w:sz w:val="22"/>
        </w:rPr>
      </w:pPr>
    </w:p>
    <w:p w:rsidR="00387561" w:rsidRPr="00D44E3E" w:rsidRDefault="00387561" w:rsidP="00387561">
      <w:pPr>
        <w:spacing w:line="360" w:lineRule="auto"/>
        <w:jc w:val="both"/>
        <w:rPr>
          <w:rFonts w:ascii="Arial" w:hAnsi="Arial" w:cs="Arial"/>
          <w:b/>
          <w:bCs/>
          <w:i/>
          <w:iCs/>
          <w:sz w:val="22"/>
          <w:szCs w:val="22"/>
          <w:u w:val="single"/>
        </w:rPr>
      </w:pPr>
    </w:p>
    <w:p w:rsidR="00387561" w:rsidRPr="00D44E3E" w:rsidRDefault="00387561" w:rsidP="00387561">
      <w:pPr>
        <w:spacing w:line="360" w:lineRule="auto"/>
        <w:jc w:val="both"/>
        <w:rPr>
          <w:rFonts w:ascii="Arial" w:hAnsi="Arial" w:cs="Arial"/>
          <w:b/>
          <w:bCs/>
          <w:i/>
          <w:iCs/>
          <w:sz w:val="22"/>
          <w:szCs w:val="22"/>
          <w:u w:val="single"/>
        </w:rPr>
      </w:pPr>
    </w:p>
    <w:p w:rsidR="00387561" w:rsidRPr="00D44E3E" w:rsidRDefault="00387561" w:rsidP="00387561">
      <w:pPr>
        <w:spacing w:line="360" w:lineRule="auto"/>
        <w:jc w:val="both"/>
        <w:rPr>
          <w:rFonts w:ascii="Arial" w:hAnsi="Arial" w:cs="Arial"/>
          <w:b/>
          <w:bCs/>
          <w:i/>
          <w:iCs/>
          <w:sz w:val="22"/>
          <w:szCs w:val="22"/>
          <w:u w:val="single"/>
        </w:rPr>
      </w:pPr>
    </w:p>
    <w:p w:rsidR="00387561" w:rsidRDefault="00387561" w:rsidP="00387561">
      <w:pPr>
        <w:spacing w:line="360" w:lineRule="auto"/>
        <w:jc w:val="both"/>
        <w:rPr>
          <w:rFonts w:ascii="Arial Narrow" w:hAnsi="Arial Narrow" w:cs="Arial"/>
          <w:b/>
          <w:bCs/>
          <w:i/>
          <w:iCs/>
          <w:sz w:val="36"/>
          <w:szCs w:val="36"/>
          <w:u w:val="single"/>
        </w:rPr>
      </w:pPr>
    </w:p>
    <w:p w:rsidR="00387561" w:rsidRPr="00402979" w:rsidRDefault="00387561" w:rsidP="00387561">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5607D5">
        <w:rPr>
          <w:rFonts w:ascii="Arial Narrow" w:eastAsia="Calibri" w:hAnsi="Arial Narrow" w:cs="Arial"/>
          <w:sz w:val="28"/>
          <w:szCs w:val="28"/>
          <w:lang w:val="es-CO" w:eastAsia="en-US"/>
        </w:rPr>
        <w:t>dos</w:t>
      </w:r>
      <w:r>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2</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5607D5">
        <w:rPr>
          <w:rFonts w:ascii="Arial Narrow" w:eastAsia="Calibri" w:hAnsi="Arial Narrow" w:cs="Arial"/>
          <w:sz w:val="28"/>
          <w:szCs w:val="28"/>
          <w:lang w:val="es-CO" w:eastAsia="en-US"/>
        </w:rPr>
        <w:t>agosto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w:t>
      </w:r>
      <w:r w:rsidR="005607D5">
        <w:rPr>
          <w:rFonts w:ascii="Arial Narrow" w:eastAsia="Calibri" w:hAnsi="Arial Narrow" w:cs="Arial"/>
          <w:sz w:val="28"/>
          <w:szCs w:val="28"/>
          <w:lang w:val="es-CO" w:eastAsia="en-US"/>
        </w:rPr>
        <w:t>ocho</w:t>
      </w:r>
      <w:r w:rsidRPr="00B02E05">
        <w:rPr>
          <w:rFonts w:ascii="Arial Narrow" w:eastAsia="Calibri" w:hAnsi="Arial Narrow" w:cs="Arial"/>
          <w:sz w:val="28"/>
          <w:szCs w:val="28"/>
          <w:lang w:val="es-CO" w:eastAsia="en-US"/>
        </w:rPr>
        <w:t xml:space="preserve"> (201</w:t>
      </w:r>
      <w:r w:rsidR="005607D5">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xml:space="preserve">), siendo las </w:t>
      </w:r>
      <w:r w:rsidR="005607D5">
        <w:rPr>
          <w:rFonts w:ascii="Arial Narrow" w:eastAsia="Calibri" w:hAnsi="Arial Narrow" w:cs="Arial"/>
          <w:sz w:val="28"/>
          <w:szCs w:val="28"/>
          <w:lang w:val="es-CO" w:eastAsia="en-US"/>
        </w:rPr>
        <w:t>diez y treinta</w:t>
      </w:r>
      <w:r>
        <w:rPr>
          <w:rFonts w:ascii="Arial Narrow" w:eastAsia="Calibri" w:hAnsi="Arial Narrow" w:cs="Arial"/>
          <w:sz w:val="28"/>
          <w:szCs w:val="28"/>
          <w:lang w:val="es-CO" w:eastAsia="en-US"/>
        </w:rPr>
        <w:t xml:space="preserve"> de la mañana (</w:t>
      </w:r>
      <w:r w:rsidR="005607D5">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5607D5">
        <w:rPr>
          <w:rFonts w:ascii="Arial Narrow" w:eastAsia="Calibri" w:hAnsi="Arial Narrow" w:cs="Arial"/>
          <w:sz w:val="28"/>
          <w:szCs w:val="28"/>
          <w:lang w:val="es-CO" w:eastAsia="en-US"/>
        </w:rPr>
        <w:t>30</w:t>
      </w:r>
      <w:r>
        <w:rPr>
          <w:rFonts w:ascii="Arial Narrow" w:eastAsia="Calibri" w:hAnsi="Arial Narrow" w:cs="Arial"/>
          <w:sz w:val="28"/>
          <w:szCs w:val="28"/>
          <w:lang w:val="es-CO" w:eastAsia="en-US"/>
        </w:rPr>
        <w:t xml:space="preserve"> </w:t>
      </w:r>
      <w:proofErr w:type="spellStart"/>
      <w:r>
        <w:rPr>
          <w:rFonts w:ascii="Arial Narrow" w:eastAsia="Calibri" w:hAnsi="Arial Narrow" w:cs="Arial"/>
          <w:sz w:val="28"/>
          <w:szCs w:val="28"/>
          <w:lang w:val="es-CO" w:eastAsia="en-US"/>
        </w:rPr>
        <w:t>a.m</w:t>
      </w:r>
      <w:proofErr w:type="spellEnd"/>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066E7D">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sidR="00066E7D">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sidR="005607D5">
        <w:rPr>
          <w:rFonts w:ascii="Arial Narrow" w:hAnsi="Arial Narrow" w:cs="Tahoma"/>
          <w:bCs/>
          <w:color w:val="000000"/>
          <w:sz w:val="28"/>
          <w:szCs w:val="28"/>
          <w:lang w:eastAsia="es-CO"/>
        </w:rPr>
        <w:t>Cuarta</w:t>
      </w:r>
      <w:r w:rsidR="00066E7D">
        <w:rPr>
          <w:rFonts w:ascii="Arial Narrow" w:hAnsi="Arial Narrow" w:cs="Tahoma"/>
          <w:bCs/>
          <w:color w:val="000000"/>
          <w:sz w:val="28"/>
          <w:szCs w:val="28"/>
          <w:lang w:eastAsia="es-CO"/>
        </w:rPr>
        <w:t xml:space="preserve"> de </w:t>
      </w:r>
      <w:r w:rsidR="00E12EF7">
        <w:rPr>
          <w:rFonts w:ascii="Arial Narrow" w:hAnsi="Arial Narrow" w:cs="Tahoma"/>
          <w:bCs/>
          <w:color w:val="000000"/>
          <w:sz w:val="28"/>
          <w:szCs w:val="28"/>
          <w:lang w:eastAsia="es-CO"/>
        </w:rPr>
        <w:t xml:space="preserve">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5607D5">
        <w:rPr>
          <w:rFonts w:ascii="Arial Narrow" w:hAnsi="Arial Narrow" w:cs="Tahoma"/>
          <w:bCs/>
          <w:color w:val="000000"/>
          <w:sz w:val="28"/>
          <w:szCs w:val="28"/>
          <w:lang w:eastAsia="es-CO"/>
        </w:rPr>
        <w:t xml:space="preserve">grado jurisdiccional de consulta de la </w:t>
      </w:r>
      <w:r w:rsidRPr="00B02E05">
        <w:rPr>
          <w:rFonts w:ascii="Arial Narrow" w:hAnsi="Arial Narrow" w:cs="Arial"/>
          <w:sz w:val="28"/>
          <w:szCs w:val="28"/>
        </w:rPr>
        <w:t xml:space="preserve">sentencia proferida el </w:t>
      </w:r>
      <w:r w:rsidR="005607D5">
        <w:rPr>
          <w:rFonts w:ascii="Arial Narrow" w:hAnsi="Arial Narrow" w:cs="Arial"/>
          <w:sz w:val="28"/>
          <w:szCs w:val="28"/>
        </w:rPr>
        <w:t>21</w:t>
      </w:r>
      <w:r>
        <w:rPr>
          <w:rFonts w:ascii="Arial Narrow" w:hAnsi="Arial Narrow" w:cs="Arial"/>
          <w:sz w:val="28"/>
          <w:szCs w:val="28"/>
        </w:rPr>
        <w:t xml:space="preserve"> de </w:t>
      </w:r>
      <w:r w:rsidR="005607D5">
        <w:rPr>
          <w:rFonts w:ascii="Arial Narrow" w:hAnsi="Arial Narrow" w:cs="Arial"/>
          <w:sz w:val="28"/>
          <w:szCs w:val="28"/>
        </w:rPr>
        <w:t>septiembre</w:t>
      </w:r>
      <w:r>
        <w:rPr>
          <w:rFonts w:ascii="Arial Narrow" w:hAnsi="Arial Narrow" w:cs="Arial"/>
          <w:sz w:val="28"/>
          <w:szCs w:val="28"/>
        </w:rPr>
        <w:t xml:space="preserve"> de 201</w:t>
      </w:r>
      <w:r w:rsidR="005607D5">
        <w:rPr>
          <w:rFonts w:ascii="Arial Narrow" w:hAnsi="Arial Narrow" w:cs="Arial"/>
          <w:sz w:val="28"/>
          <w:szCs w:val="28"/>
        </w:rPr>
        <w:t>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E12EF7">
        <w:rPr>
          <w:rFonts w:ascii="Arial Narrow" w:hAnsi="Arial Narrow" w:cs="Arial"/>
          <w:sz w:val="28"/>
          <w:szCs w:val="28"/>
        </w:rPr>
        <w:t>Tercero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F654B1">
        <w:rPr>
          <w:rFonts w:ascii="Arial Narrow" w:hAnsi="Arial Narrow" w:cs="Arial"/>
          <w:b/>
          <w:i/>
          <w:iCs/>
          <w:sz w:val="28"/>
          <w:szCs w:val="28"/>
        </w:rPr>
        <w:t>Aurelio Betancur Arcila</w:t>
      </w:r>
      <w:r w:rsidR="00E12EF7">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Pr="00B02E05" w:rsidRDefault="00DA5D26"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Pr="00B02E05"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Pr="000A6EA4" w:rsidRDefault="00DA5D26" w:rsidP="000A6EA4">
      <w:pPr>
        <w:pStyle w:val="Sinespaciado"/>
      </w:pPr>
    </w:p>
    <w:p w:rsidR="00F654B1" w:rsidRDefault="00DA5D26" w:rsidP="00DA5D26">
      <w:pPr>
        <w:spacing w:line="360" w:lineRule="auto"/>
        <w:ind w:firstLine="900"/>
        <w:jc w:val="both"/>
        <w:rPr>
          <w:rFonts w:ascii="Arial Narrow" w:hAnsi="Arial Narrow" w:cs="Tahoma"/>
          <w:sz w:val="28"/>
          <w:szCs w:val="28"/>
        </w:rPr>
      </w:pPr>
      <w:r w:rsidRPr="00B02E05">
        <w:rPr>
          <w:rFonts w:ascii="Arial Narrow" w:hAnsi="Arial Narrow" w:cs="Tahoma"/>
          <w:sz w:val="28"/>
          <w:szCs w:val="28"/>
        </w:rPr>
        <w:t xml:space="preserve">Antes de que procedan los asistentes a descorrer el traslado en esta instancia, conforme a las voces del artículo 13 de la Ley 1149 de 2007, se tiene a modo de introducción, que el </w:t>
      </w:r>
      <w:r w:rsidR="00666823">
        <w:rPr>
          <w:rFonts w:ascii="Arial Narrow" w:hAnsi="Arial Narrow" w:cs="Tahoma"/>
          <w:sz w:val="28"/>
          <w:szCs w:val="28"/>
        </w:rPr>
        <w:t xml:space="preserve">actor persigue que se </w:t>
      </w:r>
      <w:r w:rsidR="00E12EF7">
        <w:rPr>
          <w:rFonts w:ascii="Arial Narrow" w:hAnsi="Arial Narrow" w:cs="Tahoma"/>
          <w:sz w:val="28"/>
          <w:szCs w:val="28"/>
        </w:rPr>
        <w:t xml:space="preserve">declare que tiene derecho al reconocimiento de los incrementos pensionales </w:t>
      </w:r>
      <w:r w:rsidR="00F654B1">
        <w:rPr>
          <w:rFonts w:ascii="Arial Narrow" w:hAnsi="Arial Narrow" w:cs="Tahoma"/>
          <w:sz w:val="28"/>
          <w:szCs w:val="28"/>
        </w:rPr>
        <w:t xml:space="preserve">del 14% </w:t>
      </w:r>
      <w:r w:rsidR="00E12EF7">
        <w:rPr>
          <w:rFonts w:ascii="Arial Narrow" w:hAnsi="Arial Narrow" w:cs="Tahoma"/>
          <w:sz w:val="28"/>
          <w:szCs w:val="28"/>
        </w:rPr>
        <w:t xml:space="preserve">de que trata el canon 21 del Acuerdo 049 de 1990, en virtud de tener a su cargo </w:t>
      </w:r>
      <w:r w:rsidR="00F654B1">
        <w:rPr>
          <w:rFonts w:ascii="Arial Narrow" w:hAnsi="Arial Narrow" w:cs="Tahoma"/>
          <w:sz w:val="28"/>
          <w:szCs w:val="28"/>
        </w:rPr>
        <w:t xml:space="preserve">a su cónyuge </w:t>
      </w:r>
      <w:r w:rsidR="00E12EF7">
        <w:rPr>
          <w:rFonts w:ascii="Arial Narrow" w:hAnsi="Arial Narrow" w:cs="Tahoma"/>
          <w:sz w:val="28"/>
          <w:szCs w:val="28"/>
        </w:rPr>
        <w:t xml:space="preserve">señora </w:t>
      </w:r>
      <w:r w:rsidR="00F654B1">
        <w:rPr>
          <w:rFonts w:ascii="Arial Narrow" w:hAnsi="Arial Narrow" w:cs="Tahoma"/>
          <w:sz w:val="28"/>
          <w:szCs w:val="28"/>
        </w:rPr>
        <w:t xml:space="preserve">Amparo Gallego de </w:t>
      </w:r>
      <w:proofErr w:type="spellStart"/>
      <w:r w:rsidR="00F654B1">
        <w:rPr>
          <w:rFonts w:ascii="Arial Narrow" w:hAnsi="Arial Narrow" w:cs="Tahoma"/>
          <w:sz w:val="28"/>
          <w:szCs w:val="28"/>
        </w:rPr>
        <w:t>Betancurt</w:t>
      </w:r>
      <w:proofErr w:type="spellEnd"/>
      <w:r w:rsidR="00F654B1">
        <w:rPr>
          <w:rFonts w:ascii="Arial Narrow" w:hAnsi="Arial Narrow" w:cs="Tahoma"/>
          <w:sz w:val="28"/>
          <w:szCs w:val="28"/>
        </w:rPr>
        <w:t xml:space="preserve"> y en consecuencia, pide que se condene a los mismos desde el 03 de noviembre de 2001 más los réditos moratorios de que trata el canon 1617 del Código Civil o en subsidio la indexación y las costas del proceso.</w:t>
      </w:r>
    </w:p>
    <w:p w:rsidR="00F654B1" w:rsidRDefault="00F654B1" w:rsidP="00DA5D26">
      <w:pPr>
        <w:spacing w:line="360" w:lineRule="auto"/>
        <w:ind w:firstLine="900"/>
        <w:jc w:val="both"/>
        <w:rPr>
          <w:rFonts w:ascii="Arial Narrow" w:hAnsi="Arial Narrow" w:cs="Tahoma"/>
          <w:sz w:val="28"/>
          <w:szCs w:val="28"/>
        </w:rPr>
      </w:pPr>
    </w:p>
    <w:p w:rsidR="00F654B1" w:rsidRDefault="00F654B1"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Sustento de tales pedidos es que el actor convive con la señora Amparo, que al actor se le reconoció una pensión de vejez desde el 03 de noviembre de 2001, que la misma se fundó en el Acuerdo 049 de 1990, que su cónyuge está a su cargo </w:t>
      </w:r>
      <w:r>
        <w:rPr>
          <w:rFonts w:ascii="Arial Narrow" w:hAnsi="Arial Narrow" w:cs="Tahoma"/>
          <w:sz w:val="28"/>
          <w:szCs w:val="28"/>
        </w:rPr>
        <w:lastRenderedPageBreak/>
        <w:t>económicamente, pues no labora ni percibe ingreso alguno, que el 30 de noviembre de 2016 elevó reclamación invocando el pago de los incrementos pensionales y que la entidad le dio respuesta negativa.</w:t>
      </w:r>
    </w:p>
    <w:p w:rsidR="00F654B1" w:rsidRDefault="00F654B1" w:rsidP="00DA5D26">
      <w:pPr>
        <w:spacing w:line="360" w:lineRule="auto"/>
        <w:ind w:firstLine="900"/>
        <w:jc w:val="both"/>
        <w:rPr>
          <w:rFonts w:ascii="Arial Narrow" w:hAnsi="Arial Narrow" w:cs="Tahoma"/>
          <w:sz w:val="28"/>
          <w:szCs w:val="28"/>
        </w:rPr>
      </w:pPr>
    </w:p>
    <w:p w:rsidR="00F654B1" w:rsidRDefault="00F654B1"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 Admitida la demanda, la entidad mediante apoderado judicial , dio respuesta a la misma pronunciándose respecto a los hechos, aceptando los alusivos a la calidad de pensionados del actor, el fundamento legal de la prestación, la reclamación elevada por el demandante y la negativa de la entidad, indicando frente a los restantes que no le constaban. Se opuso a los pedidos de la demanda y excepcionó de fondo “Inexistencia del </w:t>
      </w:r>
      <w:proofErr w:type="spellStart"/>
      <w:r>
        <w:rPr>
          <w:rFonts w:ascii="Arial Narrow" w:hAnsi="Arial Narrow" w:cs="Tahoma"/>
          <w:sz w:val="28"/>
          <w:szCs w:val="28"/>
        </w:rPr>
        <w:t>incremeto</w:t>
      </w:r>
      <w:proofErr w:type="spellEnd"/>
      <w:r>
        <w:rPr>
          <w:rFonts w:ascii="Arial Narrow" w:hAnsi="Arial Narrow" w:cs="Tahoma"/>
          <w:sz w:val="28"/>
          <w:szCs w:val="28"/>
        </w:rPr>
        <w:t xml:space="preserve"> pensional, inexistencia de la obligación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1D71C3" w:rsidRDefault="00F54D6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Jueza a-quo señala que los incrementos pensionales son aplicables en la actualidad y que en el caso puntual, se acreditó debidamente que el actor es pensionado de conformidad con el Acuerdo 049 de 1990, que está casado con la señora </w:t>
      </w:r>
      <w:r w:rsidR="00F654B1">
        <w:rPr>
          <w:rFonts w:ascii="Arial Narrow" w:hAnsi="Arial Narrow" w:cs="Tahoma"/>
          <w:color w:val="000000"/>
          <w:sz w:val="28"/>
          <w:szCs w:val="28"/>
          <w:lang w:eastAsia="es-CO"/>
        </w:rPr>
        <w:t>Amparo Gallego desde 1964</w:t>
      </w:r>
      <w:r>
        <w:rPr>
          <w:rFonts w:ascii="Arial Narrow" w:hAnsi="Arial Narrow" w:cs="Tahoma"/>
          <w:color w:val="000000"/>
          <w:sz w:val="28"/>
          <w:szCs w:val="28"/>
          <w:lang w:eastAsia="es-CO"/>
        </w:rPr>
        <w:t xml:space="preserve">, que han convivido desde tal calenda y que el demandante es el encargado de velar por el sostenimiento económico de ella. Sin embargo, estima que el paso del tiempo ha extinto los mismos, dado que el derecho se hizo exigible </w:t>
      </w:r>
      <w:r w:rsidR="001D71C3">
        <w:rPr>
          <w:rFonts w:ascii="Arial Narrow" w:hAnsi="Arial Narrow" w:cs="Tahoma"/>
          <w:color w:val="000000"/>
          <w:sz w:val="28"/>
          <w:szCs w:val="28"/>
          <w:lang w:eastAsia="es-CO"/>
        </w:rPr>
        <w:t xml:space="preserve">el </w:t>
      </w:r>
      <w:r w:rsidR="00E553D1">
        <w:rPr>
          <w:rFonts w:ascii="Arial Narrow" w:hAnsi="Arial Narrow" w:cs="Tahoma"/>
          <w:color w:val="000000"/>
          <w:sz w:val="28"/>
          <w:szCs w:val="28"/>
          <w:lang w:eastAsia="es-CO"/>
        </w:rPr>
        <w:t xml:space="preserve">con la notificación de la Resolución que reconoció la prestación en el 2002 </w:t>
      </w:r>
      <w:r w:rsidR="001D71C3">
        <w:rPr>
          <w:rFonts w:ascii="Arial Narrow" w:hAnsi="Arial Narrow" w:cs="Tahoma"/>
          <w:color w:val="000000"/>
          <w:sz w:val="28"/>
          <w:szCs w:val="28"/>
          <w:lang w:eastAsia="es-CO"/>
        </w:rPr>
        <w:t>y apenas se reclamó en el año 201</w:t>
      </w:r>
      <w:r w:rsidR="00E553D1">
        <w:rPr>
          <w:rFonts w:ascii="Arial Narrow" w:hAnsi="Arial Narrow" w:cs="Tahoma"/>
          <w:color w:val="000000"/>
          <w:sz w:val="28"/>
          <w:szCs w:val="28"/>
          <w:lang w:eastAsia="es-CO"/>
        </w:rPr>
        <w:t>6</w:t>
      </w:r>
      <w:r w:rsidR="001D71C3">
        <w:rPr>
          <w:rFonts w:ascii="Arial Narrow" w:hAnsi="Arial Narrow" w:cs="Tahoma"/>
          <w:color w:val="000000"/>
          <w:sz w:val="28"/>
          <w:szCs w:val="28"/>
          <w:lang w:eastAsia="es-CO"/>
        </w:rPr>
        <w:t>. Por tal motivo y al tener los incrementos una naturaleza diferente al de la pensión, debieron haberse reclamado en los tres años siguientes a su exigibilidad.</w:t>
      </w: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Por tal motivo niega las pretensiones de la demanda e impone costas a la parte actora.</w:t>
      </w: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p>
    <w:p w:rsidR="00E553D1"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III.</w:t>
      </w:r>
      <w:r w:rsidR="00E553D1">
        <w:rPr>
          <w:rFonts w:ascii="Arial Narrow" w:hAnsi="Arial Narrow" w:cs="Tahoma"/>
          <w:b/>
          <w:i/>
          <w:color w:val="000000"/>
          <w:sz w:val="28"/>
          <w:szCs w:val="28"/>
          <w:lang w:eastAsia="es-CO"/>
        </w:rPr>
        <w:t xml:space="preserve"> CONSULTA</w:t>
      </w:r>
    </w:p>
    <w:p w:rsidR="0089084F" w:rsidRDefault="0089084F" w:rsidP="000A6EA4">
      <w:pPr>
        <w:pStyle w:val="Sinespaciado"/>
        <w:rPr>
          <w:lang w:eastAsia="es-CO"/>
        </w:rPr>
      </w:pPr>
    </w:p>
    <w:p w:rsidR="001D71C3" w:rsidRDefault="00E553D1"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Atendiendo que la decisión es completamente desfavorable a los intereses del pensionado, se dispuso su consulta en los términos del canon 69 del </w:t>
      </w:r>
      <w:proofErr w:type="spellStart"/>
      <w:r>
        <w:rPr>
          <w:rFonts w:ascii="Arial Narrow" w:hAnsi="Arial Narrow" w:cs="Arial"/>
          <w:iCs/>
          <w:sz w:val="28"/>
          <w:szCs w:val="28"/>
          <w:lang w:val="es-MX" w:eastAsia="es-MX"/>
        </w:rPr>
        <w:t>CPLSS</w:t>
      </w:r>
      <w:proofErr w:type="spellEnd"/>
      <w:r>
        <w:rPr>
          <w:rFonts w:ascii="Arial Narrow" w:hAnsi="Arial Narrow" w:cs="Arial"/>
          <w:iCs/>
          <w:sz w:val="28"/>
          <w:szCs w:val="28"/>
          <w:lang w:val="es-MX" w:eastAsia="es-MX"/>
        </w:rPr>
        <w:t>.</w:t>
      </w:r>
    </w:p>
    <w:p w:rsidR="001D71C3" w:rsidRDefault="001D71C3"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Plantea la Sala como </w:t>
      </w:r>
      <w:r w:rsidR="00DA5D26"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DA5D26" w:rsidRPr="00090E9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1D71C3">
        <w:rPr>
          <w:rFonts w:ascii="Arial Narrow" w:hAnsi="Arial Narrow"/>
          <w:i/>
          <w:sz w:val="28"/>
          <w:szCs w:val="26"/>
        </w:rPr>
        <w:t>Están los incrementos pensionales expuestos a su extinción en virtud de la prescripción</w:t>
      </w:r>
      <w:r w:rsidRPr="00090E92">
        <w:rPr>
          <w:rFonts w:ascii="Arial Narrow" w:hAnsi="Arial Narrow"/>
          <w:i/>
          <w:sz w:val="28"/>
          <w:szCs w:val="26"/>
        </w:rPr>
        <w:t xml:space="preserve">? </w:t>
      </w:r>
    </w:p>
    <w:p w:rsidR="00090E92" w:rsidRDefault="00090E9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rPr>
        <w:t xml:space="preserve">2. </w:t>
      </w: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584E97" w:rsidRDefault="00DA5D26" w:rsidP="00DA5D26">
      <w:pPr>
        <w:pStyle w:val="Prrafodelista"/>
        <w:numPr>
          <w:ilvl w:val="1"/>
          <w:numId w:val="1"/>
        </w:numPr>
        <w:autoSpaceDE w:val="0"/>
        <w:autoSpaceDN w:val="0"/>
        <w:adjustRightInd w:val="0"/>
        <w:spacing w:line="360" w:lineRule="auto"/>
        <w:jc w:val="both"/>
        <w:rPr>
          <w:rFonts w:ascii="Arial Narrow" w:hAnsi="Arial Narrow" w:cs="Arial"/>
          <w:b/>
          <w:i/>
          <w:sz w:val="28"/>
          <w:szCs w:val="28"/>
        </w:rPr>
      </w:pPr>
      <w:r>
        <w:rPr>
          <w:rFonts w:ascii="Arial Narrow" w:hAnsi="Arial Narrow" w:cs="Arial"/>
          <w:b/>
          <w:i/>
          <w:sz w:val="28"/>
          <w:szCs w:val="28"/>
        </w:rPr>
        <w:t xml:space="preserve"> V</w:t>
      </w:r>
      <w:r w:rsidRPr="00584E97">
        <w:rPr>
          <w:rFonts w:ascii="Arial Narrow" w:hAnsi="Arial Narrow" w:cs="Arial"/>
          <w:b/>
          <w:i/>
          <w:sz w:val="28"/>
          <w:szCs w:val="28"/>
        </w:rPr>
        <w:t>igencia de los incrementos pensionales.</w:t>
      </w:r>
    </w:p>
    <w:p w:rsidR="00DA5D26" w:rsidRPr="00B47DEE" w:rsidRDefault="00DA5D26" w:rsidP="00B47DEE">
      <w:pPr>
        <w:pStyle w:val="Sinespaciado"/>
      </w:pPr>
    </w:p>
    <w:p w:rsidR="00090E9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nada se dice al respecto. Sin embargo, el silencio legal referido, no traduce indefectiblemente en que los incrementos pensionales hayan desaparecido o perdido vigencia.</w:t>
      </w:r>
    </w:p>
    <w:p w:rsidR="00C84802" w:rsidRDefault="00C84802" w:rsidP="00DA5D26">
      <w:pPr>
        <w:pStyle w:val="Textoindependiente"/>
        <w:spacing w:line="360" w:lineRule="auto"/>
        <w:ind w:firstLine="851"/>
        <w:rPr>
          <w:rFonts w:ascii="Arial Narrow" w:hAnsi="Arial Narrow"/>
          <w:sz w:val="28"/>
          <w:szCs w:val="28"/>
          <w:lang w:val="es-CO"/>
        </w:rPr>
      </w:pPr>
    </w:p>
    <w:p w:rsidR="00DA5D26" w:rsidRPr="0014534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efecto, s</w:t>
      </w:r>
      <w:r w:rsidR="00DA5D26"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00DA5D26"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00DA5D26"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 xml:space="preserve">contenido en la norma mencionada </w:t>
      </w:r>
      <w:r w:rsidR="00DA5D26" w:rsidRPr="00145342">
        <w:rPr>
          <w:rFonts w:ascii="Arial Narrow" w:hAnsi="Arial Narrow"/>
          <w:sz w:val="28"/>
          <w:szCs w:val="28"/>
          <w:lang w:val="es-CO"/>
        </w:rPr>
        <w:t xml:space="preserve">aún conserva vigencia con la entrada en vigor de la Ley 100 de 1993, </w:t>
      </w:r>
      <w:r w:rsidR="006010AF">
        <w:rPr>
          <w:rFonts w:ascii="Arial Narrow" w:hAnsi="Arial Narrow"/>
          <w:sz w:val="28"/>
          <w:szCs w:val="28"/>
          <w:lang w:val="es-CO"/>
        </w:rPr>
        <w:t xml:space="preserve">directamente o para quienes hubiere operado </w:t>
      </w:r>
      <w:r w:rsidR="00DA5D26" w:rsidRPr="00145342">
        <w:rPr>
          <w:rFonts w:ascii="Arial Narrow" w:hAnsi="Arial Narrow"/>
          <w:sz w:val="28"/>
          <w:szCs w:val="28"/>
          <w:lang w:val="es-CO"/>
        </w:rPr>
        <w:t>el régimen de transición, sin que, su contenido con arreglo al artículo 31 de la Ley 100 riña en forma directa o indirecta con los postulados de ésta</w:t>
      </w:r>
      <w:r w:rsidR="00DA5D26">
        <w:rPr>
          <w:rFonts w:ascii="Arial Narrow" w:hAnsi="Arial Narrow"/>
          <w:sz w:val="28"/>
          <w:szCs w:val="28"/>
          <w:lang w:val="es-CO"/>
        </w:rPr>
        <w:t xml:space="preserve">, </w:t>
      </w:r>
      <w:r w:rsidR="00DA5D26">
        <w:rPr>
          <w:rFonts w:ascii="Arial Narrow" w:hAnsi="Arial Narrow"/>
          <w:sz w:val="28"/>
          <w:szCs w:val="28"/>
          <w:lang w:val="es-CO"/>
        </w:rPr>
        <w:lastRenderedPageBreak/>
        <w:t xml:space="preserve">pues en contraste, </w:t>
      </w:r>
      <w:r w:rsidR="00DA5D26" w:rsidRPr="00145342">
        <w:rPr>
          <w:rFonts w:ascii="Arial Narrow" w:hAnsi="Arial Narrow"/>
          <w:sz w:val="28"/>
          <w:szCs w:val="28"/>
          <w:lang w:val="es-CO"/>
        </w:rPr>
        <w:t>su aplicación</w:t>
      </w:r>
      <w:r w:rsidR="00DA5D26">
        <w:rPr>
          <w:rFonts w:ascii="Arial Narrow" w:hAnsi="Arial Narrow"/>
          <w:sz w:val="28"/>
          <w:szCs w:val="28"/>
          <w:lang w:val="es-CO"/>
        </w:rPr>
        <w:t xml:space="preserve"> encuentra </w:t>
      </w:r>
      <w:r w:rsidR="00DA5D26" w:rsidRPr="00145342">
        <w:rPr>
          <w:rFonts w:ascii="Arial Narrow" w:hAnsi="Arial Narrow"/>
          <w:sz w:val="28"/>
          <w:szCs w:val="28"/>
          <w:lang w:val="es-CO"/>
        </w:rPr>
        <w:t>respaldo en los artículos 48 y 53 de la Constitución Política.</w:t>
      </w:r>
    </w:p>
    <w:p w:rsidR="00DA5D26" w:rsidRPr="00B47DEE" w:rsidRDefault="00DA5D26" w:rsidP="00B47DEE">
      <w:pPr>
        <w:pStyle w:val="Sinespaciado"/>
      </w:pPr>
    </w:p>
    <w:p w:rsidR="00DA5D26"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Lo anterior implica, necesariamente, </w:t>
      </w:r>
      <w:r w:rsidR="00DA5D26" w:rsidRPr="00145342">
        <w:rPr>
          <w:rFonts w:ascii="Arial Narrow" w:hAnsi="Arial Narrow"/>
          <w:sz w:val="28"/>
          <w:szCs w:val="28"/>
          <w:lang w:val="es-CO"/>
        </w:rPr>
        <w:t xml:space="preserve">que </w:t>
      </w:r>
      <w:r>
        <w:rPr>
          <w:rFonts w:ascii="Arial Narrow" w:hAnsi="Arial Narrow"/>
          <w:sz w:val="28"/>
          <w:szCs w:val="28"/>
          <w:lang w:val="es-CO"/>
        </w:rPr>
        <w:t xml:space="preserve">al no haber </w:t>
      </w:r>
      <w:r w:rsidR="00DA5D26" w:rsidRPr="00145342">
        <w:rPr>
          <w:rFonts w:ascii="Arial Narrow" w:hAnsi="Arial Narrow"/>
          <w:sz w:val="28"/>
          <w:szCs w:val="28"/>
          <w:lang w:val="es-CO"/>
        </w:rPr>
        <w:t xml:space="preserve">sido reguladas las adendas reclamadas por la Ley 100 de 1993, su permanencia en el ordenamiento de la seguridad social se impone no sólo para los pensionados que accedieron por derecho propio a la pensión de vejez, con base en el </w:t>
      </w:r>
      <w:r w:rsidR="00DA5D26">
        <w:rPr>
          <w:rFonts w:ascii="Arial Narrow" w:hAnsi="Arial Narrow"/>
          <w:sz w:val="28"/>
          <w:szCs w:val="28"/>
          <w:lang w:val="es-CO"/>
        </w:rPr>
        <w:t>Acuerdo 049 de 1990</w:t>
      </w:r>
      <w:r w:rsidR="00DA5D26" w:rsidRPr="00145342">
        <w:rPr>
          <w:rFonts w:ascii="Arial Narrow" w:hAnsi="Arial Narrow"/>
          <w:sz w:val="28"/>
          <w:szCs w:val="28"/>
          <w:lang w:val="es-CO"/>
        </w:rPr>
        <w:t>, sino también a quienes accedieron al mismo derecho</w:t>
      </w:r>
      <w:r>
        <w:rPr>
          <w:rFonts w:ascii="Arial Narrow" w:hAnsi="Arial Narrow"/>
          <w:sz w:val="28"/>
          <w:szCs w:val="28"/>
          <w:lang w:val="es-CO"/>
        </w:rPr>
        <w:t>, con amparo en esa normatividad,</w:t>
      </w:r>
      <w:r w:rsidR="00DA5D26" w:rsidRPr="00145342">
        <w:rPr>
          <w:rFonts w:ascii="Arial Narrow" w:hAnsi="Arial Narrow"/>
          <w:sz w:val="28"/>
          <w:szCs w:val="28"/>
          <w:lang w:val="es-CO"/>
        </w:rPr>
        <w:t xml:space="preserve"> por régimen de transición.</w:t>
      </w:r>
      <w:r w:rsidR="00DA5D26">
        <w:rPr>
          <w:rFonts w:ascii="Arial Narrow" w:hAnsi="Arial Narrow"/>
          <w:sz w:val="28"/>
          <w:szCs w:val="28"/>
          <w:lang w:val="es-CO"/>
        </w:rPr>
        <w:t xml:space="preserve"> </w:t>
      </w:r>
    </w:p>
    <w:p w:rsidR="00DA5D26" w:rsidRPr="00B47DEE" w:rsidRDefault="00DA5D26" w:rsidP="00B47DEE">
      <w:pPr>
        <w:pStyle w:val="Sinespaciado"/>
      </w:pPr>
    </w:p>
    <w:p w:rsidR="00090E92" w:rsidRDefault="00DA5D26" w:rsidP="00DA5D26">
      <w:pPr>
        <w:pStyle w:val="Textoindependiente"/>
        <w:spacing w:line="360" w:lineRule="auto"/>
        <w:ind w:firstLine="851"/>
        <w:rPr>
          <w:rFonts w:ascii="Arial Narrow" w:hAnsi="Arial Narrow"/>
          <w:sz w:val="28"/>
          <w:szCs w:val="28"/>
        </w:rPr>
      </w:pPr>
      <w:r w:rsidRPr="001646CC">
        <w:rPr>
          <w:rFonts w:ascii="Arial Narrow" w:hAnsi="Arial Narrow"/>
          <w:sz w:val="28"/>
          <w:szCs w:val="28"/>
        </w:rPr>
        <w:t>Así lo apuntan las providencias de</w:t>
      </w:r>
      <w:r>
        <w:rPr>
          <w:rFonts w:ascii="Arial Narrow" w:hAnsi="Arial Narrow"/>
          <w:sz w:val="28"/>
          <w:szCs w:val="28"/>
        </w:rPr>
        <w:t>l máximo órgano de cierre de la especialidad laboral</w:t>
      </w:r>
      <w:r w:rsidRPr="001646CC">
        <w:rPr>
          <w:rFonts w:ascii="Arial Narrow" w:hAnsi="Arial Narrow"/>
          <w:sz w:val="28"/>
          <w:szCs w:val="28"/>
        </w:rPr>
        <w:t xml:space="preserve">, proferidas el 9 de octubre de 2013 y 23 de abril de 2014, en sede de tutela, en las que recalca que tal beneficio se mantiene en vigor, para el afiliado </w:t>
      </w:r>
      <w:r w:rsidR="00090E92">
        <w:rPr>
          <w:rFonts w:ascii="Arial Narrow" w:hAnsi="Arial Narrow"/>
          <w:sz w:val="28"/>
          <w:szCs w:val="28"/>
        </w:rPr>
        <w:t xml:space="preserve">que disfrute de su pensión de vejez o de invalidez, en apoyo al multicitado Acuerdo, sea que se le aplique </w:t>
      </w:r>
      <w:r w:rsidRPr="001646CC">
        <w:rPr>
          <w:rFonts w:ascii="Arial Narrow" w:hAnsi="Arial Narrow"/>
          <w:sz w:val="28"/>
          <w:szCs w:val="28"/>
        </w:rPr>
        <w:t>por derecho propio o po</w:t>
      </w:r>
      <w:r>
        <w:rPr>
          <w:rFonts w:ascii="Arial Narrow" w:hAnsi="Arial Narrow"/>
          <w:sz w:val="28"/>
          <w:szCs w:val="28"/>
        </w:rPr>
        <w:t>r transición</w:t>
      </w:r>
      <w:r w:rsidR="00090E92">
        <w:rPr>
          <w:rFonts w:ascii="Arial Narrow" w:hAnsi="Arial Narrow"/>
          <w:sz w:val="28"/>
          <w:szCs w:val="28"/>
        </w:rPr>
        <w:t>.</w:t>
      </w:r>
    </w:p>
    <w:p w:rsidR="00AF19D4" w:rsidRDefault="00AF19D4" w:rsidP="00DA5D26">
      <w:pPr>
        <w:pStyle w:val="Textoindependiente"/>
        <w:spacing w:line="360" w:lineRule="auto"/>
        <w:ind w:firstLine="851"/>
        <w:rPr>
          <w:rFonts w:ascii="Arial Narrow" w:hAnsi="Arial Narrow"/>
          <w:sz w:val="28"/>
          <w:szCs w:val="28"/>
        </w:rPr>
      </w:pPr>
    </w:p>
    <w:p w:rsidR="0000634D" w:rsidRDefault="0000634D" w:rsidP="00DA5D26">
      <w:pPr>
        <w:pStyle w:val="Textoindependiente"/>
        <w:spacing w:line="360" w:lineRule="auto"/>
        <w:ind w:firstLine="851"/>
        <w:rPr>
          <w:rFonts w:ascii="Arial Narrow" w:hAnsi="Arial Narrow"/>
          <w:b/>
          <w:i/>
          <w:sz w:val="28"/>
          <w:szCs w:val="28"/>
        </w:rPr>
      </w:pPr>
      <w:r>
        <w:rPr>
          <w:rFonts w:ascii="Arial Narrow" w:hAnsi="Arial Narrow"/>
          <w:b/>
          <w:i/>
          <w:sz w:val="28"/>
          <w:szCs w:val="28"/>
        </w:rPr>
        <w:t>2.2. Prescripción.</w:t>
      </w:r>
    </w:p>
    <w:p w:rsidR="0000634D" w:rsidRDefault="0000634D" w:rsidP="00DA5D26">
      <w:pPr>
        <w:pStyle w:val="Textoindependiente"/>
        <w:spacing w:line="360" w:lineRule="auto"/>
        <w:ind w:firstLine="851"/>
        <w:rPr>
          <w:rFonts w:ascii="Arial Narrow" w:hAnsi="Arial Narrow"/>
          <w:b/>
          <w:i/>
          <w:sz w:val="28"/>
          <w:szCs w:val="28"/>
        </w:rPr>
      </w:pPr>
    </w:p>
    <w:p w:rsidR="0000634D" w:rsidRDefault="0000634D"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00634D" w:rsidRDefault="0000634D" w:rsidP="00DA5D26">
      <w:pPr>
        <w:pStyle w:val="Textoindependiente"/>
        <w:spacing w:line="360" w:lineRule="auto"/>
        <w:ind w:firstLine="851"/>
        <w:rPr>
          <w:rFonts w:ascii="Arial Narrow" w:hAnsi="Arial Narrow"/>
          <w:sz w:val="28"/>
          <w:szCs w:val="28"/>
        </w:rPr>
      </w:pPr>
    </w:p>
    <w:p w:rsidR="0000634D" w:rsidRDefault="0000634D" w:rsidP="00DA5D26">
      <w:pPr>
        <w:pStyle w:val="Textoindependiente"/>
        <w:spacing w:line="360" w:lineRule="auto"/>
        <w:ind w:firstLine="851"/>
        <w:rPr>
          <w:rFonts w:ascii="Arial Narrow" w:hAnsi="Arial Narrow"/>
          <w:i/>
          <w:sz w:val="28"/>
          <w:szCs w:val="28"/>
        </w:rPr>
      </w:pPr>
      <w:r>
        <w:rPr>
          <w:rFonts w:ascii="Arial Narrow" w:hAnsi="Arial Narrow"/>
          <w:i/>
          <w:sz w:val="28"/>
          <w:szCs w:val="28"/>
        </w:rPr>
        <w:t>“</w:t>
      </w:r>
      <w:r w:rsidRPr="0000634D">
        <w:rPr>
          <w:rFonts w:ascii="Arial Narrow" w:hAnsi="Arial Narrow"/>
          <w:i/>
          <w:sz w:val="28"/>
          <w:szCs w:val="28"/>
        </w:rPr>
        <w:t>Los incrementos de que trata el artículo anterior no forman parte integrante de la pensión de invalidez o de vejez que reconoce el Instituto de Seguros Sociales y el derecho a ellos subsiste mientras perduren las causas que les dieron origen</w:t>
      </w:r>
      <w:r>
        <w:rPr>
          <w:rFonts w:ascii="Arial Narrow" w:hAnsi="Arial Narrow"/>
          <w:i/>
          <w:sz w:val="28"/>
          <w:szCs w:val="28"/>
        </w:rPr>
        <w:t>”</w:t>
      </w:r>
      <w:r w:rsidRPr="0000634D">
        <w:rPr>
          <w:rFonts w:ascii="Arial Narrow" w:hAnsi="Arial Narrow"/>
          <w:i/>
          <w:sz w:val="28"/>
          <w:szCs w:val="28"/>
        </w:rPr>
        <w:t>.</w:t>
      </w:r>
    </w:p>
    <w:p w:rsidR="0000634D" w:rsidRDefault="0000634D" w:rsidP="00DA5D26">
      <w:pPr>
        <w:pStyle w:val="Textoindependiente"/>
        <w:spacing w:line="360" w:lineRule="auto"/>
        <w:ind w:firstLine="851"/>
        <w:rPr>
          <w:rFonts w:ascii="Arial Narrow" w:hAnsi="Arial Narrow"/>
          <w:i/>
          <w:sz w:val="28"/>
          <w:szCs w:val="28"/>
        </w:rPr>
      </w:pPr>
    </w:p>
    <w:p w:rsidR="00BB6550" w:rsidRDefault="0000634D"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Conforme a la norma citada, los incrementos tienen una naturaleza distinta a la pensión de invalidez o de vejez, lo que conlleva a que no tengan los mismos atributos o características </w:t>
      </w:r>
      <w:r w:rsidR="00BB6550">
        <w:rPr>
          <w:rFonts w:ascii="Arial Narrow" w:hAnsi="Arial Narrow"/>
          <w:sz w:val="28"/>
          <w:szCs w:val="28"/>
        </w:rPr>
        <w:t xml:space="preserve">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 El tema ha </w:t>
      </w:r>
      <w:r w:rsidR="00BB6550">
        <w:rPr>
          <w:rFonts w:ascii="Arial Narrow" w:hAnsi="Arial Narrow"/>
          <w:sz w:val="28"/>
          <w:szCs w:val="28"/>
        </w:rPr>
        <w:lastRenderedPageBreak/>
        <w:t>sido abordado por la jurisprudencia patria, siendo pertinente citar algunos apartes de uno de tales pronunciamientos:</w:t>
      </w:r>
    </w:p>
    <w:p w:rsidR="00BB6550" w:rsidRDefault="00BB6550" w:rsidP="00283D7F">
      <w:pPr>
        <w:pStyle w:val="Sinespaciado"/>
      </w:pPr>
    </w:p>
    <w:p w:rsidR="00BB6550" w:rsidRPr="00BB6550" w:rsidRDefault="00283D7F" w:rsidP="00BB6550">
      <w:pPr>
        <w:pStyle w:val="Textoindependiente"/>
        <w:spacing w:line="360" w:lineRule="auto"/>
        <w:ind w:firstLine="851"/>
        <w:rPr>
          <w:rFonts w:ascii="Arial Narrow" w:hAnsi="Arial Narrow"/>
          <w:i/>
          <w:sz w:val="28"/>
          <w:szCs w:val="28"/>
          <w:lang w:val="es-ES"/>
        </w:rPr>
      </w:pPr>
      <w:r>
        <w:rPr>
          <w:rFonts w:ascii="Arial Narrow" w:hAnsi="Arial Narrow"/>
          <w:i/>
          <w:sz w:val="28"/>
          <w:szCs w:val="28"/>
          <w:lang w:val="es-ES"/>
        </w:rPr>
        <w:t>“</w:t>
      </w:r>
      <w:r w:rsidR="00BB6550" w:rsidRPr="00BB6550">
        <w:rPr>
          <w:rFonts w:ascii="Arial Narrow" w:hAnsi="Arial Narrow"/>
          <w:i/>
          <w:sz w:val="28"/>
          <w:szCs w:val="28"/>
          <w:lang w:val="es-ES"/>
        </w:rPr>
        <w:t xml:space="preserve">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w:t>
      </w:r>
      <w:proofErr w:type="spellStart"/>
      <w:r w:rsidR="00BB6550" w:rsidRPr="00BB6550">
        <w:rPr>
          <w:rFonts w:ascii="Arial Narrow" w:hAnsi="Arial Narrow"/>
          <w:i/>
          <w:sz w:val="28"/>
          <w:szCs w:val="28"/>
          <w:lang w:val="es-ES"/>
        </w:rPr>
        <w:t>CSJSL</w:t>
      </w:r>
      <w:proofErr w:type="spellEnd"/>
      <w:r w:rsidR="00BB6550" w:rsidRPr="00BB6550">
        <w:rPr>
          <w:rFonts w:ascii="Arial Narrow" w:hAnsi="Arial Narrow"/>
          <w:i/>
          <w:sz w:val="28"/>
          <w:szCs w:val="28"/>
          <w:lang w:val="es-ES"/>
        </w:rPr>
        <w:t>, 9638-2014 del 23 jul. 2014, rad 57367, donde al resolver un asunto de similares contornos, así reflexionó:</w:t>
      </w:r>
    </w:p>
    <w:p w:rsidR="00BB6550" w:rsidRPr="00BB6550" w:rsidRDefault="00BB6550" w:rsidP="00283D7F">
      <w:pPr>
        <w:pStyle w:val="Sinespaciado"/>
        <w:rPr>
          <w:lang w:val="es-ES"/>
        </w:rPr>
      </w:pPr>
    </w:p>
    <w:p w:rsidR="00BB6550" w:rsidRPr="00BB6550" w:rsidRDefault="00BB6550" w:rsidP="00BB6550">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t xml:space="preserve">En efecto, esta Corporación señaló en sentencia CSJ </w:t>
      </w:r>
      <w:proofErr w:type="spellStart"/>
      <w:r w:rsidRPr="00BB6550">
        <w:rPr>
          <w:rFonts w:ascii="Arial Narrow" w:hAnsi="Arial Narrow"/>
          <w:i/>
          <w:sz w:val="28"/>
          <w:szCs w:val="28"/>
          <w:lang w:val="es-ES"/>
        </w:rPr>
        <w:t>SL</w:t>
      </w:r>
      <w:proofErr w:type="spellEnd"/>
      <w:r w:rsidRPr="00BB6550">
        <w:rPr>
          <w:rFonts w:ascii="Arial Narrow" w:hAnsi="Arial Narrow"/>
          <w:i/>
          <w:sz w:val="28"/>
          <w:szCs w:val="28"/>
          <w:lang w:val="es-ES"/>
        </w:rPr>
        <w:t xml:space="preserve">,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w:t>
      </w:r>
      <w:proofErr w:type="spellStart"/>
      <w:r w:rsidRPr="00BB6550">
        <w:rPr>
          <w:rFonts w:ascii="Arial Narrow" w:hAnsi="Arial Narrow"/>
          <w:i/>
          <w:sz w:val="28"/>
          <w:szCs w:val="28"/>
          <w:lang w:val="es-ES"/>
        </w:rPr>
        <w:t>CST</w:t>
      </w:r>
      <w:proofErr w:type="spellEnd"/>
      <w:r w:rsidRPr="00BB6550">
        <w:rPr>
          <w:rFonts w:ascii="Arial Narrow" w:hAnsi="Arial Narrow"/>
          <w:i/>
          <w:sz w:val="28"/>
          <w:szCs w:val="28"/>
          <w:lang w:val="es-ES"/>
        </w:rPr>
        <w:t xml:space="preserve"> y 151 del </w:t>
      </w:r>
      <w:proofErr w:type="spellStart"/>
      <w:r w:rsidRPr="00BB6550">
        <w:rPr>
          <w:rFonts w:ascii="Arial Narrow" w:hAnsi="Arial Narrow"/>
          <w:i/>
          <w:sz w:val="28"/>
          <w:szCs w:val="28"/>
          <w:lang w:val="es-ES"/>
        </w:rPr>
        <w:t>CPT</w:t>
      </w:r>
      <w:proofErr w:type="spellEnd"/>
      <w:r w:rsidRPr="00BB6550">
        <w:rPr>
          <w:rFonts w:ascii="Arial Narrow" w:hAnsi="Arial Narrow"/>
          <w:i/>
          <w:sz w:val="28"/>
          <w:szCs w:val="28"/>
          <w:lang w:val="es-ES"/>
        </w:rPr>
        <w:t xml:space="preserve"> y de la SS.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t xml:space="preserve">Así se dijo, y ahora se reitera, en sentencia CSJ </w:t>
      </w:r>
      <w:proofErr w:type="spellStart"/>
      <w:r w:rsidRPr="00BB6550">
        <w:rPr>
          <w:rFonts w:ascii="Arial Narrow" w:hAnsi="Arial Narrow"/>
          <w:i/>
          <w:sz w:val="28"/>
          <w:szCs w:val="28"/>
          <w:lang w:val="es-ES"/>
        </w:rPr>
        <w:t>SL</w:t>
      </w:r>
      <w:proofErr w:type="spellEnd"/>
      <w:r w:rsidRPr="00BB6550">
        <w:rPr>
          <w:rFonts w:ascii="Arial Narrow" w:hAnsi="Arial Narrow"/>
          <w:i/>
          <w:sz w:val="28"/>
          <w:szCs w:val="28"/>
          <w:lang w:val="es-ES"/>
        </w:rPr>
        <w:t xml:space="preserve">, 12 dic. 2007, rad. 27923, en la que respecto a la prescripción del derecho a reclamar los incrementos por personas a cargo, se puntualizó: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 xml:space="preserve">(…) el artículo 22 del Acuerdo 049 de 1990 prevé que los incrementos por persona a cargo ‘no forman parte integrante de la </w:t>
      </w:r>
      <w:r w:rsidRPr="00BB6550">
        <w:rPr>
          <w:rFonts w:ascii="Arial Narrow" w:hAnsi="Arial Narrow"/>
          <w:i/>
          <w:sz w:val="28"/>
          <w:szCs w:val="28"/>
          <w:lang w:val="es-ES"/>
        </w:rPr>
        <w:lastRenderedPageBreak/>
        <w:t xml:space="preserve">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BB6550" w:rsidRPr="00BB6550" w:rsidRDefault="00BB6550" w:rsidP="003609EA">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t xml:space="preserve">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w:t>
      </w:r>
      <w:r w:rsidRPr="00BB6550">
        <w:rPr>
          <w:rFonts w:ascii="Arial Narrow" w:hAnsi="Arial Narrow"/>
          <w:i/>
          <w:sz w:val="28"/>
          <w:szCs w:val="28"/>
          <w:lang w:val="es-ES"/>
        </w:rPr>
        <w:lastRenderedPageBreak/>
        <w:t>pensional (1º de diciembre de 2004) y la reclamación administrativa (10 de julio de 2010), transcurrieron 5 años, 7 meses y 8 días.</w:t>
      </w:r>
      <w:r>
        <w:rPr>
          <w:rFonts w:ascii="Arial Narrow" w:hAnsi="Arial Narrow"/>
          <w:i/>
          <w:sz w:val="28"/>
          <w:szCs w:val="28"/>
          <w:lang w:val="es-ES"/>
        </w:rPr>
        <w:t>”</w:t>
      </w:r>
      <w:r w:rsidR="00283D7F">
        <w:rPr>
          <w:rFonts w:ascii="Arial Narrow" w:hAnsi="Arial Narrow"/>
          <w:i/>
          <w:sz w:val="28"/>
          <w:szCs w:val="28"/>
          <w:lang w:val="es-ES"/>
        </w:rPr>
        <w:t xml:space="preserve">(CSJ Sal. Cas. Laboral. Sentencia </w:t>
      </w:r>
      <w:proofErr w:type="spellStart"/>
      <w:r w:rsidR="00283D7F">
        <w:rPr>
          <w:rFonts w:ascii="Arial Narrow" w:hAnsi="Arial Narrow"/>
          <w:i/>
          <w:sz w:val="28"/>
          <w:szCs w:val="28"/>
          <w:lang w:val="es-ES"/>
        </w:rPr>
        <w:t>SL</w:t>
      </w:r>
      <w:proofErr w:type="spellEnd"/>
      <w:r w:rsidR="00283D7F">
        <w:rPr>
          <w:rFonts w:ascii="Arial Narrow" w:hAnsi="Arial Narrow"/>
          <w:i/>
          <w:sz w:val="28"/>
          <w:szCs w:val="28"/>
          <w:lang w:val="es-ES"/>
        </w:rPr>
        <w:t xml:space="preserve"> 2645ª-2016)</w:t>
      </w:r>
    </w:p>
    <w:p w:rsidR="0000634D" w:rsidRDefault="00BB6550"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 </w:t>
      </w:r>
      <w:r w:rsidR="0000634D" w:rsidRPr="0000634D">
        <w:rPr>
          <w:rFonts w:ascii="Arial Narrow" w:hAnsi="Arial Narrow"/>
          <w:i/>
          <w:sz w:val="28"/>
          <w:szCs w:val="28"/>
        </w:rPr>
        <w:t xml:space="preserve"> </w:t>
      </w:r>
    </w:p>
    <w:p w:rsidR="00283D7F" w:rsidRPr="00283D7F" w:rsidRDefault="00283D7F" w:rsidP="00DA5D26">
      <w:pPr>
        <w:pStyle w:val="Textoindependiente"/>
        <w:spacing w:line="360" w:lineRule="auto"/>
        <w:ind w:firstLine="851"/>
        <w:rPr>
          <w:rFonts w:ascii="Arial Narrow" w:hAnsi="Arial Narrow"/>
          <w:sz w:val="30"/>
          <w:szCs w:val="30"/>
        </w:rPr>
      </w:pPr>
      <w:r>
        <w:rPr>
          <w:rFonts w:ascii="Arial Narrow" w:hAnsi="Arial Narrow"/>
          <w:sz w:val="30"/>
          <w:szCs w:val="30"/>
        </w:rPr>
        <w:t>Como se evidencia, es claro que los incrementos pensionales sí son pasibles de la prescripción y, de no reclamarse en tiempo, una vez hechos exigibles, se extinguirá el derecho a los mismos.</w:t>
      </w:r>
    </w:p>
    <w:p w:rsidR="00283D7F" w:rsidRDefault="00283D7F" w:rsidP="00DA5D26">
      <w:pPr>
        <w:pStyle w:val="Textoindependiente"/>
        <w:spacing w:line="360" w:lineRule="auto"/>
        <w:ind w:firstLine="851"/>
        <w:rPr>
          <w:rFonts w:ascii="Arial Narrow" w:hAnsi="Arial Narrow"/>
          <w:b/>
          <w:i/>
          <w:sz w:val="30"/>
          <w:szCs w:val="30"/>
        </w:rPr>
      </w:pPr>
    </w:p>
    <w:p w:rsidR="00DA5D26" w:rsidRPr="0063501C" w:rsidRDefault="00DA5D26" w:rsidP="00DA5D26">
      <w:pPr>
        <w:pStyle w:val="Textoindependiente"/>
        <w:spacing w:line="360" w:lineRule="auto"/>
        <w:ind w:firstLine="851"/>
        <w:rPr>
          <w:rFonts w:ascii="Arial Narrow" w:hAnsi="Arial Narrow"/>
          <w:b/>
          <w:i/>
          <w:sz w:val="30"/>
          <w:szCs w:val="30"/>
        </w:rPr>
      </w:pPr>
      <w:r>
        <w:rPr>
          <w:rFonts w:ascii="Arial Narrow" w:hAnsi="Arial Narrow"/>
          <w:b/>
          <w:i/>
          <w:sz w:val="30"/>
          <w:szCs w:val="30"/>
        </w:rPr>
        <w:t xml:space="preserve">3. </w:t>
      </w:r>
      <w:r w:rsidRPr="0063501C">
        <w:rPr>
          <w:rFonts w:ascii="Arial Narrow" w:hAnsi="Arial Narrow"/>
          <w:b/>
          <w:i/>
          <w:sz w:val="30"/>
          <w:szCs w:val="30"/>
        </w:rPr>
        <w:t>Caso Concreto</w:t>
      </w:r>
    </w:p>
    <w:p w:rsidR="00DA5D26" w:rsidRPr="00C605CD" w:rsidRDefault="00DA5D26" w:rsidP="00C605CD">
      <w:pPr>
        <w:pStyle w:val="Sinespaciado"/>
      </w:pPr>
    </w:p>
    <w:p w:rsidR="008B62FB" w:rsidRPr="00D44E3E" w:rsidRDefault="00AF19D4" w:rsidP="00DA5D26">
      <w:pPr>
        <w:pStyle w:val="Textoindependiente"/>
        <w:spacing w:line="360" w:lineRule="auto"/>
        <w:ind w:firstLine="851"/>
        <w:rPr>
          <w:rFonts w:ascii="Arial Narrow" w:hAnsi="Arial Narrow"/>
          <w:sz w:val="28"/>
          <w:szCs w:val="28"/>
        </w:rPr>
      </w:pPr>
      <w:r w:rsidRPr="00D44E3E">
        <w:rPr>
          <w:rFonts w:ascii="Arial Narrow" w:hAnsi="Arial Narrow"/>
          <w:sz w:val="28"/>
          <w:szCs w:val="28"/>
        </w:rPr>
        <w:t xml:space="preserve">En el caso puntual, se tiene que </w:t>
      </w:r>
      <w:r w:rsidR="00283D7F" w:rsidRPr="00D44E3E">
        <w:rPr>
          <w:rFonts w:ascii="Arial Narrow" w:hAnsi="Arial Narrow"/>
          <w:sz w:val="28"/>
          <w:szCs w:val="28"/>
        </w:rPr>
        <w:t xml:space="preserve">al señor </w:t>
      </w:r>
      <w:proofErr w:type="spellStart"/>
      <w:r w:rsidR="00E553D1" w:rsidRPr="00D44E3E">
        <w:rPr>
          <w:rFonts w:ascii="Arial Narrow" w:hAnsi="Arial Narrow"/>
          <w:sz w:val="28"/>
          <w:szCs w:val="28"/>
        </w:rPr>
        <w:t>Betancurt</w:t>
      </w:r>
      <w:proofErr w:type="spellEnd"/>
      <w:r w:rsidR="00283D7F" w:rsidRPr="00D44E3E">
        <w:rPr>
          <w:rFonts w:ascii="Arial Narrow" w:hAnsi="Arial Narrow"/>
          <w:sz w:val="28"/>
          <w:szCs w:val="28"/>
        </w:rPr>
        <w:t xml:space="preserve"> </w:t>
      </w:r>
      <w:r w:rsidR="00E553D1" w:rsidRPr="00D44E3E">
        <w:rPr>
          <w:rFonts w:ascii="Arial Narrow" w:hAnsi="Arial Narrow"/>
          <w:sz w:val="28"/>
          <w:szCs w:val="28"/>
        </w:rPr>
        <w:t xml:space="preserve">Arcila </w:t>
      </w:r>
      <w:r w:rsidR="00283D7F" w:rsidRPr="00D44E3E">
        <w:rPr>
          <w:rFonts w:ascii="Arial Narrow" w:hAnsi="Arial Narrow"/>
          <w:sz w:val="28"/>
          <w:szCs w:val="28"/>
        </w:rPr>
        <w:t xml:space="preserve">se le reconoció su pensión de vejez mediante Resolución No. </w:t>
      </w:r>
      <w:r w:rsidR="00E553D1" w:rsidRPr="00D44E3E">
        <w:rPr>
          <w:rFonts w:ascii="Arial Narrow" w:hAnsi="Arial Narrow"/>
          <w:sz w:val="28"/>
          <w:szCs w:val="28"/>
        </w:rPr>
        <w:t>000648</w:t>
      </w:r>
      <w:r w:rsidR="00283D7F" w:rsidRPr="00D44E3E">
        <w:rPr>
          <w:rFonts w:ascii="Arial Narrow" w:hAnsi="Arial Narrow"/>
          <w:sz w:val="28"/>
          <w:szCs w:val="28"/>
        </w:rPr>
        <w:t xml:space="preserve"> del </w:t>
      </w:r>
      <w:r w:rsidR="00E553D1" w:rsidRPr="00D44E3E">
        <w:rPr>
          <w:rFonts w:ascii="Arial Narrow" w:hAnsi="Arial Narrow"/>
          <w:sz w:val="28"/>
          <w:szCs w:val="28"/>
        </w:rPr>
        <w:t>19 de marzo de 2002</w:t>
      </w:r>
      <w:r w:rsidR="00283D7F" w:rsidRPr="00D44E3E">
        <w:rPr>
          <w:rFonts w:ascii="Arial Narrow" w:hAnsi="Arial Narrow"/>
          <w:sz w:val="28"/>
          <w:szCs w:val="28"/>
        </w:rPr>
        <w:t xml:space="preserve">, con efectos a partir del </w:t>
      </w:r>
      <w:r w:rsidR="00E553D1" w:rsidRPr="00D44E3E">
        <w:rPr>
          <w:rFonts w:ascii="Arial Narrow" w:hAnsi="Arial Narrow"/>
          <w:sz w:val="28"/>
          <w:szCs w:val="28"/>
        </w:rPr>
        <w:t xml:space="preserve">03 de noviembre de 2001 </w:t>
      </w:r>
      <w:r w:rsidR="00283D7F" w:rsidRPr="00D44E3E">
        <w:rPr>
          <w:rFonts w:ascii="Arial Narrow" w:hAnsi="Arial Narrow"/>
          <w:sz w:val="28"/>
          <w:szCs w:val="28"/>
        </w:rPr>
        <w:t>y cuyo fundamento legal lo fue el Acuerdo 049 de 1990</w:t>
      </w:r>
      <w:r w:rsidR="00E553D1" w:rsidRPr="00D44E3E">
        <w:rPr>
          <w:rFonts w:ascii="Arial Narrow" w:hAnsi="Arial Narrow"/>
          <w:sz w:val="28"/>
          <w:szCs w:val="28"/>
        </w:rPr>
        <w:t xml:space="preserve"> en virtud del régimen de transición</w:t>
      </w:r>
      <w:r w:rsidR="00283D7F" w:rsidRPr="00D44E3E">
        <w:rPr>
          <w:rFonts w:ascii="Arial Narrow" w:hAnsi="Arial Narrow"/>
          <w:sz w:val="28"/>
          <w:szCs w:val="28"/>
        </w:rPr>
        <w:t xml:space="preserve">. Existe además en el infolio prueba documental idónea que acredita el </w:t>
      </w:r>
      <w:r w:rsidR="008B62FB" w:rsidRPr="00D44E3E">
        <w:rPr>
          <w:rFonts w:ascii="Arial Narrow" w:hAnsi="Arial Narrow"/>
          <w:sz w:val="28"/>
          <w:szCs w:val="28"/>
        </w:rPr>
        <w:t>vínculo</w:t>
      </w:r>
      <w:r w:rsidR="00283D7F" w:rsidRPr="00D44E3E">
        <w:rPr>
          <w:rFonts w:ascii="Arial Narrow" w:hAnsi="Arial Narrow"/>
          <w:sz w:val="28"/>
          <w:szCs w:val="28"/>
        </w:rPr>
        <w:t xml:space="preserve"> marital del actor con la señora </w:t>
      </w:r>
      <w:r w:rsidR="00E553D1" w:rsidRPr="00D44E3E">
        <w:rPr>
          <w:rFonts w:ascii="Arial Narrow" w:hAnsi="Arial Narrow"/>
          <w:sz w:val="28"/>
          <w:szCs w:val="28"/>
        </w:rPr>
        <w:t xml:space="preserve">Amparo Gallego de </w:t>
      </w:r>
      <w:proofErr w:type="spellStart"/>
      <w:r w:rsidR="00E553D1" w:rsidRPr="00D44E3E">
        <w:rPr>
          <w:rFonts w:ascii="Arial Narrow" w:hAnsi="Arial Narrow"/>
          <w:sz w:val="28"/>
          <w:szCs w:val="28"/>
        </w:rPr>
        <w:t>Betancurt</w:t>
      </w:r>
      <w:proofErr w:type="spellEnd"/>
      <w:r w:rsidR="00283D7F" w:rsidRPr="00D44E3E">
        <w:rPr>
          <w:rFonts w:ascii="Arial Narrow" w:hAnsi="Arial Narrow"/>
          <w:sz w:val="28"/>
          <w:szCs w:val="28"/>
        </w:rPr>
        <w:t xml:space="preserve">, el cual data desde el </w:t>
      </w:r>
      <w:r w:rsidR="00E553D1" w:rsidRPr="00D44E3E">
        <w:rPr>
          <w:rFonts w:ascii="Arial Narrow" w:hAnsi="Arial Narrow"/>
          <w:sz w:val="28"/>
          <w:szCs w:val="28"/>
        </w:rPr>
        <w:t>23</w:t>
      </w:r>
      <w:r w:rsidR="00283D7F" w:rsidRPr="00D44E3E">
        <w:rPr>
          <w:rFonts w:ascii="Arial Narrow" w:hAnsi="Arial Narrow"/>
          <w:sz w:val="28"/>
          <w:szCs w:val="28"/>
        </w:rPr>
        <w:t xml:space="preserve"> de </w:t>
      </w:r>
      <w:r w:rsidR="00E553D1" w:rsidRPr="00D44E3E">
        <w:rPr>
          <w:rFonts w:ascii="Arial Narrow" w:hAnsi="Arial Narrow"/>
          <w:sz w:val="28"/>
          <w:szCs w:val="28"/>
        </w:rPr>
        <w:t>diciembre</w:t>
      </w:r>
      <w:r w:rsidR="00283D7F" w:rsidRPr="00D44E3E">
        <w:rPr>
          <w:rFonts w:ascii="Arial Narrow" w:hAnsi="Arial Narrow"/>
          <w:sz w:val="28"/>
          <w:szCs w:val="28"/>
        </w:rPr>
        <w:t xml:space="preserve"> de </w:t>
      </w:r>
      <w:r w:rsidR="00E553D1" w:rsidRPr="00D44E3E">
        <w:rPr>
          <w:rFonts w:ascii="Arial Narrow" w:hAnsi="Arial Narrow"/>
          <w:sz w:val="28"/>
          <w:szCs w:val="28"/>
        </w:rPr>
        <w:t>1964</w:t>
      </w:r>
      <w:r w:rsidR="00283D7F" w:rsidRPr="00D44E3E">
        <w:rPr>
          <w:rFonts w:ascii="Arial Narrow" w:hAnsi="Arial Narrow"/>
          <w:sz w:val="28"/>
          <w:szCs w:val="28"/>
        </w:rPr>
        <w:t xml:space="preserve"> –</w:t>
      </w:r>
      <w:proofErr w:type="spellStart"/>
      <w:r w:rsidR="00283D7F" w:rsidRPr="00D44E3E">
        <w:rPr>
          <w:rFonts w:ascii="Arial Narrow" w:hAnsi="Arial Narrow"/>
          <w:sz w:val="28"/>
          <w:szCs w:val="28"/>
        </w:rPr>
        <w:t>fl</w:t>
      </w:r>
      <w:proofErr w:type="spellEnd"/>
      <w:r w:rsidR="00283D7F" w:rsidRPr="00D44E3E">
        <w:rPr>
          <w:rFonts w:ascii="Arial Narrow" w:hAnsi="Arial Narrow"/>
          <w:sz w:val="28"/>
          <w:szCs w:val="28"/>
        </w:rPr>
        <w:t>. 1</w:t>
      </w:r>
      <w:r w:rsidR="00E553D1" w:rsidRPr="00D44E3E">
        <w:rPr>
          <w:rFonts w:ascii="Arial Narrow" w:hAnsi="Arial Narrow"/>
          <w:sz w:val="28"/>
          <w:szCs w:val="28"/>
        </w:rPr>
        <w:t>7</w:t>
      </w:r>
      <w:r w:rsidR="00283D7F" w:rsidRPr="00D44E3E">
        <w:rPr>
          <w:rFonts w:ascii="Arial Narrow" w:hAnsi="Arial Narrow"/>
          <w:sz w:val="28"/>
          <w:szCs w:val="28"/>
        </w:rPr>
        <w:t xml:space="preserve">- sin que exista nota alguna que desdiga de la existencia del </w:t>
      </w:r>
      <w:r w:rsidR="008B62FB" w:rsidRPr="00D44E3E">
        <w:rPr>
          <w:rFonts w:ascii="Arial Narrow" w:hAnsi="Arial Narrow"/>
          <w:sz w:val="28"/>
          <w:szCs w:val="28"/>
        </w:rPr>
        <w:t xml:space="preserve">vínculo. Además, los testimonios de </w:t>
      </w:r>
      <w:r w:rsidR="00E553D1" w:rsidRPr="00D44E3E">
        <w:rPr>
          <w:rFonts w:ascii="Arial Narrow" w:hAnsi="Arial Narrow"/>
          <w:sz w:val="28"/>
          <w:szCs w:val="28"/>
        </w:rPr>
        <w:t xml:space="preserve">José William Díaz Serna y María Clemencia </w:t>
      </w:r>
      <w:proofErr w:type="spellStart"/>
      <w:r w:rsidR="00E553D1" w:rsidRPr="00D44E3E">
        <w:rPr>
          <w:rFonts w:ascii="Arial Narrow" w:hAnsi="Arial Narrow"/>
          <w:sz w:val="28"/>
          <w:szCs w:val="28"/>
        </w:rPr>
        <w:t>Alzate</w:t>
      </w:r>
      <w:proofErr w:type="spellEnd"/>
      <w:r w:rsidR="00E553D1" w:rsidRPr="00D44E3E">
        <w:rPr>
          <w:rFonts w:ascii="Arial Narrow" w:hAnsi="Arial Narrow"/>
          <w:sz w:val="28"/>
          <w:szCs w:val="28"/>
        </w:rPr>
        <w:t xml:space="preserve"> </w:t>
      </w:r>
      <w:proofErr w:type="spellStart"/>
      <w:r w:rsidR="00E553D1" w:rsidRPr="00D44E3E">
        <w:rPr>
          <w:rFonts w:ascii="Arial Narrow" w:hAnsi="Arial Narrow"/>
          <w:sz w:val="28"/>
          <w:szCs w:val="28"/>
        </w:rPr>
        <w:t>Betancurt</w:t>
      </w:r>
      <w:proofErr w:type="spellEnd"/>
      <w:r w:rsidR="008B62FB" w:rsidRPr="00D44E3E">
        <w:rPr>
          <w:rFonts w:ascii="Arial Narrow" w:hAnsi="Arial Narrow"/>
          <w:sz w:val="28"/>
          <w:szCs w:val="28"/>
        </w:rPr>
        <w:t>, dan fe de que la mencionada señora y el actor conviven y lo han hecho de manera ini</w:t>
      </w:r>
      <w:r w:rsidR="00E553D1" w:rsidRPr="00D44E3E">
        <w:rPr>
          <w:rFonts w:ascii="Arial Narrow" w:hAnsi="Arial Narrow"/>
          <w:sz w:val="28"/>
          <w:szCs w:val="28"/>
        </w:rPr>
        <w:t>n</w:t>
      </w:r>
      <w:r w:rsidR="008B62FB" w:rsidRPr="00D44E3E">
        <w:rPr>
          <w:rFonts w:ascii="Arial Narrow" w:hAnsi="Arial Narrow"/>
          <w:sz w:val="28"/>
          <w:szCs w:val="28"/>
        </w:rPr>
        <w:t xml:space="preserve">terrumpida, que aquella depende económicamente de éste, pues no cuenta con pensión, trabajo ni bienes que le produzcan renta, razón por la cual, ninguna duda queda acerca de que en el caso puntual el señor </w:t>
      </w:r>
      <w:proofErr w:type="spellStart"/>
      <w:r w:rsidR="00E553D1" w:rsidRPr="00D44E3E">
        <w:rPr>
          <w:rFonts w:ascii="Arial Narrow" w:hAnsi="Arial Narrow"/>
          <w:sz w:val="28"/>
          <w:szCs w:val="28"/>
        </w:rPr>
        <w:t>Betancurt</w:t>
      </w:r>
      <w:proofErr w:type="spellEnd"/>
      <w:r w:rsidR="00E553D1" w:rsidRPr="00D44E3E">
        <w:rPr>
          <w:rFonts w:ascii="Arial Narrow" w:hAnsi="Arial Narrow"/>
          <w:sz w:val="28"/>
          <w:szCs w:val="28"/>
        </w:rPr>
        <w:t xml:space="preserve"> Arcila</w:t>
      </w:r>
      <w:r w:rsidR="008B62FB" w:rsidRPr="00D44E3E">
        <w:rPr>
          <w:rFonts w:ascii="Arial Narrow" w:hAnsi="Arial Narrow"/>
          <w:sz w:val="28"/>
          <w:szCs w:val="28"/>
        </w:rPr>
        <w:t xml:space="preserve"> cuenta con el derecho a los incrementos pensionales, los cuales se le hicieron exigible desde la calenda </w:t>
      </w:r>
      <w:r w:rsidR="00E553D1" w:rsidRPr="00D44E3E">
        <w:rPr>
          <w:rFonts w:ascii="Arial Narrow" w:hAnsi="Arial Narrow"/>
          <w:sz w:val="28"/>
          <w:szCs w:val="28"/>
        </w:rPr>
        <w:t xml:space="preserve">en que le fue notificado el </w:t>
      </w:r>
      <w:r w:rsidR="008B62FB" w:rsidRPr="00D44E3E">
        <w:rPr>
          <w:rFonts w:ascii="Arial Narrow" w:hAnsi="Arial Narrow"/>
          <w:sz w:val="28"/>
          <w:szCs w:val="28"/>
        </w:rPr>
        <w:t>reconocimiento pensional</w:t>
      </w:r>
      <w:r w:rsidR="00E553D1" w:rsidRPr="00D44E3E">
        <w:rPr>
          <w:rFonts w:ascii="Arial Narrow" w:hAnsi="Arial Narrow"/>
          <w:sz w:val="28"/>
          <w:szCs w:val="28"/>
        </w:rPr>
        <w:t>, esto es, desde el 02 de mayo de 2002, conforme a la constancia que aparece en el expediente administrativo aportado en medio magnético</w:t>
      </w:r>
      <w:r w:rsidR="0094511D" w:rsidRPr="00D44E3E">
        <w:rPr>
          <w:rFonts w:ascii="Arial Narrow" w:hAnsi="Arial Narrow"/>
          <w:sz w:val="28"/>
          <w:szCs w:val="28"/>
        </w:rPr>
        <w:t xml:space="preserve"> –</w:t>
      </w:r>
      <w:proofErr w:type="spellStart"/>
      <w:r w:rsidR="0094511D" w:rsidRPr="00D44E3E">
        <w:rPr>
          <w:rFonts w:ascii="Arial Narrow" w:hAnsi="Arial Narrow"/>
          <w:sz w:val="28"/>
          <w:szCs w:val="28"/>
        </w:rPr>
        <w:t>fl</w:t>
      </w:r>
      <w:proofErr w:type="spellEnd"/>
      <w:r w:rsidR="0094511D" w:rsidRPr="00D44E3E">
        <w:rPr>
          <w:rFonts w:ascii="Arial Narrow" w:hAnsi="Arial Narrow"/>
          <w:sz w:val="28"/>
          <w:szCs w:val="28"/>
        </w:rPr>
        <w:t>. 42-</w:t>
      </w:r>
      <w:r w:rsidR="008B62FB" w:rsidRPr="00D44E3E">
        <w:rPr>
          <w:rFonts w:ascii="Arial Narrow" w:hAnsi="Arial Narrow"/>
          <w:sz w:val="28"/>
          <w:szCs w:val="28"/>
        </w:rPr>
        <w:t xml:space="preserve">. </w:t>
      </w:r>
    </w:p>
    <w:p w:rsidR="008B62FB" w:rsidRPr="00D44E3E" w:rsidRDefault="008B62FB" w:rsidP="00DA5D26">
      <w:pPr>
        <w:pStyle w:val="Textoindependiente"/>
        <w:spacing w:line="360" w:lineRule="auto"/>
        <w:ind w:firstLine="851"/>
        <w:rPr>
          <w:rFonts w:ascii="Arial Narrow" w:hAnsi="Arial Narrow"/>
          <w:sz w:val="28"/>
          <w:szCs w:val="28"/>
        </w:rPr>
      </w:pPr>
    </w:p>
    <w:p w:rsidR="0094511D" w:rsidRDefault="0094511D" w:rsidP="00DA5D26">
      <w:pPr>
        <w:pStyle w:val="Textoindependiente"/>
        <w:spacing w:line="360" w:lineRule="auto"/>
        <w:ind w:firstLine="851"/>
        <w:rPr>
          <w:rFonts w:ascii="Arial Narrow" w:hAnsi="Arial Narrow"/>
          <w:sz w:val="28"/>
          <w:szCs w:val="28"/>
        </w:rPr>
      </w:pPr>
      <w:r w:rsidRPr="00D44E3E">
        <w:rPr>
          <w:rFonts w:ascii="Arial Narrow" w:hAnsi="Arial Narrow"/>
          <w:sz w:val="28"/>
          <w:szCs w:val="28"/>
        </w:rPr>
        <w:t xml:space="preserve">Establecida la existencia del derecho, es del caso entrar a determinar si alguno de los medios exceptivos propuestos por la parte demandada, tiene la virtualidad de extinguirlos, encontrando que, en efecto, la entidad demandada propuso en la contestación la excepción de prescripción. Atendiendo las consideraciones vertidas en párrafos atrás, los incrementos pensionales claramente son susceptibles de ser extintos por el paso del tiempo, puntualmente, si una vez reconocida la pensión con fundamento </w:t>
      </w:r>
      <w:r w:rsidRPr="00D44E3E">
        <w:rPr>
          <w:rFonts w:ascii="Arial Narrow" w:hAnsi="Arial Narrow"/>
          <w:sz w:val="28"/>
          <w:szCs w:val="28"/>
        </w:rPr>
        <w:lastRenderedPageBreak/>
        <w:t xml:space="preserve">en el Acuerdo 049 de 1990, no se exigen en el trienio siguiente, conforme a lo normado en los </w:t>
      </w:r>
      <w:r w:rsidR="008B62FB" w:rsidRPr="00D44E3E">
        <w:rPr>
          <w:rFonts w:ascii="Arial Narrow" w:hAnsi="Arial Narrow"/>
          <w:sz w:val="28"/>
          <w:szCs w:val="28"/>
        </w:rPr>
        <w:t xml:space="preserve">cánones 151 y 488 del </w:t>
      </w:r>
      <w:proofErr w:type="spellStart"/>
      <w:r w:rsidR="008B62FB" w:rsidRPr="00D44E3E">
        <w:rPr>
          <w:rFonts w:ascii="Arial Narrow" w:hAnsi="Arial Narrow"/>
          <w:sz w:val="28"/>
          <w:szCs w:val="28"/>
        </w:rPr>
        <w:t>CPLSS</w:t>
      </w:r>
      <w:proofErr w:type="spellEnd"/>
      <w:r w:rsidR="008B62FB" w:rsidRPr="00D44E3E">
        <w:rPr>
          <w:rFonts w:ascii="Arial Narrow" w:hAnsi="Arial Narrow"/>
          <w:sz w:val="28"/>
          <w:szCs w:val="28"/>
        </w:rPr>
        <w:t xml:space="preserve"> y del CL,</w:t>
      </w:r>
      <w:r w:rsidRPr="00D44E3E">
        <w:rPr>
          <w:rFonts w:ascii="Arial Narrow" w:hAnsi="Arial Narrow"/>
          <w:sz w:val="28"/>
          <w:szCs w:val="28"/>
        </w:rPr>
        <w:t xml:space="preserve"> respectivamente. En el caso de marras, es evidente que dicho período de tres años fue ampliamente superado, pues al actor se le notificó la Resolución de reconocimiento pensional el 02 de mayo de 2002, por lo que debió haber reclamado los incrementos pensionales, a más tardar, el 02 de mayo de 2005, pero apenas lo hizo el 30 de noviembre de 2016 –</w:t>
      </w:r>
      <w:proofErr w:type="spellStart"/>
      <w:r w:rsidRPr="00D44E3E">
        <w:rPr>
          <w:rFonts w:ascii="Arial Narrow" w:hAnsi="Arial Narrow"/>
          <w:sz w:val="28"/>
          <w:szCs w:val="28"/>
        </w:rPr>
        <w:t>fl</w:t>
      </w:r>
      <w:proofErr w:type="spellEnd"/>
      <w:r w:rsidRPr="00D44E3E">
        <w:rPr>
          <w:rFonts w:ascii="Arial Narrow" w:hAnsi="Arial Narrow"/>
          <w:sz w:val="28"/>
          <w:szCs w:val="28"/>
        </w:rPr>
        <w:t>. 14-, siendo por tanto evidente que se superó el lapso de tres años y operando, de manera extintiva, el fenómeno de la prescripción, tal como lo dijo la Jueza de primer grado, debiéndose por tanto confirmar tal decisión.</w:t>
      </w:r>
    </w:p>
    <w:p w:rsidR="008B62FB" w:rsidRDefault="008B62FB" w:rsidP="00DA5D26">
      <w:pPr>
        <w:pStyle w:val="Textoindependiente"/>
        <w:spacing w:line="360" w:lineRule="auto"/>
        <w:ind w:firstLine="851"/>
        <w:rPr>
          <w:rFonts w:ascii="Arial Narrow" w:hAnsi="Arial Narrow"/>
          <w:sz w:val="28"/>
          <w:szCs w:val="28"/>
        </w:rPr>
      </w:pPr>
    </w:p>
    <w:p w:rsidR="0094511D" w:rsidRDefault="0094511D" w:rsidP="00DA5D26">
      <w:pPr>
        <w:pStyle w:val="Textoindependiente"/>
        <w:spacing w:line="360" w:lineRule="auto"/>
        <w:ind w:firstLine="851"/>
        <w:rPr>
          <w:rFonts w:ascii="Arial Narrow" w:hAnsi="Arial Narrow"/>
          <w:sz w:val="28"/>
          <w:szCs w:val="28"/>
        </w:rPr>
      </w:pPr>
      <w:r>
        <w:rPr>
          <w:rFonts w:ascii="Arial Narrow" w:hAnsi="Arial Narrow"/>
          <w:sz w:val="28"/>
          <w:szCs w:val="28"/>
        </w:rPr>
        <w:t>Queda en estos términos desatado el grado jurisdiccional de consulta.</w:t>
      </w:r>
    </w:p>
    <w:p w:rsidR="0094511D" w:rsidRDefault="0094511D" w:rsidP="00DA5D26">
      <w:pPr>
        <w:pStyle w:val="Textoindependiente"/>
        <w:spacing w:line="360" w:lineRule="auto"/>
        <w:ind w:firstLine="851"/>
        <w:rPr>
          <w:rFonts w:ascii="Arial Narrow" w:hAnsi="Arial Narrow"/>
          <w:sz w:val="28"/>
          <w:szCs w:val="28"/>
        </w:rPr>
      </w:pPr>
    </w:p>
    <w:p w:rsidR="008B62FB" w:rsidRDefault="0094511D" w:rsidP="00DA5D26">
      <w:pPr>
        <w:pStyle w:val="Textoindependiente"/>
        <w:spacing w:line="360" w:lineRule="auto"/>
        <w:ind w:firstLine="851"/>
        <w:rPr>
          <w:rFonts w:ascii="Arial Narrow" w:hAnsi="Arial Narrow"/>
          <w:sz w:val="28"/>
          <w:szCs w:val="28"/>
        </w:rPr>
      </w:pPr>
      <w:r>
        <w:rPr>
          <w:rFonts w:ascii="Arial Narrow" w:hAnsi="Arial Narrow"/>
          <w:sz w:val="28"/>
          <w:szCs w:val="28"/>
        </w:rPr>
        <w:t>Sin costas en esta instancia.</w:t>
      </w:r>
    </w:p>
    <w:p w:rsidR="008B62FB" w:rsidRDefault="008B62FB" w:rsidP="00DA5D26">
      <w:pPr>
        <w:pStyle w:val="Prrafodelista1"/>
        <w:spacing w:after="0" w:line="360" w:lineRule="auto"/>
        <w:ind w:left="0" w:firstLine="900"/>
        <w:jc w:val="both"/>
        <w:rPr>
          <w:rFonts w:ascii="Arial Narrow" w:hAnsi="Arial Narrow"/>
          <w:sz w:val="28"/>
          <w:szCs w:val="28"/>
        </w:rPr>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0F0BA7" w:rsidRDefault="000F0BA7" w:rsidP="00D45CAC">
      <w:pPr>
        <w:pStyle w:val="Prrafodelista"/>
        <w:numPr>
          <w:ilvl w:val="0"/>
          <w:numId w:val="3"/>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Confirmar </w:t>
      </w:r>
      <w:r w:rsidR="00DA58C1" w:rsidRPr="00C605CD">
        <w:rPr>
          <w:rFonts w:ascii="Arial Narrow" w:hAnsi="Arial Narrow" w:cs="Arial"/>
          <w:sz w:val="28"/>
          <w:szCs w:val="28"/>
        </w:rPr>
        <w:t xml:space="preserve">la sentencia proferida el </w:t>
      </w:r>
      <w:r w:rsidR="000B0685">
        <w:rPr>
          <w:rFonts w:ascii="Arial Narrow" w:hAnsi="Arial Narrow" w:cs="Arial"/>
          <w:sz w:val="28"/>
          <w:szCs w:val="28"/>
        </w:rPr>
        <w:t>21</w:t>
      </w:r>
      <w:r w:rsidR="00DA58C1" w:rsidRPr="00C605CD">
        <w:rPr>
          <w:rFonts w:ascii="Arial Narrow" w:hAnsi="Arial Narrow" w:cs="Arial"/>
          <w:sz w:val="28"/>
          <w:szCs w:val="28"/>
        </w:rPr>
        <w:t xml:space="preserve"> de </w:t>
      </w:r>
      <w:r w:rsidR="000B0685">
        <w:rPr>
          <w:rFonts w:ascii="Arial Narrow" w:hAnsi="Arial Narrow" w:cs="Arial"/>
          <w:sz w:val="28"/>
          <w:szCs w:val="28"/>
        </w:rPr>
        <w:t>septiembre</w:t>
      </w:r>
      <w:r w:rsidR="00AF19D4">
        <w:rPr>
          <w:rFonts w:ascii="Arial Narrow" w:hAnsi="Arial Narrow" w:cs="Arial"/>
          <w:sz w:val="28"/>
          <w:szCs w:val="28"/>
        </w:rPr>
        <w:t xml:space="preserve"> </w:t>
      </w:r>
      <w:r w:rsidR="00DA58C1" w:rsidRPr="00C605CD">
        <w:rPr>
          <w:rFonts w:ascii="Arial Narrow" w:hAnsi="Arial Narrow" w:cs="Arial"/>
          <w:sz w:val="28"/>
          <w:szCs w:val="28"/>
        </w:rPr>
        <w:t>de 201</w:t>
      </w:r>
      <w:r w:rsidR="000B0685">
        <w:rPr>
          <w:rFonts w:ascii="Arial Narrow" w:hAnsi="Arial Narrow" w:cs="Arial"/>
          <w:sz w:val="28"/>
          <w:szCs w:val="28"/>
        </w:rPr>
        <w:t>7</w:t>
      </w:r>
      <w:r w:rsidR="00DA58C1" w:rsidRPr="00C605CD">
        <w:rPr>
          <w:rFonts w:ascii="Arial Narrow" w:hAnsi="Arial Narrow" w:cs="Arial"/>
          <w:sz w:val="28"/>
          <w:szCs w:val="28"/>
        </w:rPr>
        <w:t xml:space="preserve"> por el Juzgado </w:t>
      </w:r>
      <w:r>
        <w:rPr>
          <w:rFonts w:ascii="Arial Narrow" w:hAnsi="Arial Narrow" w:cs="Arial"/>
          <w:sz w:val="28"/>
          <w:szCs w:val="28"/>
        </w:rPr>
        <w:t>Tercero</w:t>
      </w:r>
      <w:r w:rsidR="00DA58C1" w:rsidRPr="00C605CD">
        <w:rPr>
          <w:rFonts w:ascii="Arial Narrow" w:hAnsi="Arial Narrow" w:cs="Arial"/>
          <w:sz w:val="28"/>
          <w:szCs w:val="28"/>
        </w:rPr>
        <w:t xml:space="preserve"> Laboral del Circuito de Pereira, dentro del proceso ordinario laboral </w:t>
      </w:r>
      <w:r>
        <w:rPr>
          <w:rFonts w:ascii="Arial Narrow" w:hAnsi="Arial Narrow" w:cs="Arial"/>
          <w:sz w:val="28"/>
          <w:szCs w:val="28"/>
        </w:rPr>
        <w:t>de la referencia.</w:t>
      </w:r>
    </w:p>
    <w:p w:rsidR="000F0BA7" w:rsidRPr="00C605CD" w:rsidRDefault="000F0BA7" w:rsidP="00B855A0">
      <w:pPr>
        <w:spacing w:line="360" w:lineRule="auto"/>
        <w:jc w:val="both"/>
      </w:pPr>
    </w:p>
    <w:p w:rsidR="00C605CD" w:rsidRPr="00C605CD" w:rsidRDefault="000B0685" w:rsidP="00C605CD">
      <w:pPr>
        <w:pStyle w:val="Prrafodelista"/>
        <w:numPr>
          <w:ilvl w:val="0"/>
          <w:numId w:val="3"/>
        </w:numPr>
        <w:spacing w:line="360" w:lineRule="auto"/>
        <w:jc w:val="both"/>
        <w:rPr>
          <w:rFonts w:ascii="Arial Narrow" w:hAnsi="Arial Narrow" w:cs="Arial"/>
          <w:sz w:val="28"/>
          <w:szCs w:val="28"/>
        </w:rPr>
      </w:pPr>
      <w:r>
        <w:rPr>
          <w:rFonts w:ascii="Arial Narrow" w:hAnsi="Arial Narrow" w:cs="Arial"/>
          <w:sz w:val="28"/>
          <w:szCs w:val="28"/>
        </w:rPr>
        <w:t>Sin c</w:t>
      </w:r>
      <w:r w:rsidR="00C605CD" w:rsidRPr="00C605CD">
        <w:rPr>
          <w:rFonts w:ascii="Arial Narrow" w:hAnsi="Arial Narrow" w:cs="Arial"/>
          <w:sz w:val="28"/>
          <w:szCs w:val="28"/>
        </w:rPr>
        <w:t>ostas en esta instancia</w:t>
      </w:r>
      <w:r>
        <w:rPr>
          <w:rFonts w:ascii="Arial Narrow" w:hAnsi="Arial Narrow" w:cs="Arial"/>
          <w:sz w:val="28"/>
          <w:szCs w:val="28"/>
        </w:rPr>
        <w:t>.</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0F0BA7">
        <w:rPr>
          <w:rFonts w:ascii="Arial Narrow" w:hAnsi="Arial Narrow" w:cs="Microsoft Sans Serif"/>
          <w:b/>
          <w:bCs/>
          <w:iCs/>
          <w:sz w:val="28"/>
          <w:szCs w:val="28"/>
          <w:lang w:val="es-ES"/>
        </w:rPr>
        <w:t xml:space="preserve">OLGA LUCIA HOYOS </w:t>
      </w:r>
      <w:proofErr w:type="spellStart"/>
      <w:r w:rsidR="000F0BA7">
        <w:rPr>
          <w:rFonts w:ascii="Arial Narrow" w:hAnsi="Arial Narrow" w:cs="Microsoft Sans Serif"/>
          <w:b/>
          <w:bCs/>
          <w:iCs/>
          <w:sz w:val="28"/>
          <w:szCs w:val="28"/>
          <w:lang w:val="es-ES"/>
        </w:rPr>
        <w:t>SEPULVEDA</w:t>
      </w:r>
      <w:proofErr w:type="spellEnd"/>
      <w:r w:rsidRPr="00A9242B">
        <w:rPr>
          <w:rFonts w:ascii="Arial Narrow" w:hAnsi="Arial Narrow" w:cs="Microsoft Sans Serif"/>
          <w:sz w:val="28"/>
          <w:szCs w:val="28"/>
          <w:lang w:val="es-ES"/>
        </w:rPr>
        <w:t xml:space="preserve"> </w:t>
      </w:r>
    </w:p>
    <w:p w:rsidR="00DA5D26" w:rsidRPr="00C605CD" w:rsidRDefault="00DA5D26" w:rsidP="000B0685">
      <w:pPr>
        <w:ind w:left="192" w:firstLine="708"/>
        <w:jc w:val="both"/>
        <w:rPr>
          <w:rFonts w:ascii="Arial Narrow" w:hAnsi="Arial Narrow" w:cs="Microsoft Sans Serif"/>
          <w:bCs/>
          <w:iCs/>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sidR="000F0BA7">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sectPr w:rsidR="00DA5D26" w:rsidRPr="00C605CD"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6A" w:rsidRDefault="0070186A" w:rsidP="00DA5D26">
      <w:r>
        <w:separator/>
      </w:r>
    </w:p>
  </w:endnote>
  <w:endnote w:type="continuationSeparator" w:id="0">
    <w:p w:rsidR="0070186A" w:rsidRDefault="0070186A"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66FD">
      <w:rPr>
        <w:rStyle w:val="Nmerodepgina"/>
        <w:noProof/>
      </w:rPr>
      <w:t>9</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6A" w:rsidRDefault="0070186A" w:rsidP="00DA5D26">
      <w:r>
        <w:separator/>
      </w:r>
    </w:p>
  </w:footnote>
  <w:footnote w:type="continuationSeparator" w:id="0">
    <w:p w:rsidR="0070186A" w:rsidRDefault="0070186A"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66E7D">
      <w:rPr>
        <w:rFonts w:ascii="Arial" w:hAnsi="Arial" w:cs="Arial"/>
        <w:bCs/>
        <w:i/>
        <w:sz w:val="16"/>
        <w:szCs w:val="16"/>
      </w:rPr>
      <w:t>3</w:t>
    </w:r>
    <w:r>
      <w:rPr>
        <w:rFonts w:ascii="Arial" w:hAnsi="Arial" w:cs="Arial"/>
        <w:bCs/>
        <w:i/>
        <w:sz w:val="16"/>
        <w:szCs w:val="16"/>
      </w:rPr>
      <w:t>-201</w:t>
    </w:r>
    <w:r w:rsidR="005607D5">
      <w:rPr>
        <w:rFonts w:ascii="Arial" w:hAnsi="Arial" w:cs="Arial"/>
        <w:bCs/>
        <w:i/>
        <w:sz w:val="16"/>
        <w:szCs w:val="16"/>
      </w:rPr>
      <w:t>7</w:t>
    </w:r>
    <w:r>
      <w:rPr>
        <w:rFonts w:ascii="Arial" w:hAnsi="Arial" w:cs="Arial"/>
        <w:bCs/>
        <w:i/>
        <w:sz w:val="16"/>
        <w:szCs w:val="16"/>
      </w:rPr>
      <w:t>-00</w:t>
    </w:r>
    <w:r w:rsidR="005607D5">
      <w:rPr>
        <w:rFonts w:ascii="Arial" w:hAnsi="Arial" w:cs="Arial"/>
        <w:bCs/>
        <w:i/>
        <w:sz w:val="16"/>
        <w:szCs w:val="16"/>
      </w:rPr>
      <w:t>157</w:t>
    </w:r>
    <w:r>
      <w:rPr>
        <w:rFonts w:ascii="Arial" w:hAnsi="Arial" w:cs="Arial"/>
        <w:bCs/>
        <w:i/>
        <w:sz w:val="16"/>
        <w:szCs w:val="16"/>
      </w:rPr>
      <w:t>-01</w:t>
    </w:r>
  </w:p>
  <w:p w:rsidR="00211C21" w:rsidRPr="00BD0CC8" w:rsidRDefault="005607D5" w:rsidP="00211C21">
    <w:pPr>
      <w:jc w:val="both"/>
      <w:rPr>
        <w:rFonts w:ascii="Arial" w:hAnsi="Arial" w:cs="Arial"/>
        <w:bCs/>
        <w:i/>
        <w:iCs/>
        <w:sz w:val="16"/>
        <w:szCs w:val="16"/>
      </w:rPr>
    </w:pPr>
    <w:r>
      <w:rPr>
        <w:rFonts w:ascii="Arial" w:hAnsi="Arial" w:cs="Arial"/>
        <w:bCs/>
        <w:i/>
        <w:sz w:val="16"/>
        <w:szCs w:val="16"/>
      </w:rPr>
      <w:t xml:space="preserve">Aurelio </w:t>
    </w:r>
    <w:proofErr w:type="spellStart"/>
    <w:r>
      <w:rPr>
        <w:rFonts w:ascii="Arial" w:hAnsi="Arial" w:cs="Arial"/>
        <w:bCs/>
        <w:i/>
        <w:sz w:val="16"/>
        <w:szCs w:val="16"/>
      </w:rPr>
      <w:t>Betancurt</w:t>
    </w:r>
    <w:proofErr w:type="spellEnd"/>
    <w:r>
      <w:rPr>
        <w:rFonts w:ascii="Arial" w:hAnsi="Arial" w:cs="Arial"/>
        <w:bCs/>
        <w:i/>
        <w:sz w:val="16"/>
        <w:szCs w:val="16"/>
      </w:rPr>
      <w:t xml:space="preserve"> Arcila</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2976"/>
    <w:rsid w:val="0000634D"/>
    <w:rsid w:val="000578FB"/>
    <w:rsid w:val="00066E7D"/>
    <w:rsid w:val="00090E92"/>
    <w:rsid w:val="000A6EA4"/>
    <w:rsid w:val="000B0685"/>
    <w:rsid w:val="000C6A88"/>
    <w:rsid w:val="000E7F42"/>
    <w:rsid w:val="000F0BA7"/>
    <w:rsid w:val="00120D19"/>
    <w:rsid w:val="00154202"/>
    <w:rsid w:val="00165B76"/>
    <w:rsid w:val="00172834"/>
    <w:rsid w:val="00193B4E"/>
    <w:rsid w:val="001D71C3"/>
    <w:rsid w:val="00211C21"/>
    <w:rsid w:val="002137BE"/>
    <w:rsid w:val="002328BA"/>
    <w:rsid w:val="00242152"/>
    <w:rsid w:val="00283D7F"/>
    <w:rsid w:val="002C4F69"/>
    <w:rsid w:val="00302EB6"/>
    <w:rsid w:val="00311580"/>
    <w:rsid w:val="003609EA"/>
    <w:rsid w:val="00387561"/>
    <w:rsid w:val="004405BF"/>
    <w:rsid w:val="00480570"/>
    <w:rsid w:val="004D01C5"/>
    <w:rsid w:val="00515BDC"/>
    <w:rsid w:val="005245B9"/>
    <w:rsid w:val="00532E74"/>
    <w:rsid w:val="005607D5"/>
    <w:rsid w:val="00563496"/>
    <w:rsid w:val="005F1D1F"/>
    <w:rsid w:val="005F55D2"/>
    <w:rsid w:val="005F5E82"/>
    <w:rsid w:val="006010AF"/>
    <w:rsid w:val="006135E9"/>
    <w:rsid w:val="006666FD"/>
    <w:rsid w:val="00666823"/>
    <w:rsid w:val="006945A9"/>
    <w:rsid w:val="006B40B8"/>
    <w:rsid w:val="006F2FF3"/>
    <w:rsid w:val="0070186A"/>
    <w:rsid w:val="00714593"/>
    <w:rsid w:val="007245D1"/>
    <w:rsid w:val="00765A83"/>
    <w:rsid w:val="00787588"/>
    <w:rsid w:val="00794D39"/>
    <w:rsid w:val="007B5499"/>
    <w:rsid w:val="00840E22"/>
    <w:rsid w:val="0089084F"/>
    <w:rsid w:val="008B62FB"/>
    <w:rsid w:val="008F003B"/>
    <w:rsid w:val="00907A5F"/>
    <w:rsid w:val="00937250"/>
    <w:rsid w:val="00943808"/>
    <w:rsid w:val="0094511D"/>
    <w:rsid w:val="0096710B"/>
    <w:rsid w:val="009E0886"/>
    <w:rsid w:val="00A23CFA"/>
    <w:rsid w:val="00A368C2"/>
    <w:rsid w:val="00A928D2"/>
    <w:rsid w:val="00AB17ED"/>
    <w:rsid w:val="00AB22F5"/>
    <w:rsid w:val="00AB267F"/>
    <w:rsid w:val="00AB37E6"/>
    <w:rsid w:val="00AB73EB"/>
    <w:rsid w:val="00AC72AC"/>
    <w:rsid w:val="00AD0855"/>
    <w:rsid w:val="00AD53E0"/>
    <w:rsid w:val="00AD7B28"/>
    <w:rsid w:val="00AF19D4"/>
    <w:rsid w:val="00B47DEE"/>
    <w:rsid w:val="00B55B27"/>
    <w:rsid w:val="00B56E76"/>
    <w:rsid w:val="00B855A0"/>
    <w:rsid w:val="00BA0C20"/>
    <w:rsid w:val="00BB547D"/>
    <w:rsid w:val="00BB6550"/>
    <w:rsid w:val="00BC22B0"/>
    <w:rsid w:val="00C21964"/>
    <w:rsid w:val="00C51C35"/>
    <w:rsid w:val="00C5555A"/>
    <w:rsid w:val="00C605CD"/>
    <w:rsid w:val="00C84802"/>
    <w:rsid w:val="00CE0D41"/>
    <w:rsid w:val="00CF576A"/>
    <w:rsid w:val="00D44E3E"/>
    <w:rsid w:val="00D45CAC"/>
    <w:rsid w:val="00DA5765"/>
    <w:rsid w:val="00DA58C1"/>
    <w:rsid w:val="00DA5D26"/>
    <w:rsid w:val="00DF30A5"/>
    <w:rsid w:val="00E12EF7"/>
    <w:rsid w:val="00E22C2C"/>
    <w:rsid w:val="00E27B52"/>
    <w:rsid w:val="00E553D1"/>
    <w:rsid w:val="00E55BB9"/>
    <w:rsid w:val="00E73814"/>
    <w:rsid w:val="00E94359"/>
    <w:rsid w:val="00F113D7"/>
    <w:rsid w:val="00F51080"/>
    <w:rsid w:val="00F54D60"/>
    <w:rsid w:val="00F654B1"/>
    <w:rsid w:val="00F65645"/>
    <w:rsid w:val="00FB3A50"/>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5A15-7ECE-4461-B279-4C934D91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2814</Words>
  <Characters>15480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2017-07-12T18:55:00Z</cp:lastPrinted>
  <dcterms:created xsi:type="dcterms:W3CDTF">2018-07-19T16:50:00Z</dcterms:created>
  <dcterms:modified xsi:type="dcterms:W3CDTF">2018-10-01T12:21:00Z</dcterms:modified>
</cp:coreProperties>
</file>