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B9594B">
        <w:rPr>
          <w:rFonts w:ascii="Tahoma" w:hAnsi="Tahoma" w:cs="Tahoma"/>
          <w:b w:val="0"/>
          <w:sz w:val="18"/>
          <w:szCs w:val="18"/>
        </w:rPr>
        <w:t>26</w:t>
      </w:r>
      <w:r w:rsidR="00793A19">
        <w:rPr>
          <w:rFonts w:ascii="Tahoma" w:hAnsi="Tahoma" w:cs="Tahoma"/>
          <w:b w:val="0"/>
          <w:sz w:val="18"/>
          <w:szCs w:val="18"/>
        </w:rPr>
        <w:t xml:space="preserve"> de </w:t>
      </w:r>
      <w:r w:rsidR="00F2605E">
        <w:rPr>
          <w:rFonts w:ascii="Tahoma" w:hAnsi="Tahoma" w:cs="Tahoma"/>
          <w:b w:val="0"/>
          <w:sz w:val="18"/>
          <w:szCs w:val="18"/>
        </w:rPr>
        <w:t>enero de 2018</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F2605E">
        <w:rPr>
          <w:rFonts w:ascii="Tahoma" w:hAnsi="Tahoma" w:cs="Tahoma"/>
          <w:b w:val="0"/>
          <w:sz w:val="18"/>
          <w:szCs w:val="18"/>
        </w:rPr>
        <w:t>4</w:t>
      </w:r>
      <w:r w:rsidRPr="00FF0A79">
        <w:rPr>
          <w:rFonts w:ascii="Tahoma" w:hAnsi="Tahoma" w:cs="Tahoma"/>
          <w:b w:val="0"/>
          <w:sz w:val="18"/>
          <w:szCs w:val="18"/>
        </w:rPr>
        <w:t>-201</w:t>
      </w:r>
      <w:r w:rsidR="00B9594B">
        <w:rPr>
          <w:rFonts w:ascii="Tahoma" w:hAnsi="Tahoma" w:cs="Tahoma"/>
          <w:b w:val="0"/>
          <w:sz w:val="18"/>
          <w:szCs w:val="18"/>
        </w:rPr>
        <w:t>6</w:t>
      </w:r>
      <w:r w:rsidRPr="00FF0A79">
        <w:rPr>
          <w:rFonts w:ascii="Tahoma" w:hAnsi="Tahoma" w:cs="Tahoma"/>
          <w:b w:val="0"/>
          <w:sz w:val="18"/>
          <w:szCs w:val="18"/>
        </w:rPr>
        <w:t>-00</w:t>
      </w:r>
      <w:r w:rsidR="00F2605E">
        <w:rPr>
          <w:rFonts w:ascii="Tahoma" w:hAnsi="Tahoma" w:cs="Tahoma"/>
          <w:b w:val="0"/>
          <w:sz w:val="18"/>
          <w:szCs w:val="18"/>
        </w:rPr>
        <w:t>203</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F2605E">
        <w:rPr>
          <w:rFonts w:ascii="Tahoma" w:hAnsi="Tahoma" w:cs="Tahoma"/>
          <w:b w:val="0"/>
          <w:sz w:val="18"/>
          <w:szCs w:val="18"/>
        </w:rPr>
        <w:t xml:space="preserve">José Guillermo </w:t>
      </w:r>
      <w:proofErr w:type="spellStart"/>
      <w:r w:rsidR="00F2605E">
        <w:rPr>
          <w:rFonts w:ascii="Tahoma" w:hAnsi="Tahoma" w:cs="Tahoma"/>
          <w:b w:val="0"/>
          <w:sz w:val="18"/>
          <w:szCs w:val="18"/>
        </w:rPr>
        <w:t>Aranzazu</w:t>
      </w:r>
      <w:proofErr w:type="spellEnd"/>
      <w:r w:rsidR="00F2605E">
        <w:rPr>
          <w:rFonts w:ascii="Tahoma" w:hAnsi="Tahoma" w:cs="Tahoma"/>
          <w:b w:val="0"/>
          <w:sz w:val="18"/>
          <w:szCs w:val="18"/>
        </w:rPr>
        <w:t xml:space="preserve"> Franco </w:t>
      </w:r>
      <w:r w:rsidR="00B9594B">
        <w:rPr>
          <w:rFonts w:ascii="Tahoma" w:hAnsi="Tahoma" w:cs="Tahoma"/>
          <w:b w:val="0"/>
          <w:sz w:val="18"/>
          <w:szCs w:val="18"/>
        </w:rPr>
        <w:t xml:space="preserve">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5D470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F2605E">
        <w:rPr>
          <w:rFonts w:ascii="Tahoma" w:hAnsi="Tahoma" w:cs="Tahoma"/>
          <w:b w:val="0"/>
          <w:sz w:val="18"/>
          <w:szCs w:val="18"/>
        </w:rPr>
        <w:t xml:space="preserve">Julio César Salazar Muñoz </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F2605E">
        <w:rPr>
          <w:rFonts w:ascii="Tahoma" w:hAnsi="Tahoma" w:cs="Tahoma"/>
          <w:sz w:val="18"/>
          <w:szCs w:val="18"/>
        </w:rPr>
        <w:t>salva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B9594B" w:rsidRPr="00617C65" w:rsidRDefault="00B9594B" w:rsidP="00B9594B">
      <w:pPr>
        <w:pStyle w:val="Puesto"/>
        <w:spacing w:line="240" w:lineRule="auto"/>
        <w:ind w:left="2805"/>
        <w:jc w:val="both"/>
        <w:rPr>
          <w:rFonts w:ascii="Tahoma" w:hAnsi="Tahoma" w:cs="Tahoma"/>
          <w:b w:val="0"/>
          <w:sz w:val="16"/>
          <w:szCs w:val="16"/>
        </w:rPr>
      </w:pPr>
      <w:r w:rsidRPr="00617C65">
        <w:rPr>
          <w:rFonts w:ascii="Tahoma" w:hAnsi="Tahoma" w:cs="Tahoma"/>
          <w:sz w:val="16"/>
          <w:szCs w:val="16"/>
        </w:rPr>
        <w:t>Reconocimiento del retroactivo cuando se reconoce un pensión en aplicación del principio de la condición más beneficiosa</w:t>
      </w:r>
      <w:r w:rsidRPr="00617C65">
        <w:rPr>
          <w:rFonts w:ascii="Tahoma" w:hAnsi="Tahoma" w:cs="Tahoma"/>
          <w:b w:val="0"/>
          <w:sz w:val="16"/>
          <w:szCs w:val="16"/>
        </w:rPr>
        <w:t>:</w:t>
      </w:r>
      <w:r w:rsidRPr="00617C65">
        <w:rPr>
          <w:rFonts w:ascii="Tahoma" w:hAnsi="Tahoma" w:cs="Tahoma"/>
          <w:sz w:val="16"/>
          <w:szCs w:val="16"/>
        </w:rPr>
        <w:t xml:space="preserve"> </w:t>
      </w:r>
      <w:r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B9594B" w:rsidRPr="00FF0A79" w:rsidRDefault="00B9594B" w:rsidP="00B9594B">
      <w:pPr>
        <w:pStyle w:val="Textoindependiente"/>
        <w:ind w:left="2805"/>
        <w:rPr>
          <w:rFonts w:ascii="Tahoma" w:hAnsi="Tahoma" w:cs="Tahoma"/>
          <w:sz w:val="18"/>
          <w:szCs w:val="18"/>
          <w:lang w:val="es-ES"/>
        </w:rPr>
      </w:pPr>
    </w:p>
    <w:p w:rsidR="00B9594B" w:rsidRDefault="00B9594B" w:rsidP="00B9594B">
      <w:pPr>
        <w:rPr>
          <w:lang w:val="es-CO" w:eastAsia="es-MX"/>
        </w:rPr>
      </w:pPr>
    </w:p>
    <w:p w:rsidR="00B9594B" w:rsidRPr="00617C65" w:rsidRDefault="00B9594B" w:rsidP="00B9594B">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SALVAMENTO</w:t>
      </w:r>
      <w:r w:rsidRPr="00617C65">
        <w:rPr>
          <w:rFonts w:ascii="Tahoma" w:hAnsi="Tahoma" w:cs="Tahoma"/>
          <w:bCs/>
          <w:sz w:val="22"/>
          <w:szCs w:val="22"/>
          <w:u w:val="single"/>
        </w:rPr>
        <w:t xml:space="preserve"> DE VOTO</w:t>
      </w:r>
    </w:p>
    <w:p w:rsidR="00B9594B" w:rsidRPr="00617C65" w:rsidRDefault="00B9594B" w:rsidP="00B9594B">
      <w:pPr>
        <w:spacing w:line="276" w:lineRule="auto"/>
        <w:ind w:firstLine="709"/>
        <w:jc w:val="both"/>
        <w:rPr>
          <w:rFonts w:ascii="Tahoma" w:hAnsi="Tahoma" w:cs="Tahoma"/>
          <w:b/>
          <w:bCs/>
          <w:sz w:val="22"/>
          <w:szCs w:val="22"/>
        </w:rPr>
      </w:pPr>
    </w:p>
    <w:p w:rsidR="00B9594B" w:rsidRDefault="00B9594B" w:rsidP="00B9594B">
      <w:pPr>
        <w:ind w:firstLine="708"/>
        <w:jc w:val="both"/>
        <w:rPr>
          <w:rFonts w:ascii="Tahoma" w:hAnsi="Tahoma" w:cs="Tahoma"/>
          <w:sz w:val="22"/>
          <w:szCs w:val="22"/>
        </w:rPr>
      </w:pPr>
      <w:r w:rsidRPr="00D80A68">
        <w:rPr>
          <w:rFonts w:ascii="Tahoma" w:hAnsi="Tahoma" w:cs="Tahoma"/>
          <w:sz w:val="22"/>
          <w:szCs w:val="22"/>
        </w:rPr>
        <w:t>Frente al proyecto mayoritario presentado por la Sala</w:t>
      </w:r>
      <w:r>
        <w:rPr>
          <w:rFonts w:ascii="Tahoma" w:hAnsi="Tahoma" w:cs="Tahoma"/>
          <w:sz w:val="22"/>
          <w:szCs w:val="22"/>
        </w:rPr>
        <w:t>, q</w:t>
      </w:r>
      <w:r w:rsidRPr="00617C65">
        <w:rPr>
          <w:rFonts w:ascii="Tahoma" w:hAnsi="Tahoma" w:cs="Tahoma"/>
          <w:sz w:val="22"/>
          <w:szCs w:val="22"/>
        </w:rPr>
        <w:t>ue negó el retroactivo pensional al actor</w:t>
      </w:r>
      <w:r>
        <w:rPr>
          <w:rFonts w:ascii="Tahoma" w:hAnsi="Tahoma" w:cs="Tahoma"/>
          <w:sz w:val="22"/>
          <w:szCs w:val="22"/>
        </w:rPr>
        <w:t>, m</w:t>
      </w:r>
      <w:r w:rsidRPr="00D80A68">
        <w:rPr>
          <w:rFonts w:ascii="Tahoma" w:hAnsi="Tahoma" w:cs="Tahoma"/>
          <w:sz w:val="22"/>
          <w:szCs w:val="22"/>
        </w:rPr>
        <w:t>anifiesto que disiento del mismo</w:t>
      </w:r>
      <w:r w:rsidRPr="001324C3">
        <w:rPr>
          <w:rFonts w:ascii="Tahoma" w:hAnsi="Tahoma" w:cs="Tahoma"/>
          <w:sz w:val="22"/>
          <w:szCs w:val="22"/>
        </w:rPr>
        <w:t xml:space="preserve"> </w:t>
      </w:r>
      <w:r w:rsidRPr="00D80A68">
        <w:rPr>
          <w:rFonts w:ascii="Tahoma" w:hAnsi="Tahoma" w:cs="Tahoma"/>
          <w:sz w:val="22"/>
          <w:szCs w:val="22"/>
        </w:rPr>
        <w:t xml:space="preserve">por las siguientes razones:   </w:t>
      </w:r>
    </w:p>
    <w:p w:rsidR="00B9594B" w:rsidRDefault="00B9594B" w:rsidP="00B9594B">
      <w:pPr>
        <w:ind w:firstLine="708"/>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 xml:space="preserve">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sidRPr="00617C65">
        <w:rPr>
          <w:rFonts w:ascii="Tahoma" w:hAnsi="Tahoma" w:cs="Tahoma"/>
          <w:sz w:val="22"/>
          <w:szCs w:val="22"/>
        </w:rPr>
        <w:t>causación</w:t>
      </w:r>
      <w:proofErr w:type="spellEnd"/>
      <w:r w:rsidRPr="00617C65">
        <w:rPr>
          <w:rFonts w:ascii="Tahoma" w:hAnsi="Tahoma" w:cs="Tahoma"/>
          <w:sz w:val="22"/>
          <w:szCs w:val="22"/>
        </w:rPr>
        <w:t xml:space="preserve"> de la gracia pensional constituye la reafirmación del derecho que se está declarando, </w:t>
      </w:r>
      <w:r>
        <w:rPr>
          <w:rFonts w:ascii="Tahoma" w:hAnsi="Tahoma" w:cs="Tahoma"/>
          <w:sz w:val="22"/>
          <w:szCs w:val="22"/>
        </w:rPr>
        <w:t xml:space="preserve">consolidando </w:t>
      </w:r>
      <w:r w:rsidRPr="00617C65">
        <w:rPr>
          <w:rFonts w:ascii="Tahoma" w:hAnsi="Tahoma" w:cs="Tahoma"/>
          <w:sz w:val="22"/>
          <w:szCs w:val="22"/>
        </w:rPr>
        <w:t>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Incluso la misma Corte Constitucional en la sentencia SU-442 de 2016</w:t>
      </w:r>
      <w:r w:rsidRPr="00617C65">
        <w:rPr>
          <w:rStyle w:val="Refdenotaalpie"/>
          <w:rFonts w:ascii="Tahoma" w:hAnsi="Tahoma" w:cs="Tahoma"/>
          <w:sz w:val="22"/>
          <w:szCs w:val="22"/>
        </w:rPr>
        <w:footnoteReference w:id="1"/>
      </w:r>
      <w:r w:rsidRPr="00617C65">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w:t>
      </w:r>
      <w:r>
        <w:rPr>
          <w:rFonts w:ascii="Tahoma" w:hAnsi="Tahoma" w:cs="Tahoma"/>
          <w:sz w:val="22"/>
          <w:szCs w:val="22"/>
        </w:rPr>
        <w:t>, más aún cuando el demandante es una persona discapacitada, respecto de quien se debe analizar el asunto con mayor rigor constitucional, a su favor y no en su contra.</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pStyle w:val="Textoindependiente"/>
        <w:ind w:firstLine="709"/>
        <w:rPr>
          <w:rFonts w:ascii="Tahoma" w:hAnsi="Tahoma" w:cs="Tahoma"/>
          <w:sz w:val="22"/>
          <w:szCs w:val="22"/>
          <w:lang w:val="es-ES"/>
        </w:rPr>
      </w:pPr>
      <w:r w:rsidRPr="00617C65">
        <w:rPr>
          <w:rFonts w:ascii="Tahoma" w:hAnsi="Tahoma" w:cs="Tahoma"/>
          <w:sz w:val="22"/>
          <w:szCs w:val="22"/>
          <w:lang w:val="es-ES"/>
        </w:rPr>
        <w:t xml:space="preserve">Con estos breves argumentos sustento mi </w:t>
      </w:r>
      <w:r>
        <w:rPr>
          <w:rFonts w:ascii="Tahoma" w:hAnsi="Tahoma" w:cs="Tahoma"/>
          <w:sz w:val="22"/>
          <w:szCs w:val="22"/>
          <w:lang w:val="es-ES"/>
        </w:rPr>
        <w:t>salvamento</w:t>
      </w:r>
      <w:r w:rsidRPr="00617C65">
        <w:rPr>
          <w:rFonts w:ascii="Tahoma" w:hAnsi="Tahoma" w:cs="Tahoma"/>
          <w:sz w:val="22"/>
          <w:szCs w:val="22"/>
          <w:lang w:val="es-ES"/>
        </w:rPr>
        <w:t xml:space="preserve"> de voto.</w:t>
      </w:r>
    </w:p>
    <w:p w:rsidR="00B9594B" w:rsidRPr="00617C65" w:rsidRDefault="00B9594B" w:rsidP="00B9594B">
      <w:pPr>
        <w:pStyle w:val="Textoindependiente"/>
        <w:autoSpaceDE/>
        <w:autoSpaceDN/>
        <w:adjustRightInd/>
        <w:ind w:firstLine="709"/>
        <w:rPr>
          <w:rFonts w:ascii="Tahoma" w:hAnsi="Tahoma" w:cs="Tahoma"/>
          <w:sz w:val="22"/>
          <w:szCs w:val="22"/>
          <w:lang w:val="es-ES"/>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8F2D96" w:rsidRPr="00A462A2" w:rsidRDefault="00B9594B" w:rsidP="00B9594B">
      <w:pPr>
        <w:pStyle w:val="Ttulo3"/>
        <w:spacing w:line="240" w:lineRule="auto"/>
        <w:ind w:firstLine="709"/>
        <w:rPr>
          <w:rFonts w:ascii="Tahoma" w:hAnsi="Tahoma" w:cs="Tahoma"/>
          <w:sz w:val="22"/>
          <w:szCs w:val="22"/>
        </w:rPr>
      </w:pPr>
      <w:r w:rsidRPr="00617C65">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80" w:rsidRDefault="00174180">
      <w:r>
        <w:separator/>
      </w:r>
    </w:p>
  </w:endnote>
  <w:endnote w:type="continuationSeparator" w:id="0">
    <w:p w:rsidR="00174180" w:rsidRDefault="001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1741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94B">
      <w:rPr>
        <w:rStyle w:val="Nmerodepgina"/>
        <w:noProof/>
      </w:rPr>
      <w:t>2</w:t>
    </w:r>
    <w:r>
      <w:rPr>
        <w:rStyle w:val="Nmerodepgina"/>
      </w:rPr>
      <w:fldChar w:fldCharType="end"/>
    </w:r>
  </w:p>
  <w:p w:rsidR="00F0306B" w:rsidRDefault="00174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80" w:rsidRDefault="00174180">
      <w:r>
        <w:separator/>
      </w:r>
    </w:p>
  </w:footnote>
  <w:footnote w:type="continuationSeparator" w:id="0">
    <w:p w:rsidR="00174180" w:rsidRDefault="00174180">
      <w:r>
        <w:continuationSeparator/>
      </w:r>
    </w:p>
  </w:footnote>
  <w:footnote w:id="1">
    <w:p w:rsidR="00B9594B" w:rsidRPr="0019305B" w:rsidRDefault="00B9594B" w:rsidP="00B9594B">
      <w:pPr>
        <w:pStyle w:val="Textonotapie"/>
        <w:jc w:val="both"/>
        <w:rPr>
          <w:lang w:val="es-CO"/>
        </w:rPr>
      </w:pPr>
      <w:r>
        <w:rPr>
          <w:rStyle w:val="Refdenotaalpie"/>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w:t>
      </w:r>
      <w:bookmarkStart w:id="0" w:name="_GoBack"/>
      <w:bookmarkEnd w:id="0"/>
      <w:r w:rsidRPr="00FA3F1D">
        <w:rPr>
          <w:color w:val="000000"/>
          <w:sz w:val="16"/>
          <w:szCs w:val="16"/>
        </w:rPr>
        <w:t>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A256A"/>
    <w:rsid w:val="000D4908"/>
    <w:rsid w:val="00131AD3"/>
    <w:rsid w:val="00174180"/>
    <w:rsid w:val="001832D1"/>
    <w:rsid w:val="0019305B"/>
    <w:rsid w:val="001C0545"/>
    <w:rsid w:val="00247D00"/>
    <w:rsid w:val="002E530C"/>
    <w:rsid w:val="002E6083"/>
    <w:rsid w:val="00344350"/>
    <w:rsid w:val="00347152"/>
    <w:rsid w:val="00380143"/>
    <w:rsid w:val="003C439A"/>
    <w:rsid w:val="004213A7"/>
    <w:rsid w:val="004625E4"/>
    <w:rsid w:val="004634CD"/>
    <w:rsid w:val="00521F8D"/>
    <w:rsid w:val="0055223C"/>
    <w:rsid w:val="00557355"/>
    <w:rsid w:val="005A51BF"/>
    <w:rsid w:val="005D4707"/>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F0F47"/>
    <w:rsid w:val="00B37A3B"/>
    <w:rsid w:val="00B669BB"/>
    <w:rsid w:val="00B91079"/>
    <w:rsid w:val="00B9594B"/>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2605E"/>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02E1-B373-4F29-9ACB-12DAF9D2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34</cp:revision>
  <cp:lastPrinted>2017-11-01T13:46:00Z</cp:lastPrinted>
  <dcterms:created xsi:type="dcterms:W3CDTF">2017-03-06T19:53:00Z</dcterms:created>
  <dcterms:modified xsi:type="dcterms:W3CDTF">2018-02-05T13:40:00Z</dcterms:modified>
</cp:coreProperties>
</file>