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2940A9" w:rsidRPr="003E7282" w:rsidRDefault="00584CE7" w:rsidP="003E7282">
      <w:p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Calibri" w:hAnsi="Calibri" w:cs="Calibri"/>
          <w:sz w:val="16"/>
          <w:szCs w:val="16"/>
          <w:lang w:val="es-CO" w:eastAsia="fr-FR"/>
        </w:rPr>
      </w:pPr>
      <w:r w:rsidRPr="003E7282">
        <w:rPr>
          <w:rFonts w:ascii="Calibri" w:hAnsi="Calibri" w:cs="Calibri"/>
          <w:sz w:val="16"/>
          <w:szCs w:val="16"/>
          <w:lang w:val="es-CO" w:eastAsia="fr-FR"/>
        </w:rPr>
        <w:t>El contenido total y fiel de la decisión debe ser verificado en la Secretaría de esta Sala. </w:t>
      </w:r>
    </w:p>
    <w:p w:rsidR="002940A9" w:rsidRPr="003E7282" w:rsidRDefault="002940A9" w:rsidP="002940A9">
      <w:pPr>
        <w:rPr>
          <w:rFonts w:ascii="Tahoma" w:hAnsi="Tahoma" w:cs="Tahoma"/>
          <w:b/>
          <w:sz w:val="18"/>
          <w:szCs w:val="18"/>
          <w:lang w:val="es-CO"/>
        </w:rPr>
      </w:pPr>
    </w:p>
    <w:p w:rsidR="003A3BBB" w:rsidRPr="003E7282" w:rsidRDefault="003A3BBB" w:rsidP="003A3BBB">
      <w:pPr>
        <w:pStyle w:val="Puesto"/>
        <w:spacing w:line="240" w:lineRule="auto"/>
        <w:jc w:val="both"/>
        <w:rPr>
          <w:rFonts w:ascii="Tahoma" w:hAnsi="Tahoma" w:cs="Tahoma"/>
          <w:b w:val="0"/>
          <w:sz w:val="18"/>
          <w:szCs w:val="18"/>
        </w:rPr>
      </w:pPr>
      <w:r w:rsidRPr="003E7282">
        <w:rPr>
          <w:rFonts w:ascii="Tahoma" w:hAnsi="Tahoma" w:cs="Tahoma"/>
          <w:sz w:val="18"/>
          <w:szCs w:val="18"/>
        </w:rPr>
        <w:t>Providencia:</w:t>
      </w:r>
      <w:r w:rsidRPr="003E7282">
        <w:rPr>
          <w:rFonts w:ascii="Tahoma" w:hAnsi="Tahoma" w:cs="Tahoma"/>
          <w:b w:val="0"/>
          <w:sz w:val="18"/>
          <w:szCs w:val="18"/>
        </w:rPr>
        <w:t xml:space="preserve"> </w:t>
      </w:r>
      <w:r w:rsidRPr="003E7282">
        <w:rPr>
          <w:rFonts w:ascii="Tahoma" w:hAnsi="Tahoma" w:cs="Tahoma"/>
          <w:b w:val="0"/>
          <w:sz w:val="18"/>
          <w:szCs w:val="18"/>
        </w:rPr>
        <w:tab/>
      </w:r>
      <w:r w:rsidRPr="003E7282">
        <w:rPr>
          <w:rFonts w:ascii="Tahoma" w:hAnsi="Tahoma" w:cs="Tahoma"/>
          <w:b w:val="0"/>
          <w:sz w:val="18"/>
          <w:szCs w:val="18"/>
        </w:rPr>
        <w:tab/>
      </w:r>
      <w:r w:rsidR="008D1134">
        <w:rPr>
          <w:rFonts w:ascii="Tahoma" w:hAnsi="Tahoma" w:cs="Tahoma"/>
          <w:b w:val="0"/>
          <w:sz w:val="18"/>
          <w:szCs w:val="18"/>
        </w:rPr>
        <w:t>16</w:t>
      </w:r>
      <w:r w:rsidR="006B7A96" w:rsidRPr="003E7282">
        <w:rPr>
          <w:rFonts w:ascii="Tahoma" w:hAnsi="Tahoma" w:cs="Tahoma"/>
          <w:b w:val="0"/>
          <w:bCs/>
          <w:sz w:val="18"/>
          <w:szCs w:val="18"/>
        </w:rPr>
        <w:t xml:space="preserve"> de febrero de 2018</w:t>
      </w:r>
      <w:r w:rsidR="002129EF" w:rsidRPr="003E7282">
        <w:rPr>
          <w:rFonts w:ascii="Tahoma" w:hAnsi="Tahoma" w:cs="Tahoma"/>
          <w:b w:val="0"/>
          <w:bCs/>
          <w:sz w:val="18"/>
          <w:szCs w:val="18"/>
        </w:rPr>
        <w:t xml:space="preserve"> </w:t>
      </w:r>
    </w:p>
    <w:p w:rsidR="002940A9" w:rsidRPr="003E7282" w:rsidRDefault="002940A9" w:rsidP="002940A9">
      <w:pPr>
        <w:pStyle w:val="Puesto"/>
        <w:spacing w:line="240" w:lineRule="auto"/>
        <w:jc w:val="both"/>
        <w:rPr>
          <w:rFonts w:ascii="Tahoma" w:hAnsi="Tahoma" w:cs="Tahoma"/>
          <w:b w:val="0"/>
          <w:sz w:val="18"/>
          <w:szCs w:val="18"/>
        </w:rPr>
      </w:pPr>
      <w:r w:rsidRPr="003E7282">
        <w:rPr>
          <w:rFonts w:ascii="Tahoma" w:hAnsi="Tahoma" w:cs="Tahoma"/>
          <w:sz w:val="18"/>
          <w:szCs w:val="18"/>
        </w:rPr>
        <w:t>Proceso:</w:t>
      </w:r>
      <w:r w:rsidRPr="003E7282">
        <w:rPr>
          <w:rFonts w:ascii="Tahoma" w:hAnsi="Tahoma" w:cs="Tahoma"/>
          <w:b w:val="0"/>
          <w:sz w:val="18"/>
          <w:szCs w:val="18"/>
        </w:rPr>
        <w:tab/>
      </w:r>
      <w:r w:rsidRPr="003E7282">
        <w:rPr>
          <w:rFonts w:ascii="Tahoma" w:hAnsi="Tahoma" w:cs="Tahoma"/>
          <w:b w:val="0"/>
          <w:sz w:val="18"/>
          <w:szCs w:val="18"/>
        </w:rPr>
        <w:tab/>
        <w:t xml:space="preserve">Ordinario laboral </w:t>
      </w:r>
    </w:p>
    <w:p w:rsidR="003A3BBB" w:rsidRPr="003E7282" w:rsidRDefault="003A3BBB" w:rsidP="003A3BBB">
      <w:pPr>
        <w:pStyle w:val="Puesto"/>
        <w:spacing w:line="240" w:lineRule="auto"/>
        <w:jc w:val="both"/>
        <w:rPr>
          <w:rFonts w:ascii="Tahoma" w:hAnsi="Tahoma" w:cs="Tahoma"/>
          <w:b w:val="0"/>
          <w:sz w:val="18"/>
          <w:szCs w:val="18"/>
        </w:rPr>
      </w:pPr>
      <w:r w:rsidRPr="003E7282">
        <w:rPr>
          <w:rFonts w:ascii="Tahoma" w:hAnsi="Tahoma" w:cs="Tahoma"/>
          <w:sz w:val="18"/>
          <w:szCs w:val="18"/>
        </w:rPr>
        <w:t>Radicación No.:</w:t>
      </w:r>
      <w:r w:rsidRPr="003E7282">
        <w:rPr>
          <w:rFonts w:ascii="Tahoma" w:hAnsi="Tahoma" w:cs="Tahoma"/>
          <w:b w:val="0"/>
          <w:sz w:val="18"/>
          <w:szCs w:val="18"/>
        </w:rPr>
        <w:tab/>
      </w:r>
      <w:r w:rsidRPr="003E7282">
        <w:rPr>
          <w:rFonts w:ascii="Tahoma" w:hAnsi="Tahoma" w:cs="Tahoma"/>
          <w:b w:val="0"/>
          <w:sz w:val="18"/>
          <w:szCs w:val="18"/>
        </w:rPr>
        <w:tab/>
      </w:r>
      <w:r w:rsidR="00D46FFE" w:rsidRPr="003E7282">
        <w:rPr>
          <w:rFonts w:ascii="Tahoma" w:hAnsi="Tahoma" w:cs="Tahoma"/>
          <w:b w:val="0"/>
          <w:sz w:val="18"/>
          <w:szCs w:val="18"/>
        </w:rPr>
        <w:t>66001-31-05-00</w:t>
      </w:r>
      <w:r w:rsidR="00EC74A3">
        <w:rPr>
          <w:rFonts w:ascii="Tahoma" w:hAnsi="Tahoma" w:cs="Tahoma"/>
          <w:b w:val="0"/>
          <w:sz w:val="18"/>
          <w:szCs w:val="18"/>
        </w:rPr>
        <w:t>5</w:t>
      </w:r>
      <w:r w:rsidR="00D46FFE" w:rsidRPr="003E7282">
        <w:rPr>
          <w:rFonts w:ascii="Tahoma" w:hAnsi="Tahoma" w:cs="Tahoma"/>
          <w:b w:val="0"/>
          <w:sz w:val="18"/>
          <w:szCs w:val="18"/>
        </w:rPr>
        <w:t>-201</w:t>
      </w:r>
      <w:r w:rsidR="00EC74A3">
        <w:rPr>
          <w:rFonts w:ascii="Tahoma" w:hAnsi="Tahoma" w:cs="Tahoma"/>
          <w:b w:val="0"/>
          <w:sz w:val="18"/>
          <w:szCs w:val="18"/>
        </w:rPr>
        <w:t>4</w:t>
      </w:r>
      <w:r w:rsidR="00D46FFE" w:rsidRPr="003E7282">
        <w:rPr>
          <w:rFonts w:ascii="Tahoma" w:hAnsi="Tahoma" w:cs="Tahoma"/>
          <w:b w:val="0"/>
          <w:sz w:val="18"/>
          <w:szCs w:val="18"/>
        </w:rPr>
        <w:t>-00</w:t>
      </w:r>
      <w:r w:rsidR="00EC74A3">
        <w:rPr>
          <w:rFonts w:ascii="Tahoma" w:hAnsi="Tahoma" w:cs="Tahoma"/>
          <w:b w:val="0"/>
          <w:sz w:val="18"/>
          <w:szCs w:val="18"/>
        </w:rPr>
        <w:t>467</w:t>
      </w:r>
      <w:r w:rsidR="00D46FFE" w:rsidRPr="003E7282">
        <w:rPr>
          <w:rFonts w:ascii="Tahoma" w:hAnsi="Tahoma" w:cs="Tahoma"/>
          <w:b w:val="0"/>
          <w:sz w:val="18"/>
          <w:szCs w:val="18"/>
        </w:rPr>
        <w:t>-01</w:t>
      </w:r>
    </w:p>
    <w:p w:rsidR="003A3BBB" w:rsidRPr="003E7282" w:rsidRDefault="003A3BBB" w:rsidP="0057796B">
      <w:pPr>
        <w:pStyle w:val="Puesto"/>
        <w:spacing w:line="240" w:lineRule="auto"/>
        <w:jc w:val="both"/>
        <w:rPr>
          <w:rFonts w:ascii="Tahoma" w:hAnsi="Tahoma" w:cs="Tahoma"/>
          <w:b w:val="0"/>
          <w:sz w:val="18"/>
          <w:szCs w:val="18"/>
        </w:rPr>
      </w:pPr>
      <w:r w:rsidRPr="003E7282">
        <w:rPr>
          <w:rFonts w:ascii="Tahoma" w:hAnsi="Tahoma" w:cs="Tahoma"/>
          <w:sz w:val="18"/>
          <w:szCs w:val="18"/>
        </w:rPr>
        <w:t>Demandante:</w:t>
      </w:r>
      <w:r w:rsidRPr="003E7282">
        <w:rPr>
          <w:rFonts w:ascii="Tahoma" w:hAnsi="Tahoma" w:cs="Tahoma"/>
          <w:b w:val="0"/>
          <w:sz w:val="18"/>
          <w:szCs w:val="18"/>
        </w:rPr>
        <w:tab/>
      </w:r>
      <w:r w:rsidRPr="003E7282">
        <w:rPr>
          <w:rFonts w:ascii="Tahoma" w:hAnsi="Tahoma" w:cs="Tahoma"/>
          <w:b w:val="0"/>
          <w:sz w:val="18"/>
          <w:szCs w:val="18"/>
        </w:rPr>
        <w:tab/>
      </w:r>
      <w:r w:rsidR="00EC74A3">
        <w:rPr>
          <w:rFonts w:ascii="Tahoma" w:hAnsi="Tahoma" w:cs="Tahoma"/>
          <w:b w:val="0"/>
          <w:sz w:val="18"/>
          <w:szCs w:val="18"/>
        </w:rPr>
        <w:t>Adriana Villegas Tabares</w:t>
      </w:r>
    </w:p>
    <w:p w:rsidR="003A3BBB" w:rsidRPr="003E7282" w:rsidRDefault="003A3BBB" w:rsidP="0057796B">
      <w:pPr>
        <w:pStyle w:val="Puesto"/>
        <w:spacing w:line="240" w:lineRule="auto"/>
        <w:ind w:left="708" w:hanging="708"/>
        <w:jc w:val="both"/>
        <w:rPr>
          <w:rFonts w:ascii="Tahoma" w:hAnsi="Tahoma" w:cs="Tahoma"/>
          <w:b w:val="0"/>
          <w:sz w:val="18"/>
          <w:szCs w:val="18"/>
        </w:rPr>
      </w:pPr>
      <w:r w:rsidRPr="003E7282">
        <w:rPr>
          <w:rFonts w:ascii="Tahoma" w:hAnsi="Tahoma" w:cs="Tahoma"/>
          <w:sz w:val="18"/>
          <w:szCs w:val="18"/>
        </w:rPr>
        <w:t>Demandado</w:t>
      </w:r>
      <w:r w:rsidR="00EC74A3">
        <w:rPr>
          <w:rFonts w:ascii="Tahoma" w:hAnsi="Tahoma" w:cs="Tahoma"/>
          <w:sz w:val="18"/>
          <w:szCs w:val="18"/>
        </w:rPr>
        <w:t>s</w:t>
      </w:r>
      <w:r w:rsidRPr="003E7282">
        <w:rPr>
          <w:rFonts w:ascii="Tahoma" w:hAnsi="Tahoma" w:cs="Tahoma"/>
          <w:sz w:val="18"/>
          <w:szCs w:val="18"/>
        </w:rPr>
        <w:t>:</w:t>
      </w:r>
      <w:r w:rsidRPr="003E7282">
        <w:rPr>
          <w:rFonts w:ascii="Tahoma" w:hAnsi="Tahoma" w:cs="Tahoma"/>
          <w:b w:val="0"/>
          <w:sz w:val="18"/>
          <w:szCs w:val="18"/>
        </w:rPr>
        <w:tab/>
      </w:r>
      <w:r w:rsidRPr="003E7282">
        <w:rPr>
          <w:rFonts w:ascii="Tahoma" w:hAnsi="Tahoma" w:cs="Tahoma"/>
          <w:b w:val="0"/>
          <w:sz w:val="18"/>
          <w:szCs w:val="18"/>
        </w:rPr>
        <w:tab/>
      </w:r>
      <w:r w:rsidR="00EC74A3">
        <w:rPr>
          <w:rFonts w:ascii="Tahoma" w:hAnsi="Tahoma" w:cs="Tahoma"/>
          <w:b w:val="0"/>
          <w:sz w:val="18"/>
          <w:szCs w:val="18"/>
        </w:rPr>
        <w:t>Junta Nacional de Calificación de Invalidez</w:t>
      </w:r>
      <w:r w:rsidR="009833DC">
        <w:rPr>
          <w:rFonts w:ascii="Tahoma" w:hAnsi="Tahoma" w:cs="Tahoma"/>
          <w:b w:val="0"/>
          <w:sz w:val="18"/>
          <w:szCs w:val="18"/>
        </w:rPr>
        <w:t xml:space="preserve"> y Protección S.A.</w:t>
      </w:r>
    </w:p>
    <w:p w:rsidR="003A3BBB" w:rsidRPr="003E7282" w:rsidRDefault="003A3BBB" w:rsidP="0057796B">
      <w:pPr>
        <w:pStyle w:val="Puesto"/>
        <w:spacing w:line="240" w:lineRule="auto"/>
        <w:jc w:val="both"/>
        <w:rPr>
          <w:rFonts w:ascii="Tahoma" w:hAnsi="Tahoma" w:cs="Tahoma"/>
          <w:b w:val="0"/>
          <w:sz w:val="18"/>
          <w:szCs w:val="18"/>
        </w:rPr>
      </w:pPr>
      <w:r w:rsidRPr="003E7282">
        <w:rPr>
          <w:rFonts w:ascii="Tahoma" w:hAnsi="Tahoma" w:cs="Tahoma"/>
          <w:sz w:val="18"/>
          <w:szCs w:val="18"/>
        </w:rPr>
        <w:t xml:space="preserve">Juzgado de </w:t>
      </w:r>
      <w:r w:rsidR="004D3091" w:rsidRPr="003E7282">
        <w:rPr>
          <w:rFonts w:ascii="Tahoma" w:hAnsi="Tahoma" w:cs="Tahoma"/>
          <w:sz w:val="18"/>
          <w:szCs w:val="18"/>
        </w:rPr>
        <w:t>origen</w:t>
      </w:r>
      <w:r w:rsidRPr="003E7282">
        <w:rPr>
          <w:rFonts w:ascii="Tahoma" w:hAnsi="Tahoma" w:cs="Tahoma"/>
          <w:sz w:val="18"/>
          <w:szCs w:val="18"/>
        </w:rPr>
        <w:t>:</w:t>
      </w:r>
      <w:r w:rsidRPr="003E7282">
        <w:rPr>
          <w:rFonts w:ascii="Tahoma" w:hAnsi="Tahoma" w:cs="Tahoma"/>
          <w:b w:val="0"/>
          <w:sz w:val="18"/>
          <w:szCs w:val="18"/>
        </w:rPr>
        <w:t xml:space="preserve"> </w:t>
      </w:r>
      <w:r w:rsidRPr="003E7282">
        <w:rPr>
          <w:rFonts w:ascii="Tahoma" w:hAnsi="Tahoma" w:cs="Tahoma"/>
          <w:b w:val="0"/>
          <w:sz w:val="18"/>
          <w:szCs w:val="18"/>
        </w:rPr>
        <w:tab/>
      </w:r>
      <w:r w:rsidR="009833DC">
        <w:rPr>
          <w:rFonts w:ascii="Tahoma" w:hAnsi="Tahoma" w:cs="Tahoma"/>
          <w:b w:val="0"/>
          <w:sz w:val="18"/>
          <w:szCs w:val="18"/>
        </w:rPr>
        <w:t>Quin</w:t>
      </w:r>
      <w:r w:rsidR="009833DC" w:rsidRPr="003E7282">
        <w:rPr>
          <w:rFonts w:ascii="Tahoma" w:hAnsi="Tahoma" w:cs="Tahoma"/>
          <w:b w:val="0"/>
          <w:sz w:val="18"/>
          <w:szCs w:val="18"/>
        </w:rPr>
        <w:t xml:space="preserve">to </w:t>
      </w:r>
      <w:r w:rsidRPr="003E7282">
        <w:rPr>
          <w:rFonts w:ascii="Tahoma" w:hAnsi="Tahoma" w:cs="Tahoma"/>
          <w:b w:val="0"/>
          <w:sz w:val="18"/>
          <w:szCs w:val="18"/>
        </w:rPr>
        <w:t>Laboral del Circuito de Pereira</w:t>
      </w:r>
    </w:p>
    <w:p w:rsidR="003A3BBB" w:rsidRPr="003E7282" w:rsidRDefault="003A3BBB" w:rsidP="0057796B">
      <w:pPr>
        <w:pStyle w:val="Puesto"/>
        <w:spacing w:line="240" w:lineRule="auto"/>
        <w:jc w:val="both"/>
        <w:rPr>
          <w:rFonts w:ascii="Tahoma" w:hAnsi="Tahoma" w:cs="Tahoma"/>
          <w:b w:val="0"/>
          <w:sz w:val="18"/>
          <w:szCs w:val="18"/>
        </w:rPr>
      </w:pPr>
      <w:r w:rsidRPr="003E7282">
        <w:rPr>
          <w:rFonts w:ascii="Tahoma" w:hAnsi="Tahoma" w:cs="Tahoma"/>
          <w:sz w:val="18"/>
          <w:szCs w:val="18"/>
        </w:rPr>
        <w:t>Magistrada ponente:</w:t>
      </w:r>
      <w:r w:rsidRPr="003E7282">
        <w:rPr>
          <w:rFonts w:ascii="Tahoma" w:hAnsi="Tahoma" w:cs="Tahoma"/>
          <w:b w:val="0"/>
          <w:sz w:val="18"/>
          <w:szCs w:val="18"/>
        </w:rPr>
        <w:tab/>
        <w:t>Dra. Ana Lucía Caicedo Calderón</w:t>
      </w:r>
    </w:p>
    <w:p w:rsidR="003A3BBB" w:rsidRPr="003E7282" w:rsidRDefault="003A3BBB" w:rsidP="0057796B">
      <w:pPr>
        <w:pStyle w:val="Puesto"/>
        <w:spacing w:line="240" w:lineRule="auto"/>
        <w:ind w:left="2124" w:hanging="2124"/>
        <w:jc w:val="both"/>
        <w:rPr>
          <w:rFonts w:ascii="Tahoma" w:hAnsi="Tahoma" w:cs="Tahoma"/>
          <w:sz w:val="18"/>
          <w:szCs w:val="18"/>
        </w:rPr>
      </w:pPr>
      <w:r w:rsidRPr="003E7282">
        <w:rPr>
          <w:rFonts w:ascii="Tahoma" w:hAnsi="Tahoma" w:cs="Tahoma"/>
          <w:sz w:val="18"/>
          <w:szCs w:val="18"/>
        </w:rPr>
        <w:t>Tema:</w:t>
      </w:r>
      <w:r w:rsidRPr="003E7282">
        <w:rPr>
          <w:rFonts w:ascii="Tahoma" w:hAnsi="Tahoma" w:cs="Tahoma"/>
          <w:sz w:val="18"/>
          <w:szCs w:val="18"/>
        </w:rPr>
        <w:tab/>
      </w:r>
    </w:p>
    <w:p w:rsidR="00EA7593" w:rsidRPr="002F25EE" w:rsidRDefault="003123E9" w:rsidP="004631FD">
      <w:pPr>
        <w:pStyle w:val="Puesto"/>
        <w:spacing w:line="240" w:lineRule="auto"/>
        <w:ind w:left="2127"/>
        <w:jc w:val="both"/>
        <w:rPr>
          <w:rFonts w:ascii="Tahoma" w:hAnsi="Tahoma" w:cs="Tahoma"/>
          <w:b w:val="0"/>
          <w:sz w:val="18"/>
          <w:szCs w:val="18"/>
        </w:rPr>
      </w:pPr>
      <w:r w:rsidRPr="002F25EE">
        <w:rPr>
          <w:rFonts w:ascii="Tahoma" w:hAnsi="Tahoma" w:cs="Tahoma"/>
          <w:bCs/>
          <w:sz w:val="18"/>
          <w:szCs w:val="18"/>
        </w:rPr>
        <w:t xml:space="preserve">Calificación del estado de invalidez de las personas. Prueba idónea para verificar la fecha de estructuración: </w:t>
      </w:r>
      <w:r w:rsidR="002F25EE" w:rsidRPr="0017162E">
        <w:rPr>
          <w:rFonts w:ascii="Tahoma" w:hAnsi="Tahoma" w:cs="Tahoma"/>
          <w:b w:val="0"/>
          <w:bCs/>
          <w:i/>
          <w:sz w:val="18"/>
          <w:szCs w:val="18"/>
        </w:rPr>
        <w:t>“</w:t>
      </w:r>
      <w:r w:rsidRPr="0017162E">
        <w:rPr>
          <w:rFonts w:ascii="Tahoma" w:hAnsi="Tahoma" w:cs="Tahoma"/>
          <w:b w:val="0"/>
          <w:bCs/>
          <w:i/>
          <w:sz w:val="18"/>
          <w:szCs w:val="18"/>
        </w:rPr>
        <w:t xml:space="preserve">Ante las características tan especiales que posee el dictamen de pérdida de capacidad laboral, es necesario, que en el expediente milite uno nuevo a efectos de verificar, si el que es objeto de debate, estuvo de acuerdo a los parámetros señalados en el decreto 2463 de 2001; siendo dicha prueba necesaria a efectos de que el juez pueda decidir de fondo la petición de nulidad. Frente a que la misma Junta Nacional de Calificación, revise el dictamen emitido por ella, encuentra la Sala que no hay impedimento alguno, puesto que, de conformidad con la resolución No. 004726 del 12 de octubre de 2011, emanada del Ministerio del Trabajo, la Junta Nacional está conformada por cuatro Salas de Decisión, bastando que una de ellas emita la experticia, para que otra la revise, otorgando mejores garantías al afiliado, en torno a la certeza de la </w:t>
      </w:r>
      <w:proofErr w:type="spellStart"/>
      <w:r w:rsidRPr="0017162E">
        <w:rPr>
          <w:rFonts w:ascii="Tahoma" w:hAnsi="Tahoma" w:cs="Tahoma"/>
          <w:b w:val="0"/>
          <w:bCs/>
          <w:i/>
          <w:sz w:val="18"/>
          <w:szCs w:val="18"/>
        </w:rPr>
        <w:t>perdida</w:t>
      </w:r>
      <w:proofErr w:type="spellEnd"/>
      <w:r w:rsidRPr="0017162E">
        <w:rPr>
          <w:rFonts w:ascii="Tahoma" w:hAnsi="Tahoma" w:cs="Tahoma"/>
          <w:b w:val="0"/>
          <w:bCs/>
          <w:i/>
          <w:sz w:val="18"/>
          <w:szCs w:val="18"/>
        </w:rPr>
        <w:t xml:space="preserve"> de capacidad laboral.</w:t>
      </w:r>
      <w:r w:rsidR="002F25EE" w:rsidRPr="0017162E">
        <w:rPr>
          <w:rFonts w:ascii="Tahoma" w:hAnsi="Tahoma" w:cs="Tahoma"/>
          <w:b w:val="0"/>
          <w:bCs/>
          <w:i/>
          <w:sz w:val="18"/>
          <w:szCs w:val="18"/>
        </w:rPr>
        <w:t>”</w:t>
      </w:r>
      <w:r w:rsidR="002F25EE">
        <w:rPr>
          <w:rStyle w:val="Refdenotaalpie"/>
          <w:rFonts w:ascii="Tahoma" w:hAnsi="Tahoma" w:cs="Tahoma"/>
          <w:b w:val="0"/>
          <w:bCs/>
          <w:sz w:val="18"/>
          <w:szCs w:val="18"/>
        </w:rPr>
        <w:footnoteReference w:id="1"/>
      </w:r>
    </w:p>
    <w:p w:rsidR="0057796B" w:rsidRDefault="00124945" w:rsidP="0057796B">
      <w:pPr>
        <w:pStyle w:val="Puesto"/>
        <w:tabs>
          <w:tab w:val="left" w:pos="567"/>
        </w:tabs>
        <w:spacing w:line="240" w:lineRule="auto"/>
        <w:ind w:left="2127" w:hanging="2805"/>
        <w:jc w:val="both"/>
        <w:rPr>
          <w:rFonts w:ascii="Tahoma" w:hAnsi="Tahoma" w:cs="Tahoma"/>
          <w:b w:val="0"/>
          <w:sz w:val="18"/>
          <w:szCs w:val="18"/>
        </w:rPr>
      </w:pPr>
      <w:r>
        <w:rPr>
          <w:rFonts w:ascii="Tahoma" w:hAnsi="Tahoma" w:cs="Tahoma"/>
          <w:b w:val="0"/>
          <w:sz w:val="18"/>
          <w:szCs w:val="18"/>
        </w:rPr>
        <w:t>(…)</w:t>
      </w:r>
    </w:p>
    <w:p w:rsidR="00124945" w:rsidRPr="00124945" w:rsidRDefault="00124945" w:rsidP="00124945">
      <w:pPr>
        <w:pStyle w:val="Puesto"/>
        <w:tabs>
          <w:tab w:val="left" w:pos="567"/>
        </w:tabs>
        <w:ind w:left="2127" w:hanging="2805"/>
        <w:jc w:val="both"/>
        <w:rPr>
          <w:rFonts w:ascii="Tahoma" w:hAnsi="Tahoma" w:cs="Tahoma"/>
          <w:b w:val="0"/>
          <w:sz w:val="18"/>
          <w:szCs w:val="18"/>
        </w:rPr>
      </w:pPr>
      <w:r w:rsidRPr="00124945">
        <w:rPr>
          <w:rFonts w:ascii="Tahoma" w:hAnsi="Tahoma" w:cs="Tahoma"/>
          <w:b w:val="0"/>
          <w:sz w:val="18"/>
          <w:szCs w:val="18"/>
        </w:rPr>
        <w:t>Confrontando el dictamen emitido en el curso del proceso y aquel del cual se pretende la declaración de nulidad (</w:t>
      </w:r>
      <w:proofErr w:type="spellStart"/>
      <w:r w:rsidRPr="00124945">
        <w:rPr>
          <w:rFonts w:ascii="Tahoma" w:hAnsi="Tahoma" w:cs="Tahoma"/>
          <w:b w:val="0"/>
          <w:sz w:val="18"/>
          <w:szCs w:val="18"/>
        </w:rPr>
        <w:t>fl</w:t>
      </w:r>
      <w:proofErr w:type="spellEnd"/>
      <w:r w:rsidRPr="00124945">
        <w:rPr>
          <w:rFonts w:ascii="Tahoma" w:hAnsi="Tahoma" w:cs="Tahoma"/>
          <w:b w:val="0"/>
          <w:sz w:val="18"/>
          <w:szCs w:val="18"/>
        </w:rPr>
        <w:t xml:space="preserve">. 33 s.s.), se advierte que a pesar de que fueron emitidos por distintas Sala de la </w:t>
      </w:r>
      <w:proofErr w:type="spellStart"/>
      <w:r w:rsidRPr="00124945">
        <w:rPr>
          <w:rFonts w:ascii="Tahoma" w:hAnsi="Tahoma" w:cs="Tahoma"/>
          <w:b w:val="0"/>
          <w:sz w:val="18"/>
          <w:szCs w:val="18"/>
        </w:rPr>
        <w:t>JNCI</w:t>
      </w:r>
      <w:proofErr w:type="spellEnd"/>
      <w:r w:rsidRPr="00124945">
        <w:rPr>
          <w:rFonts w:ascii="Tahoma" w:hAnsi="Tahoma" w:cs="Tahoma"/>
          <w:b w:val="0"/>
          <w:sz w:val="18"/>
          <w:szCs w:val="18"/>
        </w:rPr>
        <w:t>, su contenido guarda coherencia en cuanto al estudio m</w:t>
      </w:r>
      <w:bookmarkStart w:id="0" w:name="_GoBack"/>
      <w:bookmarkEnd w:id="0"/>
      <w:r w:rsidRPr="00124945">
        <w:rPr>
          <w:rFonts w:ascii="Tahoma" w:hAnsi="Tahoma" w:cs="Tahoma"/>
          <w:b w:val="0"/>
          <w:sz w:val="18"/>
          <w:szCs w:val="18"/>
        </w:rPr>
        <w:t>esurado que se hizo al proceso clínico de la señora Adriana Villegas y de las secuelas que han dejados sus enfermedades; ambas difieren sustancialmente del dictamen emitido por la Junta Regional de Calificación de Risaralda, el 27 de febrero de 2012, que otorgó una pérdida de capacidad laboral del 52,90%, fundando la diferencia, básicamente  en una correcta valoración del porcentaje que emerge del conjunto de enfermedades y la disminución de las mismas,</w:t>
      </w:r>
    </w:p>
    <w:p w:rsidR="00124945" w:rsidRPr="00124945" w:rsidRDefault="00124945" w:rsidP="00124945">
      <w:pPr>
        <w:pStyle w:val="Puesto"/>
        <w:tabs>
          <w:tab w:val="left" w:pos="567"/>
        </w:tabs>
        <w:ind w:left="2127" w:hanging="2805"/>
        <w:jc w:val="both"/>
        <w:rPr>
          <w:rFonts w:ascii="Tahoma" w:hAnsi="Tahoma" w:cs="Tahoma"/>
          <w:b w:val="0"/>
          <w:sz w:val="18"/>
          <w:szCs w:val="18"/>
        </w:rPr>
      </w:pPr>
    </w:p>
    <w:p w:rsidR="003123E9" w:rsidRDefault="00124945" w:rsidP="00124945">
      <w:pPr>
        <w:pStyle w:val="Puesto"/>
        <w:tabs>
          <w:tab w:val="left" w:pos="567"/>
        </w:tabs>
        <w:spacing w:line="240" w:lineRule="auto"/>
        <w:ind w:left="2127" w:hanging="2805"/>
        <w:jc w:val="both"/>
        <w:rPr>
          <w:rFonts w:ascii="Tahoma" w:hAnsi="Tahoma" w:cs="Tahoma"/>
          <w:b w:val="0"/>
          <w:sz w:val="18"/>
          <w:szCs w:val="18"/>
        </w:rPr>
      </w:pPr>
      <w:r w:rsidRPr="00124945">
        <w:rPr>
          <w:rFonts w:ascii="Tahoma" w:hAnsi="Tahoma" w:cs="Tahoma"/>
          <w:b w:val="0"/>
          <w:sz w:val="18"/>
          <w:szCs w:val="18"/>
        </w:rPr>
        <w:t>Así las cosas, debe indicar esta Colegiatura que el dictamen emitido por la Junta Nacional de Calificación de Invalidez el 3 de octubre de 2013, se realizó en el marco del Decreto 2463 de 2001, sin que los fundamentos de hecho y derecho, ofrezcan reparo alguno, para concluir que la demandante no supera el 50% de pérdida de capacidad laboral que, eventualmente, le daría derecho a percibir la pensión de invalidez que reclama; concluyéndose además que el dictamen emitido en curso del proceso  es soporte valido para definir la contienda, máxime cuando allí se pone de presente un conjunto de causas o dolencias, que no permiten descontextualizarla al momento de determinar el porcentaje de pérdida de capacidad laboral.</w:t>
      </w:r>
    </w:p>
    <w:p w:rsidR="003123E9" w:rsidRPr="00A96368" w:rsidRDefault="003123E9" w:rsidP="003123E9">
      <w:pPr>
        <w:spacing w:line="360" w:lineRule="auto"/>
        <w:jc w:val="both"/>
        <w:rPr>
          <w:rFonts w:ascii="Arial Narrow" w:hAnsi="Arial Narrow" w:cs="Arial"/>
          <w:b/>
          <w:i/>
          <w:sz w:val="22"/>
          <w:szCs w:val="22"/>
        </w:rPr>
      </w:pPr>
    </w:p>
    <w:p w:rsidR="003123E9" w:rsidRPr="003E7282" w:rsidRDefault="003123E9" w:rsidP="0057796B">
      <w:pPr>
        <w:pStyle w:val="Puesto"/>
        <w:tabs>
          <w:tab w:val="left" w:pos="567"/>
        </w:tabs>
        <w:spacing w:line="240" w:lineRule="auto"/>
        <w:ind w:left="2127" w:hanging="2805"/>
        <w:jc w:val="both"/>
        <w:rPr>
          <w:rFonts w:ascii="Tahoma" w:hAnsi="Tahoma" w:cs="Tahoma"/>
          <w:b w:val="0"/>
          <w:sz w:val="18"/>
          <w:szCs w:val="18"/>
        </w:rPr>
      </w:pPr>
    </w:p>
    <w:p w:rsidR="003A3BBB" w:rsidRPr="003E7282" w:rsidRDefault="003A3BBB" w:rsidP="00803464">
      <w:pPr>
        <w:pStyle w:val="Ttulo4"/>
        <w:widowControl w:val="0"/>
        <w:tabs>
          <w:tab w:val="clear" w:pos="0"/>
        </w:tabs>
        <w:rPr>
          <w:rFonts w:ascii="Tahoma" w:hAnsi="Tahoma" w:cs="Tahoma"/>
          <w:bCs/>
          <w:szCs w:val="24"/>
          <w:lang w:eastAsia="es-MX"/>
        </w:rPr>
      </w:pPr>
      <w:r w:rsidRPr="003E7282">
        <w:rPr>
          <w:rFonts w:ascii="Tahoma" w:hAnsi="Tahoma" w:cs="Tahoma"/>
          <w:bCs/>
          <w:szCs w:val="24"/>
          <w:lang w:eastAsia="es-MX"/>
        </w:rPr>
        <w:t>TRIBUNAL SUPERIOR DEL DISTRITO JUDICIAL DE PEREIRA</w:t>
      </w:r>
    </w:p>
    <w:p w:rsidR="003A3BBB" w:rsidRPr="003E7282" w:rsidRDefault="003A3BBB" w:rsidP="00803464">
      <w:pPr>
        <w:pStyle w:val="Ttulo4"/>
        <w:widowControl w:val="0"/>
        <w:tabs>
          <w:tab w:val="clear" w:pos="0"/>
        </w:tabs>
        <w:rPr>
          <w:rFonts w:ascii="Tahoma" w:hAnsi="Tahoma" w:cs="Tahoma"/>
          <w:bCs/>
          <w:szCs w:val="24"/>
          <w:lang w:eastAsia="es-MX"/>
        </w:rPr>
      </w:pPr>
      <w:r w:rsidRPr="003E7282">
        <w:rPr>
          <w:rFonts w:ascii="Tahoma" w:hAnsi="Tahoma" w:cs="Tahoma"/>
          <w:bCs/>
          <w:szCs w:val="24"/>
          <w:lang w:eastAsia="es-MX"/>
        </w:rPr>
        <w:t>SALA</w:t>
      </w:r>
      <w:r w:rsidR="00666B78" w:rsidRPr="003E7282">
        <w:rPr>
          <w:rFonts w:ascii="Tahoma" w:hAnsi="Tahoma" w:cs="Tahoma"/>
          <w:bCs/>
          <w:szCs w:val="24"/>
          <w:lang w:eastAsia="es-MX"/>
        </w:rPr>
        <w:t xml:space="preserve"> DE DECISIÓN</w:t>
      </w:r>
      <w:r w:rsidRPr="003E7282">
        <w:rPr>
          <w:rFonts w:ascii="Tahoma" w:hAnsi="Tahoma" w:cs="Tahoma"/>
          <w:bCs/>
          <w:szCs w:val="24"/>
          <w:lang w:eastAsia="es-MX"/>
        </w:rPr>
        <w:t xml:space="preserve"> LABORAL</w:t>
      </w:r>
      <w:r w:rsidR="00666B78" w:rsidRPr="003E7282">
        <w:rPr>
          <w:rFonts w:ascii="Tahoma" w:hAnsi="Tahoma" w:cs="Tahoma"/>
          <w:bCs/>
          <w:szCs w:val="24"/>
          <w:lang w:eastAsia="es-MX"/>
        </w:rPr>
        <w:t xml:space="preserve"> No. 1</w:t>
      </w:r>
    </w:p>
    <w:p w:rsidR="003A3BBB" w:rsidRPr="003E7282" w:rsidRDefault="003A3BBB" w:rsidP="00803464">
      <w:pPr>
        <w:jc w:val="center"/>
        <w:rPr>
          <w:rFonts w:ascii="Tahoma" w:hAnsi="Tahoma" w:cs="Tahoma"/>
          <w:bCs/>
        </w:rPr>
      </w:pPr>
    </w:p>
    <w:p w:rsidR="003A3BBB" w:rsidRPr="003E7282" w:rsidRDefault="003A3BBB" w:rsidP="00803464">
      <w:pPr>
        <w:jc w:val="center"/>
        <w:rPr>
          <w:rFonts w:ascii="Tahoma" w:hAnsi="Tahoma" w:cs="Tahoma"/>
          <w:b/>
          <w:bCs/>
          <w:sz w:val="22"/>
          <w:szCs w:val="22"/>
        </w:rPr>
      </w:pPr>
      <w:r w:rsidRPr="003E7282">
        <w:rPr>
          <w:rFonts w:ascii="Tahoma" w:hAnsi="Tahoma" w:cs="Tahoma"/>
          <w:bCs/>
          <w:sz w:val="22"/>
          <w:szCs w:val="22"/>
        </w:rPr>
        <w:t>Magistrada ponente:</w:t>
      </w:r>
      <w:r w:rsidRPr="003E7282">
        <w:rPr>
          <w:rFonts w:ascii="Tahoma" w:hAnsi="Tahoma" w:cs="Tahoma"/>
          <w:b/>
          <w:bCs/>
          <w:sz w:val="22"/>
          <w:szCs w:val="22"/>
        </w:rPr>
        <w:t xml:space="preserve"> Ana Lucía Caicedo Calderón</w:t>
      </w:r>
    </w:p>
    <w:p w:rsidR="003A3BBB" w:rsidRPr="003E7282" w:rsidRDefault="003A3BBB" w:rsidP="00803464">
      <w:pPr>
        <w:jc w:val="center"/>
        <w:rPr>
          <w:rFonts w:ascii="Tahoma" w:hAnsi="Tahoma" w:cs="Tahoma"/>
          <w:b/>
          <w:sz w:val="22"/>
          <w:szCs w:val="22"/>
        </w:rPr>
      </w:pPr>
    </w:p>
    <w:p w:rsidR="003A3BBB" w:rsidRPr="003E7282" w:rsidRDefault="003A3BBB" w:rsidP="00803464">
      <w:pPr>
        <w:jc w:val="center"/>
        <w:rPr>
          <w:rFonts w:ascii="Tahoma" w:hAnsi="Tahoma" w:cs="Tahoma"/>
          <w:b/>
          <w:sz w:val="22"/>
          <w:szCs w:val="22"/>
        </w:rPr>
      </w:pPr>
      <w:r w:rsidRPr="003E7282">
        <w:rPr>
          <w:rFonts w:ascii="Tahoma" w:hAnsi="Tahoma" w:cs="Tahoma"/>
          <w:b/>
          <w:sz w:val="22"/>
          <w:szCs w:val="22"/>
        </w:rPr>
        <w:t>Acta No. ____</w:t>
      </w:r>
    </w:p>
    <w:p w:rsidR="003A3BBB" w:rsidRPr="003E7282" w:rsidRDefault="003A3BBB" w:rsidP="00803464">
      <w:pPr>
        <w:pStyle w:val="Sinespaciado"/>
        <w:rPr>
          <w:sz w:val="22"/>
          <w:szCs w:val="22"/>
        </w:rPr>
      </w:pPr>
    </w:p>
    <w:p w:rsidR="003A3BBB" w:rsidRPr="003E7282" w:rsidRDefault="003A3BBB" w:rsidP="00803464">
      <w:pPr>
        <w:pStyle w:val="Ttulo5"/>
        <w:spacing w:line="240" w:lineRule="auto"/>
        <w:ind w:firstLine="0"/>
        <w:jc w:val="center"/>
        <w:rPr>
          <w:rFonts w:ascii="Tahoma" w:hAnsi="Tahoma" w:cs="Tahoma"/>
          <w:sz w:val="22"/>
          <w:szCs w:val="22"/>
        </w:rPr>
      </w:pPr>
      <w:r w:rsidRPr="003E7282">
        <w:rPr>
          <w:rFonts w:ascii="Tahoma" w:hAnsi="Tahoma" w:cs="Tahoma"/>
          <w:sz w:val="22"/>
          <w:szCs w:val="22"/>
        </w:rPr>
        <w:t>Sistema oral - Audiencia de juzgamiento</w:t>
      </w:r>
    </w:p>
    <w:p w:rsidR="003A3BBB" w:rsidRPr="003E7282" w:rsidRDefault="003A3BBB" w:rsidP="0081288D">
      <w:pPr>
        <w:pStyle w:val="Sinespaciado"/>
        <w:rPr>
          <w:sz w:val="22"/>
          <w:szCs w:val="22"/>
        </w:rPr>
      </w:pPr>
      <w:r w:rsidRPr="003E7282">
        <w:rPr>
          <w:sz w:val="22"/>
          <w:szCs w:val="22"/>
        </w:rPr>
        <w:tab/>
      </w:r>
      <w:r w:rsidR="004052FE" w:rsidRPr="003E7282">
        <w:rPr>
          <w:sz w:val="22"/>
          <w:szCs w:val="22"/>
        </w:rPr>
        <w:t xml:space="preserve"> </w:t>
      </w:r>
    </w:p>
    <w:p w:rsidR="003A3BBB" w:rsidRPr="005548B1" w:rsidRDefault="003A3BBB" w:rsidP="00AB5C0F">
      <w:pPr>
        <w:spacing w:line="276" w:lineRule="auto"/>
        <w:ind w:firstLine="708"/>
        <w:jc w:val="both"/>
        <w:rPr>
          <w:rFonts w:ascii="Tahoma" w:hAnsi="Tahoma" w:cs="Tahoma"/>
          <w:b/>
          <w:sz w:val="22"/>
          <w:szCs w:val="22"/>
          <w:lang w:val="es-ES_tradnl"/>
        </w:rPr>
      </w:pPr>
      <w:r w:rsidRPr="003E7282">
        <w:rPr>
          <w:rFonts w:ascii="Tahoma" w:hAnsi="Tahoma" w:cs="Tahoma"/>
          <w:sz w:val="22"/>
          <w:szCs w:val="22"/>
          <w:lang w:val="es-ES_tradnl"/>
        </w:rPr>
        <w:t xml:space="preserve">Siendo las </w:t>
      </w:r>
      <w:r w:rsidR="009D04AF">
        <w:rPr>
          <w:rFonts w:ascii="Tahoma" w:hAnsi="Tahoma" w:cs="Tahoma"/>
          <w:sz w:val="22"/>
          <w:szCs w:val="22"/>
          <w:lang w:val="es-ES_tradnl"/>
        </w:rPr>
        <w:t>9</w:t>
      </w:r>
      <w:r w:rsidR="00E63A40" w:rsidRPr="003E7282">
        <w:rPr>
          <w:rFonts w:ascii="Tahoma" w:hAnsi="Tahoma" w:cs="Tahoma"/>
          <w:sz w:val="22"/>
          <w:szCs w:val="22"/>
          <w:lang w:val="es-ES_tradnl"/>
        </w:rPr>
        <w:t>:</w:t>
      </w:r>
      <w:r w:rsidR="009D04AF">
        <w:rPr>
          <w:rFonts w:ascii="Tahoma" w:hAnsi="Tahoma" w:cs="Tahoma"/>
          <w:sz w:val="22"/>
          <w:szCs w:val="22"/>
          <w:lang w:val="es-ES_tradnl"/>
        </w:rPr>
        <w:t>40</w:t>
      </w:r>
      <w:r w:rsidR="00E63A40" w:rsidRPr="003E7282">
        <w:rPr>
          <w:rFonts w:ascii="Tahoma" w:hAnsi="Tahoma" w:cs="Tahoma"/>
          <w:sz w:val="22"/>
          <w:szCs w:val="22"/>
          <w:lang w:val="es-ES_tradnl"/>
        </w:rPr>
        <w:t xml:space="preserve"> a</w:t>
      </w:r>
      <w:r w:rsidR="0042768E" w:rsidRPr="003E7282">
        <w:rPr>
          <w:rFonts w:ascii="Tahoma" w:hAnsi="Tahoma" w:cs="Tahoma"/>
          <w:sz w:val="22"/>
          <w:szCs w:val="22"/>
          <w:lang w:val="es-ES_tradnl"/>
        </w:rPr>
        <w:t>.m. de hoy,</w:t>
      </w:r>
      <w:r w:rsidR="00F206D8" w:rsidRPr="003E7282">
        <w:rPr>
          <w:rFonts w:ascii="Tahoma" w:hAnsi="Tahoma" w:cs="Tahoma"/>
          <w:sz w:val="22"/>
          <w:szCs w:val="22"/>
          <w:lang w:val="es-ES_tradnl"/>
        </w:rPr>
        <w:t xml:space="preserve"> viernes</w:t>
      </w:r>
      <w:r w:rsidR="0042768E" w:rsidRPr="003E7282">
        <w:rPr>
          <w:rFonts w:ascii="Tahoma" w:hAnsi="Tahoma" w:cs="Tahoma"/>
          <w:sz w:val="22"/>
          <w:szCs w:val="22"/>
          <w:lang w:val="es-ES_tradnl"/>
        </w:rPr>
        <w:t xml:space="preserve"> </w:t>
      </w:r>
      <w:r w:rsidR="008D1134">
        <w:rPr>
          <w:rFonts w:ascii="Tahoma" w:hAnsi="Tahoma" w:cs="Tahoma"/>
          <w:sz w:val="22"/>
          <w:szCs w:val="22"/>
          <w:lang w:val="es-ES_tradnl"/>
        </w:rPr>
        <w:t>16</w:t>
      </w:r>
      <w:r w:rsidR="00BA650E" w:rsidRPr="003E7282">
        <w:rPr>
          <w:rFonts w:ascii="Tahoma" w:hAnsi="Tahoma" w:cs="Tahoma"/>
          <w:sz w:val="22"/>
          <w:szCs w:val="22"/>
          <w:lang w:val="es-ES_tradnl"/>
        </w:rPr>
        <w:t xml:space="preserve"> de febrero </w:t>
      </w:r>
      <w:r w:rsidR="00AC6676" w:rsidRPr="003E7282">
        <w:rPr>
          <w:rFonts w:ascii="Tahoma" w:hAnsi="Tahoma" w:cs="Tahoma"/>
          <w:sz w:val="22"/>
          <w:szCs w:val="22"/>
          <w:lang w:val="es-ES_tradnl"/>
        </w:rPr>
        <w:t xml:space="preserve"> </w:t>
      </w:r>
      <w:r w:rsidR="00F206D8" w:rsidRPr="003E7282">
        <w:rPr>
          <w:rFonts w:ascii="Tahoma" w:hAnsi="Tahoma" w:cs="Tahoma"/>
          <w:sz w:val="22"/>
          <w:szCs w:val="22"/>
          <w:lang w:val="es-ES_tradnl"/>
        </w:rPr>
        <w:t>de 201</w:t>
      </w:r>
      <w:r w:rsidR="00BA650E" w:rsidRPr="003E7282">
        <w:rPr>
          <w:rFonts w:ascii="Tahoma" w:hAnsi="Tahoma" w:cs="Tahoma"/>
          <w:sz w:val="22"/>
          <w:szCs w:val="22"/>
          <w:lang w:val="es-ES_tradnl"/>
        </w:rPr>
        <w:t>8</w:t>
      </w:r>
      <w:r w:rsidRPr="003E7282">
        <w:rPr>
          <w:rFonts w:ascii="Tahoma" w:hAnsi="Tahoma" w:cs="Tahoma"/>
          <w:sz w:val="22"/>
          <w:szCs w:val="22"/>
          <w:lang w:val="es-ES_tradnl"/>
        </w:rPr>
        <w:t xml:space="preserve">, la Sala de Decisión Laboral </w:t>
      </w:r>
      <w:r w:rsidR="00EA7593" w:rsidRPr="003E7282">
        <w:rPr>
          <w:rFonts w:ascii="Tahoma" w:hAnsi="Tahoma" w:cs="Tahoma"/>
          <w:sz w:val="22"/>
          <w:szCs w:val="22"/>
          <w:lang w:val="es-ES_tradnl"/>
        </w:rPr>
        <w:t xml:space="preserve">No. 1 </w:t>
      </w:r>
      <w:r w:rsidRPr="003E7282">
        <w:rPr>
          <w:rFonts w:ascii="Tahoma" w:hAnsi="Tahoma" w:cs="Tahoma"/>
          <w:sz w:val="22"/>
          <w:szCs w:val="22"/>
          <w:lang w:val="es-ES_tradnl"/>
        </w:rPr>
        <w:t xml:space="preserve">del Tribunal Superior de Pereira se constituye en audiencia pública de juzgamiento en el proceso ordinario laboral instaurado por </w:t>
      </w:r>
      <w:r w:rsidR="00F85804" w:rsidRPr="003E7282">
        <w:rPr>
          <w:rFonts w:ascii="Tahoma" w:hAnsi="Tahoma" w:cs="Tahoma"/>
          <w:sz w:val="22"/>
          <w:szCs w:val="22"/>
          <w:lang w:val="es-ES_tradnl"/>
        </w:rPr>
        <w:t xml:space="preserve">la </w:t>
      </w:r>
      <w:r w:rsidR="00BA650E" w:rsidRPr="003E7282">
        <w:rPr>
          <w:rFonts w:ascii="Tahoma" w:hAnsi="Tahoma" w:cs="Tahoma"/>
          <w:sz w:val="22"/>
          <w:szCs w:val="22"/>
          <w:lang w:val="es-ES_tradnl"/>
        </w:rPr>
        <w:t>señor</w:t>
      </w:r>
      <w:r w:rsidR="00F85804" w:rsidRPr="003E7282">
        <w:rPr>
          <w:rFonts w:ascii="Tahoma" w:hAnsi="Tahoma" w:cs="Tahoma"/>
          <w:sz w:val="22"/>
          <w:szCs w:val="22"/>
          <w:lang w:val="es-ES_tradnl"/>
        </w:rPr>
        <w:t>a</w:t>
      </w:r>
      <w:r w:rsidR="00BA650E" w:rsidRPr="003E7282">
        <w:rPr>
          <w:rFonts w:ascii="Tahoma" w:hAnsi="Tahoma" w:cs="Tahoma"/>
          <w:sz w:val="22"/>
          <w:szCs w:val="22"/>
          <w:lang w:val="es-ES_tradnl"/>
        </w:rPr>
        <w:t xml:space="preserve"> </w:t>
      </w:r>
      <w:r w:rsidR="009D04AF">
        <w:rPr>
          <w:rFonts w:ascii="Tahoma" w:hAnsi="Tahoma" w:cs="Tahoma"/>
          <w:b/>
          <w:sz w:val="22"/>
          <w:szCs w:val="22"/>
          <w:lang w:val="es-ES_tradnl"/>
        </w:rPr>
        <w:t>Adriana Villegas Tabares</w:t>
      </w:r>
      <w:r w:rsidR="009D04AF" w:rsidRPr="003E7282">
        <w:rPr>
          <w:rFonts w:ascii="Tahoma" w:hAnsi="Tahoma" w:cs="Tahoma"/>
          <w:b/>
          <w:sz w:val="22"/>
          <w:szCs w:val="22"/>
          <w:lang w:val="es-ES_tradnl"/>
        </w:rPr>
        <w:t xml:space="preserve"> </w:t>
      </w:r>
      <w:r w:rsidRPr="003E7282">
        <w:rPr>
          <w:rFonts w:ascii="Tahoma" w:hAnsi="Tahoma" w:cs="Tahoma"/>
          <w:sz w:val="22"/>
          <w:szCs w:val="22"/>
          <w:lang w:val="es-ES_tradnl"/>
        </w:rPr>
        <w:t xml:space="preserve">en contra de la </w:t>
      </w:r>
      <w:r w:rsidR="00EF75A3" w:rsidRPr="00EF75A3">
        <w:rPr>
          <w:rFonts w:ascii="Tahoma" w:hAnsi="Tahoma" w:cs="Tahoma"/>
          <w:b/>
          <w:sz w:val="22"/>
          <w:szCs w:val="22"/>
          <w:lang w:val="es-ES_tradnl"/>
        </w:rPr>
        <w:t>Junta Nacional de Calificación de Invalidez</w:t>
      </w:r>
      <w:r w:rsidR="00EF75A3">
        <w:rPr>
          <w:rFonts w:ascii="Tahoma" w:hAnsi="Tahoma" w:cs="Tahoma"/>
          <w:sz w:val="22"/>
          <w:szCs w:val="22"/>
          <w:lang w:val="es-ES_tradnl"/>
        </w:rPr>
        <w:t xml:space="preserve"> y la </w:t>
      </w:r>
      <w:r w:rsidR="00EF75A3" w:rsidRPr="00EF75A3">
        <w:rPr>
          <w:rFonts w:ascii="Tahoma" w:hAnsi="Tahoma" w:cs="Tahoma"/>
          <w:b/>
          <w:sz w:val="22"/>
          <w:szCs w:val="22"/>
          <w:lang w:val="es-ES_tradnl"/>
        </w:rPr>
        <w:t>AFP Protección</w:t>
      </w:r>
      <w:r w:rsidR="005548B1">
        <w:rPr>
          <w:rFonts w:ascii="Tahoma" w:hAnsi="Tahoma" w:cs="Tahoma"/>
          <w:sz w:val="22"/>
          <w:szCs w:val="22"/>
          <w:lang w:val="es-ES_tradnl"/>
        </w:rPr>
        <w:t xml:space="preserve">; proceso al que fue llamada en garantía la sociedad </w:t>
      </w:r>
      <w:r w:rsidR="005548B1">
        <w:rPr>
          <w:rFonts w:ascii="Tahoma" w:hAnsi="Tahoma" w:cs="Tahoma"/>
          <w:b/>
          <w:sz w:val="22"/>
          <w:szCs w:val="22"/>
          <w:lang w:val="es-ES_tradnl"/>
        </w:rPr>
        <w:t xml:space="preserve">Seguros </w:t>
      </w:r>
      <w:r w:rsidR="003B0150">
        <w:rPr>
          <w:rFonts w:ascii="Tahoma" w:hAnsi="Tahoma" w:cs="Tahoma"/>
          <w:b/>
          <w:sz w:val="22"/>
          <w:szCs w:val="22"/>
          <w:lang w:val="es-ES_tradnl"/>
        </w:rPr>
        <w:t>Bolívar</w:t>
      </w:r>
      <w:r w:rsidR="005548B1">
        <w:rPr>
          <w:rFonts w:ascii="Tahoma" w:hAnsi="Tahoma" w:cs="Tahoma"/>
          <w:b/>
          <w:sz w:val="22"/>
          <w:szCs w:val="22"/>
          <w:lang w:val="es-ES_tradnl"/>
        </w:rPr>
        <w:t xml:space="preserve"> S.A.</w:t>
      </w:r>
    </w:p>
    <w:p w:rsidR="003A3BBB" w:rsidRPr="003E7282" w:rsidRDefault="003A3BBB" w:rsidP="0081288D">
      <w:pPr>
        <w:pStyle w:val="Sinespaciado"/>
        <w:rPr>
          <w:sz w:val="22"/>
          <w:szCs w:val="22"/>
          <w:lang w:val="es-ES_tradnl"/>
        </w:rPr>
      </w:pPr>
    </w:p>
    <w:p w:rsidR="003A3BBB" w:rsidRPr="003E7282" w:rsidRDefault="003A3BBB" w:rsidP="00AB5C0F">
      <w:pPr>
        <w:spacing w:line="276" w:lineRule="auto"/>
        <w:ind w:firstLine="708"/>
        <w:jc w:val="both"/>
        <w:rPr>
          <w:rFonts w:ascii="Tahoma" w:hAnsi="Tahoma" w:cs="Tahoma"/>
          <w:sz w:val="22"/>
          <w:szCs w:val="22"/>
          <w:lang w:val="es-ES_tradnl"/>
        </w:rPr>
      </w:pPr>
      <w:r w:rsidRPr="003E7282">
        <w:rPr>
          <w:rFonts w:ascii="Tahoma" w:hAnsi="Tahoma" w:cs="Tahoma"/>
          <w:sz w:val="22"/>
          <w:szCs w:val="22"/>
          <w:lang w:val="es-ES_tradnl"/>
        </w:rPr>
        <w:t>Para el efecto, se verifica la asistencia de las partes a la presente diligencia: Por la parte demandante… Por la demandada…</w:t>
      </w:r>
    </w:p>
    <w:p w:rsidR="003A3BBB" w:rsidRPr="003E7282" w:rsidRDefault="003A3BBB" w:rsidP="00C73ACA">
      <w:pPr>
        <w:pStyle w:val="Sinespaciado"/>
        <w:rPr>
          <w:sz w:val="22"/>
          <w:szCs w:val="22"/>
          <w:lang w:val="es-ES_tradnl"/>
        </w:rPr>
      </w:pPr>
    </w:p>
    <w:p w:rsidR="003A3BBB" w:rsidRPr="003E7282" w:rsidRDefault="003A3BBB" w:rsidP="00AB5C0F">
      <w:pPr>
        <w:widowControl w:val="0"/>
        <w:autoSpaceDE w:val="0"/>
        <w:autoSpaceDN w:val="0"/>
        <w:adjustRightInd w:val="0"/>
        <w:spacing w:line="276" w:lineRule="auto"/>
        <w:jc w:val="center"/>
        <w:rPr>
          <w:rFonts w:ascii="Tahoma" w:hAnsi="Tahoma" w:cs="Tahoma"/>
          <w:b/>
          <w:sz w:val="22"/>
          <w:szCs w:val="22"/>
        </w:rPr>
      </w:pPr>
      <w:r w:rsidRPr="003E7282">
        <w:rPr>
          <w:rFonts w:ascii="Tahoma" w:hAnsi="Tahoma" w:cs="Tahoma"/>
          <w:b/>
          <w:sz w:val="22"/>
          <w:szCs w:val="22"/>
        </w:rPr>
        <w:t>Alegatos de conclusión</w:t>
      </w:r>
    </w:p>
    <w:p w:rsidR="003A3BBB" w:rsidRPr="003E7282" w:rsidRDefault="003A3BBB" w:rsidP="0081288D">
      <w:pPr>
        <w:pStyle w:val="Sinespaciado"/>
        <w:rPr>
          <w:sz w:val="22"/>
          <w:szCs w:val="22"/>
        </w:rPr>
      </w:pPr>
    </w:p>
    <w:p w:rsidR="003A3BBB" w:rsidRPr="003E7282" w:rsidRDefault="003A3BBB" w:rsidP="00AB5C0F">
      <w:pPr>
        <w:spacing w:line="276" w:lineRule="auto"/>
        <w:ind w:firstLine="708"/>
        <w:jc w:val="both"/>
        <w:rPr>
          <w:rFonts w:ascii="Tahoma" w:hAnsi="Tahoma" w:cs="Tahoma"/>
          <w:sz w:val="22"/>
          <w:szCs w:val="22"/>
          <w:lang w:val="es-ES_tradnl"/>
        </w:rPr>
      </w:pPr>
      <w:r w:rsidRPr="003E7282">
        <w:rPr>
          <w:rFonts w:ascii="Tahoma" w:hAnsi="Tahoma" w:cs="Tahoma"/>
          <w:sz w:val="22"/>
          <w:szCs w:val="22"/>
          <w:lang w:val="es-ES_tradnl"/>
        </w:rPr>
        <w:lastRenderedPageBreak/>
        <w:t>De conformidad con el artículo 82 del C.P.T</w:t>
      </w:r>
      <w:r w:rsidR="007C5FFC" w:rsidRPr="003E7282">
        <w:rPr>
          <w:rFonts w:ascii="Tahoma" w:hAnsi="Tahoma" w:cs="Tahoma"/>
          <w:sz w:val="22"/>
          <w:szCs w:val="22"/>
          <w:lang w:val="es-ES_tradnl"/>
        </w:rPr>
        <w:t>.</w:t>
      </w:r>
      <w:r w:rsidRPr="003E7282">
        <w:rPr>
          <w:rFonts w:ascii="Tahoma" w:hAnsi="Tahoma" w:cs="Tahoma"/>
          <w:sz w:val="22"/>
          <w:szCs w:val="22"/>
          <w:lang w:val="es-ES_tradnl"/>
        </w:rPr>
        <w:t xml:space="preserve"> y de la S.S., modificado por el artículo 13 de la Ley 1149 de 2007, se concede el uso de la palabra a las partes para que presenten sus alegatos de conclusión: Por la parte demandante… Por la parte demandada…</w:t>
      </w:r>
    </w:p>
    <w:p w:rsidR="003A3BBB" w:rsidRPr="003E7282" w:rsidRDefault="003A3BBB" w:rsidP="00C73ACA">
      <w:pPr>
        <w:pStyle w:val="Sinespaciado"/>
        <w:rPr>
          <w:sz w:val="22"/>
          <w:szCs w:val="22"/>
        </w:rPr>
      </w:pPr>
    </w:p>
    <w:p w:rsidR="003A3BBB" w:rsidRPr="003E7282" w:rsidRDefault="003A3BBB" w:rsidP="00AB5C0F">
      <w:pPr>
        <w:widowControl w:val="0"/>
        <w:autoSpaceDE w:val="0"/>
        <w:autoSpaceDN w:val="0"/>
        <w:adjustRightInd w:val="0"/>
        <w:spacing w:line="276" w:lineRule="auto"/>
        <w:jc w:val="center"/>
        <w:rPr>
          <w:rFonts w:ascii="Tahoma" w:hAnsi="Tahoma" w:cs="Tahoma"/>
          <w:b/>
          <w:sz w:val="22"/>
          <w:szCs w:val="22"/>
        </w:rPr>
      </w:pPr>
      <w:r w:rsidRPr="003E7282">
        <w:rPr>
          <w:rFonts w:ascii="Tahoma" w:hAnsi="Tahoma" w:cs="Tahoma"/>
          <w:b/>
          <w:sz w:val="22"/>
          <w:szCs w:val="22"/>
        </w:rPr>
        <w:t>S E N T E N C I A</w:t>
      </w:r>
    </w:p>
    <w:p w:rsidR="003A3BBB" w:rsidRPr="003E7282" w:rsidRDefault="003A3BBB" w:rsidP="00C73ACA">
      <w:pPr>
        <w:pStyle w:val="Sinespaciado"/>
        <w:rPr>
          <w:sz w:val="22"/>
          <w:szCs w:val="22"/>
        </w:rPr>
      </w:pPr>
    </w:p>
    <w:p w:rsidR="005A6E74" w:rsidRPr="003E7282" w:rsidRDefault="00F929A1" w:rsidP="00FE2152">
      <w:pPr>
        <w:widowControl w:val="0"/>
        <w:autoSpaceDE w:val="0"/>
        <w:autoSpaceDN w:val="0"/>
        <w:adjustRightInd w:val="0"/>
        <w:spacing w:line="276" w:lineRule="auto"/>
        <w:ind w:firstLine="708"/>
        <w:jc w:val="both"/>
        <w:rPr>
          <w:rFonts w:ascii="Tahoma" w:hAnsi="Tahoma" w:cs="Tahoma"/>
          <w:sz w:val="22"/>
          <w:szCs w:val="22"/>
        </w:rPr>
      </w:pPr>
      <w:r w:rsidRPr="003E7282">
        <w:rPr>
          <w:rFonts w:ascii="Tahoma" w:hAnsi="Tahoma" w:cs="Tahoma"/>
          <w:sz w:val="22"/>
          <w:szCs w:val="22"/>
        </w:rPr>
        <w:t xml:space="preserve">Como quiera que los argumentos expuestos en las alegaciones fueron tenidos en cuenta en la discusión del proyecto, procede la Sala a resolver </w:t>
      </w:r>
      <w:r w:rsidR="007E7AED" w:rsidRPr="003E7282">
        <w:rPr>
          <w:rFonts w:ascii="Tahoma" w:hAnsi="Tahoma" w:cs="Tahoma"/>
          <w:sz w:val="22"/>
          <w:szCs w:val="22"/>
        </w:rPr>
        <w:t>en sede de consulta</w:t>
      </w:r>
      <w:r w:rsidR="004D5CA3" w:rsidRPr="003E7282">
        <w:rPr>
          <w:rFonts w:ascii="Tahoma" w:hAnsi="Tahoma" w:cs="Tahoma"/>
          <w:sz w:val="22"/>
          <w:szCs w:val="22"/>
        </w:rPr>
        <w:t xml:space="preserve"> </w:t>
      </w:r>
      <w:r w:rsidR="00FE2152" w:rsidRPr="003E7282">
        <w:rPr>
          <w:rFonts w:ascii="Tahoma" w:hAnsi="Tahoma" w:cs="Tahoma"/>
          <w:sz w:val="22"/>
          <w:szCs w:val="22"/>
        </w:rPr>
        <w:t xml:space="preserve">la sentencia emitida por el Juzgado </w:t>
      </w:r>
      <w:r w:rsidR="00EF75A3">
        <w:rPr>
          <w:rFonts w:ascii="Tahoma" w:hAnsi="Tahoma" w:cs="Tahoma"/>
          <w:sz w:val="22"/>
          <w:szCs w:val="22"/>
        </w:rPr>
        <w:t>Quinto</w:t>
      </w:r>
      <w:r w:rsidR="00EF75A3" w:rsidRPr="003E7282">
        <w:rPr>
          <w:rFonts w:ascii="Tahoma" w:hAnsi="Tahoma" w:cs="Tahoma"/>
          <w:sz w:val="22"/>
          <w:szCs w:val="22"/>
        </w:rPr>
        <w:t xml:space="preserve"> </w:t>
      </w:r>
      <w:r w:rsidR="00FE2152" w:rsidRPr="003E7282">
        <w:rPr>
          <w:rFonts w:ascii="Tahoma" w:hAnsi="Tahoma" w:cs="Tahoma"/>
          <w:sz w:val="22"/>
          <w:szCs w:val="22"/>
        </w:rPr>
        <w:t>Labo</w:t>
      </w:r>
      <w:r w:rsidR="00A15DB2" w:rsidRPr="003E7282">
        <w:rPr>
          <w:rFonts w:ascii="Tahoma" w:hAnsi="Tahoma" w:cs="Tahoma"/>
          <w:sz w:val="22"/>
          <w:szCs w:val="22"/>
        </w:rPr>
        <w:t xml:space="preserve">ral del Circuito de Pereira el </w:t>
      </w:r>
      <w:r w:rsidR="00A834AA" w:rsidRPr="003E7282">
        <w:rPr>
          <w:rFonts w:ascii="Tahoma" w:hAnsi="Tahoma" w:cs="Tahoma"/>
          <w:sz w:val="22"/>
          <w:szCs w:val="22"/>
        </w:rPr>
        <w:t>2</w:t>
      </w:r>
      <w:r w:rsidR="00EF75A3">
        <w:rPr>
          <w:rFonts w:ascii="Tahoma" w:hAnsi="Tahoma" w:cs="Tahoma"/>
          <w:sz w:val="22"/>
          <w:szCs w:val="22"/>
        </w:rPr>
        <w:t>9</w:t>
      </w:r>
      <w:r w:rsidR="00594912" w:rsidRPr="003E7282">
        <w:rPr>
          <w:rFonts w:ascii="Tahoma" w:hAnsi="Tahoma" w:cs="Tahoma"/>
          <w:sz w:val="22"/>
          <w:szCs w:val="22"/>
        </w:rPr>
        <w:t xml:space="preserve"> de marzo de 2017</w:t>
      </w:r>
      <w:r w:rsidR="008A4AE3" w:rsidRPr="003E7282">
        <w:rPr>
          <w:rFonts w:ascii="Tahoma" w:hAnsi="Tahoma" w:cs="Tahoma"/>
          <w:sz w:val="22"/>
          <w:szCs w:val="22"/>
        </w:rPr>
        <w:t xml:space="preserve">, </w:t>
      </w:r>
      <w:r w:rsidR="007E7AED" w:rsidRPr="003E7282">
        <w:rPr>
          <w:rFonts w:ascii="Tahoma" w:hAnsi="Tahoma" w:cs="Tahoma"/>
          <w:sz w:val="22"/>
          <w:szCs w:val="22"/>
        </w:rPr>
        <w:t>que fue</w:t>
      </w:r>
      <w:r w:rsidR="00A15DB2" w:rsidRPr="003E7282">
        <w:rPr>
          <w:rFonts w:ascii="Tahoma" w:hAnsi="Tahoma" w:cs="Tahoma"/>
          <w:sz w:val="22"/>
          <w:szCs w:val="22"/>
        </w:rPr>
        <w:t xml:space="preserve"> desfavorable </w:t>
      </w:r>
      <w:r w:rsidR="007E7AED" w:rsidRPr="003E7282">
        <w:rPr>
          <w:rFonts w:ascii="Tahoma" w:hAnsi="Tahoma" w:cs="Tahoma"/>
          <w:sz w:val="22"/>
          <w:szCs w:val="22"/>
        </w:rPr>
        <w:t xml:space="preserve">a </w:t>
      </w:r>
      <w:r w:rsidR="00EF75A3">
        <w:rPr>
          <w:rFonts w:ascii="Tahoma" w:hAnsi="Tahoma" w:cs="Tahoma"/>
          <w:sz w:val="22"/>
          <w:szCs w:val="22"/>
        </w:rPr>
        <w:t>la demandante</w:t>
      </w:r>
      <w:r w:rsidR="00A834AA" w:rsidRPr="003E7282">
        <w:rPr>
          <w:rFonts w:ascii="Tahoma" w:hAnsi="Tahoma" w:cs="Tahoma"/>
          <w:sz w:val="22"/>
          <w:szCs w:val="22"/>
        </w:rPr>
        <w:t>,</w:t>
      </w:r>
      <w:r w:rsidR="00430558" w:rsidRPr="003E7282">
        <w:rPr>
          <w:rFonts w:ascii="Tahoma" w:hAnsi="Tahoma" w:cs="Tahoma"/>
          <w:sz w:val="22"/>
          <w:szCs w:val="22"/>
        </w:rPr>
        <w:t xml:space="preserve"> </w:t>
      </w:r>
      <w:r w:rsidR="00E61862" w:rsidRPr="003E7282">
        <w:rPr>
          <w:rFonts w:ascii="Tahoma" w:hAnsi="Tahoma" w:cs="Tahoma"/>
          <w:sz w:val="22"/>
          <w:szCs w:val="22"/>
        </w:rPr>
        <w:t>dentro del proceso ordinario laboral reseñado con anterioridad.</w:t>
      </w:r>
    </w:p>
    <w:p w:rsidR="008A4AE3" w:rsidRPr="003E7282" w:rsidRDefault="008A4AE3" w:rsidP="008A4AE3">
      <w:pPr>
        <w:widowControl w:val="0"/>
        <w:autoSpaceDE w:val="0"/>
        <w:autoSpaceDN w:val="0"/>
        <w:adjustRightInd w:val="0"/>
        <w:spacing w:line="276" w:lineRule="auto"/>
        <w:ind w:firstLine="708"/>
        <w:jc w:val="both"/>
        <w:rPr>
          <w:sz w:val="22"/>
          <w:szCs w:val="22"/>
        </w:rPr>
      </w:pPr>
    </w:p>
    <w:p w:rsidR="003A3BBB" w:rsidRPr="003E7282" w:rsidRDefault="003A3BBB" w:rsidP="00AB5C0F">
      <w:pPr>
        <w:widowControl w:val="0"/>
        <w:autoSpaceDE w:val="0"/>
        <w:autoSpaceDN w:val="0"/>
        <w:adjustRightInd w:val="0"/>
        <w:spacing w:line="276" w:lineRule="auto"/>
        <w:jc w:val="center"/>
        <w:rPr>
          <w:rFonts w:ascii="Tahoma" w:hAnsi="Tahoma" w:cs="Tahoma"/>
          <w:b/>
          <w:sz w:val="22"/>
          <w:szCs w:val="22"/>
        </w:rPr>
      </w:pPr>
      <w:r w:rsidRPr="003E7282">
        <w:rPr>
          <w:rFonts w:ascii="Tahoma" w:hAnsi="Tahoma" w:cs="Tahoma"/>
          <w:b/>
          <w:sz w:val="22"/>
          <w:szCs w:val="22"/>
        </w:rPr>
        <w:t>Problema jurídico por resolver</w:t>
      </w:r>
    </w:p>
    <w:p w:rsidR="001B5F3A" w:rsidRPr="003E7282" w:rsidRDefault="001B5F3A" w:rsidP="00C73ACA">
      <w:pPr>
        <w:pStyle w:val="Sinespaciado"/>
        <w:rPr>
          <w:sz w:val="22"/>
          <w:szCs w:val="22"/>
        </w:rPr>
      </w:pPr>
    </w:p>
    <w:p w:rsidR="00A834AA" w:rsidRDefault="0036166D" w:rsidP="00B158AB">
      <w:pPr>
        <w:tabs>
          <w:tab w:val="left" w:pos="709"/>
        </w:tabs>
        <w:spacing w:line="276" w:lineRule="auto"/>
        <w:jc w:val="both"/>
        <w:rPr>
          <w:rFonts w:ascii="Tahoma" w:hAnsi="Tahoma" w:cs="Tahoma"/>
          <w:sz w:val="22"/>
          <w:szCs w:val="22"/>
        </w:rPr>
      </w:pPr>
      <w:r w:rsidRPr="003E7282">
        <w:rPr>
          <w:rFonts w:ascii="Tahoma" w:hAnsi="Tahoma" w:cs="Tahoma"/>
          <w:sz w:val="22"/>
          <w:szCs w:val="22"/>
        </w:rPr>
        <w:tab/>
      </w:r>
      <w:r w:rsidR="00B158AB" w:rsidRPr="003E7282">
        <w:rPr>
          <w:rFonts w:ascii="Tahoma" w:hAnsi="Tahoma" w:cs="Tahoma"/>
          <w:sz w:val="22"/>
          <w:szCs w:val="22"/>
        </w:rPr>
        <w:t>De acuerdo a lo expuesto en la sentencia de primera instancia le corres</w:t>
      </w:r>
      <w:r w:rsidR="00AA5233" w:rsidRPr="003E7282">
        <w:rPr>
          <w:rFonts w:ascii="Tahoma" w:hAnsi="Tahoma" w:cs="Tahoma"/>
          <w:sz w:val="22"/>
          <w:szCs w:val="22"/>
        </w:rPr>
        <w:t xml:space="preserve">ponde a la Sala determinar </w:t>
      </w:r>
      <w:r w:rsidR="00A834AA" w:rsidRPr="003E7282">
        <w:rPr>
          <w:rFonts w:ascii="Tahoma" w:hAnsi="Tahoma" w:cs="Tahoma"/>
          <w:sz w:val="22"/>
          <w:szCs w:val="22"/>
        </w:rPr>
        <w:t xml:space="preserve">si </w:t>
      </w:r>
      <w:r w:rsidR="00EF75A3">
        <w:rPr>
          <w:rFonts w:ascii="Tahoma" w:hAnsi="Tahoma" w:cs="Tahoma"/>
          <w:sz w:val="22"/>
          <w:szCs w:val="22"/>
        </w:rPr>
        <w:t xml:space="preserve">era procedente declarar la nulidad del </w:t>
      </w:r>
      <w:r w:rsidR="003B0150">
        <w:rPr>
          <w:rFonts w:ascii="Tahoma" w:hAnsi="Tahoma" w:cs="Tahoma"/>
          <w:sz w:val="22"/>
          <w:szCs w:val="22"/>
        </w:rPr>
        <w:t xml:space="preserve">Dictamen </w:t>
      </w:r>
      <w:r w:rsidR="006340BC">
        <w:rPr>
          <w:rFonts w:ascii="Tahoma" w:hAnsi="Tahoma" w:cs="Tahoma"/>
          <w:sz w:val="22"/>
          <w:szCs w:val="22"/>
        </w:rPr>
        <w:t>42087121 del 3 de octubre de 2013</w:t>
      </w:r>
      <w:r w:rsidR="003B0150">
        <w:rPr>
          <w:rFonts w:ascii="Tahoma" w:hAnsi="Tahoma" w:cs="Tahoma"/>
          <w:sz w:val="22"/>
          <w:szCs w:val="22"/>
        </w:rPr>
        <w:t>.</w:t>
      </w:r>
    </w:p>
    <w:p w:rsidR="003A3BBB" w:rsidRPr="003E7282" w:rsidRDefault="003A3BBB" w:rsidP="00BF7882">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3E7282">
        <w:rPr>
          <w:rFonts w:ascii="Tahoma" w:hAnsi="Tahoma" w:cs="Tahoma"/>
          <w:b/>
          <w:sz w:val="22"/>
          <w:szCs w:val="22"/>
        </w:rPr>
        <w:t>La demanda y su contestación</w:t>
      </w:r>
    </w:p>
    <w:p w:rsidR="00414B84" w:rsidRPr="003E7282" w:rsidRDefault="00414B84" w:rsidP="00B97D0C">
      <w:pPr>
        <w:widowControl w:val="0"/>
        <w:tabs>
          <w:tab w:val="left" w:pos="374"/>
        </w:tabs>
        <w:autoSpaceDE w:val="0"/>
        <w:autoSpaceDN w:val="0"/>
        <w:adjustRightInd w:val="0"/>
        <w:jc w:val="center"/>
        <w:rPr>
          <w:rFonts w:ascii="Tahoma" w:hAnsi="Tahoma" w:cs="Tahoma"/>
          <w:b/>
          <w:sz w:val="22"/>
          <w:szCs w:val="22"/>
        </w:rPr>
      </w:pPr>
    </w:p>
    <w:p w:rsidR="00623925" w:rsidRDefault="00623925" w:rsidP="00B158A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La </w:t>
      </w:r>
      <w:r w:rsidR="00B158AB" w:rsidRPr="003E7282">
        <w:rPr>
          <w:rFonts w:ascii="Tahoma" w:hAnsi="Tahoma" w:cs="Tahoma"/>
          <w:sz w:val="22"/>
          <w:szCs w:val="22"/>
        </w:rPr>
        <w:t>citad</w:t>
      </w:r>
      <w:r>
        <w:rPr>
          <w:rFonts w:ascii="Tahoma" w:hAnsi="Tahoma" w:cs="Tahoma"/>
          <w:sz w:val="22"/>
          <w:szCs w:val="22"/>
        </w:rPr>
        <w:t>a</w:t>
      </w:r>
      <w:r w:rsidR="00B158AB" w:rsidRPr="003E7282">
        <w:rPr>
          <w:rFonts w:ascii="Tahoma" w:hAnsi="Tahoma" w:cs="Tahoma"/>
          <w:sz w:val="22"/>
          <w:szCs w:val="22"/>
        </w:rPr>
        <w:t xml:space="preserve"> demandante solicita que se</w:t>
      </w:r>
      <w:r w:rsidR="00427CDE" w:rsidRPr="003E7282">
        <w:rPr>
          <w:rFonts w:ascii="Tahoma" w:hAnsi="Tahoma" w:cs="Tahoma"/>
          <w:sz w:val="22"/>
          <w:szCs w:val="22"/>
        </w:rPr>
        <w:t xml:space="preserve"> </w:t>
      </w:r>
      <w:r w:rsidR="00DE52D1">
        <w:rPr>
          <w:rFonts w:ascii="Tahoma" w:hAnsi="Tahoma" w:cs="Tahoma"/>
          <w:sz w:val="22"/>
          <w:szCs w:val="22"/>
        </w:rPr>
        <w:t xml:space="preserve">declare que la Junta Nacional de Calificación de Invalidez incurrió en error grave en el dictamen No. </w:t>
      </w:r>
      <w:r w:rsidR="006340BC">
        <w:rPr>
          <w:rFonts w:ascii="Tahoma" w:hAnsi="Tahoma" w:cs="Tahoma"/>
          <w:sz w:val="22"/>
          <w:szCs w:val="22"/>
        </w:rPr>
        <w:t xml:space="preserve">42087121 del 3 de octubre de 2013, en relación </w:t>
      </w:r>
      <w:r>
        <w:rPr>
          <w:rFonts w:ascii="Tahoma" w:hAnsi="Tahoma" w:cs="Tahoma"/>
          <w:sz w:val="22"/>
          <w:szCs w:val="22"/>
        </w:rPr>
        <w:t>con el p</w:t>
      </w:r>
      <w:r w:rsidR="006340BC">
        <w:rPr>
          <w:rFonts w:ascii="Tahoma" w:hAnsi="Tahoma" w:cs="Tahoma"/>
          <w:sz w:val="22"/>
          <w:szCs w:val="22"/>
        </w:rPr>
        <w:t>orcentaje de pérdida de capacidad laboral que le fue asignado; en consecuencia, procura que se declare la nulidad parcial de dicho dictamen, única y exclusivamente en lo relacionado con el porcentaje de pérdida de capacidad laboral.</w:t>
      </w:r>
      <w:r>
        <w:rPr>
          <w:rFonts w:ascii="Tahoma" w:hAnsi="Tahoma" w:cs="Tahoma"/>
          <w:sz w:val="22"/>
          <w:szCs w:val="22"/>
        </w:rPr>
        <w:t xml:space="preserve"> </w:t>
      </w:r>
    </w:p>
    <w:p w:rsidR="00623925" w:rsidRDefault="00623925" w:rsidP="00B158AB">
      <w:pPr>
        <w:widowControl w:val="0"/>
        <w:autoSpaceDE w:val="0"/>
        <w:autoSpaceDN w:val="0"/>
        <w:adjustRightInd w:val="0"/>
        <w:spacing w:line="276" w:lineRule="auto"/>
        <w:ind w:firstLine="708"/>
        <w:jc w:val="both"/>
        <w:rPr>
          <w:rFonts w:ascii="Tahoma" w:hAnsi="Tahoma" w:cs="Tahoma"/>
          <w:sz w:val="22"/>
          <w:szCs w:val="22"/>
        </w:rPr>
      </w:pPr>
    </w:p>
    <w:p w:rsidR="006E2200" w:rsidRDefault="0007735C" w:rsidP="00B158A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Así mismo, </w:t>
      </w:r>
      <w:r w:rsidR="00623925">
        <w:rPr>
          <w:rFonts w:ascii="Tahoma" w:hAnsi="Tahoma" w:cs="Tahoma"/>
          <w:sz w:val="22"/>
          <w:szCs w:val="22"/>
        </w:rPr>
        <w:t xml:space="preserve">insta </w:t>
      </w:r>
      <w:r>
        <w:rPr>
          <w:rFonts w:ascii="Tahoma" w:hAnsi="Tahoma" w:cs="Tahoma"/>
          <w:sz w:val="22"/>
          <w:szCs w:val="22"/>
        </w:rPr>
        <w:t>que se declare que tiene cotizadas más de 50 semanas antes de la fecha de estructuración</w:t>
      </w:r>
      <w:r w:rsidR="003571EA">
        <w:rPr>
          <w:rFonts w:ascii="Tahoma" w:hAnsi="Tahoma" w:cs="Tahoma"/>
          <w:sz w:val="22"/>
          <w:szCs w:val="22"/>
        </w:rPr>
        <w:t xml:space="preserve"> de su invalidez y, al tener más del 50% de pérdida de capacidad laboral, </w:t>
      </w:r>
      <w:r w:rsidR="00E83906">
        <w:rPr>
          <w:rFonts w:ascii="Tahoma" w:hAnsi="Tahoma" w:cs="Tahoma"/>
          <w:sz w:val="22"/>
          <w:szCs w:val="22"/>
        </w:rPr>
        <w:t xml:space="preserve">pide </w:t>
      </w:r>
      <w:r w:rsidR="006E2200">
        <w:rPr>
          <w:rFonts w:ascii="Tahoma" w:hAnsi="Tahoma" w:cs="Tahoma"/>
          <w:sz w:val="22"/>
          <w:szCs w:val="22"/>
        </w:rPr>
        <w:t>que se condene a Protección S.A.</w:t>
      </w:r>
      <w:r w:rsidR="002E0C0C">
        <w:rPr>
          <w:rFonts w:ascii="Tahoma" w:hAnsi="Tahoma" w:cs="Tahoma"/>
          <w:sz w:val="22"/>
          <w:szCs w:val="22"/>
        </w:rPr>
        <w:t xml:space="preserve"> a que cancele la aludida prestación desde el 25 de marzo de 2011, debidamente indexada, más las costas procesales.</w:t>
      </w:r>
    </w:p>
    <w:p w:rsidR="00DE52D1" w:rsidRDefault="00DE52D1" w:rsidP="00B158AB">
      <w:pPr>
        <w:widowControl w:val="0"/>
        <w:autoSpaceDE w:val="0"/>
        <w:autoSpaceDN w:val="0"/>
        <w:adjustRightInd w:val="0"/>
        <w:spacing w:line="276" w:lineRule="auto"/>
        <w:ind w:firstLine="708"/>
        <w:jc w:val="both"/>
        <w:rPr>
          <w:rFonts w:ascii="Tahoma" w:hAnsi="Tahoma" w:cs="Tahoma"/>
          <w:sz w:val="22"/>
          <w:szCs w:val="22"/>
        </w:rPr>
      </w:pPr>
    </w:p>
    <w:p w:rsidR="002E0C0C" w:rsidRDefault="00B158AB" w:rsidP="00B158AB">
      <w:pPr>
        <w:widowControl w:val="0"/>
        <w:autoSpaceDE w:val="0"/>
        <w:autoSpaceDN w:val="0"/>
        <w:adjustRightInd w:val="0"/>
        <w:spacing w:line="276" w:lineRule="auto"/>
        <w:ind w:firstLine="708"/>
        <w:jc w:val="both"/>
        <w:rPr>
          <w:rFonts w:ascii="Tahoma" w:hAnsi="Tahoma" w:cs="Tahoma"/>
          <w:sz w:val="22"/>
          <w:szCs w:val="22"/>
        </w:rPr>
      </w:pPr>
      <w:r w:rsidRPr="003E7282">
        <w:rPr>
          <w:rFonts w:ascii="Tahoma" w:hAnsi="Tahoma" w:cs="Tahoma"/>
          <w:sz w:val="22"/>
          <w:szCs w:val="22"/>
        </w:rPr>
        <w:t>Para fundar dichas pretensiones manifiesta que</w:t>
      </w:r>
      <w:r w:rsidR="00B4115C" w:rsidRPr="003E7282">
        <w:rPr>
          <w:rFonts w:ascii="Tahoma" w:hAnsi="Tahoma" w:cs="Tahoma"/>
          <w:sz w:val="22"/>
          <w:szCs w:val="22"/>
        </w:rPr>
        <w:t xml:space="preserve"> </w:t>
      </w:r>
      <w:r w:rsidR="002E0C0C">
        <w:rPr>
          <w:rFonts w:ascii="Tahoma" w:hAnsi="Tahoma" w:cs="Tahoma"/>
          <w:sz w:val="22"/>
          <w:szCs w:val="22"/>
        </w:rPr>
        <w:t xml:space="preserve">mediante dictamen No. 2012-42087121 del 23 de julio de 2012, el </w:t>
      </w:r>
      <w:r w:rsidR="00623925">
        <w:rPr>
          <w:rFonts w:ascii="Tahoma" w:hAnsi="Tahoma" w:cs="Tahoma"/>
          <w:sz w:val="22"/>
          <w:szCs w:val="22"/>
        </w:rPr>
        <w:t xml:space="preserve">Grupo Interdisciplinario </w:t>
      </w:r>
      <w:r w:rsidR="002E0C0C">
        <w:rPr>
          <w:rFonts w:ascii="Tahoma" w:hAnsi="Tahoma" w:cs="Tahoma"/>
          <w:sz w:val="22"/>
          <w:szCs w:val="22"/>
        </w:rPr>
        <w:t xml:space="preserve">de </w:t>
      </w:r>
      <w:r w:rsidR="00623925">
        <w:rPr>
          <w:rFonts w:ascii="Tahoma" w:hAnsi="Tahoma" w:cs="Tahoma"/>
          <w:sz w:val="22"/>
          <w:szCs w:val="22"/>
        </w:rPr>
        <w:t xml:space="preserve">Calificación </w:t>
      </w:r>
      <w:r w:rsidR="002E0C0C">
        <w:rPr>
          <w:rFonts w:ascii="Tahoma" w:hAnsi="Tahoma" w:cs="Tahoma"/>
          <w:sz w:val="22"/>
          <w:szCs w:val="22"/>
        </w:rPr>
        <w:t xml:space="preserve">de la </w:t>
      </w:r>
      <w:r w:rsidR="00623925">
        <w:rPr>
          <w:rFonts w:ascii="Tahoma" w:hAnsi="Tahoma" w:cs="Tahoma"/>
          <w:sz w:val="22"/>
          <w:szCs w:val="22"/>
        </w:rPr>
        <w:t>Compañía Seguros Bolívar</w:t>
      </w:r>
      <w:r w:rsidR="002E0C0C">
        <w:rPr>
          <w:rFonts w:ascii="Tahoma" w:hAnsi="Tahoma" w:cs="Tahoma"/>
          <w:sz w:val="22"/>
          <w:szCs w:val="22"/>
        </w:rPr>
        <w:t xml:space="preserve"> estableció que ella presenta una pérdida de capacidad </w:t>
      </w:r>
      <w:r w:rsidR="00A1035F">
        <w:rPr>
          <w:rFonts w:ascii="Tahoma" w:hAnsi="Tahoma" w:cs="Tahoma"/>
          <w:sz w:val="22"/>
          <w:szCs w:val="22"/>
        </w:rPr>
        <w:t>del 36,50%</w:t>
      </w:r>
      <w:r w:rsidR="00A33277">
        <w:rPr>
          <w:rFonts w:ascii="Tahoma" w:hAnsi="Tahoma" w:cs="Tahoma"/>
          <w:sz w:val="22"/>
          <w:szCs w:val="22"/>
        </w:rPr>
        <w:t>,</w:t>
      </w:r>
      <w:r w:rsidR="00A1035F">
        <w:rPr>
          <w:rFonts w:ascii="Tahoma" w:hAnsi="Tahoma" w:cs="Tahoma"/>
          <w:sz w:val="22"/>
          <w:szCs w:val="22"/>
        </w:rPr>
        <w:t xml:space="preserve"> de origen común y con fecha de estructuración del 12 de junio de 2012. </w:t>
      </w:r>
    </w:p>
    <w:p w:rsidR="00A1035F" w:rsidRDefault="00A1035F" w:rsidP="00B158AB">
      <w:pPr>
        <w:widowControl w:val="0"/>
        <w:autoSpaceDE w:val="0"/>
        <w:autoSpaceDN w:val="0"/>
        <w:adjustRightInd w:val="0"/>
        <w:spacing w:line="276" w:lineRule="auto"/>
        <w:ind w:firstLine="708"/>
        <w:jc w:val="both"/>
        <w:rPr>
          <w:rFonts w:ascii="Tahoma" w:hAnsi="Tahoma" w:cs="Tahoma"/>
          <w:sz w:val="22"/>
          <w:szCs w:val="22"/>
        </w:rPr>
      </w:pPr>
    </w:p>
    <w:p w:rsidR="00A1035F" w:rsidRDefault="00A1035F" w:rsidP="00B158A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Refiere que objetó el aludido dictamen y la </w:t>
      </w:r>
      <w:r w:rsidRPr="001A49A7">
        <w:rPr>
          <w:rFonts w:ascii="Tahoma" w:hAnsi="Tahoma" w:cs="Tahoma"/>
          <w:b/>
          <w:sz w:val="22"/>
          <w:szCs w:val="22"/>
        </w:rPr>
        <w:t xml:space="preserve">Junta Regional de </w:t>
      </w:r>
      <w:r w:rsidR="000E0156" w:rsidRPr="001A49A7">
        <w:rPr>
          <w:rFonts w:ascii="Tahoma" w:hAnsi="Tahoma" w:cs="Tahoma"/>
          <w:b/>
          <w:sz w:val="22"/>
          <w:szCs w:val="22"/>
        </w:rPr>
        <w:t>Calificación</w:t>
      </w:r>
      <w:r w:rsidRPr="001A49A7">
        <w:rPr>
          <w:rFonts w:ascii="Tahoma" w:hAnsi="Tahoma" w:cs="Tahoma"/>
          <w:b/>
          <w:sz w:val="22"/>
          <w:szCs w:val="22"/>
        </w:rPr>
        <w:t xml:space="preserve"> de Invalidez</w:t>
      </w:r>
      <w:r w:rsidR="001A49A7">
        <w:rPr>
          <w:rFonts w:ascii="Tahoma" w:hAnsi="Tahoma" w:cs="Tahoma"/>
          <w:b/>
          <w:sz w:val="22"/>
          <w:szCs w:val="22"/>
        </w:rPr>
        <w:t xml:space="preserve"> de Risaralda</w:t>
      </w:r>
      <w:r w:rsidR="001A49A7" w:rsidRPr="001A49A7">
        <w:rPr>
          <w:rFonts w:ascii="Tahoma" w:hAnsi="Tahoma" w:cs="Tahoma"/>
          <w:sz w:val="22"/>
          <w:szCs w:val="22"/>
        </w:rPr>
        <w:t>,</w:t>
      </w:r>
      <w:r w:rsidR="001A49A7">
        <w:rPr>
          <w:rFonts w:ascii="Tahoma" w:hAnsi="Tahoma" w:cs="Tahoma"/>
          <w:sz w:val="22"/>
          <w:szCs w:val="22"/>
        </w:rPr>
        <w:t xml:space="preserve"> mediante dictamen No. 829-2012 del 27 de febrero de 2013, lo modificó estableciendo que la pérdida de capacidad laboral ascendía al 52,9% y que la estructuración fue el 25 de marzo de 2011; no obstante, la </w:t>
      </w:r>
      <w:r w:rsidR="00E83906">
        <w:rPr>
          <w:rFonts w:ascii="Tahoma" w:hAnsi="Tahoma" w:cs="Tahoma"/>
          <w:sz w:val="22"/>
          <w:szCs w:val="22"/>
        </w:rPr>
        <w:t xml:space="preserve">Compañía </w:t>
      </w:r>
      <w:r w:rsidR="001A49A7">
        <w:rPr>
          <w:rFonts w:ascii="Tahoma" w:hAnsi="Tahoma" w:cs="Tahoma"/>
          <w:sz w:val="22"/>
          <w:szCs w:val="22"/>
        </w:rPr>
        <w:t xml:space="preserve">de Seguros Bolívar apeló el segundo dictamen, siendo resuelto esta vez por la </w:t>
      </w:r>
      <w:r w:rsidR="001A49A7" w:rsidRPr="00B033FD">
        <w:rPr>
          <w:rFonts w:ascii="Tahoma" w:hAnsi="Tahoma" w:cs="Tahoma"/>
          <w:b/>
          <w:sz w:val="22"/>
          <w:szCs w:val="22"/>
        </w:rPr>
        <w:t>Junta Nacional de Calificación de Invalidez</w:t>
      </w:r>
      <w:r w:rsidR="001A49A7">
        <w:rPr>
          <w:rFonts w:ascii="Tahoma" w:hAnsi="Tahoma" w:cs="Tahoma"/>
          <w:sz w:val="22"/>
          <w:szCs w:val="22"/>
        </w:rPr>
        <w:t>, ente que a trav</w:t>
      </w:r>
      <w:r w:rsidR="004F5F6D">
        <w:rPr>
          <w:rFonts w:ascii="Tahoma" w:hAnsi="Tahoma" w:cs="Tahoma"/>
          <w:sz w:val="22"/>
          <w:szCs w:val="22"/>
        </w:rPr>
        <w:t xml:space="preserve">és del dictamen No. 42087121 del 3 de octubre de 2013, estableció que la pérdida de capacidad laboral </w:t>
      </w:r>
      <w:r w:rsidR="002D5A0B">
        <w:rPr>
          <w:rFonts w:ascii="Tahoma" w:hAnsi="Tahoma" w:cs="Tahoma"/>
          <w:sz w:val="22"/>
          <w:szCs w:val="22"/>
        </w:rPr>
        <w:t>era el 45,31%</w:t>
      </w:r>
      <w:r w:rsidR="00674EE5">
        <w:rPr>
          <w:rFonts w:ascii="Tahoma" w:hAnsi="Tahoma" w:cs="Tahoma"/>
          <w:sz w:val="22"/>
          <w:szCs w:val="22"/>
        </w:rPr>
        <w:t xml:space="preserve"> y la fecha de estructuración el 25 de marzo de 2011.</w:t>
      </w:r>
    </w:p>
    <w:p w:rsidR="00674EE5" w:rsidRDefault="00674EE5" w:rsidP="00B158AB">
      <w:pPr>
        <w:widowControl w:val="0"/>
        <w:autoSpaceDE w:val="0"/>
        <w:autoSpaceDN w:val="0"/>
        <w:adjustRightInd w:val="0"/>
        <w:spacing w:line="276" w:lineRule="auto"/>
        <w:ind w:firstLine="708"/>
        <w:jc w:val="both"/>
        <w:rPr>
          <w:rFonts w:ascii="Tahoma" w:hAnsi="Tahoma" w:cs="Tahoma"/>
          <w:sz w:val="22"/>
          <w:szCs w:val="22"/>
        </w:rPr>
      </w:pPr>
    </w:p>
    <w:p w:rsidR="006C2811" w:rsidRDefault="00674EE5" w:rsidP="00B158A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Alega que en el dictamen emitido por la JNCI se incurre en un error grave por omisión al no valorar todas las patologías que se evidencian en su historia laboral, como la artrosis de los miembros inferiores; la necesidad del uso de bastón; el trastorno de adaptaci</w:t>
      </w:r>
      <w:r w:rsidR="000E0EA0">
        <w:rPr>
          <w:rFonts w:ascii="Tahoma" w:hAnsi="Tahoma" w:cs="Tahoma"/>
          <w:sz w:val="22"/>
          <w:szCs w:val="22"/>
        </w:rPr>
        <w:t>ón y los problemas de columna que padece, con los cuales supera el 50% de discapacidad</w:t>
      </w:r>
      <w:r w:rsidR="006C2811">
        <w:rPr>
          <w:rFonts w:ascii="Tahoma" w:hAnsi="Tahoma" w:cs="Tahoma"/>
          <w:sz w:val="22"/>
          <w:szCs w:val="22"/>
        </w:rPr>
        <w:t>.</w:t>
      </w:r>
      <w:r w:rsidR="00FD4057">
        <w:rPr>
          <w:rFonts w:ascii="Tahoma" w:hAnsi="Tahoma" w:cs="Tahoma"/>
          <w:sz w:val="22"/>
          <w:szCs w:val="22"/>
        </w:rPr>
        <w:t xml:space="preserve"> </w:t>
      </w:r>
      <w:r w:rsidR="006C2811">
        <w:rPr>
          <w:rFonts w:ascii="Tahoma" w:hAnsi="Tahoma" w:cs="Tahoma"/>
          <w:sz w:val="22"/>
          <w:szCs w:val="22"/>
        </w:rPr>
        <w:t>Finalmente indica que</w:t>
      </w:r>
      <w:r w:rsidR="007018E0">
        <w:rPr>
          <w:rFonts w:ascii="Tahoma" w:hAnsi="Tahoma" w:cs="Tahoma"/>
          <w:sz w:val="22"/>
          <w:szCs w:val="22"/>
        </w:rPr>
        <w:t xml:space="preserve"> cotizó al sistema de seguridad social más de 50 semanas en los 3 años anteriores a la fecha de la estructuración de su invalidez.</w:t>
      </w:r>
    </w:p>
    <w:p w:rsidR="00674EE5" w:rsidRDefault="00674EE5" w:rsidP="00B158AB">
      <w:pPr>
        <w:widowControl w:val="0"/>
        <w:autoSpaceDE w:val="0"/>
        <w:autoSpaceDN w:val="0"/>
        <w:adjustRightInd w:val="0"/>
        <w:spacing w:line="276" w:lineRule="auto"/>
        <w:ind w:firstLine="708"/>
        <w:jc w:val="both"/>
        <w:rPr>
          <w:rFonts w:ascii="Tahoma" w:hAnsi="Tahoma" w:cs="Tahoma"/>
          <w:sz w:val="22"/>
          <w:szCs w:val="22"/>
        </w:rPr>
      </w:pPr>
    </w:p>
    <w:p w:rsidR="006372BB" w:rsidRDefault="006372BB" w:rsidP="00CB76E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Protección S.A. aceptó los hechos relacionados con </w:t>
      </w:r>
      <w:r w:rsidR="00656CC6">
        <w:rPr>
          <w:rFonts w:ascii="Tahoma" w:hAnsi="Tahoma" w:cs="Tahoma"/>
          <w:sz w:val="22"/>
          <w:szCs w:val="22"/>
        </w:rPr>
        <w:t xml:space="preserve">el dictamen emitido por </w:t>
      </w:r>
      <w:r w:rsidR="00FD4057">
        <w:rPr>
          <w:rFonts w:ascii="Tahoma" w:hAnsi="Tahoma" w:cs="Tahoma"/>
          <w:sz w:val="22"/>
          <w:szCs w:val="22"/>
        </w:rPr>
        <w:t>Seguros Bolívar</w:t>
      </w:r>
      <w:r w:rsidR="00656CC6">
        <w:rPr>
          <w:rFonts w:ascii="Tahoma" w:hAnsi="Tahoma" w:cs="Tahoma"/>
          <w:sz w:val="22"/>
          <w:szCs w:val="22"/>
        </w:rPr>
        <w:t>, aclarando que la pérdida de capacidad laboral era del 27,79% y que la fecha de estructuración fue el 29 de septiembre de 2007; así mismo</w:t>
      </w:r>
      <w:r w:rsidR="00FD4057">
        <w:rPr>
          <w:rFonts w:ascii="Tahoma" w:hAnsi="Tahoma" w:cs="Tahoma"/>
          <w:sz w:val="22"/>
          <w:szCs w:val="22"/>
        </w:rPr>
        <w:t>,</w:t>
      </w:r>
      <w:r w:rsidR="00656CC6">
        <w:rPr>
          <w:rFonts w:ascii="Tahoma" w:hAnsi="Tahoma" w:cs="Tahoma"/>
          <w:sz w:val="22"/>
          <w:szCs w:val="22"/>
        </w:rPr>
        <w:t xml:space="preserve"> aceptó que la actora </w:t>
      </w:r>
      <w:r w:rsidR="005D7698">
        <w:rPr>
          <w:rFonts w:ascii="Tahoma" w:hAnsi="Tahoma" w:cs="Tahoma"/>
          <w:sz w:val="22"/>
          <w:szCs w:val="22"/>
        </w:rPr>
        <w:t xml:space="preserve">presentó </w:t>
      </w:r>
      <w:r w:rsidR="00656CC6">
        <w:rPr>
          <w:rFonts w:ascii="Tahoma" w:hAnsi="Tahoma" w:cs="Tahoma"/>
          <w:sz w:val="22"/>
          <w:szCs w:val="22"/>
        </w:rPr>
        <w:t>o</w:t>
      </w:r>
      <w:r w:rsidR="005D7698">
        <w:rPr>
          <w:rFonts w:ascii="Tahoma" w:hAnsi="Tahoma" w:cs="Tahoma"/>
          <w:sz w:val="22"/>
          <w:szCs w:val="22"/>
        </w:rPr>
        <w:t xml:space="preserve">bjeción en contra de </w:t>
      </w:r>
      <w:r w:rsidR="00656CC6">
        <w:rPr>
          <w:rFonts w:ascii="Tahoma" w:hAnsi="Tahoma" w:cs="Tahoma"/>
          <w:sz w:val="22"/>
          <w:szCs w:val="22"/>
        </w:rPr>
        <w:t xml:space="preserve">dicha calificación; que la misma </w:t>
      </w:r>
      <w:r w:rsidR="00DE7B75">
        <w:rPr>
          <w:rFonts w:ascii="Tahoma" w:hAnsi="Tahoma" w:cs="Tahoma"/>
          <w:sz w:val="22"/>
          <w:szCs w:val="22"/>
        </w:rPr>
        <w:t xml:space="preserve">fue resuelta y modificada por la </w:t>
      </w:r>
      <w:r w:rsidR="00DE7B75" w:rsidRPr="00FD4057">
        <w:rPr>
          <w:rFonts w:ascii="Tahoma" w:hAnsi="Tahoma" w:cs="Tahoma"/>
          <w:b/>
          <w:sz w:val="22"/>
          <w:szCs w:val="22"/>
        </w:rPr>
        <w:t>JRCI</w:t>
      </w:r>
      <w:r w:rsidR="00DE7B75">
        <w:rPr>
          <w:rFonts w:ascii="Tahoma" w:hAnsi="Tahoma" w:cs="Tahoma"/>
          <w:sz w:val="22"/>
          <w:szCs w:val="22"/>
        </w:rPr>
        <w:t xml:space="preserve"> a través del dictamen</w:t>
      </w:r>
      <w:r w:rsidR="005D7698">
        <w:rPr>
          <w:rFonts w:ascii="Tahoma" w:hAnsi="Tahoma" w:cs="Tahoma"/>
          <w:sz w:val="22"/>
          <w:szCs w:val="22"/>
        </w:rPr>
        <w:t xml:space="preserve"> 829-2012 de 2013</w:t>
      </w:r>
      <w:r w:rsidR="00DE7B75">
        <w:rPr>
          <w:rFonts w:ascii="Tahoma" w:hAnsi="Tahoma" w:cs="Tahoma"/>
          <w:sz w:val="22"/>
          <w:szCs w:val="22"/>
        </w:rPr>
        <w:t xml:space="preserve">, </w:t>
      </w:r>
      <w:r w:rsidR="005D7698">
        <w:rPr>
          <w:rFonts w:ascii="Tahoma" w:hAnsi="Tahoma" w:cs="Tahoma"/>
          <w:sz w:val="22"/>
          <w:szCs w:val="22"/>
        </w:rPr>
        <w:t xml:space="preserve">acto </w:t>
      </w:r>
      <w:r w:rsidR="00DE7B75">
        <w:rPr>
          <w:rFonts w:ascii="Tahoma" w:hAnsi="Tahoma" w:cs="Tahoma"/>
          <w:sz w:val="22"/>
          <w:szCs w:val="22"/>
        </w:rPr>
        <w:t>apelado por Seguros Bolívar</w:t>
      </w:r>
      <w:r w:rsidR="005D7698">
        <w:rPr>
          <w:rFonts w:ascii="Tahoma" w:hAnsi="Tahoma" w:cs="Tahoma"/>
          <w:sz w:val="22"/>
          <w:szCs w:val="22"/>
        </w:rPr>
        <w:t xml:space="preserve"> y </w:t>
      </w:r>
      <w:r w:rsidR="00DE7B75">
        <w:rPr>
          <w:rFonts w:ascii="Tahoma" w:hAnsi="Tahoma" w:cs="Tahoma"/>
          <w:sz w:val="22"/>
          <w:szCs w:val="22"/>
        </w:rPr>
        <w:t xml:space="preserve">resuelto por la </w:t>
      </w:r>
      <w:r w:rsidR="00DE7B75" w:rsidRPr="00FD4057">
        <w:rPr>
          <w:rFonts w:ascii="Tahoma" w:hAnsi="Tahoma" w:cs="Tahoma"/>
          <w:b/>
          <w:sz w:val="22"/>
          <w:szCs w:val="22"/>
        </w:rPr>
        <w:t>JNCI</w:t>
      </w:r>
      <w:r w:rsidR="00DE7B75">
        <w:rPr>
          <w:rFonts w:ascii="Tahoma" w:hAnsi="Tahoma" w:cs="Tahoma"/>
          <w:sz w:val="22"/>
          <w:szCs w:val="22"/>
        </w:rPr>
        <w:t xml:space="preserve"> </w:t>
      </w:r>
      <w:r w:rsidR="005D7698">
        <w:rPr>
          <w:rFonts w:ascii="Tahoma" w:hAnsi="Tahoma" w:cs="Tahoma"/>
          <w:sz w:val="22"/>
          <w:szCs w:val="22"/>
        </w:rPr>
        <w:t xml:space="preserve">mediante el dictamen 42087121 del 3 </w:t>
      </w:r>
      <w:r w:rsidR="005D7698">
        <w:rPr>
          <w:rFonts w:ascii="Tahoma" w:hAnsi="Tahoma" w:cs="Tahoma"/>
          <w:sz w:val="22"/>
          <w:szCs w:val="22"/>
        </w:rPr>
        <w:lastRenderedPageBreak/>
        <w:t>de octubre de 2013. Frente a los demás hechos manifestó que no eran ciertos.</w:t>
      </w:r>
    </w:p>
    <w:p w:rsidR="006372BB" w:rsidRDefault="006372BB" w:rsidP="00CB76E5">
      <w:pPr>
        <w:widowControl w:val="0"/>
        <w:autoSpaceDE w:val="0"/>
        <w:autoSpaceDN w:val="0"/>
        <w:adjustRightInd w:val="0"/>
        <w:spacing w:line="276" w:lineRule="auto"/>
        <w:ind w:firstLine="708"/>
        <w:jc w:val="both"/>
        <w:rPr>
          <w:rFonts w:ascii="Tahoma" w:hAnsi="Tahoma" w:cs="Tahoma"/>
          <w:sz w:val="22"/>
          <w:szCs w:val="22"/>
        </w:rPr>
      </w:pPr>
    </w:p>
    <w:p w:rsidR="005D7698" w:rsidRDefault="00037FB7" w:rsidP="00CB76E5">
      <w:pPr>
        <w:widowControl w:val="0"/>
        <w:autoSpaceDE w:val="0"/>
        <w:autoSpaceDN w:val="0"/>
        <w:adjustRightInd w:val="0"/>
        <w:spacing w:line="276" w:lineRule="auto"/>
        <w:ind w:firstLine="708"/>
        <w:jc w:val="both"/>
        <w:rPr>
          <w:rFonts w:ascii="Tahoma" w:hAnsi="Tahoma" w:cs="Tahoma"/>
          <w:sz w:val="22"/>
          <w:szCs w:val="22"/>
        </w:rPr>
      </w:pPr>
      <w:r w:rsidRPr="003E7282">
        <w:rPr>
          <w:rFonts w:ascii="Tahoma" w:hAnsi="Tahoma" w:cs="Tahoma"/>
          <w:sz w:val="22"/>
          <w:szCs w:val="22"/>
        </w:rPr>
        <w:t>Seguidamente, se opuso a la totalidad de las pretensiones</w:t>
      </w:r>
      <w:r w:rsidR="00C8349A" w:rsidRPr="003E7282">
        <w:rPr>
          <w:rFonts w:ascii="Tahoma" w:hAnsi="Tahoma" w:cs="Tahoma"/>
          <w:sz w:val="22"/>
          <w:szCs w:val="22"/>
        </w:rPr>
        <w:t xml:space="preserve"> y propuso las excepciones de mérito que denominó “Inexistencia de la </w:t>
      </w:r>
      <w:r w:rsidR="005D7698">
        <w:rPr>
          <w:rFonts w:ascii="Tahoma" w:hAnsi="Tahoma" w:cs="Tahoma"/>
          <w:sz w:val="22"/>
          <w:szCs w:val="22"/>
        </w:rPr>
        <w:t xml:space="preserve">eventual obligación pensional por inexistencia de causa jurídica”; “Principio de la necesidad de la prueba </w:t>
      </w:r>
      <w:r w:rsidR="00210595">
        <w:rPr>
          <w:rFonts w:ascii="Tahoma" w:hAnsi="Tahoma" w:cs="Tahoma"/>
          <w:sz w:val="22"/>
          <w:szCs w:val="22"/>
        </w:rPr>
        <w:t xml:space="preserve">de la calificación de invalidez”; “el dictamen es producto de la calificación del caso”; </w:t>
      </w:r>
      <w:r w:rsidR="002E799A">
        <w:rPr>
          <w:rFonts w:ascii="Tahoma" w:hAnsi="Tahoma" w:cs="Tahoma"/>
          <w:sz w:val="22"/>
          <w:szCs w:val="22"/>
        </w:rPr>
        <w:t>“Carencia de fundamento técnico – científico”; “Prescripción”; “Improcedencia del reconocimiento de intereses moratorios” y la “Genérica”.</w:t>
      </w:r>
    </w:p>
    <w:p w:rsidR="005D7698" w:rsidRDefault="005D7698" w:rsidP="00CB76E5">
      <w:pPr>
        <w:widowControl w:val="0"/>
        <w:autoSpaceDE w:val="0"/>
        <w:autoSpaceDN w:val="0"/>
        <w:adjustRightInd w:val="0"/>
        <w:spacing w:line="276" w:lineRule="auto"/>
        <w:ind w:firstLine="708"/>
        <w:jc w:val="both"/>
        <w:rPr>
          <w:rFonts w:ascii="Tahoma" w:hAnsi="Tahoma" w:cs="Tahoma"/>
          <w:sz w:val="22"/>
          <w:szCs w:val="22"/>
        </w:rPr>
      </w:pPr>
    </w:p>
    <w:p w:rsidR="002E799A" w:rsidRDefault="005548B1" w:rsidP="00513FC5">
      <w:pPr>
        <w:pStyle w:val="Sinespaciado"/>
        <w:spacing w:line="276" w:lineRule="auto"/>
        <w:jc w:val="both"/>
        <w:rPr>
          <w:rFonts w:ascii="Tahoma" w:hAnsi="Tahoma" w:cs="Tahoma"/>
          <w:sz w:val="22"/>
          <w:szCs w:val="22"/>
        </w:rPr>
      </w:pPr>
      <w:r>
        <w:rPr>
          <w:rFonts w:ascii="Tahoma" w:hAnsi="Tahoma" w:cs="Tahoma"/>
          <w:sz w:val="22"/>
          <w:szCs w:val="22"/>
        </w:rPr>
        <w:tab/>
      </w:r>
      <w:r w:rsidR="00866F39">
        <w:rPr>
          <w:rFonts w:ascii="Tahoma" w:hAnsi="Tahoma" w:cs="Tahoma"/>
          <w:sz w:val="22"/>
          <w:szCs w:val="22"/>
        </w:rPr>
        <w:t xml:space="preserve">Seguros </w:t>
      </w:r>
      <w:r w:rsidR="005945CD">
        <w:rPr>
          <w:rFonts w:ascii="Tahoma" w:hAnsi="Tahoma" w:cs="Tahoma"/>
          <w:sz w:val="22"/>
          <w:szCs w:val="22"/>
        </w:rPr>
        <w:t>Bolívar</w:t>
      </w:r>
      <w:r w:rsidR="00866F39">
        <w:rPr>
          <w:rFonts w:ascii="Tahoma" w:hAnsi="Tahoma" w:cs="Tahoma"/>
          <w:sz w:val="22"/>
          <w:szCs w:val="22"/>
        </w:rPr>
        <w:t xml:space="preserve"> S.A.</w:t>
      </w:r>
      <w:r w:rsidR="005945CD">
        <w:rPr>
          <w:rFonts w:ascii="Tahoma" w:hAnsi="Tahoma" w:cs="Tahoma"/>
          <w:sz w:val="22"/>
          <w:szCs w:val="22"/>
        </w:rPr>
        <w:t xml:space="preserve"> también se opuso a las pretensiones de la demanda </w:t>
      </w:r>
      <w:r w:rsidR="00554F31">
        <w:rPr>
          <w:rFonts w:ascii="Tahoma" w:hAnsi="Tahoma" w:cs="Tahoma"/>
          <w:sz w:val="22"/>
          <w:szCs w:val="22"/>
        </w:rPr>
        <w:t>dirigidas en contra de Protección S.A. bajo el argumento de que la actora sólo tenía un 36,50% de pérdida de capacidad laboral</w:t>
      </w:r>
      <w:r w:rsidR="008C1D26">
        <w:rPr>
          <w:rFonts w:ascii="Tahoma" w:hAnsi="Tahoma" w:cs="Tahoma"/>
          <w:sz w:val="22"/>
          <w:szCs w:val="22"/>
        </w:rPr>
        <w:t xml:space="preserve"> y, </w:t>
      </w:r>
      <w:r w:rsidR="0040566E">
        <w:rPr>
          <w:rFonts w:ascii="Tahoma" w:hAnsi="Tahoma" w:cs="Tahoma"/>
          <w:sz w:val="22"/>
          <w:szCs w:val="22"/>
        </w:rPr>
        <w:t>frente al llamamiento en garantía</w:t>
      </w:r>
      <w:r w:rsidR="008C1D26">
        <w:rPr>
          <w:rFonts w:ascii="Tahoma" w:hAnsi="Tahoma" w:cs="Tahoma"/>
          <w:sz w:val="22"/>
          <w:szCs w:val="22"/>
        </w:rPr>
        <w:t>,</w:t>
      </w:r>
      <w:r w:rsidR="0040566E">
        <w:rPr>
          <w:rFonts w:ascii="Tahoma" w:hAnsi="Tahoma" w:cs="Tahoma"/>
          <w:sz w:val="22"/>
          <w:szCs w:val="22"/>
        </w:rPr>
        <w:t xml:space="preserve"> manifestó que no se oponía, siempre y cuando la condena no </w:t>
      </w:r>
      <w:r w:rsidR="008C1D26">
        <w:rPr>
          <w:rFonts w:ascii="Tahoma" w:hAnsi="Tahoma" w:cs="Tahoma"/>
          <w:sz w:val="22"/>
          <w:szCs w:val="22"/>
        </w:rPr>
        <w:t>fuera</w:t>
      </w:r>
      <w:r w:rsidR="0040566E">
        <w:rPr>
          <w:rFonts w:ascii="Tahoma" w:hAnsi="Tahoma" w:cs="Tahoma"/>
          <w:sz w:val="22"/>
          <w:szCs w:val="22"/>
        </w:rPr>
        <w:t xml:space="preserve"> más allá de los valores garantizados en la póliza, por lo que propuso la excepción de “Límite de responsabilidad”</w:t>
      </w:r>
      <w:r w:rsidR="00B274FD">
        <w:rPr>
          <w:rFonts w:ascii="Tahoma" w:hAnsi="Tahoma" w:cs="Tahoma"/>
          <w:sz w:val="22"/>
          <w:szCs w:val="22"/>
        </w:rPr>
        <w:t>.</w:t>
      </w:r>
    </w:p>
    <w:p w:rsidR="00B274FD" w:rsidRDefault="00B274FD" w:rsidP="00513FC5">
      <w:pPr>
        <w:pStyle w:val="Sinespaciado"/>
        <w:spacing w:line="276" w:lineRule="auto"/>
        <w:jc w:val="both"/>
        <w:rPr>
          <w:rFonts w:ascii="Tahoma" w:hAnsi="Tahoma" w:cs="Tahoma"/>
          <w:sz w:val="22"/>
          <w:szCs w:val="22"/>
        </w:rPr>
      </w:pPr>
    </w:p>
    <w:p w:rsidR="00B274FD" w:rsidRDefault="00B274FD" w:rsidP="00513FC5">
      <w:pPr>
        <w:pStyle w:val="Sinespaciado"/>
        <w:spacing w:line="276" w:lineRule="auto"/>
        <w:jc w:val="both"/>
        <w:rPr>
          <w:rFonts w:ascii="Tahoma" w:hAnsi="Tahoma" w:cs="Tahoma"/>
          <w:sz w:val="22"/>
          <w:szCs w:val="22"/>
        </w:rPr>
      </w:pPr>
      <w:r>
        <w:rPr>
          <w:rFonts w:ascii="Tahoma" w:hAnsi="Tahoma" w:cs="Tahoma"/>
          <w:sz w:val="22"/>
          <w:szCs w:val="22"/>
        </w:rPr>
        <w:tab/>
      </w:r>
      <w:r w:rsidR="008C1D26">
        <w:rPr>
          <w:rFonts w:ascii="Tahoma" w:hAnsi="Tahoma" w:cs="Tahoma"/>
          <w:sz w:val="22"/>
          <w:szCs w:val="22"/>
        </w:rPr>
        <w:t xml:space="preserve">Por su parte, la </w:t>
      </w:r>
      <w:r>
        <w:rPr>
          <w:rFonts w:ascii="Tahoma" w:hAnsi="Tahoma" w:cs="Tahoma"/>
          <w:sz w:val="22"/>
          <w:szCs w:val="22"/>
        </w:rPr>
        <w:t>JNCI se abstuvo de descorrer el traslado de la demanda.</w:t>
      </w:r>
    </w:p>
    <w:p w:rsidR="006C15B8" w:rsidRPr="003E7282" w:rsidRDefault="006C15B8" w:rsidP="00513FC5">
      <w:pPr>
        <w:pStyle w:val="Sinespaciado"/>
        <w:spacing w:line="276" w:lineRule="auto"/>
        <w:jc w:val="both"/>
        <w:rPr>
          <w:sz w:val="22"/>
          <w:szCs w:val="22"/>
        </w:rPr>
      </w:pPr>
      <w:r w:rsidRPr="003E7282">
        <w:rPr>
          <w:rFonts w:ascii="Tahoma" w:hAnsi="Tahoma" w:cs="Tahoma"/>
          <w:sz w:val="22"/>
          <w:szCs w:val="22"/>
        </w:rPr>
        <w:tab/>
      </w:r>
    </w:p>
    <w:p w:rsidR="003A3BBB" w:rsidRPr="003E7282" w:rsidRDefault="003A3BBB" w:rsidP="00AB5C0F">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3E7282">
        <w:rPr>
          <w:rFonts w:ascii="Tahoma" w:hAnsi="Tahoma" w:cs="Tahoma"/>
          <w:b/>
          <w:sz w:val="22"/>
          <w:szCs w:val="22"/>
        </w:rPr>
        <w:t>La sentencia de primera instancia</w:t>
      </w:r>
    </w:p>
    <w:p w:rsidR="008C1D26" w:rsidRDefault="008C1D26" w:rsidP="00A32545">
      <w:pPr>
        <w:widowControl w:val="0"/>
        <w:autoSpaceDE w:val="0"/>
        <w:autoSpaceDN w:val="0"/>
        <w:adjustRightInd w:val="0"/>
        <w:spacing w:line="276" w:lineRule="auto"/>
        <w:ind w:firstLine="708"/>
        <w:jc w:val="both"/>
        <w:rPr>
          <w:rFonts w:ascii="Tahoma" w:hAnsi="Tahoma" w:cs="Tahoma"/>
          <w:sz w:val="22"/>
          <w:szCs w:val="22"/>
        </w:rPr>
      </w:pPr>
    </w:p>
    <w:p w:rsidR="00351F3F" w:rsidRDefault="00527593" w:rsidP="00A32545">
      <w:pPr>
        <w:widowControl w:val="0"/>
        <w:autoSpaceDE w:val="0"/>
        <w:autoSpaceDN w:val="0"/>
        <w:adjustRightInd w:val="0"/>
        <w:spacing w:line="276" w:lineRule="auto"/>
        <w:ind w:firstLine="708"/>
        <w:jc w:val="both"/>
        <w:rPr>
          <w:rFonts w:ascii="Tahoma" w:hAnsi="Tahoma" w:cs="Tahoma"/>
          <w:sz w:val="22"/>
          <w:szCs w:val="22"/>
        </w:rPr>
      </w:pPr>
      <w:r w:rsidRPr="003E7282">
        <w:rPr>
          <w:rFonts w:ascii="Tahoma" w:hAnsi="Tahoma" w:cs="Tahoma"/>
          <w:sz w:val="22"/>
          <w:szCs w:val="22"/>
        </w:rPr>
        <w:t>La</w:t>
      </w:r>
      <w:r w:rsidR="00312030" w:rsidRPr="003E7282">
        <w:rPr>
          <w:rFonts w:ascii="Tahoma" w:hAnsi="Tahoma" w:cs="Tahoma"/>
          <w:sz w:val="22"/>
          <w:szCs w:val="22"/>
        </w:rPr>
        <w:t xml:space="preserve"> A-quo </w:t>
      </w:r>
      <w:r w:rsidR="0008652F">
        <w:rPr>
          <w:rFonts w:ascii="Tahoma" w:hAnsi="Tahoma" w:cs="Tahoma"/>
          <w:sz w:val="22"/>
          <w:szCs w:val="22"/>
        </w:rPr>
        <w:t>negó la declaratoria de nulidad del dictamen de pérdida de capacidad laboral emitido por la JNCI el 3 de octubre de 2013 y, en consecuencia, absolvió a las demandadas de las pretensiones de la demandante, a quien condenó al pago de las costas procesales.</w:t>
      </w:r>
    </w:p>
    <w:p w:rsidR="008C1D26" w:rsidRDefault="008C1D26" w:rsidP="00A32545">
      <w:pPr>
        <w:widowControl w:val="0"/>
        <w:autoSpaceDE w:val="0"/>
        <w:autoSpaceDN w:val="0"/>
        <w:adjustRightInd w:val="0"/>
        <w:spacing w:line="276" w:lineRule="auto"/>
        <w:ind w:firstLine="708"/>
        <w:jc w:val="both"/>
        <w:rPr>
          <w:rFonts w:ascii="Tahoma" w:hAnsi="Tahoma" w:cs="Tahoma"/>
          <w:sz w:val="22"/>
          <w:szCs w:val="22"/>
        </w:rPr>
      </w:pPr>
    </w:p>
    <w:p w:rsidR="00F71B77" w:rsidRDefault="008C1D26" w:rsidP="00A3254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llegar a tal determinación la Jueza de primera instancia consideró, en síntesis, que de conformidad con el dictamen de pérdida de capacidad laboral allegado por la JNCI, decretado como prueba en el proceso, se podía establecer que en el Dictamen 42087121 del 3 de octubre de 2013 se tuvieron en cuenta la totalidad de patologías que padece la promotora del litigio, por lo que no había lugar a declarar su nulidad y, en consecuencia, al no superar el 50% de pérdida de capacidad laboral, no había lugar a reconocer a la actora la pensión de invalidez pretendida.</w:t>
      </w:r>
    </w:p>
    <w:p w:rsidR="008C1D26" w:rsidRPr="003E7282" w:rsidRDefault="008C1D26" w:rsidP="00A32545">
      <w:pPr>
        <w:widowControl w:val="0"/>
        <w:autoSpaceDE w:val="0"/>
        <w:autoSpaceDN w:val="0"/>
        <w:adjustRightInd w:val="0"/>
        <w:spacing w:line="276" w:lineRule="auto"/>
        <w:ind w:firstLine="708"/>
        <w:jc w:val="both"/>
        <w:rPr>
          <w:rFonts w:ascii="Tahoma" w:hAnsi="Tahoma" w:cs="Tahoma"/>
          <w:sz w:val="22"/>
          <w:szCs w:val="22"/>
        </w:rPr>
      </w:pPr>
    </w:p>
    <w:p w:rsidR="003274A7" w:rsidRPr="003E7282" w:rsidRDefault="00576719" w:rsidP="003274A7">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3E7282">
        <w:rPr>
          <w:rFonts w:ascii="Tahoma" w:hAnsi="Tahoma" w:cs="Tahoma"/>
          <w:b/>
          <w:sz w:val="22"/>
          <w:szCs w:val="22"/>
        </w:rPr>
        <w:t xml:space="preserve">Procedencia </w:t>
      </w:r>
      <w:r w:rsidR="003274A7" w:rsidRPr="003E7282">
        <w:rPr>
          <w:rFonts w:ascii="Tahoma" w:hAnsi="Tahoma" w:cs="Tahoma"/>
          <w:b/>
          <w:sz w:val="22"/>
          <w:szCs w:val="22"/>
        </w:rPr>
        <w:t>de la consulta</w:t>
      </w:r>
    </w:p>
    <w:p w:rsidR="003274A7" w:rsidRPr="003E7282" w:rsidRDefault="003274A7" w:rsidP="00E174D4">
      <w:pPr>
        <w:widowControl w:val="0"/>
        <w:autoSpaceDE w:val="0"/>
        <w:autoSpaceDN w:val="0"/>
        <w:adjustRightInd w:val="0"/>
        <w:ind w:firstLine="1122"/>
        <w:jc w:val="both"/>
        <w:rPr>
          <w:rFonts w:ascii="Tahoma" w:hAnsi="Tahoma" w:cs="Tahoma"/>
          <w:sz w:val="22"/>
          <w:szCs w:val="22"/>
        </w:rPr>
      </w:pPr>
    </w:p>
    <w:p w:rsidR="00B968E5" w:rsidRPr="003E7282" w:rsidRDefault="003F3BAD" w:rsidP="00B968E5">
      <w:pPr>
        <w:pStyle w:val="Sangradetextonormal"/>
        <w:spacing w:line="276" w:lineRule="auto"/>
        <w:rPr>
          <w:sz w:val="22"/>
          <w:szCs w:val="22"/>
        </w:rPr>
      </w:pPr>
      <w:r>
        <w:rPr>
          <w:sz w:val="22"/>
          <w:szCs w:val="22"/>
        </w:rPr>
        <w:t xml:space="preserve">Como quiera </w:t>
      </w:r>
      <w:r w:rsidR="00B968E5" w:rsidRPr="003E7282">
        <w:rPr>
          <w:sz w:val="22"/>
          <w:szCs w:val="22"/>
        </w:rPr>
        <w:t xml:space="preserve">que la sentencia </w:t>
      </w:r>
      <w:r>
        <w:rPr>
          <w:sz w:val="22"/>
          <w:szCs w:val="22"/>
        </w:rPr>
        <w:t xml:space="preserve">fue </w:t>
      </w:r>
      <w:r w:rsidR="00B968E5" w:rsidRPr="003E7282">
        <w:rPr>
          <w:sz w:val="22"/>
          <w:szCs w:val="22"/>
        </w:rPr>
        <w:t xml:space="preserve">contraria a los intereses de </w:t>
      </w:r>
      <w:r w:rsidR="001E1B41">
        <w:rPr>
          <w:sz w:val="22"/>
          <w:szCs w:val="22"/>
        </w:rPr>
        <w:t>la demandante y no fue apelada</w:t>
      </w:r>
      <w:r w:rsidR="00B968E5" w:rsidRPr="003E7282">
        <w:rPr>
          <w:sz w:val="22"/>
          <w:szCs w:val="22"/>
        </w:rPr>
        <w:t xml:space="preserve">, en sede de consulta la Sala debe revisar la legalidad de aquella decisión. </w:t>
      </w:r>
    </w:p>
    <w:p w:rsidR="00447A15" w:rsidRPr="003E7282" w:rsidRDefault="00447A15" w:rsidP="00B968E5">
      <w:pPr>
        <w:pStyle w:val="Sangradetextonormal"/>
        <w:spacing w:line="276" w:lineRule="auto"/>
        <w:rPr>
          <w:sz w:val="22"/>
          <w:szCs w:val="22"/>
        </w:rPr>
      </w:pPr>
    </w:p>
    <w:p w:rsidR="003A3BBB" w:rsidRPr="003E7282" w:rsidRDefault="003A3BBB" w:rsidP="00DD01F2">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3E7282">
        <w:rPr>
          <w:rFonts w:ascii="Tahoma" w:hAnsi="Tahoma" w:cs="Tahoma"/>
          <w:b/>
          <w:sz w:val="22"/>
          <w:szCs w:val="22"/>
        </w:rPr>
        <w:t>Consideraciones</w:t>
      </w:r>
    </w:p>
    <w:p w:rsidR="002F25EE" w:rsidRDefault="002F25EE" w:rsidP="00DD01F2">
      <w:pPr>
        <w:widowControl w:val="0"/>
        <w:autoSpaceDE w:val="0"/>
        <w:autoSpaceDN w:val="0"/>
        <w:adjustRightInd w:val="0"/>
        <w:spacing w:line="276" w:lineRule="auto"/>
        <w:ind w:firstLine="567"/>
        <w:jc w:val="both"/>
        <w:rPr>
          <w:rFonts w:ascii="Tahoma" w:hAnsi="Tahoma" w:cs="Tahoma"/>
          <w:b/>
          <w:sz w:val="22"/>
          <w:szCs w:val="22"/>
        </w:rPr>
      </w:pPr>
    </w:p>
    <w:p w:rsidR="0017162E" w:rsidRPr="0017162E" w:rsidRDefault="0017162E" w:rsidP="0017162E">
      <w:pPr>
        <w:spacing w:line="276" w:lineRule="auto"/>
        <w:ind w:firstLine="900"/>
        <w:jc w:val="both"/>
        <w:rPr>
          <w:rFonts w:ascii="Tahoma" w:hAnsi="Tahoma" w:cs="Tahoma"/>
          <w:b/>
          <w:sz w:val="22"/>
          <w:szCs w:val="22"/>
        </w:rPr>
      </w:pPr>
      <w:r w:rsidRPr="0017162E">
        <w:rPr>
          <w:rFonts w:ascii="Tahoma" w:hAnsi="Tahoma" w:cs="Tahoma"/>
          <w:b/>
          <w:sz w:val="22"/>
          <w:szCs w:val="22"/>
        </w:rPr>
        <w:t>4.1 Prueba idónea para verificar la pérdida de capacidad laboral, fecha de estructuración y origen de la misma.</w:t>
      </w:r>
    </w:p>
    <w:p w:rsidR="0017162E" w:rsidRPr="0017162E" w:rsidRDefault="0017162E" w:rsidP="0017162E">
      <w:pPr>
        <w:spacing w:line="276" w:lineRule="auto"/>
        <w:ind w:firstLine="900"/>
        <w:jc w:val="both"/>
        <w:rPr>
          <w:rFonts w:ascii="Arial Narrow" w:hAnsi="Arial Narrow" w:cs="Arial"/>
          <w:b/>
          <w:i/>
          <w:sz w:val="22"/>
          <w:szCs w:val="22"/>
        </w:rPr>
      </w:pPr>
    </w:p>
    <w:p w:rsidR="0017162E" w:rsidRPr="0017162E" w:rsidRDefault="0017162E" w:rsidP="0017162E">
      <w:pPr>
        <w:spacing w:line="276" w:lineRule="auto"/>
        <w:ind w:firstLine="900"/>
        <w:jc w:val="both"/>
        <w:rPr>
          <w:rFonts w:ascii="Tahoma" w:hAnsi="Tahoma" w:cs="Tahoma"/>
          <w:sz w:val="22"/>
          <w:szCs w:val="22"/>
        </w:rPr>
      </w:pPr>
      <w:r w:rsidRPr="0017162E">
        <w:rPr>
          <w:rFonts w:ascii="Tahoma" w:hAnsi="Tahoma" w:cs="Tahoma"/>
          <w:sz w:val="22"/>
          <w:szCs w:val="22"/>
        </w:rPr>
        <w:t xml:space="preserve">Con el fin de absolver el problema jurídico planteado es menester traer a colación lo expuesto por esta Corporación en sentencia del 20 de marzo de 2014, proferida dentro del proceso radicado con el número 2012-00529, M.P. </w:t>
      </w:r>
      <w:r>
        <w:rPr>
          <w:rFonts w:ascii="Tahoma" w:hAnsi="Tahoma" w:cs="Tahoma"/>
          <w:sz w:val="22"/>
          <w:szCs w:val="22"/>
        </w:rPr>
        <w:t xml:space="preserve">Francisco Javier Tamayo Tabares, </w:t>
      </w:r>
      <w:r w:rsidRPr="0017162E">
        <w:rPr>
          <w:rFonts w:ascii="Tahoma" w:hAnsi="Tahoma" w:cs="Tahoma"/>
          <w:sz w:val="22"/>
          <w:szCs w:val="22"/>
        </w:rPr>
        <w:t>en la que se sostuvo:</w:t>
      </w:r>
    </w:p>
    <w:p w:rsidR="0017162E" w:rsidRDefault="0017162E" w:rsidP="0017162E">
      <w:pPr>
        <w:spacing w:line="276" w:lineRule="auto"/>
        <w:ind w:firstLine="900"/>
        <w:jc w:val="both"/>
        <w:rPr>
          <w:rFonts w:ascii="Arial Narrow" w:hAnsi="Arial Narrow" w:cs="Arial"/>
          <w:sz w:val="22"/>
          <w:szCs w:val="22"/>
        </w:rPr>
      </w:pPr>
    </w:p>
    <w:p w:rsidR="0017162E" w:rsidRPr="0017162E" w:rsidRDefault="0017162E" w:rsidP="0017162E">
      <w:pPr>
        <w:ind w:left="709" w:right="618"/>
        <w:jc w:val="both"/>
        <w:rPr>
          <w:rFonts w:ascii="Arial Narrow" w:hAnsi="Arial Narrow" w:cs="Arial"/>
          <w:sz w:val="22"/>
          <w:szCs w:val="22"/>
        </w:rPr>
      </w:pPr>
      <w:r>
        <w:rPr>
          <w:rFonts w:ascii="Arial Narrow" w:hAnsi="Arial Narrow" w:cs="Arial"/>
          <w:sz w:val="22"/>
          <w:szCs w:val="22"/>
        </w:rPr>
        <w:t>“</w:t>
      </w:r>
      <w:r w:rsidRPr="0017162E">
        <w:rPr>
          <w:rFonts w:ascii="Arial Narrow" w:hAnsi="Arial Narrow" w:cs="Arial"/>
          <w:sz w:val="22"/>
          <w:szCs w:val="22"/>
        </w:rPr>
        <w:t xml:space="preserve">El artículo 41 de la Ley 100 de 1993 modificado por el artículo 142 del decreto 19 de 2012, establece que el estado de invalidez será determinado con base en el manual único para la calificación de invalidez vigente a la fecha de calificación, correspondiéndole al Instituto de Seguros Sociales, Administradora Colombiana de Pensiones -COLPENSIONES-, a las Administradoras de Riesgos Profesionales - ARP-, a las Compañías de Seguros que asuman el riesgo de invalidez y muerte, y a las Entidades Promotoras de Salud EPS, determinar en una primera oportunidad </w:t>
      </w:r>
      <w:proofErr w:type="spellStart"/>
      <w:r w:rsidRPr="0017162E">
        <w:rPr>
          <w:rFonts w:ascii="Arial Narrow" w:hAnsi="Arial Narrow" w:cs="Arial"/>
          <w:sz w:val="22"/>
          <w:szCs w:val="22"/>
        </w:rPr>
        <w:t>Ia</w:t>
      </w:r>
      <w:proofErr w:type="spellEnd"/>
      <w:r w:rsidRPr="0017162E">
        <w:rPr>
          <w:rFonts w:ascii="Arial Narrow" w:hAnsi="Arial Narrow" w:cs="Arial"/>
          <w:sz w:val="22"/>
          <w:szCs w:val="22"/>
        </w:rPr>
        <w:t xml:space="preserve"> pérdida de capacidad laboral y calificar el grado de invalidez y el origen de estas contingencias, y en caso de inconformidad frente a esa calificación, le corresponde a las Juntas Regionales de Calificación de Invalidez emitir nuevo dictamen, susceptible de apelación ante la Junta Nacional de Calificación de Invalidez. </w:t>
      </w:r>
    </w:p>
    <w:p w:rsidR="0017162E" w:rsidRPr="0017162E" w:rsidRDefault="0017162E" w:rsidP="0017162E">
      <w:pPr>
        <w:ind w:left="709" w:right="618"/>
        <w:jc w:val="both"/>
        <w:rPr>
          <w:rFonts w:ascii="Arial Narrow" w:hAnsi="Arial Narrow" w:cs="Arial"/>
          <w:sz w:val="22"/>
          <w:szCs w:val="22"/>
        </w:rPr>
      </w:pPr>
    </w:p>
    <w:p w:rsidR="0017162E" w:rsidRPr="0017162E" w:rsidRDefault="0017162E" w:rsidP="0017162E">
      <w:pPr>
        <w:ind w:left="709" w:right="618"/>
        <w:jc w:val="both"/>
        <w:rPr>
          <w:rFonts w:ascii="Arial Narrow" w:hAnsi="Arial Narrow" w:cs="Arial"/>
          <w:sz w:val="22"/>
          <w:szCs w:val="22"/>
        </w:rPr>
      </w:pPr>
      <w:r w:rsidRPr="0017162E">
        <w:rPr>
          <w:rFonts w:ascii="Arial Narrow" w:hAnsi="Arial Narrow" w:cs="Arial"/>
          <w:sz w:val="22"/>
          <w:szCs w:val="22"/>
        </w:rPr>
        <w:lastRenderedPageBreak/>
        <w:t xml:space="preserve">Consagra el mencionado art. 41, que el acto que declara </w:t>
      </w:r>
      <w:proofErr w:type="spellStart"/>
      <w:r w:rsidRPr="0017162E">
        <w:rPr>
          <w:rFonts w:ascii="Arial Narrow" w:hAnsi="Arial Narrow" w:cs="Arial"/>
          <w:sz w:val="22"/>
          <w:szCs w:val="22"/>
        </w:rPr>
        <w:t>Ia</w:t>
      </w:r>
      <w:proofErr w:type="spellEnd"/>
      <w:r w:rsidRPr="0017162E">
        <w:rPr>
          <w:rFonts w:ascii="Arial Narrow" w:hAnsi="Arial Narrow" w:cs="Arial"/>
          <w:sz w:val="22"/>
          <w:szCs w:val="22"/>
        </w:rPr>
        <w:t xml:space="preserve"> invalidez, deberá contener expresamente los fundamentos de hecho y de derecho que dieron origen a esta decisión.</w:t>
      </w:r>
    </w:p>
    <w:p w:rsidR="0017162E" w:rsidRPr="0017162E" w:rsidRDefault="0017162E" w:rsidP="0017162E">
      <w:pPr>
        <w:ind w:left="709" w:right="618"/>
        <w:jc w:val="both"/>
        <w:rPr>
          <w:rFonts w:ascii="Arial Narrow" w:hAnsi="Arial Narrow" w:cs="Arial"/>
          <w:sz w:val="22"/>
          <w:szCs w:val="22"/>
        </w:rPr>
      </w:pPr>
    </w:p>
    <w:p w:rsidR="0017162E" w:rsidRPr="0017162E" w:rsidRDefault="0017162E" w:rsidP="0017162E">
      <w:pPr>
        <w:ind w:left="709" w:right="618"/>
        <w:jc w:val="both"/>
        <w:rPr>
          <w:rFonts w:ascii="Arial Narrow" w:hAnsi="Arial Narrow" w:cs="Arial"/>
          <w:sz w:val="22"/>
          <w:szCs w:val="22"/>
        </w:rPr>
      </w:pPr>
      <w:r w:rsidRPr="0017162E">
        <w:rPr>
          <w:rFonts w:ascii="Arial Narrow" w:hAnsi="Arial Narrow" w:cs="Arial"/>
          <w:sz w:val="22"/>
          <w:szCs w:val="22"/>
        </w:rPr>
        <w:t xml:space="preserve">A su vez, el Decreto 2463 de 2001, en sus artículos 4 y 9, contempla, que las entidades facultadas para realizar la calificación de pérdida de capacidad laboral, deberán tener en cuenta para ello, el manual único para la calificación de invalidez, reglado en el decreto 917 de 1999; cataloga en primer lugar la fecha de estructuración del estado de invalidez; hace hincapié en sus fundamentos de hecho, con base en elementos probatorios tales como: historias clínicas, reportes, valoraciones o exámenes médicos periódicos; y en general, los que puedan servir de prueba para certificar una determinada relación causal, tales como certificado de cargos y labores, comisiones, realización de actividades, subordinación, uso de determinadas herramientas, aparatos, equipos o elementos, contratos de trabajo, estadísticas o testimonios, entre otros, que se relacionen con la patología, lesión o condición en estudio. En cuanto a los fundamentos de derecho, estas son las normas que se aplican al caso concreto. </w:t>
      </w:r>
      <w:r w:rsidRPr="0017162E">
        <w:rPr>
          <w:rFonts w:ascii="Arial Narrow" w:hAnsi="Arial Narrow" w:cs="Arial"/>
          <w:sz w:val="22"/>
          <w:szCs w:val="22"/>
        </w:rPr>
        <w:cr/>
        <w:t xml:space="preserve"> </w:t>
      </w:r>
    </w:p>
    <w:p w:rsidR="0017162E" w:rsidRPr="0017162E" w:rsidRDefault="0017162E" w:rsidP="0017162E">
      <w:pPr>
        <w:ind w:left="709" w:right="618"/>
        <w:jc w:val="both"/>
        <w:rPr>
          <w:rFonts w:ascii="Arial Narrow" w:hAnsi="Arial Narrow" w:cs="Arial"/>
          <w:sz w:val="22"/>
          <w:szCs w:val="22"/>
        </w:rPr>
      </w:pPr>
      <w:r w:rsidRPr="0017162E">
        <w:rPr>
          <w:rFonts w:ascii="Arial Narrow" w:hAnsi="Arial Narrow" w:cs="Arial"/>
          <w:sz w:val="22"/>
          <w:szCs w:val="22"/>
        </w:rPr>
        <w:t xml:space="preserve">En este orden de ideas, resulta de singular importancia que se recaude en el proceso, prueba técnica , con el fin de cotejar el dictamen cuestionado, y verificar, si el que es objeto de debate, estuvo de acuerdo con los parámetros señalados en el decreto 2463 de 2001. </w:t>
      </w:r>
    </w:p>
    <w:p w:rsidR="0017162E" w:rsidRPr="0017162E" w:rsidRDefault="0017162E" w:rsidP="0017162E">
      <w:pPr>
        <w:ind w:left="709" w:right="618"/>
        <w:jc w:val="both"/>
        <w:rPr>
          <w:rFonts w:ascii="Arial Narrow" w:hAnsi="Arial Narrow" w:cs="Arial"/>
          <w:sz w:val="22"/>
          <w:szCs w:val="22"/>
        </w:rPr>
      </w:pPr>
    </w:p>
    <w:p w:rsidR="0017162E" w:rsidRPr="0017162E" w:rsidRDefault="0017162E" w:rsidP="0017162E">
      <w:pPr>
        <w:ind w:left="709" w:right="618"/>
        <w:jc w:val="both"/>
        <w:rPr>
          <w:rFonts w:ascii="Arial Narrow" w:hAnsi="Arial Narrow" w:cs="Arial"/>
          <w:sz w:val="22"/>
          <w:szCs w:val="22"/>
        </w:rPr>
      </w:pPr>
      <w:r w:rsidRPr="0017162E">
        <w:rPr>
          <w:rFonts w:ascii="Arial Narrow" w:hAnsi="Arial Narrow" w:cs="Arial"/>
          <w:sz w:val="22"/>
          <w:szCs w:val="22"/>
        </w:rPr>
        <w:t xml:space="preserve">No sobra advertir que dada la especialísima materia, que se controvierte en esta especie de </w:t>
      </w:r>
      <w:proofErr w:type="spellStart"/>
      <w:r w:rsidRPr="0017162E">
        <w:rPr>
          <w:rFonts w:ascii="Arial Narrow" w:hAnsi="Arial Narrow" w:cs="Arial"/>
          <w:sz w:val="22"/>
          <w:szCs w:val="22"/>
        </w:rPr>
        <w:t>litis</w:t>
      </w:r>
      <w:proofErr w:type="spellEnd"/>
      <w:r w:rsidRPr="0017162E">
        <w:rPr>
          <w:rFonts w:ascii="Arial Narrow" w:hAnsi="Arial Narrow" w:cs="Arial"/>
          <w:sz w:val="22"/>
          <w:szCs w:val="22"/>
        </w:rPr>
        <w:t>, resulta imperioso la interacción de expertos, y la conclusión de sus resultados o experimentaciones, en la medida en que sirvan de soporte ineludible a las resultas de la contienda judicial, sin que por ello sustituya la labor del juez, a quien siempre le incumbe la tarea de sopesar los varios dictámenes, y ponderarlos acorde con la fuerza demostrativa que le imprime la sustentación fáctica y técnica de los mismos.</w:t>
      </w:r>
    </w:p>
    <w:p w:rsidR="0017162E" w:rsidRPr="0017162E" w:rsidRDefault="0017162E" w:rsidP="0017162E">
      <w:pPr>
        <w:ind w:left="709" w:right="618"/>
        <w:jc w:val="both"/>
        <w:rPr>
          <w:rFonts w:ascii="Arial Narrow" w:hAnsi="Arial Narrow" w:cs="Arial"/>
          <w:sz w:val="22"/>
          <w:szCs w:val="22"/>
        </w:rPr>
      </w:pPr>
    </w:p>
    <w:p w:rsidR="0017162E" w:rsidRPr="0017162E" w:rsidRDefault="0017162E" w:rsidP="0017162E">
      <w:pPr>
        <w:ind w:left="709" w:right="618"/>
        <w:jc w:val="both"/>
        <w:rPr>
          <w:rFonts w:ascii="Arial Narrow" w:hAnsi="Arial Narrow" w:cs="Arial"/>
          <w:sz w:val="22"/>
          <w:szCs w:val="22"/>
        </w:rPr>
      </w:pPr>
      <w:r w:rsidRPr="0017162E">
        <w:rPr>
          <w:rFonts w:ascii="Arial Narrow" w:hAnsi="Arial Narrow" w:cs="Arial"/>
          <w:sz w:val="22"/>
          <w:szCs w:val="22"/>
        </w:rPr>
        <w:t>Es de recibo, por otra parte, que la propia Junta Nacional de Calificación, a través de sus varias Salas, someta a su escrutinio, los dictámenes emitidos por ella, dado que ello no riñe con la reglamentación expedida por el Ministerio del Trabajo, mediante resolución No. 004726 del 12 de octubre de 2011, por cuanto, al contar con cuatro Salas de Decisión, integradas por diferentes miembros, basta que una de ellas emita el dictamen, para que otra lo revise, en vista de los cuestionamientos o reparos que se le puedan hacer a la primera, y otorgando mayor certeza al afiliado en torno a la capacidad laboral.</w:t>
      </w:r>
    </w:p>
    <w:p w:rsidR="0017162E" w:rsidRDefault="0017162E" w:rsidP="00DD01F2">
      <w:pPr>
        <w:widowControl w:val="0"/>
        <w:autoSpaceDE w:val="0"/>
        <w:autoSpaceDN w:val="0"/>
        <w:adjustRightInd w:val="0"/>
        <w:spacing w:line="276" w:lineRule="auto"/>
        <w:ind w:firstLine="567"/>
        <w:jc w:val="both"/>
        <w:rPr>
          <w:rFonts w:ascii="Tahoma" w:hAnsi="Tahoma" w:cs="Tahoma"/>
          <w:b/>
          <w:sz w:val="22"/>
          <w:szCs w:val="22"/>
        </w:rPr>
      </w:pPr>
    </w:p>
    <w:p w:rsidR="00746FF3" w:rsidRPr="003E7282" w:rsidRDefault="008F6075" w:rsidP="00DD01F2">
      <w:pPr>
        <w:widowControl w:val="0"/>
        <w:autoSpaceDE w:val="0"/>
        <w:autoSpaceDN w:val="0"/>
        <w:adjustRightInd w:val="0"/>
        <w:spacing w:line="276" w:lineRule="auto"/>
        <w:ind w:firstLine="567"/>
        <w:jc w:val="both"/>
        <w:rPr>
          <w:rFonts w:ascii="Tahoma" w:hAnsi="Tahoma" w:cs="Tahoma"/>
          <w:sz w:val="22"/>
          <w:szCs w:val="22"/>
        </w:rPr>
      </w:pPr>
      <w:r w:rsidRPr="003E7282">
        <w:rPr>
          <w:rFonts w:ascii="Tahoma" w:hAnsi="Tahoma" w:cs="Tahoma"/>
          <w:b/>
          <w:sz w:val="22"/>
          <w:szCs w:val="22"/>
        </w:rPr>
        <w:t xml:space="preserve">4.1 </w:t>
      </w:r>
      <w:r w:rsidR="00746FF3" w:rsidRPr="003E7282">
        <w:rPr>
          <w:rFonts w:ascii="Tahoma" w:hAnsi="Tahoma" w:cs="Tahoma"/>
          <w:b/>
          <w:sz w:val="22"/>
          <w:szCs w:val="22"/>
        </w:rPr>
        <w:t>Caso concreto</w:t>
      </w:r>
    </w:p>
    <w:p w:rsidR="004631FD" w:rsidRPr="003E7282" w:rsidRDefault="004631FD" w:rsidP="00B968E5">
      <w:pPr>
        <w:spacing w:line="276" w:lineRule="auto"/>
        <w:ind w:firstLine="567"/>
        <w:jc w:val="both"/>
        <w:rPr>
          <w:rFonts w:ascii="Tahoma" w:hAnsi="Tahoma" w:cs="Tahoma"/>
          <w:sz w:val="22"/>
          <w:szCs w:val="22"/>
        </w:rPr>
      </w:pPr>
    </w:p>
    <w:p w:rsidR="002F25EE" w:rsidRPr="002F44D0" w:rsidRDefault="002C39B2" w:rsidP="007D6629">
      <w:pPr>
        <w:tabs>
          <w:tab w:val="left" w:pos="748"/>
        </w:tabs>
        <w:spacing w:line="276" w:lineRule="auto"/>
        <w:ind w:firstLine="709"/>
        <w:jc w:val="both"/>
        <w:rPr>
          <w:rFonts w:ascii="Tahoma" w:hAnsi="Tahoma" w:cs="Tahoma"/>
          <w:bCs/>
          <w:sz w:val="22"/>
          <w:szCs w:val="22"/>
        </w:rPr>
      </w:pPr>
      <w:r>
        <w:rPr>
          <w:rFonts w:ascii="Tahoma" w:hAnsi="Tahoma" w:cs="Tahoma"/>
          <w:bCs/>
          <w:sz w:val="22"/>
          <w:szCs w:val="22"/>
        </w:rPr>
        <w:t xml:space="preserve">A efectos de resolver el problema jurídico planteado, considera la Sala que al girar la discusión en torno a los supuestos errores que cometió la Sala número 3 de la JNCI en el dictamen </w:t>
      </w:r>
      <w:r>
        <w:rPr>
          <w:rFonts w:ascii="Tahoma" w:hAnsi="Tahoma" w:cs="Tahoma"/>
          <w:sz w:val="22"/>
          <w:szCs w:val="22"/>
        </w:rPr>
        <w:t>42087121 del 3 de octubre de 2013, acertó la Jueza de instancia en la valoración que hizo respecto de la nuevo dictamen allegado por ese mismo organismo en curso del proceso, en el que, a través de su Sala número 1, concluyó</w:t>
      </w:r>
      <w:r w:rsidR="00573B9C">
        <w:rPr>
          <w:rFonts w:ascii="Tahoma" w:hAnsi="Tahoma" w:cs="Tahoma"/>
          <w:sz w:val="22"/>
          <w:szCs w:val="22"/>
        </w:rPr>
        <w:t xml:space="preserve"> en dictamen del 10 de agosto de 2016, d</w:t>
      </w:r>
      <w:r>
        <w:rPr>
          <w:rFonts w:ascii="Tahoma" w:hAnsi="Tahoma" w:cs="Tahoma"/>
          <w:sz w:val="22"/>
          <w:szCs w:val="22"/>
        </w:rPr>
        <w:t xml:space="preserve">e manera definitiva </w:t>
      </w:r>
      <w:r w:rsidRPr="002C39B2">
        <w:rPr>
          <w:rFonts w:ascii="Tahoma" w:hAnsi="Tahoma" w:cs="Tahoma"/>
          <w:i/>
          <w:sz w:val="22"/>
          <w:szCs w:val="22"/>
        </w:rPr>
        <w:t>–contrastando la historia clínica de la actora</w:t>
      </w:r>
      <w:r w:rsidR="00422011">
        <w:rPr>
          <w:rFonts w:ascii="Tahoma" w:hAnsi="Tahoma" w:cs="Tahoma"/>
          <w:i/>
          <w:sz w:val="22"/>
          <w:szCs w:val="22"/>
        </w:rPr>
        <w:t>,</w:t>
      </w:r>
      <w:r w:rsidRPr="002C39B2">
        <w:rPr>
          <w:rFonts w:ascii="Tahoma" w:hAnsi="Tahoma" w:cs="Tahoma"/>
          <w:i/>
          <w:sz w:val="22"/>
          <w:szCs w:val="22"/>
        </w:rPr>
        <w:t xml:space="preserve"> las calificaciones que se le habían realizado previamente</w:t>
      </w:r>
      <w:r w:rsidR="00422011">
        <w:rPr>
          <w:rFonts w:ascii="Tahoma" w:hAnsi="Tahoma" w:cs="Tahoma"/>
          <w:i/>
          <w:sz w:val="22"/>
          <w:szCs w:val="22"/>
        </w:rPr>
        <w:t xml:space="preserve"> y las inquietudes planteadas por el togado de ella</w:t>
      </w:r>
      <w:r w:rsidRPr="002C39B2">
        <w:rPr>
          <w:rFonts w:ascii="Tahoma" w:hAnsi="Tahoma" w:cs="Tahoma"/>
          <w:i/>
          <w:sz w:val="22"/>
          <w:szCs w:val="22"/>
        </w:rPr>
        <w:t>-</w:t>
      </w:r>
      <w:r>
        <w:rPr>
          <w:rFonts w:ascii="Tahoma" w:hAnsi="Tahoma" w:cs="Tahoma"/>
          <w:sz w:val="22"/>
          <w:szCs w:val="22"/>
        </w:rPr>
        <w:t xml:space="preserve">, </w:t>
      </w:r>
      <w:r w:rsidR="007D5F8C">
        <w:rPr>
          <w:rFonts w:ascii="Tahoma" w:hAnsi="Tahoma" w:cs="Tahoma"/>
          <w:sz w:val="22"/>
          <w:szCs w:val="22"/>
        </w:rPr>
        <w:t xml:space="preserve">que </w:t>
      </w:r>
      <w:r w:rsidR="002F44D0">
        <w:rPr>
          <w:rFonts w:ascii="Tahoma" w:hAnsi="Tahoma" w:cs="Tahoma"/>
          <w:sz w:val="22"/>
          <w:szCs w:val="22"/>
        </w:rPr>
        <w:t xml:space="preserve">la </w:t>
      </w:r>
      <w:r w:rsidR="007D5F8C">
        <w:rPr>
          <w:rFonts w:ascii="Tahoma" w:hAnsi="Tahoma" w:cs="Tahoma"/>
          <w:sz w:val="22"/>
          <w:szCs w:val="22"/>
        </w:rPr>
        <w:t xml:space="preserve">discapacidad laboral </w:t>
      </w:r>
      <w:r w:rsidR="002F44D0">
        <w:rPr>
          <w:rFonts w:ascii="Tahoma" w:hAnsi="Tahoma" w:cs="Tahoma"/>
          <w:sz w:val="22"/>
          <w:szCs w:val="22"/>
        </w:rPr>
        <w:t xml:space="preserve">de la señora Villegas Tabares </w:t>
      </w:r>
      <w:r w:rsidR="007D5F8C">
        <w:rPr>
          <w:rFonts w:ascii="Tahoma" w:hAnsi="Tahoma" w:cs="Tahoma"/>
          <w:sz w:val="22"/>
          <w:szCs w:val="22"/>
        </w:rPr>
        <w:t>e</w:t>
      </w:r>
      <w:r w:rsidR="002F44D0">
        <w:rPr>
          <w:rFonts w:ascii="Tahoma" w:hAnsi="Tahoma" w:cs="Tahoma"/>
          <w:sz w:val="22"/>
          <w:szCs w:val="22"/>
        </w:rPr>
        <w:t>s</w:t>
      </w:r>
      <w:r w:rsidR="007D5F8C">
        <w:rPr>
          <w:rFonts w:ascii="Tahoma" w:hAnsi="Tahoma" w:cs="Tahoma"/>
          <w:sz w:val="22"/>
          <w:szCs w:val="22"/>
        </w:rPr>
        <w:t xml:space="preserve"> del </w:t>
      </w:r>
      <w:r w:rsidR="007D5F8C" w:rsidRPr="002F44D0">
        <w:rPr>
          <w:rFonts w:ascii="Tahoma" w:hAnsi="Tahoma" w:cs="Tahoma"/>
          <w:bCs/>
          <w:sz w:val="22"/>
          <w:szCs w:val="22"/>
        </w:rPr>
        <w:t>42,81%</w:t>
      </w:r>
      <w:r w:rsidR="002F25EE" w:rsidRPr="002F44D0">
        <w:rPr>
          <w:rFonts w:ascii="Tahoma" w:hAnsi="Tahoma" w:cs="Tahoma"/>
          <w:bCs/>
          <w:sz w:val="22"/>
          <w:szCs w:val="22"/>
        </w:rPr>
        <w:t xml:space="preserve"> (</w:t>
      </w:r>
      <w:proofErr w:type="spellStart"/>
      <w:r w:rsidR="002F25EE" w:rsidRPr="002F44D0">
        <w:rPr>
          <w:rFonts w:ascii="Tahoma" w:hAnsi="Tahoma" w:cs="Tahoma"/>
          <w:bCs/>
          <w:sz w:val="22"/>
          <w:szCs w:val="22"/>
        </w:rPr>
        <w:t>fl</w:t>
      </w:r>
      <w:proofErr w:type="spellEnd"/>
      <w:r w:rsidR="002F25EE" w:rsidRPr="002F44D0">
        <w:rPr>
          <w:rFonts w:ascii="Tahoma" w:hAnsi="Tahoma" w:cs="Tahoma"/>
          <w:bCs/>
          <w:sz w:val="22"/>
          <w:szCs w:val="22"/>
        </w:rPr>
        <w:t>. 634).</w:t>
      </w:r>
    </w:p>
    <w:p w:rsidR="002F44D0" w:rsidRDefault="002F44D0" w:rsidP="002F44D0">
      <w:pPr>
        <w:tabs>
          <w:tab w:val="left" w:pos="748"/>
        </w:tabs>
        <w:spacing w:line="276" w:lineRule="auto"/>
        <w:ind w:firstLine="709"/>
        <w:jc w:val="both"/>
        <w:rPr>
          <w:rFonts w:ascii="Tahoma" w:hAnsi="Tahoma" w:cs="Tahoma"/>
          <w:bCs/>
          <w:sz w:val="22"/>
          <w:szCs w:val="22"/>
        </w:rPr>
      </w:pPr>
    </w:p>
    <w:p w:rsidR="00422011" w:rsidRDefault="00422011" w:rsidP="002F44D0">
      <w:pPr>
        <w:tabs>
          <w:tab w:val="left" w:pos="748"/>
        </w:tabs>
        <w:spacing w:line="276" w:lineRule="auto"/>
        <w:ind w:firstLine="709"/>
        <w:jc w:val="both"/>
        <w:rPr>
          <w:rFonts w:ascii="Tahoma" w:hAnsi="Tahoma" w:cs="Tahoma"/>
          <w:bCs/>
          <w:sz w:val="22"/>
          <w:szCs w:val="22"/>
        </w:rPr>
      </w:pPr>
      <w:r>
        <w:rPr>
          <w:rFonts w:ascii="Tahoma" w:hAnsi="Tahoma" w:cs="Tahoma"/>
          <w:bCs/>
          <w:sz w:val="22"/>
          <w:szCs w:val="22"/>
        </w:rPr>
        <w:t>En efecto, tanto en dicho documento como en la respuesta a los requerimientos que hiciera el apoderado de la demandante (</w:t>
      </w:r>
      <w:proofErr w:type="spellStart"/>
      <w:r>
        <w:rPr>
          <w:rFonts w:ascii="Tahoma" w:hAnsi="Tahoma" w:cs="Tahoma"/>
          <w:bCs/>
          <w:sz w:val="22"/>
          <w:szCs w:val="22"/>
        </w:rPr>
        <w:t>fl</w:t>
      </w:r>
      <w:proofErr w:type="spellEnd"/>
      <w:r>
        <w:rPr>
          <w:rFonts w:ascii="Tahoma" w:hAnsi="Tahoma" w:cs="Tahoma"/>
          <w:bCs/>
          <w:sz w:val="22"/>
          <w:szCs w:val="22"/>
        </w:rPr>
        <w:t xml:space="preserve">. 653 y s.s.) se advierte un estudio pormenorizado del estado físico y mental de la demandante, </w:t>
      </w:r>
      <w:r w:rsidR="00573B9C">
        <w:rPr>
          <w:rFonts w:ascii="Tahoma" w:hAnsi="Tahoma" w:cs="Tahoma"/>
          <w:bCs/>
          <w:sz w:val="22"/>
          <w:szCs w:val="22"/>
        </w:rPr>
        <w:t>de las enfermedades que padece y de la evolución o disminución de las mismas a lo largo del tiempo, incluyendo, claro está, todas aquellas que se echan de menos en la demanda, como quiera que el requerimiento que hiciera la operadora jurídica de instancia estuvo dirigido precisamente a esclarecer los puntos planteados en el libelo genitor, que aludían una supuesta omisión en el análisis y contabilización del porcentaje de algunas patologías.</w:t>
      </w:r>
    </w:p>
    <w:p w:rsidR="00422011" w:rsidRDefault="00422011" w:rsidP="002F44D0">
      <w:pPr>
        <w:tabs>
          <w:tab w:val="left" w:pos="748"/>
        </w:tabs>
        <w:spacing w:line="276" w:lineRule="auto"/>
        <w:ind w:firstLine="709"/>
        <w:jc w:val="both"/>
        <w:rPr>
          <w:rFonts w:ascii="Tahoma" w:hAnsi="Tahoma" w:cs="Tahoma"/>
          <w:bCs/>
          <w:sz w:val="22"/>
          <w:szCs w:val="22"/>
        </w:rPr>
      </w:pPr>
    </w:p>
    <w:p w:rsidR="00573B9C" w:rsidRDefault="00573B9C" w:rsidP="002F44D0">
      <w:pPr>
        <w:tabs>
          <w:tab w:val="left" w:pos="748"/>
        </w:tabs>
        <w:spacing w:line="276" w:lineRule="auto"/>
        <w:ind w:firstLine="709"/>
        <w:jc w:val="both"/>
        <w:rPr>
          <w:rFonts w:ascii="Tahoma" w:hAnsi="Tahoma" w:cs="Tahoma"/>
          <w:bCs/>
          <w:sz w:val="22"/>
          <w:szCs w:val="22"/>
        </w:rPr>
      </w:pPr>
      <w:r>
        <w:rPr>
          <w:rFonts w:ascii="Tahoma" w:hAnsi="Tahoma" w:cs="Tahoma"/>
          <w:bCs/>
          <w:sz w:val="22"/>
          <w:szCs w:val="22"/>
        </w:rPr>
        <w:t>Confrontando el dictamen emitido en el curso del proceso y aquel del cual se pretende la declaración de nulidad (</w:t>
      </w:r>
      <w:proofErr w:type="spellStart"/>
      <w:r>
        <w:rPr>
          <w:rFonts w:ascii="Tahoma" w:hAnsi="Tahoma" w:cs="Tahoma"/>
          <w:bCs/>
          <w:sz w:val="22"/>
          <w:szCs w:val="22"/>
        </w:rPr>
        <w:t>fl</w:t>
      </w:r>
      <w:proofErr w:type="spellEnd"/>
      <w:r>
        <w:rPr>
          <w:rFonts w:ascii="Tahoma" w:hAnsi="Tahoma" w:cs="Tahoma"/>
          <w:bCs/>
          <w:sz w:val="22"/>
          <w:szCs w:val="22"/>
        </w:rPr>
        <w:t xml:space="preserve">. 33 s.s.), se advierte que a pesar de que fueron emitidos por distintas Sala de la JNCI, </w:t>
      </w:r>
      <w:r w:rsidR="008378A0">
        <w:rPr>
          <w:rFonts w:ascii="Tahoma" w:hAnsi="Tahoma" w:cs="Tahoma"/>
          <w:bCs/>
          <w:sz w:val="22"/>
          <w:szCs w:val="22"/>
        </w:rPr>
        <w:t>su contenido guarda coherencia en cuanto al estudio mesurado que se hizo al proceso clínico de la señora Adriana Villegas y de las secuelas que han dejados sus enfermedades</w:t>
      </w:r>
      <w:r w:rsidR="00D7224B">
        <w:rPr>
          <w:rFonts w:ascii="Tahoma" w:hAnsi="Tahoma" w:cs="Tahoma"/>
          <w:bCs/>
          <w:sz w:val="22"/>
          <w:szCs w:val="22"/>
        </w:rPr>
        <w:t xml:space="preserve">; ambas difieren sustancialmente del dictamen emitido por la Junta Regional de Calificación de Risaralda, </w:t>
      </w:r>
      <w:r w:rsidR="000441C9">
        <w:rPr>
          <w:rFonts w:ascii="Tahoma" w:hAnsi="Tahoma" w:cs="Tahoma"/>
          <w:bCs/>
          <w:sz w:val="22"/>
          <w:szCs w:val="22"/>
        </w:rPr>
        <w:t>el 27 de febrero</w:t>
      </w:r>
      <w:r w:rsidR="008378A0">
        <w:rPr>
          <w:rFonts w:ascii="Tahoma" w:hAnsi="Tahoma" w:cs="Tahoma"/>
          <w:bCs/>
          <w:sz w:val="22"/>
          <w:szCs w:val="22"/>
        </w:rPr>
        <w:t xml:space="preserve"> </w:t>
      </w:r>
      <w:r w:rsidR="000441C9">
        <w:rPr>
          <w:rFonts w:ascii="Tahoma" w:hAnsi="Tahoma" w:cs="Tahoma"/>
          <w:bCs/>
          <w:sz w:val="22"/>
          <w:szCs w:val="22"/>
        </w:rPr>
        <w:t>de 2012, que otorgó una pérdida de capacidad laboral del 52,90%, fundando la diferencia, básicamente  en una correcta valoración del porcentaje que emerge del conjunto de enfermedades y la disminución de las mismas,</w:t>
      </w:r>
    </w:p>
    <w:p w:rsidR="00573B9C" w:rsidRPr="002F44D0" w:rsidRDefault="00573B9C" w:rsidP="002F44D0">
      <w:pPr>
        <w:tabs>
          <w:tab w:val="left" w:pos="748"/>
        </w:tabs>
        <w:spacing w:line="276" w:lineRule="auto"/>
        <w:ind w:firstLine="709"/>
        <w:jc w:val="both"/>
        <w:rPr>
          <w:rFonts w:ascii="Tahoma" w:hAnsi="Tahoma" w:cs="Tahoma"/>
          <w:bCs/>
          <w:sz w:val="22"/>
          <w:szCs w:val="22"/>
        </w:rPr>
      </w:pPr>
    </w:p>
    <w:p w:rsidR="002F44D0" w:rsidRPr="002F44D0" w:rsidRDefault="000441C9" w:rsidP="00573B9C">
      <w:pPr>
        <w:pStyle w:val="Textoindependiente32"/>
        <w:spacing w:line="276" w:lineRule="auto"/>
        <w:ind w:firstLine="708"/>
        <w:rPr>
          <w:rFonts w:ascii="Tahoma" w:hAnsi="Tahoma" w:cs="Tahoma"/>
          <w:bCs/>
          <w:sz w:val="22"/>
          <w:szCs w:val="22"/>
          <w:lang w:val="es-ES"/>
        </w:rPr>
      </w:pPr>
      <w:r>
        <w:rPr>
          <w:rFonts w:ascii="Tahoma" w:hAnsi="Tahoma" w:cs="Tahoma"/>
          <w:bCs/>
          <w:sz w:val="22"/>
          <w:szCs w:val="22"/>
          <w:lang w:val="es-ES"/>
        </w:rPr>
        <w:t xml:space="preserve">Así las cosas, debe </w:t>
      </w:r>
      <w:r w:rsidR="006F3B31">
        <w:rPr>
          <w:rFonts w:ascii="Tahoma" w:hAnsi="Tahoma" w:cs="Tahoma"/>
          <w:bCs/>
          <w:sz w:val="22"/>
          <w:szCs w:val="22"/>
          <w:lang w:val="es-ES"/>
        </w:rPr>
        <w:t xml:space="preserve">indicar esta Colegiatura </w:t>
      </w:r>
      <w:r w:rsidR="002F44D0" w:rsidRPr="002F44D0">
        <w:rPr>
          <w:rFonts w:ascii="Tahoma" w:hAnsi="Tahoma" w:cs="Tahoma"/>
          <w:bCs/>
          <w:sz w:val="22"/>
          <w:szCs w:val="22"/>
          <w:lang w:val="es-ES"/>
        </w:rPr>
        <w:t>que el dictamen emitido por la Junta Nacional de Calificación de Invalidez</w:t>
      </w:r>
      <w:r w:rsidR="006F3B31">
        <w:rPr>
          <w:rFonts w:ascii="Tahoma" w:hAnsi="Tahoma" w:cs="Tahoma"/>
          <w:bCs/>
          <w:sz w:val="22"/>
          <w:szCs w:val="22"/>
          <w:lang w:val="es-ES"/>
        </w:rPr>
        <w:t xml:space="preserve"> el 3 de octubre de 2013</w:t>
      </w:r>
      <w:r w:rsidR="002F44D0" w:rsidRPr="002F44D0">
        <w:rPr>
          <w:rFonts w:ascii="Tahoma" w:hAnsi="Tahoma" w:cs="Tahoma"/>
          <w:bCs/>
          <w:sz w:val="22"/>
          <w:szCs w:val="22"/>
          <w:lang w:val="es-ES"/>
        </w:rPr>
        <w:t xml:space="preserve">, </w:t>
      </w:r>
      <w:r w:rsidR="006F3B31">
        <w:rPr>
          <w:rFonts w:ascii="Tahoma" w:hAnsi="Tahoma" w:cs="Tahoma"/>
          <w:bCs/>
          <w:sz w:val="22"/>
          <w:szCs w:val="22"/>
          <w:lang w:val="es-ES"/>
        </w:rPr>
        <w:t xml:space="preserve">se realizó en el marco </w:t>
      </w:r>
      <w:r w:rsidR="002F44D0" w:rsidRPr="002F44D0">
        <w:rPr>
          <w:rFonts w:ascii="Tahoma" w:hAnsi="Tahoma" w:cs="Tahoma"/>
          <w:bCs/>
          <w:sz w:val="22"/>
          <w:szCs w:val="22"/>
          <w:lang w:val="es-ES"/>
        </w:rPr>
        <w:t xml:space="preserve">del </w:t>
      </w:r>
      <w:r w:rsidR="006F3B31" w:rsidRPr="002F44D0">
        <w:rPr>
          <w:rFonts w:ascii="Tahoma" w:hAnsi="Tahoma" w:cs="Tahoma"/>
          <w:bCs/>
          <w:sz w:val="22"/>
          <w:szCs w:val="22"/>
          <w:lang w:val="es-ES"/>
        </w:rPr>
        <w:t xml:space="preserve">Decreto </w:t>
      </w:r>
      <w:r w:rsidR="002F44D0" w:rsidRPr="002F44D0">
        <w:rPr>
          <w:rFonts w:ascii="Tahoma" w:hAnsi="Tahoma" w:cs="Tahoma"/>
          <w:bCs/>
          <w:sz w:val="22"/>
          <w:szCs w:val="22"/>
          <w:lang w:val="es-ES"/>
        </w:rPr>
        <w:t>2463 de 2001, sin que los fundamentos de hecho y derecho, ofrezcan reparo alguno,</w:t>
      </w:r>
      <w:r w:rsidR="006F3B31">
        <w:rPr>
          <w:rFonts w:ascii="Tahoma" w:hAnsi="Tahoma" w:cs="Tahoma"/>
          <w:bCs/>
          <w:sz w:val="22"/>
          <w:szCs w:val="22"/>
          <w:lang w:val="es-ES"/>
        </w:rPr>
        <w:t xml:space="preserve"> para concluir que la demandante no supera el 50% de pérdida de capacidad laboral que, eventualmente, le daría derecho a percibir la pensión de invalidez que reclama; concluyéndose además que el dictamen emitido en curso del proceso </w:t>
      </w:r>
      <w:r w:rsidR="002F44D0" w:rsidRPr="002F44D0">
        <w:rPr>
          <w:rFonts w:ascii="Tahoma" w:hAnsi="Tahoma" w:cs="Tahoma"/>
          <w:bCs/>
          <w:sz w:val="22"/>
          <w:szCs w:val="22"/>
          <w:lang w:val="es-ES"/>
        </w:rPr>
        <w:t xml:space="preserve"> es soporte valido para definir la contienda, máxime cuando allí se pone de presente un conjunto de causas o dolencias, que no permiten descontextualizarla al momento de determinar </w:t>
      </w:r>
      <w:r w:rsidR="006F3B31">
        <w:rPr>
          <w:rFonts w:ascii="Tahoma" w:hAnsi="Tahoma" w:cs="Tahoma"/>
          <w:bCs/>
          <w:sz w:val="22"/>
          <w:szCs w:val="22"/>
          <w:lang w:val="es-ES"/>
        </w:rPr>
        <w:t>el porcentaje de pérdida de capacidad laboral.</w:t>
      </w:r>
    </w:p>
    <w:p w:rsidR="006442C9" w:rsidRDefault="007D5F8C" w:rsidP="00864DC4">
      <w:pPr>
        <w:tabs>
          <w:tab w:val="left" w:pos="748"/>
        </w:tabs>
        <w:spacing w:line="276" w:lineRule="auto"/>
        <w:ind w:firstLine="709"/>
        <w:jc w:val="both"/>
        <w:rPr>
          <w:rFonts w:ascii="Tahoma" w:hAnsi="Tahoma" w:cs="Tahoma"/>
          <w:sz w:val="22"/>
          <w:szCs w:val="22"/>
          <w:lang w:val="es-CO"/>
        </w:rPr>
      </w:pPr>
      <w:r>
        <w:rPr>
          <w:rFonts w:ascii="Tahoma" w:hAnsi="Tahoma" w:cs="Tahoma"/>
          <w:sz w:val="22"/>
          <w:szCs w:val="22"/>
        </w:rPr>
        <w:t xml:space="preserve"> </w:t>
      </w:r>
    </w:p>
    <w:p w:rsidR="007D6629" w:rsidRPr="00CE54D4" w:rsidRDefault="006442C9" w:rsidP="007D6629">
      <w:pPr>
        <w:pStyle w:val="Textoindependiente21"/>
        <w:spacing w:line="276" w:lineRule="auto"/>
        <w:ind w:firstLine="708"/>
        <w:rPr>
          <w:rFonts w:ascii="Tahoma" w:hAnsi="Tahoma" w:cs="Tahoma"/>
          <w:b w:val="0"/>
          <w:iCs/>
          <w:color w:val="000000"/>
          <w:sz w:val="22"/>
          <w:szCs w:val="22"/>
          <w:bdr w:val="none" w:sz="0" w:space="0" w:color="auto" w:frame="1"/>
        </w:rPr>
      </w:pPr>
      <w:r>
        <w:rPr>
          <w:rFonts w:ascii="Tahoma" w:hAnsi="Tahoma" w:cs="Tahoma"/>
          <w:b w:val="0"/>
          <w:iCs/>
          <w:color w:val="000000"/>
          <w:sz w:val="22"/>
          <w:szCs w:val="22"/>
          <w:bdr w:val="none" w:sz="0" w:space="0" w:color="auto" w:frame="1"/>
        </w:rPr>
        <w:t xml:space="preserve">La condena en costas de primera instancia no se modificará. </w:t>
      </w:r>
      <w:r w:rsidR="007D6629" w:rsidRPr="00CE54D4">
        <w:rPr>
          <w:rFonts w:ascii="Tahoma" w:hAnsi="Tahoma" w:cs="Tahoma"/>
          <w:b w:val="0"/>
          <w:iCs/>
          <w:color w:val="000000"/>
          <w:sz w:val="22"/>
          <w:szCs w:val="22"/>
          <w:bdr w:val="none" w:sz="0" w:space="0" w:color="auto" w:frame="1"/>
        </w:rPr>
        <w:t>Sin lugar a costas en este grado jurisdiccional.</w:t>
      </w:r>
    </w:p>
    <w:p w:rsidR="007D6629" w:rsidRPr="00AC6C9A" w:rsidRDefault="007D6629" w:rsidP="007D6629">
      <w:pPr>
        <w:pStyle w:val="Textoindependiente21"/>
        <w:spacing w:line="276" w:lineRule="auto"/>
        <w:rPr>
          <w:rFonts w:ascii="Tahoma" w:hAnsi="Tahoma" w:cs="Tahoma"/>
          <w:iCs/>
          <w:color w:val="000000"/>
          <w:sz w:val="22"/>
          <w:szCs w:val="22"/>
          <w:bdr w:val="none" w:sz="0" w:space="0" w:color="auto" w:frame="1"/>
        </w:rPr>
      </w:pPr>
    </w:p>
    <w:p w:rsidR="007D6629" w:rsidRPr="00AC6C9A" w:rsidRDefault="007D6629" w:rsidP="007D6629">
      <w:pPr>
        <w:tabs>
          <w:tab w:val="left" w:pos="748"/>
        </w:tabs>
        <w:spacing w:line="276" w:lineRule="auto"/>
        <w:jc w:val="both"/>
        <w:rPr>
          <w:rFonts w:ascii="Tahoma" w:hAnsi="Tahoma" w:cs="Tahoma"/>
          <w:iCs/>
          <w:sz w:val="22"/>
          <w:szCs w:val="22"/>
        </w:rPr>
      </w:pPr>
      <w:r w:rsidRPr="00AC6C9A">
        <w:rPr>
          <w:rFonts w:ascii="Tahoma" w:hAnsi="Tahoma" w:cs="Tahoma"/>
          <w:sz w:val="22"/>
          <w:szCs w:val="22"/>
        </w:rPr>
        <w:tab/>
        <w:t xml:space="preserve">En mérito de  lo expuesto, el </w:t>
      </w:r>
      <w:r w:rsidRPr="00AC6C9A">
        <w:rPr>
          <w:rFonts w:ascii="Tahoma" w:hAnsi="Tahoma" w:cs="Tahoma"/>
          <w:b/>
          <w:sz w:val="22"/>
          <w:szCs w:val="22"/>
        </w:rPr>
        <w:t>Tribunal Superior del Distrito Judicial de Pereira (Risaralda)</w:t>
      </w:r>
      <w:r w:rsidRPr="00AC6C9A">
        <w:rPr>
          <w:rFonts w:ascii="Tahoma" w:hAnsi="Tahoma" w:cs="Tahoma"/>
          <w:sz w:val="22"/>
          <w:szCs w:val="22"/>
        </w:rPr>
        <w:t xml:space="preserve">, </w:t>
      </w:r>
      <w:r w:rsidRPr="00AC6C9A">
        <w:rPr>
          <w:rFonts w:ascii="Tahoma" w:hAnsi="Tahoma" w:cs="Tahoma"/>
          <w:b/>
          <w:sz w:val="22"/>
          <w:szCs w:val="22"/>
        </w:rPr>
        <w:t>Sala Laboral No. 1</w:t>
      </w:r>
      <w:r w:rsidRPr="00AC6C9A">
        <w:rPr>
          <w:rFonts w:ascii="Tahoma" w:hAnsi="Tahoma" w:cs="Tahoma"/>
          <w:sz w:val="22"/>
          <w:szCs w:val="22"/>
        </w:rPr>
        <w:t>, Administrando Justicia en Nombre de la República y por autoridad de la Ley,</w:t>
      </w:r>
    </w:p>
    <w:p w:rsidR="007D6629" w:rsidRPr="00AC6C9A" w:rsidRDefault="007D6629" w:rsidP="007D6629">
      <w:pPr>
        <w:widowControl w:val="0"/>
        <w:autoSpaceDE w:val="0"/>
        <w:autoSpaceDN w:val="0"/>
        <w:adjustRightInd w:val="0"/>
        <w:spacing w:line="276" w:lineRule="auto"/>
        <w:jc w:val="center"/>
        <w:rPr>
          <w:rFonts w:ascii="Tahoma" w:hAnsi="Tahoma" w:cs="Tahoma"/>
          <w:b/>
          <w:sz w:val="22"/>
          <w:szCs w:val="22"/>
        </w:rPr>
      </w:pPr>
      <w:r w:rsidRPr="00AC6C9A">
        <w:rPr>
          <w:rFonts w:ascii="Tahoma" w:hAnsi="Tahoma" w:cs="Tahoma"/>
          <w:b/>
          <w:sz w:val="22"/>
          <w:szCs w:val="22"/>
        </w:rPr>
        <w:t>R E S U E L V E:</w:t>
      </w:r>
    </w:p>
    <w:p w:rsidR="007D6629" w:rsidRPr="00AC6C9A" w:rsidRDefault="007D6629" w:rsidP="007D6629">
      <w:pPr>
        <w:widowControl w:val="0"/>
        <w:autoSpaceDE w:val="0"/>
        <w:autoSpaceDN w:val="0"/>
        <w:adjustRightInd w:val="0"/>
        <w:spacing w:line="276" w:lineRule="auto"/>
        <w:jc w:val="center"/>
        <w:rPr>
          <w:rFonts w:ascii="Tahoma" w:hAnsi="Tahoma" w:cs="Tahoma"/>
          <w:b/>
          <w:sz w:val="22"/>
          <w:szCs w:val="22"/>
        </w:rPr>
      </w:pPr>
    </w:p>
    <w:p w:rsidR="007D6629" w:rsidRDefault="007D6629" w:rsidP="00422011">
      <w:pPr>
        <w:spacing w:line="276" w:lineRule="auto"/>
        <w:ind w:firstLine="708"/>
        <w:jc w:val="both"/>
        <w:rPr>
          <w:rFonts w:ascii="Tahoma" w:hAnsi="Tahoma" w:cs="Tahoma"/>
          <w:b/>
          <w:sz w:val="22"/>
          <w:szCs w:val="22"/>
          <w:lang w:val="es-ES_tradnl"/>
        </w:rPr>
      </w:pPr>
      <w:r w:rsidRPr="00AC6C9A">
        <w:rPr>
          <w:rFonts w:ascii="Tahoma" w:hAnsi="Tahoma" w:cs="Tahoma"/>
          <w:b/>
          <w:sz w:val="22"/>
          <w:szCs w:val="22"/>
          <w:u w:val="single"/>
        </w:rPr>
        <w:t>PRIMERO</w:t>
      </w:r>
      <w:r w:rsidRPr="00AC6C9A">
        <w:rPr>
          <w:rFonts w:ascii="Tahoma" w:hAnsi="Tahoma" w:cs="Tahoma"/>
          <w:sz w:val="22"/>
          <w:szCs w:val="22"/>
        </w:rPr>
        <w:t xml:space="preserve">.- </w:t>
      </w:r>
      <w:r w:rsidR="00864DC4" w:rsidRPr="00864DC4">
        <w:rPr>
          <w:rFonts w:ascii="Tahoma" w:hAnsi="Tahoma" w:cs="Tahoma"/>
          <w:b/>
          <w:sz w:val="22"/>
          <w:szCs w:val="22"/>
        </w:rPr>
        <w:t>CONFIRMAR</w:t>
      </w:r>
      <w:r w:rsidR="00864DC4">
        <w:rPr>
          <w:rFonts w:ascii="Tahoma" w:hAnsi="Tahoma" w:cs="Tahoma"/>
          <w:sz w:val="22"/>
          <w:szCs w:val="22"/>
        </w:rPr>
        <w:t xml:space="preserve"> </w:t>
      </w:r>
      <w:r w:rsidRPr="00AC6C9A">
        <w:rPr>
          <w:rFonts w:ascii="Tahoma" w:hAnsi="Tahoma" w:cs="Tahoma"/>
          <w:sz w:val="22"/>
          <w:szCs w:val="22"/>
        </w:rPr>
        <w:t xml:space="preserve">la sentencia dictada por el Juzgado </w:t>
      </w:r>
      <w:r w:rsidR="00864DC4">
        <w:rPr>
          <w:rFonts w:ascii="Tahoma" w:hAnsi="Tahoma" w:cs="Tahoma"/>
          <w:sz w:val="22"/>
          <w:szCs w:val="22"/>
        </w:rPr>
        <w:t xml:space="preserve">Quinto </w:t>
      </w:r>
      <w:r>
        <w:rPr>
          <w:rFonts w:ascii="Tahoma" w:hAnsi="Tahoma" w:cs="Tahoma"/>
          <w:sz w:val="22"/>
          <w:szCs w:val="22"/>
        </w:rPr>
        <w:t xml:space="preserve"> </w:t>
      </w:r>
      <w:r w:rsidRPr="00AC6C9A">
        <w:rPr>
          <w:rFonts w:ascii="Tahoma" w:hAnsi="Tahoma" w:cs="Tahoma"/>
          <w:sz w:val="22"/>
          <w:szCs w:val="22"/>
        </w:rPr>
        <w:t xml:space="preserve">Laboral del Circuito de Pereira dentro del proceso iniciado por </w:t>
      </w:r>
      <w:r w:rsidR="00864DC4">
        <w:rPr>
          <w:rFonts w:ascii="Tahoma" w:hAnsi="Tahoma" w:cs="Tahoma"/>
          <w:b/>
          <w:sz w:val="22"/>
          <w:szCs w:val="22"/>
        </w:rPr>
        <w:t xml:space="preserve">Adriana Villegas Tabares </w:t>
      </w:r>
      <w:r w:rsidRPr="00AC6C9A">
        <w:rPr>
          <w:rFonts w:ascii="Tahoma" w:hAnsi="Tahoma" w:cs="Tahoma"/>
          <w:sz w:val="22"/>
          <w:szCs w:val="22"/>
          <w:lang w:val="es-ES_tradnl"/>
        </w:rPr>
        <w:t xml:space="preserve">en contra de la </w:t>
      </w:r>
      <w:r w:rsidR="00422011" w:rsidRPr="00EF75A3">
        <w:rPr>
          <w:rFonts w:ascii="Tahoma" w:hAnsi="Tahoma" w:cs="Tahoma"/>
          <w:b/>
          <w:sz w:val="22"/>
          <w:szCs w:val="22"/>
          <w:lang w:val="es-ES_tradnl"/>
        </w:rPr>
        <w:t>Junta Nacional de Calificación de Invalidez</w:t>
      </w:r>
      <w:r w:rsidR="00422011">
        <w:rPr>
          <w:rFonts w:ascii="Tahoma" w:hAnsi="Tahoma" w:cs="Tahoma"/>
          <w:sz w:val="22"/>
          <w:szCs w:val="22"/>
          <w:lang w:val="es-ES_tradnl"/>
        </w:rPr>
        <w:t xml:space="preserve"> y la </w:t>
      </w:r>
      <w:r w:rsidR="00422011" w:rsidRPr="00EF75A3">
        <w:rPr>
          <w:rFonts w:ascii="Tahoma" w:hAnsi="Tahoma" w:cs="Tahoma"/>
          <w:b/>
          <w:sz w:val="22"/>
          <w:szCs w:val="22"/>
          <w:lang w:val="es-ES_tradnl"/>
        </w:rPr>
        <w:t>AFP Protección</w:t>
      </w:r>
      <w:r w:rsidR="00422011">
        <w:rPr>
          <w:rFonts w:ascii="Tahoma" w:hAnsi="Tahoma" w:cs="Tahoma"/>
          <w:b/>
          <w:sz w:val="22"/>
          <w:szCs w:val="22"/>
          <w:lang w:val="es-ES_tradnl"/>
        </w:rPr>
        <w:t>.</w:t>
      </w:r>
    </w:p>
    <w:p w:rsidR="00422011" w:rsidRPr="00AC6C9A" w:rsidRDefault="00422011" w:rsidP="00422011">
      <w:pPr>
        <w:spacing w:line="276" w:lineRule="auto"/>
        <w:ind w:firstLine="708"/>
        <w:jc w:val="both"/>
        <w:rPr>
          <w:rFonts w:ascii="Tahoma" w:hAnsi="Tahoma" w:cs="Tahoma"/>
          <w:sz w:val="22"/>
          <w:szCs w:val="22"/>
        </w:rPr>
      </w:pPr>
    </w:p>
    <w:p w:rsidR="007D6629" w:rsidRPr="00AC6C9A" w:rsidRDefault="007D6629" w:rsidP="007D6629">
      <w:pPr>
        <w:ind w:firstLine="709"/>
        <w:jc w:val="both"/>
        <w:rPr>
          <w:rFonts w:ascii="Tahoma" w:hAnsi="Tahoma" w:cs="Tahoma"/>
          <w:sz w:val="22"/>
          <w:szCs w:val="22"/>
        </w:rPr>
      </w:pPr>
      <w:r w:rsidRPr="00AC6C9A">
        <w:rPr>
          <w:rFonts w:ascii="Tahoma" w:hAnsi="Tahoma" w:cs="Tahoma"/>
          <w:b/>
          <w:sz w:val="22"/>
          <w:szCs w:val="22"/>
        </w:rPr>
        <w:t>SEGUNDO</w:t>
      </w:r>
      <w:r w:rsidRPr="00AC6C9A">
        <w:rPr>
          <w:rFonts w:ascii="Tahoma" w:hAnsi="Tahoma" w:cs="Tahoma"/>
          <w:sz w:val="22"/>
          <w:szCs w:val="22"/>
        </w:rPr>
        <w:t xml:space="preserve">: </w:t>
      </w:r>
      <w:r w:rsidR="00422011" w:rsidRPr="00AC6C9A">
        <w:rPr>
          <w:rFonts w:ascii="Tahoma" w:hAnsi="Tahoma" w:cs="Tahoma"/>
          <w:b/>
          <w:sz w:val="22"/>
          <w:szCs w:val="22"/>
        </w:rPr>
        <w:t>SIN COSTAS</w:t>
      </w:r>
      <w:r w:rsidR="00422011" w:rsidRPr="00AC6C9A">
        <w:rPr>
          <w:rFonts w:ascii="Tahoma" w:hAnsi="Tahoma" w:cs="Tahoma"/>
          <w:sz w:val="22"/>
          <w:szCs w:val="22"/>
        </w:rPr>
        <w:t xml:space="preserve"> en este grado jurisdiccional.</w:t>
      </w:r>
    </w:p>
    <w:p w:rsidR="007D6629" w:rsidRPr="00AC6C9A" w:rsidRDefault="007D6629" w:rsidP="007D6629">
      <w:pPr>
        <w:ind w:firstLine="709"/>
        <w:jc w:val="both"/>
        <w:rPr>
          <w:rFonts w:ascii="Tahoma" w:hAnsi="Tahoma" w:cs="Tahoma"/>
          <w:sz w:val="22"/>
          <w:szCs w:val="22"/>
        </w:rPr>
      </w:pPr>
    </w:p>
    <w:p w:rsidR="007D6629" w:rsidRPr="00AC6C9A" w:rsidRDefault="007D6629" w:rsidP="007D6629">
      <w:pPr>
        <w:widowControl w:val="0"/>
        <w:autoSpaceDE w:val="0"/>
        <w:autoSpaceDN w:val="0"/>
        <w:adjustRightInd w:val="0"/>
        <w:jc w:val="both"/>
        <w:rPr>
          <w:rFonts w:ascii="Tahoma" w:hAnsi="Tahoma" w:cs="Tahoma"/>
          <w:b/>
          <w:bCs/>
          <w:sz w:val="22"/>
          <w:szCs w:val="22"/>
        </w:rPr>
      </w:pPr>
      <w:r w:rsidRPr="00AC6C9A">
        <w:rPr>
          <w:rFonts w:ascii="Tahoma" w:hAnsi="Tahoma" w:cs="Tahoma"/>
          <w:sz w:val="22"/>
          <w:szCs w:val="22"/>
        </w:rPr>
        <w:tab/>
      </w:r>
      <w:r w:rsidRPr="00AC6C9A">
        <w:rPr>
          <w:rFonts w:ascii="Tahoma" w:hAnsi="Tahoma" w:cs="Tahoma"/>
          <w:bCs/>
          <w:sz w:val="22"/>
          <w:szCs w:val="22"/>
        </w:rPr>
        <w:t xml:space="preserve">Notificación surtida en estrados. </w:t>
      </w:r>
      <w:r w:rsidRPr="00AC6C9A">
        <w:rPr>
          <w:rFonts w:ascii="Tahoma" w:hAnsi="Tahoma" w:cs="Tahoma"/>
          <w:sz w:val="22"/>
          <w:szCs w:val="22"/>
        </w:rPr>
        <w:t>Cúmplase y devuélvase el expediente al Juzgado de origen.</w:t>
      </w:r>
    </w:p>
    <w:p w:rsidR="007D6629" w:rsidRPr="00AC6C9A" w:rsidRDefault="007D6629" w:rsidP="007D6629">
      <w:pPr>
        <w:jc w:val="both"/>
        <w:rPr>
          <w:rFonts w:ascii="Tahoma" w:hAnsi="Tahoma" w:cs="Tahoma"/>
          <w:sz w:val="22"/>
          <w:szCs w:val="22"/>
        </w:rPr>
      </w:pPr>
      <w:r w:rsidRPr="00AC6C9A">
        <w:rPr>
          <w:rFonts w:ascii="Tahoma" w:hAnsi="Tahoma" w:cs="Tahoma"/>
          <w:sz w:val="22"/>
          <w:szCs w:val="22"/>
        </w:rPr>
        <w:t xml:space="preserve"> </w:t>
      </w:r>
    </w:p>
    <w:p w:rsidR="007D6629" w:rsidRPr="00AC6C9A" w:rsidRDefault="007D6629" w:rsidP="007D6629">
      <w:pPr>
        <w:ind w:firstLine="708"/>
        <w:jc w:val="both"/>
        <w:rPr>
          <w:rFonts w:ascii="Tahoma" w:hAnsi="Tahoma" w:cs="Tahoma"/>
          <w:sz w:val="22"/>
          <w:szCs w:val="22"/>
        </w:rPr>
      </w:pPr>
      <w:r w:rsidRPr="00AC6C9A">
        <w:rPr>
          <w:rFonts w:ascii="Tahoma" w:hAnsi="Tahoma" w:cs="Tahoma"/>
          <w:sz w:val="22"/>
          <w:szCs w:val="22"/>
        </w:rPr>
        <w:t>La Magistrada,</w:t>
      </w:r>
    </w:p>
    <w:p w:rsidR="007D6629" w:rsidRDefault="007D6629" w:rsidP="007D6629">
      <w:pPr>
        <w:rPr>
          <w:rFonts w:ascii="Tahoma" w:hAnsi="Tahoma" w:cs="Tahoma"/>
          <w:sz w:val="22"/>
          <w:szCs w:val="22"/>
        </w:rPr>
      </w:pPr>
    </w:p>
    <w:p w:rsidR="007D6629" w:rsidRPr="00AC6C9A" w:rsidRDefault="007D6629" w:rsidP="007D6629">
      <w:pPr>
        <w:pStyle w:val="Ttulo3"/>
        <w:spacing w:before="0" w:after="0" w:line="276" w:lineRule="auto"/>
        <w:jc w:val="center"/>
        <w:rPr>
          <w:rFonts w:ascii="Tahoma" w:hAnsi="Tahoma" w:cs="Tahoma"/>
          <w:bCs w:val="0"/>
          <w:sz w:val="22"/>
          <w:szCs w:val="22"/>
        </w:rPr>
      </w:pPr>
      <w:r w:rsidRPr="00AC6C9A">
        <w:rPr>
          <w:rFonts w:ascii="Tahoma" w:hAnsi="Tahoma" w:cs="Tahoma"/>
          <w:bCs w:val="0"/>
          <w:sz w:val="22"/>
          <w:szCs w:val="22"/>
        </w:rPr>
        <w:t>ANA LUCÍA CAICEDO CALDERÓN</w:t>
      </w:r>
    </w:p>
    <w:p w:rsidR="007D6629" w:rsidRDefault="007D6629" w:rsidP="007D6629">
      <w:pPr>
        <w:rPr>
          <w:rFonts w:ascii="Tahoma" w:hAnsi="Tahoma" w:cs="Tahoma"/>
          <w:b/>
          <w:sz w:val="22"/>
          <w:szCs w:val="22"/>
        </w:rPr>
      </w:pPr>
    </w:p>
    <w:p w:rsidR="007D6629" w:rsidRPr="00AC6C9A" w:rsidRDefault="007D6629" w:rsidP="007D6629">
      <w:pPr>
        <w:rPr>
          <w:rFonts w:ascii="Tahoma" w:hAnsi="Tahoma" w:cs="Tahoma"/>
          <w:b/>
          <w:sz w:val="22"/>
          <w:szCs w:val="22"/>
        </w:rPr>
      </w:pPr>
    </w:p>
    <w:p w:rsidR="007D6629" w:rsidRPr="00AC6C9A" w:rsidRDefault="007D6629" w:rsidP="007D6629">
      <w:pPr>
        <w:ind w:firstLine="708"/>
        <w:rPr>
          <w:rFonts w:ascii="Tahoma" w:hAnsi="Tahoma" w:cs="Tahoma"/>
          <w:sz w:val="22"/>
          <w:szCs w:val="22"/>
        </w:rPr>
      </w:pPr>
      <w:r w:rsidRPr="00AC6C9A">
        <w:rPr>
          <w:rFonts w:ascii="Tahoma" w:hAnsi="Tahoma" w:cs="Tahoma"/>
          <w:sz w:val="22"/>
          <w:szCs w:val="22"/>
        </w:rPr>
        <w:t>Los Magistrados,</w:t>
      </w:r>
    </w:p>
    <w:p w:rsidR="007D6629" w:rsidRPr="00AC6C9A" w:rsidRDefault="007D6629" w:rsidP="007D6629">
      <w:pPr>
        <w:rPr>
          <w:rFonts w:ascii="Tahoma" w:hAnsi="Tahoma" w:cs="Tahoma"/>
          <w:b/>
          <w:sz w:val="22"/>
          <w:szCs w:val="22"/>
        </w:rPr>
      </w:pPr>
    </w:p>
    <w:p w:rsidR="007D6629" w:rsidRDefault="007D6629" w:rsidP="007D6629">
      <w:pPr>
        <w:rPr>
          <w:rFonts w:ascii="Tahoma" w:hAnsi="Tahoma" w:cs="Tahoma"/>
          <w:b/>
          <w:sz w:val="22"/>
          <w:szCs w:val="22"/>
        </w:rPr>
      </w:pPr>
    </w:p>
    <w:p w:rsidR="007D6629" w:rsidRPr="00AC6C9A" w:rsidRDefault="007D6629" w:rsidP="007D6629">
      <w:pPr>
        <w:rPr>
          <w:rFonts w:ascii="Tahoma" w:hAnsi="Tahoma" w:cs="Tahoma"/>
          <w:b/>
          <w:sz w:val="22"/>
          <w:szCs w:val="22"/>
        </w:rPr>
      </w:pPr>
    </w:p>
    <w:p w:rsidR="007D6629" w:rsidRPr="00AC6C9A" w:rsidRDefault="007D6629" w:rsidP="007D6629">
      <w:pPr>
        <w:rPr>
          <w:rFonts w:ascii="Tahoma" w:hAnsi="Tahoma" w:cs="Tahoma"/>
          <w:b/>
          <w:sz w:val="22"/>
          <w:szCs w:val="22"/>
        </w:rPr>
      </w:pPr>
    </w:p>
    <w:p w:rsidR="007D6629" w:rsidRPr="00AC6C9A" w:rsidRDefault="007D6629" w:rsidP="007D6629">
      <w:pPr>
        <w:rPr>
          <w:rFonts w:ascii="Tahoma" w:hAnsi="Tahoma" w:cs="Tahoma"/>
          <w:b/>
          <w:sz w:val="22"/>
          <w:szCs w:val="22"/>
        </w:rPr>
      </w:pPr>
    </w:p>
    <w:p w:rsidR="007D6629" w:rsidRPr="00AC6C9A" w:rsidRDefault="007D6629" w:rsidP="007D6629">
      <w:pPr>
        <w:rPr>
          <w:rFonts w:ascii="Tahoma" w:hAnsi="Tahoma" w:cs="Tahoma"/>
          <w:b/>
          <w:sz w:val="22"/>
          <w:szCs w:val="22"/>
        </w:rPr>
      </w:pPr>
      <w:r>
        <w:rPr>
          <w:rFonts w:ascii="Tahoma" w:hAnsi="Tahoma" w:cs="Tahoma"/>
          <w:b/>
          <w:sz w:val="22"/>
          <w:szCs w:val="22"/>
        </w:rPr>
        <w:t xml:space="preserve">OLGA LUCÍA HOYOS SEPULVEDA </w:t>
      </w:r>
      <w:r w:rsidRPr="00AC6C9A">
        <w:rPr>
          <w:rFonts w:ascii="Tahoma" w:hAnsi="Tahoma" w:cs="Tahoma"/>
          <w:b/>
          <w:sz w:val="22"/>
          <w:szCs w:val="22"/>
        </w:rPr>
        <w:t xml:space="preserve"> </w:t>
      </w:r>
      <w:r>
        <w:rPr>
          <w:rFonts w:ascii="Tahoma" w:hAnsi="Tahoma" w:cs="Tahoma"/>
          <w:b/>
          <w:sz w:val="22"/>
          <w:szCs w:val="22"/>
        </w:rPr>
        <w:t xml:space="preserve">                                 </w:t>
      </w:r>
      <w:r w:rsidRPr="00AC6C9A">
        <w:rPr>
          <w:rFonts w:ascii="Tahoma" w:hAnsi="Tahoma" w:cs="Tahoma"/>
          <w:b/>
          <w:sz w:val="22"/>
          <w:szCs w:val="22"/>
        </w:rPr>
        <w:t xml:space="preserve">JULIO CÉSAR SALAZAR MUÑOZ                                  </w:t>
      </w:r>
    </w:p>
    <w:p w:rsidR="007D6629" w:rsidRDefault="007D6629" w:rsidP="007D6629">
      <w:pPr>
        <w:jc w:val="both"/>
        <w:rPr>
          <w:rFonts w:ascii="Tahoma" w:hAnsi="Tahoma" w:cs="Tahoma"/>
          <w:sz w:val="22"/>
          <w:szCs w:val="22"/>
        </w:rPr>
      </w:pPr>
      <w:r>
        <w:rPr>
          <w:rFonts w:ascii="Tahoma" w:hAnsi="Tahoma" w:cs="Tahoma"/>
          <w:sz w:val="22"/>
          <w:szCs w:val="22"/>
        </w:rPr>
        <w:t xml:space="preserve">             </w:t>
      </w:r>
      <w:r w:rsidRPr="00AC6C9A">
        <w:rPr>
          <w:rFonts w:ascii="Tahoma" w:hAnsi="Tahoma" w:cs="Tahoma"/>
          <w:sz w:val="22"/>
          <w:szCs w:val="22"/>
        </w:rPr>
        <w:t>Magistra</w:t>
      </w:r>
      <w:r>
        <w:rPr>
          <w:rFonts w:ascii="Tahoma" w:hAnsi="Tahoma" w:cs="Tahoma"/>
          <w:sz w:val="22"/>
          <w:szCs w:val="22"/>
        </w:rPr>
        <w:t xml:space="preserve">da                                                                      </w:t>
      </w:r>
      <w:r w:rsidRPr="007D6629">
        <w:rPr>
          <w:rFonts w:ascii="Tahoma" w:hAnsi="Tahoma" w:cs="Tahoma"/>
          <w:sz w:val="22"/>
          <w:szCs w:val="22"/>
        </w:rPr>
        <w:t xml:space="preserve"> </w:t>
      </w:r>
      <w:r w:rsidRPr="00AC6C9A">
        <w:rPr>
          <w:rFonts w:ascii="Tahoma" w:hAnsi="Tahoma" w:cs="Tahoma"/>
          <w:sz w:val="22"/>
          <w:szCs w:val="22"/>
        </w:rPr>
        <w:t>Magistrado</w:t>
      </w:r>
    </w:p>
    <w:p w:rsidR="007D6629" w:rsidRDefault="007D6629" w:rsidP="007D6629">
      <w:pPr>
        <w:jc w:val="center"/>
        <w:rPr>
          <w:rFonts w:ascii="Tahoma" w:hAnsi="Tahoma" w:cs="Tahoma"/>
          <w:sz w:val="22"/>
          <w:szCs w:val="22"/>
        </w:rPr>
      </w:pPr>
    </w:p>
    <w:p w:rsidR="007D6629" w:rsidRPr="00AC6C9A" w:rsidRDefault="007D6629" w:rsidP="007D6629">
      <w:pPr>
        <w:jc w:val="center"/>
        <w:rPr>
          <w:rFonts w:ascii="Tahoma" w:hAnsi="Tahoma" w:cs="Tahoma"/>
          <w:b/>
          <w:sz w:val="22"/>
          <w:szCs w:val="22"/>
        </w:rPr>
      </w:pPr>
    </w:p>
    <w:p w:rsidR="007D6629" w:rsidRDefault="007D6629" w:rsidP="007D6629">
      <w:pPr>
        <w:pStyle w:val="NormalWeb"/>
        <w:spacing w:before="0" w:beforeAutospacing="0" w:after="0" w:afterAutospacing="0" w:line="276" w:lineRule="auto"/>
        <w:jc w:val="center"/>
        <w:rPr>
          <w:rFonts w:ascii="Tahoma" w:hAnsi="Tahoma" w:cs="Tahoma"/>
          <w:b/>
          <w:iCs/>
          <w:color w:val="000000"/>
          <w:sz w:val="22"/>
          <w:szCs w:val="22"/>
          <w:bdr w:val="none" w:sz="0" w:space="0" w:color="auto" w:frame="1"/>
          <w:lang w:val="es-CO"/>
        </w:rPr>
      </w:pPr>
    </w:p>
    <w:p w:rsidR="007D6629" w:rsidRDefault="007D6629" w:rsidP="007D6629">
      <w:pPr>
        <w:pStyle w:val="NormalWeb"/>
        <w:spacing w:before="0" w:beforeAutospacing="0" w:after="0" w:afterAutospacing="0" w:line="276" w:lineRule="auto"/>
        <w:jc w:val="center"/>
        <w:rPr>
          <w:rFonts w:ascii="Tahoma" w:hAnsi="Tahoma" w:cs="Tahoma"/>
          <w:b/>
          <w:iCs/>
          <w:color w:val="000000"/>
          <w:sz w:val="22"/>
          <w:szCs w:val="22"/>
          <w:bdr w:val="none" w:sz="0" w:space="0" w:color="auto" w:frame="1"/>
          <w:lang w:val="es-CO"/>
        </w:rPr>
      </w:pPr>
    </w:p>
    <w:p w:rsidR="007D6629" w:rsidRPr="00AC6C9A" w:rsidRDefault="007D6629" w:rsidP="007D6629">
      <w:pPr>
        <w:pStyle w:val="NormalWeb"/>
        <w:spacing w:before="0" w:beforeAutospacing="0" w:after="0" w:afterAutospacing="0" w:line="276" w:lineRule="auto"/>
        <w:jc w:val="center"/>
        <w:rPr>
          <w:rFonts w:ascii="Tahoma" w:hAnsi="Tahoma" w:cs="Tahoma"/>
          <w:b/>
          <w:iCs/>
          <w:color w:val="000000"/>
          <w:sz w:val="22"/>
          <w:szCs w:val="22"/>
          <w:bdr w:val="none" w:sz="0" w:space="0" w:color="auto" w:frame="1"/>
          <w:lang w:val="es-CO"/>
        </w:rPr>
      </w:pPr>
    </w:p>
    <w:sectPr w:rsidR="007D6629" w:rsidRPr="00AC6C9A" w:rsidSect="00767572">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955" w:rsidRDefault="002A6955">
      <w:r>
        <w:separator/>
      </w:r>
    </w:p>
  </w:endnote>
  <w:endnote w:type="continuationSeparator" w:id="0">
    <w:p w:rsidR="002A6955" w:rsidRDefault="002A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C0C" w:rsidRDefault="002E0C0C">
    <w:pPr>
      <w:pStyle w:val="Piedepgina"/>
      <w:jc w:val="right"/>
    </w:pPr>
    <w:r>
      <w:fldChar w:fldCharType="begin"/>
    </w:r>
    <w:r>
      <w:instrText>PAGE   \* MERGEFORMAT</w:instrText>
    </w:r>
    <w:r>
      <w:fldChar w:fldCharType="separate"/>
    </w:r>
    <w:r w:rsidR="00124945">
      <w:rPr>
        <w:noProof/>
      </w:rPr>
      <w:t>5</w:t>
    </w:r>
    <w:r>
      <w:fldChar w:fldCharType="end"/>
    </w:r>
  </w:p>
  <w:p w:rsidR="002E0C0C" w:rsidRDefault="002E0C0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C0C" w:rsidRDefault="002E0C0C">
    <w:pPr>
      <w:pStyle w:val="Piedepgina"/>
      <w:jc w:val="right"/>
    </w:pPr>
    <w:r>
      <w:fldChar w:fldCharType="begin"/>
    </w:r>
    <w:r>
      <w:instrText>PAGE   \* MERGEFORMAT</w:instrText>
    </w:r>
    <w:r>
      <w:fldChar w:fldCharType="separate"/>
    </w:r>
    <w:r w:rsidR="00124945">
      <w:rPr>
        <w:noProof/>
      </w:rPr>
      <w:t>1</w:t>
    </w:r>
    <w:r>
      <w:fldChar w:fldCharType="end"/>
    </w:r>
  </w:p>
  <w:p w:rsidR="002E0C0C" w:rsidRDefault="002E0C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955" w:rsidRDefault="002A6955">
      <w:r>
        <w:separator/>
      </w:r>
    </w:p>
  </w:footnote>
  <w:footnote w:type="continuationSeparator" w:id="0">
    <w:p w:rsidR="002A6955" w:rsidRDefault="002A6955">
      <w:r>
        <w:continuationSeparator/>
      </w:r>
    </w:p>
  </w:footnote>
  <w:footnote w:id="1">
    <w:p w:rsidR="002F25EE" w:rsidRPr="002F25EE" w:rsidRDefault="002F25EE">
      <w:pPr>
        <w:pStyle w:val="Textonotapie"/>
        <w:rPr>
          <w:lang w:val="es-CO"/>
        </w:rPr>
      </w:pPr>
      <w:r>
        <w:rPr>
          <w:rStyle w:val="Refdenotaalpie"/>
        </w:rPr>
        <w:footnoteRef/>
      </w:r>
      <w:r>
        <w:t xml:space="preserve"> </w:t>
      </w:r>
      <w:r w:rsidRPr="0017162E">
        <w:rPr>
          <w:sz w:val="16"/>
          <w:szCs w:val="16"/>
          <w:lang w:val="es-CO"/>
        </w:rPr>
        <w:t xml:space="preserve">Tribunal Superior de Pereira – Sala Laboral, </w:t>
      </w:r>
      <w:r w:rsidR="0017162E" w:rsidRPr="0017162E">
        <w:rPr>
          <w:sz w:val="16"/>
          <w:szCs w:val="16"/>
          <w:lang w:val="es-CO"/>
        </w:rPr>
        <w:t>sentencia del 20 de marzo de 2014. Radicado 2012-00529. M.P. Francisco Javier Tamayo Tabares.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C0C" w:rsidRDefault="002E0C0C">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E0C0C" w:rsidRDefault="002E0C0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C0C" w:rsidRPr="0007735C" w:rsidRDefault="002E0C0C" w:rsidP="0007735C">
    <w:pPr>
      <w:pStyle w:val="Puesto"/>
      <w:spacing w:line="240" w:lineRule="auto"/>
      <w:jc w:val="both"/>
      <w:rPr>
        <w:rFonts w:ascii="Times New Roman" w:hAnsi="Times New Roman" w:cs="Times New Roman"/>
        <w:b w:val="0"/>
        <w:sz w:val="16"/>
        <w:szCs w:val="16"/>
      </w:rPr>
    </w:pPr>
    <w:r w:rsidRPr="0007735C">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07735C">
      <w:rPr>
        <w:rFonts w:ascii="Times New Roman" w:hAnsi="Times New Roman" w:cs="Times New Roman"/>
        <w:b w:val="0"/>
        <w:sz w:val="16"/>
        <w:szCs w:val="16"/>
      </w:rPr>
      <w:t>66001-31-05-005-2014-00467-01</w:t>
    </w:r>
  </w:p>
  <w:p w:rsidR="002E0C0C" w:rsidRPr="0007735C" w:rsidRDefault="002E0C0C" w:rsidP="0007735C">
    <w:pPr>
      <w:pStyle w:val="Puesto"/>
      <w:spacing w:line="240" w:lineRule="auto"/>
      <w:jc w:val="both"/>
      <w:rPr>
        <w:rFonts w:ascii="Times New Roman" w:hAnsi="Times New Roman" w:cs="Times New Roman"/>
        <w:b w:val="0"/>
        <w:sz w:val="16"/>
        <w:szCs w:val="16"/>
      </w:rPr>
    </w:pPr>
    <w:r w:rsidRPr="0007735C">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07735C">
      <w:rPr>
        <w:rFonts w:ascii="Times New Roman" w:hAnsi="Times New Roman" w:cs="Times New Roman"/>
        <w:b w:val="0"/>
        <w:sz w:val="16"/>
        <w:szCs w:val="16"/>
      </w:rPr>
      <w:t>Adriana Villegas Tabares</w:t>
    </w:r>
  </w:p>
  <w:p w:rsidR="002E0C0C" w:rsidRPr="0007735C" w:rsidRDefault="002E0C0C" w:rsidP="0007735C">
    <w:pPr>
      <w:pStyle w:val="Puesto"/>
      <w:spacing w:line="240" w:lineRule="auto"/>
      <w:jc w:val="both"/>
      <w:rPr>
        <w:rFonts w:ascii="Times New Roman" w:hAnsi="Times New Roman" w:cs="Times New Roman"/>
        <w:b w:val="0"/>
        <w:sz w:val="16"/>
        <w:szCs w:val="16"/>
      </w:rPr>
    </w:pPr>
    <w:r w:rsidRPr="0007735C">
      <w:rPr>
        <w:rFonts w:ascii="Times New Roman" w:hAnsi="Times New Roman" w:cs="Times New Roman"/>
        <w:b w:val="0"/>
        <w:sz w:val="16"/>
        <w:szCs w:val="16"/>
      </w:rPr>
      <w:t>Demandados:</w:t>
    </w:r>
    <w:r>
      <w:rPr>
        <w:rFonts w:ascii="Times New Roman" w:hAnsi="Times New Roman" w:cs="Times New Roman"/>
        <w:b w:val="0"/>
        <w:sz w:val="16"/>
        <w:szCs w:val="16"/>
      </w:rPr>
      <w:t xml:space="preserve"> </w:t>
    </w:r>
    <w:r w:rsidRPr="0007735C">
      <w:rPr>
        <w:rFonts w:ascii="Times New Roman" w:hAnsi="Times New Roman" w:cs="Times New Roman"/>
        <w:b w:val="0"/>
        <w:sz w:val="16"/>
        <w:szCs w:val="16"/>
      </w:rPr>
      <w:t>Junta Nacional de Calificación de Invalidez y Protección S.A.</w:t>
    </w:r>
  </w:p>
  <w:p w:rsidR="002E0C0C" w:rsidRDefault="002E0C0C" w:rsidP="007A350B">
    <w:pPr>
      <w:pStyle w:val="Puesto"/>
      <w:spacing w:line="240" w:lineRule="auto"/>
      <w:ind w:left="708" w:hanging="708"/>
      <w:jc w:val="both"/>
      <w:rPr>
        <w:rFonts w:ascii="Times New Roman" w:hAnsi="Times New Roman" w:cs="Times New Roman"/>
        <w:b w:val="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7">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2">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3">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6">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1">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2">
    <w:nsid w:val="6094659B"/>
    <w:multiLevelType w:val="hybridMultilevel"/>
    <w:tmpl w:val="2736C4EA"/>
    <w:lvl w:ilvl="0" w:tplc="575E27E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3">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4">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5">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6">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8"/>
  </w:num>
  <w:num w:numId="2">
    <w:abstractNumId w:val="27"/>
  </w:num>
  <w:num w:numId="3">
    <w:abstractNumId w:val="16"/>
  </w:num>
  <w:num w:numId="4">
    <w:abstractNumId w:val="15"/>
  </w:num>
  <w:num w:numId="5">
    <w:abstractNumId w:val="12"/>
  </w:num>
  <w:num w:numId="6">
    <w:abstractNumId w:val="10"/>
  </w:num>
  <w:num w:numId="7">
    <w:abstractNumId w:val="9"/>
  </w:num>
  <w:num w:numId="8">
    <w:abstractNumId w:val="3"/>
  </w:num>
  <w:num w:numId="9">
    <w:abstractNumId w:val="6"/>
  </w:num>
  <w:num w:numId="10">
    <w:abstractNumId w:val="7"/>
  </w:num>
  <w:num w:numId="11">
    <w:abstractNumId w:val="5"/>
  </w:num>
  <w:num w:numId="12">
    <w:abstractNumId w:val="2"/>
  </w:num>
  <w:num w:numId="13">
    <w:abstractNumId w:val="1"/>
  </w:num>
  <w:num w:numId="14">
    <w:abstractNumId w:val="20"/>
  </w:num>
  <w:num w:numId="15">
    <w:abstractNumId w:val="23"/>
  </w:num>
  <w:num w:numId="16">
    <w:abstractNumId w:val="21"/>
  </w:num>
  <w:num w:numId="17">
    <w:abstractNumId w:val="11"/>
  </w:num>
  <w:num w:numId="18">
    <w:abstractNumId w:val="25"/>
  </w:num>
  <w:num w:numId="19">
    <w:abstractNumId w:val="26"/>
  </w:num>
  <w:num w:numId="20">
    <w:abstractNumId w:val="17"/>
  </w:num>
  <w:num w:numId="21">
    <w:abstractNumId w:val="24"/>
  </w:num>
  <w:num w:numId="22">
    <w:abstractNumId w:val="19"/>
  </w:num>
  <w:num w:numId="23">
    <w:abstractNumId w:val="18"/>
  </w:num>
  <w:num w:numId="24">
    <w:abstractNumId w:val="0"/>
  </w:num>
  <w:num w:numId="25">
    <w:abstractNumId w:val="14"/>
  </w:num>
  <w:num w:numId="26">
    <w:abstractNumId w:val="13"/>
  </w:num>
  <w:num w:numId="27">
    <w:abstractNumId w:val="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709"/>
    <w:rsid w:val="0000089E"/>
    <w:rsid w:val="0000167C"/>
    <w:rsid w:val="00001D0B"/>
    <w:rsid w:val="00001E22"/>
    <w:rsid w:val="00002362"/>
    <w:rsid w:val="000043B8"/>
    <w:rsid w:val="0000451C"/>
    <w:rsid w:val="000057C8"/>
    <w:rsid w:val="00006084"/>
    <w:rsid w:val="0000616E"/>
    <w:rsid w:val="000067FE"/>
    <w:rsid w:val="00006AB3"/>
    <w:rsid w:val="000108A0"/>
    <w:rsid w:val="000108FA"/>
    <w:rsid w:val="000113A2"/>
    <w:rsid w:val="000117AB"/>
    <w:rsid w:val="00011DC0"/>
    <w:rsid w:val="000138D2"/>
    <w:rsid w:val="00014101"/>
    <w:rsid w:val="000149FB"/>
    <w:rsid w:val="00014F1A"/>
    <w:rsid w:val="000153D6"/>
    <w:rsid w:val="00015677"/>
    <w:rsid w:val="00015C7D"/>
    <w:rsid w:val="00016CEA"/>
    <w:rsid w:val="00020B62"/>
    <w:rsid w:val="00020EAD"/>
    <w:rsid w:val="00021B46"/>
    <w:rsid w:val="000228BF"/>
    <w:rsid w:val="00022A5C"/>
    <w:rsid w:val="0002387D"/>
    <w:rsid w:val="0002448C"/>
    <w:rsid w:val="00025895"/>
    <w:rsid w:val="00026905"/>
    <w:rsid w:val="000271CA"/>
    <w:rsid w:val="00027965"/>
    <w:rsid w:val="00027E37"/>
    <w:rsid w:val="00027F51"/>
    <w:rsid w:val="00035929"/>
    <w:rsid w:val="00035D3A"/>
    <w:rsid w:val="000360E7"/>
    <w:rsid w:val="00036C06"/>
    <w:rsid w:val="00037530"/>
    <w:rsid w:val="00037FB7"/>
    <w:rsid w:val="000400DC"/>
    <w:rsid w:val="000424DD"/>
    <w:rsid w:val="000424FE"/>
    <w:rsid w:val="00042D64"/>
    <w:rsid w:val="00043582"/>
    <w:rsid w:val="000441C9"/>
    <w:rsid w:val="00044C28"/>
    <w:rsid w:val="00045950"/>
    <w:rsid w:val="00046230"/>
    <w:rsid w:val="000502A9"/>
    <w:rsid w:val="00050B8B"/>
    <w:rsid w:val="000516FA"/>
    <w:rsid w:val="00053767"/>
    <w:rsid w:val="000539D9"/>
    <w:rsid w:val="00057644"/>
    <w:rsid w:val="0006298A"/>
    <w:rsid w:val="000633A0"/>
    <w:rsid w:val="00065765"/>
    <w:rsid w:val="00065E53"/>
    <w:rsid w:val="00067227"/>
    <w:rsid w:val="0007089E"/>
    <w:rsid w:val="00071C2C"/>
    <w:rsid w:val="00074115"/>
    <w:rsid w:val="00074717"/>
    <w:rsid w:val="00074F03"/>
    <w:rsid w:val="000755E0"/>
    <w:rsid w:val="00075CDE"/>
    <w:rsid w:val="000768A1"/>
    <w:rsid w:val="000770E2"/>
    <w:rsid w:val="0007735C"/>
    <w:rsid w:val="00077395"/>
    <w:rsid w:val="000804F3"/>
    <w:rsid w:val="0008113C"/>
    <w:rsid w:val="000816D0"/>
    <w:rsid w:val="000816F3"/>
    <w:rsid w:val="000821A3"/>
    <w:rsid w:val="00082836"/>
    <w:rsid w:val="00082F11"/>
    <w:rsid w:val="000834E1"/>
    <w:rsid w:val="00083CA4"/>
    <w:rsid w:val="0008449C"/>
    <w:rsid w:val="00084F5B"/>
    <w:rsid w:val="00085416"/>
    <w:rsid w:val="00085A34"/>
    <w:rsid w:val="00085F79"/>
    <w:rsid w:val="0008652F"/>
    <w:rsid w:val="00086703"/>
    <w:rsid w:val="00087119"/>
    <w:rsid w:val="0009004B"/>
    <w:rsid w:val="00090314"/>
    <w:rsid w:val="00090391"/>
    <w:rsid w:val="00091C87"/>
    <w:rsid w:val="000934B4"/>
    <w:rsid w:val="000934F5"/>
    <w:rsid w:val="00093D21"/>
    <w:rsid w:val="00093DFA"/>
    <w:rsid w:val="000945BA"/>
    <w:rsid w:val="0009470B"/>
    <w:rsid w:val="00094805"/>
    <w:rsid w:val="0009509A"/>
    <w:rsid w:val="00096148"/>
    <w:rsid w:val="00096A81"/>
    <w:rsid w:val="00096C52"/>
    <w:rsid w:val="0009794F"/>
    <w:rsid w:val="000A2266"/>
    <w:rsid w:val="000A22BF"/>
    <w:rsid w:val="000A23F4"/>
    <w:rsid w:val="000A36A6"/>
    <w:rsid w:val="000A37DE"/>
    <w:rsid w:val="000A4174"/>
    <w:rsid w:val="000A5AF7"/>
    <w:rsid w:val="000A5C99"/>
    <w:rsid w:val="000A73FC"/>
    <w:rsid w:val="000A7A02"/>
    <w:rsid w:val="000B0F92"/>
    <w:rsid w:val="000B3191"/>
    <w:rsid w:val="000B3201"/>
    <w:rsid w:val="000B7C76"/>
    <w:rsid w:val="000C0CA5"/>
    <w:rsid w:val="000C1504"/>
    <w:rsid w:val="000C1808"/>
    <w:rsid w:val="000C2226"/>
    <w:rsid w:val="000C2C37"/>
    <w:rsid w:val="000C4CB0"/>
    <w:rsid w:val="000C66EF"/>
    <w:rsid w:val="000C732F"/>
    <w:rsid w:val="000C7393"/>
    <w:rsid w:val="000C76C5"/>
    <w:rsid w:val="000C7DB4"/>
    <w:rsid w:val="000D33C5"/>
    <w:rsid w:val="000D3ABC"/>
    <w:rsid w:val="000D6954"/>
    <w:rsid w:val="000D6E32"/>
    <w:rsid w:val="000D74FA"/>
    <w:rsid w:val="000D7BE7"/>
    <w:rsid w:val="000E0156"/>
    <w:rsid w:val="000E02E2"/>
    <w:rsid w:val="000E0EA0"/>
    <w:rsid w:val="000E15CE"/>
    <w:rsid w:val="000E18F8"/>
    <w:rsid w:val="000E1CB4"/>
    <w:rsid w:val="000E1F40"/>
    <w:rsid w:val="000E2911"/>
    <w:rsid w:val="000E2B6D"/>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911"/>
    <w:rsid w:val="000F200C"/>
    <w:rsid w:val="000F34FC"/>
    <w:rsid w:val="000F374C"/>
    <w:rsid w:val="000F5060"/>
    <w:rsid w:val="000F52F9"/>
    <w:rsid w:val="000F5EBD"/>
    <w:rsid w:val="000F64AB"/>
    <w:rsid w:val="000F6B06"/>
    <w:rsid w:val="000F7199"/>
    <w:rsid w:val="000F719F"/>
    <w:rsid w:val="00100109"/>
    <w:rsid w:val="00100D4D"/>
    <w:rsid w:val="001015B5"/>
    <w:rsid w:val="001045F3"/>
    <w:rsid w:val="00104A14"/>
    <w:rsid w:val="001070DD"/>
    <w:rsid w:val="00107553"/>
    <w:rsid w:val="00107712"/>
    <w:rsid w:val="0010779E"/>
    <w:rsid w:val="00110367"/>
    <w:rsid w:val="001103AC"/>
    <w:rsid w:val="00112F15"/>
    <w:rsid w:val="00113705"/>
    <w:rsid w:val="00113870"/>
    <w:rsid w:val="00115275"/>
    <w:rsid w:val="00120A35"/>
    <w:rsid w:val="00122140"/>
    <w:rsid w:val="001224B2"/>
    <w:rsid w:val="00122521"/>
    <w:rsid w:val="00123412"/>
    <w:rsid w:val="00124945"/>
    <w:rsid w:val="00124D1E"/>
    <w:rsid w:val="00125BB8"/>
    <w:rsid w:val="00126266"/>
    <w:rsid w:val="00131C1B"/>
    <w:rsid w:val="0013280B"/>
    <w:rsid w:val="00135707"/>
    <w:rsid w:val="00137BDE"/>
    <w:rsid w:val="00137E1C"/>
    <w:rsid w:val="00141D49"/>
    <w:rsid w:val="001446C7"/>
    <w:rsid w:val="00144DF0"/>
    <w:rsid w:val="00146321"/>
    <w:rsid w:val="001464C6"/>
    <w:rsid w:val="00146FF0"/>
    <w:rsid w:val="00147041"/>
    <w:rsid w:val="00150F76"/>
    <w:rsid w:val="00150FF4"/>
    <w:rsid w:val="001511CE"/>
    <w:rsid w:val="0015175B"/>
    <w:rsid w:val="00151859"/>
    <w:rsid w:val="00153753"/>
    <w:rsid w:val="00153E29"/>
    <w:rsid w:val="00154A10"/>
    <w:rsid w:val="00154FBA"/>
    <w:rsid w:val="00155008"/>
    <w:rsid w:val="0015510F"/>
    <w:rsid w:val="001554E1"/>
    <w:rsid w:val="00155AE5"/>
    <w:rsid w:val="00156577"/>
    <w:rsid w:val="001573DE"/>
    <w:rsid w:val="00157DA3"/>
    <w:rsid w:val="0016169A"/>
    <w:rsid w:val="00162D1D"/>
    <w:rsid w:val="00163A57"/>
    <w:rsid w:val="00166A97"/>
    <w:rsid w:val="00166F5B"/>
    <w:rsid w:val="001700CB"/>
    <w:rsid w:val="0017023C"/>
    <w:rsid w:val="0017149D"/>
    <w:rsid w:val="0017162E"/>
    <w:rsid w:val="0017221E"/>
    <w:rsid w:val="00172CAC"/>
    <w:rsid w:val="00175883"/>
    <w:rsid w:val="0018136A"/>
    <w:rsid w:val="00182710"/>
    <w:rsid w:val="00183A73"/>
    <w:rsid w:val="001841F6"/>
    <w:rsid w:val="00184CF8"/>
    <w:rsid w:val="00185349"/>
    <w:rsid w:val="00186AF7"/>
    <w:rsid w:val="00186CDF"/>
    <w:rsid w:val="00191410"/>
    <w:rsid w:val="001917DB"/>
    <w:rsid w:val="00191D60"/>
    <w:rsid w:val="00192076"/>
    <w:rsid w:val="00192DB3"/>
    <w:rsid w:val="00193410"/>
    <w:rsid w:val="001938F9"/>
    <w:rsid w:val="001939B4"/>
    <w:rsid w:val="00193AAA"/>
    <w:rsid w:val="001962B9"/>
    <w:rsid w:val="00197194"/>
    <w:rsid w:val="001971E7"/>
    <w:rsid w:val="00197F8E"/>
    <w:rsid w:val="001A0550"/>
    <w:rsid w:val="001A0E8A"/>
    <w:rsid w:val="001A0EB1"/>
    <w:rsid w:val="001A1535"/>
    <w:rsid w:val="001A2137"/>
    <w:rsid w:val="001A2FF9"/>
    <w:rsid w:val="001A3192"/>
    <w:rsid w:val="001A325B"/>
    <w:rsid w:val="001A3BD6"/>
    <w:rsid w:val="001A3CA5"/>
    <w:rsid w:val="001A42CC"/>
    <w:rsid w:val="001A49A7"/>
    <w:rsid w:val="001A5A7A"/>
    <w:rsid w:val="001A6356"/>
    <w:rsid w:val="001A69F9"/>
    <w:rsid w:val="001A762A"/>
    <w:rsid w:val="001A7FD7"/>
    <w:rsid w:val="001B0A01"/>
    <w:rsid w:val="001B1178"/>
    <w:rsid w:val="001B237E"/>
    <w:rsid w:val="001B3CDE"/>
    <w:rsid w:val="001B3E4E"/>
    <w:rsid w:val="001B5F3A"/>
    <w:rsid w:val="001B667A"/>
    <w:rsid w:val="001B6E90"/>
    <w:rsid w:val="001C03A9"/>
    <w:rsid w:val="001C1CDC"/>
    <w:rsid w:val="001C2DB5"/>
    <w:rsid w:val="001C4178"/>
    <w:rsid w:val="001C4293"/>
    <w:rsid w:val="001C46CD"/>
    <w:rsid w:val="001C4780"/>
    <w:rsid w:val="001C5B1C"/>
    <w:rsid w:val="001C7F1D"/>
    <w:rsid w:val="001D2276"/>
    <w:rsid w:val="001D305C"/>
    <w:rsid w:val="001D3995"/>
    <w:rsid w:val="001D3A97"/>
    <w:rsid w:val="001D3DC4"/>
    <w:rsid w:val="001D5B31"/>
    <w:rsid w:val="001E13EB"/>
    <w:rsid w:val="001E1B41"/>
    <w:rsid w:val="001E3682"/>
    <w:rsid w:val="001E36CE"/>
    <w:rsid w:val="001E448B"/>
    <w:rsid w:val="001E4B08"/>
    <w:rsid w:val="001E50D6"/>
    <w:rsid w:val="001E514F"/>
    <w:rsid w:val="001E52A5"/>
    <w:rsid w:val="001E7355"/>
    <w:rsid w:val="001E7B5E"/>
    <w:rsid w:val="001F0CF7"/>
    <w:rsid w:val="001F3AEA"/>
    <w:rsid w:val="001F3CEA"/>
    <w:rsid w:val="001F4666"/>
    <w:rsid w:val="001F55B9"/>
    <w:rsid w:val="001F582C"/>
    <w:rsid w:val="001F5BC2"/>
    <w:rsid w:val="001F5F7F"/>
    <w:rsid w:val="001F6B11"/>
    <w:rsid w:val="00200192"/>
    <w:rsid w:val="00201DEE"/>
    <w:rsid w:val="0020257E"/>
    <w:rsid w:val="00203502"/>
    <w:rsid w:val="00203E26"/>
    <w:rsid w:val="00204572"/>
    <w:rsid w:val="00205CFF"/>
    <w:rsid w:val="002072A1"/>
    <w:rsid w:val="00207313"/>
    <w:rsid w:val="00207574"/>
    <w:rsid w:val="0021045A"/>
    <w:rsid w:val="00210595"/>
    <w:rsid w:val="00210A79"/>
    <w:rsid w:val="00210ADD"/>
    <w:rsid w:val="00212261"/>
    <w:rsid w:val="002129DF"/>
    <w:rsid w:val="002129EF"/>
    <w:rsid w:val="002135C1"/>
    <w:rsid w:val="002143B5"/>
    <w:rsid w:val="00214480"/>
    <w:rsid w:val="00214CA4"/>
    <w:rsid w:val="00214E9E"/>
    <w:rsid w:val="00215AC3"/>
    <w:rsid w:val="00215D91"/>
    <w:rsid w:val="002168DD"/>
    <w:rsid w:val="00216D9B"/>
    <w:rsid w:val="00216E76"/>
    <w:rsid w:val="00221452"/>
    <w:rsid w:val="00221E2C"/>
    <w:rsid w:val="00221F05"/>
    <w:rsid w:val="002225AD"/>
    <w:rsid w:val="0022317F"/>
    <w:rsid w:val="0022375A"/>
    <w:rsid w:val="00223AE4"/>
    <w:rsid w:val="0022458D"/>
    <w:rsid w:val="002248AE"/>
    <w:rsid w:val="002262B8"/>
    <w:rsid w:val="002266BC"/>
    <w:rsid w:val="0022734D"/>
    <w:rsid w:val="002273C1"/>
    <w:rsid w:val="002307F0"/>
    <w:rsid w:val="002338AC"/>
    <w:rsid w:val="00233BD7"/>
    <w:rsid w:val="00234388"/>
    <w:rsid w:val="00234E83"/>
    <w:rsid w:val="00235D02"/>
    <w:rsid w:val="002360AF"/>
    <w:rsid w:val="002400B7"/>
    <w:rsid w:val="002400DC"/>
    <w:rsid w:val="002404F3"/>
    <w:rsid w:val="002405F5"/>
    <w:rsid w:val="002411AC"/>
    <w:rsid w:val="00242B0A"/>
    <w:rsid w:val="0024401A"/>
    <w:rsid w:val="002454BA"/>
    <w:rsid w:val="00245528"/>
    <w:rsid w:val="002458C2"/>
    <w:rsid w:val="00245D8A"/>
    <w:rsid w:val="00245EB0"/>
    <w:rsid w:val="00246115"/>
    <w:rsid w:val="00247231"/>
    <w:rsid w:val="00247841"/>
    <w:rsid w:val="00247E47"/>
    <w:rsid w:val="002500A3"/>
    <w:rsid w:val="002531AB"/>
    <w:rsid w:val="00253FD6"/>
    <w:rsid w:val="00254181"/>
    <w:rsid w:val="002557C8"/>
    <w:rsid w:val="002565B2"/>
    <w:rsid w:val="002568B4"/>
    <w:rsid w:val="00261293"/>
    <w:rsid w:val="00262E0F"/>
    <w:rsid w:val="00264334"/>
    <w:rsid w:val="00265644"/>
    <w:rsid w:val="00265B6D"/>
    <w:rsid w:val="0026673D"/>
    <w:rsid w:val="00266836"/>
    <w:rsid w:val="0027052D"/>
    <w:rsid w:val="00271611"/>
    <w:rsid w:val="00271B05"/>
    <w:rsid w:val="00271E19"/>
    <w:rsid w:val="0027261A"/>
    <w:rsid w:val="00272C0E"/>
    <w:rsid w:val="00274834"/>
    <w:rsid w:val="00274C60"/>
    <w:rsid w:val="002763C1"/>
    <w:rsid w:val="0027657D"/>
    <w:rsid w:val="002765F1"/>
    <w:rsid w:val="00276620"/>
    <w:rsid w:val="002802D1"/>
    <w:rsid w:val="002814C1"/>
    <w:rsid w:val="00281F83"/>
    <w:rsid w:val="00282359"/>
    <w:rsid w:val="00283EF3"/>
    <w:rsid w:val="00284A68"/>
    <w:rsid w:val="00285425"/>
    <w:rsid w:val="00286916"/>
    <w:rsid w:val="00287075"/>
    <w:rsid w:val="002871EE"/>
    <w:rsid w:val="00290751"/>
    <w:rsid w:val="00291521"/>
    <w:rsid w:val="00292402"/>
    <w:rsid w:val="00293351"/>
    <w:rsid w:val="002940A9"/>
    <w:rsid w:val="002944C2"/>
    <w:rsid w:val="0029596C"/>
    <w:rsid w:val="00295E8D"/>
    <w:rsid w:val="00295FDC"/>
    <w:rsid w:val="00296CCC"/>
    <w:rsid w:val="00297E38"/>
    <w:rsid w:val="002A07BE"/>
    <w:rsid w:val="002A0AB1"/>
    <w:rsid w:val="002A1141"/>
    <w:rsid w:val="002A2734"/>
    <w:rsid w:val="002A2A1D"/>
    <w:rsid w:val="002A2B23"/>
    <w:rsid w:val="002A2CD2"/>
    <w:rsid w:val="002A47DA"/>
    <w:rsid w:val="002A6955"/>
    <w:rsid w:val="002A7981"/>
    <w:rsid w:val="002A7B5A"/>
    <w:rsid w:val="002B0F49"/>
    <w:rsid w:val="002B128A"/>
    <w:rsid w:val="002B191F"/>
    <w:rsid w:val="002B2511"/>
    <w:rsid w:val="002B2545"/>
    <w:rsid w:val="002B2DEC"/>
    <w:rsid w:val="002B4504"/>
    <w:rsid w:val="002B4874"/>
    <w:rsid w:val="002B5A64"/>
    <w:rsid w:val="002B60ED"/>
    <w:rsid w:val="002B6380"/>
    <w:rsid w:val="002B6B54"/>
    <w:rsid w:val="002B73AC"/>
    <w:rsid w:val="002B7E9C"/>
    <w:rsid w:val="002B7FD3"/>
    <w:rsid w:val="002C0BAD"/>
    <w:rsid w:val="002C1403"/>
    <w:rsid w:val="002C31C2"/>
    <w:rsid w:val="002C363A"/>
    <w:rsid w:val="002C39B2"/>
    <w:rsid w:val="002C42A9"/>
    <w:rsid w:val="002C454D"/>
    <w:rsid w:val="002C4F26"/>
    <w:rsid w:val="002C5485"/>
    <w:rsid w:val="002C559F"/>
    <w:rsid w:val="002C57E6"/>
    <w:rsid w:val="002C5A2E"/>
    <w:rsid w:val="002C6022"/>
    <w:rsid w:val="002C6CCF"/>
    <w:rsid w:val="002C77D4"/>
    <w:rsid w:val="002D0DE5"/>
    <w:rsid w:val="002D211D"/>
    <w:rsid w:val="002D248F"/>
    <w:rsid w:val="002D33E0"/>
    <w:rsid w:val="002D380F"/>
    <w:rsid w:val="002D541B"/>
    <w:rsid w:val="002D5A0B"/>
    <w:rsid w:val="002D61C8"/>
    <w:rsid w:val="002D61EE"/>
    <w:rsid w:val="002D7717"/>
    <w:rsid w:val="002E0C0C"/>
    <w:rsid w:val="002E183B"/>
    <w:rsid w:val="002E204B"/>
    <w:rsid w:val="002E2FBA"/>
    <w:rsid w:val="002E444D"/>
    <w:rsid w:val="002E4F23"/>
    <w:rsid w:val="002E6272"/>
    <w:rsid w:val="002E6783"/>
    <w:rsid w:val="002E6C11"/>
    <w:rsid w:val="002E6C9E"/>
    <w:rsid w:val="002E6DB9"/>
    <w:rsid w:val="002E799A"/>
    <w:rsid w:val="002E7ED1"/>
    <w:rsid w:val="002F0805"/>
    <w:rsid w:val="002F11B1"/>
    <w:rsid w:val="002F25EE"/>
    <w:rsid w:val="002F347F"/>
    <w:rsid w:val="002F394A"/>
    <w:rsid w:val="002F3BB8"/>
    <w:rsid w:val="002F4257"/>
    <w:rsid w:val="002F44D0"/>
    <w:rsid w:val="002F4962"/>
    <w:rsid w:val="002F5385"/>
    <w:rsid w:val="002F6742"/>
    <w:rsid w:val="002F748E"/>
    <w:rsid w:val="003018EC"/>
    <w:rsid w:val="00301DB0"/>
    <w:rsid w:val="003021A9"/>
    <w:rsid w:val="003035A7"/>
    <w:rsid w:val="003038FB"/>
    <w:rsid w:val="0030397D"/>
    <w:rsid w:val="003051FD"/>
    <w:rsid w:val="003055F2"/>
    <w:rsid w:val="00305990"/>
    <w:rsid w:val="003061BB"/>
    <w:rsid w:val="00306290"/>
    <w:rsid w:val="00306B02"/>
    <w:rsid w:val="0030730A"/>
    <w:rsid w:val="00307FC0"/>
    <w:rsid w:val="0031092F"/>
    <w:rsid w:val="00310C08"/>
    <w:rsid w:val="0031125C"/>
    <w:rsid w:val="00312030"/>
    <w:rsid w:val="00312087"/>
    <w:rsid w:val="003123E9"/>
    <w:rsid w:val="003135B0"/>
    <w:rsid w:val="00313C38"/>
    <w:rsid w:val="00313D2B"/>
    <w:rsid w:val="0031435A"/>
    <w:rsid w:val="00314594"/>
    <w:rsid w:val="00314B1E"/>
    <w:rsid w:val="003151DF"/>
    <w:rsid w:val="00315202"/>
    <w:rsid w:val="003153A9"/>
    <w:rsid w:val="003155A0"/>
    <w:rsid w:val="00315918"/>
    <w:rsid w:val="00317201"/>
    <w:rsid w:val="0032034D"/>
    <w:rsid w:val="00320D1D"/>
    <w:rsid w:val="0032124D"/>
    <w:rsid w:val="003216D0"/>
    <w:rsid w:val="00322196"/>
    <w:rsid w:val="00322B29"/>
    <w:rsid w:val="00323C2D"/>
    <w:rsid w:val="00325D21"/>
    <w:rsid w:val="00326E13"/>
    <w:rsid w:val="0032713E"/>
    <w:rsid w:val="003274A7"/>
    <w:rsid w:val="00332594"/>
    <w:rsid w:val="00332F27"/>
    <w:rsid w:val="00333929"/>
    <w:rsid w:val="00333C41"/>
    <w:rsid w:val="00334208"/>
    <w:rsid w:val="00334AB3"/>
    <w:rsid w:val="00334BE1"/>
    <w:rsid w:val="00335549"/>
    <w:rsid w:val="00335AFF"/>
    <w:rsid w:val="00335E64"/>
    <w:rsid w:val="00336559"/>
    <w:rsid w:val="0033658A"/>
    <w:rsid w:val="003366CA"/>
    <w:rsid w:val="003376CF"/>
    <w:rsid w:val="00337B89"/>
    <w:rsid w:val="00337C3D"/>
    <w:rsid w:val="003425A9"/>
    <w:rsid w:val="0034420C"/>
    <w:rsid w:val="00344697"/>
    <w:rsid w:val="00344FE9"/>
    <w:rsid w:val="00345108"/>
    <w:rsid w:val="00346BF8"/>
    <w:rsid w:val="00346D00"/>
    <w:rsid w:val="003470ED"/>
    <w:rsid w:val="00347BFA"/>
    <w:rsid w:val="00351DA6"/>
    <w:rsid w:val="00351F3F"/>
    <w:rsid w:val="00353228"/>
    <w:rsid w:val="00353C76"/>
    <w:rsid w:val="00355E71"/>
    <w:rsid w:val="003561ED"/>
    <w:rsid w:val="00356D92"/>
    <w:rsid w:val="003571EA"/>
    <w:rsid w:val="00360FBF"/>
    <w:rsid w:val="003612E6"/>
    <w:rsid w:val="0036166D"/>
    <w:rsid w:val="003619A5"/>
    <w:rsid w:val="00361C60"/>
    <w:rsid w:val="00361E4B"/>
    <w:rsid w:val="00361F70"/>
    <w:rsid w:val="003621F3"/>
    <w:rsid w:val="003627F9"/>
    <w:rsid w:val="003644DA"/>
    <w:rsid w:val="00364504"/>
    <w:rsid w:val="00366BFD"/>
    <w:rsid w:val="00366E68"/>
    <w:rsid w:val="00371191"/>
    <w:rsid w:val="003720D7"/>
    <w:rsid w:val="003725CC"/>
    <w:rsid w:val="003750A1"/>
    <w:rsid w:val="00375CF8"/>
    <w:rsid w:val="0037720D"/>
    <w:rsid w:val="00381284"/>
    <w:rsid w:val="003821B0"/>
    <w:rsid w:val="003822EF"/>
    <w:rsid w:val="003837C8"/>
    <w:rsid w:val="00384432"/>
    <w:rsid w:val="00385042"/>
    <w:rsid w:val="0038616C"/>
    <w:rsid w:val="00386E56"/>
    <w:rsid w:val="00387D04"/>
    <w:rsid w:val="00390C83"/>
    <w:rsid w:val="003913BF"/>
    <w:rsid w:val="00391F0D"/>
    <w:rsid w:val="003935DC"/>
    <w:rsid w:val="00394320"/>
    <w:rsid w:val="0039489B"/>
    <w:rsid w:val="00395136"/>
    <w:rsid w:val="003951A5"/>
    <w:rsid w:val="0039610D"/>
    <w:rsid w:val="0039694A"/>
    <w:rsid w:val="003A22EF"/>
    <w:rsid w:val="003A2C58"/>
    <w:rsid w:val="003A388F"/>
    <w:rsid w:val="003A3BBB"/>
    <w:rsid w:val="003A4185"/>
    <w:rsid w:val="003A432A"/>
    <w:rsid w:val="003A43C3"/>
    <w:rsid w:val="003A6522"/>
    <w:rsid w:val="003A65B1"/>
    <w:rsid w:val="003A66AE"/>
    <w:rsid w:val="003A69EC"/>
    <w:rsid w:val="003A7B37"/>
    <w:rsid w:val="003B0150"/>
    <w:rsid w:val="003B02A3"/>
    <w:rsid w:val="003B1930"/>
    <w:rsid w:val="003B2E57"/>
    <w:rsid w:val="003B4467"/>
    <w:rsid w:val="003B4CEA"/>
    <w:rsid w:val="003B51C2"/>
    <w:rsid w:val="003B5F57"/>
    <w:rsid w:val="003B6103"/>
    <w:rsid w:val="003B7777"/>
    <w:rsid w:val="003C0C9A"/>
    <w:rsid w:val="003C1DD7"/>
    <w:rsid w:val="003C2237"/>
    <w:rsid w:val="003C2541"/>
    <w:rsid w:val="003C3278"/>
    <w:rsid w:val="003C4B44"/>
    <w:rsid w:val="003C5545"/>
    <w:rsid w:val="003C61EB"/>
    <w:rsid w:val="003C6A58"/>
    <w:rsid w:val="003C7018"/>
    <w:rsid w:val="003C7149"/>
    <w:rsid w:val="003D01CA"/>
    <w:rsid w:val="003D2095"/>
    <w:rsid w:val="003D273A"/>
    <w:rsid w:val="003D2C46"/>
    <w:rsid w:val="003D37B3"/>
    <w:rsid w:val="003D4545"/>
    <w:rsid w:val="003D4A24"/>
    <w:rsid w:val="003D4EEF"/>
    <w:rsid w:val="003D520A"/>
    <w:rsid w:val="003D5ECA"/>
    <w:rsid w:val="003E1938"/>
    <w:rsid w:val="003E1BB2"/>
    <w:rsid w:val="003E1D76"/>
    <w:rsid w:val="003E21D9"/>
    <w:rsid w:val="003E2409"/>
    <w:rsid w:val="003E4883"/>
    <w:rsid w:val="003E5306"/>
    <w:rsid w:val="003E544D"/>
    <w:rsid w:val="003E62D6"/>
    <w:rsid w:val="003E6A85"/>
    <w:rsid w:val="003E7282"/>
    <w:rsid w:val="003F0212"/>
    <w:rsid w:val="003F0BE6"/>
    <w:rsid w:val="003F1A0A"/>
    <w:rsid w:val="003F1B48"/>
    <w:rsid w:val="003F30EF"/>
    <w:rsid w:val="003F348D"/>
    <w:rsid w:val="003F3BAD"/>
    <w:rsid w:val="003F4F97"/>
    <w:rsid w:val="003F5592"/>
    <w:rsid w:val="003F5D62"/>
    <w:rsid w:val="003F6DB5"/>
    <w:rsid w:val="003F758F"/>
    <w:rsid w:val="003F77AC"/>
    <w:rsid w:val="004004AA"/>
    <w:rsid w:val="004012CA"/>
    <w:rsid w:val="0040189F"/>
    <w:rsid w:val="00401BC4"/>
    <w:rsid w:val="00403EE1"/>
    <w:rsid w:val="0040469F"/>
    <w:rsid w:val="00404FCE"/>
    <w:rsid w:val="004052FE"/>
    <w:rsid w:val="0040566E"/>
    <w:rsid w:val="00406C6D"/>
    <w:rsid w:val="00407D53"/>
    <w:rsid w:val="0041273C"/>
    <w:rsid w:val="00412810"/>
    <w:rsid w:val="004130F7"/>
    <w:rsid w:val="00413E1F"/>
    <w:rsid w:val="00413F4B"/>
    <w:rsid w:val="00414B84"/>
    <w:rsid w:val="0041535B"/>
    <w:rsid w:val="004167DD"/>
    <w:rsid w:val="00416B10"/>
    <w:rsid w:val="00416F85"/>
    <w:rsid w:val="00417A6D"/>
    <w:rsid w:val="0042055D"/>
    <w:rsid w:val="004205AD"/>
    <w:rsid w:val="00421A47"/>
    <w:rsid w:val="00422011"/>
    <w:rsid w:val="00425324"/>
    <w:rsid w:val="004261A0"/>
    <w:rsid w:val="004275E7"/>
    <w:rsid w:val="0042768E"/>
    <w:rsid w:val="00427CDE"/>
    <w:rsid w:val="00430558"/>
    <w:rsid w:val="004306D0"/>
    <w:rsid w:val="00430C7F"/>
    <w:rsid w:val="00431F77"/>
    <w:rsid w:val="00433FA1"/>
    <w:rsid w:val="00433FF1"/>
    <w:rsid w:val="0043421D"/>
    <w:rsid w:val="00434967"/>
    <w:rsid w:val="004356B3"/>
    <w:rsid w:val="004357B2"/>
    <w:rsid w:val="0043741C"/>
    <w:rsid w:val="004403B2"/>
    <w:rsid w:val="00441167"/>
    <w:rsid w:val="004412A1"/>
    <w:rsid w:val="00442325"/>
    <w:rsid w:val="004425F1"/>
    <w:rsid w:val="0044269F"/>
    <w:rsid w:val="004445BB"/>
    <w:rsid w:val="00445139"/>
    <w:rsid w:val="00445A76"/>
    <w:rsid w:val="00445F50"/>
    <w:rsid w:val="00446442"/>
    <w:rsid w:val="004479B3"/>
    <w:rsid w:val="00447A15"/>
    <w:rsid w:val="004511D9"/>
    <w:rsid w:val="00451D74"/>
    <w:rsid w:val="004529A7"/>
    <w:rsid w:val="004543AB"/>
    <w:rsid w:val="004545A0"/>
    <w:rsid w:val="004545F6"/>
    <w:rsid w:val="00454D5B"/>
    <w:rsid w:val="00454E5E"/>
    <w:rsid w:val="00456585"/>
    <w:rsid w:val="00457599"/>
    <w:rsid w:val="004575BF"/>
    <w:rsid w:val="0046001C"/>
    <w:rsid w:val="004619CE"/>
    <w:rsid w:val="0046245C"/>
    <w:rsid w:val="00462E1B"/>
    <w:rsid w:val="004631FD"/>
    <w:rsid w:val="00463DA1"/>
    <w:rsid w:val="00463ECE"/>
    <w:rsid w:val="00464FDA"/>
    <w:rsid w:val="00466812"/>
    <w:rsid w:val="00466CA4"/>
    <w:rsid w:val="00466E02"/>
    <w:rsid w:val="00467540"/>
    <w:rsid w:val="00467781"/>
    <w:rsid w:val="00470E19"/>
    <w:rsid w:val="004718E2"/>
    <w:rsid w:val="00473069"/>
    <w:rsid w:val="00473135"/>
    <w:rsid w:val="0047392F"/>
    <w:rsid w:val="004745E4"/>
    <w:rsid w:val="0047546E"/>
    <w:rsid w:val="004757DF"/>
    <w:rsid w:val="00476D40"/>
    <w:rsid w:val="00476F5C"/>
    <w:rsid w:val="00476F6F"/>
    <w:rsid w:val="004801B8"/>
    <w:rsid w:val="0048101C"/>
    <w:rsid w:val="00481298"/>
    <w:rsid w:val="00481B7D"/>
    <w:rsid w:val="00482DB2"/>
    <w:rsid w:val="00483BCD"/>
    <w:rsid w:val="00483D44"/>
    <w:rsid w:val="00483D99"/>
    <w:rsid w:val="004848FF"/>
    <w:rsid w:val="00486A4E"/>
    <w:rsid w:val="00487908"/>
    <w:rsid w:val="00487EF1"/>
    <w:rsid w:val="00487FF7"/>
    <w:rsid w:val="004901F4"/>
    <w:rsid w:val="00491B22"/>
    <w:rsid w:val="00491B8A"/>
    <w:rsid w:val="0049244C"/>
    <w:rsid w:val="00492A9E"/>
    <w:rsid w:val="00493E08"/>
    <w:rsid w:val="004940ED"/>
    <w:rsid w:val="00494331"/>
    <w:rsid w:val="00494BA4"/>
    <w:rsid w:val="00495E07"/>
    <w:rsid w:val="004A20E0"/>
    <w:rsid w:val="004A31E9"/>
    <w:rsid w:val="004A3C31"/>
    <w:rsid w:val="004A5036"/>
    <w:rsid w:val="004A504E"/>
    <w:rsid w:val="004A508D"/>
    <w:rsid w:val="004A6247"/>
    <w:rsid w:val="004A642B"/>
    <w:rsid w:val="004A7233"/>
    <w:rsid w:val="004A75F4"/>
    <w:rsid w:val="004A7C5D"/>
    <w:rsid w:val="004B0127"/>
    <w:rsid w:val="004B33AE"/>
    <w:rsid w:val="004B3FE6"/>
    <w:rsid w:val="004B42AA"/>
    <w:rsid w:val="004B46ED"/>
    <w:rsid w:val="004B4AA1"/>
    <w:rsid w:val="004B5434"/>
    <w:rsid w:val="004B55A8"/>
    <w:rsid w:val="004B55B0"/>
    <w:rsid w:val="004B7C9C"/>
    <w:rsid w:val="004C0DD4"/>
    <w:rsid w:val="004C36BF"/>
    <w:rsid w:val="004C3D4F"/>
    <w:rsid w:val="004C45EE"/>
    <w:rsid w:val="004C4B30"/>
    <w:rsid w:val="004C5772"/>
    <w:rsid w:val="004C5A85"/>
    <w:rsid w:val="004C63C8"/>
    <w:rsid w:val="004C6653"/>
    <w:rsid w:val="004C6957"/>
    <w:rsid w:val="004C70D2"/>
    <w:rsid w:val="004C7CED"/>
    <w:rsid w:val="004D13E2"/>
    <w:rsid w:val="004D1A9D"/>
    <w:rsid w:val="004D3091"/>
    <w:rsid w:val="004D3DBA"/>
    <w:rsid w:val="004D5CA3"/>
    <w:rsid w:val="004D6361"/>
    <w:rsid w:val="004D6AFD"/>
    <w:rsid w:val="004D7BE8"/>
    <w:rsid w:val="004E0697"/>
    <w:rsid w:val="004E19FD"/>
    <w:rsid w:val="004E218B"/>
    <w:rsid w:val="004E2C92"/>
    <w:rsid w:val="004E3445"/>
    <w:rsid w:val="004E5E6C"/>
    <w:rsid w:val="004E62E1"/>
    <w:rsid w:val="004E70C1"/>
    <w:rsid w:val="004F0469"/>
    <w:rsid w:val="004F1D2C"/>
    <w:rsid w:val="004F31FF"/>
    <w:rsid w:val="004F43F1"/>
    <w:rsid w:val="004F48F6"/>
    <w:rsid w:val="004F4F15"/>
    <w:rsid w:val="004F5F6D"/>
    <w:rsid w:val="004F6882"/>
    <w:rsid w:val="004F69C5"/>
    <w:rsid w:val="004F71FA"/>
    <w:rsid w:val="004F7351"/>
    <w:rsid w:val="004F7C33"/>
    <w:rsid w:val="00500756"/>
    <w:rsid w:val="005051A9"/>
    <w:rsid w:val="00505E54"/>
    <w:rsid w:val="005079BC"/>
    <w:rsid w:val="005105B7"/>
    <w:rsid w:val="00512883"/>
    <w:rsid w:val="00512F75"/>
    <w:rsid w:val="00513B9C"/>
    <w:rsid w:val="00513D07"/>
    <w:rsid w:val="00513FC5"/>
    <w:rsid w:val="00514F16"/>
    <w:rsid w:val="005169AF"/>
    <w:rsid w:val="005170B2"/>
    <w:rsid w:val="005205C2"/>
    <w:rsid w:val="00520B83"/>
    <w:rsid w:val="00522A1B"/>
    <w:rsid w:val="00523032"/>
    <w:rsid w:val="005235DA"/>
    <w:rsid w:val="00523843"/>
    <w:rsid w:val="00523AA8"/>
    <w:rsid w:val="0052426E"/>
    <w:rsid w:val="00524572"/>
    <w:rsid w:val="005248E1"/>
    <w:rsid w:val="005251F3"/>
    <w:rsid w:val="00526F12"/>
    <w:rsid w:val="0052733E"/>
    <w:rsid w:val="00527593"/>
    <w:rsid w:val="005337F5"/>
    <w:rsid w:val="00533BA1"/>
    <w:rsid w:val="00534379"/>
    <w:rsid w:val="00534CEA"/>
    <w:rsid w:val="0053628F"/>
    <w:rsid w:val="00540FCB"/>
    <w:rsid w:val="005416D6"/>
    <w:rsid w:val="005417FF"/>
    <w:rsid w:val="00542138"/>
    <w:rsid w:val="00542C65"/>
    <w:rsid w:val="005455F5"/>
    <w:rsid w:val="00545B55"/>
    <w:rsid w:val="00547C05"/>
    <w:rsid w:val="00550451"/>
    <w:rsid w:val="0055210C"/>
    <w:rsid w:val="00553A43"/>
    <w:rsid w:val="005544E8"/>
    <w:rsid w:val="0055466E"/>
    <w:rsid w:val="005548B1"/>
    <w:rsid w:val="00554F31"/>
    <w:rsid w:val="005553CE"/>
    <w:rsid w:val="00555507"/>
    <w:rsid w:val="005563C6"/>
    <w:rsid w:val="00556454"/>
    <w:rsid w:val="00556956"/>
    <w:rsid w:val="00556EC7"/>
    <w:rsid w:val="00557079"/>
    <w:rsid w:val="00560257"/>
    <w:rsid w:val="005602C9"/>
    <w:rsid w:val="00560B96"/>
    <w:rsid w:val="00560C3D"/>
    <w:rsid w:val="005613FF"/>
    <w:rsid w:val="00561ED0"/>
    <w:rsid w:val="00561F1B"/>
    <w:rsid w:val="00562173"/>
    <w:rsid w:val="005627E3"/>
    <w:rsid w:val="00563866"/>
    <w:rsid w:val="00563FC0"/>
    <w:rsid w:val="005649CC"/>
    <w:rsid w:val="005651AD"/>
    <w:rsid w:val="00566226"/>
    <w:rsid w:val="0056776A"/>
    <w:rsid w:val="00567BED"/>
    <w:rsid w:val="00570552"/>
    <w:rsid w:val="00570C1C"/>
    <w:rsid w:val="00572199"/>
    <w:rsid w:val="005721AB"/>
    <w:rsid w:val="005728DC"/>
    <w:rsid w:val="00573B9C"/>
    <w:rsid w:val="005753F5"/>
    <w:rsid w:val="005759F3"/>
    <w:rsid w:val="00576657"/>
    <w:rsid w:val="00576719"/>
    <w:rsid w:val="005768AD"/>
    <w:rsid w:val="0057796B"/>
    <w:rsid w:val="00577CDE"/>
    <w:rsid w:val="00580427"/>
    <w:rsid w:val="00580919"/>
    <w:rsid w:val="005819B3"/>
    <w:rsid w:val="00581A30"/>
    <w:rsid w:val="005824BE"/>
    <w:rsid w:val="00582D26"/>
    <w:rsid w:val="00584CE7"/>
    <w:rsid w:val="0058542A"/>
    <w:rsid w:val="005872C1"/>
    <w:rsid w:val="00587896"/>
    <w:rsid w:val="00587E7F"/>
    <w:rsid w:val="00590296"/>
    <w:rsid w:val="00591329"/>
    <w:rsid w:val="005918AF"/>
    <w:rsid w:val="005941FD"/>
    <w:rsid w:val="005945CD"/>
    <w:rsid w:val="00594769"/>
    <w:rsid w:val="00594912"/>
    <w:rsid w:val="0059678F"/>
    <w:rsid w:val="00597947"/>
    <w:rsid w:val="005A073F"/>
    <w:rsid w:val="005A1558"/>
    <w:rsid w:val="005A221E"/>
    <w:rsid w:val="005A2620"/>
    <w:rsid w:val="005A2946"/>
    <w:rsid w:val="005A3587"/>
    <w:rsid w:val="005A3A67"/>
    <w:rsid w:val="005A5E6A"/>
    <w:rsid w:val="005A67F3"/>
    <w:rsid w:val="005A6E74"/>
    <w:rsid w:val="005A75BA"/>
    <w:rsid w:val="005A7AE9"/>
    <w:rsid w:val="005B1010"/>
    <w:rsid w:val="005B1BA2"/>
    <w:rsid w:val="005B1F8E"/>
    <w:rsid w:val="005B20D0"/>
    <w:rsid w:val="005B2EFE"/>
    <w:rsid w:val="005B4056"/>
    <w:rsid w:val="005B4CFE"/>
    <w:rsid w:val="005B7021"/>
    <w:rsid w:val="005B72F4"/>
    <w:rsid w:val="005C1171"/>
    <w:rsid w:val="005C214D"/>
    <w:rsid w:val="005C321D"/>
    <w:rsid w:val="005C36FA"/>
    <w:rsid w:val="005C4839"/>
    <w:rsid w:val="005C54F0"/>
    <w:rsid w:val="005C618F"/>
    <w:rsid w:val="005C6217"/>
    <w:rsid w:val="005C7C27"/>
    <w:rsid w:val="005D173D"/>
    <w:rsid w:val="005D2D57"/>
    <w:rsid w:val="005D322F"/>
    <w:rsid w:val="005D3FC4"/>
    <w:rsid w:val="005D47F3"/>
    <w:rsid w:val="005D4CFA"/>
    <w:rsid w:val="005D56BB"/>
    <w:rsid w:val="005D571D"/>
    <w:rsid w:val="005D5AE3"/>
    <w:rsid w:val="005D651C"/>
    <w:rsid w:val="005D6EA7"/>
    <w:rsid w:val="005D7364"/>
    <w:rsid w:val="005D7698"/>
    <w:rsid w:val="005E0DF3"/>
    <w:rsid w:val="005E1D1E"/>
    <w:rsid w:val="005E3C0D"/>
    <w:rsid w:val="005E4725"/>
    <w:rsid w:val="005E4884"/>
    <w:rsid w:val="005E4C18"/>
    <w:rsid w:val="005E4C35"/>
    <w:rsid w:val="005E684E"/>
    <w:rsid w:val="005E6E40"/>
    <w:rsid w:val="005E7DD1"/>
    <w:rsid w:val="005F22AD"/>
    <w:rsid w:val="005F248C"/>
    <w:rsid w:val="005F24DA"/>
    <w:rsid w:val="005F29D6"/>
    <w:rsid w:val="005F2DC3"/>
    <w:rsid w:val="005F3CEB"/>
    <w:rsid w:val="005F3E14"/>
    <w:rsid w:val="005F4267"/>
    <w:rsid w:val="005F46E5"/>
    <w:rsid w:val="005F5575"/>
    <w:rsid w:val="005F5ADF"/>
    <w:rsid w:val="005F5B27"/>
    <w:rsid w:val="005F6045"/>
    <w:rsid w:val="005F628F"/>
    <w:rsid w:val="005F6EEC"/>
    <w:rsid w:val="005F72A6"/>
    <w:rsid w:val="005F7D80"/>
    <w:rsid w:val="00600136"/>
    <w:rsid w:val="0060123E"/>
    <w:rsid w:val="00601D2E"/>
    <w:rsid w:val="00601E68"/>
    <w:rsid w:val="0060282E"/>
    <w:rsid w:val="00602F78"/>
    <w:rsid w:val="006033E3"/>
    <w:rsid w:val="00603759"/>
    <w:rsid w:val="00603F5C"/>
    <w:rsid w:val="00604A2C"/>
    <w:rsid w:val="00604C9F"/>
    <w:rsid w:val="00604DEC"/>
    <w:rsid w:val="006051E6"/>
    <w:rsid w:val="00605224"/>
    <w:rsid w:val="00606C0F"/>
    <w:rsid w:val="006072B6"/>
    <w:rsid w:val="0060738D"/>
    <w:rsid w:val="00611598"/>
    <w:rsid w:val="00612335"/>
    <w:rsid w:val="006125F4"/>
    <w:rsid w:val="00612E56"/>
    <w:rsid w:val="0061340F"/>
    <w:rsid w:val="006139E3"/>
    <w:rsid w:val="006153AB"/>
    <w:rsid w:val="00615B84"/>
    <w:rsid w:val="00616C21"/>
    <w:rsid w:val="00616F8E"/>
    <w:rsid w:val="006206DD"/>
    <w:rsid w:val="00620DA9"/>
    <w:rsid w:val="00621A38"/>
    <w:rsid w:val="00622F78"/>
    <w:rsid w:val="00623155"/>
    <w:rsid w:val="00623925"/>
    <w:rsid w:val="00624A9F"/>
    <w:rsid w:val="00625F7A"/>
    <w:rsid w:val="00626128"/>
    <w:rsid w:val="006278B9"/>
    <w:rsid w:val="00627A55"/>
    <w:rsid w:val="00630204"/>
    <w:rsid w:val="00630DF7"/>
    <w:rsid w:val="00630F66"/>
    <w:rsid w:val="00630FB8"/>
    <w:rsid w:val="0063160D"/>
    <w:rsid w:val="00632C4D"/>
    <w:rsid w:val="0063348A"/>
    <w:rsid w:val="00633727"/>
    <w:rsid w:val="006340BC"/>
    <w:rsid w:val="00635CE4"/>
    <w:rsid w:val="00636635"/>
    <w:rsid w:val="00636812"/>
    <w:rsid w:val="006372BB"/>
    <w:rsid w:val="00637FD8"/>
    <w:rsid w:val="00643B07"/>
    <w:rsid w:val="006442C9"/>
    <w:rsid w:val="00644F38"/>
    <w:rsid w:val="00645F06"/>
    <w:rsid w:val="00646E28"/>
    <w:rsid w:val="006475D0"/>
    <w:rsid w:val="00647F52"/>
    <w:rsid w:val="00650B3E"/>
    <w:rsid w:val="006522B0"/>
    <w:rsid w:val="00652678"/>
    <w:rsid w:val="00652B2C"/>
    <w:rsid w:val="00654623"/>
    <w:rsid w:val="00654BAD"/>
    <w:rsid w:val="00654D3D"/>
    <w:rsid w:val="006553DC"/>
    <w:rsid w:val="00656CC6"/>
    <w:rsid w:val="0065759A"/>
    <w:rsid w:val="006609C0"/>
    <w:rsid w:val="00660F77"/>
    <w:rsid w:val="00664D3D"/>
    <w:rsid w:val="00666B78"/>
    <w:rsid w:val="00667269"/>
    <w:rsid w:val="006677D7"/>
    <w:rsid w:val="00670E02"/>
    <w:rsid w:val="006713AF"/>
    <w:rsid w:val="00672845"/>
    <w:rsid w:val="00672B23"/>
    <w:rsid w:val="00672FE3"/>
    <w:rsid w:val="00673BB8"/>
    <w:rsid w:val="00673D39"/>
    <w:rsid w:val="0067431F"/>
    <w:rsid w:val="00674D78"/>
    <w:rsid w:val="00674EE5"/>
    <w:rsid w:val="00676937"/>
    <w:rsid w:val="00676D3D"/>
    <w:rsid w:val="006776BD"/>
    <w:rsid w:val="00681774"/>
    <w:rsid w:val="0068233B"/>
    <w:rsid w:val="006834F0"/>
    <w:rsid w:val="0068387E"/>
    <w:rsid w:val="006838B6"/>
    <w:rsid w:val="00683904"/>
    <w:rsid w:val="006846CE"/>
    <w:rsid w:val="00687ACE"/>
    <w:rsid w:val="00690700"/>
    <w:rsid w:val="0069102A"/>
    <w:rsid w:val="00693263"/>
    <w:rsid w:val="00693296"/>
    <w:rsid w:val="00695976"/>
    <w:rsid w:val="006960F1"/>
    <w:rsid w:val="00696D9D"/>
    <w:rsid w:val="00697587"/>
    <w:rsid w:val="00697666"/>
    <w:rsid w:val="00697E72"/>
    <w:rsid w:val="006A021E"/>
    <w:rsid w:val="006A24A6"/>
    <w:rsid w:val="006A24AC"/>
    <w:rsid w:val="006A2AA7"/>
    <w:rsid w:val="006A2C7E"/>
    <w:rsid w:val="006A4958"/>
    <w:rsid w:val="006A52A2"/>
    <w:rsid w:val="006A58D8"/>
    <w:rsid w:val="006A5C36"/>
    <w:rsid w:val="006A5DD7"/>
    <w:rsid w:val="006A7C1E"/>
    <w:rsid w:val="006A7CFC"/>
    <w:rsid w:val="006B057C"/>
    <w:rsid w:val="006B108A"/>
    <w:rsid w:val="006B2798"/>
    <w:rsid w:val="006B2831"/>
    <w:rsid w:val="006B2C1E"/>
    <w:rsid w:val="006B2DB9"/>
    <w:rsid w:val="006B3957"/>
    <w:rsid w:val="006B48B6"/>
    <w:rsid w:val="006B4B48"/>
    <w:rsid w:val="006B53B7"/>
    <w:rsid w:val="006B7830"/>
    <w:rsid w:val="006B7A96"/>
    <w:rsid w:val="006C15B8"/>
    <w:rsid w:val="006C23AF"/>
    <w:rsid w:val="006C2811"/>
    <w:rsid w:val="006C2C44"/>
    <w:rsid w:val="006C2DC7"/>
    <w:rsid w:val="006C319C"/>
    <w:rsid w:val="006C3280"/>
    <w:rsid w:val="006C46EF"/>
    <w:rsid w:val="006C4CDF"/>
    <w:rsid w:val="006C5678"/>
    <w:rsid w:val="006C5927"/>
    <w:rsid w:val="006C6B36"/>
    <w:rsid w:val="006C7035"/>
    <w:rsid w:val="006C71A8"/>
    <w:rsid w:val="006C71F6"/>
    <w:rsid w:val="006C75C8"/>
    <w:rsid w:val="006D0A42"/>
    <w:rsid w:val="006D1EB1"/>
    <w:rsid w:val="006D2A26"/>
    <w:rsid w:val="006D3F66"/>
    <w:rsid w:val="006D4CFE"/>
    <w:rsid w:val="006D5A43"/>
    <w:rsid w:val="006D6152"/>
    <w:rsid w:val="006D6FA1"/>
    <w:rsid w:val="006D791C"/>
    <w:rsid w:val="006E057B"/>
    <w:rsid w:val="006E0CD7"/>
    <w:rsid w:val="006E2200"/>
    <w:rsid w:val="006E26B9"/>
    <w:rsid w:val="006E4B16"/>
    <w:rsid w:val="006E675C"/>
    <w:rsid w:val="006E72A1"/>
    <w:rsid w:val="006E78E8"/>
    <w:rsid w:val="006E7C2B"/>
    <w:rsid w:val="006E7FC1"/>
    <w:rsid w:val="006F089B"/>
    <w:rsid w:val="006F16E1"/>
    <w:rsid w:val="006F216B"/>
    <w:rsid w:val="006F38E5"/>
    <w:rsid w:val="006F3B31"/>
    <w:rsid w:val="006F4F3E"/>
    <w:rsid w:val="006F5471"/>
    <w:rsid w:val="006F63B7"/>
    <w:rsid w:val="006F6FFC"/>
    <w:rsid w:val="006F74C5"/>
    <w:rsid w:val="00701153"/>
    <w:rsid w:val="0070134C"/>
    <w:rsid w:val="007017AE"/>
    <w:rsid w:val="007018E0"/>
    <w:rsid w:val="00701980"/>
    <w:rsid w:val="00702DA3"/>
    <w:rsid w:val="00705943"/>
    <w:rsid w:val="007070D9"/>
    <w:rsid w:val="00707856"/>
    <w:rsid w:val="00707D90"/>
    <w:rsid w:val="00710EDE"/>
    <w:rsid w:val="0071154D"/>
    <w:rsid w:val="00711B3E"/>
    <w:rsid w:val="007122E4"/>
    <w:rsid w:val="00713DAF"/>
    <w:rsid w:val="0071404F"/>
    <w:rsid w:val="00714870"/>
    <w:rsid w:val="00714B35"/>
    <w:rsid w:val="00715566"/>
    <w:rsid w:val="00715E20"/>
    <w:rsid w:val="00717064"/>
    <w:rsid w:val="0071752E"/>
    <w:rsid w:val="00723BD9"/>
    <w:rsid w:val="00723FD3"/>
    <w:rsid w:val="00724E3A"/>
    <w:rsid w:val="007250F3"/>
    <w:rsid w:val="007255D0"/>
    <w:rsid w:val="00725BD5"/>
    <w:rsid w:val="00725FC0"/>
    <w:rsid w:val="00726102"/>
    <w:rsid w:val="00727AF6"/>
    <w:rsid w:val="007310CB"/>
    <w:rsid w:val="00731B40"/>
    <w:rsid w:val="0073326C"/>
    <w:rsid w:val="0073357B"/>
    <w:rsid w:val="00733726"/>
    <w:rsid w:val="0073395C"/>
    <w:rsid w:val="0073497E"/>
    <w:rsid w:val="00734AE6"/>
    <w:rsid w:val="00735908"/>
    <w:rsid w:val="00737CC9"/>
    <w:rsid w:val="00737D33"/>
    <w:rsid w:val="00740311"/>
    <w:rsid w:val="00741464"/>
    <w:rsid w:val="00741D8B"/>
    <w:rsid w:val="00741FA4"/>
    <w:rsid w:val="0074262D"/>
    <w:rsid w:val="00742DEE"/>
    <w:rsid w:val="00743EFD"/>
    <w:rsid w:val="00743F97"/>
    <w:rsid w:val="00744D7A"/>
    <w:rsid w:val="00744FFF"/>
    <w:rsid w:val="00745003"/>
    <w:rsid w:val="00745829"/>
    <w:rsid w:val="00746FF3"/>
    <w:rsid w:val="00747365"/>
    <w:rsid w:val="007475D7"/>
    <w:rsid w:val="007477DB"/>
    <w:rsid w:val="00747F79"/>
    <w:rsid w:val="007508EA"/>
    <w:rsid w:val="00750964"/>
    <w:rsid w:val="00751752"/>
    <w:rsid w:val="00751D83"/>
    <w:rsid w:val="00752199"/>
    <w:rsid w:val="0075227E"/>
    <w:rsid w:val="007524E8"/>
    <w:rsid w:val="00752774"/>
    <w:rsid w:val="0075315E"/>
    <w:rsid w:val="0075491E"/>
    <w:rsid w:val="007555B0"/>
    <w:rsid w:val="0075563F"/>
    <w:rsid w:val="0075687E"/>
    <w:rsid w:val="00761207"/>
    <w:rsid w:val="00761EB7"/>
    <w:rsid w:val="0076244C"/>
    <w:rsid w:val="0076247D"/>
    <w:rsid w:val="007628FC"/>
    <w:rsid w:val="00762A32"/>
    <w:rsid w:val="00763045"/>
    <w:rsid w:val="0076351A"/>
    <w:rsid w:val="00763610"/>
    <w:rsid w:val="007639E9"/>
    <w:rsid w:val="00763EED"/>
    <w:rsid w:val="00764D29"/>
    <w:rsid w:val="00766D44"/>
    <w:rsid w:val="00766DE5"/>
    <w:rsid w:val="00767572"/>
    <w:rsid w:val="00767752"/>
    <w:rsid w:val="0077011F"/>
    <w:rsid w:val="007701D7"/>
    <w:rsid w:val="00770643"/>
    <w:rsid w:val="0077280E"/>
    <w:rsid w:val="0077284B"/>
    <w:rsid w:val="0077321F"/>
    <w:rsid w:val="007754D8"/>
    <w:rsid w:val="0077789E"/>
    <w:rsid w:val="0078138B"/>
    <w:rsid w:val="00781E64"/>
    <w:rsid w:val="00782109"/>
    <w:rsid w:val="00783314"/>
    <w:rsid w:val="0078749D"/>
    <w:rsid w:val="00787CF8"/>
    <w:rsid w:val="00790836"/>
    <w:rsid w:val="00790D2F"/>
    <w:rsid w:val="007910C1"/>
    <w:rsid w:val="007916D2"/>
    <w:rsid w:val="00791841"/>
    <w:rsid w:val="00793198"/>
    <w:rsid w:val="007938CC"/>
    <w:rsid w:val="00794113"/>
    <w:rsid w:val="00794CB7"/>
    <w:rsid w:val="007967F5"/>
    <w:rsid w:val="0079708A"/>
    <w:rsid w:val="0079722E"/>
    <w:rsid w:val="007979E2"/>
    <w:rsid w:val="007A02F0"/>
    <w:rsid w:val="007A1D95"/>
    <w:rsid w:val="007A3175"/>
    <w:rsid w:val="007A31AB"/>
    <w:rsid w:val="007A350B"/>
    <w:rsid w:val="007A4D61"/>
    <w:rsid w:val="007A7C37"/>
    <w:rsid w:val="007B0A84"/>
    <w:rsid w:val="007B0C81"/>
    <w:rsid w:val="007B234E"/>
    <w:rsid w:val="007B427C"/>
    <w:rsid w:val="007B4882"/>
    <w:rsid w:val="007B4A12"/>
    <w:rsid w:val="007B58F5"/>
    <w:rsid w:val="007B5A38"/>
    <w:rsid w:val="007C0C4D"/>
    <w:rsid w:val="007C1842"/>
    <w:rsid w:val="007C3028"/>
    <w:rsid w:val="007C383D"/>
    <w:rsid w:val="007C5FFC"/>
    <w:rsid w:val="007C63D6"/>
    <w:rsid w:val="007D08C3"/>
    <w:rsid w:val="007D1260"/>
    <w:rsid w:val="007D2435"/>
    <w:rsid w:val="007D298E"/>
    <w:rsid w:val="007D2A0B"/>
    <w:rsid w:val="007D2C24"/>
    <w:rsid w:val="007D2D77"/>
    <w:rsid w:val="007D302A"/>
    <w:rsid w:val="007D3778"/>
    <w:rsid w:val="007D3B6D"/>
    <w:rsid w:val="007D5613"/>
    <w:rsid w:val="007D56F0"/>
    <w:rsid w:val="007D5C11"/>
    <w:rsid w:val="007D5F8C"/>
    <w:rsid w:val="007D6629"/>
    <w:rsid w:val="007D6E17"/>
    <w:rsid w:val="007E13EB"/>
    <w:rsid w:val="007E25BE"/>
    <w:rsid w:val="007E27D8"/>
    <w:rsid w:val="007E4194"/>
    <w:rsid w:val="007E425F"/>
    <w:rsid w:val="007E4570"/>
    <w:rsid w:val="007E488B"/>
    <w:rsid w:val="007E4903"/>
    <w:rsid w:val="007E4B08"/>
    <w:rsid w:val="007E77E2"/>
    <w:rsid w:val="007E7AED"/>
    <w:rsid w:val="007E7E41"/>
    <w:rsid w:val="007F0563"/>
    <w:rsid w:val="007F0E86"/>
    <w:rsid w:val="007F2CD5"/>
    <w:rsid w:val="007F4058"/>
    <w:rsid w:val="007F4D78"/>
    <w:rsid w:val="007F6520"/>
    <w:rsid w:val="008010EC"/>
    <w:rsid w:val="00801471"/>
    <w:rsid w:val="00801C6C"/>
    <w:rsid w:val="00802C6C"/>
    <w:rsid w:val="00803464"/>
    <w:rsid w:val="008038DC"/>
    <w:rsid w:val="00804725"/>
    <w:rsid w:val="00804D2D"/>
    <w:rsid w:val="008050F8"/>
    <w:rsid w:val="008054F8"/>
    <w:rsid w:val="00805A82"/>
    <w:rsid w:val="00807BFD"/>
    <w:rsid w:val="00807E7B"/>
    <w:rsid w:val="008102A8"/>
    <w:rsid w:val="0081058C"/>
    <w:rsid w:val="00811467"/>
    <w:rsid w:val="0081288C"/>
    <w:rsid w:val="0081288D"/>
    <w:rsid w:val="008130A6"/>
    <w:rsid w:val="00813908"/>
    <w:rsid w:val="00813EAE"/>
    <w:rsid w:val="0081479D"/>
    <w:rsid w:val="00814923"/>
    <w:rsid w:val="00815322"/>
    <w:rsid w:val="008165FB"/>
    <w:rsid w:val="0081673E"/>
    <w:rsid w:val="00816F82"/>
    <w:rsid w:val="00820469"/>
    <w:rsid w:val="00820EF2"/>
    <w:rsid w:val="008228FE"/>
    <w:rsid w:val="00823A0F"/>
    <w:rsid w:val="00824291"/>
    <w:rsid w:val="008243A5"/>
    <w:rsid w:val="0082471B"/>
    <w:rsid w:val="00824A9D"/>
    <w:rsid w:val="008253A9"/>
    <w:rsid w:val="008278C0"/>
    <w:rsid w:val="00827C16"/>
    <w:rsid w:val="00827FFD"/>
    <w:rsid w:val="00830623"/>
    <w:rsid w:val="008317F2"/>
    <w:rsid w:val="00832619"/>
    <w:rsid w:val="00832B98"/>
    <w:rsid w:val="00833141"/>
    <w:rsid w:val="0083359B"/>
    <w:rsid w:val="00835720"/>
    <w:rsid w:val="00836E63"/>
    <w:rsid w:val="008378A0"/>
    <w:rsid w:val="00840BBB"/>
    <w:rsid w:val="0084136C"/>
    <w:rsid w:val="0084167C"/>
    <w:rsid w:val="00842ECF"/>
    <w:rsid w:val="00842FF4"/>
    <w:rsid w:val="008438C8"/>
    <w:rsid w:val="00843EF9"/>
    <w:rsid w:val="00844517"/>
    <w:rsid w:val="00844688"/>
    <w:rsid w:val="00844840"/>
    <w:rsid w:val="0084491B"/>
    <w:rsid w:val="00844E2A"/>
    <w:rsid w:val="00844EF0"/>
    <w:rsid w:val="00846653"/>
    <w:rsid w:val="008476E7"/>
    <w:rsid w:val="00847E70"/>
    <w:rsid w:val="00850A53"/>
    <w:rsid w:val="00850B62"/>
    <w:rsid w:val="0085196F"/>
    <w:rsid w:val="00851AB6"/>
    <w:rsid w:val="00852D1F"/>
    <w:rsid w:val="00853A4C"/>
    <w:rsid w:val="008546AA"/>
    <w:rsid w:val="008549C4"/>
    <w:rsid w:val="00862013"/>
    <w:rsid w:val="0086299B"/>
    <w:rsid w:val="00862DA4"/>
    <w:rsid w:val="00863046"/>
    <w:rsid w:val="00863432"/>
    <w:rsid w:val="00863CCE"/>
    <w:rsid w:val="00863E28"/>
    <w:rsid w:val="0086487F"/>
    <w:rsid w:val="00864C7F"/>
    <w:rsid w:val="00864DC4"/>
    <w:rsid w:val="00866F39"/>
    <w:rsid w:val="00867A99"/>
    <w:rsid w:val="00867D10"/>
    <w:rsid w:val="00870518"/>
    <w:rsid w:val="00871010"/>
    <w:rsid w:val="0087143C"/>
    <w:rsid w:val="00871D9A"/>
    <w:rsid w:val="00873340"/>
    <w:rsid w:val="00873969"/>
    <w:rsid w:val="00874295"/>
    <w:rsid w:val="00874E0C"/>
    <w:rsid w:val="00875A24"/>
    <w:rsid w:val="0088223A"/>
    <w:rsid w:val="008837EF"/>
    <w:rsid w:val="0088455A"/>
    <w:rsid w:val="00884E1D"/>
    <w:rsid w:val="008850E7"/>
    <w:rsid w:val="00885370"/>
    <w:rsid w:val="00885C43"/>
    <w:rsid w:val="00885F8E"/>
    <w:rsid w:val="00886B50"/>
    <w:rsid w:val="00887768"/>
    <w:rsid w:val="00890290"/>
    <w:rsid w:val="00890A75"/>
    <w:rsid w:val="00890B57"/>
    <w:rsid w:val="00891DE7"/>
    <w:rsid w:val="00891F2A"/>
    <w:rsid w:val="00892D38"/>
    <w:rsid w:val="00894FCF"/>
    <w:rsid w:val="00895D96"/>
    <w:rsid w:val="008A0C42"/>
    <w:rsid w:val="008A0CE2"/>
    <w:rsid w:val="008A1406"/>
    <w:rsid w:val="008A16D6"/>
    <w:rsid w:val="008A19D8"/>
    <w:rsid w:val="008A238D"/>
    <w:rsid w:val="008A2514"/>
    <w:rsid w:val="008A2A13"/>
    <w:rsid w:val="008A2A76"/>
    <w:rsid w:val="008A2A8B"/>
    <w:rsid w:val="008A4642"/>
    <w:rsid w:val="008A4A10"/>
    <w:rsid w:val="008A4AE3"/>
    <w:rsid w:val="008A4B0D"/>
    <w:rsid w:val="008A4DC3"/>
    <w:rsid w:val="008A4EBC"/>
    <w:rsid w:val="008A6C58"/>
    <w:rsid w:val="008A6F32"/>
    <w:rsid w:val="008B111D"/>
    <w:rsid w:val="008B24F9"/>
    <w:rsid w:val="008B499C"/>
    <w:rsid w:val="008B684D"/>
    <w:rsid w:val="008C0444"/>
    <w:rsid w:val="008C0B7C"/>
    <w:rsid w:val="008C1D26"/>
    <w:rsid w:val="008C22DA"/>
    <w:rsid w:val="008C29CE"/>
    <w:rsid w:val="008C30F6"/>
    <w:rsid w:val="008C3F1C"/>
    <w:rsid w:val="008C4417"/>
    <w:rsid w:val="008C5E5B"/>
    <w:rsid w:val="008C6FEC"/>
    <w:rsid w:val="008C7A13"/>
    <w:rsid w:val="008D0698"/>
    <w:rsid w:val="008D10A9"/>
    <w:rsid w:val="008D1134"/>
    <w:rsid w:val="008D125A"/>
    <w:rsid w:val="008D2FB8"/>
    <w:rsid w:val="008D308E"/>
    <w:rsid w:val="008D4A54"/>
    <w:rsid w:val="008D4B0E"/>
    <w:rsid w:val="008D4B1D"/>
    <w:rsid w:val="008D6240"/>
    <w:rsid w:val="008D666F"/>
    <w:rsid w:val="008D69CD"/>
    <w:rsid w:val="008D737E"/>
    <w:rsid w:val="008D7BDF"/>
    <w:rsid w:val="008D7C69"/>
    <w:rsid w:val="008D7E7A"/>
    <w:rsid w:val="008E02CC"/>
    <w:rsid w:val="008E0D71"/>
    <w:rsid w:val="008E130A"/>
    <w:rsid w:val="008E18C6"/>
    <w:rsid w:val="008E1B46"/>
    <w:rsid w:val="008E3270"/>
    <w:rsid w:val="008E40FB"/>
    <w:rsid w:val="008E4DEE"/>
    <w:rsid w:val="008E6C43"/>
    <w:rsid w:val="008E72F2"/>
    <w:rsid w:val="008F02C2"/>
    <w:rsid w:val="008F1C52"/>
    <w:rsid w:val="008F236D"/>
    <w:rsid w:val="008F43E6"/>
    <w:rsid w:val="008F468C"/>
    <w:rsid w:val="008F4DC3"/>
    <w:rsid w:val="008F4FE1"/>
    <w:rsid w:val="008F5A3A"/>
    <w:rsid w:val="008F5F6E"/>
    <w:rsid w:val="008F6075"/>
    <w:rsid w:val="008F6407"/>
    <w:rsid w:val="00900280"/>
    <w:rsid w:val="0090154D"/>
    <w:rsid w:val="00901EFB"/>
    <w:rsid w:val="00903C8D"/>
    <w:rsid w:val="00905B2D"/>
    <w:rsid w:val="00905BEF"/>
    <w:rsid w:val="009060BE"/>
    <w:rsid w:val="009063D2"/>
    <w:rsid w:val="00906CB2"/>
    <w:rsid w:val="009144C3"/>
    <w:rsid w:val="00915125"/>
    <w:rsid w:val="00915574"/>
    <w:rsid w:val="00916848"/>
    <w:rsid w:val="0091686A"/>
    <w:rsid w:val="00916BB3"/>
    <w:rsid w:val="00916D41"/>
    <w:rsid w:val="009172CA"/>
    <w:rsid w:val="00917DA5"/>
    <w:rsid w:val="0092012F"/>
    <w:rsid w:val="00920A3E"/>
    <w:rsid w:val="00920BFE"/>
    <w:rsid w:val="00923C8D"/>
    <w:rsid w:val="00924EB4"/>
    <w:rsid w:val="009267D7"/>
    <w:rsid w:val="00927407"/>
    <w:rsid w:val="00927865"/>
    <w:rsid w:val="009279E8"/>
    <w:rsid w:val="0093077C"/>
    <w:rsid w:val="00930DA8"/>
    <w:rsid w:val="00931860"/>
    <w:rsid w:val="00931C36"/>
    <w:rsid w:val="00932757"/>
    <w:rsid w:val="0093294A"/>
    <w:rsid w:val="00932D7A"/>
    <w:rsid w:val="00933C2D"/>
    <w:rsid w:val="00933D65"/>
    <w:rsid w:val="00933D92"/>
    <w:rsid w:val="009355E0"/>
    <w:rsid w:val="0093685F"/>
    <w:rsid w:val="00940331"/>
    <w:rsid w:val="009403A0"/>
    <w:rsid w:val="00940725"/>
    <w:rsid w:val="009417F2"/>
    <w:rsid w:val="00941BC6"/>
    <w:rsid w:val="009425DB"/>
    <w:rsid w:val="009432E2"/>
    <w:rsid w:val="00943D69"/>
    <w:rsid w:val="00944A44"/>
    <w:rsid w:val="009458B5"/>
    <w:rsid w:val="009476D9"/>
    <w:rsid w:val="009516A9"/>
    <w:rsid w:val="00951A53"/>
    <w:rsid w:val="009529F5"/>
    <w:rsid w:val="0095406A"/>
    <w:rsid w:val="00955200"/>
    <w:rsid w:val="00955A0D"/>
    <w:rsid w:val="00957838"/>
    <w:rsid w:val="00957E5C"/>
    <w:rsid w:val="009622B1"/>
    <w:rsid w:val="009637CB"/>
    <w:rsid w:val="00963BBC"/>
    <w:rsid w:val="00966217"/>
    <w:rsid w:val="009662CE"/>
    <w:rsid w:val="00966BDF"/>
    <w:rsid w:val="009700B3"/>
    <w:rsid w:val="0097024E"/>
    <w:rsid w:val="00970A88"/>
    <w:rsid w:val="009712B3"/>
    <w:rsid w:val="009730BE"/>
    <w:rsid w:val="00973BC9"/>
    <w:rsid w:val="00974AF1"/>
    <w:rsid w:val="00974EF9"/>
    <w:rsid w:val="00974FD3"/>
    <w:rsid w:val="0097517E"/>
    <w:rsid w:val="00976097"/>
    <w:rsid w:val="009761C9"/>
    <w:rsid w:val="009771B0"/>
    <w:rsid w:val="00977A65"/>
    <w:rsid w:val="00980FAA"/>
    <w:rsid w:val="00981E1C"/>
    <w:rsid w:val="00982BC4"/>
    <w:rsid w:val="009833DC"/>
    <w:rsid w:val="009834A8"/>
    <w:rsid w:val="00984C8A"/>
    <w:rsid w:val="00984E11"/>
    <w:rsid w:val="00985BB8"/>
    <w:rsid w:val="0098751C"/>
    <w:rsid w:val="00987B5C"/>
    <w:rsid w:val="00990A77"/>
    <w:rsid w:val="00990BB3"/>
    <w:rsid w:val="00991640"/>
    <w:rsid w:val="00991A3C"/>
    <w:rsid w:val="00992668"/>
    <w:rsid w:val="0099338C"/>
    <w:rsid w:val="009952BF"/>
    <w:rsid w:val="00997754"/>
    <w:rsid w:val="009977C1"/>
    <w:rsid w:val="00997FB1"/>
    <w:rsid w:val="009A0496"/>
    <w:rsid w:val="009A0807"/>
    <w:rsid w:val="009A126F"/>
    <w:rsid w:val="009A1429"/>
    <w:rsid w:val="009A1674"/>
    <w:rsid w:val="009A2924"/>
    <w:rsid w:val="009A32A1"/>
    <w:rsid w:val="009A3EDD"/>
    <w:rsid w:val="009A57B9"/>
    <w:rsid w:val="009A6A74"/>
    <w:rsid w:val="009A7D79"/>
    <w:rsid w:val="009A7E52"/>
    <w:rsid w:val="009B175B"/>
    <w:rsid w:val="009B29A6"/>
    <w:rsid w:val="009B43C5"/>
    <w:rsid w:val="009B6875"/>
    <w:rsid w:val="009B6923"/>
    <w:rsid w:val="009B79EE"/>
    <w:rsid w:val="009B7B37"/>
    <w:rsid w:val="009B7D2C"/>
    <w:rsid w:val="009C0108"/>
    <w:rsid w:val="009C1475"/>
    <w:rsid w:val="009C178C"/>
    <w:rsid w:val="009C23E0"/>
    <w:rsid w:val="009C2B0C"/>
    <w:rsid w:val="009C2BB4"/>
    <w:rsid w:val="009C39E1"/>
    <w:rsid w:val="009C5006"/>
    <w:rsid w:val="009C52EF"/>
    <w:rsid w:val="009C551A"/>
    <w:rsid w:val="009C554B"/>
    <w:rsid w:val="009C6934"/>
    <w:rsid w:val="009C6BC6"/>
    <w:rsid w:val="009D04AF"/>
    <w:rsid w:val="009D0F6C"/>
    <w:rsid w:val="009D12E7"/>
    <w:rsid w:val="009D20D6"/>
    <w:rsid w:val="009D3D03"/>
    <w:rsid w:val="009D43E4"/>
    <w:rsid w:val="009D4AFD"/>
    <w:rsid w:val="009D5ADA"/>
    <w:rsid w:val="009D679E"/>
    <w:rsid w:val="009D694C"/>
    <w:rsid w:val="009D6B15"/>
    <w:rsid w:val="009D7237"/>
    <w:rsid w:val="009D76AF"/>
    <w:rsid w:val="009E1650"/>
    <w:rsid w:val="009E27E4"/>
    <w:rsid w:val="009E3C2D"/>
    <w:rsid w:val="009E4107"/>
    <w:rsid w:val="009E411E"/>
    <w:rsid w:val="009E4905"/>
    <w:rsid w:val="009E5C1F"/>
    <w:rsid w:val="009F2CDF"/>
    <w:rsid w:val="009F4358"/>
    <w:rsid w:val="009F4A0B"/>
    <w:rsid w:val="009F7425"/>
    <w:rsid w:val="00A0016D"/>
    <w:rsid w:val="00A03DD2"/>
    <w:rsid w:val="00A04183"/>
    <w:rsid w:val="00A0470B"/>
    <w:rsid w:val="00A05643"/>
    <w:rsid w:val="00A066EB"/>
    <w:rsid w:val="00A076FC"/>
    <w:rsid w:val="00A07C90"/>
    <w:rsid w:val="00A1035F"/>
    <w:rsid w:val="00A117EC"/>
    <w:rsid w:val="00A119A0"/>
    <w:rsid w:val="00A140FF"/>
    <w:rsid w:val="00A147A0"/>
    <w:rsid w:val="00A15541"/>
    <w:rsid w:val="00A15D7E"/>
    <w:rsid w:val="00A15DB2"/>
    <w:rsid w:val="00A160DE"/>
    <w:rsid w:val="00A16C21"/>
    <w:rsid w:val="00A17968"/>
    <w:rsid w:val="00A17DA7"/>
    <w:rsid w:val="00A17E34"/>
    <w:rsid w:val="00A206B7"/>
    <w:rsid w:val="00A208B3"/>
    <w:rsid w:val="00A220D6"/>
    <w:rsid w:val="00A22D2F"/>
    <w:rsid w:val="00A23597"/>
    <w:rsid w:val="00A2401C"/>
    <w:rsid w:val="00A24BAA"/>
    <w:rsid w:val="00A25C78"/>
    <w:rsid w:val="00A25DC4"/>
    <w:rsid w:val="00A269C2"/>
    <w:rsid w:val="00A272C8"/>
    <w:rsid w:val="00A278E1"/>
    <w:rsid w:val="00A30A68"/>
    <w:rsid w:val="00A30BA3"/>
    <w:rsid w:val="00A30CBC"/>
    <w:rsid w:val="00A3227E"/>
    <w:rsid w:val="00A32545"/>
    <w:rsid w:val="00A33277"/>
    <w:rsid w:val="00A33693"/>
    <w:rsid w:val="00A36C44"/>
    <w:rsid w:val="00A37CF9"/>
    <w:rsid w:val="00A37F81"/>
    <w:rsid w:val="00A414EA"/>
    <w:rsid w:val="00A419DD"/>
    <w:rsid w:val="00A41D55"/>
    <w:rsid w:val="00A43BB8"/>
    <w:rsid w:val="00A443BC"/>
    <w:rsid w:val="00A44DE9"/>
    <w:rsid w:val="00A45733"/>
    <w:rsid w:val="00A457C8"/>
    <w:rsid w:val="00A4627C"/>
    <w:rsid w:val="00A46822"/>
    <w:rsid w:val="00A511F8"/>
    <w:rsid w:val="00A53625"/>
    <w:rsid w:val="00A54448"/>
    <w:rsid w:val="00A55509"/>
    <w:rsid w:val="00A57DE4"/>
    <w:rsid w:val="00A6014B"/>
    <w:rsid w:val="00A60815"/>
    <w:rsid w:val="00A616FE"/>
    <w:rsid w:val="00A61B1C"/>
    <w:rsid w:val="00A6245C"/>
    <w:rsid w:val="00A64070"/>
    <w:rsid w:val="00A656F0"/>
    <w:rsid w:val="00A66012"/>
    <w:rsid w:val="00A664EA"/>
    <w:rsid w:val="00A66547"/>
    <w:rsid w:val="00A66778"/>
    <w:rsid w:val="00A66F02"/>
    <w:rsid w:val="00A67653"/>
    <w:rsid w:val="00A71908"/>
    <w:rsid w:val="00A73674"/>
    <w:rsid w:val="00A737EB"/>
    <w:rsid w:val="00A73C88"/>
    <w:rsid w:val="00A75EC3"/>
    <w:rsid w:val="00A762C5"/>
    <w:rsid w:val="00A77324"/>
    <w:rsid w:val="00A77862"/>
    <w:rsid w:val="00A77BAA"/>
    <w:rsid w:val="00A80AF7"/>
    <w:rsid w:val="00A8142C"/>
    <w:rsid w:val="00A81C64"/>
    <w:rsid w:val="00A81E82"/>
    <w:rsid w:val="00A834AA"/>
    <w:rsid w:val="00A868F7"/>
    <w:rsid w:val="00A86CAE"/>
    <w:rsid w:val="00A87B6A"/>
    <w:rsid w:val="00A90108"/>
    <w:rsid w:val="00A91E04"/>
    <w:rsid w:val="00A91FC6"/>
    <w:rsid w:val="00A92401"/>
    <w:rsid w:val="00A93362"/>
    <w:rsid w:val="00A93F75"/>
    <w:rsid w:val="00A942A9"/>
    <w:rsid w:val="00A94470"/>
    <w:rsid w:val="00A95F31"/>
    <w:rsid w:val="00A96399"/>
    <w:rsid w:val="00A96A5C"/>
    <w:rsid w:val="00A97146"/>
    <w:rsid w:val="00AA0D24"/>
    <w:rsid w:val="00AA0DFE"/>
    <w:rsid w:val="00AA1A90"/>
    <w:rsid w:val="00AA24AB"/>
    <w:rsid w:val="00AA2FDB"/>
    <w:rsid w:val="00AA3453"/>
    <w:rsid w:val="00AA3FF9"/>
    <w:rsid w:val="00AA455B"/>
    <w:rsid w:val="00AA4808"/>
    <w:rsid w:val="00AA4869"/>
    <w:rsid w:val="00AA48AF"/>
    <w:rsid w:val="00AA5233"/>
    <w:rsid w:val="00AA5D05"/>
    <w:rsid w:val="00AA74F1"/>
    <w:rsid w:val="00AA7768"/>
    <w:rsid w:val="00AB0B2F"/>
    <w:rsid w:val="00AB31AC"/>
    <w:rsid w:val="00AB46AD"/>
    <w:rsid w:val="00AB59B2"/>
    <w:rsid w:val="00AB5C0F"/>
    <w:rsid w:val="00AB7B56"/>
    <w:rsid w:val="00AB7D82"/>
    <w:rsid w:val="00AC0705"/>
    <w:rsid w:val="00AC168E"/>
    <w:rsid w:val="00AC2030"/>
    <w:rsid w:val="00AC2A42"/>
    <w:rsid w:val="00AC373B"/>
    <w:rsid w:val="00AC38EC"/>
    <w:rsid w:val="00AC3BF4"/>
    <w:rsid w:val="00AC5139"/>
    <w:rsid w:val="00AC5D25"/>
    <w:rsid w:val="00AC618B"/>
    <w:rsid w:val="00AC6676"/>
    <w:rsid w:val="00AD17BA"/>
    <w:rsid w:val="00AD1E37"/>
    <w:rsid w:val="00AD252D"/>
    <w:rsid w:val="00AD2E5A"/>
    <w:rsid w:val="00AD2F0D"/>
    <w:rsid w:val="00AD2F77"/>
    <w:rsid w:val="00AD386A"/>
    <w:rsid w:val="00AD539A"/>
    <w:rsid w:val="00AD5B8D"/>
    <w:rsid w:val="00AD63F5"/>
    <w:rsid w:val="00AD6F87"/>
    <w:rsid w:val="00AE0DCC"/>
    <w:rsid w:val="00AE2017"/>
    <w:rsid w:val="00AE2351"/>
    <w:rsid w:val="00AE23DE"/>
    <w:rsid w:val="00AE255E"/>
    <w:rsid w:val="00AE267A"/>
    <w:rsid w:val="00AE43D5"/>
    <w:rsid w:val="00AF0852"/>
    <w:rsid w:val="00AF1552"/>
    <w:rsid w:val="00AF1576"/>
    <w:rsid w:val="00AF1827"/>
    <w:rsid w:val="00AF31B3"/>
    <w:rsid w:val="00AF327B"/>
    <w:rsid w:val="00AF411A"/>
    <w:rsid w:val="00AF6802"/>
    <w:rsid w:val="00AF702B"/>
    <w:rsid w:val="00B02250"/>
    <w:rsid w:val="00B033FD"/>
    <w:rsid w:val="00B052E9"/>
    <w:rsid w:val="00B05774"/>
    <w:rsid w:val="00B1000D"/>
    <w:rsid w:val="00B109E0"/>
    <w:rsid w:val="00B1188A"/>
    <w:rsid w:val="00B12335"/>
    <w:rsid w:val="00B13258"/>
    <w:rsid w:val="00B13822"/>
    <w:rsid w:val="00B1491A"/>
    <w:rsid w:val="00B158AB"/>
    <w:rsid w:val="00B15C43"/>
    <w:rsid w:val="00B15DED"/>
    <w:rsid w:val="00B16A1C"/>
    <w:rsid w:val="00B16B65"/>
    <w:rsid w:val="00B16F90"/>
    <w:rsid w:val="00B16FAD"/>
    <w:rsid w:val="00B17C1F"/>
    <w:rsid w:val="00B17C94"/>
    <w:rsid w:val="00B20E41"/>
    <w:rsid w:val="00B23581"/>
    <w:rsid w:val="00B249AB"/>
    <w:rsid w:val="00B25057"/>
    <w:rsid w:val="00B25A30"/>
    <w:rsid w:val="00B26388"/>
    <w:rsid w:val="00B2675C"/>
    <w:rsid w:val="00B2682E"/>
    <w:rsid w:val="00B26C5D"/>
    <w:rsid w:val="00B26D67"/>
    <w:rsid w:val="00B274FD"/>
    <w:rsid w:val="00B30D4B"/>
    <w:rsid w:val="00B30F21"/>
    <w:rsid w:val="00B30F2B"/>
    <w:rsid w:val="00B31EE0"/>
    <w:rsid w:val="00B320E6"/>
    <w:rsid w:val="00B32438"/>
    <w:rsid w:val="00B34F7E"/>
    <w:rsid w:val="00B35666"/>
    <w:rsid w:val="00B363D6"/>
    <w:rsid w:val="00B36581"/>
    <w:rsid w:val="00B4115C"/>
    <w:rsid w:val="00B4147F"/>
    <w:rsid w:val="00B4219B"/>
    <w:rsid w:val="00B4463E"/>
    <w:rsid w:val="00B459E5"/>
    <w:rsid w:val="00B46330"/>
    <w:rsid w:val="00B540BB"/>
    <w:rsid w:val="00B54374"/>
    <w:rsid w:val="00B5545C"/>
    <w:rsid w:val="00B604FB"/>
    <w:rsid w:val="00B60EFB"/>
    <w:rsid w:val="00B613C3"/>
    <w:rsid w:val="00B61FEC"/>
    <w:rsid w:val="00B62E5F"/>
    <w:rsid w:val="00B63393"/>
    <w:rsid w:val="00B63C91"/>
    <w:rsid w:val="00B648B1"/>
    <w:rsid w:val="00B64B03"/>
    <w:rsid w:val="00B65CB2"/>
    <w:rsid w:val="00B66122"/>
    <w:rsid w:val="00B661CD"/>
    <w:rsid w:val="00B665CD"/>
    <w:rsid w:val="00B70629"/>
    <w:rsid w:val="00B70698"/>
    <w:rsid w:val="00B719B4"/>
    <w:rsid w:val="00B71D5C"/>
    <w:rsid w:val="00B72662"/>
    <w:rsid w:val="00B73734"/>
    <w:rsid w:val="00B73B18"/>
    <w:rsid w:val="00B74F47"/>
    <w:rsid w:val="00B758F4"/>
    <w:rsid w:val="00B772D4"/>
    <w:rsid w:val="00B778DA"/>
    <w:rsid w:val="00B77F3D"/>
    <w:rsid w:val="00B80AA6"/>
    <w:rsid w:val="00B82B47"/>
    <w:rsid w:val="00B84528"/>
    <w:rsid w:val="00B84D77"/>
    <w:rsid w:val="00B875BD"/>
    <w:rsid w:val="00B90554"/>
    <w:rsid w:val="00B929BA"/>
    <w:rsid w:val="00B9358A"/>
    <w:rsid w:val="00B937D1"/>
    <w:rsid w:val="00B943B5"/>
    <w:rsid w:val="00B9486D"/>
    <w:rsid w:val="00B94B44"/>
    <w:rsid w:val="00B94E3E"/>
    <w:rsid w:val="00B968E5"/>
    <w:rsid w:val="00B96F86"/>
    <w:rsid w:val="00B9700E"/>
    <w:rsid w:val="00B9774A"/>
    <w:rsid w:val="00B97D0C"/>
    <w:rsid w:val="00BA0812"/>
    <w:rsid w:val="00BA0B78"/>
    <w:rsid w:val="00BA109E"/>
    <w:rsid w:val="00BA1604"/>
    <w:rsid w:val="00BA2038"/>
    <w:rsid w:val="00BA280A"/>
    <w:rsid w:val="00BA35EF"/>
    <w:rsid w:val="00BA3B10"/>
    <w:rsid w:val="00BA3D41"/>
    <w:rsid w:val="00BA4196"/>
    <w:rsid w:val="00BA62A0"/>
    <w:rsid w:val="00BA650E"/>
    <w:rsid w:val="00BA6DBA"/>
    <w:rsid w:val="00BA7EF5"/>
    <w:rsid w:val="00BB03E6"/>
    <w:rsid w:val="00BB2DB8"/>
    <w:rsid w:val="00BB3D5A"/>
    <w:rsid w:val="00BB49C1"/>
    <w:rsid w:val="00BB6167"/>
    <w:rsid w:val="00BB7253"/>
    <w:rsid w:val="00BC1511"/>
    <w:rsid w:val="00BC17E8"/>
    <w:rsid w:val="00BC18AD"/>
    <w:rsid w:val="00BC1AA0"/>
    <w:rsid w:val="00BC1D27"/>
    <w:rsid w:val="00BC2DAD"/>
    <w:rsid w:val="00BC3A76"/>
    <w:rsid w:val="00BC4A13"/>
    <w:rsid w:val="00BC52FE"/>
    <w:rsid w:val="00BC6080"/>
    <w:rsid w:val="00BC73DE"/>
    <w:rsid w:val="00BC765E"/>
    <w:rsid w:val="00BC76B1"/>
    <w:rsid w:val="00BC7DEB"/>
    <w:rsid w:val="00BD2952"/>
    <w:rsid w:val="00BD36E0"/>
    <w:rsid w:val="00BD3F2E"/>
    <w:rsid w:val="00BD4A6A"/>
    <w:rsid w:val="00BD6412"/>
    <w:rsid w:val="00BD77FD"/>
    <w:rsid w:val="00BD7A75"/>
    <w:rsid w:val="00BE11FC"/>
    <w:rsid w:val="00BE2326"/>
    <w:rsid w:val="00BE4066"/>
    <w:rsid w:val="00BE4591"/>
    <w:rsid w:val="00BE4C99"/>
    <w:rsid w:val="00BE5C2D"/>
    <w:rsid w:val="00BE6AB7"/>
    <w:rsid w:val="00BE6F83"/>
    <w:rsid w:val="00BE711F"/>
    <w:rsid w:val="00BE755E"/>
    <w:rsid w:val="00BF18DD"/>
    <w:rsid w:val="00BF2942"/>
    <w:rsid w:val="00BF297A"/>
    <w:rsid w:val="00BF2F2C"/>
    <w:rsid w:val="00BF32AF"/>
    <w:rsid w:val="00BF43B5"/>
    <w:rsid w:val="00BF5E08"/>
    <w:rsid w:val="00BF6510"/>
    <w:rsid w:val="00BF67FB"/>
    <w:rsid w:val="00BF6AF0"/>
    <w:rsid w:val="00BF6CDA"/>
    <w:rsid w:val="00BF7882"/>
    <w:rsid w:val="00BF7DBE"/>
    <w:rsid w:val="00C011B2"/>
    <w:rsid w:val="00C01C27"/>
    <w:rsid w:val="00C0263C"/>
    <w:rsid w:val="00C0306B"/>
    <w:rsid w:val="00C0371A"/>
    <w:rsid w:val="00C04554"/>
    <w:rsid w:val="00C05441"/>
    <w:rsid w:val="00C058B7"/>
    <w:rsid w:val="00C05AA6"/>
    <w:rsid w:val="00C05C85"/>
    <w:rsid w:val="00C065B8"/>
    <w:rsid w:val="00C068EF"/>
    <w:rsid w:val="00C10B24"/>
    <w:rsid w:val="00C12545"/>
    <w:rsid w:val="00C14339"/>
    <w:rsid w:val="00C151E0"/>
    <w:rsid w:val="00C15BBB"/>
    <w:rsid w:val="00C162EE"/>
    <w:rsid w:val="00C1711B"/>
    <w:rsid w:val="00C203EF"/>
    <w:rsid w:val="00C21135"/>
    <w:rsid w:val="00C212D1"/>
    <w:rsid w:val="00C2166E"/>
    <w:rsid w:val="00C22F77"/>
    <w:rsid w:val="00C23D59"/>
    <w:rsid w:val="00C24068"/>
    <w:rsid w:val="00C2441F"/>
    <w:rsid w:val="00C2518C"/>
    <w:rsid w:val="00C251EA"/>
    <w:rsid w:val="00C25BE3"/>
    <w:rsid w:val="00C2673F"/>
    <w:rsid w:val="00C26902"/>
    <w:rsid w:val="00C26CEE"/>
    <w:rsid w:val="00C277C0"/>
    <w:rsid w:val="00C27F9F"/>
    <w:rsid w:val="00C32163"/>
    <w:rsid w:val="00C35314"/>
    <w:rsid w:val="00C36830"/>
    <w:rsid w:val="00C4008B"/>
    <w:rsid w:val="00C4023D"/>
    <w:rsid w:val="00C40782"/>
    <w:rsid w:val="00C40A92"/>
    <w:rsid w:val="00C40F0A"/>
    <w:rsid w:val="00C41F62"/>
    <w:rsid w:val="00C4234D"/>
    <w:rsid w:val="00C42A9D"/>
    <w:rsid w:val="00C42C6A"/>
    <w:rsid w:val="00C43477"/>
    <w:rsid w:val="00C43611"/>
    <w:rsid w:val="00C43A2B"/>
    <w:rsid w:val="00C45355"/>
    <w:rsid w:val="00C4537C"/>
    <w:rsid w:val="00C461C2"/>
    <w:rsid w:val="00C474EB"/>
    <w:rsid w:val="00C47E1D"/>
    <w:rsid w:val="00C47E46"/>
    <w:rsid w:val="00C500D7"/>
    <w:rsid w:val="00C5039B"/>
    <w:rsid w:val="00C503E8"/>
    <w:rsid w:val="00C50ADF"/>
    <w:rsid w:val="00C51664"/>
    <w:rsid w:val="00C528B8"/>
    <w:rsid w:val="00C530FE"/>
    <w:rsid w:val="00C533F1"/>
    <w:rsid w:val="00C54875"/>
    <w:rsid w:val="00C55556"/>
    <w:rsid w:val="00C55CCF"/>
    <w:rsid w:val="00C55E35"/>
    <w:rsid w:val="00C5713A"/>
    <w:rsid w:val="00C57CE2"/>
    <w:rsid w:val="00C60D6A"/>
    <w:rsid w:val="00C60E53"/>
    <w:rsid w:val="00C61DF1"/>
    <w:rsid w:val="00C62BC9"/>
    <w:rsid w:val="00C63381"/>
    <w:rsid w:val="00C635C0"/>
    <w:rsid w:val="00C6471C"/>
    <w:rsid w:val="00C649C0"/>
    <w:rsid w:val="00C70046"/>
    <w:rsid w:val="00C721D7"/>
    <w:rsid w:val="00C738D7"/>
    <w:rsid w:val="00C73ACA"/>
    <w:rsid w:val="00C74CC0"/>
    <w:rsid w:val="00C7546D"/>
    <w:rsid w:val="00C76A70"/>
    <w:rsid w:val="00C77274"/>
    <w:rsid w:val="00C77A04"/>
    <w:rsid w:val="00C800AE"/>
    <w:rsid w:val="00C80D6F"/>
    <w:rsid w:val="00C819F1"/>
    <w:rsid w:val="00C821CE"/>
    <w:rsid w:val="00C8298E"/>
    <w:rsid w:val="00C82A0A"/>
    <w:rsid w:val="00C82E2F"/>
    <w:rsid w:val="00C82E84"/>
    <w:rsid w:val="00C8349A"/>
    <w:rsid w:val="00C83AA2"/>
    <w:rsid w:val="00C84924"/>
    <w:rsid w:val="00C84B58"/>
    <w:rsid w:val="00C84BC9"/>
    <w:rsid w:val="00C84D13"/>
    <w:rsid w:val="00C85CC7"/>
    <w:rsid w:val="00C86746"/>
    <w:rsid w:val="00C90DC5"/>
    <w:rsid w:val="00C90DD6"/>
    <w:rsid w:val="00C913F3"/>
    <w:rsid w:val="00C91481"/>
    <w:rsid w:val="00C91B31"/>
    <w:rsid w:val="00C92B02"/>
    <w:rsid w:val="00C956DF"/>
    <w:rsid w:val="00CA06EE"/>
    <w:rsid w:val="00CA0E3F"/>
    <w:rsid w:val="00CA115F"/>
    <w:rsid w:val="00CA23C7"/>
    <w:rsid w:val="00CA264C"/>
    <w:rsid w:val="00CA2A47"/>
    <w:rsid w:val="00CA405F"/>
    <w:rsid w:val="00CA51C4"/>
    <w:rsid w:val="00CA51D3"/>
    <w:rsid w:val="00CA52DD"/>
    <w:rsid w:val="00CA7306"/>
    <w:rsid w:val="00CA7923"/>
    <w:rsid w:val="00CB077B"/>
    <w:rsid w:val="00CB0AD2"/>
    <w:rsid w:val="00CB286E"/>
    <w:rsid w:val="00CB3572"/>
    <w:rsid w:val="00CB3C06"/>
    <w:rsid w:val="00CB3F3B"/>
    <w:rsid w:val="00CB4525"/>
    <w:rsid w:val="00CB640E"/>
    <w:rsid w:val="00CB6584"/>
    <w:rsid w:val="00CB76E5"/>
    <w:rsid w:val="00CB7BA0"/>
    <w:rsid w:val="00CB7C32"/>
    <w:rsid w:val="00CC09A2"/>
    <w:rsid w:val="00CC0DC7"/>
    <w:rsid w:val="00CC2FAF"/>
    <w:rsid w:val="00CC362C"/>
    <w:rsid w:val="00CC3B98"/>
    <w:rsid w:val="00CC3E1B"/>
    <w:rsid w:val="00CC516B"/>
    <w:rsid w:val="00CC60B8"/>
    <w:rsid w:val="00CC6A5B"/>
    <w:rsid w:val="00CC6DB3"/>
    <w:rsid w:val="00CD425D"/>
    <w:rsid w:val="00CD55CD"/>
    <w:rsid w:val="00CD5941"/>
    <w:rsid w:val="00CD5CEB"/>
    <w:rsid w:val="00CD64B2"/>
    <w:rsid w:val="00CD7F5A"/>
    <w:rsid w:val="00CE0156"/>
    <w:rsid w:val="00CE1429"/>
    <w:rsid w:val="00CE16CE"/>
    <w:rsid w:val="00CE28BC"/>
    <w:rsid w:val="00CE4142"/>
    <w:rsid w:val="00CE4676"/>
    <w:rsid w:val="00CE48BF"/>
    <w:rsid w:val="00CE4E5E"/>
    <w:rsid w:val="00CE4F1A"/>
    <w:rsid w:val="00CE526B"/>
    <w:rsid w:val="00CE52C8"/>
    <w:rsid w:val="00CE5FDE"/>
    <w:rsid w:val="00CF016E"/>
    <w:rsid w:val="00CF2084"/>
    <w:rsid w:val="00CF2C37"/>
    <w:rsid w:val="00CF3705"/>
    <w:rsid w:val="00CF3E20"/>
    <w:rsid w:val="00CF4509"/>
    <w:rsid w:val="00CF597D"/>
    <w:rsid w:val="00CF7754"/>
    <w:rsid w:val="00D010BF"/>
    <w:rsid w:val="00D01346"/>
    <w:rsid w:val="00D01532"/>
    <w:rsid w:val="00D0153B"/>
    <w:rsid w:val="00D01E34"/>
    <w:rsid w:val="00D01EDD"/>
    <w:rsid w:val="00D022DF"/>
    <w:rsid w:val="00D023E5"/>
    <w:rsid w:val="00D031FC"/>
    <w:rsid w:val="00D032C1"/>
    <w:rsid w:val="00D03475"/>
    <w:rsid w:val="00D05544"/>
    <w:rsid w:val="00D056CB"/>
    <w:rsid w:val="00D061BC"/>
    <w:rsid w:val="00D0634F"/>
    <w:rsid w:val="00D075BE"/>
    <w:rsid w:val="00D103EF"/>
    <w:rsid w:val="00D11FCD"/>
    <w:rsid w:val="00D122A7"/>
    <w:rsid w:val="00D12B22"/>
    <w:rsid w:val="00D13595"/>
    <w:rsid w:val="00D13640"/>
    <w:rsid w:val="00D13B16"/>
    <w:rsid w:val="00D15399"/>
    <w:rsid w:val="00D159ED"/>
    <w:rsid w:val="00D1667C"/>
    <w:rsid w:val="00D166B3"/>
    <w:rsid w:val="00D16ECD"/>
    <w:rsid w:val="00D178FE"/>
    <w:rsid w:val="00D17EE4"/>
    <w:rsid w:val="00D17FBE"/>
    <w:rsid w:val="00D201EE"/>
    <w:rsid w:val="00D2197D"/>
    <w:rsid w:val="00D225B4"/>
    <w:rsid w:val="00D2285C"/>
    <w:rsid w:val="00D22C3F"/>
    <w:rsid w:val="00D256F8"/>
    <w:rsid w:val="00D25E2C"/>
    <w:rsid w:val="00D26175"/>
    <w:rsid w:val="00D266A4"/>
    <w:rsid w:val="00D2780D"/>
    <w:rsid w:val="00D300B3"/>
    <w:rsid w:val="00D30E7A"/>
    <w:rsid w:val="00D314AE"/>
    <w:rsid w:val="00D31CA4"/>
    <w:rsid w:val="00D31EBF"/>
    <w:rsid w:val="00D32457"/>
    <w:rsid w:val="00D33E68"/>
    <w:rsid w:val="00D3403A"/>
    <w:rsid w:val="00D35826"/>
    <w:rsid w:val="00D359E4"/>
    <w:rsid w:val="00D36126"/>
    <w:rsid w:val="00D3683A"/>
    <w:rsid w:val="00D375AB"/>
    <w:rsid w:val="00D4013E"/>
    <w:rsid w:val="00D405CF"/>
    <w:rsid w:val="00D40E1A"/>
    <w:rsid w:val="00D40E25"/>
    <w:rsid w:val="00D41BA7"/>
    <w:rsid w:val="00D424F5"/>
    <w:rsid w:val="00D42937"/>
    <w:rsid w:val="00D4361E"/>
    <w:rsid w:val="00D43DD6"/>
    <w:rsid w:val="00D44E2C"/>
    <w:rsid w:val="00D456FF"/>
    <w:rsid w:val="00D46FFE"/>
    <w:rsid w:val="00D47DF0"/>
    <w:rsid w:val="00D5110D"/>
    <w:rsid w:val="00D52190"/>
    <w:rsid w:val="00D52F99"/>
    <w:rsid w:val="00D53F83"/>
    <w:rsid w:val="00D55013"/>
    <w:rsid w:val="00D55531"/>
    <w:rsid w:val="00D5556E"/>
    <w:rsid w:val="00D569F8"/>
    <w:rsid w:val="00D60116"/>
    <w:rsid w:val="00D60737"/>
    <w:rsid w:val="00D64C01"/>
    <w:rsid w:val="00D65299"/>
    <w:rsid w:val="00D655CF"/>
    <w:rsid w:val="00D65F50"/>
    <w:rsid w:val="00D66F1F"/>
    <w:rsid w:val="00D67344"/>
    <w:rsid w:val="00D702D4"/>
    <w:rsid w:val="00D70F03"/>
    <w:rsid w:val="00D71894"/>
    <w:rsid w:val="00D7224B"/>
    <w:rsid w:val="00D724B3"/>
    <w:rsid w:val="00D72C0A"/>
    <w:rsid w:val="00D7348D"/>
    <w:rsid w:val="00D74097"/>
    <w:rsid w:val="00D74808"/>
    <w:rsid w:val="00D74C49"/>
    <w:rsid w:val="00D74D58"/>
    <w:rsid w:val="00D76301"/>
    <w:rsid w:val="00D764DB"/>
    <w:rsid w:val="00D76654"/>
    <w:rsid w:val="00D80C9F"/>
    <w:rsid w:val="00D81896"/>
    <w:rsid w:val="00D818F9"/>
    <w:rsid w:val="00D81E4D"/>
    <w:rsid w:val="00D82587"/>
    <w:rsid w:val="00D83C73"/>
    <w:rsid w:val="00D84924"/>
    <w:rsid w:val="00D84DEB"/>
    <w:rsid w:val="00D84EAE"/>
    <w:rsid w:val="00D8578D"/>
    <w:rsid w:val="00D85FFD"/>
    <w:rsid w:val="00D90A00"/>
    <w:rsid w:val="00D90B5A"/>
    <w:rsid w:val="00D9131B"/>
    <w:rsid w:val="00D9214A"/>
    <w:rsid w:val="00D93485"/>
    <w:rsid w:val="00D934FA"/>
    <w:rsid w:val="00D9453B"/>
    <w:rsid w:val="00D946A9"/>
    <w:rsid w:val="00D94B76"/>
    <w:rsid w:val="00D94BC4"/>
    <w:rsid w:val="00D957EB"/>
    <w:rsid w:val="00D96830"/>
    <w:rsid w:val="00DA0FD5"/>
    <w:rsid w:val="00DA416B"/>
    <w:rsid w:val="00DA5551"/>
    <w:rsid w:val="00DA59D6"/>
    <w:rsid w:val="00DA628A"/>
    <w:rsid w:val="00DA6558"/>
    <w:rsid w:val="00DA7DCB"/>
    <w:rsid w:val="00DB08B1"/>
    <w:rsid w:val="00DB1AF4"/>
    <w:rsid w:val="00DB1D82"/>
    <w:rsid w:val="00DB1DBC"/>
    <w:rsid w:val="00DB243D"/>
    <w:rsid w:val="00DB2B48"/>
    <w:rsid w:val="00DB2C63"/>
    <w:rsid w:val="00DB37B3"/>
    <w:rsid w:val="00DB43F4"/>
    <w:rsid w:val="00DB4ED0"/>
    <w:rsid w:val="00DB5589"/>
    <w:rsid w:val="00DB5BA9"/>
    <w:rsid w:val="00DB75CA"/>
    <w:rsid w:val="00DC0D7B"/>
    <w:rsid w:val="00DC0EEA"/>
    <w:rsid w:val="00DC1098"/>
    <w:rsid w:val="00DC1678"/>
    <w:rsid w:val="00DC1F3F"/>
    <w:rsid w:val="00DC22D7"/>
    <w:rsid w:val="00DC2A9D"/>
    <w:rsid w:val="00DC3D65"/>
    <w:rsid w:val="00DC3FFA"/>
    <w:rsid w:val="00DC47F7"/>
    <w:rsid w:val="00DC522E"/>
    <w:rsid w:val="00DC65F7"/>
    <w:rsid w:val="00DC6725"/>
    <w:rsid w:val="00DC67D6"/>
    <w:rsid w:val="00DC67FD"/>
    <w:rsid w:val="00DC698A"/>
    <w:rsid w:val="00DC79E4"/>
    <w:rsid w:val="00DD01F2"/>
    <w:rsid w:val="00DD0C99"/>
    <w:rsid w:val="00DD14FF"/>
    <w:rsid w:val="00DD1608"/>
    <w:rsid w:val="00DD3CAD"/>
    <w:rsid w:val="00DE0F1D"/>
    <w:rsid w:val="00DE1CF2"/>
    <w:rsid w:val="00DE2A1D"/>
    <w:rsid w:val="00DE33DD"/>
    <w:rsid w:val="00DE3FAA"/>
    <w:rsid w:val="00DE5002"/>
    <w:rsid w:val="00DE52D1"/>
    <w:rsid w:val="00DE5D5E"/>
    <w:rsid w:val="00DE5E8D"/>
    <w:rsid w:val="00DE7825"/>
    <w:rsid w:val="00DE7B75"/>
    <w:rsid w:val="00DF0309"/>
    <w:rsid w:val="00DF03D7"/>
    <w:rsid w:val="00DF239B"/>
    <w:rsid w:val="00DF2E56"/>
    <w:rsid w:val="00DF3BFF"/>
    <w:rsid w:val="00DF3E97"/>
    <w:rsid w:val="00DF46D4"/>
    <w:rsid w:val="00DF4C92"/>
    <w:rsid w:val="00DF524A"/>
    <w:rsid w:val="00DF5A64"/>
    <w:rsid w:val="00DF7ED5"/>
    <w:rsid w:val="00E00464"/>
    <w:rsid w:val="00E00922"/>
    <w:rsid w:val="00E01A19"/>
    <w:rsid w:val="00E02438"/>
    <w:rsid w:val="00E03558"/>
    <w:rsid w:val="00E055B6"/>
    <w:rsid w:val="00E06CAA"/>
    <w:rsid w:val="00E0719A"/>
    <w:rsid w:val="00E07908"/>
    <w:rsid w:val="00E07983"/>
    <w:rsid w:val="00E10DB9"/>
    <w:rsid w:val="00E11139"/>
    <w:rsid w:val="00E1161C"/>
    <w:rsid w:val="00E11C08"/>
    <w:rsid w:val="00E1224B"/>
    <w:rsid w:val="00E122E7"/>
    <w:rsid w:val="00E14218"/>
    <w:rsid w:val="00E159FE"/>
    <w:rsid w:val="00E1604A"/>
    <w:rsid w:val="00E162DC"/>
    <w:rsid w:val="00E16B28"/>
    <w:rsid w:val="00E174D4"/>
    <w:rsid w:val="00E17578"/>
    <w:rsid w:val="00E17C92"/>
    <w:rsid w:val="00E17DC6"/>
    <w:rsid w:val="00E17F97"/>
    <w:rsid w:val="00E211F6"/>
    <w:rsid w:val="00E2134C"/>
    <w:rsid w:val="00E217F9"/>
    <w:rsid w:val="00E2407A"/>
    <w:rsid w:val="00E249C1"/>
    <w:rsid w:val="00E24B33"/>
    <w:rsid w:val="00E2531E"/>
    <w:rsid w:val="00E2584C"/>
    <w:rsid w:val="00E264DC"/>
    <w:rsid w:val="00E26E44"/>
    <w:rsid w:val="00E27672"/>
    <w:rsid w:val="00E27A1F"/>
    <w:rsid w:val="00E30591"/>
    <w:rsid w:val="00E30735"/>
    <w:rsid w:val="00E31713"/>
    <w:rsid w:val="00E31ACE"/>
    <w:rsid w:val="00E33D54"/>
    <w:rsid w:val="00E342E5"/>
    <w:rsid w:val="00E34349"/>
    <w:rsid w:val="00E355DA"/>
    <w:rsid w:val="00E3591B"/>
    <w:rsid w:val="00E35D84"/>
    <w:rsid w:val="00E3641B"/>
    <w:rsid w:val="00E376A8"/>
    <w:rsid w:val="00E37778"/>
    <w:rsid w:val="00E40C1E"/>
    <w:rsid w:val="00E41F7B"/>
    <w:rsid w:val="00E42FC3"/>
    <w:rsid w:val="00E43CD2"/>
    <w:rsid w:val="00E4696E"/>
    <w:rsid w:val="00E46C5B"/>
    <w:rsid w:val="00E46DD5"/>
    <w:rsid w:val="00E47542"/>
    <w:rsid w:val="00E523AD"/>
    <w:rsid w:val="00E525E1"/>
    <w:rsid w:val="00E52A14"/>
    <w:rsid w:val="00E52A52"/>
    <w:rsid w:val="00E52F56"/>
    <w:rsid w:val="00E54E3C"/>
    <w:rsid w:val="00E5525F"/>
    <w:rsid w:val="00E56D30"/>
    <w:rsid w:val="00E56EF9"/>
    <w:rsid w:val="00E57874"/>
    <w:rsid w:val="00E57FB1"/>
    <w:rsid w:val="00E604E2"/>
    <w:rsid w:val="00E61120"/>
    <w:rsid w:val="00E61862"/>
    <w:rsid w:val="00E61E3D"/>
    <w:rsid w:val="00E62F52"/>
    <w:rsid w:val="00E63A40"/>
    <w:rsid w:val="00E64023"/>
    <w:rsid w:val="00E64874"/>
    <w:rsid w:val="00E649A2"/>
    <w:rsid w:val="00E64A2B"/>
    <w:rsid w:val="00E64FC0"/>
    <w:rsid w:val="00E65B05"/>
    <w:rsid w:val="00E66958"/>
    <w:rsid w:val="00E66984"/>
    <w:rsid w:val="00E66BCE"/>
    <w:rsid w:val="00E70C8F"/>
    <w:rsid w:val="00E7167D"/>
    <w:rsid w:val="00E71811"/>
    <w:rsid w:val="00E734D8"/>
    <w:rsid w:val="00E74A60"/>
    <w:rsid w:val="00E753D1"/>
    <w:rsid w:val="00E76A5D"/>
    <w:rsid w:val="00E772EE"/>
    <w:rsid w:val="00E77B20"/>
    <w:rsid w:val="00E77DB4"/>
    <w:rsid w:val="00E8069F"/>
    <w:rsid w:val="00E819D3"/>
    <w:rsid w:val="00E81F74"/>
    <w:rsid w:val="00E8211B"/>
    <w:rsid w:val="00E835C9"/>
    <w:rsid w:val="00E83906"/>
    <w:rsid w:val="00E8401D"/>
    <w:rsid w:val="00E853F5"/>
    <w:rsid w:val="00E8572F"/>
    <w:rsid w:val="00E8690A"/>
    <w:rsid w:val="00E8747B"/>
    <w:rsid w:val="00E87C61"/>
    <w:rsid w:val="00E87D9E"/>
    <w:rsid w:val="00E90C15"/>
    <w:rsid w:val="00E90C53"/>
    <w:rsid w:val="00E90F31"/>
    <w:rsid w:val="00E91817"/>
    <w:rsid w:val="00E91A49"/>
    <w:rsid w:val="00E95175"/>
    <w:rsid w:val="00E95BC1"/>
    <w:rsid w:val="00EA0160"/>
    <w:rsid w:val="00EA0954"/>
    <w:rsid w:val="00EA36E4"/>
    <w:rsid w:val="00EA3EDD"/>
    <w:rsid w:val="00EA47A3"/>
    <w:rsid w:val="00EA5A1A"/>
    <w:rsid w:val="00EA6532"/>
    <w:rsid w:val="00EA73DA"/>
    <w:rsid w:val="00EA7593"/>
    <w:rsid w:val="00EA7F94"/>
    <w:rsid w:val="00EB0B5E"/>
    <w:rsid w:val="00EB13EB"/>
    <w:rsid w:val="00EB1EAC"/>
    <w:rsid w:val="00EB2326"/>
    <w:rsid w:val="00EB2B0E"/>
    <w:rsid w:val="00EB2EA6"/>
    <w:rsid w:val="00EB306E"/>
    <w:rsid w:val="00EB3D47"/>
    <w:rsid w:val="00EB4ACF"/>
    <w:rsid w:val="00EB4F85"/>
    <w:rsid w:val="00EB5516"/>
    <w:rsid w:val="00EC0153"/>
    <w:rsid w:val="00EC0163"/>
    <w:rsid w:val="00EC238A"/>
    <w:rsid w:val="00EC344C"/>
    <w:rsid w:val="00EC3A53"/>
    <w:rsid w:val="00EC3F0B"/>
    <w:rsid w:val="00EC402A"/>
    <w:rsid w:val="00EC4063"/>
    <w:rsid w:val="00EC539B"/>
    <w:rsid w:val="00EC55C4"/>
    <w:rsid w:val="00EC5915"/>
    <w:rsid w:val="00EC63D1"/>
    <w:rsid w:val="00EC6F50"/>
    <w:rsid w:val="00EC74A3"/>
    <w:rsid w:val="00EC782C"/>
    <w:rsid w:val="00EC7A0D"/>
    <w:rsid w:val="00ED137C"/>
    <w:rsid w:val="00ED1561"/>
    <w:rsid w:val="00ED2E7F"/>
    <w:rsid w:val="00ED3C01"/>
    <w:rsid w:val="00ED4287"/>
    <w:rsid w:val="00ED5A33"/>
    <w:rsid w:val="00ED6436"/>
    <w:rsid w:val="00ED69B9"/>
    <w:rsid w:val="00ED6F70"/>
    <w:rsid w:val="00ED707E"/>
    <w:rsid w:val="00ED7784"/>
    <w:rsid w:val="00EE0C0E"/>
    <w:rsid w:val="00EE105C"/>
    <w:rsid w:val="00EE1FB7"/>
    <w:rsid w:val="00EE238E"/>
    <w:rsid w:val="00EE2431"/>
    <w:rsid w:val="00EE276E"/>
    <w:rsid w:val="00EE359B"/>
    <w:rsid w:val="00EE39A1"/>
    <w:rsid w:val="00EE3A47"/>
    <w:rsid w:val="00EE3DCE"/>
    <w:rsid w:val="00EE45FA"/>
    <w:rsid w:val="00EE58A3"/>
    <w:rsid w:val="00EE5B24"/>
    <w:rsid w:val="00EE618C"/>
    <w:rsid w:val="00EE63F9"/>
    <w:rsid w:val="00EE64F0"/>
    <w:rsid w:val="00EF0357"/>
    <w:rsid w:val="00EF0782"/>
    <w:rsid w:val="00EF1BE7"/>
    <w:rsid w:val="00EF2014"/>
    <w:rsid w:val="00EF27CF"/>
    <w:rsid w:val="00EF3A80"/>
    <w:rsid w:val="00EF40EB"/>
    <w:rsid w:val="00EF68AB"/>
    <w:rsid w:val="00EF75A3"/>
    <w:rsid w:val="00EF7963"/>
    <w:rsid w:val="00F00139"/>
    <w:rsid w:val="00F017D5"/>
    <w:rsid w:val="00F02254"/>
    <w:rsid w:val="00F025D5"/>
    <w:rsid w:val="00F034F8"/>
    <w:rsid w:val="00F037D6"/>
    <w:rsid w:val="00F038E9"/>
    <w:rsid w:val="00F03945"/>
    <w:rsid w:val="00F0416C"/>
    <w:rsid w:val="00F05A2F"/>
    <w:rsid w:val="00F06D6D"/>
    <w:rsid w:val="00F10C6E"/>
    <w:rsid w:val="00F134F4"/>
    <w:rsid w:val="00F1429C"/>
    <w:rsid w:val="00F17E0D"/>
    <w:rsid w:val="00F204EF"/>
    <w:rsid w:val="00F206D8"/>
    <w:rsid w:val="00F22898"/>
    <w:rsid w:val="00F23581"/>
    <w:rsid w:val="00F23B68"/>
    <w:rsid w:val="00F24A41"/>
    <w:rsid w:val="00F25F18"/>
    <w:rsid w:val="00F2785B"/>
    <w:rsid w:val="00F279B0"/>
    <w:rsid w:val="00F27E34"/>
    <w:rsid w:val="00F30251"/>
    <w:rsid w:val="00F3226D"/>
    <w:rsid w:val="00F3245D"/>
    <w:rsid w:val="00F33E15"/>
    <w:rsid w:val="00F34CDE"/>
    <w:rsid w:val="00F35249"/>
    <w:rsid w:val="00F353F9"/>
    <w:rsid w:val="00F35BAB"/>
    <w:rsid w:val="00F3646F"/>
    <w:rsid w:val="00F373AF"/>
    <w:rsid w:val="00F3754E"/>
    <w:rsid w:val="00F4167E"/>
    <w:rsid w:val="00F4314A"/>
    <w:rsid w:val="00F43433"/>
    <w:rsid w:val="00F43450"/>
    <w:rsid w:val="00F44BE8"/>
    <w:rsid w:val="00F470A4"/>
    <w:rsid w:val="00F479F8"/>
    <w:rsid w:val="00F50A32"/>
    <w:rsid w:val="00F50B68"/>
    <w:rsid w:val="00F516D6"/>
    <w:rsid w:val="00F51D3D"/>
    <w:rsid w:val="00F5262C"/>
    <w:rsid w:val="00F527D2"/>
    <w:rsid w:val="00F52F30"/>
    <w:rsid w:val="00F5558B"/>
    <w:rsid w:val="00F55ED9"/>
    <w:rsid w:val="00F56DA6"/>
    <w:rsid w:val="00F56FE4"/>
    <w:rsid w:val="00F570B1"/>
    <w:rsid w:val="00F62AFD"/>
    <w:rsid w:val="00F6310D"/>
    <w:rsid w:val="00F64CAE"/>
    <w:rsid w:val="00F6531D"/>
    <w:rsid w:val="00F65B99"/>
    <w:rsid w:val="00F6676D"/>
    <w:rsid w:val="00F677C4"/>
    <w:rsid w:val="00F677FA"/>
    <w:rsid w:val="00F71B77"/>
    <w:rsid w:val="00F73A09"/>
    <w:rsid w:val="00F743FF"/>
    <w:rsid w:val="00F74C2B"/>
    <w:rsid w:val="00F74D45"/>
    <w:rsid w:val="00F754A7"/>
    <w:rsid w:val="00F75C5A"/>
    <w:rsid w:val="00F769B5"/>
    <w:rsid w:val="00F76CDA"/>
    <w:rsid w:val="00F805C0"/>
    <w:rsid w:val="00F815C1"/>
    <w:rsid w:val="00F8182F"/>
    <w:rsid w:val="00F82212"/>
    <w:rsid w:val="00F83D5D"/>
    <w:rsid w:val="00F84162"/>
    <w:rsid w:val="00F85686"/>
    <w:rsid w:val="00F85804"/>
    <w:rsid w:val="00F85E7E"/>
    <w:rsid w:val="00F90901"/>
    <w:rsid w:val="00F91224"/>
    <w:rsid w:val="00F91732"/>
    <w:rsid w:val="00F929A1"/>
    <w:rsid w:val="00F9315B"/>
    <w:rsid w:val="00F93C4B"/>
    <w:rsid w:val="00F94FA6"/>
    <w:rsid w:val="00F95627"/>
    <w:rsid w:val="00F95877"/>
    <w:rsid w:val="00F958E4"/>
    <w:rsid w:val="00F95BD9"/>
    <w:rsid w:val="00F95D39"/>
    <w:rsid w:val="00F96496"/>
    <w:rsid w:val="00F968EE"/>
    <w:rsid w:val="00F97DBD"/>
    <w:rsid w:val="00FA000A"/>
    <w:rsid w:val="00FA03F4"/>
    <w:rsid w:val="00FA0C36"/>
    <w:rsid w:val="00FA1C72"/>
    <w:rsid w:val="00FA49F7"/>
    <w:rsid w:val="00FA5348"/>
    <w:rsid w:val="00FB0808"/>
    <w:rsid w:val="00FB1198"/>
    <w:rsid w:val="00FB276C"/>
    <w:rsid w:val="00FB372D"/>
    <w:rsid w:val="00FB4032"/>
    <w:rsid w:val="00FB42E8"/>
    <w:rsid w:val="00FB4714"/>
    <w:rsid w:val="00FB78A4"/>
    <w:rsid w:val="00FC116A"/>
    <w:rsid w:val="00FC13CC"/>
    <w:rsid w:val="00FC1ACE"/>
    <w:rsid w:val="00FC26DD"/>
    <w:rsid w:val="00FC4ECC"/>
    <w:rsid w:val="00FC53CE"/>
    <w:rsid w:val="00FC5E4E"/>
    <w:rsid w:val="00FC6EF4"/>
    <w:rsid w:val="00FD0675"/>
    <w:rsid w:val="00FD0D70"/>
    <w:rsid w:val="00FD1829"/>
    <w:rsid w:val="00FD19E3"/>
    <w:rsid w:val="00FD2245"/>
    <w:rsid w:val="00FD2BCE"/>
    <w:rsid w:val="00FD4057"/>
    <w:rsid w:val="00FD45EB"/>
    <w:rsid w:val="00FD7F59"/>
    <w:rsid w:val="00FE147D"/>
    <w:rsid w:val="00FE1B93"/>
    <w:rsid w:val="00FE2152"/>
    <w:rsid w:val="00FE2CCF"/>
    <w:rsid w:val="00FE3BA0"/>
    <w:rsid w:val="00FE49E5"/>
    <w:rsid w:val="00FE4A5D"/>
    <w:rsid w:val="00FE4AE7"/>
    <w:rsid w:val="00FE6CC2"/>
    <w:rsid w:val="00FF058D"/>
    <w:rsid w:val="00FF072B"/>
    <w:rsid w:val="00FF1D50"/>
    <w:rsid w:val="00FF292C"/>
    <w:rsid w:val="00FF2C9C"/>
    <w:rsid w:val="00FF33A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docId w15:val="{37D691FA-9F36-4DEF-8D84-34650088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rsid w:val="00AF702B"/>
    <w:rPr>
      <w:vertAlign w:val="superscript"/>
    </w:rPr>
  </w:style>
  <w:style w:type="paragraph" w:styleId="Textonotapie">
    <w:name w:val="footnote text"/>
    <w:basedOn w:val="Normal"/>
    <w:link w:val="TextonotapieCar"/>
    <w:rsid w:val="00AF702B"/>
    <w:rPr>
      <w:sz w:val="20"/>
      <w:szCs w:val="20"/>
    </w:rPr>
  </w:style>
  <w:style w:type="character" w:customStyle="1" w:styleId="TextonotapieCar">
    <w:name w:val="Texto nota pi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link w:val="BodyText2Car1"/>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customStyle="1" w:styleId="BodyText2Car1">
    <w:name w:val="Body Text 2 Car1"/>
    <w:link w:val="Textoindependiente21"/>
    <w:locked/>
    <w:rsid w:val="007D6629"/>
    <w:rPr>
      <w:rFonts w:ascii="Arial" w:hAnsi="Arial"/>
      <w:b/>
      <w:sz w:val="28"/>
      <w:lang w:val="es-ES_tradnl"/>
    </w:rPr>
  </w:style>
  <w:style w:type="paragraph" w:customStyle="1" w:styleId="Textoindependiente32">
    <w:name w:val="Texto independiente 32"/>
    <w:basedOn w:val="Normal"/>
    <w:rsid w:val="002F44D0"/>
    <w:pPr>
      <w:spacing w:line="360" w:lineRule="auto"/>
      <w:jc w:val="both"/>
    </w:pPr>
    <w:rPr>
      <w:rFonts w:ascii="Arial" w:hAnsi="Arial"/>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7794229">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41023694">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12126069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4111868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ECE34-8504-442E-B29D-30E40B019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1628</TotalTime>
  <Pages>5</Pages>
  <Words>2619</Words>
  <Characters>14407</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Henry Lora Rodriguez</cp:lastModifiedBy>
  <cp:revision>108</cp:revision>
  <cp:lastPrinted>2018-02-09T19:34:00Z</cp:lastPrinted>
  <dcterms:created xsi:type="dcterms:W3CDTF">2018-02-01T15:20:00Z</dcterms:created>
  <dcterms:modified xsi:type="dcterms:W3CDTF">2018-03-13T16:21:00Z</dcterms:modified>
  <cp:category>Sala Laboral Tribunal Superior de Periera</cp:category>
</cp:coreProperties>
</file>