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1A2087">
        <w:rPr>
          <w:rFonts w:ascii="Tahoma" w:hAnsi="Tahoma" w:cs="Tahoma"/>
          <w:b w:val="0"/>
          <w:bCs/>
          <w:sz w:val="18"/>
          <w:szCs w:val="18"/>
        </w:rPr>
        <w:t>23</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14623C">
        <w:rPr>
          <w:rFonts w:ascii="Tahoma" w:hAnsi="Tahoma" w:cs="Tahoma"/>
          <w:b w:val="0"/>
          <w:bCs/>
          <w:sz w:val="18"/>
          <w:szCs w:val="18"/>
        </w:rPr>
        <w:t xml:space="preserve">febrero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1A2087">
        <w:rPr>
          <w:rFonts w:ascii="Tahoma" w:hAnsi="Tahoma" w:cs="Tahoma"/>
          <w:b w:val="0"/>
          <w:sz w:val="18"/>
          <w:szCs w:val="18"/>
        </w:rPr>
        <w:t>2</w:t>
      </w:r>
      <w:r w:rsidRPr="00EA3EFB">
        <w:rPr>
          <w:rFonts w:ascii="Tahoma" w:hAnsi="Tahoma" w:cs="Tahoma"/>
          <w:b w:val="0"/>
          <w:sz w:val="18"/>
          <w:szCs w:val="18"/>
        </w:rPr>
        <w:t>-201</w:t>
      </w:r>
      <w:r w:rsidR="001A2087">
        <w:rPr>
          <w:rFonts w:ascii="Tahoma" w:hAnsi="Tahoma" w:cs="Tahoma"/>
          <w:b w:val="0"/>
          <w:sz w:val="18"/>
          <w:szCs w:val="18"/>
        </w:rPr>
        <w:t>5</w:t>
      </w:r>
      <w:r w:rsidRPr="00EA3EFB">
        <w:rPr>
          <w:rFonts w:ascii="Tahoma" w:hAnsi="Tahoma" w:cs="Tahoma"/>
          <w:b w:val="0"/>
          <w:sz w:val="18"/>
          <w:szCs w:val="18"/>
        </w:rPr>
        <w:t>-00</w:t>
      </w:r>
      <w:r w:rsidR="001A2087">
        <w:rPr>
          <w:rFonts w:ascii="Tahoma" w:hAnsi="Tahoma" w:cs="Tahoma"/>
          <w:b w:val="0"/>
          <w:sz w:val="18"/>
          <w:szCs w:val="18"/>
        </w:rPr>
        <w:t>634</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1A2087">
        <w:rPr>
          <w:rFonts w:ascii="Tahoma" w:hAnsi="Tahoma" w:cs="Tahoma"/>
          <w:b w:val="0"/>
          <w:sz w:val="18"/>
          <w:szCs w:val="18"/>
        </w:rPr>
        <w:t xml:space="preserve">Ricardo Luis Cataño Rendón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A2087">
        <w:rPr>
          <w:rFonts w:ascii="Tahoma" w:hAnsi="Tahoma" w:cs="Tahoma"/>
          <w:b w:val="0"/>
          <w:sz w:val="18"/>
          <w:szCs w:val="18"/>
        </w:rPr>
        <w:t xml:space="preserve">Segundo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6C68D3" w:rsidRDefault="009275C7" w:rsidP="006C68D3">
      <w:pPr>
        <w:pStyle w:val="Textoindependiente"/>
        <w:spacing w:after="0"/>
        <w:ind w:left="2127" w:right="51"/>
        <w:jc w:val="both"/>
        <w:rPr>
          <w:rFonts w:ascii="Tahoma" w:hAnsi="Tahoma" w:cs="Tahoma"/>
          <w:b/>
          <w:bCs/>
          <w:sz w:val="18"/>
          <w:szCs w:val="18"/>
        </w:rPr>
      </w:pPr>
      <w:r w:rsidRPr="00064657">
        <w:rPr>
          <w:rFonts w:ascii="Tahoma" w:hAnsi="Tahoma" w:cs="Tahoma"/>
          <w:b/>
          <w:bCs/>
          <w:sz w:val="18"/>
          <w:szCs w:val="18"/>
        </w:rPr>
        <w:t>PENSIÓN DE JUBILACIÓN POR APORTES</w:t>
      </w:r>
      <w:r>
        <w:rPr>
          <w:rFonts w:ascii="Tahoma" w:hAnsi="Tahoma" w:cs="Tahoma"/>
          <w:b/>
          <w:bCs/>
          <w:sz w:val="18"/>
          <w:szCs w:val="18"/>
        </w:rPr>
        <w:t xml:space="preserve"> / TRANSICIÓN / LEY 71 DE 1988 / 20 AÑOS DE SERVICIOS / 60 DE EDAD / DISFRUTE -</w:t>
      </w:r>
      <w:r w:rsidR="006C68D3" w:rsidRPr="00064657">
        <w:rPr>
          <w:rFonts w:ascii="Tahoma" w:hAnsi="Tahoma" w:cs="Tahoma"/>
          <w:b/>
          <w:bCs/>
          <w:sz w:val="18"/>
          <w:szCs w:val="18"/>
        </w:rPr>
        <w:t xml:space="preserve"> </w:t>
      </w:r>
      <w:r w:rsidR="006C68D3">
        <w:rPr>
          <w:rFonts w:ascii="Tahoma" w:hAnsi="Tahoma" w:cs="Tahoma"/>
          <w:bCs/>
          <w:sz w:val="18"/>
          <w:szCs w:val="18"/>
        </w:rPr>
        <w:t>Al quedar acreditado que el promotor del litigio</w:t>
      </w:r>
      <w:r w:rsidR="006C68D3"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sidR="006C68D3">
        <w:rPr>
          <w:rFonts w:ascii="Tahoma" w:hAnsi="Tahoma" w:cs="Tahoma"/>
          <w:bCs/>
          <w:sz w:val="18"/>
          <w:szCs w:val="18"/>
        </w:rPr>
        <w:t>superar los 60</w:t>
      </w:r>
      <w:r w:rsidR="006C68D3" w:rsidRPr="00064657">
        <w:rPr>
          <w:rFonts w:ascii="Tahoma" w:hAnsi="Tahoma" w:cs="Tahoma"/>
          <w:bCs/>
          <w:sz w:val="18"/>
          <w:szCs w:val="18"/>
        </w:rPr>
        <w:t xml:space="preserve"> años de edad y</w:t>
      </w:r>
      <w:r w:rsidR="006C68D3">
        <w:rPr>
          <w:rFonts w:ascii="Tahoma" w:hAnsi="Tahoma" w:cs="Tahoma"/>
          <w:bCs/>
          <w:sz w:val="18"/>
          <w:szCs w:val="18"/>
        </w:rPr>
        <w:t xml:space="preserve"> contar con</w:t>
      </w:r>
      <w:r w:rsidR="006C68D3" w:rsidRPr="00064657">
        <w:rPr>
          <w:rFonts w:ascii="Tahoma" w:hAnsi="Tahoma" w:cs="Tahoma"/>
          <w:bCs/>
          <w:sz w:val="18"/>
          <w:szCs w:val="18"/>
        </w:rPr>
        <w:t xml:space="preserve"> más 20 años de servicios en los sectores público y privado.</w:t>
      </w:r>
    </w:p>
    <w:p w:rsidR="00F768F2" w:rsidRDefault="009275C7" w:rsidP="001C14EA">
      <w:pPr>
        <w:pStyle w:val="Textoindependiente"/>
        <w:spacing w:after="0"/>
        <w:ind w:left="2127" w:right="51"/>
        <w:jc w:val="both"/>
        <w:rPr>
          <w:rFonts w:ascii="Tahoma" w:hAnsi="Tahoma" w:cs="Tahoma"/>
          <w:bCs/>
          <w:sz w:val="18"/>
          <w:szCs w:val="18"/>
        </w:rPr>
      </w:pPr>
      <w:r>
        <w:rPr>
          <w:rFonts w:ascii="Tahoma" w:hAnsi="Tahoma" w:cs="Tahoma"/>
          <w:bCs/>
          <w:sz w:val="18"/>
          <w:szCs w:val="18"/>
        </w:rPr>
        <w:t>(…)</w:t>
      </w:r>
    </w:p>
    <w:p w:rsidR="009275C7" w:rsidRPr="009275C7" w:rsidRDefault="009275C7" w:rsidP="009275C7">
      <w:pPr>
        <w:pStyle w:val="Textoindependiente"/>
        <w:ind w:left="2127" w:right="51"/>
        <w:jc w:val="both"/>
        <w:rPr>
          <w:rFonts w:ascii="Tahoma" w:hAnsi="Tahoma" w:cs="Tahoma"/>
          <w:bCs/>
          <w:sz w:val="18"/>
          <w:szCs w:val="18"/>
        </w:rPr>
      </w:pPr>
      <w:r w:rsidRPr="009275C7">
        <w:rPr>
          <w:rFonts w:ascii="Tahoma" w:hAnsi="Tahoma" w:cs="Tahoma"/>
          <w:bCs/>
          <w:sz w:val="18"/>
          <w:szCs w:val="18"/>
        </w:rPr>
        <w:t>Con el fin de absolver el problema jurídico planteado se debe indicar, primero que todo, que el señor Ricardo Cataño fue beneficiario del rég</w:t>
      </w:r>
      <w:bookmarkStart w:id="0" w:name="_GoBack"/>
      <w:bookmarkEnd w:id="0"/>
      <w:r w:rsidRPr="009275C7">
        <w:rPr>
          <w:rFonts w:ascii="Tahoma" w:hAnsi="Tahoma" w:cs="Tahoma"/>
          <w:bCs/>
          <w:sz w:val="18"/>
          <w:szCs w:val="18"/>
        </w:rPr>
        <w:t>imen de transición consagrado en el artículo 36 de la Ley 100 de 1993, al contar con más de 40 años de edad al 1º de abril de 1994 (</w:t>
      </w:r>
      <w:proofErr w:type="spellStart"/>
      <w:r w:rsidRPr="009275C7">
        <w:rPr>
          <w:rFonts w:ascii="Tahoma" w:hAnsi="Tahoma" w:cs="Tahoma"/>
          <w:bCs/>
          <w:sz w:val="18"/>
          <w:szCs w:val="18"/>
        </w:rPr>
        <w:t>fl</w:t>
      </w:r>
      <w:proofErr w:type="spellEnd"/>
      <w:r w:rsidRPr="009275C7">
        <w:rPr>
          <w:rFonts w:ascii="Tahoma" w:hAnsi="Tahoma" w:cs="Tahoma"/>
          <w:bCs/>
          <w:sz w:val="18"/>
          <w:szCs w:val="18"/>
        </w:rPr>
        <w:t>. 12). Para establecer si dicha prerrogativa se extendió hasta el 31 de diciembre de 2014, era menester remitirse al contenido de los certificados de información laboral expedidos por el Ministerio de Defensa Nacional y la Policía Nacional (</w:t>
      </w:r>
      <w:proofErr w:type="spellStart"/>
      <w:r w:rsidRPr="009275C7">
        <w:rPr>
          <w:rFonts w:ascii="Tahoma" w:hAnsi="Tahoma" w:cs="Tahoma"/>
          <w:bCs/>
          <w:sz w:val="18"/>
          <w:szCs w:val="18"/>
        </w:rPr>
        <w:t>fls</w:t>
      </w:r>
      <w:proofErr w:type="spellEnd"/>
      <w:r w:rsidRPr="009275C7">
        <w:rPr>
          <w:rFonts w:ascii="Tahoma" w:hAnsi="Tahoma" w:cs="Tahoma"/>
          <w:bCs/>
          <w:sz w:val="18"/>
          <w:szCs w:val="18"/>
        </w:rPr>
        <w:t>. 56 y 60), así como al reporte de semanas cotizadas allegado por la demandada (</w:t>
      </w:r>
      <w:proofErr w:type="spellStart"/>
      <w:r w:rsidRPr="009275C7">
        <w:rPr>
          <w:rFonts w:ascii="Tahoma" w:hAnsi="Tahoma" w:cs="Tahoma"/>
          <w:bCs/>
          <w:sz w:val="18"/>
          <w:szCs w:val="18"/>
        </w:rPr>
        <w:t>fl</w:t>
      </w:r>
      <w:proofErr w:type="spellEnd"/>
      <w:r w:rsidRPr="009275C7">
        <w:rPr>
          <w:rFonts w:ascii="Tahoma" w:hAnsi="Tahoma" w:cs="Tahoma"/>
          <w:bCs/>
          <w:sz w:val="18"/>
          <w:szCs w:val="18"/>
        </w:rPr>
        <w:t>. 42), de los que se percibe que a la entrada en vigencia del Acto Legislativo 01 de 2005 el promotor del litigio contaba con 802 semanas cotizadas, por lo que era posible efectuar el estudio del cumplimiento de los requisitos establecidos en la Ley 71 de 1988, hasta la aludida calenda.</w:t>
      </w:r>
    </w:p>
    <w:p w:rsidR="009275C7" w:rsidRDefault="009275C7" w:rsidP="009275C7">
      <w:pPr>
        <w:pStyle w:val="Textoindependiente"/>
        <w:spacing w:after="0"/>
        <w:ind w:left="2127" w:right="51"/>
        <w:jc w:val="both"/>
        <w:rPr>
          <w:rFonts w:ascii="Tahoma" w:hAnsi="Tahoma" w:cs="Tahoma"/>
          <w:bCs/>
          <w:sz w:val="18"/>
          <w:szCs w:val="18"/>
        </w:rPr>
      </w:pPr>
      <w:r w:rsidRPr="009275C7">
        <w:rPr>
          <w:rFonts w:ascii="Tahoma" w:hAnsi="Tahoma" w:cs="Tahoma"/>
          <w:bCs/>
          <w:sz w:val="18"/>
          <w:szCs w:val="18"/>
        </w:rPr>
        <w:t xml:space="preserve">De esta manera, la Sala se basó en los mismos documentos a efectos de contabilizar los 20 años de servicios, encontrando que entre el 1º de abril de 1965 y el 31 de diciembre de 2014, el actor cuenta con un total de 1033,14 semanas, con las que supera los 20 años de servicios. Esa cantidad de semanas emerge del conteo efectuado por el tiempo servido en el Ministerio de Defensa Nacional entre el 1º de abril de 1965 y el 28 de febrero de 1967, que equivale a 99,85 semanas; a la Policía Nacional entre el 1º de septiembre de 1971 y el 16 de julio de 1980, es decir 463 semanas, y las 470,29 semanas cotizadas entre el 10 de febrero de 1968 y el 31 de diciembre de 2014, que se plasman en el reporte expedido por </w:t>
      </w:r>
      <w:proofErr w:type="spellStart"/>
      <w:r w:rsidRPr="009275C7">
        <w:rPr>
          <w:rFonts w:ascii="Tahoma" w:hAnsi="Tahoma" w:cs="Tahoma"/>
          <w:bCs/>
          <w:sz w:val="18"/>
          <w:szCs w:val="18"/>
        </w:rPr>
        <w:t>Colpensiones</w:t>
      </w:r>
      <w:proofErr w:type="spellEnd"/>
      <w:r w:rsidRPr="009275C7">
        <w:rPr>
          <w:rFonts w:ascii="Tahoma" w:hAnsi="Tahoma" w:cs="Tahoma"/>
          <w:bCs/>
          <w:sz w:val="18"/>
          <w:szCs w:val="18"/>
        </w:rPr>
        <w:t xml:space="preserve">. En este punto se debe advertir que aquellos periodos laborados con anterioridad a la entrada en vigencia de la Ley 100 de 1993 se contabilizaron con años de 365 días, tal como lo hacía el entonces </w:t>
      </w:r>
      <w:proofErr w:type="spellStart"/>
      <w:r w:rsidRPr="009275C7">
        <w:rPr>
          <w:rFonts w:ascii="Tahoma" w:hAnsi="Tahoma" w:cs="Tahoma"/>
          <w:bCs/>
          <w:sz w:val="18"/>
          <w:szCs w:val="18"/>
        </w:rPr>
        <w:t>I.S.S</w:t>
      </w:r>
      <w:proofErr w:type="spellEnd"/>
      <w:r w:rsidRPr="009275C7">
        <w:rPr>
          <w:rFonts w:ascii="Tahoma" w:hAnsi="Tahoma" w:cs="Tahoma"/>
          <w:bCs/>
          <w:sz w:val="18"/>
          <w:szCs w:val="18"/>
        </w:rPr>
        <w:t xml:space="preserve">. y lo continúa efectuando </w:t>
      </w:r>
      <w:proofErr w:type="spellStart"/>
      <w:r w:rsidRPr="009275C7">
        <w:rPr>
          <w:rFonts w:ascii="Tahoma" w:hAnsi="Tahoma" w:cs="Tahoma"/>
          <w:bCs/>
          <w:sz w:val="18"/>
          <w:szCs w:val="18"/>
        </w:rPr>
        <w:t>Colpensiones</w:t>
      </w:r>
      <w:proofErr w:type="spellEnd"/>
      <w:r w:rsidRPr="009275C7">
        <w:rPr>
          <w:rFonts w:ascii="Tahoma" w:hAnsi="Tahoma" w:cs="Tahoma"/>
          <w:bCs/>
          <w:sz w:val="18"/>
          <w:szCs w:val="18"/>
        </w:rPr>
        <w:t xml:space="preserve"> en las historias laborales que expide.  </w:t>
      </w:r>
    </w:p>
    <w:p w:rsidR="009275C7" w:rsidRDefault="009275C7" w:rsidP="001C14EA">
      <w:pPr>
        <w:pStyle w:val="Textoindependiente"/>
        <w:spacing w:after="0"/>
        <w:ind w:left="2127" w:right="51"/>
        <w:jc w:val="both"/>
        <w:rPr>
          <w:rFonts w:ascii="Tahoma" w:hAnsi="Tahoma" w:cs="Tahoma"/>
          <w:bCs/>
          <w:sz w:val="18"/>
          <w:szCs w:val="18"/>
        </w:rPr>
      </w:pPr>
      <w:r>
        <w:rPr>
          <w:rFonts w:ascii="Tahoma" w:hAnsi="Tahoma" w:cs="Tahoma"/>
          <w:bCs/>
          <w:sz w:val="18"/>
          <w:szCs w:val="18"/>
        </w:rPr>
        <w:t>(…)</w:t>
      </w:r>
    </w:p>
    <w:p w:rsidR="00C123A5" w:rsidRDefault="009275C7" w:rsidP="001C14EA">
      <w:pPr>
        <w:pStyle w:val="Textoindependiente"/>
        <w:spacing w:after="0"/>
        <w:ind w:left="2127" w:right="51"/>
        <w:jc w:val="both"/>
        <w:rPr>
          <w:rFonts w:ascii="Tahoma" w:hAnsi="Tahoma" w:cs="Tahoma"/>
          <w:bCs/>
          <w:sz w:val="18"/>
          <w:szCs w:val="18"/>
        </w:rPr>
      </w:pPr>
      <w:r w:rsidRPr="009275C7">
        <w:rPr>
          <w:rFonts w:ascii="Tahoma" w:hAnsi="Tahoma" w:cs="Tahoma"/>
          <w:bCs/>
          <w:sz w:val="18"/>
          <w:szCs w:val="18"/>
        </w:rPr>
        <w:t>En consecuencia, resta verificar a partir de cuándo tiene derecho al disfrute de la gracia pensional. Para ello, se acude al reporte de semanas que obra en el infolio y del cual se advierte que la última cotización se llevó a cabo el 30 de abril de 2015, por lo que se ordenará el reconocimiento de la gracia pensional a partir del 1º de mayo de la misma anualidad, sobre el salario mínimo, por haberse efectuado cotizaciones sobre ese monto en los últimos 10 años anteriores al reconocimiento de la prestación, y por 13 mesadas anuales, al haberse causado la pensión con posterioridad al 31 de julio de 2011.</w:t>
      </w: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A29E4">
        <w:rPr>
          <w:rFonts w:ascii="Tahoma" w:hAnsi="Tahoma" w:cs="Tahoma"/>
          <w:sz w:val="22"/>
          <w:szCs w:val="22"/>
          <w:lang w:val="es-ES_tradnl"/>
        </w:rPr>
        <w:t>7</w:t>
      </w:r>
      <w:r w:rsidR="0014623C">
        <w:rPr>
          <w:rFonts w:ascii="Tahoma" w:hAnsi="Tahoma" w:cs="Tahoma"/>
          <w:sz w:val="22"/>
          <w:szCs w:val="22"/>
          <w:lang w:val="es-ES_tradnl"/>
        </w:rPr>
        <w:t>:</w:t>
      </w:r>
      <w:r w:rsidR="000A29E4">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A2087">
        <w:rPr>
          <w:rFonts w:ascii="Tahoma" w:hAnsi="Tahoma" w:cs="Tahoma"/>
          <w:sz w:val="22"/>
          <w:szCs w:val="22"/>
          <w:lang w:val="es-ES_tradnl"/>
        </w:rPr>
        <w:t xml:space="preserve">23 </w:t>
      </w:r>
      <w:r w:rsidR="00835297">
        <w:rPr>
          <w:rFonts w:ascii="Tahoma" w:hAnsi="Tahoma" w:cs="Tahoma"/>
          <w:sz w:val="22"/>
          <w:szCs w:val="22"/>
          <w:lang w:val="es-ES_tradnl"/>
        </w:rPr>
        <w:t xml:space="preserve">de </w:t>
      </w:r>
      <w:r w:rsidR="0014623C">
        <w:rPr>
          <w:rFonts w:ascii="Tahoma" w:hAnsi="Tahoma" w:cs="Tahoma"/>
          <w:sz w:val="22"/>
          <w:szCs w:val="22"/>
          <w:lang w:val="es-ES_tradnl"/>
        </w:rPr>
        <w:t xml:space="preserve">febrero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1A2087">
        <w:rPr>
          <w:rFonts w:ascii="Tahoma" w:hAnsi="Tahoma" w:cs="Tahoma"/>
          <w:b/>
          <w:sz w:val="22"/>
          <w:szCs w:val="22"/>
          <w:lang w:val="es-ES_tradnl"/>
        </w:rPr>
        <w:t>Ricardo Luís Cataño Rendón</w:t>
      </w:r>
      <w:r w:rsidR="00FE74BD">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lastRenderedPageBreak/>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1A2087">
        <w:rPr>
          <w:rFonts w:ascii="Tahoma" w:hAnsi="Tahoma" w:cs="Tahoma"/>
          <w:sz w:val="22"/>
          <w:szCs w:val="22"/>
        </w:rPr>
        <w:t xml:space="preserve">solver el recurso de apelación propuesto por la parte demandante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A2087">
        <w:rPr>
          <w:rFonts w:ascii="Tahoma" w:hAnsi="Tahoma" w:cs="Tahoma"/>
          <w:sz w:val="22"/>
          <w:szCs w:val="22"/>
        </w:rPr>
        <w:t xml:space="preserve">Segundo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A2087">
        <w:rPr>
          <w:rFonts w:ascii="Tahoma" w:hAnsi="Tahoma" w:cs="Tahoma"/>
          <w:sz w:val="22"/>
          <w:szCs w:val="22"/>
        </w:rPr>
        <w:t xml:space="preserve">3 </w:t>
      </w:r>
      <w:r w:rsidR="002F4897">
        <w:rPr>
          <w:rFonts w:ascii="Tahoma" w:hAnsi="Tahoma" w:cs="Tahoma"/>
          <w:sz w:val="22"/>
          <w:szCs w:val="22"/>
        </w:rPr>
        <w:t>de marzo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1A2087" w:rsidRPr="00EA3EFB" w:rsidRDefault="001A2087"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6C68D3"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390822">
        <w:rPr>
          <w:rFonts w:ascii="Tahoma" w:hAnsi="Tahoma" w:cs="Tahoma"/>
          <w:sz w:val="22"/>
          <w:szCs w:val="22"/>
        </w:rPr>
        <w:t>: i)</w:t>
      </w:r>
      <w:r w:rsidR="006C68D3">
        <w:rPr>
          <w:rFonts w:ascii="Tahoma" w:hAnsi="Tahoma" w:cs="Tahoma"/>
          <w:sz w:val="22"/>
          <w:szCs w:val="22"/>
        </w:rPr>
        <w:t xml:space="preserve"> si el demandante conservó los beneficios del régimen de transición de los que fue beneficiario</w:t>
      </w:r>
      <w:r w:rsidR="00390822">
        <w:rPr>
          <w:rFonts w:ascii="Tahoma" w:hAnsi="Tahoma" w:cs="Tahoma"/>
          <w:sz w:val="22"/>
          <w:szCs w:val="22"/>
        </w:rPr>
        <w:t xml:space="preserve">; ii) </w:t>
      </w:r>
      <w:r w:rsidR="006C68D3">
        <w:rPr>
          <w:rFonts w:ascii="Tahoma" w:hAnsi="Tahoma" w:cs="Tahoma"/>
          <w:sz w:val="22"/>
          <w:szCs w:val="22"/>
        </w:rPr>
        <w:t>si le asiste derecho a la pensión de jubilación por aportes consagrada en la Ley 71 de 1988</w:t>
      </w:r>
      <w:r w:rsidR="00390822">
        <w:rPr>
          <w:rFonts w:ascii="Tahoma" w:hAnsi="Tahoma" w:cs="Tahoma"/>
          <w:sz w:val="22"/>
          <w:szCs w:val="22"/>
        </w:rPr>
        <w:t xml:space="preserve"> y</w:t>
      </w:r>
      <w:r w:rsidR="006C3E04">
        <w:rPr>
          <w:rFonts w:ascii="Tahoma" w:hAnsi="Tahoma" w:cs="Tahoma"/>
          <w:sz w:val="22"/>
          <w:szCs w:val="22"/>
        </w:rPr>
        <w:t>,</w:t>
      </w:r>
      <w:r w:rsidR="00390822">
        <w:rPr>
          <w:rFonts w:ascii="Tahoma" w:hAnsi="Tahoma" w:cs="Tahoma"/>
          <w:sz w:val="22"/>
          <w:szCs w:val="22"/>
        </w:rPr>
        <w:t xml:space="preserve"> iii) si para el conteo de los 20 años de servicios es necesario acudir a las semanas que no registró el Consorcio Prosperar, hoy Consorcio Colombia Mayor.</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1A2087" w:rsidRDefault="00DF1385"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C116A8">
        <w:rPr>
          <w:rFonts w:ascii="Tahoma" w:hAnsi="Tahoma" w:cs="Tahoma"/>
          <w:sz w:val="22"/>
          <w:szCs w:val="22"/>
        </w:rPr>
        <w:t>condene</w:t>
      </w:r>
      <w:r w:rsidR="00595856">
        <w:rPr>
          <w:rFonts w:ascii="Tahoma" w:hAnsi="Tahoma" w:cs="Tahoma"/>
          <w:sz w:val="22"/>
          <w:szCs w:val="22"/>
        </w:rPr>
        <w:t xml:space="preserve"> a Colpensiones</w:t>
      </w:r>
      <w:r w:rsidR="00C116A8">
        <w:rPr>
          <w:rFonts w:ascii="Tahoma" w:hAnsi="Tahoma" w:cs="Tahoma"/>
          <w:sz w:val="22"/>
          <w:szCs w:val="22"/>
        </w:rPr>
        <w:t>, previa declaración del derecho</w:t>
      </w:r>
      <w:r w:rsidR="00151A39">
        <w:rPr>
          <w:rFonts w:ascii="Tahoma" w:hAnsi="Tahoma" w:cs="Tahoma"/>
          <w:sz w:val="22"/>
          <w:szCs w:val="22"/>
        </w:rPr>
        <w:t>,</w:t>
      </w:r>
      <w:r w:rsidR="00C116A8">
        <w:rPr>
          <w:rFonts w:ascii="Tahoma" w:hAnsi="Tahoma" w:cs="Tahoma"/>
          <w:sz w:val="22"/>
          <w:szCs w:val="22"/>
        </w:rPr>
        <w:t xml:space="preserve"> a que le reconozca y pague la pensión de </w:t>
      </w:r>
      <w:r w:rsidR="001A2087">
        <w:rPr>
          <w:rFonts w:ascii="Tahoma" w:hAnsi="Tahoma" w:cs="Tahoma"/>
          <w:sz w:val="22"/>
          <w:szCs w:val="22"/>
        </w:rPr>
        <w:t>jubilación contemplada en la Ley 71 de 1988, desde el 31 de diciembre de 2014</w:t>
      </w:r>
      <w:r w:rsidR="00DE5197">
        <w:rPr>
          <w:rFonts w:ascii="Tahoma" w:hAnsi="Tahoma" w:cs="Tahoma"/>
          <w:sz w:val="22"/>
          <w:szCs w:val="22"/>
        </w:rPr>
        <w:t>, más los intereses moratorios de que trata el artículo 141 de la Ley 100 de 1993 y las costas procesales.</w:t>
      </w:r>
    </w:p>
    <w:p w:rsidR="001A2087" w:rsidRDefault="001A2087" w:rsidP="00F762A6">
      <w:pPr>
        <w:widowControl w:val="0"/>
        <w:autoSpaceDE w:val="0"/>
        <w:autoSpaceDN w:val="0"/>
        <w:adjustRightInd w:val="0"/>
        <w:spacing w:line="276" w:lineRule="auto"/>
        <w:ind w:firstLine="708"/>
        <w:jc w:val="both"/>
        <w:rPr>
          <w:rFonts w:ascii="Tahoma" w:hAnsi="Tahoma" w:cs="Tahoma"/>
          <w:sz w:val="22"/>
          <w:szCs w:val="22"/>
        </w:rPr>
      </w:pPr>
    </w:p>
    <w:p w:rsidR="00DE5197"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w:t>
      </w:r>
      <w:r w:rsidR="00DE5197">
        <w:rPr>
          <w:rFonts w:ascii="Tahoma" w:hAnsi="Tahoma" w:cs="Tahoma"/>
          <w:sz w:val="22"/>
          <w:szCs w:val="22"/>
        </w:rPr>
        <w:t>nació el 30 de noviembre de 1946 y que mediante la Resolución GNR 165154 del 3 de junio de 2015 se le negó la pensión de jubilación</w:t>
      </w:r>
      <w:r w:rsidR="003A1066">
        <w:rPr>
          <w:rFonts w:ascii="Tahoma" w:hAnsi="Tahoma" w:cs="Tahoma"/>
          <w:sz w:val="22"/>
          <w:szCs w:val="22"/>
        </w:rPr>
        <w:t>,</w:t>
      </w:r>
      <w:r w:rsidR="00DE5197">
        <w:rPr>
          <w:rFonts w:ascii="Tahoma" w:hAnsi="Tahoma" w:cs="Tahoma"/>
          <w:sz w:val="22"/>
          <w:szCs w:val="22"/>
        </w:rPr>
        <w:t xml:space="preserve"> bajo el argumento de que perdió el régimen de transición al contar solo con 1042 semanas cotizadas.</w:t>
      </w:r>
      <w:r w:rsidR="003A1066">
        <w:rPr>
          <w:rFonts w:ascii="Tahoma" w:hAnsi="Tahoma" w:cs="Tahoma"/>
          <w:sz w:val="22"/>
          <w:szCs w:val="22"/>
        </w:rPr>
        <w:t xml:space="preserve"> Afirma que interpuso recurso de apelación en contra de dicho acto, el cual fue confirmado a través de la Resolución GNR 242268 del mismo año, </w:t>
      </w:r>
      <w:r w:rsidR="001A33D6">
        <w:rPr>
          <w:rFonts w:ascii="Tahoma" w:hAnsi="Tahoma" w:cs="Tahoma"/>
          <w:sz w:val="22"/>
          <w:szCs w:val="22"/>
        </w:rPr>
        <w:t>aduciendo</w:t>
      </w:r>
      <w:r w:rsidR="003A1066">
        <w:rPr>
          <w:rFonts w:ascii="Tahoma" w:hAnsi="Tahoma" w:cs="Tahoma"/>
          <w:sz w:val="22"/>
          <w:szCs w:val="22"/>
        </w:rPr>
        <w:t xml:space="preserve"> que </w:t>
      </w:r>
      <w:r w:rsidR="001A33D6">
        <w:rPr>
          <w:rFonts w:ascii="Tahoma" w:hAnsi="Tahoma" w:cs="Tahoma"/>
          <w:sz w:val="22"/>
          <w:szCs w:val="22"/>
        </w:rPr>
        <w:t xml:space="preserve">solo tenía </w:t>
      </w:r>
      <w:r w:rsidR="003A1066">
        <w:rPr>
          <w:rFonts w:ascii="Tahoma" w:hAnsi="Tahoma" w:cs="Tahoma"/>
          <w:sz w:val="22"/>
          <w:szCs w:val="22"/>
        </w:rPr>
        <w:t>1025 semanas cotizadas al 31 de diciembre de 2014.</w:t>
      </w:r>
    </w:p>
    <w:p w:rsidR="001A33D6" w:rsidRDefault="001A33D6" w:rsidP="0091018E">
      <w:pPr>
        <w:widowControl w:val="0"/>
        <w:autoSpaceDE w:val="0"/>
        <w:autoSpaceDN w:val="0"/>
        <w:adjustRightInd w:val="0"/>
        <w:spacing w:line="276" w:lineRule="auto"/>
        <w:ind w:firstLine="708"/>
        <w:jc w:val="both"/>
        <w:rPr>
          <w:rFonts w:ascii="Tahoma" w:hAnsi="Tahoma" w:cs="Tahoma"/>
          <w:sz w:val="22"/>
          <w:szCs w:val="22"/>
        </w:rPr>
      </w:pPr>
    </w:p>
    <w:p w:rsidR="001A33D6" w:rsidRDefault="001A33D6"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F36EDE">
        <w:rPr>
          <w:rFonts w:ascii="Tahoma" w:hAnsi="Tahoma" w:cs="Tahoma"/>
          <w:sz w:val="22"/>
          <w:szCs w:val="22"/>
        </w:rPr>
        <w:t>a</w:t>
      </w:r>
      <w:r>
        <w:rPr>
          <w:rFonts w:ascii="Tahoma" w:hAnsi="Tahoma" w:cs="Tahoma"/>
          <w:sz w:val="22"/>
          <w:szCs w:val="22"/>
        </w:rPr>
        <w:t xml:space="preserve">l 22 de julio de 2005 </w:t>
      </w:r>
      <w:r w:rsidR="00F36EDE">
        <w:rPr>
          <w:rFonts w:ascii="Tahoma" w:hAnsi="Tahoma" w:cs="Tahoma"/>
          <w:sz w:val="22"/>
          <w:szCs w:val="22"/>
        </w:rPr>
        <w:t xml:space="preserve">superaba las 750 semanas cotizadas y que cuenta con el requisito exigido por la Ley 71 de 1988, pues 20 años de servicios equivalen a 1000 </w:t>
      </w:r>
      <w:r w:rsidR="002C0B90">
        <w:rPr>
          <w:rFonts w:ascii="Tahoma" w:hAnsi="Tahoma" w:cs="Tahoma"/>
          <w:sz w:val="22"/>
          <w:szCs w:val="22"/>
        </w:rPr>
        <w:t xml:space="preserve">semanas, cantidad que supera </w:t>
      </w:r>
      <w:r w:rsidR="00F36EDE">
        <w:rPr>
          <w:rFonts w:ascii="Tahoma" w:hAnsi="Tahoma" w:cs="Tahoma"/>
          <w:sz w:val="22"/>
          <w:szCs w:val="22"/>
        </w:rPr>
        <w:t>al 31 de diciembre de 2014.</w:t>
      </w:r>
    </w:p>
    <w:p w:rsidR="00BE7996" w:rsidRDefault="00BE7996" w:rsidP="00E41882">
      <w:pPr>
        <w:widowControl w:val="0"/>
        <w:autoSpaceDE w:val="0"/>
        <w:autoSpaceDN w:val="0"/>
        <w:adjustRightInd w:val="0"/>
        <w:spacing w:line="276" w:lineRule="auto"/>
        <w:ind w:firstLine="708"/>
        <w:jc w:val="both"/>
        <w:rPr>
          <w:rFonts w:ascii="Tahoma" w:hAnsi="Tahoma" w:cs="Tahoma"/>
          <w:sz w:val="22"/>
          <w:szCs w:val="22"/>
        </w:rPr>
      </w:pPr>
    </w:p>
    <w:p w:rsidR="00F854E5"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w:t>
      </w:r>
      <w:r w:rsidR="00F854E5">
        <w:rPr>
          <w:rFonts w:ascii="Tahoma" w:hAnsi="Tahoma" w:cs="Tahoma"/>
          <w:sz w:val="22"/>
          <w:szCs w:val="22"/>
        </w:rPr>
        <w:t xml:space="preserve"> relacionados con el contenido de las Resoluciones  GNR 165154 y GNR 242268, ambas del año 2015. Frente a los demás hechos indicó que no le constaban. </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del derecho”; “Improcedencia del reconocimiento de intereses moratorios”; “Buena fe” y “Prescripción”.</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FF1DD3"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FF1DD3">
        <w:rPr>
          <w:rFonts w:ascii="Tahoma" w:hAnsi="Tahoma" w:cs="Tahoma"/>
          <w:sz w:val="22"/>
          <w:szCs w:val="22"/>
        </w:rPr>
        <w:t>absolvió a Colpensiones de las pretensiones de la demanda y condenó en costas procesales al señor Ricardo Cataño.</w:t>
      </w:r>
    </w:p>
    <w:p w:rsidR="000222F2" w:rsidRPr="009F243A" w:rsidRDefault="000222F2" w:rsidP="00DE0119">
      <w:pPr>
        <w:widowControl w:val="0"/>
        <w:autoSpaceDE w:val="0"/>
        <w:autoSpaceDN w:val="0"/>
        <w:adjustRightInd w:val="0"/>
        <w:spacing w:line="276" w:lineRule="auto"/>
        <w:ind w:firstLine="708"/>
        <w:jc w:val="both"/>
        <w:rPr>
          <w:rFonts w:ascii="Tahoma" w:hAnsi="Tahoma" w:cs="Tahoma"/>
          <w:sz w:val="22"/>
          <w:szCs w:val="22"/>
        </w:rPr>
      </w:pPr>
    </w:p>
    <w:p w:rsidR="009F243A" w:rsidRDefault="009F243A" w:rsidP="00DE0119">
      <w:pPr>
        <w:widowControl w:val="0"/>
        <w:autoSpaceDE w:val="0"/>
        <w:autoSpaceDN w:val="0"/>
        <w:adjustRightInd w:val="0"/>
        <w:spacing w:line="276" w:lineRule="auto"/>
        <w:ind w:firstLine="708"/>
        <w:jc w:val="both"/>
        <w:rPr>
          <w:rFonts w:ascii="Tahoma" w:hAnsi="Tahoma" w:cs="Tahoma"/>
          <w:sz w:val="22"/>
          <w:szCs w:val="22"/>
        </w:rPr>
      </w:pPr>
      <w:r w:rsidRPr="009F243A">
        <w:rPr>
          <w:rFonts w:ascii="Tahoma" w:hAnsi="Tahoma" w:cs="Tahoma"/>
          <w:sz w:val="22"/>
          <w:szCs w:val="22"/>
        </w:rPr>
        <w:t xml:space="preserve">Para llegar a tal determinación la A-quo consideró, en síntesis, que </w:t>
      </w:r>
      <w:r w:rsidR="00601FAB">
        <w:rPr>
          <w:rFonts w:ascii="Tahoma" w:hAnsi="Tahoma" w:cs="Tahoma"/>
          <w:sz w:val="22"/>
          <w:szCs w:val="22"/>
        </w:rPr>
        <w:t xml:space="preserve">a pesar de que el demandante conservó los beneficios del régimen de transición por contar con más de 750 semanas cotizadas a la entrada en vigencia del Acto Legislativo 01 de 2005, lo cierto es que carecía de los 20 años de servicios cotizados en los sectores público y privado, pues </w:t>
      </w:r>
      <w:r w:rsidR="00485F4A">
        <w:rPr>
          <w:rFonts w:ascii="Tahoma" w:hAnsi="Tahoma" w:cs="Tahoma"/>
          <w:sz w:val="22"/>
          <w:szCs w:val="22"/>
        </w:rPr>
        <w:t xml:space="preserve">sólo contaba con 1024,99 semanas de las </w:t>
      </w:r>
      <w:r w:rsidR="00601FAB">
        <w:rPr>
          <w:rFonts w:ascii="Tahoma" w:hAnsi="Tahoma" w:cs="Tahoma"/>
          <w:sz w:val="22"/>
          <w:szCs w:val="22"/>
        </w:rPr>
        <w:t>1028,57</w:t>
      </w:r>
      <w:r w:rsidR="00B9486F">
        <w:rPr>
          <w:rFonts w:ascii="Tahoma" w:hAnsi="Tahoma" w:cs="Tahoma"/>
          <w:sz w:val="22"/>
          <w:szCs w:val="22"/>
        </w:rPr>
        <w:t xml:space="preserve"> </w:t>
      </w:r>
      <w:r w:rsidR="00B9486F">
        <w:rPr>
          <w:rFonts w:ascii="Tahoma" w:hAnsi="Tahoma" w:cs="Tahoma"/>
          <w:sz w:val="22"/>
          <w:szCs w:val="22"/>
        </w:rPr>
        <w:lastRenderedPageBreak/>
        <w:t xml:space="preserve">semanas </w:t>
      </w:r>
      <w:r w:rsidR="00485F4A">
        <w:rPr>
          <w:rFonts w:ascii="Tahoma" w:hAnsi="Tahoma" w:cs="Tahoma"/>
          <w:sz w:val="22"/>
          <w:szCs w:val="22"/>
        </w:rPr>
        <w:t>exigidas</w:t>
      </w:r>
      <w:r w:rsidR="00601FAB">
        <w:rPr>
          <w:rFonts w:ascii="Tahoma" w:hAnsi="Tahoma" w:cs="Tahoma"/>
          <w:sz w:val="22"/>
          <w:szCs w:val="22"/>
        </w:rPr>
        <w:t>; sin que fuera posible contabilizar aquellas</w:t>
      </w:r>
      <w:r w:rsidR="00D916C6">
        <w:rPr>
          <w:rFonts w:ascii="Tahoma" w:hAnsi="Tahoma" w:cs="Tahoma"/>
          <w:sz w:val="22"/>
          <w:szCs w:val="22"/>
        </w:rPr>
        <w:t xml:space="preserve"> 4,29 semanas</w:t>
      </w:r>
      <w:r w:rsidR="00601FAB">
        <w:rPr>
          <w:rFonts w:ascii="Tahoma" w:hAnsi="Tahoma" w:cs="Tahoma"/>
          <w:sz w:val="22"/>
          <w:szCs w:val="22"/>
        </w:rPr>
        <w:t xml:space="preserve"> que echa de menos el actor</w:t>
      </w:r>
      <w:r w:rsidR="00B3791B" w:rsidRPr="00B3791B">
        <w:rPr>
          <w:rFonts w:ascii="Tahoma" w:hAnsi="Tahoma" w:cs="Tahoma"/>
          <w:sz w:val="22"/>
          <w:szCs w:val="22"/>
        </w:rPr>
        <w:t xml:space="preserve"> </w:t>
      </w:r>
      <w:r w:rsidR="00B3791B">
        <w:rPr>
          <w:rFonts w:ascii="Tahoma" w:hAnsi="Tahoma" w:cs="Tahoma"/>
          <w:sz w:val="22"/>
          <w:szCs w:val="22"/>
        </w:rPr>
        <w:t>para el periodo de diciembre de 2011</w:t>
      </w:r>
      <w:r w:rsidR="00601FAB">
        <w:rPr>
          <w:rFonts w:ascii="Tahoma" w:hAnsi="Tahoma" w:cs="Tahoma"/>
          <w:sz w:val="22"/>
          <w:szCs w:val="22"/>
        </w:rPr>
        <w:t>, p</w:t>
      </w:r>
      <w:r w:rsidR="00CD6880">
        <w:rPr>
          <w:rFonts w:ascii="Tahoma" w:hAnsi="Tahoma" w:cs="Tahoma"/>
          <w:sz w:val="22"/>
          <w:szCs w:val="22"/>
        </w:rPr>
        <w:t xml:space="preserve">ues </w:t>
      </w:r>
      <w:r w:rsidR="00196319">
        <w:rPr>
          <w:rFonts w:ascii="Tahoma" w:hAnsi="Tahoma" w:cs="Tahoma"/>
          <w:sz w:val="22"/>
          <w:szCs w:val="22"/>
        </w:rPr>
        <w:t>fueron excluidas al haber</w:t>
      </w:r>
      <w:r w:rsidR="00B3791B">
        <w:rPr>
          <w:rFonts w:ascii="Tahoma" w:hAnsi="Tahoma" w:cs="Tahoma"/>
          <w:sz w:val="22"/>
          <w:szCs w:val="22"/>
        </w:rPr>
        <w:t xml:space="preserve">se efectuado </w:t>
      </w:r>
      <w:r w:rsidR="00485F4A">
        <w:rPr>
          <w:rFonts w:ascii="Tahoma" w:hAnsi="Tahoma" w:cs="Tahoma"/>
          <w:sz w:val="22"/>
          <w:szCs w:val="22"/>
        </w:rPr>
        <w:t>su</w:t>
      </w:r>
      <w:r w:rsidR="00B3791B">
        <w:rPr>
          <w:rFonts w:ascii="Tahoma" w:hAnsi="Tahoma" w:cs="Tahoma"/>
          <w:sz w:val="22"/>
          <w:szCs w:val="22"/>
        </w:rPr>
        <w:t xml:space="preserve"> aporte al Consorcio Prosperar después de haber </w:t>
      </w:r>
      <w:r w:rsidR="00B9486F">
        <w:rPr>
          <w:rFonts w:ascii="Tahoma" w:hAnsi="Tahoma" w:cs="Tahoma"/>
          <w:sz w:val="22"/>
          <w:szCs w:val="22"/>
        </w:rPr>
        <w:t>alcanzado la edad mínima para pensionarse</w:t>
      </w:r>
      <w:r w:rsidR="00D916C6">
        <w:rPr>
          <w:rFonts w:ascii="Tahoma" w:hAnsi="Tahoma" w:cs="Tahoma"/>
          <w:sz w:val="22"/>
          <w:szCs w:val="22"/>
        </w:rPr>
        <w:t>, por lo que debieron realizarse a través del régimen contributivo</w:t>
      </w:r>
      <w:r w:rsidR="00B9486F">
        <w:rPr>
          <w:rFonts w:ascii="Tahoma" w:hAnsi="Tahoma" w:cs="Tahoma"/>
          <w:sz w:val="22"/>
          <w:szCs w:val="22"/>
        </w:rPr>
        <w:t>.</w:t>
      </w:r>
    </w:p>
    <w:p w:rsidR="00B9486F" w:rsidRDefault="00B9486F" w:rsidP="00DE0119">
      <w:pPr>
        <w:widowControl w:val="0"/>
        <w:autoSpaceDE w:val="0"/>
        <w:autoSpaceDN w:val="0"/>
        <w:adjustRightInd w:val="0"/>
        <w:spacing w:line="276" w:lineRule="auto"/>
        <w:ind w:firstLine="708"/>
        <w:jc w:val="both"/>
        <w:rPr>
          <w:rFonts w:ascii="Tahoma" w:hAnsi="Tahoma" w:cs="Tahoma"/>
          <w:sz w:val="22"/>
          <w:szCs w:val="22"/>
        </w:rPr>
      </w:pPr>
    </w:p>
    <w:p w:rsidR="00B9486F" w:rsidRPr="009F243A" w:rsidRDefault="00B9486F"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refirió que era criterio del despacho, para la contabilización de las semanas, tomar meses de 30 días y años de 360 días.</w:t>
      </w:r>
    </w:p>
    <w:p w:rsidR="00970D71" w:rsidRDefault="00970D71" w:rsidP="00DE0119">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601FAB"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0222F2" w:rsidP="00E41882">
      <w:pPr>
        <w:spacing w:line="276" w:lineRule="auto"/>
        <w:ind w:firstLine="708"/>
        <w:jc w:val="both"/>
        <w:rPr>
          <w:rFonts w:ascii="Tahoma" w:hAnsi="Tahoma" w:cs="Tahoma"/>
          <w:sz w:val="22"/>
          <w:szCs w:val="22"/>
        </w:rPr>
      </w:pPr>
    </w:p>
    <w:p w:rsidR="00167EBE" w:rsidRDefault="00321495" w:rsidP="00E41882">
      <w:pPr>
        <w:spacing w:line="276" w:lineRule="auto"/>
        <w:ind w:firstLine="708"/>
        <w:jc w:val="both"/>
        <w:rPr>
          <w:rFonts w:ascii="Tahoma" w:hAnsi="Tahoma" w:cs="Tahoma"/>
          <w:sz w:val="22"/>
          <w:szCs w:val="22"/>
        </w:rPr>
      </w:pPr>
      <w:r>
        <w:rPr>
          <w:rFonts w:ascii="Tahoma" w:hAnsi="Tahoma" w:cs="Tahoma"/>
          <w:sz w:val="22"/>
          <w:szCs w:val="22"/>
        </w:rPr>
        <w:t>La apoderada de la parte demandante apeló la decisión de instancia arguyendo que</w:t>
      </w:r>
      <w:r w:rsidR="00F63744">
        <w:rPr>
          <w:rFonts w:ascii="Tahoma" w:hAnsi="Tahoma" w:cs="Tahoma"/>
          <w:sz w:val="22"/>
          <w:szCs w:val="22"/>
        </w:rPr>
        <w:t xml:space="preserve"> debían </w:t>
      </w:r>
      <w:r w:rsidR="00523A6A">
        <w:rPr>
          <w:rFonts w:ascii="Tahoma" w:hAnsi="Tahoma" w:cs="Tahoma"/>
          <w:sz w:val="22"/>
          <w:szCs w:val="22"/>
        </w:rPr>
        <w:t xml:space="preserve">tenerse en cuenta </w:t>
      </w:r>
      <w:r w:rsidR="00D916C6">
        <w:rPr>
          <w:rFonts w:ascii="Tahoma" w:hAnsi="Tahoma" w:cs="Tahoma"/>
          <w:sz w:val="22"/>
          <w:szCs w:val="22"/>
        </w:rPr>
        <w:t xml:space="preserve">las 4,29 semanas </w:t>
      </w:r>
      <w:r w:rsidR="00523A6A">
        <w:rPr>
          <w:rFonts w:ascii="Tahoma" w:hAnsi="Tahoma" w:cs="Tahoma"/>
          <w:sz w:val="22"/>
          <w:szCs w:val="22"/>
        </w:rPr>
        <w:t>aq</w:t>
      </w:r>
      <w:r w:rsidR="00F63744">
        <w:rPr>
          <w:rFonts w:ascii="Tahoma" w:hAnsi="Tahoma" w:cs="Tahoma"/>
          <w:sz w:val="22"/>
          <w:szCs w:val="22"/>
        </w:rPr>
        <w:t xml:space="preserve">uellas </w:t>
      </w:r>
      <w:r w:rsidR="00D916C6">
        <w:rPr>
          <w:rFonts w:ascii="Tahoma" w:hAnsi="Tahoma" w:cs="Tahoma"/>
          <w:sz w:val="22"/>
          <w:szCs w:val="22"/>
        </w:rPr>
        <w:t>e</w:t>
      </w:r>
      <w:r w:rsidR="00523A6A">
        <w:rPr>
          <w:rFonts w:ascii="Tahoma" w:hAnsi="Tahoma" w:cs="Tahoma"/>
          <w:sz w:val="22"/>
          <w:szCs w:val="22"/>
        </w:rPr>
        <w:t xml:space="preserve">fectuadas a través del Consorcio </w:t>
      </w:r>
      <w:r w:rsidR="00D916C6">
        <w:rPr>
          <w:rFonts w:ascii="Tahoma" w:hAnsi="Tahoma" w:cs="Tahoma"/>
          <w:sz w:val="22"/>
          <w:szCs w:val="22"/>
        </w:rPr>
        <w:t>Prosperar</w:t>
      </w:r>
      <w:r w:rsidR="00F63744">
        <w:rPr>
          <w:rFonts w:ascii="Tahoma" w:hAnsi="Tahoma" w:cs="Tahoma"/>
          <w:sz w:val="22"/>
          <w:szCs w:val="22"/>
        </w:rPr>
        <w:t xml:space="preserve">, pues </w:t>
      </w:r>
      <w:r w:rsidR="002D279B">
        <w:rPr>
          <w:rFonts w:ascii="Tahoma" w:hAnsi="Tahoma" w:cs="Tahoma"/>
          <w:sz w:val="22"/>
          <w:szCs w:val="22"/>
        </w:rPr>
        <w:t xml:space="preserve">esa entidad </w:t>
      </w:r>
      <w:r w:rsidR="00F63744">
        <w:rPr>
          <w:rFonts w:ascii="Tahoma" w:hAnsi="Tahoma" w:cs="Tahoma"/>
          <w:sz w:val="22"/>
          <w:szCs w:val="22"/>
        </w:rPr>
        <w:t xml:space="preserve">no debió recibir </w:t>
      </w:r>
      <w:r w:rsidR="00485F4A">
        <w:rPr>
          <w:rFonts w:ascii="Tahoma" w:hAnsi="Tahoma" w:cs="Tahoma"/>
          <w:sz w:val="22"/>
          <w:szCs w:val="22"/>
        </w:rPr>
        <w:t>su pago</w:t>
      </w:r>
      <w:r w:rsidR="0070168B">
        <w:rPr>
          <w:rFonts w:ascii="Tahoma" w:hAnsi="Tahoma" w:cs="Tahoma"/>
          <w:sz w:val="22"/>
          <w:szCs w:val="22"/>
        </w:rPr>
        <w:t>, efectuado de buena fe</w:t>
      </w:r>
      <w:r w:rsidR="0070168B" w:rsidRPr="0070168B">
        <w:rPr>
          <w:rFonts w:ascii="Tahoma" w:hAnsi="Tahoma" w:cs="Tahoma"/>
          <w:sz w:val="22"/>
          <w:szCs w:val="22"/>
        </w:rPr>
        <w:t xml:space="preserve"> </w:t>
      </w:r>
      <w:r w:rsidR="0070168B">
        <w:rPr>
          <w:rFonts w:ascii="Tahoma" w:hAnsi="Tahoma" w:cs="Tahoma"/>
          <w:sz w:val="22"/>
          <w:szCs w:val="22"/>
        </w:rPr>
        <w:t xml:space="preserve">por el señor Ricardo Cataño, </w:t>
      </w:r>
      <w:r w:rsidR="00F63744">
        <w:rPr>
          <w:rFonts w:ascii="Tahoma" w:hAnsi="Tahoma" w:cs="Tahoma"/>
          <w:sz w:val="22"/>
          <w:szCs w:val="22"/>
        </w:rPr>
        <w:t xml:space="preserve">si consideraba que </w:t>
      </w:r>
      <w:r w:rsidR="0070168B">
        <w:rPr>
          <w:rFonts w:ascii="Tahoma" w:hAnsi="Tahoma" w:cs="Tahoma"/>
          <w:sz w:val="22"/>
          <w:szCs w:val="22"/>
        </w:rPr>
        <w:t xml:space="preserve">este </w:t>
      </w:r>
      <w:r w:rsidR="00F63744">
        <w:rPr>
          <w:rFonts w:ascii="Tahoma" w:hAnsi="Tahoma" w:cs="Tahoma"/>
          <w:sz w:val="22"/>
          <w:szCs w:val="22"/>
        </w:rPr>
        <w:t>no tenía derecho a percibir el subsidio</w:t>
      </w:r>
      <w:r w:rsidR="002D279B">
        <w:rPr>
          <w:rFonts w:ascii="Tahoma" w:hAnsi="Tahoma" w:cs="Tahoma"/>
          <w:sz w:val="22"/>
          <w:szCs w:val="22"/>
        </w:rPr>
        <w:t xml:space="preserve"> haber superado los 65 años de edad</w:t>
      </w:r>
      <w:r w:rsidR="00D916C6">
        <w:rPr>
          <w:rFonts w:ascii="Tahoma" w:hAnsi="Tahoma" w:cs="Tahoma"/>
          <w:sz w:val="22"/>
          <w:szCs w:val="22"/>
        </w:rPr>
        <w:t xml:space="preserve">, sino que debió advertírselo oportunamente a efectos de que él los hiciera a través del régimen </w:t>
      </w:r>
      <w:r w:rsidR="00485F4A">
        <w:rPr>
          <w:rFonts w:ascii="Tahoma" w:hAnsi="Tahoma" w:cs="Tahoma"/>
          <w:sz w:val="22"/>
          <w:szCs w:val="22"/>
        </w:rPr>
        <w:t>contributivo</w:t>
      </w:r>
      <w:r w:rsidR="00F63744">
        <w:rPr>
          <w:rFonts w:ascii="Tahoma" w:hAnsi="Tahoma" w:cs="Tahoma"/>
          <w:sz w:val="22"/>
          <w:szCs w:val="22"/>
        </w:rPr>
        <w:t>.</w:t>
      </w:r>
      <w:r>
        <w:rPr>
          <w:rFonts w:ascii="Tahoma" w:hAnsi="Tahoma" w:cs="Tahoma"/>
          <w:sz w:val="22"/>
          <w:szCs w:val="22"/>
        </w:rPr>
        <w:t xml:space="preserve"> </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1162F4" w:rsidRPr="00FB20E8" w:rsidRDefault="001162F4" w:rsidP="00DE0119">
      <w:pPr>
        <w:spacing w:line="276" w:lineRule="auto"/>
        <w:ind w:firstLine="708"/>
        <w:jc w:val="both"/>
        <w:rPr>
          <w:rFonts w:ascii="Tahoma" w:hAnsi="Tahoma" w:cs="Tahoma"/>
          <w:spacing w:val="-2"/>
          <w:sz w:val="22"/>
          <w:szCs w:val="22"/>
        </w:rPr>
      </w:pPr>
    </w:p>
    <w:p w:rsidR="00DE0119" w:rsidRDefault="00DE0119" w:rsidP="00DE011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DE0119">
      <w:pPr>
        <w:widowControl w:val="0"/>
        <w:autoSpaceDE w:val="0"/>
        <w:autoSpaceDN w:val="0"/>
        <w:adjustRightInd w:val="0"/>
        <w:ind w:left="993"/>
        <w:jc w:val="both"/>
        <w:rPr>
          <w:rFonts w:ascii="Tahoma" w:hAnsi="Tahoma" w:cs="Tahoma"/>
          <w:b/>
          <w:sz w:val="22"/>
          <w:szCs w:val="22"/>
        </w:rPr>
      </w:pPr>
    </w:p>
    <w:p w:rsidR="00992456" w:rsidRDefault="00BE4B5B"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Con el fin de absolver el problema jurídico planteado se debe indicar, primero que todo, que el señor Ricardo Cataño fue beneficiario del régimen de transición consagrado en el artículo 36 de la Ley 100 de 1993, al contar con más de 40 años de edad al 1º de abril de 1994 (</w:t>
      </w:r>
      <w:proofErr w:type="spellStart"/>
      <w:r>
        <w:rPr>
          <w:rFonts w:ascii="Tahoma" w:hAnsi="Tahoma" w:cs="Tahoma"/>
          <w:spacing w:val="-2"/>
          <w:sz w:val="22"/>
          <w:szCs w:val="22"/>
        </w:rPr>
        <w:t>fl</w:t>
      </w:r>
      <w:proofErr w:type="spellEnd"/>
      <w:r>
        <w:rPr>
          <w:rFonts w:ascii="Tahoma" w:hAnsi="Tahoma" w:cs="Tahoma"/>
          <w:spacing w:val="-2"/>
          <w:sz w:val="22"/>
          <w:szCs w:val="22"/>
        </w:rPr>
        <w:t>. 12)</w:t>
      </w:r>
      <w:r w:rsidR="00FC19F6">
        <w:rPr>
          <w:rFonts w:ascii="Tahoma" w:hAnsi="Tahoma" w:cs="Tahoma"/>
          <w:spacing w:val="-2"/>
          <w:sz w:val="22"/>
          <w:szCs w:val="22"/>
        </w:rPr>
        <w:t xml:space="preserve">. Para establecer si dicha prerrogativa se </w:t>
      </w:r>
      <w:r w:rsidR="006B2A55">
        <w:rPr>
          <w:rFonts w:ascii="Tahoma" w:hAnsi="Tahoma" w:cs="Tahoma"/>
          <w:spacing w:val="-2"/>
          <w:sz w:val="22"/>
          <w:szCs w:val="22"/>
        </w:rPr>
        <w:t>e</w:t>
      </w:r>
      <w:r>
        <w:rPr>
          <w:rFonts w:ascii="Tahoma" w:hAnsi="Tahoma" w:cs="Tahoma"/>
          <w:spacing w:val="-2"/>
          <w:sz w:val="22"/>
          <w:szCs w:val="22"/>
        </w:rPr>
        <w:t>xtendió hasta el 31 de diciembre de 2014</w:t>
      </w:r>
      <w:r w:rsidR="006B2A55">
        <w:rPr>
          <w:rFonts w:ascii="Tahoma" w:hAnsi="Tahoma" w:cs="Tahoma"/>
          <w:spacing w:val="-2"/>
          <w:sz w:val="22"/>
          <w:szCs w:val="22"/>
        </w:rPr>
        <w:t xml:space="preserve">, </w:t>
      </w:r>
      <w:r w:rsidR="00FC19F6">
        <w:rPr>
          <w:rFonts w:ascii="Tahoma" w:hAnsi="Tahoma" w:cs="Tahoma"/>
          <w:spacing w:val="-2"/>
          <w:sz w:val="22"/>
          <w:szCs w:val="22"/>
        </w:rPr>
        <w:t xml:space="preserve">era menester remitirse </w:t>
      </w:r>
      <w:r w:rsidR="00A67F68">
        <w:rPr>
          <w:rFonts w:ascii="Tahoma" w:hAnsi="Tahoma" w:cs="Tahoma"/>
          <w:spacing w:val="-2"/>
          <w:sz w:val="22"/>
          <w:szCs w:val="22"/>
        </w:rPr>
        <w:t>a</w:t>
      </w:r>
      <w:r w:rsidR="00FC19F6">
        <w:rPr>
          <w:rFonts w:ascii="Tahoma" w:hAnsi="Tahoma" w:cs="Tahoma"/>
          <w:spacing w:val="-2"/>
          <w:sz w:val="22"/>
          <w:szCs w:val="22"/>
        </w:rPr>
        <w:t xml:space="preserve">l contenido de los certificados de información laboral expedidos por </w:t>
      </w:r>
      <w:r w:rsidR="00A67F68">
        <w:rPr>
          <w:rFonts w:ascii="Tahoma" w:hAnsi="Tahoma" w:cs="Tahoma"/>
          <w:spacing w:val="-2"/>
          <w:sz w:val="22"/>
          <w:szCs w:val="22"/>
        </w:rPr>
        <w:t xml:space="preserve">el </w:t>
      </w:r>
      <w:r w:rsidR="00FC19F6">
        <w:rPr>
          <w:rFonts w:ascii="Tahoma" w:hAnsi="Tahoma" w:cs="Tahoma"/>
          <w:spacing w:val="-2"/>
          <w:sz w:val="22"/>
          <w:szCs w:val="22"/>
        </w:rPr>
        <w:t xml:space="preserve">Ministerio de Defensa Nacional y </w:t>
      </w:r>
      <w:r w:rsidR="00A67F68">
        <w:rPr>
          <w:rFonts w:ascii="Tahoma" w:hAnsi="Tahoma" w:cs="Tahoma"/>
          <w:spacing w:val="-2"/>
          <w:sz w:val="22"/>
          <w:szCs w:val="22"/>
        </w:rPr>
        <w:t>la Policía Nacional (</w:t>
      </w:r>
      <w:proofErr w:type="spellStart"/>
      <w:r w:rsidR="00A67F68">
        <w:rPr>
          <w:rFonts w:ascii="Tahoma" w:hAnsi="Tahoma" w:cs="Tahoma"/>
          <w:spacing w:val="-2"/>
          <w:sz w:val="22"/>
          <w:szCs w:val="22"/>
        </w:rPr>
        <w:t>fls</w:t>
      </w:r>
      <w:proofErr w:type="spellEnd"/>
      <w:r w:rsidR="00A67F68">
        <w:rPr>
          <w:rFonts w:ascii="Tahoma" w:hAnsi="Tahoma" w:cs="Tahoma"/>
          <w:spacing w:val="-2"/>
          <w:sz w:val="22"/>
          <w:szCs w:val="22"/>
        </w:rPr>
        <w:t>. 56 y 60), así como al reporte de semanas cotizadas allegado por la demandada (</w:t>
      </w:r>
      <w:proofErr w:type="spellStart"/>
      <w:r w:rsidR="00A67F68">
        <w:rPr>
          <w:rFonts w:ascii="Tahoma" w:hAnsi="Tahoma" w:cs="Tahoma"/>
          <w:spacing w:val="-2"/>
          <w:sz w:val="22"/>
          <w:szCs w:val="22"/>
        </w:rPr>
        <w:t>fl</w:t>
      </w:r>
      <w:proofErr w:type="spellEnd"/>
      <w:r w:rsidR="00A67F68">
        <w:rPr>
          <w:rFonts w:ascii="Tahoma" w:hAnsi="Tahoma" w:cs="Tahoma"/>
          <w:spacing w:val="-2"/>
          <w:sz w:val="22"/>
          <w:szCs w:val="22"/>
        </w:rPr>
        <w:t>. 42), de los que se percibe que a la entrada en vigencia del Acto Legislativo 01 de 2005 el promotor del litigio contaba con 802 semanas cotizadas</w:t>
      </w:r>
      <w:r w:rsidR="00992456">
        <w:rPr>
          <w:rFonts w:ascii="Tahoma" w:hAnsi="Tahoma" w:cs="Tahoma"/>
          <w:spacing w:val="-2"/>
          <w:sz w:val="22"/>
          <w:szCs w:val="22"/>
        </w:rPr>
        <w:t>, por lo que era posible efectuar el estudio del cumplimiento de los requisitos establecidos en la Ley 71 de 1988, hasta la aludida calenda</w:t>
      </w:r>
      <w:r w:rsidR="00A67F68">
        <w:rPr>
          <w:rFonts w:ascii="Tahoma" w:hAnsi="Tahoma" w:cs="Tahoma"/>
          <w:spacing w:val="-2"/>
          <w:sz w:val="22"/>
          <w:szCs w:val="22"/>
        </w:rPr>
        <w:t>.</w:t>
      </w:r>
    </w:p>
    <w:p w:rsidR="00992456" w:rsidRDefault="00992456" w:rsidP="00DE0119">
      <w:pPr>
        <w:spacing w:line="276" w:lineRule="auto"/>
        <w:ind w:firstLine="708"/>
        <w:jc w:val="both"/>
        <w:rPr>
          <w:rFonts w:ascii="Tahoma" w:hAnsi="Tahoma" w:cs="Tahoma"/>
          <w:spacing w:val="-2"/>
          <w:sz w:val="22"/>
          <w:szCs w:val="22"/>
        </w:rPr>
      </w:pPr>
    </w:p>
    <w:p w:rsidR="00462D3A" w:rsidRDefault="00992456"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 xml:space="preserve">De esta manera, la Sala se basó en los mismos documentos a efectos de contabilizar los 20 años de servicios, encontrando que entre el 1º de abril de 1965 y el 31 de diciembre de 2014, el actor cuenta con un total de </w:t>
      </w:r>
      <w:r w:rsidRPr="00485F4A">
        <w:rPr>
          <w:rFonts w:ascii="Tahoma" w:hAnsi="Tahoma" w:cs="Tahoma"/>
          <w:b/>
          <w:spacing w:val="-2"/>
          <w:sz w:val="22"/>
          <w:szCs w:val="22"/>
        </w:rPr>
        <w:t>1033,1</w:t>
      </w:r>
      <w:r w:rsidR="002375F6" w:rsidRPr="00485F4A">
        <w:rPr>
          <w:rFonts w:ascii="Tahoma" w:hAnsi="Tahoma" w:cs="Tahoma"/>
          <w:b/>
          <w:spacing w:val="-2"/>
          <w:sz w:val="22"/>
          <w:szCs w:val="22"/>
        </w:rPr>
        <w:t>4</w:t>
      </w:r>
      <w:r w:rsidR="002375F6">
        <w:rPr>
          <w:rFonts w:ascii="Tahoma" w:hAnsi="Tahoma" w:cs="Tahoma"/>
          <w:spacing w:val="-2"/>
          <w:sz w:val="22"/>
          <w:szCs w:val="22"/>
        </w:rPr>
        <w:t xml:space="preserve"> semanas, con las que supera los 20 años de servicios. Esa cantidad de semanas emerge del conteo efectuado por el tiempo servido en el Ministerio de Defensa Nacional entre el 1º de abril de 1965 y el 28 de febrero de 1967, que equivale a 99,85 semanas; a la Policía Nacional entre el 1º de septiembre de 1971 y el 16 de julio de 1980, es decir 463 semanas, y las 470,29 semanas cotizadas entre el 10 de febrero </w:t>
      </w:r>
      <w:r w:rsidR="00462D3A">
        <w:rPr>
          <w:rFonts w:ascii="Tahoma" w:hAnsi="Tahoma" w:cs="Tahoma"/>
          <w:spacing w:val="-2"/>
          <w:sz w:val="22"/>
          <w:szCs w:val="22"/>
        </w:rPr>
        <w:t xml:space="preserve">de 1968 y el 31 de diciembre de 2014, </w:t>
      </w:r>
      <w:r w:rsidR="002375F6">
        <w:rPr>
          <w:rFonts w:ascii="Tahoma" w:hAnsi="Tahoma" w:cs="Tahoma"/>
          <w:spacing w:val="-2"/>
          <w:sz w:val="22"/>
          <w:szCs w:val="22"/>
        </w:rPr>
        <w:t>que se plasman en el reporte expedido por</w:t>
      </w:r>
      <w:r w:rsidR="00462D3A">
        <w:rPr>
          <w:rFonts w:ascii="Tahoma" w:hAnsi="Tahoma" w:cs="Tahoma"/>
          <w:spacing w:val="-2"/>
          <w:sz w:val="22"/>
          <w:szCs w:val="22"/>
        </w:rPr>
        <w:t xml:space="preserve"> Colpensiones.</w:t>
      </w:r>
      <w:r w:rsidR="00710427">
        <w:rPr>
          <w:rFonts w:ascii="Tahoma" w:hAnsi="Tahoma" w:cs="Tahoma"/>
          <w:spacing w:val="-2"/>
          <w:sz w:val="22"/>
          <w:szCs w:val="22"/>
        </w:rPr>
        <w:t xml:space="preserve"> </w:t>
      </w:r>
      <w:r w:rsidR="00462D3A">
        <w:rPr>
          <w:rFonts w:ascii="Tahoma" w:hAnsi="Tahoma" w:cs="Tahoma"/>
          <w:spacing w:val="-2"/>
          <w:sz w:val="22"/>
          <w:szCs w:val="22"/>
        </w:rPr>
        <w:t>En este punto se debe advertir que aquellos periodos laborados con anterioridad a la entrada en vigencia de la Ley 100 de 1993 se contabilizaron con años de 365 días, tal como lo hacía el entonces I.S.S. y lo continúa efectuando Colpensiones en las historias laborales que expide</w:t>
      </w:r>
      <w:r w:rsidR="00710427">
        <w:rPr>
          <w:rFonts w:ascii="Tahoma" w:hAnsi="Tahoma" w:cs="Tahoma"/>
          <w:spacing w:val="-2"/>
          <w:sz w:val="22"/>
          <w:szCs w:val="22"/>
        </w:rPr>
        <w:t>.</w:t>
      </w:r>
      <w:r w:rsidR="00357742">
        <w:rPr>
          <w:rFonts w:ascii="Tahoma" w:hAnsi="Tahoma" w:cs="Tahoma"/>
          <w:spacing w:val="-2"/>
          <w:sz w:val="22"/>
          <w:szCs w:val="22"/>
        </w:rPr>
        <w:t xml:space="preserve"> </w:t>
      </w:r>
      <w:r w:rsidR="00462D3A">
        <w:rPr>
          <w:rFonts w:ascii="Tahoma" w:hAnsi="Tahoma" w:cs="Tahoma"/>
          <w:spacing w:val="-2"/>
          <w:sz w:val="22"/>
          <w:szCs w:val="22"/>
        </w:rPr>
        <w:t xml:space="preserve"> </w:t>
      </w:r>
    </w:p>
    <w:p w:rsidR="00462D3A" w:rsidRDefault="00462D3A" w:rsidP="00DE0119">
      <w:pPr>
        <w:spacing w:line="276" w:lineRule="auto"/>
        <w:ind w:firstLine="708"/>
        <w:jc w:val="both"/>
        <w:rPr>
          <w:rFonts w:ascii="Tahoma" w:hAnsi="Tahoma" w:cs="Tahoma"/>
          <w:spacing w:val="-2"/>
          <w:sz w:val="22"/>
          <w:szCs w:val="22"/>
        </w:rPr>
      </w:pPr>
    </w:p>
    <w:p w:rsidR="004717EF" w:rsidRDefault="00710427" w:rsidP="00DE0119">
      <w:pPr>
        <w:spacing w:line="276" w:lineRule="auto"/>
        <w:ind w:firstLine="708"/>
        <w:jc w:val="both"/>
        <w:rPr>
          <w:rFonts w:ascii="Tahoma" w:hAnsi="Tahoma" w:cs="Tahoma"/>
          <w:bCs/>
          <w:sz w:val="22"/>
          <w:szCs w:val="22"/>
        </w:rPr>
      </w:pPr>
      <w:r>
        <w:rPr>
          <w:rFonts w:ascii="Tahoma" w:hAnsi="Tahoma" w:cs="Tahoma"/>
          <w:spacing w:val="-2"/>
          <w:sz w:val="22"/>
          <w:szCs w:val="22"/>
        </w:rPr>
        <w:t xml:space="preserve">Así las cosas, al </w:t>
      </w:r>
      <w:r w:rsidRPr="00710427">
        <w:rPr>
          <w:rFonts w:ascii="Tahoma" w:hAnsi="Tahoma" w:cs="Tahoma"/>
          <w:bCs/>
          <w:sz w:val="22"/>
          <w:szCs w:val="22"/>
        </w:rPr>
        <w:t>quedar acreditado que el promotor del litigio tiene derecho al reconocimiento de la pensión de jubilación por aportes consagrada en la Ley 71 de 1988, al superar los 60 años de edad y contar con más 20 años de servicios en los sectores público y privado</w:t>
      </w:r>
      <w:r>
        <w:rPr>
          <w:rFonts w:ascii="Tahoma" w:hAnsi="Tahoma" w:cs="Tahoma"/>
          <w:bCs/>
          <w:sz w:val="22"/>
          <w:szCs w:val="22"/>
        </w:rPr>
        <w:t xml:space="preserve">, </w:t>
      </w:r>
      <w:r w:rsidR="00485F4A">
        <w:rPr>
          <w:rFonts w:ascii="Tahoma" w:hAnsi="Tahoma" w:cs="Tahoma"/>
          <w:bCs/>
          <w:sz w:val="22"/>
          <w:szCs w:val="22"/>
        </w:rPr>
        <w:t xml:space="preserve">sería del caso </w:t>
      </w:r>
      <w:r w:rsidR="004717EF">
        <w:rPr>
          <w:rFonts w:ascii="Tahoma" w:hAnsi="Tahoma" w:cs="Tahoma"/>
          <w:bCs/>
          <w:sz w:val="22"/>
          <w:szCs w:val="22"/>
        </w:rPr>
        <w:t>releva</w:t>
      </w:r>
      <w:r w:rsidR="00485F4A">
        <w:rPr>
          <w:rFonts w:ascii="Tahoma" w:hAnsi="Tahoma" w:cs="Tahoma"/>
          <w:bCs/>
          <w:sz w:val="22"/>
          <w:szCs w:val="22"/>
        </w:rPr>
        <w:t>rse</w:t>
      </w:r>
      <w:r w:rsidR="004717EF">
        <w:rPr>
          <w:rFonts w:ascii="Tahoma" w:hAnsi="Tahoma" w:cs="Tahoma"/>
          <w:bCs/>
          <w:sz w:val="22"/>
          <w:szCs w:val="22"/>
        </w:rPr>
        <w:t xml:space="preserve"> </w:t>
      </w:r>
      <w:r w:rsidR="00485F4A">
        <w:rPr>
          <w:rFonts w:ascii="Tahoma" w:hAnsi="Tahoma" w:cs="Tahoma"/>
          <w:bCs/>
          <w:sz w:val="22"/>
          <w:szCs w:val="22"/>
        </w:rPr>
        <w:t xml:space="preserve">por sustracción de materia </w:t>
      </w:r>
      <w:r w:rsidR="004717EF">
        <w:rPr>
          <w:rFonts w:ascii="Tahoma" w:hAnsi="Tahoma" w:cs="Tahoma"/>
          <w:bCs/>
          <w:sz w:val="22"/>
          <w:szCs w:val="22"/>
        </w:rPr>
        <w:t xml:space="preserve">frente al punto </w:t>
      </w:r>
      <w:r w:rsidR="00485F4A">
        <w:rPr>
          <w:rFonts w:ascii="Tahoma" w:hAnsi="Tahoma" w:cs="Tahoma"/>
          <w:bCs/>
          <w:sz w:val="22"/>
          <w:szCs w:val="22"/>
        </w:rPr>
        <w:t xml:space="preserve">objeto de </w:t>
      </w:r>
      <w:r w:rsidR="004717EF">
        <w:rPr>
          <w:rFonts w:ascii="Tahoma" w:hAnsi="Tahoma" w:cs="Tahoma"/>
          <w:bCs/>
          <w:sz w:val="22"/>
          <w:szCs w:val="22"/>
        </w:rPr>
        <w:t>apelación</w:t>
      </w:r>
      <w:r w:rsidR="00485F4A">
        <w:rPr>
          <w:rFonts w:ascii="Tahoma" w:hAnsi="Tahoma" w:cs="Tahoma"/>
          <w:bCs/>
          <w:sz w:val="22"/>
          <w:szCs w:val="22"/>
        </w:rPr>
        <w:t>,</w:t>
      </w:r>
      <w:r w:rsidR="004717EF">
        <w:rPr>
          <w:rFonts w:ascii="Tahoma" w:hAnsi="Tahoma" w:cs="Tahoma"/>
          <w:bCs/>
          <w:sz w:val="22"/>
          <w:szCs w:val="22"/>
        </w:rPr>
        <w:t xml:space="preserve"> dirigido a que se tengan en cuenta las 4,29 semanas </w:t>
      </w:r>
      <w:r w:rsidR="00761098">
        <w:rPr>
          <w:rFonts w:ascii="Tahoma" w:hAnsi="Tahoma" w:cs="Tahoma"/>
          <w:bCs/>
          <w:sz w:val="22"/>
          <w:szCs w:val="22"/>
        </w:rPr>
        <w:t>coti</w:t>
      </w:r>
      <w:r w:rsidR="00485F4A">
        <w:rPr>
          <w:rFonts w:ascii="Tahoma" w:hAnsi="Tahoma" w:cs="Tahoma"/>
          <w:bCs/>
          <w:sz w:val="22"/>
          <w:szCs w:val="22"/>
        </w:rPr>
        <w:t>zadas a través del régimen subsidiado en diciembre de 2011, no obstante, considera la Sala que no es fútil manifestar que le asiste derecho a la censora al pretender la contabilización de esas semanas, como quiera que la cotización</w:t>
      </w:r>
      <w:r w:rsidR="00365EC1">
        <w:rPr>
          <w:rFonts w:ascii="Tahoma" w:hAnsi="Tahoma" w:cs="Tahoma"/>
          <w:bCs/>
          <w:sz w:val="22"/>
          <w:szCs w:val="22"/>
        </w:rPr>
        <w:t xml:space="preserve"> que le correspondía</w:t>
      </w:r>
      <w:r w:rsidR="00485F4A">
        <w:rPr>
          <w:rFonts w:ascii="Tahoma" w:hAnsi="Tahoma" w:cs="Tahoma"/>
          <w:bCs/>
          <w:sz w:val="22"/>
          <w:szCs w:val="22"/>
        </w:rPr>
        <w:t xml:space="preserve"> fue recibida efectivamente por el ente competente</w:t>
      </w:r>
      <w:r w:rsidR="00365EC1">
        <w:rPr>
          <w:rFonts w:ascii="Tahoma" w:hAnsi="Tahoma" w:cs="Tahoma"/>
          <w:bCs/>
          <w:sz w:val="22"/>
          <w:szCs w:val="22"/>
        </w:rPr>
        <w:t xml:space="preserve"> (</w:t>
      </w:r>
      <w:proofErr w:type="spellStart"/>
      <w:r w:rsidR="00365EC1">
        <w:rPr>
          <w:rFonts w:ascii="Tahoma" w:hAnsi="Tahoma" w:cs="Tahoma"/>
          <w:bCs/>
          <w:sz w:val="22"/>
          <w:szCs w:val="22"/>
        </w:rPr>
        <w:t>fl</w:t>
      </w:r>
      <w:proofErr w:type="spellEnd"/>
      <w:r w:rsidR="00365EC1">
        <w:rPr>
          <w:rFonts w:ascii="Tahoma" w:hAnsi="Tahoma" w:cs="Tahoma"/>
          <w:bCs/>
          <w:sz w:val="22"/>
          <w:szCs w:val="22"/>
        </w:rPr>
        <w:t>. 43)</w:t>
      </w:r>
      <w:r w:rsidR="00485F4A">
        <w:rPr>
          <w:rFonts w:ascii="Tahoma" w:hAnsi="Tahoma" w:cs="Tahoma"/>
          <w:bCs/>
          <w:sz w:val="22"/>
          <w:szCs w:val="22"/>
        </w:rPr>
        <w:t>, mismo que la tomó sin hacer</w:t>
      </w:r>
      <w:r w:rsidR="00365EC1">
        <w:rPr>
          <w:rFonts w:ascii="Tahoma" w:hAnsi="Tahoma" w:cs="Tahoma"/>
          <w:bCs/>
          <w:sz w:val="22"/>
          <w:szCs w:val="22"/>
        </w:rPr>
        <w:t>le</w:t>
      </w:r>
      <w:r w:rsidR="00485F4A">
        <w:rPr>
          <w:rFonts w:ascii="Tahoma" w:hAnsi="Tahoma" w:cs="Tahoma"/>
          <w:bCs/>
          <w:sz w:val="22"/>
          <w:szCs w:val="22"/>
        </w:rPr>
        <w:t xml:space="preserve"> advertencia alguna, otorgándole la confianza legítima de que su pago sería abonado a su historia laboral. En consecuencia, el señor Cataño tendría un total de 1037,43 semanas –efectuando la contabilización de los años de 365 días antes del 1º de abril de 1994</w:t>
      </w:r>
      <w:r w:rsidR="00365EC1">
        <w:rPr>
          <w:rFonts w:ascii="Tahoma" w:hAnsi="Tahoma" w:cs="Tahoma"/>
          <w:bCs/>
          <w:sz w:val="22"/>
          <w:szCs w:val="22"/>
        </w:rPr>
        <w:t>-</w:t>
      </w:r>
      <w:r w:rsidR="00485F4A">
        <w:rPr>
          <w:rFonts w:ascii="Tahoma" w:hAnsi="Tahoma" w:cs="Tahoma"/>
          <w:bCs/>
          <w:sz w:val="22"/>
          <w:szCs w:val="22"/>
        </w:rPr>
        <w:t xml:space="preserve">, o 1029,28, efectuando la operación como lo hizo la Jueza de instancia. </w:t>
      </w:r>
    </w:p>
    <w:p w:rsidR="004717EF" w:rsidRDefault="004717EF" w:rsidP="00DE0119">
      <w:pPr>
        <w:spacing w:line="276" w:lineRule="auto"/>
        <w:ind w:firstLine="708"/>
        <w:jc w:val="both"/>
        <w:rPr>
          <w:rFonts w:ascii="Tahoma" w:hAnsi="Tahoma" w:cs="Tahoma"/>
          <w:bCs/>
          <w:sz w:val="22"/>
          <w:szCs w:val="22"/>
        </w:rPr>
      </w:pPr>
    </w:p>
    <w:p w:rsidR="00462D3A" w:rsidRDefault="00365EC1" w:rsidP="00DE0119">
      <w:pPr>
        <w:spacing w:line="276" w:lineRule="auto"/>
        <w:ind w:firstLine="708"/>
        <w:jc w:val="both"/>
        <w:rPr>
          <w:rFonts w:ascii="Tahoma" w:hAnsi="Tahoma" w:cs="Tahoma"/>
          <w:bCs/>
          <w:sz w:val="22"/>
          <w:szCs w:val="22"/>
        </w:rPr>
      </w:pPr>
      <w:r>
        <w:rPr>
          <w:rFonts w:ascii="Tahoma" w:hAnsi="Tahoma" w:cs="Tahoma"/>
          <w:bCs/>
          <w:sz w:val="22"/>
          <w:szCs w:val="22"/>
        </w:rPr>
        <w:t xml:space="preserve">En consecuencia, </w:t>
      </w:r>
      <w:r w:rsidR="00710427">
        <w:rPr>
          <w:rFonts w:ascii="Tahoma" w:hAnsi="Tahoma" w:cs="Tahoma"/>
          <w:bCs/>
          <w:sz w:val="22"/>
          <w:szCs w:val="22"/>
        </w:rPr>
        <w:t xml:space="preserve">resta verificar a partir de cuándo tiene derecho al disfrute de la </w:t>
      </w:r>
      <w:r>
        <w:rPr>
          <w:rFonts w:ascii="Tahoma" w:hAnsi="Tahoma" w:cs="Tahoma"/>
          <w:bCs/>
          <w:sz w:val="22"/>
          <w:szCs w:val="22"/>
        </w:rPr>
        <w:t>gracia pensional.</w:t>
      </w:r>
      <w:r w:rsidR="00710427">
        <w:rPr>
          <w:rFonts w:ascii="Tahoma" w:hAnsi="Tahoma" w:cs="Tahoma"/>
          <w:bCs/>
          <w:sz w:val="22"/>
          <w:szCs w:val="22"/>
        </w:rPr>
        <w:t xml:space="preserve"> Para ello, se acude al reporte de semanas que obra en el infolio y del cual se advierte que la última cotización se llevó a cabo el </w:t>
      </w:r>
      <w:r w:rsidR="002471AD">
        <w:rPr>
          <w:rFonts w:ascii="Tahoma" w:hAnsi="Tahoma" w:cs="Tahoma"/>
          <w:bCs/>
          <w:sz w:val="22"/>
          <w:szCs w:val="22"/>
        </w:rPr>
        <w:t xml:space="preserve">30 de abril de 2015, </w:t>
      </w:r>
      <w:r w:rsidR="00757CCC">
        <w:rPr>
          <w:rFonts w:ascii="Tahoma" w:hAnsi="Tahoma" w:cs="Tahoma"/>
          <w:bCs/>
          <w:sz w:val="22"/>
          <w:szCs w:val="22"/>
        </w:rPr>
        <w:t xml:space="preserve">por lo que </w:t>
      </w:r>
      <w:r w:rsidR="002471AD">
        <w:rPr>
          <w:rFonts w:ascii="Tahoma" w:hAnsi="Tahoma" w:cs="Tahoma"/>
          <w:bCs/>
          <w:sz w:val="22"/>
          <w:szCs w:val="22"/>
        </w:rPr>
        <w:t xml:space="preserve">se ordenará el reconocimiento de la gracia pensional a partir del 1º de mayo de la misma anualidad, sobre el salario mínimo, por haberse efectuado cotizaciones </w:t>
      </w:r>
      <w:r w:rsidR="009550F3">
        <w:rPr>
          <w:rFonts w:ascii="Tahoma" w:hAnsi="Tahoma" w:cs="Tahoma"/>
          <w:bCs/>
          <w:sz w:val="22"/>
          <w:szCs w:val="22"/>
        </w:rPr>
        <w:t xml:space="preserve">sobre ese monto </w:t>
      </w:r>
      <w:r w:rsidR="002471AD">
        <w:rPr>
          <w:rFonts w:ascii="Tahoma" w:hAnsi="Tahoma" w:cs="Tahoma"/>
          <w:bCs/>
          <w:sz w:val="22"/>
          <w:szCs w:val="22"/>
        </w:rPr>
        <w:t>en los últimos 10 años anteriores al reconocimiento de la prestación, y por 13 mesadas anuales, al haberse causado la pensión con posterioridad al 31 de julio de 2011.</w:t>
      </w:r>
    </w:p>
    <w:p w:rsidR="002471AD" w:rsidRDefault="002471AD" w:rsidP="00DE0119">
      <w:pPr>
        <w:spacing w:line="276" w:lineRule="auto"/>
        <w:ind w:firstLine="708"/>
        <w:jc w:val="both"/>
        <w:rPr>
          <w:rFonts w:ascii="Tahoma" w:hAnsi="Tahoma" w:cs="Tahoma"/>
          <w:bCs/>
          <w:sz w:val="22"/>
          <w:szCs w:val="22"/>
        </w:rPr>
      </w:pPr>
    </w:p>
    <w:p w:rsidR="002471AD" w:rsidRPr="00710427" w:rsidRDefault="00DD7EA3"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De esta manera, a efectos de la celeridad en el cumplimiento de la presente determinación la Sala procedió a calcular el retroactivo causado desde el 1º de mayo de 2015 hasta el 31 de enero de 2018, encontrando que el mismo asciende a $</w:t>
      </w:r>
      <w:r w:rsidR="00757CCC">
        <w:rPr>
          <w:rFonts w:ascii="Tahoma" w:hAnsi="Tahoma" w:cs="Tahoma"/>
          <w:sz w:val="22"/>
          <w:szCs w:val="22"/>
        </w:rPr>
        <w:t>25.133.628</w:t>
      </w:r>
      <w:r>
        <w:rPr>
          <w:rFonts w:ascii="Tahoma" w:hAnsi="Tahoma" w:cs="Tahoma"/>
          <w:spacing w:val="-2"/>
          <w:sz w:val="22"/>
          <w:szCs w:val="22"/>
        </w:rPr>
        <w:t>, sin perjuicio de las mesadas que se causen con posterioridad y los descuentos de ley, tal como se observa en la liquidación que se pone de presente a los asistentes y que hará parte del acta que se levante con ocasión de la presente diligencia.</w:t>
      </w:r>
    </w:p>
    <w:p w:rsidR="00462D3A" w:rsidRDefault="00462D3A" w:rsidP="00DE0119">
      <w:pPr>
        <w:spacing w:line="276" w:lineRule="auto"/>
        <w:ind w:firstLine="708"/>
        <w:jc w:val="both"/>
        <w:rPr>
          <w:rFonts w:ascii="Tahoma" w:hAnsi="Tahoma" w:cs="Tahoma"/>
          <w:spacing w:val="-2"/>
          <w:sz w:val="22"/>
          <w:szCs w:val="22"/>
        </w:rPr>
      </w:pPr>
    </w:p>
    <w:p w:rsidR="002375F6" w:rsidRDefault="00364614"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Finalmente, respecto de los intereses moratorios se dirá que no hay lugar al reconocimiento de los mismos al haberse concedido la pensión en virtud de la Ley 71 de 1988, norma que no los contempla.</w:t>
      </w:r>
    </w:p>
    <w:p w:rsidR="00364614" w:rsidRDefault="00364614" w:rsidP="00DE0119">
      <w:pPr>
        <w:spacing w:line="276" w:lineRule="auto"/>
        <w:ind w:firstLine="708"/>
        <w:jc w:val="both"/>
        <w:rPr>
          <w:rFonts w:ascii="Tahoma" w:hAnsi="Tahoma" w:cs="Tahoma"/>
          <w:spacing w:val="-2"/>
          <w:sz w:val="22"/>
          <w:szCs w:val="22"/>
        </w:rPr>
      </w:pPr>
    </w:p>
    <w:p w:rsidR="00364614" w:rsidRDefault="00364614"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En virtud de lo hasta aquí discurrido, se revocará la sentencia de primera instancia para, en su lugar, conceder la pensión de jubilación perseguida por el demandante. Las costas de primera</w:t>
      </w:r>
      <w:r w:rsidR="002D279B">
        <w:rPr>
          <w:rFonts w:ascii="Tahoma" w:hAnsi="Tahoma" w:cs="Tahoma"/>
          <w:spacing w:val="-2"/>
          <w:sz w:val="22"/>
          <w:szCs w:val="22"/>
        </w:rPr>
        <w:t xml:space="preserve"> y segunda </w:t>
      </w:r>
      <w:r>
        <w:rPr>
          <w:rFonts w:ascii="Tahoma" w:hAnsi="Tahoma" w:cs="Tahoma"/>
          <w:spacing w:val="-2"/>
          <w:sz w:val="22"/>
          <w:szCs w:val="22"/>
        </w:rPr>
        <w:t xml:space="preserve"> instancia correrán a cargo de la entidad demandada</w:t>
      </w:r>
      <w:r w:rsidR="00A4728D">
        <w:rPr>
          <w:rFonts w:ascii="Tahoma" w:hAnsi="Tahoma" w:cs="Tahoma"/>
          <w:spacing w:val="-2"/>
          <w:sz w:val="22"/>
          <w:szCs w:val="22"/>
        </w:rPr>
        <w:t xml:space="preserve"> y a favor del demandante en un 90%</w:t>
      </w:r>
      <w:r w:rsidR="00C305E1">
        <w:rPr>
          <w:rFonts w:ascii="Tahoma" w:hAnsi="Tahoma" w:cs="Tahoma"/>
          <w:spacing w:val="-2"/>
          <w:sz w:val="22"/>
          <w:szCs w:val="22"/>
        </w:rPr>
        <w:t>.</w:t>
      </w:r>
    </w:p>
    <w:p w:rsidR="00DE0119" w:rsidRPr="00FB20E8" w:rsidRDefault="00DE0119" w:rsidP="00DE0119">
      <w:pPr>
        <w:ind w:firstLine="708"/>
        <w:jc w:val="both"/>
        <w:rPr>
          <w:rFonts w:ascii="Tahoma" w:hAnsi="Tahoma" w:cs="Tahoma"/>
          <w:spacing w:val="-2"/>
          <w:sz w:val="22"/>
          <w:szCs w:val="22"/>
        </w:rPr>
      </w:pPr>
    </w:p>
    <w:p w:rsidR="00DE0119" w:rsidRPr="00FB20E8" w:rsidRDefault="00DE0119" w:rsidP="00DE0119">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DE0119">
      <w:pPr>
        <w:pStyle w:val="Sangradetextonormal"/>
        <w:spacing w:line="240" w:lineRule="auto"/>
        <w:rPr>
          <w:sz w:val="22"/>
          <w:szCs w:val="22"/>
        </w:rPr>
      </w:pPr>
    </w:p>
    <w:p w:rsidR="00DE0119" w:rsidRPr="007834F9" w:rsidRDefault="00DE0119" w:rsidP="00DE011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DE0119">
      <w:pPr>
        <w:widowControl w:val="0"/>
        <w:autoSpaceDE w:val="0"/>
        <w:autoSpaceDN w:val="0"/>
        <w:adjustRightInd w:val="0"/>
        <w:jc w:val="both"/>
        <w:rPr>
          <w:rFonts w:ascii="Tahoma" w:hAnsi="Tahoma" w:cs="Tahoma"/>
          <w:sz w:val="22"/>
          <w:szCs w:val="22"/>
        </w:rPr>
      </w:pPr>
    </w:p>
    <w:p w:rsidR="009E470E" w:rsidRDefault="00DE0119" w:rsidP="00DE0119">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Pr>
          <w:rFonts w:ascii="Tahoma" w:hAnsi="Tahoma" w:cs="Tahoma"/>
          <w:sz w:val="22"/>
          <w:szCs w:val="22"/>
        </w:rPr>
        <w:t>:</w:t>
      </w:r>
      <w:r w:rsidRPr="007834F9">
        <w:rPr>
          <w:rFonts w:ascii="Tahoma" w:hAnsi="Tahoma" w:cs="Tahoma"/>
          <w:sz w:val="22"/>
          <w:szCs w:val="22"/>
        </w:rPr>
        <w:t xml:space="preserve"> </w:t>
      </w:r>
      <w:r w:rsidR="00C305E1" w:rsidRPr="00C305E1">
        <w:rPr>
          <w:rFonts w:ascii="Tahoma" w:hAnsi="Tahoma" w:cs="Tahoma"/>
          <w:b/>
          <w:sz w:val="22"/>
          <w:szCs w:val="22"/>
        </w:rPr>
        <w:t>RE</w:t>
      </w:r>
      <w:r w:rsidR="00C305E1">
        <w:rPr>
          <w:rFonts w:ascii="Tahoma" w:hAnsi="Tahoma" w:cs="Tahoma"/>
          <w:b/>
          <w:sz w:val="22"/>
          <w:szCs w:val="22"/>
        </w:rPr>
        <w:t>VOCAR</w:t>
      </w:r>
      <w:r w:rsidR="00347661">
        <w:rPr>
          <w:rFonts w:ascii="Tahoma" w:hAnsi="Tahoma" w:cs="Tahoma"/>
          <w:sz w:val="22"/>
          <w:szCs w:val="22"/>
        </w:rPr>
        <w:t xml:space="preserve"> la sentencia proferida </w:t>
      </w:r>
      <w:r w:rsidRPr="00F66B1D">
        <w:rPr>
          <w:rFonts w:ascii="Tahoma" w:hAnsi="Tahoma" w:cs="Tahoma"/>
          <w:sz w:val="22"/>
          <w:szCs w:val="22"/>
        </w:rPr>
        <w:t xml:space="preserve">el Juzgado </w:t>
      </w:r>
      <w:r w:rsidR="00C305E1">
        <w:rPr>
          <w:rFonts w:ascii="Tahoma" w:hAnsi="Tahoma" w:cs="Tahoma"/>
          <w:sz w:val="22"/>
          <w:szCs w:val="22"/>
        </w:rPr>
        <w:t xml:space="preserve">Segundo </w:t>
      </w:r>
      <w:r w:rsidRPr="00F66B1D">
        <w:rPr>
          <w:rFonts w:ascii="Tahoma" w:hAnsi="Tahoma" w:cs="Tahoma"/>
          <w:sz w:val="22"/>
          <w:szCs w:val="22"/>
        </w:rPr>
        <w:t xml:space="preserve">Laboral del Circuito de Pereira, dentro del proceso ordinario laboral promovido por </w:t>
      </w:r>
      <w:r w:rsidR="00C305E1" w:rsidRPr="00C305E1">
        <w:rPr>
          <w:rFonts w:ascii="Tahoma" w:hAnsi="Tahoma" w:cs="Tahoma"/>
          <w:b/>
          <w:sz w:val="22"/>
          <w:szCs w:val="22"/>
        </w:rPr>
        <w:t>Ricardo Cataño Rendón</w:t>
      </w:r>
      <w:r w:rsidR="00C305E1">
        <w:rPr>
          <w:rFonts w:ascii="Tahoma" w:hAnsi="Tahoma" w:cs="Tahoma"/>
          <w:sz w:val="22"/>
          <w:szCs w:val="22"/>
        </w:rPr>
        <w:t xml:space="preserve"> </w:t>
      </w:r>
      <w:r w:rsidRPr="00F66B1D">
        <w:rPr>
          <w:rFonts w:ascii="Tahoma" w:hAnsi="Tahoma" w:cs="Tahoma"/>
          <w:sz w:val="22"/>
          <w:szCs w:val="22"/>
        </w:rPr>
        <w:t xml:space="preserve">en contra de </w:t>
      </w:r>
      <w:r w:rsidR="009E470E">
        <w:rPr>
          <w:rFonts w:ascii="Tahoma" w:hAnsi="Tahoma" w:cs="Tahoma"/>
          <w:sz w:val="22"/>
          <w:szCs w:val="22"/>
        </w:rPr>
        <w:t xml:space="preserve">Colpensiones y, en consecuencia, </w:t>
      </w:r>
    </w:p>
    <w:p w:rsidR="00D709AE" w:rsidRDefault="00D709AE" w:rsidP="00DE0119">
      <w:pPr>
        <w:spacing w:line="276" w:lineRule="auto"/>
        <w:ind w:firstLine="708"/>
        <w:jc w:val="both"/>
        <w:rPr>
          <w:rFonts w:ascii="Tahoma" w:hAnsi="Tahoma" w:cs="Tahoma"/>
          <w:sz w:val="22"/>
          <w:szCs w:val="22"/>
        </w:rPr>
      </w:pPr>
    </w:p>
    <w:p w:rsidR="009E470E" w:rsidRDefault="00DE0119" w:rsidP="00DE0119">
      <w:pPr>
        <w:spacing w:line="276" w:lineRule="auto"/>
        <w:ind w:firstLine="709"/>
        <w:jc w:val="both"/>
        <w:rPr>
          <w:rFonts w:ascii="Tahoma" w:hAnsi="Tahoma" w:cs="Tahoma"/>
          <w:sz w:val="22"/>
          <w:szCs w:val="22"/>
        </w:rPr>
      </w:pPr>
      <w:r w:rsidRPr="00E80D3B">
        <w:rPr>
          <w:rFonts w:ascii="Tahoma" w:hAnsi="Tahoma" w:cs="Tahoma"/>
          <w:b/>
          <w:sz w:val="22"/>
          <w:szCs w:val="22"/>
          <w:u w:val="single"/>
        </w:rPr>
        <w:t>SEGUNDO:</w:t>
      </w:r>
      <w:r w:rsidRPr="00E80D3B">
        <w:rPr>
          <w:rFonts w:ascii="Tahoma" w:hAnsi="Tahoma" w:cs="Tahoma"/>
          <w:b/>
          <w:sz w:val="22"/>
          <w:szCs w:val="22"/>
        </w:rPr>
        <w:t xml:space="preserve"> </w:t>
      </w:r>
      <w:r w:rsidR="009E470E" w:rsidRPr="00A4728D">
        <w:rPr>
          <w:rFonts w:ascii="Tahoma" w:hAnsi="Tahoma" w:cs="Tahoma"/>
          <w:b/>
          <w:sz w:val="22"/>
          <w:szCs w:val="22"/>
        </w:rPr>
        <w:t>DECLARAR</w:t>
      </w:r>
      <w:r w:rsidR="009E470E">
        <w:rPr>
          <w:rFonts w:ascii="Tahoma" w:hAnsi="Tahoma" w:cs="Tahoma"/>
          <w:sz w:val="22"/>
          <w:szCs w:val="22"/>
        </w:rPr>
        <w:t xml:space="preserve"> que al señor Ricardo Luís Cataño Rendón, en su calidad de beneficiario del régimen de transición consagrado en el artículo 36 de la Ley 100 de 1993</w:t>
      </w:r>
      <w:r w:rsidR="00A4728D">
        <w:rPr>
          <w:rFonts w:ascii="Tahoma" w:hAnsi="Tahoma" w:cs="Tahoma"/>
          <w:sz w:val="22"/>
          <w:szCs w:val="22"/>
        </w:rPr>
        <w:t>, le asiste derecho a la pensión de jubilación por aportes consagrada en la Ley 71 de 1988, a partir del 1º de mayo de 2015, en cuantía del salario mínimo y por 13 mesadas anuales.</w:t>
      </w:r>
    </w:p>
    <w:p w:rsidR="00A4728D" w:rsidRDefault="00A4728D" w:rsidP="00DE0119">
      <w:pPr>
        <w:spacing w:line="276" w:lineRule="auto"/>
        <w:ind w:firstLine="709"/>
        <w:jc w:val="both"/>
        <w:rPr>
          <w:rFonts w:ascii="Tahoma" w:hAnsi="Tahoma" w:cs="Tahoma"/>
          <w:sz w:val="22"/>
          <w:szCs w:val="22"/>
        </w:rPr>
      </w:pPr>
    </w:p>
    <w:p w:rsidR="00757CCC" w:rsidRPr="00757CCC" w:rsidRDefault="00A4728D" w:rsidP="00757CCC">
      <w:pPr>
        <w:spacing w:line="276" w:lineRule="auto"/>
        <w:ind w:firstLine="709"/>
        <w:jc w:val="both"/>
        <w:rPr>
          <w:rFonts w:ascii="Tahoma" w:hAnsi="Tahoma" w:cs="Tahoma"/>
          <w:sz w:val="22"/>
          <w:szCs w:val="22"/>
        </w:rPr>
      </w:pPr>
      <w:r w:rsidRPr="00D73F75">
        <w:rPr>
          <w:rFonts w:ascii="Tahoma" w:hAnsi="Tahoma" w:cs="Tahoma"/>
          <w:b/>
          <w:sz w:val="22"/>
          <w:szCs w:val="22"/>
          <w:u w:val="single"/>
        </w:rPr>
        <w:t>TERCERO:</w:t>
      </w:r>
      <w:r w:rsidRPr="00A4728D">
        <w:rPr>
          <w:rFonts w:ascii="Tahoma" w:hAnsi="Tahoma" w:cs="Tahoma"/>
          <w:b/>
          <w:sz w:val="22"/>
          <w:szCs w:val="22"/>
        </w:rPr>
        <w:t xml:space="preserve"> CONDENAR </w:t>
      </w:r>
      <w:r w:rsidRPr="00A4728D">
        <w:rPr>
          <w:rFonts w:ascii="Tahoma" w:hAnsi="Tahoma" w:cs="Tahoma"/>
          <w:sz w:val="22"/>
          <w:szCs w:val="22"/>
        </w:rPr>
        <w:t>a</w:t>
      </w:r>
      <w:r>
        <w:rPr>
          <w:rFonts w:ascii="Tahoma" w:hAnsi="Tahoma" w:cs="Tahoma"/>
          <w:sz w:val="22"/>
          <w:szCs w:val="22"/>
        </w:rPr>
        <w:t xml:space="preserve"> Colpensiones a cancelar como retroactivo pensional causado entre el 1º de mayo de 2015 y el 31 de enero de 2018, la suma de $</w:t>
      </w:r>
      <w:r w:rsidR="00757CCC">
        <w:rPr>
          <w:rFonts w:ascii="Tahoma" w:hAnsi="Tahoma" w:cs="Tahoma"/>
          <w:sz w:val="22"/>
          <w:szCs w:val="22"/>
        </w:rPr>
        <w:t>25.133.628</w:t>
      </w:r>
      <w:r>
        <w:rPr>
          <w:rFonts w:ascii="Tahoma" w:hAnsi="Tahoma" w:cs="Tahoma"/>
          <w:sz w:val="22"/>
          <w:szCs w:val="22"/>
        </w:rPr>
        <w:t>,</w:t>
      </w:r>
      <w:r w:rsidRPr="00A4728D">
        <w:rPr>
          <w:rFonts w:ascii="Tahoma" w:hAnsi="Tahoma" w:cs="Tahoma"/>
          <w:spacing w:val="-2"/>
          <w:sz w:val="22"/>
          <w:szCs w:val="22"/>
        </w:rPr>
        <w:t xml:space="preserve"> </w:t>
      </w:r>
      <w:r>
        <w:rPr>
          <w:rFonts w:ascii="Tahoma" w:hAnsi="Tahoma" w:cs="Tahoma"/>
          <w:spacing w:val="-2"/>
          <w:sz w:val="22"/>
          <w:szCs w:val="22"/>
        </w:rPr>
        <w:t>sin perjuicio de las mesadas que se causen con posterioridad y los descuentos de ley</w:t>
      </w:r>
      <w:r w:rsidR="00D709AE">
        <w:rPr>
          <w:rFonts w:ascii="Tahoma" w:hAnsi="Tahoma" w:cs="Tahoma"/>
          <w:spacing w:val="-2"/>
          <w:sz w:val="22"/>
          <w:szCs w:val="22"/>
        </w:rPr>
        <w:t>.</w:t>
      </w:r>
    </w:p>
    <w:p w:rsidR="00A4728D" w:rsidRDefault="00A4728D" w:rsidP="00DE0119">
      <w:pPr>
        <w:spacing w:line="276" w:lineRule="auto"/>
        <w:ind w:firstLine="709"/>
        <w:jc w:val="both"/>
        <w:rPr>
          <w:rFonts w:ascii="Tahoma" w:hAnsi="Tahoma" w:cs="Tahoma"/>
          <w:b/>
          <w:sz w:val="22"/>
          <w:szCs w:val="22"/>
        </w:rPr>
      </w:pPr>
    </w:p>
    <w:p w:rsidR="00D709AE" w:rsidRPr="00D709AE" w:rsidRDefault="00A4728D" w:rsidP="00D709AE">
      <w:pPr>
        <w:spacing w:line="276" w:lineRule="auto"/>
        <w:ind w:firstLine="709"/>
        <w:jc w:val="both"/>
        <w:rPr>
          <w:rFonts w:ascii="Tahoma" w:hAnsi="Tahoma" w:cs="Tahoma"/>
          <w:sz w:val="22"/>
          <w:szCs w:val="22"/>
        </w:rPr>
      </w:pPr>
      <w:r w:rsidRPr="00D709AE">
        <w:rPr>
          <w:rFonts w:ascii="Tahoma" w:hAnsi="Tahoma" w:cs="Tahoma"/>
          <w:b/>
          <w:sz w:val="22"/>
          <w:szCs w:val="22"/>
          <w:u w:val="single"/>
        </w:rPr>
        <w:t>CUARTO</w:t>
      </w:r>
      <w:r>
        <w:rPr>
          <w:rFonts w:ascii="Tahoma" w:hAnsi="Tahoma" w:cs="Tahoma"/>
          <w:b/>
          <w:sz w:val="22"/>
          <w:szCs w:val="22"/>
        </w:rPr>
        <w:t xml:space="preserve">: </w:t>
      </w:r>
      <w:r w:rsidR="00C536C8" w:rsidRPr="00A4728D">
        <w:rPr>
          <w:rFonts w:ascii="Tahoma" w:hAnsi="Tahoma" w:cs="Tahoma"/>
          <w:b/>
          <w:sz w:val="22"/>
          <w:szCs w:val="22"/>
        </w:rPr>
        <w:t xml:space="preserve">CONDENAR </w:t>
      </w:r>
      <w:r w:rsidR="00C536C8" w:rsidRPr="00A4728D">
        <w:rPr>
          <w:rFonts w:ascii="Tahoma" w:hAnsi="Tahoma" w:cs="Tahoma"/>
          <w:sz w:val="22"/>
          <w:szCs w:val="22"/>
        </w:rPr>
        <w:t>a</w:t>
      </w:r>
      <w:r w:rsidR="00C536C8">
        <w:rPr>
          <w:rFonts w:ascii="Tahoma" w:hAnsi="Tahoma" w:cs="Tahoma"/>
          <w:sz w:val="22"/>
          <w:szCs w:val="22"/>
        </w:rPr>
        <w:t xml:space="preserve"> Colpensiones a cancelar las costas procesales de primera </w:t>
      </w:r>
      <w:r w:rsidR="00B5381D">
        <w:rPr>
          <w:rFonts w:ascii="Tahoma" w:hAnsi="Tahoma" w:cs="Tahoma"/>
          <w:sz w:val="22"/>
          <w:szCs w:val="22"/>
        </w:rPr>
        <w:t xml:space="preserve">y segunda </w:t>
      </w:r>
      <w:r w:rsidR="00C536C8">
        <w:rPr>
          <w:rFonts w:ascii="Tahoma" w:hAnsi="Tahoma" w:cs="Tahoma"/>
          <w:sz w:val="22"/>
          <w:szCs w:val="22"/>
        </w:rPr>
        <w:t>instancia en un 90% a favor del actor.</w:t>
      </w:r>
    </w:p>
    <w:p w:rsidR="00D709AE" w:rsidRDefault="00D709AE" w:rsidP="00DE0119">
      <w:pPr>
        <w:spacing w:line="276" w:lineRule="auto"/>
        <w:ind w:firstLine="709"/>
        <w:jc w:val="both"/>
        <w:rPr>
          <w:rFonts w:ascii="Tahoma" w:hAnsi="Tahoma" w:cs="Tahoma"/>
          <w:b/>
          <w:sz w:val="22"/>
          <w:szCs w:val="22"/>
        </w:rPr>
      </w:pPr>
    </w:p>
    <w:p w:rsidR="00D709AE" w:rsidRDefault="00D709AE" w:rsidP="00DE0119">
      <w:pPr>
        <w:spacing w:line="276" w:lineRule="auto"/>
        <w:ind w:firstLine="709"/>
        <w:jc w:val="both"/>
        <w:rPr>
          <w:rFonts w:ascii="Tahoma" w:hAnsi="Tahoma" w:cs="Tahoma"/>
          <w:sz w:val="22"/>
          <w:szCs w:val="22"/>
        </w:rPr>
      </w:pPr>
      <w:r w:rsidRPr="00D709AE">
        <w:rPr>
          <w:rFonts w:ascii="Tahoma" w:hAnsi="Tahoma" w:cs="Tahoma"/>
          <w:b/>
          <w:sz w:val="22"/>
          <w:szCs w:val="22"/>
          <w:u w:val="single"/>
        </w:rPr>
        <w:t>QUINTO</w:t>
      </w:r>
      <w:r>
        <w:rPr>
          <w:rFonts w:ascii="Tahoma" w:hAnsi="Tahoma" w:cs="Tahoma"/>
          <w:b/>
          <w:sz w:val="22"/>
          <w:szCs w:val="22"/>
        </w:rPr>
        <w:t xml:space="preserve">.- </w:t>
      </w:r>
      <w:r w:rsidR="00C536C8" w:rsidRPr="00D709AE">
        <w:rPr>
          <w:rFonts w:ascii="Tahoma" w:hAnsi="Tahoma" w:cs="Tahoma"/>
          <w:b/>
          <w:sz w:val="22"/>
          <w:szCs w:val="22"/>
        </w:rPr>
        <w:t>NEGAR</w:t>
      </w:r>
      <w:r w:rsidR="00C536C8" w:rsidRPr="00D709AE">
        <w:rPr>
          <w:rFonts w:ascii="Tahoma" w:hAnsi="Tahoma" w:cs="Tahoma"/>
          <w:sz w:val="22"/>
          <w:szCs w:val="22"/>
        </w:rPr>
        <w:t xml:space="preserve"> las demás pretensiones de la demanda</w:t>
      </w:r>
      <w:r w:rsidR="00C536C8">
        <w:rPr>
          <w:rFonts w:ascii="Tahoma" w:hAnsi="Tahoma" w:cs="Tahoma"/>
          <w:sz w:val="22"/>
          <w:szCs w:val="22"/>
        </w:rPr>
        <w:t>.</w:t>
      </w:r>
      <w:r>
        <w:rPr>
          <w:rFonts w:ascii="Tahoma" w:hAnsi="Tahoma" w:cs="Tahoma"/>
          <w:sz w:val="22"/>
          <w:szCs w:val="22"/>
        </w:rPr>
        <w:t xml:space="preserve"> </w:t>
      </w:r>
    </w:p>
    <w:p w:rsidR="00DE0119" w:rsidRPr="007834F9" w:rsidRDefault="00DE0119" w:rsidP="00DE0119">
      <w:pPr>
        <w:ind w:firstLine="709"/>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DE0119">
      <w:pPr>
        <w:widowControl w:val="0"/>
        <w:autoSpaceDE w:val="0"/>
        <w:autoSpaceDN w:val="0"/>
        <w:adjustRightInd w:val="0"/>
        <w:jc w:val="both"/>
        <w:rPr>
          <w:rFonts w:ascii="Tahoma" w:hAnsi="Tahoma" w:cs="Tahoma"/>
          <w:b/>
          <w:bCs/>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Pr="007834F9" w:rsidRDefault="00DE0119" w:rsidP="00DE0119">
      <w:pPr>
        <w:widowControl w:val="0"/>
        <w:autoSpaceDE w:val="0"/>
        <w:autoSpaceDN w:val="0"/>
        <w:adjustRightInd w:val="0"/>
        <w:spacing w:line="276" w:lineRule="auto"/>
        <w:ind w:firstLine="708"/>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Pr="007834F9" w:rsidRDefault="00DE0119"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lastRenderedPageBreak/>
        <w:t>ANA LUCÍA CAICEDO CALDERÓN</w:t>
      </w:r>
    </w:p>
    <w:p w:rsidR="00DE0119" w:rsidRDefault="00DE0119"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ind w:firstLine="708"/>
        <w:jc w:val="both"/>
        <w:rPr>
          <w:rFonts w:ascii="Tahoma" w:hAnsi="Tahoma" w:cs="Tahoma"/>
          <w:sz w:val="22"/>
          <w:szCs w:val="22"/>
        </w:rPr>
      </w:pPr>
    </w:p>
    <w:p w:rsidR="00347661" w:rsidRPr="007834F9" w:rsidRDefault="00347661" w:rsidP="00DE0119">
      <w:pPr>
        <w:spacing w:line="276" w:lineRule="auto"/>
        <w:rPr>
          <w:rFonts w:ascii="Tahoma" w:hAnsi="Tahoma" w:cs="Tahoma"/>
          <w:b/>
          <w:sz w:val="22"/>
          <w:szCs w:val="22"/>
        </w:rPr>
      </w:pPr>
    </w:p>
    <w:p w:rsidR="00DE0119" w:rsidRPr="007834F9" w:rsidRDefault="00DE0119" w:rsidP="00DE0119">
      <w:pPr>
        <w:spacing w:line="276" w:lineRule="auto"/>
        <w:rPr>
          <w:rFonts w:ascii="Tahoma" w:hAnsi="Tahoma" w:cs="Tahoma"/>
          <w:b/>
          <w:sz w:val="22"/>
          <w:szCs w:val="22"/>
        </w:rPr>
      </w:pPr>
    </w:p>
    <w:p w:rsidR="00DE0119" w:rsidRPr="007834F9" w:rsidRDefault="00347661" w:rsidP="00347661">
      <w:pPr>
        <w:spacing w:line="276" w:lineRule="auto"/>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O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p>
    <w:p w:rsidR="00347661" w:rsidRPr="007834F9" w:rsidRDefault="00347661" w:rsidP="00347661">
      <w:pPr>
        <w:spacing w:line="276" w:lineRule="auto"/>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0119" w:rsidRPr="007834F9" w:rsidRDefault="00DE0119" w:rsidP="00DE0119">
      <w:pPr>
        <w:spacing w:line="276" w:lineRule="auto"/>
        <w:jc w:val="both"/>
        <w:rPr>
          <w:rFonts w:ascii="Tahoma" w:hAnsi="Tahoma" w:cs="Tahoma"/>
          <w:sz w:val="22"/>
          <w:szCs w:val="22"/>
        </w:rPr>
      </w:pPr>
    </w:p>
    <w:p w:rsidR="00DE0119" w:rsidRDefault="00DE0119"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BB205F" w:rsidRDefault="00BB205F" w:rsidP="00DE0119">
      <w:pPr>
        <w:spacing w:line="276" w:lineRule="auto"/>
        <w:jc w:val="center"/>
        <w:rPr>
          <w:rFonts w:ascii="Arial Narrow" w:hAnsi="Arial Narrow" w:cs="Tahoma"/>
          <w:b/>
        </w:rPr>
      </w:pPr>
    </w:p>
    <w:p w:rsidR="00DE0119" w:rsidRDefault="00DE0119" w:rsidP="00DE0119">
      <w:pPr>
        <w:spacing w:line="276" w:lineRule="auto"/>
        <w:jc w:val="center"/>
        <w:rPr>
          <w:rFonts w:ascii="Arial Narrow" w:hAnsi="Arial Narrow" w:cs="Tahoma"/>
          <w:b/>
        </w:rPr>
      </w:pPr>
    </w:p>
    <w:p w:rsidR="00DE0119" w:rsidRDefault="00DE0119" w:rsidP="00DE0119">
      <w:pPr>
        <w:spacing w:line="276" w:lineRule="auto"/>
        <w:jc w:val="center"/>
        <w:rPr>
          <w:rFonts w:ascii="Arial Narrow" w:hAnsi="Arial Narrow" w:cs="Tahoma"/>
          <w:b/>
        </w:rPr>
      </w:pPr>
      <w:r w:rsidRPr="009138C3">
        <w:rPr>
          <w:rFonts w:ascii="Arial Narrow" w:hAnsi="Arial Narrow" w:cs="Tahoma"/>
          <w:b/>
        </w:rPr>
        <w:t xml:space="preserve">Liquidación </w:t>
      </w:r>
      <w:proofErr w:type="gramStart"/>
      <w:r w:rsidRPr="009138C3">
        <w:rPr>
          <w:rFonts w:ascii="Arial Narrow" w:hAnsi="Arial Narrow" w:cs="Tahoma"/>
          <w:b/>
        </w:rPr>
        <w:t>retroactivo</w:t>
      </w:r>
      <w:proofErr w:type="gramEnd"/>
      <w:r w:rsidRPr="009138C3">
        <w:rPr>
          <w:rFonts w:ascii="Arial Narrow" w:hAnsi="Arial Narrow" w:cs="Tahoma"/>
          <w:b/>
        </w:rPr>
        <w:t xml:space="preserve"> de</w:t>
      </w:r>
      <w:r>
        <w:rPr>
          <w:rFonts w:ascii="Arial Narrow" w:hAnsi="Arial Narrow" w:cs="Tahoma"/>
          <w:b/>
        </w:rPr>
        <w:t xml:space="preserve">sde el </w:t>
      </w:r>
      <w:r w:rsidR="00757CCC">
        <w:rPr>
          <w:rFonts w:ascii="Arial Narrow" w:hAnsi="Arial Narrow" w:cs="Tahoma"/>
          <w:b/>
        </w:rPr>
        <w:t>1º de mayo de 2015</w:t>
      </w:r>
      <w:r w:rsidR="00347661">
        <w:rPr>
          <w:rFonts w:ascii="Arial Narrow" w:hAnsi="Arial Narrow" w:cs="Tahoma"/>
          <w:b/>
        </w:rPr>
        <w:t xml:space="preserve"> </w:t>
      </w:r>
      <w:r>
        <w:rPr>
          <w:rFonts w:ascii="Arial Narrow" w:hAnsi="Arial Narrow" w:cs="Tahoma"/>
          <w:b/>
        </w:rPr>
        <w:t xml:space="preserve">hasta el 31 de </w:t>
      </w:r>
      <w:r w:rsidR="00347661">
        <w:rPr>
          <w:rFonts w:ascii="Arial Narrow" w:hAnsi="Arial Narrow" w:cs="Tahoma"/>
          <w:b/>
        </w:rPr>
        <w:t>enero de 2018</w:t>
      </w:r>
    </w:p>
    <w:p w:rsidR="00DE0119" w:rsidRDefault="00DE0119" w:rsidP="00DE0119">
      <w:pPr>
        <w:pStyle w:val="Sinespaciado"/>
      </w:pPr>
    </w:p>
    <w:p w:rsidR="00BB205F" w:rsidRDefault="00BB205F" w:rsidP="00DE0119">
      <w:pPr>
        <w:pStyle w:val="Sinespaciado"/>
      </w:pPr>
    </w:p>
    <w:p w:rsidR="00BB205F" w:rsidRDefault="00BB205F" w:rsidP="00DE0119">
      <w:pPr>
        <w:pStyle w:val="Sinespaciado"/>
      </w:pPr>
    </w:p>
    <w:tbl>
      <w:tblPr>
        <w:tblW w:w="0" w:type="auto"/>
        <w:jc w:val="center"/>
        <w:tblCellMar>
          <w:left w:w="70" w:type="dxa"/>
          <w:right w:w="70" w:type="dxa"/>
        </w:tblCellMar>
        <w:tblLook w:val="04A0" w:firstRow="1" w:lastRow="0" w:firstColumn="1" w:lastColumn="0" w:noHBand="0" w:noVBand="1"/>
      </w:tblPr>
      <w:tblGrid>
        <w:gridCol w:w="840"/>
        <w:gridCol w:w="806"/>
        <w:gridCol w:w="762"/>
        <w:gridCol w:w="1349"/>
        <w:gridCol w:w="1183"/>
      </w:tblGrid>
      <w:tr w:rsidR="00757CCC" w:rsidRPr="00757CCC" w:rsidTr="00757CCC">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757CCC" w:rsidRPr="00757CCC" w:rsidRDefault="00757CCC">
            <w:pPr>
              <w:jc w:val="center"/>
              <w:rPr>
                <w:rFonts w:ascii="Calibri" w:hAnsi="Calibri"/>
                <w:b/>
                <w:bCs/>
                <w:color w:val="000000"/>
                <w:sz w:val="16"/>
                <w:szCs w:val="16"/>
              </w:rPr>
            </w:pPr>
            <w:r w:rsidRPr="00757CCC">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57CCC" w:rsidRPr="00757CCC" w:rsidRDefault="00757CCC">
            <w:pPr>
              <w:jc w:val="center"/>
              <w:rPr>
                <w:rFonts w:ascii="Calibri" w:hAnsi="Calibri"/>
                <w:b/>
                <w:bCs/>
                <w:color w:val="000000"/>
                <w:sz w:val="16"/>
                <w:szCs w:val="16"/>
              </w:rPr>
            </w:pPr>
            <w:r w:rsidRPr="00757CCC">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57CCC" w:rsidRPr="00757CCC" w:rsidRDefault="00757CCC">
            <w:pPr>
              <w:jc w:val="center"/>
              <w:rPr>
                <w:rFonts w:ascii="Calibri" w:hAnsi="Calibri"/>
                <w:b/>
                <w:bCs/>
                <w:color w:val="000000"/>
                <w:sz w:val="16"/>
                <w:szCs w:val="16"/>
              </w:rPr>
            </w:pPr>
            <w:r w:rsidRPr="00757CCC">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57CCC" w:rsidRPr="00757CCC" w:rsidRDefault="00757CCC">
            <w:pPr>
              <w:jc w:val="center"/>
              <w:rPr>
                <w:rFonts w:ascii="Calibri" w:hAnsi="Calibri"/>
                <w:b/>
                <w:bCs/>
                <w:color w:val="000000"/>
                <w:sz w:val="16"/>
                <w:szCs w:val="16"/>
              </w:rPr>
            </w:pPr>
            <w:r w:rsidRPr="00757CCC">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757CCC" w:rsidRPr="00757CCC" w:rsidRDefault="00757CCC">
            <w:pPr>
              <w:jc w:val="center"/>
              <w:rPr>
                <w:rFonts w:ascii="Calibri" w:hAnsi="Calibri"/>
                <w:b/>
                <w:bCs/>
                <w:color w:val="000000"/>
                <w:sz w:val="16"/>
                <w:szCs w:val="16"/>
              </w:rPr>
            </w:pPr>
            <w:r w:rsidRPr="00757CCC">
              <w:rPr>
                <w:rFonts w:ascii="Calibri" w:hAnsi="Calibri"/>
                <w:b/>
                <w:bCs/>
                <w:color w:val="000000"/>
                <w:sz w:val="16"/>
                <w:szCs w:val="16"/>
              </w:rPr>
              <w:t xml:space="preserve"> Mesadas </w:t>
            </w:r>
          </w:p>
        </w:tc>
      </w:tr>
      <w:tr w:rsidR="00757CCC" w:rsidRPr="00757CCC" w:rsidTr="00757CCC">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01-may-1</w:t>
            </w:r>
            <w:r w:rsidR="00365EC1">
              <w:rPr>
                <w:rFonts w:ascii="Calibri" w:hAnsi="Calibri"/>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31-dic-15</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757CCC" w:rsidRPr="00757CCC" w:rsidRDefault="00757CCC">
            <w:pPr>
              <w:jc w:val="center"/>
              <w:rPr>
                <w:rFonts w:ascii="Calibri" w:hAnsi="Calibri"/>
                <w:sz w:val="16"/>
                <w:szCs w:val="16"/>
              </w:rPr>
            </w:pPr>
            <w:r w:rsidRPr="00757CCC">
              <w:rPr>
                <w:rFonts w:ascii="Calibri" w:hAnsi="Calibri"/>
                <w:sz w:val="16"/>
                <w:szCs w:val="16"/>
              </w:rPr>
              <w:t>9,0</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757CCC" w:rsidRPr="00757CCC" w:rsidRDefault="00757CCC">
            <w:pPr>
              <w:rPr>
                <w:rFonts w:ascii="Calibri" w:hAnsi="Calibri"/>
                <w:sz w:val="16"/>
                <w:szCs w:val="16"/>
              </w:rPr>
            </w:pPr>
            <w:r w:rsidRPr="00757CCC">
              <w:rPr>
                <w:rFonts w:ascii="Calibri" w:hAnsi="Calibri"/>
                <w:sz w:val="16"/>
                <w:szCs w:val="16"/>
              </w:rPr>
              <w:t xml:space="preserve"> $          644.350,00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757CCC" w:rsidRPr="00757CCC" w:rsidRDefault="00757CCC">
            <w:pPr>
              <w:rPr>
                <w:rFonts w:ascii="Calibri" w:hAnsi="Calibri"/>
                <w:color w:val="000000"/>
                <w:sz w:val="16"/>
                <w:szCs w:val="16"/>
              </w:rPr>
            </w:pPr>
            <w:r w:rsidRPr="00757CCC">
              <w:rPr>
                <w:rFonts w:ascii="Calibri" w:hAnsi="Calibri"/>
                <w:color w:val="000000"/>
                <w:sz w:val="16"/>
                <w:szCs w:val="16"/>
              </w:rPr>
              <w:t xml:space="preserve"> $       5.799.150 </w:t>
            </w:r>
          </w:p>
        </w:tc>
      </w:tr>
      <w:tr w:rsidR="00757CCC" w:rsidRPr="00757CCC" w:rsidTr="00757CCC">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757CCC" w:rsidRPr="00757CCC" w:rsidRDefault="00757CCC">
            <w:pPr>
              <w:jc w:val="center"/>
              <w:rPr>
                <w:rFonts w:ascii="Calibri" w:hAnsi="Calibri"/>
                <w:sz w:val="16"/>
                <w:szCs w:val="16"/>
              </w:rPr>
            </w:pPr>
            <w:r w:rsidRPr="00757CCC">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757CCC" w:rsidRPr="00757CCC" w:rsidRDefault="00757CCC">
            <w:pPr>
              <w:rPr>
                <w:rFonts w:ascii="Calibri" w:hAnsi="Calibri"/>
                <w:sz w:val="16"/>
                <w:szCs w:val="16"/>
              </w:rPr>
            </w:pPr>
            <w:r w:rsidRPr="00757CCC">
              <w:rPr>
                <w:rFonts w:ascii="Calibri" w:hAnsi="Calibri"/>
                <w:sz w:val="16"/>
                <w:szCs w:val="16"/>
              </w:rPr>
              <w:t xml:space="preserve"> $          689.455,00 </w:t>
            </w:r>
          </w:p>
        </w:tc>
        <w:tc>
          <w:tcPr>
            <w:tcW w:w="0" w:type="auto"/>
            <w:tcBorders>
              <w:top w:val="nil"/>
              <w:left w:val="nil"/>
              <w:bottom w:val="single" w:sz="4" w:space="0" w:color="auto"/>
              <w:right w:val="single" w:sz="8" w:space="0" w:color="auto"/>
            </w:tcBorders>
            <w:shd w:val="clear" w:color="000000" w:fill="FFFFCC"/>
            <w:noWrap/>
            <w:vAlign w:val="center"/>
            <w:hideMark/>
          </w:tcPr>
          <w:p w:rsidR="00757CCC" w:rsidRPr="00757CCC" w:rsidRDefault="00757CCC">
            <w:pPr>
              <w:rPr>
                <w:rFonts w:ascii="Calibri" w:hAnsi="Calibri"/>
                <w:color w:val="000000"/>
                <w:sz w:val="16"/>
                <w:szCs w:val="16"/>
              </w:rPr>
            </w:pPr>
            <w:r w:rsidRPr="00757CCC">
              <w:rPr>
                <w:rFonts w:ascii="Calibri" w:hAnsi="Calibri"/>
                <w:color w:val="000000"/>
                <w:sz w:val="16"/>
                <w:szCs w:val="16"/>
              </w:rPr>
              <w:t xml:space="preserve"> $       8.962.915 </w:t>
            </w:r>
          </w:p>
        </w:tc>
      </w:tr>
      <w:tr w:rsidR="00757CCC" w:rsidRPr="00757CCC" w:rsidTr="00757CCC">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757CCC" w:rsidRPr="00757CCC" w:rsidRDefault="00757CCC">
            <w:pPr>
              <w:jc w:val="center"/>
              <w:rPr>
                <w:rFonts w:ascii="Calibri" w:hAnsi="Calibri"/>
                <w:sz w:val="16"/>
                <w:szCs w:val="16"/>
              </w:rPr>
            </w:pPr>
            <w:r w:rsidRPr="00757CCC">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757CCC" w:rsidRPr="00757CCC" w:rsidRDefault="00757CCC">
            <w:pPr>
              <w:rPr>
                <w:rFonts w:ascii="Calibri" w:hAnsi="Calibri"/>
                <w:sz w:val="16"/>
                <w:szCs w:val="16"/>
              </w:rPr>
            </w:pPr>
            <w:r w:rsidRPr="00757CCC">
              <w:rPr>
                <w:rFonts w:ascii="Calibri" w:hAnsi="Calibri"/>
                <w:sz w:val="16"/>
                <w:szCs w:val="16"/>
              </w:rPr>
              <w:t xml:space="preserve"> $          737.717,00 </w:t>
            </w:r>
          </w:p>
        </w:tc>
        <w:tc>
          <w:tcPr>
            <w:tcW w:w="0" w:type="auto"/>
            <w:tcBorders>
              <w:top w:val="nil"/>
              <w:left w:val="nil"/>
              <w:bottom w:val="single" w:sz="4" w:space="0" w:color="auto"/>
              <w:right w:val="single" w:sz="8" w:space="0" w:color="auto"/>
            </w:tcBorders>
            <w:shd w:val="clear" w:color="000000" w:fill="FFFFCC"/>
            <w:noWrap/>
            <w:vAlign w:val="center"/>
            <w:hideMark/>
          </w:tcPr>
          <w:p w:rsidR="00757CCC" w:rsidRPr="00757CCC" w:rsidRDefault="00757CCC">
            <w:pPr>
              <w:rPr>
                <w:rFonts w:ascii="Calibri" w:hAnsi="Calibri"/>
                <w:color w:val="000000"/>
                <w:sz w:val="16"/>
                <w:szCs w:val="16"/>
              </w:rPr>
            </w:pPr>
            <w:r w:rsidRPr="00757CCC">
              <w:rPr>
                <w:rFonts w:ascii="Calibri" w:hAnsi="Calibri"/>
                <w:color w:val="000000"/>
                <w:sz w:val="16"/>
                <w:szCs w:val="16"/>
              </w:rPr>
              <w:t xml:space="preserve"> $       9.590.321 </w:t>
            </w:r>
          </w:p>
        </w:tc>
      </w:tr>
      <w:tr w:rsidR="00757CCC" w:rsidRPr="00757CCC" w:rsidTr="00757CCC">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01-ene-18</w:t>
            </w:r>
          </w:p>
        </w:tc>
        <w:tc>
          <w:tcPr>
            <w:tcW w:w="0" w:type="auto"/>
            <w:tcBorders>
              <w:top w:val="nil"/>
              <w:left w:val="nil"/>
              <w:bottom w:val="single" w:sz="8" w:space="0" w:color="auto"/>
              <w:right w:val="single" w:sz="4" w:space="0" w:color="auto"/>
            </w:tcBorders>
            <w:shd w:val="clear" w:color="auto" w:fill="auto"/>
            <w:noWrap/>
            <w:vAlign w:val="center"/>
            <w:hideMark/>
          </w:tcPr>
          <w:p w:rsidR="00757CCC" w:rsidRPr="00757CCC" w:rsidRDefault="00757CCC">
            <w:pPr>
              <w:jc w:val="right"/>
              <w:rPr>
                <w:rFonts w:ascii="Calibri" w:hAnsi="Calibri"/>
                <w:color w:val="000000"/>
                <w:sz w:val="16"/>
                <w:szCs w:val="16"/>
              </w:rPr>
            </w:pPr>
            <w:r w:rsidRPr="00757CCC">
              <w:rPr>
                <w:rFonts w:ascii="Calibri" w:hAnsi="Calibri"/>
                <w:color w:val="000000"/>
                <w:sz w:val="16"/>
                <w:szCs w:val="16"/>
              </w:rPr>
              <w:t>31-ene-18</w:t>
            </w:r>
          </w:p>
        </w:tc>
        <w:tc>
          <w:tcPr>
            <w:tcW w:w="0" w:type="auto"/>
            <w:tcBorders>
              <w:top w:val="nil"/>
              <w:left w:val="nil"/>
              <w:bottom w:val="single" w:sz="8" w:space="0" w:color="auto"/>
              <w:right w:val="single" w:sz="4" w:space="0" w:color="auto"/>
            </w:tcBorders>
            <w:shd w:val="clear" w:color="000000" w:fill="FFFFCC"/>
            <w:noWrap/>
            <w:vAlign w:val="bottom"/>
            <w:hideMark/>
          </w:tcPr>
          <w:p w:rsidR="00757CCC" w:rsidRPr="00757CCC" w:rsidRDefault="00757CCC">
            <w:pPr>
              <w:jc w:val="center"/>
              <w:rPr>
                <w:rFonts w:ascii="Calibri" w:hAnsi="Calibri"/>
                <w:sz w:val="16"/>
                <w:szCs w:val="16"/>
              </w:rPr>
            </w:pPr>
            <w:r w:rsidRPr="00757CCC">
              <w:rPr>
                <w:rFonts w:ascii="Calibri" w:hAnsi="Calibri"/>
                <w:sz w:val="16"/>
                <w:szCs w:val="16"/>
              </w:rPr>
              <w:t>1,0</w:t>
            </w:r>
          </w:p>
        </w:tc>
        <w:tc>
          <w:tcPr>
            <w:tcW w:w="0" w:type="auto"/>
            <w:tcBorders>
              <w:top w:val="nil"/>
              <w:left w:val="nil"/>
              <w:bottom w:val="single" w:sz="4" w:space="0" w:color="auto"/>
              <w:right w:val="single" w:sz="4" w:space="0" w:color="auto"/>
            </w:tcBorders>
            <w:shd w:val="clear" w:color="000000" w:fill="FFFFCC"/>
            <w:vAlign w:val="bottom"/>
            <w:hideMark/>
          </w:tcPr>
          <w:p w:rsidR="00757CCC" w:rsidRPr="00757CCC" w:rsidRDefault="00757CCC">
            <w:pPr>
              <w:rPr>
                <w:rFonts w:ascii="Calibri" w:hAnsi="Calibri"/>
                <w:sz w:val="16"/>
                <w:szCs w:val="16"/>
              </w:rPr>
            </w:pPr>
            <w:r w:rsidRPr="00757CCC">
              <w:rPr>
                <w:rFonts w:ascii="Calibri" w:hAnsi="Calibri"/>
                <w:sz w:val="16"/>
                <w:szCs w:val="16"/>
              </w:rPr>
              <w:t xml:space="preserve"> $          781.242,00 </w:t>
            </w:r>
          </w:p>
        </w:tc>
        <w:tc>
          <w:tcPr>
            <w:tcW w:w="0" w:type="auto"/>
            <w:tcBorders>
              <w:top w:val="nil"/>
              <w:left w:val="nil"/>
              <w:bottom w:val="single" w:sz="4" w:space="0" w:color="auto"/>
              <w:right w:val="single" w:sz="8" w:space="0" w:color="auto"/>
            </w:tcBorders>
            <w:shd w:val="clear" w:color="000000" w:fill="FFFFCC"/>
            <w:noWrap/>
            <w:vAlign w:val="center"/>
            <w:hideMark/>
          </w:tcPr>
          <w:p w:rsidR="00757CCC" w:rsidRPr="00757CCC" w:rsidRDefault="00757CCC">
            <w:pPr>
              <w:rPr>
                <w:rFonts w:ascii="Calibri" w:hAnsi="Calibri"/>
                <w:color w:val="000000"/>
                <w:sz w:val="16"/>
                <w:szCs w:val="16"/>
              </w:rPr>
            </w:pPr>
            <w:r w:rsidRPr="00757CCC">
              <w:rPr>
                <w:rFonts w:ascii="Calibri" w:hAnsi="Calibri"/>
                <w:color w:val="000000"/>
                <w:sz w:val="16"/>
                <w:szCs w:val="16"/>
              </w:rPr>
              <w:t xml:space="preserve"> $           781.242 </w:t>
            </w:r>
          </w:p>
        </w:tc>
      </w:tr>
      <w:tr w:rsidR="00757CCC" w:rsidRPr="00757CCC" w:rsidTr="00757CCC">
        <w:trPr>
          <w:trHeight w:val="20"/>
          <w:jc w:val="center"/>
        </w:trPr>
        <w:tc>
          <w:tcPr>
            <w:tcW w:w="0" w:type="auto"/>
            <w:tcBorders>
              <w:top w:val="nil"/>
              <w:left w:val="nil"/>
              <w:bottom w:val="nil"/>
              <w:right w:val="nil"/>
            </w:tcBorders>
            <w:shd w:val="clear" w:color="auto" w:fill="auto"/>
            <w:noWrap/>
            <w:vAlign w:val="center"/>
            <w:hideMark/>
          </w:tcPr>
          <w:p w:rsidR="00757CCC" w:rsidRPr="00757CCC" w:rsidRDefault="00757CCC">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757CCC" w:rsidRPr="00757CCC" w:rsidRDefault="00757CCC">
            <w:pPr>
              <w:rPr>
                <w:sz w:val="16"/>
                <w:szCs w:val="16"/>
              </w:rPr>
            </w:pPr>
          </w:p>
        </w:tc>
        <w:tc>
          <w:tcPr>
            <w:tcW w:w="0" w:type="auto"/>
            <w:tcBorders>
              <w:top w:val="nil"/>
              <w:left w:val="nil"/>
              <w:bottom w:val="nil"/>
              <w:right w:val="nil"/>
            </w:tcBorders>
            <w:shd w:val="clear" w:color="auto" w:fill="auto"/>
            <w:noWrap/>
            <w:vAlign w:val="bottom"/>
            <w:hideMark/>
          </w:tcPr>
          <w:p w:rsidR="00757CCC" w:rsidRPr="00757CCC" w:rsidRDefault="00757CCC">
            <w:pPr>
              <w:rPr>
                <w:sz w:val="16"/>
                <w:szCs w:val="16"/>
              </w:rPr>
            </w:pPr>
          </w:p>
        </w:tc>
        <w:tc>
          <w:tcPr>
            <w:tcW w:w="0" w:type="auto"/>
            <w:tcBorders>
              <w:top w:val="nil"/>
              <w:left w:val="nil"/>
              <w:bottom w:val="nil"/>
              <w:right w:val="nil"/>
            </w:tcBorders>
            <w:shd w:val="clear" w:color="auto" w:fill="auto"/>
            <w:vAlign w:val="bottom"/>
            <w:hideMark/>
          </w:tcPr>
          <w:p w:rsidR="00757CCC" w:rsidRPr="00757CCC" w:rsidRDefault="00757CCC">
            <w:pPr>
              <w:jc w:val="center"/>
              <w:rPr>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7CCC" w:rsidRPr="00757CCC" w:rsidRDefault="00757CCC">
            <w:pPr>
              <w:rPr>
                <w:rFonts w:ascii="Calibri" w:hAnsi="Calibri"/>
                <w:color w:val="000000"/>
                <w:sz w:val="16"/>
                <w:szCs w:val="16"/>
              </w:rPr>
            </w:pPr>
            <w:r w:rsidRPr="00757CCC">
              <w:rPr>
                <w:rFonts w:ascii="Calibri" w:hAnsi="Calibri"/>
                <w:color w:val="000000"/>
                <w:sz w:val="16"/>
                <w:szCs w:val="16"/>
              </w:rPr>
              <w:t xml:space="preserve"> $     25.133.628 </w:t>
            </w:r>
          </w:p>
        </w:tc>
      </w:tr>
    </w:tbl>
    <w:p w:rsidR="00DE0119" w:rsidRDefault="00DE0119" w:rsidP="00DE0119">
      <w:pPr>
        <w:pStyle w:val="Sinespaciado"/>
      </w:pPr>
    </w:p>
    <w:p w:rsidR="00DE0119" w:rsidRDefault="00DE0119" w:rsidP="00DE0119">
      <w:pPr>
        <w:pStyle w:val="Sinespaciado"/>
      </w:pPr>
    </w:p>
    <w:p w:rsidR="00BB205F" w:rsidRDefault="00BB205F" w:rsidP="00DE0119">
      <w:pPr>
        <w:pStyle w:val="Sinespaciado"/>
      </w:pPr>
    </w:p>
    <w:p w:rsidR="00BB205F" w:rsidRDefault="00BB205F" w:rsidP="00DE0119">
      <w:pPr>
        <w:pStyle w:val="Sinespaciado"/>
      </w:pPr>
    </w:p>
    <w:p w:rsidR="00BB205F" w:rsidRDefault="00BB205F" w:rsidP="00DE0119">
      <w:pPr>
        <w:pStyle w:val="Sinespaciado"/>
      </w:pPr>
    </w:p>
    <w:p w:rsidR="00C3137D" w:rsidRPr="00EA6BEB" w:rsidRDefault="00AF1635" w:rsidP="00AF1635">
      <w:pPr>
        <w:pStyle w:val="Ttulo3"/>
        <w:spacing w:before="0" w:after="0"/>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AF1635">
      <w:pPr>
        <w:pStyle w:val="Sinespaciado"/>
        <w:ind w:left="708"/>
        <w:jc w:val="center"/>
        <w:rPr>
          <w:sz w:val="20"/>
          <w:szCs w:val="20"/>
        </w:rPr>
      </w:pPr>
      <w:r w:rsidRPr="00EA6BEB">
        <w:rPr>
          <w:rFonts w:ascii="Tahoma" w:hAnsi="Tahoma" w:cs="Tahoma"/>
          <w:sz w:val="22"/>
          <w:szCs w:val="22"/>
        </w:rPr>
        <w:t>Magistrada</w:t>
      </w:r>
    </w:p>
    <w:sectPr w:rsidR="00C3137D" w:rsidRPr="00042881"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CB" w:rsidRDefault="00F228CB">
      <w:r>
        <w:separator/>
      </w:r>
    </w:p>
  </w:endnote>
  <w:endnote w:type="continuationSeparator" w:id="0">
    <w:p w:rsidR="00F228CB" w:rsidRDefault="00F2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BB" w:rsidRPr="0002458E" w:rsidRDefault="001F48BB">
    <w:pPr>
      <w:pStyle w:val="Piedepgina"/>
      <w:jc w:val="right"/>
    </w:pPr>
    <w:r w:rsidRPr="0002458E">
      <w:fldChar w:fldCharType="begin"/>
    </w:r>
    <w:r w:rsidRPr="0002458E">
      <w:instrText>PAGE   \* MERGEFORMAT</w:instrText>
    </w:r>
    <w:r w:rsidRPr="0002458E">
      <w:fldChar w:fldCharType="separate"/>
    </w:r>
    <w:r w:rsidR="009275C7">
      <w:rPr>
        <w:noProof/>
      </w:rPr>
      <w:t>5</w:t>
    </w:r>
    <w:r w:rsidRPr="0002458E">
      <w:fldChar w:fldCharType="end"/>
    </w:r>
  </w:p>
  <w:p w:rsidR="001F48BB" w:rsidRDefault="001F48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BB" w:rsidRDefault="001F48BB">
    <w:pPr>
      <w:pStyle w:val="Piedepgina"/>
      <w:jc w:val="right"/>
    </w:pPr>
    <w:r>
      <w:fldChar w:fldCharType="begin"/>
    </w:r>
    <w:r>
      <w:instrText>PAGE   \* MERGEFORMAT</w:instrText>
    </w:r>
    <w:r>
      <w:fldChar w:fldCharType="separate"/>
    </w:r>
    <w:r w:rsidR="009275C7">
      <w:rPr>
        <w:noProof/>
      </w:rPr>
      <w:t>1</w:t>
    </w:r>
    <w:r>
      <w:fldChar w:fldCharType="end"/>
    </w:r>
  </w:p>
  <w:p w:rsidR="001F48BB" w:rsidRDefault="001F4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CB" w:rsidRDefault="00F228CB">
      <w:r>
        <w:separator/>
      </w:r>
    </w:p>
  </w:footnote>
  <w:footnote w:type="continuationSeparator" w:id="0">
    <w:p w:rsidR="00F228CB" w:rsidRDefault="00F22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BB" w:rsidRDefault="001F48B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8BB" w:rsidRDefault="001F48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87" w:rsidRPr="001A2087" w:rsidRDefault="001A2087" w:rsidP="001A2087">
    <w:pPr>
      <w:pStyle w:val="Puesto"/>
      <w:spacing w:line="240" w:lineRule="auto"/>
      <w:jc w:val="both"/>
      <w:rPr>
        <w:rFonts w:ascii="Times New Roman" w:hAnsi="Times New Roman" w:cs="Times New Roman"/>
        <w:b w:val="0"/>
        <w:sz w:val="16"/>
        <w:szCs w:val="16"/>
      </w:rPr>
    </w:pPr>
    <w:r w:rsidRPr="001A208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A2087">
      <w:rPr>
        <w:rFonts w:ascii="Times New Roman" w:hAnsi="Times New Roman" w:cs="Times New Roman"/>
        <w:b w:val="0"/>
        <w:sz w:val="16"/>
        <w:szCs w:val="16"/>
      </w:rPr>
      <w:t>66001-31-05-002-2015-00634-01</w:t>
    </w:r>
  </w:p>
  <w:p w:rsidR="001A2087" w:rsidRPr="001A2087" w:rsidRDefault="001A2087" w:rsidP="001A2087">
    <w:pPr>
      <w:pStyle w:val="Puesto"/>
      <w:spacing w:line="240" w:lineRule="auto"/>
      <w:jc w:val="both"/>
      <w:rPr>
        <w:rFonts w:ascii="Times New Roman" w:hAnsi="Times New Roman" w:cs="Times New Roman"/>
        <w:b w:val="0"/>
        <w:sz w:val="16"/>
        <w:szCs w:val="16"/>
      </w:rPr>
    </w:pPr>
    <w:r w:rsidRPr="001A208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A2087">
      <w:rPr>
        <w:rFonts w:ascii="Times New Roman" w:hAnsi="Times New Roman" w:cs="Times New Roman"/>
        <w:b w:val="0"/>
        <w:sz w:val="16"/>
        <w:szCs w:val="16"/>
      </w:rPr>
      <w:t xml:space="preserve">Ricardo Luis Cataño Rendón </w:t>
    </w:r>
  </w:p>
  <w:p w:rsidR="001A2087" w:rsidRPr="001A2087" w:rsidRDefault="001A2087" w:rsidP="001A2087">
    <w:pPr>
      <w:pStyle w:val="Puesto"/>
      <w:spacing w:line="240" w:lineRule="auto"/>
      <w:jc w:val="both"/>
      <w:rPr>
        <w:rFonts w:ascii="Times New Roman" w:hAnsi="Times New Roman" w:cs="Times New Roman"/>
        <w:b w:val="0"/>
        <w:sz w:val="16"/>
        <w:szCs w:val="16"/>
      </w:rPr>
    </w:pPr>
    <w:r w:rsidRPr="001A208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A2087">
      <w:rPr>
        <w:rFonts w:ascii="Times New Roman" w:hAnsi="Times New Roman" w:cs="Times New Roman"/>
        <w:b w:val="0"/>
        <w:sz w:val="16"/>
        <w:szCs w:val="16"/>
      </w:rPr>
      <w:t xml:space="preserve">Colpensiones </w:t>
    </w:r>
  </w:p>
  <w:p w:rsidR="001F48BB" w:rsidRDefault="001F48BB"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471"/>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1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375F6"/>
    <w:rsid w:val="002400B7"/>
    <w:rsid w:val="002400DC"/>
    <w:rsid w:val="002404F3"/>
    <w:rsid w:val="002405F5"/>
    <w:rsid w:val="00240AEB"/>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1AD"/>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279B"/>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495"/>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57742"/>
    <w:rsid w:val="00360FBF"/>
    <w:rsid w:val="003612E6"/>
    <w:rsid w:val="0036166D"/>
    <w:rsid w:val="003619A5"/>
    <w:rsid w:val="00361C60"/>
    <w:rsid w:val="00361E4B"/>
    <w:rsid w:val="00361F70"/>
    <w:rsid w:val="003621F3"/>
    <w:rsid w:val="003627F9"/>
    <w:rsid w:val="00363588"/>
    <w:rsid w:val="003644DA"/>
    <w:rsid w:val="00364504"/>
    <w:rsid w:val="00364614"/>
    <w:rsid w:val="003650EB"/>
    <w:rsid w:val="00365EC1"/>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0822"/>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A03"/>
    <w:rsid w:val="00462D3A"/>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7EF"/>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5F4A"/>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6A"/>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74B"/>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1FAB"/>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597F"/>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A55"/>
    <w:rsid w:val="006B2C1E"/>
    <w:rsid w:val="006B2DB9"/>
    <w:rsid w:val="006B4B48"/>
    <w:rsid w:val="006B53B7"/>
    <w:rsid w:val="006B60D9"/>
    <w:rsid w:val="006B6423"/>
    <w:rsid w:val="006B7830"/>
    <w:rsid w:val="006C23AF"/>
    <w:rsid w:val="006C2C44"/>
    <w:rsid w:val="006C2DC7"/>
    <w:rsid w:val="006C319C"/>
    <w:rsid w:val="006C3280"/>
    <w:rsid w:val="006C3E04"/>
    <w:rsid w:val="006C46EF"/>
    <w:rsid w:val="006C4CDF"/>
    <w:rsid w:val="006C4E3E"/>
    <w:rsid w:val="006C5678"/>
    <w:rsid w:val="006C5927"/>
    <w:rsid w:val="006C68D3"/>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50F"/>
    <w:rsid w:val="0070168B"/>
    <w:rsid w:val="00701E01"/>
    <w:rsid w:val="00702DA3"/>
    <w:rsid w:val="007032EF"/>
    <w:rsid w:val="00705943"/>
    <w:rsid w:val="00707856"/>
    <w:rsid w:val="00707D90"/>
    <w:rsid w:val="00710427"/>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57CCC"/>
    <w:rsid w:val="00761098"/>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41A"/>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55234"/>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195"/>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E1E"/>
    <w:rsid w:val="009230B8"/>
    <w:rsid w:val="00923C8D"/>
    <w:rsid w:val="00924F0D"/>
    <w:rsid w:val="009267D7"/>
    <w:rsid w:val="00927407"/>
    <w:rsid w:val="009275C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36F89"/>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0F3"/>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15A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456"/>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70E"/>
    <w:rsid w:val="009E4905"/>
    <w:rsid w:val="009E4E6A"/>
    <w:rsid w:val="009E5C1F"/>
    <w:rsid w:val="009E72A7"/>
    <w:rsid w:val="009F243A"/>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8D"/>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67F68"/>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91B"/>
    <w:rsid w:val="00B37CD7"/>
    <w:rsid w:val="00B4219B"/>
    <w:rsid w:val="00B43BEE"/>
    <w:rsid w:val="00B4463E"/>
    <w:rsid w:val="00B44856"/>
    <w:rsid w:val="00B459E5"/>
    <w:rsid w:val="00B46330"/>
    <w:rsid w:val="00B47ADC"/>
    <w:rsid w:val="00B5381D"/>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554"/>
    <w:rsid w:val="00B929BA"/>
    <w:rsid w:val="00B931B7"/>
    <w:rsid w:val="00B9358A"/>
    <w:rsid w:val="00B937D1"/>
    <w:rsid w:val="00B943B5"/>
    <w:rsid w:val="00B9486D"/>
    <w:rsid w:val="00B9486F"/>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05F"/>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B5B"/>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5E1"/>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6C8"/>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80"/>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9AE"/>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6C6"/>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EA3"/>
    <w:rsid w:val="00DE0119"/>
    <w:rsid w:val="00DE0F1D"/>
    <w:rsid w:val="00DE1CF2"/>
    <w:rsid w:val="00DE2020"/>
    <w:rsid w:val="00DE3A97"/>
    <w:rsid w:val="00DE3FAA"/>
    <w:rsid w:val="00DE5002"/>
    <w:rsid w:val="00DE5197"/>
    <w:rsid w:val="00DE5D5E"/>
    <w:rsid w:val="00DE5E8D"/>
    <w:rsid w:val="00DE7825"/>
    <w:rsid w:val="00DF0309"/>
    <w:rsid w:val="00DF03D7"/>
    <w:rsid w:val="00DF1385"/>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C9"/>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28CB"/>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6EDE"/>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3744"/>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9F6"/>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2081D5D-328D-40B4-9F73-353A93E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624534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809027">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C5CC-1E22-424D-A926-8CD94DFC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8637</TotalTime>
  <Pages>5</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18</cp:revision>
  <cp:lastPrinted>2018-02-27T13:45:00Z</cp:lastPrinted>
  <dcterms:created xsi:type="dcterms:W3CDTF">2016-08-26T00:07:00Z</dcterms:created>
  <dcterms:modified xsi:type="dcterms:W3CDTF">2018-03-13T18:44:00Z</dcterms:modified>
  <cp:category>Sala Laboral Tribunal Superior de Periera</cp:category>
</cp:coreProperties>
</file>