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716F0">
        <w:rPr>
          <w:rFonts w:ascii="Tahoma" w:hAnsi="Tahoma" w:cs="Tahoma"/>
          <w:b w:val="0"/>
          <w:sz w:val="18"/>
          <w:szCs w:val="18"/>
        </w:rPr>
        <w:t>2</w:t>
      </w:r>
      <w:r w:rsidR="00AC338E">
        <w:rPr>
          <w:rFonts w:ascii="Tahoma" w:hAnsi="Tahoma" w:cs="Tahoma"/>
          <w:b w:val="0"/>
          <w:sz w:val="18"/>
          <w:szCs w:val="18"/>
        </w:rPr>
        <w:t>1 de mayo de 2018</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sidR="007D1062">
        <w:rPr>
          <w:rFonts w:ascii="Tahoma" w:hAnsi="Tahoma" w:cs="Tahoma"/>
          <w:b w:val="0"/>
          <w:sz w:val="18"/>
          <w:szCs w:val="18"/>
        </w:rPr>
        <w:t>1</w:t>
      </w:r>
      <w:r w:rsidRPr="00BF4F59">
        <w:rPr>
          <w:rFonts w:ascii="Tahoma" w:hAnsi="Tahoma" w:cs="Tahoma"/>
          <w:b w:val="0"/>
          <w:sz w:val="18"/>
          <w:szCs w:val="18"/>
        </w:rPr>
        <w:t>-201</w:t>
      </w:r>
      <w:r w:rsidR="00257906">
        <w:rPr>
          <w:rFonts w:ascii="Tahoma" w:hAnsi="Tahoma" w:cs="Tahoma"/>
          <w:b w:val="0"/>
          <w:sz w:val="18"/>
          <w:szCs w:val="18"/>
        </w:rPr>
        <w:t>6</w:t>
      </w:r>
      <w:r w:rsidRPr="00BF4F59">
        <w:rPr>
          <w:rFonts w:ascii="Tahoma" w:hAnsi="Tahoma" w:cs="Tahoma"/>
          <w:b w:val="0"/>
          <w:sz w:val="18"/>
          <w:szCs w:val="18"/>
        </w:rPr>
        <w:t>-00</w:t>
      </w:r>
      <w:r w:rsidR="00257906">
        <w:rPr>
          <w:rFonts w:ascii="Tahoma" w:hAnsi="Tahoma" w:cs="Tahoma"/>
          <w:b w:val="0"/>
          <w:sz w:val="18"/>
          <w:szCs w:val="18"/>
        </w:rPr>
        <w:t>228</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00257906">
        <w:rPr>
          <w:rFonts w:ascii="Tahoma" w:hAnsi="Tahoma" w:cs="Tahoma"/>
          <w:b w:val="0"/>
          <w:sz w:val="18"/>
          <w:szCs w:val="18"/>
        </w:rPr>
        <w:t xml:space="preserve">Cruz Elena Valencia Echeverri </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       Colpensiones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sidR="00CE35CB">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467B34">
        <w:rPr>
          <w:rFonts w:ascii="Tahoma" w:hAnsi="Tahoma" w:cs="Tahoma"/>
          <w:b w:val="0"/>
          <w:sz w:val="18"/>
          <w:szCs w:val="18"/>
        </w:rPr>
        <w:t>Francisco Javier Tamayo Tabares</w:t>
      </w:r>
      <w:bookmarkStart w:id="0" w:name="_GoBack"/>
      <w:bookmarkEnd w:id="0"/>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83B3E" w:rsidRPr="007F652C"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4B383E" w:rsidRPr="00B433C0" w:rsidRDefault="004B383E" w:rsidP="004B383E">
      <w:pPr>
        <w:ind w:left="2552"/>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C30595" w:rsidRDefault="00683B3E" w:rsidP="00EF291F">
      <w:pPr>
        <w:spacing w:line="276" w:lineRule="auto"/>
        <w:ind w:firstLine="709"/>
        <w:jc w:val="both"/>
        <w:rPr>
          <w:rFonts w:ascii="Tahoma" w:hAnsi="Tahoma" w:cs="Tahoma"/>
          <w:sz w:val="22"/>
          <w:szCs w:val="22"/>
        </w:rPr>
      </w:pPr>
      <w:r w:rsidRPr="007F652C">
        <w:rPr>
          <w:rFonts w:ascii="Tahoma" w:hAnsi="Tahoma" w:cs="Tahoma"/>
          <w:sz w:val="22"/>
          <w:szCs w:val="22"/>
        </w:rPr>
        <w:t>Con mi acostumbrado respeto manifiesto mi inconformidad frente a la sentencia mayoritaria, por cuanto considero</w:t>
      </w:r>
      <w:r w:rsidR="00467B34">
        <w:rPr>
          <w:rFonts w:ascii="Tahoma" w:hAnsi="Tahoma" w:cs="Tahoma"/>
          <w:sz w:val="22"/>
          <w:szCs w:val="22"/>
        </w:rPr>
        <w:t xml:space="preserve"> que había </w:t>
      </w:r>
      <w:r w:rsidR="00C30595">
        <w:rPr>
          <w:rFonts w:ascii="Tahoma" w:hAnsi="Tahoma" w:cs="Tahoma"/>
        </w:rPr>
        <w:t xml:space="preserve">lugar a reconocer la prestación </w:t>
      </w:r>
      <w:r w:rsidR="00467B34">
        <w:rPr>
          <w:rFonts w:ascii="Tahoma" w:hAnsi="Tahoma" w:cs="Tahoma"/>
        </w:rPr>
        <w:t xml:space="preserve">reclamada </w:t>
      </w:r>
      <w:r w:rsidR="00C30595">
        <w:rPr>
          <w:rFonts w:ascii="Tahoma" w:hAnsi="Tahoma" w:cs="Tahoma"/>
        </w:rPr>
        <w:t>por las siguientes razones:</w:t>
      </w:r>
    </w:p>
    <w:p w:rsidR="00C30595" w:rsidRDefault="00C30595" w:rsidP="00EF291F">
      <w:pPr>
        <w:spacing w:line="276" w:lineRule="auto"/>
        <w:ind w:firstLine="709"/>
        <w:jc w:val="both"/>
        <w:rPr>
          <w:rFonts w:ascii="Tahoma" w:hAnsi="Tahoma" w:cs="Tahoma"/>
          <w:sz w:val="22"/>
          <w:szCs w:val="22"/>
        </w:rPr>
      </w:pPr>
    </w:p>
    <w:p w:rsidR="00EF291F" w:rsidRPr="00EF291F" w:rsidRDefault="00EF291F" w:rsidP="00EF291F">
      <w:pPr>
        <w:pStyle w:val="Prrafodelista"/>
        <w:numPr>
          <w:ilvl w:val="0"/>
          <w:numId w:val="5"/>
        </w:numPr>
        <w:spacing w:line="276" w:lineRule="auto"/>
        <w:jc w:val="both"/>
        <w:rPr>
          <w:rFonts w:ascii="Tahoma" w:hAnsi="Tahoma" w:cs="Tahoma"/>
          <w:b/>
          <w:sz w:val="22"/>
          <w:szCs w:val="22"/>
        </w:rPr>
      </w:pPr>
      <w:r>
        <w:rPr>
          <w:rFonts w:ascii="Tahoma" w:hAnsi="Tahoma" w:cs="Tahoma"/>
          <w:b/>
          <w:sz w:val="22"/>
          <w:szCs w:val="22"/>
        </w:rPr>
        <w:t>N</w:t>
      </w:r>
      <w:r w:rsidRPr="00EF291F">
        <w:rPr>
          <w:rFonts w:ascii="Tahoma" w:hAnsi="Tahoma" w:cs="Tahoma"/>
          <w:b/>
          <w:sz w:val="22"/>
          <w:szCs w:val="22"/>
        </w:rPr>
        <w:t>orma que rige la pensión de vejez cuando la Ley 100 original sufre modificaciones</w:t>
      </w:r>
    </w:p>
    <w:p w:rsidR="00EF291F" w:rsidRPr="00EF291F" w:rsidRDefault="00EF291F" w:rsidP="00EF291F">
      <w:pPr>
        <w:pStyle w:val="Prrafodelista"/>
        <w:spacing w:line="276" w:lineRule="auto"/>
        <w:ind w:left="993"/>
        <w:jc w:val="both"/>
        <w:rPr>
          <w:rFonts w:ascii="Tahoma" w:hAnsi="Tahoma" w:cs="Tahoma"/>
          <w:b/>
          <w:sz w:val="22"/>
          <w:szCs w:val="22"/>
        </w:rPr>
      </w:pPr>
      <w:r w:rsidRPr="00EF291F">
        <w:rPr>
          <w:rFonts w:ascii="Tahoma" w:hAnsi="Tahoma" w:cs="Tahoma"/>
          <w:b/>
          <w:sz w:val="22"/>
          <w:szCs w:val="22"/>
        </w:rPr>
        <w:t xml:space="preserve"> </w:t>
      </w: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EF291F">
        <w:rPr>
          <w:rFonts w:ascii="Tahoma" w:hAnsi="Tahoma" w:cs="Tahoma"/>
          <w:sz w:val="22"/>
          <w:szCs w:val="22"/>
        </w:rPr>
        <w:t>cumplen</w:t>
      </w:r>
      <w:proofErr w:type="gramEnd"/>
      <w:r w:rsidRPr="00EF291F">
        <w:rPr>
          <w:rFonts w:ascii="Tahoma" w:hAnsi="Tahoma" w:cs="Tahoma"/>
          <w:sz w:val="22"/>
          <w:szCs w:val="22"/>
        </w:rPr>
        <w:t xml:space="preserve"> aquel segundo requisito. También puede ocurrir  que cumplen la edad pero les falta el mínimo de cotizaciones.</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b/>
          <w:sz w:val="22"/>
          <w:szCs w:val="22"/>
        </w:rPr>
        <w:t>Edad</w:t>
      </w:r>
      <w:r w:rsidRPr="00EF291F">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 </w:t>
      </w:r>
      <w:r w:rsidRPr="00EF291F">
        <w:rPr>
          <w:rFonts w:ascii="Tahoma" w:hAnsi="Tahoma" w:cs="Tahoma"/>
          <w:b/>
          <w:sz w:val="22"/>
          <w:szCs w:val="22"/>
        </w:rPr>
        <w:t xml:space="preserve">Número de semanas: </w:t>
      </w:r>
      <w:r w:rsidRPr="00EF291F">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Pese a lo anterior, ni la ley 100 ni sus modificaciones previeron la norma que se debe tener en cuenta en los casos en los cuales uno de los requisitos se cumple en vigencia de la Ley 100 original y el otro en vigencia de la modificación. No obstante, siendo la </w:t>
      </w:r>
      <w:r w:rsidRPr="00EF291F">
        <w:rPr>
          <w:rFonts w:ascii="Tahoma" w:hAnsi="Tahoma" w:cs="Tahoma"/>
          <w:b/>
          <w:sz w:val="22"/>
          <w:szCs w:val="22"/>
        </w:rPr>
        <w:t>Seguridad Social</w:t>
      </w:r>
      <w:r w:rsidRPr="00EF291F">
        <w:rPr>
          <w:rFonts w:ascii="Tahoma" w:hAnsi="Tahoma" w:cs="Tahoma"/>
          <w:sz w:val="22"/>
          <w:szCs w:val="22"/>
        </w:rPr>
        <w:t xml:space="preserve"> </w:t>
      </w:r>
      <w:r w:rsidRPr="00EF291F">
        <w:rPr>
          <w:rFonts w:ascii="Tahoma" w:hAnsi="Tahoma" w:cs="Tahoma"/>
          <w:b/>
          <w:sz w:val="22"/>
          <w:szCs w:val="22"/>
        </w:rPr>
        <w:t>en Pensiones</w:t>
      </w:r>
      <w:r w:rsidRPr="00EF291F">
        <w:rPr>
          <w:rFonts w:ascii="Tahoma" w:hAnsi="Tahoma" w:cs="Tahoma"/>
          <w:sz w:val="22"/>
          <w:szCs w:val="22"/>
        </w:rPr>
        <w:t xml:space="preserve">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w:t>
      </w:r>
      <w:r w:rsidRPr="00EF291F">
        <w:rPr>
          <w:rFonts w:ascii="Tahoma" w:hAnsi="Tahoma" w:cs="Tahoma"/>
          <w:sz w:val="22"/>
          <w:szCs w:val="22"/>
        </w:rPr>
        <w:lastRenderedPageBreak/>
        <w:t>que va a regir su pensión de vejez es la vigente en ese momento, por cuanto para el afiliado que ha cumplido uno de los requisitos nace una expectativa legítima tendiente a obtener su pensión de vejez.</w:t>
      </w:r>
    </w:p>
    <w:p w:rsidR="00EF291F" w:rsidRPr="00EF291F" w:rsidRDefault="00EF291F" w:rsidP="00EF291F">
      <w:pPr>
        <w:spacing w:line="276" w:lineRule="auto"/>
        <w:ind w:firstLine="708"/>
        <w:jc w:val="both"/>
        <w:rPr>
          <w:rFonts w:ascii="Tahoma" w:hAnsi="Tahoma" w:cs="Tahoma"/>
          <w:sz w:val="22"/>
          <w:szCs w:val="22"/>
        </w:rPr>
      </w:pPr>
    </w:p>
    <w:p w:rsidR="00EF291F" w:rsidRPr="00EF291F" w:rsidRDefault="00EF291F" w:rsidP="00EF291F">
      <w:pPr>
        <w:spacing w:line="276" w:lineRule="auto"/>
        <w:ind w:firstLine="708"/>
        <w:jc w:val="both"/>
        <w:rPr>
          <w:rFonts w:ascii="Tahoma" w:hAnsi="Tahoma" w:cs="Tahoma"/>
          <w:sz w:val="22"/>
          <w:szCs w:val="22"/>
        </w:rPr>
      </w:pPr>
      <w:r w:rsidRPr="00EF291F">
        <w:rPr>
          <w:rFonts w:ascii="Tahoma" w:hAnsi="Tahoma" w:cs="Tahoma"/>
          <w:sz w:val="22"/>
          <w:szCs w:val="22"/>
        </w:rPr>
        <w:t xml:space="preserve">Una interpretación diferente, como por ejemplo, la de que la norma que rige su pensión de vejez es la vigente al momento de cumplir el segundo requisito hace muy gravosa la situación de un pre-pensionable, sobre todo para aquellos que cumplieron la edad en vigencia de la Ley 100 original, pero se ven obligados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w:t>
      </w:r>
    </w:p>
    <w:p w:rsidR="00EF291F" w:rsidRPr="00EF291F" w:rsidRDefault="00EF291F" w:rsidP="00EF291F">
      <w:pPr>
        <w:spacing w:line="276" w:lineRule="auto"/>
        <w:ind w:firstLine="708"/>
        <w:jc w:val="both"/>
        <w:rPr>
          <w:rFonts w:ascii="Tahoma" w:hAnsi="Tahoma" w:cs="Tahoma"/>
          <w:sz w:val="22"/>
          <w:szCs w:val="22"/>
        </w:rPr>
      </w:pPr>
    </w:p>
    <w:p w:rsidR="00683B3E" w:rsidRPr="00EF291F" w:rsidRDefault="00683B3E" w:rsidP="00EF291F">
      <w:pPr>
        <w:spacing w:line="276" w:lineRule="auto"/>
        <w:ind w:firstLine="709"/>
        <w:jc w:val="both"/>
        <w:rPr>
          <w:rFonts w:ascii="Tahoma" w:hAnsi="Tahoma" w:cs="Tahoma"/>
          <w:b/>
          <w:sz w:val="22"/>
          <w:szCs w:val="22"/>
        </w:rPr>
      </w:pPr>
      <w:r w:rsidRPr="00EF291F">
        <w:rPr>
          <w:rFonts w:ascii="Tahoma" w:hAnsi="Tahoma" w:cs="Tahoma"/>
          <w:b/>
          <w:sz w:val="22"/>
          <w:szCs w:val="22"/>
        </w:rPr>
        <w:t>2 Caso concreto</w:t>
      </w:r>
    </w:p>
    <w:p w:rsidR="00683B3E" w:rsidRPr="00EF291F" w:rsidRDefault="00683B3E" w:rsidP="00EF291F">
      <w:pPr>
        <w:spacing w:line="276" w:lineRule="auto"/>
        <w:ind w:firstLine="709"/>
        <w:jc w:val="both"/>
        <w:rPr>
          <w:rFonts w:ascii="Tahoma" w:hAnsi="Tahoma" w:cs="Tahoma"/>
          <w:sz w:val="22"/>
          <w:szCs w:val="22"/>
        </w:rPr>
      </w:pPr>
    </w:p>
    <w:p w:rsidR="00BD1922" w:rsidRDefault="00891A14" w:rsidP="00EF291F">
      <w:pPr>
        <w:pStyle w:val="Textoindependiente"/>
        <w:spacing w:line="276" w:lineRule="auto"/>
        <w:ind w:right="51" w:firstLine="708"/>
        <w:rPr>
          <w:rFonts w:ascii="Tahoma" w:hAnsi="Tahoma" w:cs="Tahoma"/>
          <w:sz w:val="22"/>
          <w:szCs w:val="22"/>
        </w:rPr>
      </w:pPr>
      <w:r w:rsidRPr="00EF291F">
        <w:rPr>
          <w:rFonts w:ascii="Tahoma" w:hAnsi="Tahoma" w:cs="Tahoma"/>
          <w:sz w:val="22"/>
          <w:szCs w:val="22"/>
        </w:rPr>
        <w:t xml:space="preserve">Esta </w:t>
      </w:r>
      <w:r w:rsidR="007F652C" w:rsidRPr="00EF291F">
        <w:rPr>
          <w:rFonts w:ascii="Tahoma" w:hAnsi="Tahoma" w:cs="Tahoma"/>
          <w:sz w:val="22"/>
          <w:szCs w:val="22"/>
        </w:rPr>
        <w:t>Corporación</w:t>
      </w:r>
      <w:r w:rsidR="007F652C" w:rsidRPr="007F652C">
        <w:rPr>
          <w:rFonts w:ascii="Tahoma" w:hAnsi="Tahoma" w:cs="Tahoma"/>
          <w:sz w:val="22"/>
          <w:szCs w:val="22"/>
        </w:rPr>
        <w:t xml:space="preserve">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w:t>
      </w:r>
      <w:r w:rsidR="00CE35CB">
        <w:rPr>
          <w:rFonts w:ascii="Tahoma" w:hAnsi="Tahoma" w:cs="Tahoma"/>
          <w:sz w:val="22"/>
          <w:szCs w:val="22"/>
        </w:rPr>
        <w:t>la</w:t>
      </w:r>
      <w:r w:rsidR="00467B34">
        <w:rPr>
          <w:rFonts w:ascii="Tahoma" w:hAnsi="Tahoma" w:cs="Tahoma"/>
          <w:sz w:val="22"/>
          <w:szCs w:val="22"/>
        </w:rPr>
        <w:t xml:space="preserve"> actor</w:t>
      </w:r>
      <w:r w:rsidR="00CE35CB">
        <w:rPr>
          <w:rFonts w:ascii="Tahoma" w:hAnsi="Tahoma" w:cs="Tahoma"/>
          <w:sz w:val="22"/>
          <w:szCs w:val="22"/>
        </w:rPr>
        <w:t>a</w:t>
      </w:r>
      <w:r w:rsidR="007F652C" w:rsidRPr="007F652C">
        <w:rPr>
          <w:rFonts w:ascii="Tahoma" w:hAnsi="Tahoma" w:cs="Tahoma"/>
          <w:sz w:val="22"/>
          <w:szCs w:val="22"/>
        </w:rPr>
        <w:t xml:space="preserve"> alcanzó los </w:t>
      </w:r>
      <w:r w:rsidR="00CE35CB">
        <w:rPr>
          <w:rFonts w:ascii="Tahoma" w:hAnsi="Tahoma" w:cs="Tahoma"/>
          <w:sz w:val="22"/>
          <w:szCs w:val="22"/>
        </w:rPr>
        <w:t>55</w:t>
      </w:r>
      <w:r w:rsidR="007F652C" w:rsidRPr="007F652C">
        <w:rPr>
          <w:rFonts w:ascii="Tahoma" w:hAnsi="Tahoma" w:cs="Tahoma"/>
          <w:sz w:val="22"/>
          <w:szCs w:val="22"/>
        </w:rPr>
        <w:t xml:space="preserve"> años de edad, el </w:t>
      </w:r>
      <w:r w:rsidR="00467B34">
        <w:rPr>
          <w:rFonts w:ascii="Tahoma" w:hAnsi="Tahoma" w:cs="Tahoma"/>
          <w:sz w:val="22"/>
          <w:szCs w:val="22"/>
        </w:rPr>
        <w:t xml:space="preserve">22 de </w:t>
      </w:r>
      <w:r w:rsidR="00CE35CB">
        <w:rPr>
          <w:rFonts w:ascii="Tahoma" w:hAnsi="Tahoma" w:cs="Tahoma"/>
          <w:sz w:val="22"/>
          <w:szCs w:val="22"/>
        </w:rPr>
        <w:t>noviembre</w:t>
      </w:r>
      <w:r w:rsidR="00467B34">
        <w:rPr>
          <w:rFonts w:ascii="Tahoma" w:hAnsi="Tahoma" w:cs="Tahoma"/>
          <w:sz w:val="22"/>
          <w:szCs w:val="22"/>
        </w:rPr>
        <w:t xml:space="preserve"> de 2004</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w:t>
      </w:r>
      <w:r w:rsidR="00CE35CB">
        <w:rPr>
          <w:rFonts w:ascii="Tahoma" w:hAnsi="Tahoma" w:cs="Tahoma"/>
          <w:sz w:val="22"/>
          <w:szCs w:val="22"/>
        </w:rPr>
        <w:t>octubre</w:t>
      </w:r>
      <w:r w:rsidR="00467B34">
        <w:rPr>
          <w:rFonts w:ascii="Tahoma" w:hAnsi="Tahoma" w:cs="Tahoma"/>
          <w:sz w:val="22"/>
          <w:szCs w:val="22"/>
        </w:rPr>
        <w:t xml:space="preserve"> de 2014</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Textoindependiente"/>
        <w:spacing w:line="276" w:lineRule="auto"/>
        <w:ind w:right="51" w:firstLine="708"/>
        <w:rPr>
          <w:rFonts w:ascii="Tahoma" w:hAnsi="Tahoma" w:cs="Tahoma"/>
          <w:sz w:val="22"/>
          <w:szCs w:val="22"/>
        </w:rPr>
      </w:pPr>
    </w:p>
    <w:p w:rsidR="00683B3E" w:rsidRPr="00BD1922" w:rsidRDefault="00D079B8"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día siguiente a aquel en el que </w:t>
      </w:r>
      <w:r w:rsidR="00CE35CB">
        <w:rPr>
          <w:rFonts w:ascii="Tahoma" w:hAnsi="Tahoma" w:cs="Tahoma"/>
          <w:sz w:val="22"/>
          <w:szCs w:val="22"/>
        </w:rPr>
        <w:t>la</w:t>
      </w:r>
      <w:r w:rsidR="00467B34">
        <w:rPr>
          <w:rFonts w:ascii="Tahoma" w:hAnsi="Tahoma" w:cs="Tahoma"/>
          <w:sz w:val="22"/>
          <w:szCs w:val="22"/>
        </w:rPr>
        <w:t xml:space="preserve"> señor</w:t>
      </w:r>
      <w:r w:rsidR="00CE35CB">
        <w:rPr>
          <w:rFonts w:ascii="Tahoma" w:hAnsi="Tahoma" w:cs="Tahoma"/>
          <w:sz w:val="22"/>
          <w:szCs w:val="22"/>
        </w:rPr>
        <w:t>a</w:t>
      </w:r>
      <w:r w:rsidR="00467B34">
        <w:rPr>
          <w:rFonts w:ascii="Tahoma" w:hAnsi="Tahoma" w:cs="Tahoma"/>
          <w:sz w:val="22"/>
          <w:szCs w:val="22"/>
        </w:rPr>
        <w:t xml:space="preserve"> </w:t>
      </w:r>
      <w:r w:rsidR="00CE35CB">
        <w:rPr>
          <w:rFonts w:ascii="Tahoma" w:hAnsi="Tahoma" w:cs="Tahoma"/>
          <w:sz w:val="22"/>
          <w:szCs w:val="22"/>
        </w:rPr>
        <w:t xml:space="preserve">Cruz Elena Valencia Echeverry </w:t>
      </w:r>
      <w:r w:rsidR="00BD1922">
        <w:rPr>
          <w:rFonts w:ascii="Tahoma" w:hAnsi="Tahoma" w:cs="Tahoma"/>
          <w:sz w:val="22"/>
          <w:szCs w:val="22"/>
        </w:rPr>
        <w:t>efectuó su última cotización</w:t>
      </w:r>
      <w:r w:rsidR="009A46F6">
        <w:rPr>
          <w:rFonts w:ascii="Tahoma" w:hAnsi="Tahoma" w:cs="Tahoma"/>
          <w:sz w:val="22"/>
          <w:szCs w:val="22"/>
        </w:rPr>
        <w:t>.</w:t>
      </w:r>
    </w:p>
    <w:p w:rsidR="00A81B56" w:rsidRPr="00BD1922" w:rsidRDefault="00A81B56" w:rsidP="00A81B56">
      <w:pPr>
        <w:pStyle w:val="Textoindependiente"/>
        <w:spacing w:line="276" w:lineRule="auto"/>
        <w:ind w:right="51" w:firstLine="708"/>
        <w:rPr>
          <w:rFonts w:ascii="Tahoma" w:hAnsi="Tahoma" w:cs="Tahoma"/>
          <w:sz w:val="22"/>
          <w:szCs w:val="22"/>
        </w:rPr>
      </w:pPr>
    </w:p>
    <w:p w:rsidR="00A81B56" w:rsidRPr="00BD1922" w:rsidRDefault="00A81B56" w:rsidP="00A81B56">
      <w:pPr>
        <w:pStyle w:val="Textoindependien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del</w:t>
      </w:r>
      <w:r w:rsidR="00BD1922">
        <w:rPr>
          <w:rFonts w:ascii="Tahoma" w:hAnsi="Tahoma" w:cs="Tahoma"/>
          <w:sz w:val="22"/>
          <w:szCs w:val="22"/>
        </w:rPr>
        <w:t xml:space="preserve">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1</w:t>
      </w:r>
      <w:r w:rsidR="001077D4">
        <w:rPr>
          <w:rFonts w:ascii="Tahoma" w:hAnsi="Tahoma" w:cs="Tahoma"/>
          <w:bCs/>
          <w:sz w:val="22"/>
          <w:szCs w:val="22"/>
        </w:rPr>
        <w:t>1</w:t>
      </w:r>
      <w:r w:rsidRPr="00BD1922">
        <w:rPr>
          <w:rFonts w:ascii="Tahoma" w:hAnsi="Tahoma" w:cs="Tahoma"/>
          <w:bCs/>
          <w:sz w:val="22"/>
          <w:szCs w:val="22"/>
        </w:rPr>
        <w:t xml:space="preserve"> de diciembre de 201</w:t>
      </w:r>
      <w:r w:rsidR="001077D4">
        <w:rPr>
          <w:rFonts w:ascii="Tahoma" w:hAnsi="Tahoma" w:cs="Tahoma"/>
          <w:bCs/>
          <w:sz w:val="22"/>
          <w:szCs w:val="22"/>
        </w:rPr>
        <w:t>5</w:t>
      </w:r>
      <w:r w:rsidRPr="00BD1922">
        <w:rPr>
          <w:rFonts w:ascii="Tahoma" w:hAnsi="Tahoma" w:cs="Tahoma"/>
          <w:bCs/>
          <w:sz w:val="22"/>
          <w:szCs w:val="22"/>
        </w:rPr>
        <w:t xml:space="preserve">, dentro del proceso radicado con el número </w:t>
      </w:r>
      <w:r w:rsidRPr="00BD1922">
        <w:rPr>
          <w:rFonts w:ascii="Tahoma" w:hAnsi="Tahoma" w:cs="Tahoma"/>
          <w:sz w:val="22"/>
          <w:szCs w:val="22"/>
        </w:rPr>
        <w:t>201</w:t>
      </w:r>
      <w:r w:rsidR="001077D4">
        <w:rPr>
          <w:rFonts w:ascii="Tahoma" w:hAnsi="Tahoma" w:cs="Tahoma"/>
          <w:sz w:val="22"/>
          <w:szCs w:val="22"/>
        </w:rPr>
        <w:t>4</w:t>
      </w:r>
      <w:r w:rsidRPr="00BD1922">
        <w:rPr>
          <w:rFonts w:ascii="Tahoma" w:hAnsi="Tahoma" w:cs="Tahoma"/>
          <w:sz w:val="22"/>
          <w:szCs w:val="22"/>
        </w:rPr>
        <w:t>-00</w:t>
      </w:r>
      <w:r w:rsidR="001077D4">
        <w:rPr>
          <w:rFonts w:ascii="Tahoma" w:hAnsi="Tahoma" w:cs="Tahoma"/>
          <w:sz w:val="22"/>
          <w:szCs w:val="22"/>
        </w:rPr>
        <w:t>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1077D4">
        <w:rPr>
          <w:rFonts w:ascii="Tahoma" w:hAnsi="Tahoma" w:cs="Tahoma"/>
          <w:sz w:val="22"/>
          <w:szCs w:val="22"/>
        </w:rPr>
        <w:t>ponente en este p</w:t>
      </w:r>
      <w:r w:rsidR="004107FC">
        <w:rPr>
          <w:rFonts w:ascii="Tahoma" w:hAnsi="Tahoma" w:cs="Tahoma"/>
          <w:sz w:val="22"/>
          <w:szCs w:val="22"/>
        </w:rPr>
        <w:t>roceso</w:t>
      </w:r>
      <w:r w:rsidR="00BD1922" w:rsidRPr="00BD1922">
        <w:rPr>
          <w:rFonts w:ascii="Tahoma" w:hAnsi="Tahoma" w:cs="Tahoma"/>
          <w:sz w:val="22"/>
          <w:szCs w:val="22"/>
        </w:rPr>
        <w:t>.</w:t>
      </w:r>
    </w:p>
    <w:p w:rsidR="00BD1922" w:rsidRPr="00BD1922" w:rsidRDefault="00BD1922" w:rsidP="00A81B56">
      <w:pPr>
        <w:pStyle w:val="Puesto"/>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tulo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7A295A">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5A" w:rsidRDefault="007A295A">
      <w:r>
        <w:separator/>
      </w:r>
    </w:p>
  </w:endnote>
  <w:endnote w:type="continuationSeparator" w:id="0">
    <w:p w:rsidR="007A295A" w:rsidRDefault="007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A29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7108">
      <w:rPr>
        <w:rStyle w:val="Nmerodepgina"/>
        <w:noProof/>
      </w:rPr>
      <w:t>2</w:t>
    </w:r>
    <w:r>
      <w:rPr>
        <w:rStyle w:val="Nmerodepgina"/>
      </w:rPr>
      <w:fldChar w:fldCharType="end"/>
    </w:r>
  </w:p>
  <w:p w:rsidR="00F0306B" w:rsidRDefault="007A29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5A" w:rsidRDefault="007A295A">
      <w:r>
        <w:separator/>
      </w:r>
    </w:p>
  </w:footnote>
  <w:footnote w:type="continuationSeparator" w:id="0">
    <w:p w:rsidR="007A295A" w:rsidRDefault="007A2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nsid w:val="20DF4E98"/>
    <w:multiLevelType w:val="hybridMultilevel"/>
    <w:tmpl w:val="193A2CD8"/>
    <w:lvl w:ilvl="0" w:tplc="6D6070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1077D4"/>
    <w:rsid w:val="00123424"/>
    <w:rsid w:val="001773F3"/>
    <w:rsid w:val="0019088F"/>
    <w:rsid w:val="001E15BE"/>
    <w:rsid w:val="00242861"/>
    <w:rsid w:val="00257906"/>
    <w:rsid w:val="002926AC"/>
    <w:rsid w:val="002A2012"/>
    <w:rsid w:val="002D58F2"/>
    <w:rsid w:val="00311807"/>
    <w:rsid w:val="00344630"/>
    <w:rsid w:val="00356CDC"/>
    <w:rsid w:val="003F3FE2"/>
    <w:rsid w:val="003F45B1"/>
    <w:rsid w:val="00401604"/>
    <w:rsid w:val="004107FC"/>
    <w:rsid w:val="00467B34"/>
    <w:rsid w:val="004B383E"/>
    <w:rsid w:val="004F1FC5"/>
    <w:rsid w:val="0052414F"/>
    <w:rsid w:val="00622BD1"/>
    <w:rsid w:val="00683B3E"/>
    <w:rsid w:val="006A0080"/>
    <w:rsid w:val="006A14AC"/>
    <w:rsid w:val="006D12E6"/>
    <w:rsid w:val="006F3EC6"/>
    <w:rsid w:val="007716F0"/>
    <w:rsid w:val="007A295A"/>
    <w:rsid w:val="007B05A6"/>
    <w:rsid w:val="007D1062"/>
    <w:rsid w:val="007F652C"/>
    <w:rsid w:val="00840FC2"/>
    <w:rsid w:val="00891A14"/>
    <w:rsid w:val="008E4CE1"/>
    <w:rsid w:val="0090137F"/>
    <w:rsid w:val="00926E19"/>
    <w:rsid w:val="00991684"/>
    <w:rsid w:val="009A46F6"/>
    <w:rsid w:val="009A7198"/>
    <w:rsid w:val="009C00EB"/>
    <w:rsid w:val="00A030BD"/>
    <w:rsid w:val="00A420C4"/>
    <w:rsid w:val="00A81B56"/>
    <w:rsid w:val="00AC338E"/>
    <w:rsid w:val="00AF2029"/>
    <w:rsid w:val="00B07108"/>
    <w:rsid w:val="00B14322"/>
    <w:rsid w:val="00B26885"/>
    <w:rsid w:val="00B705C4"/>
    <w:rsid w:val="00B72571"/>
    <w:rsid w:val="00B93C57"/>
    <w:rsid w:val="00BD1922"/>
    <w:rsid w:val="00C21529"/>
    <w:rsid w:val="00C30595"/>
    <w:rsid w:val="00C33F54"/>
    <w:rsid w:val="00CE35CB"/>
    <w:rsid w:val="00D079B8"/>
    <w:rsid w:val="00DD5D00"/>
    <w:rsid w:val="00E066D5"/>
    <w:rsid w:val="00E56B61"/>
    <w:rsid w:val="00E93FDD"/>
    <w:rsid w:val="00EF291F"/>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77E3-8F18-4225-9A4C-E0C5739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30</cp:revision>
  <cp:lastPrinted>2018-05-28T18:27:00Z</cp:lastPrinted>
  <dcterms:created xsi:type="dcterms:W3CDTF">2016-05-17T19:19:00Z</dcterms:created>
  <dcterms:modified xsi:type="dcterms:W3CDTF">2018-06-15T13:53:00Z</dcterms:modified>
</cp:coreProperties>
</file>