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F0A" w:rsidRPr="00AA6A6D" w:rsidRDefault="00AC6F0A" w:rsidP="00AC6F0A">
      <w:pPr>
        <w:pStyle w:val="Ttulo"/>
        <w:pBdr>
          <w:top w:val="single" w:sz="4" w:space="1" w:color="auto"/>
          <w:left w:val="single" w:sz="4" w:space="4" w:color="auto"/>
          <w:bottom w:val="single" w:sz="4" w:space="1" w:color="auto"/>
          <w:right w:val="single" w:sz="4" w:space="4" w:color="auto"/>
        </w:pBdr>
        <w:spacing w:line="240" w:lineRule="auto"/>
        <w:jc w:val="both"/>
        <w:rPr>
          <w:b w:val="0"/>
          <w:sz w:val="18"/>
          <w:szCs w:val="18"/>
        </w:rPr>
      </w:pPr>
      <w:r w:rsidRPr="00AA6A6D">
        <w:rPr>
          <w:b w:val="0"/>
          <w:sz w:val="18"/>
          <w:szCs w:val="18"/>
        </w:rPr>
        <w:t xml:space="preserve">El contenido total y fiel de la decisión debe ser verificado en el audio que reposa en la secretaría de esta Corporación. </w:t>
      </w:r>
    </w:p>
    <w:p w:rsidR="00AC6F0A" w:rsidRDefault="00AC6F0A" w:rsidP="00AC6F0A">
      <w:pPr>
        <w:pStyle w:val="Ttulo"/>
        <w:spacing w:line="240" w:lineRule="auto"/>
        <w:jc w:val="both"/>
        <w:rPr>
          <w:rFonts w:ascii="Tahoma" w:hAnsi="Tahoma" w:cs="Tahoma"/>
          <w:sz w:val="14"/>
          <w:szCs w:val="14"/>
        </w:rPr>
      </w:pPr>
    </w:p>
    <w:p w:rsidR="00AC6F0A" w:rsidRDefault="00AC6F0A" w:rsidP="00AC6F0A">
      <w:pPr>
        <w:pStyle w:val="Ttulo"/>
        <w:spacing w:line="240" w:lineRule="auto"/>
        <w:jc w:val="both"/>
        <w:rPr>
          <w:rFonts w:ascii="Tahoma" w:hAnsi="Tahoma" w:cs="Tahoma"/>
          <w:sz w:val="14"/>
          <w:szCs w:val="14"/>
        </w:rPr>
      </w:pPr>
    </w:p>
    <w:p w:rsidR="00AC6F0A" w:rsidRPr="00AC6F0A" w:rsidRDefault="00AC6F0A" w:rsidP="00AC6F0A">
      <w:pPr>
        <w:pStyle w:val="Sinespaciado"/>
        <w:rPr>
          <w:rFonts w:ascii="Arial" w:hAnsi="Arial" w:cs="Arial"/>
          <w:sz w:val="18"/>
        </w:rPr>
      </w:pPr>
      <w:r w:rsidRPr="00AC6F0A">
        <w:rPr>
          <w:rFonts w:ascii="Arial" w:hAnsi="Arial" w:cs="Arial"/>
          <w:sz w:val="18"/>
        </w:rPr>
        <w:t>Providencia</w:t>
      </w:r>
      <w:r w:rsidRPr="00AC6F0A">
        <w:rPr>
          <w:rFonts w:ascii="Arial" w:hAnsi="Arial" w:cs="Arial"/>
          <w:sz w:val="18"/>
        </w:rPr>
        <w:tab/>
        <w:t xml:space="preserve">: </w:t>
      </w:r>
      <w:r w:rsidRPr="00AC6F0A">
        <w:rPr>
          <w:rFonts w:ascii="Arial" w:hAnsi="Arial" w:cs="Arial"/>
          <w:sz w:val="18"/>
        </w:rPr>
        <w:tab/>
        <w:t>Auto del 1º de junio de 2018</w:t>
      </w:r>
    </w:p>
    <w:p w:rsidR="00AC6F0A" w:rsidRPr="00AC6F0A" w:rsidRDefault="00AC6F0A" w:rsidP="00AC6F0A">
      <w:pPr>
        <w:pStyle w:val="Sinespaciado"/>
        <w:rPr>
          <w:rFonts w:ascii="Arial" w:hAnsi="Arial" w:cs="Arial"/>
          <w:sz w:val="18"/>
        </w:rPr>
      </w:pPr>
      <w:r w:rsidRPr="00AC6F0A">
        <w:rPr>
          <w:rFonts w:ascii="Arial" w:hAnsi="Arial" w:cs="Arial"/>
          <w:sz w:val="18"/>
        </w:rPr>
        <w:t xml:space="preserve">Radicación No. </w:t>
      </w:r>
      <w:r w:rsidRPr="00AC6F0A">
        <w:rPr>
          <w:rFonts w:ascii="Arial" w:hAnsi="Arial" w:cs="Arial"/>
          <w:sz w:val="18"/>
        </w:rPr>
        <w:tab/>
        <w:t>:</w:t>
      </w:r>
      <w:r w:rsidRPr="00AC6F0A">
        <w:rPr>
          <w:rFonts w:ascii="Arial" w:hAnsi="Arial" w:cs="Arial"/>
          <w:sz w:val="18"/>
        </w:rPr>
        <w:tab/>
        <w:t>66001-31-05-002-2008-00810-01</w:t>
      </w:r>
    </w:p>
    <w:p w:rsidR="00AC6F0A" w:rsidRPr="00AC6F0A" w:rsidRDefault="00AC6F0A" w:rsidP="00AC6F0A">
      <w:pPr>
        <w:pStyle w:val="Sinespaciado"/>
        <w:rPr>
          <w:rFonts w:ascii="Arial" w:hAnsi="Arial" w:cs="Arial"/>
          <w:sz w:val="18"/>
        </w:rPr>
      </w:pPr>
      <w:r w:rsidRPr="00AC6F0A">
        <w:rPr>
          <w:rFonts w:ascii="Arial" w:hAnsi="Arial" w:cs="Arial"/>
          <w:sz w:val="18"/>
        </w:rPr>
        <w:t>Proceso</w:t>
      </w:r>
      <w:r w:rsidRPr="00AC6F0A">
        <w:rPr>
          <w:rFonts w:ascii="Arial" w:hAnsi="Arial" w:cs="Arial"/>
          <w:sz w:val="18"/>
        </w:rPr>
        <w:tab/>
      </w:r>
      <w:r w:rsidRPr="00AC6F0A">
        <w:rPr>
          <w:rFonts w:ascii="Arial" w:hAnsi="Arial" w:cs="Arial"/>
          <w:sz w:val="18"/>
        </w:rPr>
        <w:tab/>
        <w:t>:</w:t>
      </w:r>
      <w:r w:rsidRPr="00AC6F0A">
        <w:rPr>
          <w:rFonts w:ascii="Arial" w:hAnsi="Arial" w:cs="Arial"/>
          <w:sz w:val="18"/>
        </w:rPr>
        <w:tab/>
        <w:t>Ejecutivo Laboral</w:t>
      </w:r>
    </w:p>
    <w:p w:rsidR="00AC6F0A" w:rsidRPr="00AC6F0A" w:rsidRDefault="00AC6F0A" w:rsidP="00AC6F0A">
      <w:pPr>
        <w:pStyle w:val="Sinespaciado"/>
        <w:rPr>
          <w:rFonts w:ascii="Arial" w:hAnsi="Arial" w:cs="Arial"/>
          <w:sz w:val="18"/>
        </w:rPr>
      </w:pPr>
      <w:r w:rsidRPr="00AC6F0A">
        <w:rPr>
          <w:rFonts w:ascii="Arial" w:hAnsi="Arial" w:cs="Arial"/>
          <w:sz w:val="18"/>
        </w:rPr>
        <w:t>Ejecutante</w:t>
      </w:r>
      <w:r w:rsidRPr="00AC6F0A">
        <w:rPr>
          <w:rFonts w:ascii="Arial" w:hAnsi="Arial" w:cs="Arial"/>
          <w:sz w:val="18"/>
        </w:rPr>
        <w:tab/>
        <w:t>:</w:t>
      </w:r>
      <w:r w:rsidRPr="00AC6F0A">
        <w:rPr>
          <w:rFonts w:ascii="Arial" w:hAnsi="Arial" w:cs="Arial"/>
          <w:sz w:val="18"/>
        </w:rPr>
        <w:tab/>
        <w:t>JAVIER ANTONIO MARTÍNEZ AGUIRRE</w:t>
      </w:r>
    </w:p>
    <w:p w:rsidR="00AC6F0A" w:rsidRPr="00AC6F0A" w:rsidRDefault="00AC6F0A" w:rsidP="00AC6F0A">
      <w:pPr>
        <w:pStyle w:val="Sinespaciado"/>
        <w:rPr>
          <w:rFonts w:ascii="Arial" w:hAnsi="Arial" w:cs="Arial"/>
          <w:sz w:val="18"/>
        </w:rPr>
      </w:pPr>
      <w:r w:rsidRPr="00AC6F0A">
        <w:rPr>
          <w:rFonts w:ascii="Arial" w:hAnsi="Arial" w:cs="Arial"/>
          <w:sz w:val="18"/>
        </w:rPr>
        <w:t>Ejecutado</w:t>
      </w:r>
      <w:r w:rsidRPr="00AC6F0A">
        <w:rPr>
          <w:rFonts w:ascii="Arial" w:hAnsi="Arial" w:cs="Arial"/>
          <w:sz w:val="18"/>
        </w:rPr>
        <w:tab/>
        <w:t>:</w:t>
      </w:r>
      <w:r w:rsidRPr="00AC6F0A">
        <w:rPr>
          <w:rFonts w:ascii="Arial" w:hAnsi="Arial" w:cs="Arial"/>
          <w:sz w:val="18"/>
        </w:rPr>
        <w:tab/>
        <w:t>Colpensiones</w:t>
      </w:r>
    </w:p>
    <w:p w:rsidR="00AC6F0A" w:rsidRPr="003F5166" w:rsidRDefault="00AC6F0A" w:rsidP="00AC6F0A">
      <w:pPr>
        <w:pStyle w:val="Sinespaciado"/>
        <w:rPr>
          <w:rFonts w:ascii="Arial" w:hAnsi="Arial" w:cs="Arial"/>
          <w:b/>
          <w:sz w:val="18"/>
        </w:rPr>
      </w:pPr>
      <w:r w:rsidRPr="00AC6F0A">
        <w:rPr>
          <w:rFonts w:ascii="Arial" w:hAnsi="Arial" w:cs="Arial"/>
          <w:sz w:val="18"/>
        </w:rPr>
        <w:t>Juzgado</w:t>
      </w:r>
      <w:r w:rsidRPr="00AC6F0A">
        <w:rPr>
          <w:rFonts w:ascii="Arial" w:hAnsi="Arial" w:cs="Arial"/>
          <w:sz w:val="18"/>
        </w:rPr>
        <w:tab/>
      </w:r>
      <w:r w:rsidRPr="00AC6F0A">
        <w:rPr>
          <w:rFonts w:ascii="Arial" w:hAnsi="Arial" w:cs="Arial"/>
          <w:sz w:val="18"/>
        </w:rPr>
        <w:tab/>
        <w:t xml:space="preserve">: </w:t>
      </w:r>
      <w:r w:rsidRPr="00AC6F0A">
        <w:rPr>
          <w:rFonts w:ascii="Arial" w:hAnsi="Arial" w:cs="Arial"/>
          <w:sz w:val="18"/>
        </w:rPr>
        <w:tab/>
        <w:t>Juzgado Segundo Laboral del Circuito de Pereira</w:t>
      </w:r>
    </w:p>
    <w:p w:rsidR="00AC6F0A" w:rsidRPr="003F5166" w:rsidRDefault="00AC6F0A" w:rsidP="00AC6F0A">
      <w:pPr>
        <w:autoSpaceDE w:val="0"/>
        <w:autoSpaceDN w:val="0"/>
        <w:adjustRightInd w:val="0"/>
        <w:ind w:left="2832" w:hanging="2124"/>
        <w:rPr>
          <w:rFonts w:ascii="Arial" w:hAnsi="Arial" w:cs="Arial"/>
          <w:b/>
          <w:sz w:val="18"/>
          <w:szCs w:val="18"/>
        </w:rPr>
      </w:pPr>
    </w:p>
    <w:p w:rsidR="007B47B4" w:rsidRPr="007B47B4" w:rsidRDefault="00AC6F0A" w:rsidP="007B47B4">
      <w:pPr>
        <w:pStyle w:val="Sinespaciado"/>
        <w:jc w:val="both"/>
        <w:rPr>
          <w:rFonts w:ascii="Arial" w:hAnsi="Arial" w:cs="Arial"/>
          <w:b/>
          <w:sz w:val="18"/>
          <w:lang w:eastAsia="fr-FR"/>
        </w:rPr>
      </w:pPr>
      <w:r w:rsidRPr="003F5166">
        <w:rPr>
          <w:rFonts w:ascii="Arial" w:hAnsi="Arial" w:cs="Arial"/>
          <w:b/>
          <w:sz w:val="18"/>
        </w:rPr>
        <w:t>Tema:</w:t>
      </w:r>
      <w:r w:rsidRPr="003F5166">
        <w:rPr>
          <w:rFonts w:ascii="Arial" w:hAnsi="Arial" w:cs="Arial"/>
          <w:b/>
          <w:sz w:val="18"/>
        </w:rPr>
        <w:tab/>
      </w:r>
      <w:r w:rsidRPr="003F5166">
        <w:rPr>
          <w:rFonts w:ascii="Arial" w:hAnsi="Arial" w:cs="Arial"/>
          <w:b/>
          <w:sz w:val="18"/>
        </w:rPr>
        <w:tab/>
      </w:r>
      <w:r w:rsidRPr="003F5166">
        <w:rPr>
          <w:rFonts w:ascii="Arial" w:hAnsi="Arial" w:cs="Arial"/>
          <w:b/>
          <w:sz w:val="18"/>
        </w:rPr>
        <w:tab/>
      </w:r>
      <w:r>
        <w:rPr>
          <w:rFonts w:ascii="Arial" w:hAnsi="Arial" w:cs="Arial"/>
          <w:b/>
          <w:sz w:val="18"/>
          <w:lang w:eastAsia="fr-FR"/>
        </w:rPr>
        <w:t xml:space="preserve">EJECUTIVO LABORAL </w:t>
      </w:r>
      <w:r w:rsidRPr="003F5166">
        <w:rPr>
          <w:rFonts w:ascii="Arial" w:hAnsi="Arial" w:cs="Arial"/>
          <w:b/>
          <w:sz w:val="18"/>
          <w:lang w:eastAsia="fr-FR"/>
        </w:rPr>
        <w:t xml:space="preserve"> / </w:t>
      </w:r>
      <w:r w:rsidR="007B47B4">
        <w:rPr>
          <w:rFonts w:ascii="Arial" w:hAnsi="Arial" w:cs="Arial"/>
          <w:b/>
          <w:sz w:val="18"/>
          <w:lang w:eastAsia="fr-FR"/>
        </w:rPr>
        <w:t xml:space="preserve">PAGO DE COSTAS PROCESALES / MEDIDAS CAUTELARES- </w:t>
      </w:r>
      <w:r w:rsidR="007B47B4">
        <w:rPr>
          <w:rFonts w:ascii="Arial" w:hAnsi="Arial" w:cs="Arial"/>
          <w:sz w:val="18"/>
          <w:lang w:eastAsia="fr-FR"/>
        </w:rPr>
        <w:t>Procedencia</w:t>
      </w:r>
      <w:r>
        <w:rPr>
          <w:rFonts w:ascii="Arial" w:hAnsi="Arial" w:cs="Arial"/>
          <w:b/>
          <w:sz w:val="18"/>
          <w:lang w:eastAsia="fr-FR"/>
        </w:rPr>
        <w:t xml:space="preserve"> /</w:t>
      </w:r>
      <w:r w:rsidR="007B47B4">
        <w:rPr>
          <w:rFonts w:ascii="Arial" w:hAnsi="Arial" w:cs="Arial"/>
          <w:b/>
          <w:sz w:val="18"/>
          <w:lang w:eastAsia="fr-FR"/>
        </w:rPr>
        <w:t xml:space="preserve"> BIENES PROPIOS DE COLPENSIONES /</w:t>
      </w:r>
      <w:r w:rsidRPr="003F5166">
        <w:rPr>
          <w:rFonts w:ascii="Arial" w:hAnsi="Arial" w:cs="Arial"/>
          <w:b/>
          <w:sz w:val="18"/>
          <w:lang w:eastAsia="fr-FR"/>
        </w:rPr>
        <w:t xml:space="preserve"> </w:t>
      </w:r>
      <w:r w:rsidR="007B47B4" w:rsidRPr="007B47B4">
        <w:rPr>
          <w:rFonts w:ascii="Arial" w:hAnsi="Arial" w:cs="Arial"/>
          <w:sz w:val="18"/>
        </w:rPr>
        <w:t>Si bien esta Corporación en la providencia que transcribe parcialmente el juzgado de instancia  efectivamente ha sentado que las costas procesales tienen una naturaleza meramente procesal y no sustancial, tal distinción se hizo en esa oportunidad para explicar que los dineros del sistema general de pensiones del régimen de pr</w:t>
      </w:r>
      <w:r w:rsidR="007B47B4">
        <w:rPr>
          <w:rFonts w:ascii="Arial" w:hAnsi="Arial" w:cs="Arial"/>
          <w:sz w:val="18"/>
        </w:rPr>
        <w:t>im</w:t>
      </w:r>
      <w:r w:rsidR="007B47B4" w:rsidRPr="007B47B4">
        <w:rPr>
          <w:rFonts w:ascii="Arial" w:hAnsi="Arial" w:cs="Arial"/>
          <w:sz w:val="18"/>
        </w:rPr>
        <w:t xml:space="preserve">a media que administra COLPENSIONES son inembargables salvo cuando se trate de garantizar obligaciones de tipo pensional. En ese sentido se advirtió que las cuentas bancarias que contenían dineros del sistema general de pensiones eran susceptibles de embargo únicamente cuando se trataba de garantizar obligaciones </w:t>
      </w:r>
      <w:proofErr w:type="gramStart"/>
      <w:r w:rsidR="007B47B4" w:rsidRPr="007B47B4">
        <w:rPr>
          <w:rFonts w:ascii="Arial" w:hAnsi="Arial" w:cs="Arial"/>
          <w:sz w:val="18"/>
        </w:rPr>
        <w:t>pensionales</w:t>
      </w:r>
      <w:proofErr w:type="gramEnd"/>
      <w:r w:rsidR="007B47B4" w:rsidRPr="007B47B4">
        <w:rPr>
          <w:rFonts w:ascii="Arial" w:hAnsi="Arial" w:cs="Arial"/>
          <w:sz w:val="18"/>
        </w:rPr>
        <w:t xml:space="preserve"> pero no cuando se trataba de costas procesales.</w:t>
      </w:r>
    </w:p>
    <w:p w:rsidR="007B47B4" w:rsidRDefault="007B47B4" w:rsidP="007B47B4">
      <w:pPr>
        <w:pStyle w:val="Sinespaciado"/>
        <w:jc w:val="both"/>
        <w:rPr>
          <w:rFonts w:ascii="Arial" w:hAnsi="Arial" w:cs="Arial"/>
          <w:sz w:val="18"/>
        </w:rPr>
      </w:pPr>
      <w:r>
        <w:rPr>
          <w:rFonts w:ascii="Arial" w:hAnsi="Arial" w:cs="Arial"/>
          <w:sz w:val="18"/>
        </w:rPr>
        <w:t>(…)</w:t>
      </w:r>
    </w:p>
    <w:p w:rsidR="007B47B4" w:rsidRPr="007B47B4" w:rsidRDefault="007B47B4" w:rsidP="007B47B4">
      <w:pPr>
        <w:pStyle w:val="Sinespaciado"/>
        <w:jc w:val="both"/>
        <w:rPr>
          <w:rFonts w:ascii="Arial" w:hAnsi="Arial" w:cs="Arial"/>
          <w:sz w:val="18"/>
        </w:rPr>
      </w:pPr>
      <w:r w:rsidRPr="007B47B4">
        <w:rPr>
          <w:rFonts w:ascii="Arial" w:hAnsi="Arial" w:cs="Arial"/>
          <w:sz w:val="18"/>
        </w:rPr>
        <w:t xml:space="preserve">Por la razón anterior, resulta un exabrupto dar por sentado que todos los dineros que COLPENSIONES tiene depositados en las diferentes entidades bancarias pertenecen al sistema general de pensiones del régimen de prima media, como lo da a entender dicho Fondo de Pensiones en el comunicado del 31 de marzo de 2016 traído a colación por la jueza de primer grado, pues, como acaba de verse, existen otros dineros propios (depositados en cuentas bancarias) que no hacen parte del sistema general de pensiones del régimen de prima media o que no tienen la calidad de inembargables. </w:t>
      </w:r>
    </w:p>
    <w:p w:rsidR="007B47B4" w:rsidRPr="007B47B4" w:rsidRDefault="007B47B4" w:rsidP="007B47B4">
      <w:pPr>
        <w:pStyle w:val="Sinespaciado"/>
        <w:jc w:val="both"/>
        <w:rPr>
          <w:rFonts w:ascii="Arial" w:hAnsi="Arial" w:cs="Arial"/>
          <w:sz w:val="18"/>
        </w:rPr>
      </w:pPr>
      <w:bookmarkStart w:id="0" w:name="_GoBack"/>
      <w:bookmarkEnd w:id="0"/>
    </w:p>
    <w:p w:rsidR="007B47B4" w:rsidRDefault="007B47B4" w:rsidP="007B47B4">
      <w:pPr>
        <w:pStyle w:val="Sinespaciado"/>
        <w:jc w:val="both"/>
        <w:rPr>
          <w:rFonts w:ascii="Arial" w:hAnsi="Arial" w:cs="Arial"/>
          <w:sz w:val="18"/>
        </w:rPr>
      </w:pPr>
      <w:r w:rsidRPr="007B47B4">
        <w:rPr>
          <w:rFonts w:ascii="Arial" w:hAnsi="Arial" w:cs="Arial"/>
          <w:sz w:val="18"/>
        </w:rPr>
        <w:t>En ese orden de ideas, como quiera que en el presente caso no existe evidencia de que la cuenta bancaria denunciada por la parte ejecutante contenga recursos inembargables, procede la medida cautelar solicitada, a efectos de que el respectivo Banco se pronuncie en su oportunidad.</w:t>
      </w:r>
      <w:r w:rsidRPr="007B47B4">
        <w:rPr>
          <w:rFonts w:ascii="Arial" w:hAnsi="Arial" w:cs="Arial"/>
          <w:sz w:val="18"/>
        </w:rPr>
        <w:t xml:space="preserve"> </w:t>
      </w:r>
    </w:p>
    <w:p w:rsidR="00AC6F0A" w:rsidRDefault="00AC6F0A" w:rsidP="007B47B4">
      <w:pPr>
        <w:pStyle w:val="Sinespaciado"/>
        <w:jc w:val="both"/>
        <w:rPr>
          <w:rFonts w:ascii="Arial" w:hAnsi="Arial" w:cs="Arial"/>
          <w:sz w:val="18"/>
        </w:rPr>
      </w:pPr>
    </w:p>
    <w:p w:rsidR="00AC6F0A" w:rsidRDefault="00AC6F0A" w:rsidP="005353FD">
      <w:pPr>
        <w:pStyle w:val="NormalWeb"/>
        <w:spacing w:before="0" w:beforeAutospacing="0" w:after="0" w:afterAutospacing="0"/>
        <w:jc w:val="both"/>
        <w:rPr>
          <w:rFonts w:ascii="Tahoma" w:hAnsi="Tahoma" w:cs="Tahoma"/>
          <w:sz w:val="18"/>
          <w:szCs w:val="18"/>
        </w:rPr>
      </w:pPr>
    </w:p>
    <w:p w:rsidR="00AC6F0A" w:rsidRDefault="00AC6F0A" w:rsidP="005353FD">
      <w:pPr>
        <w:pStyle w:val="NormalWeb"/>
        <w:spacing w:before="0" w:beforeAutospacing="0" w:after="0" w:afterAutospacing="0"/>
        <w:jc w:val="both"/>
        <w:rPr>
          <w:rFonts w:ascii="Tahoma" w:hAnsi="Tahoma" w:cs="Tahoma"/>
          <w:sz w:val="18"/>
          <w:szCs w:val="18"/>
        </w:rPr>
      </w:pPr>
    </w:p>
    <w:p w:rsidR="00AC6F0A" w:rsidRDefault="00AC6F0A" w:rsidP="005353FD">
      <w:pPr>
        <w:pStyle w:val="NormalWeb"/>
        <w:spacing w:before="0" w:beforeAutospacing="0" w:after="0" w:afterAutospacing="0"/>
        <w:jc w:val="both"/>
        <w:rPr>
          <w:rFonts w:ascii="Tahoma" w:hAnsi="Tahoma" w:cs="Tahoma"/>
          <w:sz w:val="18"/>
          <w:szCs w:val="18"/>
        </w:rPr>
      </w:pPr>
    </w:p>
    <w:p w:rsidR="00B32800" w:rsidRPr="00CF2231" w:rsidRDefault="00B32800" w:rsidP="00B32800">
      <w:pPr>
        <w:pStyle w:val="NormalWeb"/>
        <w:spacing w:before="0" w:beforeAutospacing="0" w:after="0" w:afterAutospacing="0"/>
        <w:jc w:val="both"/>
        <w:rPr>
          <w:rFonts w:ascii="Tahoma" w:hAnsi="Tahoma" w:cs="Tahoma"/>
          <w:sz w:val="18"/>
          <w:szCs w:val="18"/>
        </w:rPr>
      </w:pPr>
    </w:p>
    <w:p w:rsidR="00220868" w:rsidRPr="00220868" w:rsidRDefault="00220868" w:rsidP="00220868">
      <w:pPr>
        <w:widowControl w:val="0"/>
        <w:autoSpaceDE w:val="0"/>
        <w:autoSpaceDN w:val="0"/>
        <w:adjustRightInd w:val="0"/>
        <w:ind w:left="1416" w:hanging="1410"/>
        <w:jc w:val="both"/>
        <w:rPr>
          <w:rFonts w:ascii="Tahoma" w:hAnsi="Tahoma" w:cs="Tahoma"/>
          <w:sz w:val="18"/>
          <w:szCs w:val="18"/>
        </w:rPr>
      </w:pPr>
    </w:p>
    <w:p w:rsidR="005353FD" w:rsidRPr="0006335A" w:rsidRDefault="005353FD" w:rsidP="000F6447">
      <w:pPr>
        <w:spacing w:after="0" w:line="240" w:lineRule="auto"/>
        <w:ind w:left="2126" w:right="51" w:hanging="2126"/>
        <w:jc w:val="center"/>
        <w:rPr>
          <w:rFonts w:ascii="Tahoma" w:hAnsi="Tahoma" w:cs="Tahoma"/>
          <w:b/>
          <w:bCs/>
          <w:i/>
          <w:sz w:val="24"/>
          <w:szCs w:val="24"/>
          <w:lang w:eastAsia="es-MX"/>
        </w:rPr>
      </w:pPr>
      <w:r w:rsidRPr="0006335A">
        <w:rPr>
          <w:rFonts w:ascii="Tahoma" w:hAnsi="Tahoma" w:cs="Tahoma"/>
          <w:b/>
          <w:bCs/>
          <w:sz w:val="24"/>
          <w:szCs w:val="24"/>
          <w:lang w:eastAsia="es-MX"/>
        </w:rPr>
        <w:t>TRIBUNAL SUPERIOR DEL DISTRITO JUDICIAL DE PEREIRA</w:t>
      </w:r>
    </w:p>
    <w:p w:rsidR="005353FD" w:rsidRDefault="005353FD" w:rsidP="005353FD">
      <w:pPr>
        <w:pStyle w:val="Ttulo4"/>
        <w:widowControl w:val="0"/>
        <w:tabs>
          <w:tab w:val="left" w:pos="708"/>
        </w:tabs>
        <w:spacing w:before="0" w:line="360" w:lineRule="auto"/>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 xml:space="preserve">SALA </w:t>
      </w:r>
      <w:r w:rsidR="00123A1A">
        <w:rPr>
          <w:rFonts w:ascii="Tahoma" w:hAnsi="Tahoma" w:cs="Tahoma"/>
          <w:b/>
          <w:bCs/>
          <w:i w:val="0"/>
          <w:color w:val="auto"/>
          <w:sz w:val="24"/>
          <w:szCs w:val="24"/>
          <w:lang w:eastAsia="es-MX"/>
        </w:rPr>
        <w:t xml:space="preserve">DE DECISIÓN </w:t>
      </w:r>
      <w:r w:rsidRPr="0006335A">
        <w:rPr>
          <w:rFonts w:ascii="Tahoma" w:hAnsi="Tahoma" w:cs="Tahoma"/>
          <w:b/>
          <w:bCs/>
          <w:i w:val="0"/>
          <w:color w:val="auto"/>
          <w:sz w:val="24"/>
          <w:szCs w:val="24"/>
          <w:lang w:eastAsia="es-MX"/>
        </w:rPr>
        <w:t>LABORAL</w:t>
      </w:r>
      <w:r w:rsidR="00123A1A">
        <w:rPr>
          <w:rFonts w:ascii="Tahoma" w:hAnsi="Tahoma" w:cs="Tahoma"/>
          <w:b/>
          <w:bCs/>
          <w:i w:val="0"/>
          <w:color w:val="auto"/>
          <w:sz w:val="24"/>
          <w:szCs w:val="24"/>
          <w:lang w:eastAsia="es-MX"/>
        </w:rPr>
        <w:t xml:space="preserve"> No. 1</w:t>
      </w:r>
    </w:p>
    <w:p w:rsidR="005353FD" w:rsidRPr="0006335A" w:rsidRDefault="005353FD" w:rsidP="00C6522A">
      <w:pPr>
        <w:spacing w:after="0" w:line="240" w:lineRule="auto"/>
        <w:rPr>
          <w:lang w:eastAsia="es-MX"/>
        </w:rPr>
      </w:pPr>
    </w:p>
    <w:p w:rsidR="005353FD" w:rsidRPr="0006335A" w:rsidRDefault="005353FD" w:rsidP="00C6522A">
      <w:pPr>
        <w:spacing w:after="0" w:line="360"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0368E2" w:rsidRPr="000368E2" w:rsidRDefault="000368E2" w:rsidP="000368E2">
      <w:pPr>
        <w:pStyle w:val="Prrafodelista"/>
        <w:ind w:left="1080"/>
        <w:jc w:val="center"/>
        <w:rPr>
          <w:rFonts w:ascii="Tahoma" w:hAnsi="Tahoma" w:cs="Tahoma"/>
          <w:lang w:val="es-ES_tradnl"/>
        </w:rPr>
      </w:pPr>
      <w:r w:rsidRPr="000368E2">
        <w:rPr>
          <w:rFonts w:ascii="Tahoma" w:hAnsi="Tahoma" w:cs="Tahoma"/>
          <w:spacing w:val="2"/>
          <w:lang w:val="es-ES_tradnl"/>
        </w:rPr>
        <w:t>P</w:t>
      </w:r>
      <w:r w:rsidRPr="000368E2">
        <w:rPr>
          <w:rFonts w:ascii="Tahoma" w:hAnsi="Tahoma" w:cs="Tahoma"/>
          <w:lang w:val="es-ES_tradnl"/>
        </w:rPr>
        <w:t xml:space="preserve">ereira (Risaralda), </w:t>
      </w:r>
      <w:r w:rsidR="00123A1A">
        <w:rPr>
          <w:rFonts w:ascii="Tahoma" w:hAnsi="Tahoma" w:cs="Tahoma"/>
          <w:lang w:val="es-ES_tradnl"/>
        </w:rPr>
        <w:t>1º de junio de 2018</w:t>
      </w:r>
      <w:r w:rsidRPr="000368E2">
        <w:rPr>
          <w:rFonts w:ascii="Tahoma" w:hAnsi="Tahoma" w:cs="Tahoma"/>
          <w:lang w:val="es-ES_tradnl"/>
        </w:rPr>
        <w:t>.</w:t>
      </w:r>
    </w:p>
    <w:p w:rsidR="000368E2" w:rsidRPr="000368E2" w:rsidRDefault="000368E2" w:rsidP="0061580A">
      <w:pPr>
        <w:pStyle w:val="Prrafodelista"/>
        <w:ind w:left="1080"/>
        <w:jc w:val="both"/>
        <w:rPr>
          <w:rFonts w:ascii="Tahoma" w:hAnsi="Tahoma" w:cs="Tahoma"/>
          <w:lang w:val="es-ES_tradnl"/>
        </w:rPr>
      </w:pPr>
    </w:p>
    <w:p w:rsidR="000368E2" w:rsidRPr="000368E2" w:rsidRDefault="000368E2" w:rsidP="0061580A">
      <w:pPr>
        <w:pStyle w:val="Prrafodelista"/>
        <w:ind w:left="1080"/>
        <w:jc w:val="center"/>
        <w:rPr>
          <w:rFonts w:ascii="Tahoma" w:hAnsi="Tahoma" w:cs="Tahoma"/>
          <w:b/>
          <w:lang w:val="es-ES_tradnl"/>
        </w:rPr>
      </w:pPr>
      <w:r w:rsidRPr="000368E2">
        <w:rPr>
          <w:rFonts w:ascii="Tahoma" w:hAnsi="Tahoma" w:cs="Tahoma"/>
          <w:b/>
          <w:u w:val="single"/>
          <w:lang w:val="es-ES_tradnl"/>
        </w:rPr>
        <w:t>PUNTO A TRATAR</w:t>
      </w:r>
      <w:r w:rsidRPr="000368E2">
        <w:rPr>
          <w:rFonts w:ascii="Tahoma" w:hAnsi="Tahoma" w:cs="Tahoma"/>
          <w:b/>
          <w:lang w:val="es-ES_tradnl"/>
        </w:rPr>
        <w:t>:</w:t>
      </w:r>
    </w:p>
    <w:p w:rsidR="000368E2" w:rsidRPr="000368E2" w:rsidRDefault="000368E2" w:rsidP="0061580A">
      <w:pPr>
        <w:pStyle w:val="Prrafodelista"/>
        <w:ind w:left="1080"/>
        <w:rPr>
          <w:rFonts w:ascii="Tahoma" w:hAnsi="Tahoma" w:cs="Tahoma"/>
          <w:b/>
          <w:lang w:val="es-ES_tradnl"/>
        </w:rPr>
      </w:pPr>
    </w:p>
    <w:p w:rsidR="000368E2" w:rsidRPr="000368E2" w:rsidRDefault="000368E2" w:rsidP="0061580A">
      <w:pPr>
        <w:pStyle w:val="Prrafodelista"/>
        <w:ind w:left="1080" w:firstLine="336"/>
        <w:jc w:val="both"/>
        <w:rPr>
          <w:rFonts w:ascii="Tahoma" w:hAnsi="Tahoma" w:cs="Tahoma"/>
          <w:lang w:val="es-ES_tradnl"/>
        </w:rPr>
      </w:pPr>
      <w:r w:rsidRPr="000368E2">
        <w:rPr>
          <w:rFonts w:ascii="Tahoma" w:hAnsi="Tahoma" w:cs="Tahoma"/>
          <w:lang w:val="es-ES_tradnl"/>
        </w:rPr>
        <w:t>Por medio de la presente providencia se entra a desatar el recurso de apelación parcial interpuesto por la parte ejecutante contra la negación de las medidas cautelares solicitadas</w:t>
      </w:r>
      <w:r w:rsidR="0061580A">
        <w:rPr>
          <w:rFonts w:ascii="Tahoma" w:hAnsi="Tahoma" w:cs="Tahoma"/>
          <w:lang w:val="es-ES_tradnl"/>
        </w:rPr>
        <w:t xml:space="preserve"> para garantizar </w:t>
      </w:r>
      <w:r w:rsidR="00123A1A">
        <w:rPr>
          <w:rFonts w:ascii="Tahoma" w:hAnsi="Tahoma" w:cs="Tahoma"/>
          <w:lang w:val="es-ES_tradnl"/>
        </w:rPr>
        <w:t xml:space="preserve">el pago de </w:t>
      </w:r>
      <w:r w:rsidR="0061580A">
        <w:rPr>
          <w:rFonts w:ascii="Tahoma" w:hAnsi="Tahoma" w:cs="Tahoma"/>
          <w:lang w:val="es-ES_tradnl"/>
        </w:rPr>
        <w:t>las costas procesales</w:t>
      </w:r>
      <w:r w:rsidRPr="000368E2">
        <w:rPr>
          <w:rFonts w:ascii="Tahoma" w:hAnsi="Tahoma" w:cs="Tahoma"/>
          <w:lang w:val="es-ES_tradnl"/>
        </w:rPr>
        <w:t>.</w:t>
      </w:r>
    </w:p>
    <w:p w:rsidR="000368E2" w:rsidRPr="000368E2" w:rsidRDefault="000368E2" w:rsidP="0061580A">
      <w:pPr>
        <w:pStyle w:val="Prrafodelista"/>
        <w:ind w:left="1080"/>
        <w:jc w:val="both"/>
        <w:rPr>
          <w:rFonts w:ascii="Tahoma" w:hAnsi="Tahoma" w:cs="Tahoma"/>
          <w:lang w:val="es-ES_tradnl"/>
        </w:rPr>
      </w:pPr>
    </w:p>
    <w:p w:rsidR="000368E2" w:rsidRPr="000368E2" w:rsidRDefault="000368E2" w:rsidP="0061580A">
      <w:pPr>
        <w:pStyle w:val="Prrafodelista"/>
        <w:ind w:left="1080" w:firstLine="336"/>
        <w:jc w:val="both"/>
        <w:rPr>
          <w:rFonts w:ascii="Tahoma" w:hAnsi="Tahoma" w:cs="Tahoma"/>
        </w:rPr>
      </w:pPr>
      <w:r w:rsidRPr="000368E2">
        <w:rPr>
          <w:rFonts w:ascii="Tahoma" w:hAnsi="Tahoma" w:cs="Tahoma"/>
          <w:lang w:val="es-ES_tradnl"/>
        </w:rPr>
        <w:t xml:space="preserve">En sesión previa que se hizo constar en la mencionada acta, la Sala </w:t>
      </w:r>
      <w:r w:rsidR="00123A1A">
        <w:rPr>
          <w:rFonts w:ascii="Tahoma" w:hAnsi="Tahoma" w:cs="Tahoma"/>
          <w:lang w:val="es-ES_tradnl"/>
        </w:rPr>
        <w:t xml:space="preserve">de Decisión No. 1 </w:t>
      </w:r>
      <w:r w:rsidRPr="000368E2">
        <w:rPr>
          <w:rFonts w:ascii="Tahoma" w:hAnsi="Tahoma" w:cs="Tahoma"/>
          <w:lang w:val="es-ES_tradnl"/>
        </w:rPr>
        <w:t xml:space="preserve">discutió y aprobó el proyecto que presentó la Magistrada Ponente, el cual alude al siguiente </w:t>
      </w:r>
      <w:r w:rsidRPr="000368E2">
        <w:rPr>
          <w:rFonts w:ascii="Tahoma" w:hAnsi="Tahoma" w:cs="Tahoma"/>
          <w:b/>
          <w:lang w:val="es-ES_tradnl"/>
        </w:rPr>
        <w:t>auto interlocutorio</w:t>
      </w:r>
      <w:r w:rsidRPr="000368E2">
        <w:rPr>
          <w:rFonts w:ascii="Tahoma" w:hAnsi="Tahoma" w:cs="Tahoma"/>
        </w:rPr>
        <w:t>:</w:t>
      </w:r>
    </w:p>
    <w:p w:rsidR="0061580A" w:rsidRPr="000368E2" w:rsidRDefault="0061580A" w:rsidP="0061580A">
      <w:pPr>
        <w:pStyle w:val="Prrafodelista"/>
        <w:ind w:left="1080"/>
        <w:jc w:val="both"/>
        <w:rPr>
          <w:rFonts w:ascii="Tahoma" w:hAnsi="Tahoma" w:cs="Tahoma"/>
        </w:rPr>
      </w:pPr>
    </w:p>
    <w:p w:rsidR="000368E2" w:rsidRPr="000368E2" w:rsidRDefault="000368E2" w:rsidP="0061580A">
      <w:pPr>
        <w:pStyle w:val="Prrafodelista"/>
        <w:numPr>
          <w:ilvl w:val="0"/>
          <w:numId w:val="2"/>
        </w:numPr>
        <w:jc w:val="center"/>
        <w:rPr>
          <w:rFonts w:ascii="Tahoma" w:hAnsi="Tahoma" w:cs="Tahoma"/>
          <w:b/>
        </w:rPr>
      </w:pPr>
      <w:r w:rsidRPr="000368E2">
        <w:rPr>
          <w:rFonts w:ascii="Tahoma" w:hAnsi="Tahoma" w:cs="Tahoma"/>
          <w:b/>
          <w:u w:val="single"/>
        </w:rPr>
        <w:t>ANTECEDENTES PROCESALES</w:t>
      </w:r>
      <w:r w:rsidRPr="000368E2">
        <w:rPr>
          <w:rFonts w:ascii="Tahoma" w:hAnsi="Tahoma" w:cs="Tahoma"/>
          <w:b/>
        </w:rPr>
        <w:t>:</w:t>
      </w:r>
    </w:p>
    <w:p w:rsidR="000368E2" w:rsidRPr="000368E2" w:rsidRDefault="000368E2" w:rsidP="0061580A">
      <w:pPr>
        <w:pStyle w:val="Prrafodelista"/>
        <w:ind w:left="1080"/>
        <w:rPr>
          <w:rFonts w:ascii="Tahoma" w:hAnsi="Tahoma" w:cs="Tahoma"/>
          <w:b/>
        </w:rPr>
      </w:pPr>
    </w:p>
    <w:p w:rsidR="000368E2" w:rsidRPr="000368E2" w:rsidRDefault="000368E2" w:rsidP="0061580A">
      <w:pPr>
        <w:pStyle w:val="Prrafodelista"/>
        <w:ind w:left="1080" w:firstLine="336"/>
        <w:jc w:val="both"/>
        <w:rPr>
          <w:rFonts w:ascii="Tahoma" w:hAnsi="Tahoma" w:cs="Tahoma"/>
        </w:rPr>
      </w:pPr>
      <w:r w:rsidRPr="000368E2">
        <w:rPr>
          <w:rFonts w:ascii="Tahoma" w:hAnsi="Tahoma" w:cs="Tahoma"/>
        </w:rPr>
        <w:t xml:space="preserve">Para mejor proveer conviene aclarar que el presente proceso ejecutivo se inició para que se diera cumplimiento a la sentencia de segunda instancia proferida el </w:t>
      </w:r>
      <w:r w:rsidR="0059134F">
        <w:rPr>
          <w:rFonts w:ascii="Tahoma" w:hAnsi="Tahoma" w:cs="Tahoma"/>
        </w:rPr>
        <w:t>10 de febrero de 2011</w:t>
      </w:r>
      <w:r w:rsidRPr="000368E2">
        <w:rPr>
          <w:rFonts w:ascii="Tahoma" w:hAnsi="Tahoma" w:cs="Tahoma"/>
        </w:rPr>
        <w:t xml:space="preserve"> (folio </w:t>
      </w:r>
      <w:r w:rsidR="0059134F">
        <w:rPr>
          <w:rFonts w:ascii="Tahoma" w:hAnsi="Tahoma" w:cs="Tahoma"/>
        </w:rPr>
        <w:t>7 a 10</w:t>
      </w:r>
      <w:r w:rsidR="0061580A">
        <w:rPr>
          <w:rFonts w:ascii="Tahoma" w:hAnsi="Tahoma" w:cs="Tahoma"/>
        </w:rPr>
        <w:t xml:space="preserve">, cuaderno de </w:t>
      </w:r>
      <w:r w:rsidR="0059134F">
        <w:rPr>
          <w:rFonts w:ascii="Tahoma" w:hAnsi="Tahoma" w:cs="Tahoma"/>
        </w:rPr>
        <w:t>segunda instancia</w:t>
      </w:r>
      <w:r w:rsidR="0061580A">
        <w:rPr>
          <w:rFonts w:ascii="Tahoma" w:hAnsi="Tahoma" w:cs="Tahoma"/>
        </w:rPr>
        <w:t>)</w:t>
      </w:r>
      <w:r w:rsidRPr="000368E2">
        <w:rPr>
          <w:rFonts w:ascii="Tahoma" w:hAnsi="Tahoma" w:cs="Tahoma"/>
        </w:rPr>
        <w:t xml:space="preserve">, mediante la cual se condenó al Instituto de Seguros Sociales a pagar </w:t>
      </w:r>
      <w:r w:rsidR="0059134F">
        <w:rPr>
          <w:rFonts w:ascii="Tahoma" w:hAnsi="Tahoma" w:cs="Tahoma"/>
        </w:rPr>
        <w:t xml:space="preserve">el incremento pensional por tener a cargo a una hija discapacitada, el respectivo retroactivo </w:t>
      </w:r>
      <w:r w:rsidR="00220868">
        <w:rPr>
          <w:rFonts w:ascii="Tahoma" w:hAnsi="Tahoma" w:cs="Tahoma"/>
        </w:rPr>
        <w:t>debidamente</w:t>
      </w:r>
      <w:r w:rsidR="0059134F">
        <w:rPr>
          <w:rFonts w:ascii="Tahoma" w:hAnsi="Tahoma" w:cs="Tahoma"/>
        </w:rPr>
        <w:t xml:space="preserve"> indexado, más</w:t>
      </w:r>
      <w:r w:rsidRPr="000368E2">
        <w:rPr>
          <w:rFonts w:ascii="Tahoma" w:hAnsi="Tahoma" w:cs="Tahoma"/>
        </w:rPr>
        <w:t xml:space="preserve"> las costas procesales a favor de </w:t>
      </w:r>
      <w:r w:rsidR="0059134F">
        <w:rPr>
          <w:rFonts w:ascii="Tahoma" w:hAnsi="Tahoma" w:cs="Tahoma"/>
        </w:rPr>
        <w:t>la parte demandante</w:t>
      </w:r>
      <w:r w:rsidRPr="000368E2">
        <w:rPr>
          <w:rFonts w:ascii="Tahoma" w:hAnsi="Tahoma" w:cs="Tahoma"/>
        </w:rPr>
        <w:t xml:space="preserve">. Según da cuenta la solicitud de ejecución visible a folio </w:t>
      </w:r>
      <w:r w:rsidR="0059134F">
        <w:rPr>
          <w:rFonts w:ascii="Tahoma" w:hAnsi="Tahoma" w:cs="Tahoma"/>
        </w:rPr>
        <w:t>11 a 14</w:t>
      </w:r>
      <w:r w:rsidR="0061580A">
        <w:rPr>
          <w:rFonts w:ascii="Tahoma" w:hAnsi="Tahoma" w:cs="Tahoma"/>
        </w:rPr>
        <w:t xml:space="preserve">, </w:t>
      </w:r>
      <w:r w:rsidRPr="000368E2">
        <w:rPr>
          <w:rFonts w:ascii="Tahoma" w:hAnsi="Tahoma" w:cs="Tahoma"/>
        </w:rPr>
        <w:t>la ejecución se solicitó exclusivamente para lograr el pago coactivo de</w:t>
      </w:r>
      <w:r w:rsidR="0059134F">
        <w:rPr>
          <w:rFonts w:ascii="Tahoma" w:hAnsi="Tahoma" w:cs="Tahoma"/>
        </w:rPr>
        <w:t xml:space="preserve"> </w:t>
      </w:r>
      <w:r w:rsidRPr="000368E2">
        <w:rPr>
          <w:rFonts w:ascii="Tahoma" w:hAnsi="Tahoma" w:cs="Tahoma"/>
        </w:rPr>
        <w:t xml:space="preserve">las costas procesales del proceso ordinario, para cuyo efecto a fin de </w:t>
      </w:r>
      <w:r w:rsidRPr="000368E2">
        <w:rPr>
          <w:rFonts w:ascii="Tahoma" w:hAnsi="Tahoma" w:cs="Tahoma"/>
        </w:rPr>
        <w:lastRenderedPageBreak/>
        <w:t xml:space="preserve">garantizar el pago, se pidió adicionalmente el embargo de </w:t>
      </w:r>
      <w:r w:rsidR="0059134F">
        <w:rPr>
          <w:rFonts w:ascii="Tahoma" w:hAnsi="Tahoma" w:cs="Tahoma"/>
        </w:rPr>
        <w:t xml:space="preserve">una </w:t>
      </w:r>
      <w:r w:rsidRPr="000368E2">
        <w:rPr>
          <w:rFonts w:ascii="Tahoma" w:hAnsi="Tahoma" w:cs="Tahoma"/>
        </w:rPr>
        <w:t xml:space="preserve">cuenta bancaria de COLPENSIONES contra quien se dirigió la demanda ejecutiva. </w:t>
      </w:r>
    </w:p>
    <w:p w:rsidR="000368E2" w:rsidRPr="000368E2" w:rsidRDefault="000368E2" w:rsidP="0061580A">
      <w:pPr>
        <w:pStyle w:val="Prrafodelista"/>
        <w:ind w:left="1080"/>
        <w:jc w:val="both"/>
        <w:rPr>
          <w:rFonts w:ascii="Tahoma" w:hAnsi="Tahoma" w:cs="Tahoma"/>
        </w:rPr>
      </w:pPr>
    </w:p>
    <w:p w:rsidR="000368E2" w:rsidRPr="000368E2" w:rsidRDefault="0059134F" w:rsidP="008275AE">
      <w:pPr>
        <w:pStyle w:val="Prrafodelista"/>
        <w:ind w:left="1080" w:firstLine="336"/>
        <w:jc w:val="both"/>
        <w:rPr>
          <w:rFonts w:ascii="Tahoma" w:hAnsi="Tahoma" w:cs="Tahoma"/>
        </w:rPr>
      </w:pPr>
      <w:r>
        <w:rPr>
          <w:rFonts w:ascii="Tahoma" w:hAnsi="Tahoma" w:cs="Tahoma"/>
        </w:rPr>
        <w:t>La</w:t>
      </w:r>
      <w:r w:rsidR="000368E2" w:rsidRPr="000368E2">
        <w:rPr>
          <w:rFonts w:ascii="Tahoma" w:hAnsi="Tahoma" w:cs="Tahoma"/>
        </w:rPr>
        <w:t xml:space="preserve"> juez</w:t>
      </w:r>
      <w:r>
        <w:rPr>
          <w:rFonts w:ascii="Tahoma" w:hAnsi="Tahoma" w:cs="Tahoma"/>
        </w:rPr>
        <w:t>a</w:t>
      </w:r>
      <w:r w:rsidR="000368E2" w:rsidRPr="000368E2">
        <w:rPr>
          <w:rFonts w:ascii="Tahoma" w:hAnsi="Tahoma" w:cs="Tahoma"/>
        </w:rPr>
        <w:t xml:space="preserve"> de conocimiento mediante auto del </w:t>
      </w:r>
      <w:r>
        <w:rPr>
          <w:rFonts w:ascii="Tahoma" w:hAnsi="Tahoma" w:cs="Tahoma"/>
        </w:rPr>
        <w:t>17</w:t>
      </w:r>
      <w:r w:rsidR="008275AE">
        <w:rPr>
          <w:rFonts w:ascii="Tahoma" w:hAnsi="Tahoma" w:cs="Tahoma"/>
        </w:rPr>
        <w:t xml:space="preserve"> de agosto de 201</w:t>
      </w:r>
      <w:r>
        <w:rPr>
          <w:rFonts w:ascii="Tahoma" w:hAnsi="Tahoma" w:cs="Tahoma"/>
        </w:rPr>
        <w:t>7</w:t>
      </w:r>
      <w:r w:rsidR="008275AE">
        <w:rPr>
          <w:rFonts w:ascii="Tahoma" w:hAnsi="Tahoma" w:cs="Tahoma"/>
        </w:rPr>
        <w:t xml:space="preserve"> </w:t>
      </w:r>
      <w:r w:rsidR="000368E2" w:rsidRPr="000368E2">
        <w:rPr>
          <w:rFonts w:ascii="Tahoma" w:hAnsi="Tahoma" w:cs="Tahoma"/>
        </w:rPr>
        <w:t xml:space="preserve">(folio </w:t>
      </w:r>
      <w:r>
        <w:rPr>
          <w:rFonts w:ascii="Tahoma" w:hAnsi="Tahoma" w:cs="Tahoma"/>
        </w:rPr>
        <w:t>1 y 2, cuaderno de copias</w:t>
      </w:r>
      <w:r w:rsidR="000368E2" w:rsidRPr="000368E2">
        <w:rPr>
          <w:rFonts w:ascii="Tahoma" w:hAnsi="Tahoma" w:cs="Tahoma"/>
        </w:rPr>
        <w:t>) adoptó las siguientes decisiones: 1. Libró el respectivo mandamiento de pago por las siguientes sumas: a) $</w:t>
      </w:r>
      <w:r>
        <w:rPr>
          <w:rFonts w:ascii="Tahoma" w:hAnsi="Tahoma" w:cs="Tahoma"/>
        </w:rPr>
        <w:t>1.133.400</w:t>
      </w:r>
      <w:r w:rsidR="000368E2" w:rsidRPr="000368E2">
        <w:rPr>
          <w:rFonts w:ascii="Tahoma" w:hAnsi="Tahoma" w:cs="Tahoma"/>
        </w:rPr>
        <w:t xml:space="preserve"> por concepto </w:t>
      </w:r>
      <w:r w:rsidRPr="000368E2">
        <w:rPr>
          <w:rFonts w:ascii="Tahoma" w:hAnsi="Tahoma" w:cs="Tahoma"/>
        </w:rPr>
        <w:t xml:space="preserve">de </w:t>
      </w:r>
      <w:r>
        <w:rPr>
          <w:rFonts w:ascii="Tahoma" w:hAnsi="Tahoma" w:cs="Tahoma"/>
        </w:rPr>
        <w:t>las costas procesales del proceso ordinario</w:t>
      </w:r>
      <w:r w:rsidR="000368E2" w:rsidRPr="000368E2">
        <w:rPr>
          <w:rFonts w:ascii="Tahoma" w:hAnsi="Tahoma" w:cs="Tahoma"/>
        </w:rPr>
        <w:t xml:space="preserve">; b) </w:t>
      </w:r>
      <w:r w:rsidR="008275AE">
        <w:rPr>
          <w:rFonts w:ascii="Tahoma" w:hAnsi="Tahoma" w:cs="Tahoma"/>
        </w:rPr>
        <w:t xml:space="preserve">Por </w:t>
      </w:r>
      <w:r w:rsidR="000368E2" w:rsidRPr="000368E2">
        <w:rPr>
          <w:rFonts w:ascii="Tahoma" w:hAnsi="Tahoma" w:cs="Tahoma"/>
        </w:rPr>
        <w:t xml:space="preserve">los intereses </w:t>
      </w:r>
      <w:r>
        <w:rPr>
          <w:rFonts w:ascii="Tahoma" w:hAnsi="Tahoma" w:cs="Tahoma"/>
        </w:rPr>
        <w:t>legales</w:t>
      </w:r>
      <w:r w:rsidR="000368E2" w:rsidRPr="000368E2">
        <w:rPr>
          <w:rFonts w:ascii="Tahoma" w:hAnsi="Tahoma" w:cs="Tahoma"/>
        </w:rPr>
        <w:t xml:space="preserve"> </w:t>
      </w:r>
      <w:r w:rsidR="008275AE">
        <w:rPr>
          <w:rFonts w:ascii="Tahoma" w:hAnsi="Tahoma" w:cs="Tahoma"/>
        </w:rPr>
        <w:t xml:space="preserve">sobre el importe anterior a partir del </w:t>
      </w:r>
      <w:r>
        <w:rPr>
          <w:rFonts w:ascii="Tahoma" w:hAnsi="Tahoma" w:cs="Tahoma"/>
        </w:rPr>
        <w:t>18</w:t>
      </w:r>
      <w:r w:rsidR="008275AE">
        <w:rPr>
          <w:rFonts w:ascii="Tahoma" w:hAnsi="Tahoma" w:cs="Tahoma"/>
        </w:rPr>
        <w:t xml:space="preserve"> de abril de 201</w:t>
      </w:r>
      <w:r>
        <w:rPr>
          <w:rFonts w:ascii="Tahoma" w:hAnsi="Tahoma" w:cs="Tahoma"/>
        </w:rPr>
        <w:t>2</w:t>
      </w:r>
      <w:r w:rsidR="008275AE">
        <w:rPr>
          <w:rFonts w:ascii="Tahoma" w:hAnsi="Tahoma" w:cs="Tahoma"/>
        </w:rPr>
        <w:t xml:space="preserve"> </w:t>
      </w:r>
      <w:r>
        <w:rPr>
          <w:rFonts w:ascii="Tahoma" w:hAnsi="Tahoma" w:cs="Tahoma"/>
        </w:rPr>
        <w:t xml:space="preserve">hasta el pago total de la obligación. </w:t>
      </w:r>
      <w:r w:rsidR="000368E2" w:rsidRPr="000368E2">
        <w:rPr>
          <w:rFonts w:ascii="Tahoma" w:hAnsi="Tahoma" w:cs="Tahoma"/>
        </w:rPr>
        <w:t xml:space="preserve">2. Se abstuvo de decretar las medidas cautelares </w:t>
      </w:r>
      <w:r w:rsidR="008275AE">
        <w:rPr>
          <w:rFonts w:ascii="Tahoma" w:hAnsi="Tahoma" w:cs="Tahoma"/>
        </w:rPr>
        <w:t xml:space="preserve">para garantizar el pago de las </w:t>
      </w:r>
      <w:r>
        <w:rPr>
          <w:rFonts w:ascii="Tahoma" w:hAnsi="Tahoma" w:cs="Tahoma"/>
        </w:rPr>
        <w:t xml:space="preserve">susodichas </w:t>
      </w:r>
      <w:r w:rsidR="008275AE">
        <w:rPr>
          <w:rFonts w:ascii="Tahoma" w:hAnsi="Tahoma" w:cs="Tahoma"/>
        </w:rPr>
        <w:t>costas procesales</w:t>
      </w:r>
      <w:r>
        <w:rPr>
          <w:rFonts w:ascii="Tahoma" w:hAnsi="Tahoma" w:cs="Tahoma"/>
        </w:rPr>
        <w:t>.</w:t>
      </w:r>
      <w:r w:rsidR="000368E2" w:rsidRPr="000368E2">
        <w:rPr>
          <w:rFonts w:ascii="Tahoma" w:hAnsi="Tahoma" w:cs="Tahoma"/>
        </w:rPr>
        <w:t xml:space="preserve"> </w:t>
      </w:r>
    </w:p>
    <w:p w:rsidR="000368E2" w:rsidRDefault="000368E2" w:rsidP="008275AE">
      <w:pPr>
        <w:pStyle w:val="Prrafodelista"/>
        <w:ind w:left="1080"/>
        <w:jc w:val="both"/>
        <w:rPr>
          <w:rFonts w:ascii="Tahoma" w:hAnsi="Tahoma" w:cs="Tahoma"/>
        </w:rPr>
      </w:pPr>
    </w:p>
    <w:p w:rsidR="00E6463A" w:rsidRPr="00E6463A" w:rsidRDefault="00E6463A" w:rsidP="00E6463A">
      <w:pPr>
        <w:pStyle w:val="Prrafodelista"/>
        <w:numPr>
          <w:ilvl w:val="0"/>
          <w:numId w:val="2"/>
        </w:numPr>
        <w:jc w:val="center"/>
        <w:rPr>
          <w:rFonts w:ascii="Tahoma" w:hAnsi="Tahoma" w:cs="Tahoma"/>
          <w:b/>
          <w:u w:val="single"/>
        </w:rPr>
      </w:pPr>
      <w:r w:rsidRPr="00E6463A">
        <w:rPr>
          <w:rFonts w:ascii="Tahoma" w:hAnsi="Tahoma" w:cs="Tahoma"/>
          <w:b/>
          <w:u w:val="single"/>
        </w:rPr>
        <w:t>AUTO APELADO</w:t>
      </w:r>
    </w:p>
    <w:p w:rsidR="00E6463A" w:rsidRPr="000368E2" w:rsidRDefault="00E6463A" w:rsidP="008275AE">
      <w:pPr>
        <w:pStyle w:val="Prrafodelista"/>
        <w:ind w:left="1080"/>
        <w:jc w:val="both"/>
        <w:rPr>
          <w:rFonts w:ascii="Tahoma" w:hAnsi="Tahoma" w:cs="Tahoma"/>
        </w:rPr>
      </w:pPr>
    </w:p>
    <w:p w:rsidR="008275AE" w:rsidRDefault="000368E2" w:rsidP="008275AE">
      <w:pPr>
        <w:pStyle w:val="Prrafodelista"/>
        <w:ind w:left="1080" w:firstLine="336"/>
        <w:jc w:val="both"/>
        <w:rPr>
          <w:rFonts w:ascii="Tahoma" w:hAnsi="Tahoma" w:cs="Tahoma"/>
          <w:color w:val="000000" w:themeColor="text1"/>
        </w:rPr>
      </w:pPr>
      <w:r w:rsidRPr="000368E2">
        <w:rPr>
          <w:rFonts w:ascii="Tahoma" w:hAnsi="Tahoma" w:cs="Tahoma"/>
        </w:rPr>
        <w:t xml:space="preserve">En lo que es materia del recurso de apelación, </w:t>
      </w:r>
      <w:r w:rsidRPr="000368E2">
        <w:rPr>
          <w:rFonts w:ascii="Tahoma" w:hAnsi="Tahoma" w:cs="Tahoma"/>
          <w:color w:val="000000" w:themeColor="text1"/>
        </w:rPr>
        <w:t>no accedió a</w:t>
      </w:r>
      <w:r w:rsidR="008275AE">
        <w:rPr>
          <w:rFonts w:ascii="Tahoma" w:hAnsi="Tahoma" w:cs="Tahoma"/>
          <w:color w:val="000000" w:themeColor="text1"/>
        </w:rPr>
        <w:t xml:space="preserve"> las medidas cautelares por </w:t>
      </w:r>
      <w:r w:rsidR="00E6463A">
        <w:rPr>
          <w:rFonts w:ascii="Tahoma" w:hAnsi="Tahoma" w:cs="Tahoma"/>
          <w:color w:val="000000" w:themeColor="text1"/>
        </w:rPr>
        <w:t xml:space="preserve">las siguientes razones: </w:t>
      </w:r>
      <w:r w:rsidR="00E6463A">
        <w:rPr>
          <w:rFonts w:ascii="Tahoma" w:hAnsi="Tahoma" w:cs="Tahoma"/>
          <w:i/>
          <w:color w:val="000000" w:themeColor="text1"/>
        </w:rPr>
        <w:t>i)</w:t>
      </w:r>
      <w:r w:rsidR="00E6463A">
        <w:rPr>
          <w:rFonts w:ascii="Tahoma" w:hAnsi="Tahoma" w:cs="Tahoma"/>
          <w:color w:val="000000" w:themeColor="text1"/>
        </w:rPr>
        <w:t xml:space="preserve"> porque de acuerdo a un pronunciamiento de esta Corporación las costas procesales tiene naturaleza procesal y no sustancial. </w:t>
      </w:r>
      <w:r w:rsidR="00E6463A">
        <w:rPr>
          <w:rFonts w:ascii="Tahoma" w:hAnsi="Tahoma" w:cs="Tahoma"/>
          <w:i/>
          <w:color w:val="000000" w:themeColor="text1"/>
        </w:rPr>
        <w:t xml:space="preserve">ii) </w:t>
      </w:r>
      <w:r w:rsidR="00E6463A">
        <w:rPr>
          <w:rFonts w:ascii="Tahoma" w:hAnsi="Tahoma" w:cs="Tahoma"/>
          <w:color w:val="000000" w:themeColor="text1"/>
        </w:rPr>
        <w:t xml:space="preserve"> porque de conformidad al oficio remitido por COLPENSIONES el 31 de marzo de 2016, todos los dineros de propiedad de esa entidad pertenecen al sistema general de pensiones del régimen de pr</w:t>
      </w:r>
      <w:r w:rsidR="00A56C08">
        <w:rPr>
          <w:rFonts w:ascii="Tahoma" w:hAnsi="Tahoma" w:cs="Tahoma"/>
          <w:color w:val="000000" w:themeColor="text1"/>
        </w:rPr>
        <w:t>ima</w:t>
      </w:r>
      <w:r w:rsidR="00E6463A">
        <w:rPr>
          <w:rFonts w:ascii="Tahoma" w:hAnsi="Tahoma" w:cs="Tahoma"/>
          <w:color w:val="000000" w:themeColor="text1"/>
        </w:rPr>
        <w:t xml:space="preserve"> media y por tanto son </w:t>
      </w:r>
      <w:r w:rsidR="008275AE">
        <w:rPr>
          <w:rFonts w:ascii="Tahoma" w:hAnsi="Tahoma" w:cs="Tahoma"/>
          <w:color w:val="000000" w:themeColor="text1"/>
        </w:rPr>
        <w:t>i</w:t>
      </w:r>
      <w:r w:rsidR="00E6463A">
        <w:rPr>
          <w:rFonts w:ascii="Tahoma" w:hAnsi="Tahoma" w:cs="Tahoma"/>
          <w:color w:val="000000" w:themeColor="text1"/>
        </w:rPr>
        <w:t xml:space="preserve">nembargables. </w:t>
      </w:r>
    </w:p>
    <w:p w:rsidR="00E6463A" w:rsidRDefault="00E6463A" w:rsidP="008275AE">
      <w:pPr>
        <w:pStyle w:val="Prrafodelista"/>
        <w:ind w:left="1080" w:firstLine="336"/>
        <w:jc w:val="both"/>
        <w:rPr>
          <w:rFonts w:ascii="Tahoma" w:hAnsi="Tahoma" w:cs="Tahoma"/>
          <w:color w:val="000000" w:themeColor="text1"/>
        </w:rPr>
      </w:pPr>
    </w:p>
    <w:p w:rsidR="00E6463A" w:rsidRPr="000368E2" w:rsidRDefault="00E6463A" w:rsidP="008275AE">
      <w:pPr>
        <w:pStyle w:val="Prrafodelista"/>
        <w:ind w:left="1080" w:firstLine="336"/>
        <w:jc w:val="both"/>
        <w:rPr>
          <w:rFonts w:ascii="Tahoma" w:hAnsi="Tahoma" w:cs="Tahoma"/>
          <w:b/>
          <w:u w:val="single"/>
        </w:rPr>
      </w:pPr>
    </w:p>
    <w:p w:rsidR="000368E2" w:rsidRPr="000368E2" w:rsidRDefault="000368E2" w:rsidP="000368E2">
      <w:pPr>
        <w:pStyle w:val="Prrafodelista"/>
        <w:numPr>
          <w:ilvl w:val="0"/>
          <w:numId w:val="2"/>
        </w:numPr>
        <w:jc w:val="center"/>
        <w:rPr>
          <w:rFonts w:ascii="Tahoma" w:hAnsi="Tahoma" w:cs="Tahoma"/>
          <w:b/>
          <w:u w:val="single"/>
        </w:rPr>
      </w:pPr>
      <w:r w:rsidRPr="000368E2">
        <w:rPr>
          <w:rFonts w:ascii="Tahoma" w:hAnsi="Tahoma" w:cs="Tahoma"/>
          <w:b/>
          <w:u w:val="single"/>
        </w:rPr>
        <w:t>FUNDAMENTOS DE LA APELACIÓN</w:t>
      </w:r>
    </w:p>
    <w:p w:rsidR="000368E2" w:rsidRPr="000368E2" w:rsidRDefault="000368E2" w:rsidP="008275AE">
      <w:pPr>
        <w:pStyle w:val="Prrafodelista"/>
        <w:ind w:left="1080"/>
        <w:rPr>
          <w:rFonts w:ascii="Tahoma" w:hAnsi="Tahoma" w:cs="Tahoma"/>
          <w:b/>
          <w:u w:val="single"/>
        </w:rPr>
      </w:pPr>
    </w:p>
    <w:p w:rsidR="0038703F" w:rsidRDefault="000368E2" w:rsidP="000F6447">
      <w:pPr>
        <w:pStyle w:val="Prrafodelista"/>
        <w:widowControl w:val="0"/>
        <w:autoSpaceDE w:val="0"/>
        <w:autoSpaceDN w:val="0"/>
        <w:adjustRightInd w:val="0"/>
        <w:ind w:left="1080" w:firstLine="336"/>
        <w:jc w:val="both"/>
        <w:rPr>
          <w:rFonts w:ascii="Tahoma" w:hAnsi="Tahoma" w:cs="Tahoma"/>
          <w:color w:val="000000" w:themeColor="text1"/>
          <w:shd w:val="clear" w:color="auto" w:fill="FFFFFF"/>
        </w:rPr>
      </w:pPr>
      <w:r w:rsidRPr="0038703F">
        <w:rPr>
          <w:rFonts w:ascii="Tahoma" w:hAnsi="Tahoma" w:cs="Tahoma"/>
        </w:rPr>
        <w:t xml:space="preserve">Inconforme con lo decidido la parte actora presentó recurso de apelación </w:t>
      </w:r>
      <w:r w:rsidR="0038703F" w:rsidRPr="0038703F">
        <w:rPr>
          <w:rFonts w:ascii="Tahoma" w:hAnsi="Tahoma" w:cs="Tahoma"/>
        </w:rPr>
        <w:t xml:space="preserve">únicamente </w:t>
      </w:r>
      <w:r w:rsidRPr="0038703F">
        <w:rPr>
          <w:rFonts w:ascii="Tahoma" w:hAnsi="Tahoma" w:cs="Tahoma"/>
        </w:rPr>
        <w:t xml:space="preserve">contra </w:t>
      </w:r>
      <w:r w:rsidR="0038703F" w:rsidRPr="0038703F">
        <w:rPr>
          <w:rFonts w:ascii="Tahoma" w:hAnsi="Tahoma" w:cs="Tahoma"/>
        </w:rPr>
        <w:t xml:space="preserve">la negativa de las medidas cautelares para garantizar el pago de las costas procesales argumentando, en síntesis, que los recursos de COLPENSIONES no sólo se circunscribe a dineros del régimen de prima media sino que además cuenta con otros recursos propios para su funcionamiento, de manera que </w:t>
      </w:r>
      <w:r w:rsidR="0024631F" w:rsidRPr="0038703F">
        <w:rPr>
          <w:rFonts w:ascii="Tahoma" w:hAnsi="Tahoma" w:cs="Tahoma"/>
          <w:color w:val="000000" w:themeColor="text1"/>
          <w:shd w:val="clear" w:color="auto" w:fill="FFFFFF"/>
        </w:rPr>
        <w:t xml:space="preserve">el Despacho </w:t>
      </w:r>
      <w:r w:rsidR="0038703F" w:rsidRPr="0038703F">
        <w:rPr>
          <w:rFonts w:ascii="Tahoma" w:hAnsi="Tahoma" w:cs="Tahoma"/>
          <w:color w:val="000000" w:themeColor="text1"/>
          <w:shd w:val="clear" w:color="auto" w:fill="FFFFFF"/>
        </w:rPr>
        <w:t xml:space="preserve">previamente debió indagar </w:t>
      </w:r>
      <w:r w:rsidR="0024631F" w:rsidRPr="0038703F">
        <w:rPr>
          <w:rFonts w:ascii="Tahoma" w:hAnsi="Tahoma" w:cs="Tahoma"/>
          <w:color w:val="000000" w:themeColor="text1"/>
          <w:shd w:val="clear" w:color="auto" w:fill="FFFFFF"/>
        </w:rPr>
        <w:t xml:space="preserve">si las cuentas </w:t>
      </w:r>
      <w:r w:rsidR="0038703F" w:rsidRPr="0038703F">
        <w:rPr>
          <w:rFonts w:ascii="Tahoma" w:hAnsi="Tahoma" w:cs="Tahoma"/>
          <w:color w:val="000000" w:themeColor="text1"/>
          <w:shd w:val="clear" w:color="auto" w:fill="FFFFFF"/>
        </w:rPr>
        <w:t xml:space="preserve">bancarias que se relacionan </w:t>
      </w:r>
      <w:r w:rsidR="0024631F" w:rsidRPr="0038703F">
        <w:rPr>
          <w:rFonts w:ascii="Tahoma" w:hAnsi="Tahoma" w:cs="Tahoma"/>
          <w:color w:val="000000" w:themeColor="text1"/>
          <w:shd w:val="clear" w:color="auto" w:fill="FFFFFF"/>
        </w:rPr>
        <w:t xml:space="preserve">en la demanda ejecutiva pertenece al patrimonio propio de Colpensiones o si en realidad son cuentas donde se encuentran consignados dinero exclusivamente destinados al pago de los emolumentos de la seguridad social, </w:t>
      </w:r>
      <w:r w:rsidR="0038703F" w:rsidRPr="0038703F">
        <w:rPr>
          <w:rFonts w:ascii="Tahoma" w:hAnsi="Tahoma" w:cs="Tahoma"/>
          <w:color w:val="000000" w:themeColor="text1"/>
          <w:shd w:val="clear" w:color="auto" w:fill="FFFFFF"/>
        </w:rPr>
        <w:t xml:space="preserve">porque no existe material </w:t>
      </w:r>
      <w:r w:rsidR="001D6284" w:rsidRPr="0038703F">
        <w:rPr>
          <w:rFonts w:ascii="Tahoma" w:hAnsi="Tahoma" w:cs="Tahoma"/>
          <w:color w:val="000000" w:themeColor="text1"/>
          <w:shd w:val="clear" w:color="auto" w:fill="FFFFFF"/>
        </w:rPr>
        <w:t>probatorio</w:t>
      </w:r>
      <w:r w:rsidR="0038703F" w:rsidRPr="0038703F">
        <w:rPr>
          <w:rFonts w:ascii="Tahoma" w:hAnsi="Tahoma" w:cs="Tahoma"/>
          <w:color w:val="000000" w:themeColor="text1"/>
          <w:shd w:val="clear" w:color="auto" w:fill="FFFFFF"/>
        </w:rPr>
        <w:t xml:space="preserve"> en el expediente que le diera la certeza a</w:t>
      </w:r>
      <w:r w:rsidR="001D6284">
        <w:rPr>
          <w:rFonts w:ascii="Tahoma" w:hAnsi="Tahoma" w:cs="Tahoma"/>
          <w:color w:val="000000" w:themeColor="text1"/>
          <w:shd w:val="clear" w:color="auto" w:fill="FFFFFF"/>
        </w:rPr>
        <w:t xml:space="preserve"> la</w:t>
      </w:r>
      <w:r w:rsidR="0038703F" w:rsidRPr="0038703F">
        <w:rPr>
          <w:rFonts w:ascii="Tahoma" w:hAnsi="Tahoma" w:cs="Tahoma"/>
          <w:color w:val="000000" w:themeColor="text1"/>
          <w:shd w:val="clear" w:color="auto" w:fill="FFFFFF"/>
        </w:rPr>
        <w:t xml:space="preserve"> señor</w:t>
      </w:r>
      <w:r w:rsidR="001D6284">
        <w:rPr>
          <w:rFonts w:ascii="Tahoma" w:hAnsi="Tahoma" w:cs="Tahoma"/>
          <w:color w:val="000000" w:themeColor="text1"/>
          <w:shd w:val="clear" w:color="auto" w:fill="FFFFFF"/>
        </w:rPr>
        <w:t>a</w:t>
      </w:r>
      <w:r w:rsidR="0038703F" w:rsidRPr="0038703F">
        <w:rPr>
          <w:rFonts w:ascii="Tahoma" w:hAnsi="Tahoma" w:cs="Tahoma"/>
          <w:color w:val="000000" w:themeColor="text1"/>
          <w:shd w:val="clear" w:color="auto" w:fill="FFFFFF"/>
        </w:rPr>
        <w:t xml:space="preserve"> juez</w:t>
      </w:r>
      <w:r w:rsidR="001D6284">
        <w:rPr>
          <w:rFonts w:ascii="Tahoma" w:hAnsi="Tahoma" w:cs="Tahoma"/>
          <w:color w:val="000000" w:themeColor="text1"/>
          <w:shd w:val="clear" w:color="auto" w:fill="FFFFFF"/>
        </w:rPr>
        <w:t>a</w:t>
      </w:r>
      <w:r w:rsidR="0038703F" w:rsidRPr="0038703F">
        <w:rPr>
          <w:rFonts w:ascii="Tahoma" w:hAnsi="Tahoma" w:cs="Tahoma"/>
          <w:color w:val="000000" w:themeColor="text1"/>
          <w:shd w:val="clear" w:color="auto" w:fill="FFFFFF"/>
        </w:rPr>
        <w:t xml:space="preserve"> respecto a la conclusión a la cual llegó</w:t>
      </w:r>
      <w:r w:rsidR="001D6284">
        <w:rPr>
          <w:rFonts w:ascii="Tahoma" w:hAnsi="Tahoma" w:cs="Tahoma"/>
          <w:color w:val="000000" w:themeColor="text1"/>
          <w:shd w:val="clear" w:color="auto" w:fill="FFFFFF"/>
        </w:rPr>
        <w:t xml:space="preserve">, salvo el oficio que le remitió la propia entidad demandada. </w:t>
      </w:r>
    </w:p>
    <w:p w:rsidR="001D6284" w:rsidRDefault="001D6284" w:rsidP="000F6447">
      <w:pPr>
        <w:pStyle w:val="Prrafodelista"/>
        <w:widowControl w:val="0"/>
        <w:autoSpaceDE w:val="0"/>
        <w:autoSpaceDN w:val="0"/>
        <w:adjustRightInd w:val="0"/>
        <w:ind w:left="1080" w:firstLine="336"/>
        <w:jc w:val="both"/>
        <w:rPr>
          <w:rFonts w:ascii="Tahoma" w:hAnsi="Tahoma" w:cs="Tahoma"/>
          <w:color w:val="000000" w:themeColor="text1"/>
          <w:shd w:val="clear" w:color="auto" w:fill="FFFFFF"/>
        </w:rPr>
      </w:pPr>
    </w:p>
    <w:p w:rsidR="001D6284" w:rsidRDefault="001D6284" w:rsidP="000F6447">
      <w:pPr>
        <w:pStyle w:val="Prrafodelista"/>
        <w:widowControl w:val="0"/>
        <w:autoSpaceDE w:val="0"/>
        <w:autoSpaceDN w:val="0"/>
        <w:adjustRightInd w:val="0"/>
        <w:ind w:left="1080" w:firstLine="336"/>
        <w:jc w:val="both"/>
        <w:rPr>
          <w:rFonts w:ascii="Tahoma" w:hAnsi="Tahoma" w:cs="Tahoma"/>
          <w:color w:val="000000" w:themeColor="text1"/>
          <w:shd w:val="clear" w:color="auto" w:fill="FFFFFF"/>
        </w:rPr>
      </w:pPr>
      <w:r>
        <w:rPr>
          <w:rFonts w:ascii="Tahoma" w:hAnsi="Tahoma" w:cs="Tahoma"/>
          <w:color w:val="000000" w:themeColor="text1"/>
          <w:shd w:val="clear" w:color="auto" w:fill="FFFFFF"/>
        </w:rPr>
        <w:t>Agrega que la jueza le dio una interpretación errada al precedente de esta Corporación sobre el punto en cuestión.</w:t>
      </w:r>
    </w:p>
    <w:p w:rsidR="001D6284" w:rsidRDefault="001D6284" w:rsidP="000F6447">
      <w:pPr>
        <w:pStyle w:val="Prrafodelista"/>
        <w:widowControl w:val="0"/>
        <w:autoSpaceDE w:val="0"/>
        <w:autoSpaceDN w:val="0"/>
        <w:adjustRightInd w:val="0"/>
        <w:ind w:left="1080" w:firstLine="336"/>
        <w:jc w:val="both"/>
        <w:rPr>
          <w:rFonts w:ascii="Tahoma" w:hAnsi="Tahoma" w:cs="Tahoma"/>
          <w:color w:val="000000" w:themeColor="text1"/>
          <w:sz w:val="24"/>
          <w:szCs w:val="24"/>
          <w:shd w:val="clear" w:color="auto" w:fill="FFFFFF"/>
        </w:rPr>
      </w:pPr>
    </w:p>
    <w:p w:rsidR="0038703F" w:rsidRPr="000368E2" w:rsidRDefault="0038703F" w:rsidP="0038703F">
      <w:pPr>
        <w:pStyle w:val="Prrafodelista"/>
        <w:widowControl w:val="0"/>
        <w:autoSpaceDE w:val="0"/>
        <w:autoSpaceDN w:val="0"/>
        <w:adjustRightInd w:val="0"/>
        <w:ind w:left="1080" w:firstLine="336"/>
        <w:jc w:val="both"/>
        <w:rPr>
          <w:rFonts w:ascii="Tahoma" w:hAnsi="Tahoma" w:cs="Tahoma"/>
        </w:rPr>
      </w:pPr>
      <w:r w:rsidRPr="000368E2">
        <w:rPr>
          <w:rFonts w:ascii="Tahoma" w:hAnsi="Tahoma" w:cs="Tahoma"/>
        </w:rPr>
        <w:t>En virtud de lo anterior solicita la revocatoria parcial del auto en cuestión respecto a</w:t>
      </w:r>
      <w:r>
        <w:rPr>
          <w:rFonts w:ascii="Tahoma" w:hAnsi="Tahoma" w:cs="Tahoma"/>
        </w:rPr>
        <w:t xml:space="preserve"> ese preciso punto </w:t>
      </w:r>
      <w:r w:rsidR="001D6284">
        <w:rPr>
          <w:rFonts w:ascii="Tahoma" w:hAnsi="Tahoma" w:cs="Tahoma"/>
        </w:rPr>
        <w:t xml:space="preserve">para que en su lugar se acceda el decreto de la medida cautelar solicitada. </w:t>
      </w:r>
      <w:r>
        <w:rPr>
          <w:rFonts w:ascii="Tahoma" w:hAnsi="Tahoma" w:cs="Tahoma"/>
        </w:rPr>
        <w:t xml:space="preserve"> </w:t>
      </w:r>
    </w:p>
    <w:p w:rsidR="0038703F" w:rsidRDefault="0038703F" w:rsidP="00F0665B">
      <w:pPr>
        <w:spacing w:after="0"/>
        <w:jc w:val="both"/>
        <w:rPr>
          <w:rFonts w:ascii="Tahoma" w:hAnsi="Tahoma" w:cs="Tahoma"/>
          <w:color w:val="000000" w:themeColor="text1"/>
          <w:sz w:val="24"/>
          <w:szCs w:val="24"/>
          <w:shd w:val="clear" w:color="auto" w:fill="FFFFFF"/>
        </w:rPr>
      </w:pPr>
    </w:p>
    <w:p w:rsidR="00FF5987" w:rsidRPr="00FF5987" w:rsidRDefault="00FF5987" w:rsidP="00FF5987">
      <w:pPr>
        <w:pStyle w:val="Prrafodelista"/>
        <w:numPr>
          <w:ilvl w:val="0"/>
          <w:numId w:val="2"/>
        </w:numPr>
        <w:jc w:val="center"/>
        <w:rPr>
          <w:rFonts w:ascii="Tahoma" w:hAnsi="Tahoma" w:cs="Tahoma"/>
          <w:b/>
          <w:spacing w:val="2"/>
          <w:szCs w:val="24"/>
          <w:u w:val="single"/>
        </w:rPr>
      </w:pPr>
      <w:r w:rsidRPr="00FF5987">
        <w:rPr>
          <w:rFonts w:ascii="Tahoma" w:hAnsi="Tahoma" w:cs="Tahoma"/>
          <w:b/>
          <w:spacing w:val="2"/>
          <w:szCs w:val="24"/>
          <w:u w:val="single"/>
        </w:rPr>
        <w:t>CONSIDERACIONES</w:t>
      </w:r>
    </w:p>
    <w:p w:rsidR="00FF5987" w:rsidRPr="0064059E" w:rsidRDefault="00FF5987" w:rsidP="00FF5987">
      <w:pPr>
        <w:pStyle w:val="Textoindependiente"/>
        <w:widowControl w:val="0"/>
        <w:autoSpaceDE w:val="0"/>
        <w:autoSpaceDN w:val="0"/>
        <w:adjustRightInd w:val="0"/>
        <w:spacing w:line="276" w:lineRule="auto"/>
        <w:rPr>
          <w:rFonts w:ascii="Tahoma" w:hAnsi="Tahoma" w:cs="Tahoma"/>
          <w:b/>
          <w:bCs/>
          <w:spacing w:val="2"/>
          <w:sz w:val="22"/>
          <w:szCs w:val="22"/>
        </w:rPr>
      </w:pPr>
    </w:p>
    <w:p w:rsidR="00FF5987" w:rsidRPr="0064059E" w:rsidRDefault="00FF5987" w:rsidP="00F05541">
      <w:pPr>
        <w:pStyle w:val="Textoindependiente"/>
        <w:widowControl w:val="0"/>
        <w:numPr>
          <w:ilvl w:val="1"/>
          <w:numId w:val="16"/>
        </w:numPr>
        <w:tabs>
          <w:tab w:val="left" w:pos="1134"/>
        </w:tabs>
        <w:autoSpaceDE w:val="0"/>
        <w:autoSpaceDN w:val="0"/>
        <w:adjustRightInd w:val="0"/>
        <w:spacing w:line="276" w:lineRule="auto"/>
        <w:jc w:val="left"/>
        <w:rPr>
          <w:rFonts w:ascii="Tahoma" w:hAnsi="Tahoma" w:cs="Tahoma"/>
          <w:b/>
          <w:bCs/>
          <w:spacing w:val="2"/>
          <w:sz w:val="22"/>
          <w:szCs w:val="22"/>
        </w:rPr>
      </w:pPr>
      <w:r w:rsidRPr="0064059E">
        <w:rPr>
          <w:rFonts w:ascii="Tahoma" w:hAnsi="Tahoma" w:cs="Tahoma"/>
          <w:b/>
          <w:bCs/>
          <w:spacing w:val="2"/>
          <w:sz w:val="22"/>
          <w:szCs w:val="22"/>
        </w:rPr>
        <w:t>Problema jurídico por resolver</w:t>
      </w:r>
    </w:p>
    <w:p w:rsidR="00FF5987" w:rsidRPr="0064059E" w:rsidRDefault="00FF5987" w:rsidP="00FF5987"/>
    <w:p w:rsidR="00FF5987" w:rsidRPr="0064059E" w:rsidRDefault="00FF5987" w:rsidP="00FF5987">
      <w:pPr>
        <w:ind w:left="720"/>
        <w:jc w:val="both"/>
        <w:rPr>
          <w:rFonts w:ascii="Tahoma" w:hAnsi="Tahoma" w:cs="Tahoma"/>
          <w:lang w:val="es-MX"/>
        </w:rPr>
      </w:pPr>
      <w:r w:rsidRPr="0064059E">
        <w:rPr>
          <w:rFonts w:ascii="Tahoma" w:hAnsi="Tahoma" w:cs="Tahoma"/>
          <w:lang w:val="es-MX"/>
        </w:rPr>
        <w:t xml:space="preserve">¿Hay lugar a </w:t>
      </w:r>
      <w:r w:rsidR="00F05541" w:rsidRPr="0064059E">
        <w:rPr>
          <w:rFonts w:ascii="Tahoma" w:hAnsi="Tahoma" w:cs="Tahoma"/>
          <w:lang w:val="es-MX"/>
        </w:rPr>
        <w:t>decretar el embargo de las cuentas bancarias de COLPENSIONES para garantizar el pago de las costas procesales que le adeuda a la parte ejecutante</w:t>
      </w:r>
      <w:r w:rsidRPr="0064059E">
        <w:rPr>
          <w:rFonts w:ascii="Tahoma" w:hAnsi="Tahoma" w:cs="Tahoma"/>
          <w:lang w:val="es-MX"/>
        </w:rPr>
        <w:t>?</w:t>
      </w:r>
    </w:p>
    <w:p w:rsidR="00F05541" w:rsidRPr="0064059E" w:rsidRDefault="00F05541" w:rsidP="00F05541">
      <w:pPr>
        <w:pStyle w:val="Textoindependiente"/>
        <w:widowControl w:val="0"/>
        <w:autoSpaceDE w:val="0"/>
        <w:autoSpaceDN w:val="0"/>
        <w:adjustRightInd w:val="0"/>
        <w:spacing w:line="276" w:lineRule="auto"/>
        <w:ind w:left="1070"/>
        <w:rPr>
          <w:rFonts w:ascii="Tahoma" w:hAnsi="Tahoma" w:cs="Tahoma"/>
          <w:b/>
          <w:bCs/>
          <w:spacing w:val="2"/>
          <w:sz w:val="22"/>
          <w:szCs w:val="22"/>
        </w:rPr>
      </w:pPr>
    </w:p>
    <w:p w:rsidR="00FF5987" w:rsidRPr="0064059E" w:rsidRDefault="008F0C16" w:rsidP="00F05541">
      <w:pPr>
        <w:pStyle w:val="Textoindependiente"/>
        <w:widowControl w:val="0"/>
        <w:numPr>
          <w:ilvl w:val="1"/>
          <w:numId w:val="16"/>
        </w:numPr>
        <w:autoSpaceDE w:val="0"/>
        <w:autoSpaceDN w:val="0"/>
        <w:adjustRightInd w:val="0"/>
        <w:spacing w:line="276" w:lineRule="auto"/>
        <w:rPr>
          <w:rFonts w:ascii="Tahoma" w:hAnsi="Tahoma" w:cs="Tahoma"/>
          <w:b/>
          <w:bCs/>
          <w:spacing w:val="2"/>
          <w:sz w:val="22"/>
          <w:szCs w:val="22"/>
        </w:rPr>
      </w:pPr>
      <w:r w:rsidRPr="0064059E">
        <w:rPr>
          <w:rFonts w:ascii="Tahoma" w:hAnsi="Tahoma" w:cs="Tahoma"/>
          <w:b/>
          <w:bCs/>
          <w:spacing w:val="2"/>
          <w:sz w:val="22"/>
          <w:szCs w:val="22"/>
        </w:rPr>
        <w:lastRenderedPageBreak/>
        <w:t xml:space="preserve">Precedente de esta Corporación respecto a la procedencia de medidas cautelares para garantizar el pago de las costas procesales: </w:t>
      </w:r>
    </w:p>
    <w:p w:rsidR="00FF5987" w:rsidRPr="0064059E" w:rsidRDefault="00FF5987" w:rsidP="00FF5987">
      <w:pPr>
        <w:pStyle w:val="Textoindependiente"/>
        <w:widowControl w:val="0"/>
        <w:autoSpaceDE w:val="0"/>
        <w:autoSpaceDN w:val="0"/>
        <w:adjustRightInd w:val="0"/>
        <w:spacing w:line="276" w:lineRule="auto"/>
        <w:ind w:left="1080"/>
        <w:rPr>
          <w:rFonts w:ascii="Tahoma" w:hAnsi="Tahoma" w:cs="Tahoma"/>
          <w:b/>
          <w:bCs/>
          <w:spacing w:val="2"/>
          <w:sz w:val="22"/>
          <w:szCs w:val="22"/>
        </w:rPr>
      </w:pPr>
    </w:p>
    <w:p w:rsidR="0064059E" w:rsidRPr="0064059E" w:rsidRDefault="008F0C16" w:rsidP="00FF5987">
      <w:pPr>
        <w:widowControl w:val="0"/>
        <w:autoSpaceDE w:val="0"/>
        <w:autoSpaceDN w:val="0"/>
        <w:adjustRightInd w:val="0"/>
        <w:ind w:firstLine="709"/>
        <w:jc w:val="both"/>
        <w:rPr>
          <w:rFonts w:ascii="Tahoma" w:hAnsi="Tahoma" w:cs="Tahoma"/>
        </w:rPr>
      </w:pPr>
      <w:r w:rsidRPr="0064059E">
        <w:rPr>
          <w:rFonts w:ascii="Tahoma" w:hAnsi="Tahoma" w:cs="Tahoma"/>
        </w:rPr>
        <w:t>Si bien esta Corporación en la providencia que transcribe parcialmente el juzgado de instancia</w:t>
      </w:r>
      <w:r w:rsidR="00F36216">
        <w:rPr>
          <w:rStyle w:val="Refdenotaalpie"/>
          <w:rFonts w:ascii="Tahoma" w:hAnsi="Tahoma" w:cs="Tahoma"/>
        </w:rPr>
        <w:footnoteReference w:id="1"/>
      </w:r>
      <w:r w:rsidRPr="0064059E">
        <w:rPr>
          <w:rFonts w:ascii="Tahoma" w:hAnsi="Tahoma" w:cs="Tahoma"/>
        </w:rPr>
        <w:t xml:space="preserve"> efectivamente ha sentado que las costas procesales </w:t>
      </w:r>
      <w:r w:rsidR="00FF5987" w:rsidRPr="0064059E">
        <w:rPr>
          <w:rFonts w:ascii="Tahoma" w:hAnsi="Tahoma" w:cs="Tahoma"/>
        </w:rPr>
        <w:t>tienen una naturaleza meramente procesal y no sustancial</w:t>
      </w:r>
      <w:r w:rsidRPr="0064059E">
        <w:rPr>
          <w:rFonts w:ascii="Tahoma" w:hAnsi="Tahoma" w:cs="Tahoma"/>
        </w:rPr>
        <w:t xml:space="preserve">, tal distinción se hizo en esa oportunidad para explicar que los dineros del </w:t>
      </w:r>
      <w:r w:rsidRPr="0064059E">
        <w:rPr>
          <w:rFonts w:ascii="Tahoma" w:hAnsi="Tahoma" w:cs="Tahoma"/>
          <w:color w:val="000000" w:themeColor="text1"/>
        </w:rPr>
        <w:t>sistema general de pensiones del régimen de premia media</w:t>
      </w:r>
      <w:r w:rsidRPr="0064059E">
        <w:rPr>
          <w:rFonts w:ascii="Tahoma" w:hAnsi="Tahoma" w:cs="Tahoma"/>
        </w:rPr>
        <w:t xml:space="preserve"> que administra COLPENSIONES son </w:t>
      </w:r>
      <w:r w:rsidRPr="0064059E">
        <w:rPr>
          <w:rFonts w:ascii="Tahoma" w:hAnsi="Tahoma" w:cs="Tahoma"/>
          <w:b/>
        </w:rPr>
        <w:t xml:space="preserve">inembargables </w:t>
      </w:r>
      <w:r w:rsidRPr="0064059E">
        <w:rPr>
          <w:rFonts w:ascii="Tahoma" w:hAnsi="Tahoma" w:cs="Tahoma"/>
        </w:rPr>
        <w:t xml:space="preserve">salvo cuando se trate de garantizar obligaciones de tipo pensional. En ese sentido se </w:t>
      </w:r>
      <w:r w:rsidR="0064059E" w:rsidRPr="0064059E">
        <w:rPr>
          <w:rFonts w:ascii="Tahoma" w:hAnsi="Tahoma" w:cs="Tahoma"/>
        </w:rPr>
        <w:t>advirtió</w:t>
      </w:r>
      <w:r w:rsidRPr="0064059E">
        <w:rPr>
          <w:rFonts w:ascii="Tahoma" w:hAnsi="Tahoma" w:cs="Tahoma"/>
        </w:rPr>
        <w:t xml:space="preserve"> que las cuentas bancarias que contenían dineros del sistema general de pensiones </w:t>
      </w:r>
      <w:r w:rsidR="0064059E" w:rsidRPr="0064059E">
        <w:rPr>
          <w:rFonts w:ascii="Tahoma" w:hAnsi="Tahoma" w:cs="Tahoma"/>
        </w:rPr>
        <w:t xml:space="preserve">eran susceptibles de embargo únicamente cuando se trataba de garantizar obligaciones pensionales pero no cuando se trataba de costas procesales. </w:t>
      </w:r>
    </w:p>
    <w:p w:rsidR="00057B85" w:rsidRDefault="00645C48" w:rsidP="00FF5987">
      <w:pPr>
        <w:widowControl w:val="0"/>
        <w:autoSpaceDE w:val="0"/>
        <w:autoSpaceDN w:val="0"/>
        <w:adjustRightInd w:val="0"/>
        <w:ind w:firstLine="709"/>
        <w:jc w:val="both"/>
        <w:rPr>
          <w:rFonts w:ascii="Tahoma" w:hAnsi="Tahoma" w:cs="Tahoma"/>
        </w:rPr>
      </w:pPr>
      <w:r>
        <w:rPr>
          <w:rFonts w:ascii="Tahoma" w:hAnsi="Tahoma" w:cs="Tahoma"/>
        </w:rPr>
        <w:t xml:space="preserve">Lo anterior no quiere decir que el pago las costas procesales no sea susceptible de una medida cautelar, como quiera que conforme se ha reiterado varias veces por esta Corporación, COLPENSIONES cuenta con bienes propios, diferentes a los del sistema de seguridad </w:t>
      </w:r>
      <w:r w:rsidR="00B372F3">
        <w:rPr>
          <w:rFonts w:ascii="Tahoma" w:hAnsi="Tahoma" w:cs="Tahoma"/>
        </w:rPr>
        <w:t>social</w:t>
      </w:r>
      <w:r>
        <w:rPr>
          <w:rFonts w:ascii="Tahoma" w:hAnsi="Tahoma" w:cs="Tahoma"/>
        </w:rPr>
        <w:t xml:space="preserve"> en pensiones, </w:t>
      </w:r>
      <w:r w:rsidR="00057B85">
        <w:rPr>
          <w:rFonts w:ascii="Tahoma" w:hAnsi="Tahoma" w:cs="Tahoma"/>
        </w:rPr>
        <w:t xml:space="preserve">varios de </w:t>
      </w:r>
      <w:r>
        <w:rPr>
          <w:rFonts w:ascii="Tahoma" w:hAnsi="Tahoma" w:cs="Tahoma"/>
        </w:rPr>
        <w:t xml:space="preserve">los cuales constituyen prenda de garantía para el pago de obligaciones de naturaleza </w:t>
      </w:r>
      <w:r w:rsidR="00B372F3">
        <w:rPr>
          <w:rFonts w:ascii="Tahoma" w:hAnsi="Tahoma" w:cs="Tahoma"/>
        </w:rPr>
        <w:t>distinta</w:t>
      </w:r>
      <w:r>
        <w:rPr>
          <w:rFonts w:ascii="Tahoma" w:hAnsi="Tahoma" w:cs="Tahoma"/>
        </w:rPr>
        <w:t xml:space="preserve"> a la pensional. </w:t>
      </w:r>
      <w:r w:rsidR="00B372F3">
        <w:rPr>
          <w:rFonts w:ascii="Tahoma" w:hAnsi="Tahoma" w:cs="Tahoma"/>
        </w:rPr>
        <w:t xml:space="preserve">Así se </w:t>
      </w:r>
      <w:r w:rsidR="00057B85">
        <w:rPr>
          <w:rFonts w:ascii="Tahoma" w:hAnsi="Tahoma" w:cs="Tahoma"/>
        </w:rPr>
        <w:t xml:space="preserve">desprende del artículo 4º del Decreto 309 de 2017, mediante el cual se modificó la estructura de COLPENSIONES, que reza lo siguiente: </w:t>
      </w:r>
    </w:p>
    <w:p w:rsidR="00057B85" w:rsidRPr="00057B85" w:rsidRDefault="00057B85" w:rsidP="00057B85">
      <w:pPr>
        <w:widowControl w:val="0"/>
        <w:autoSpaceDE w:val="0"/>
        <w:autoSpaceDN w:val="0"/>
        <w:adjustRightInd w:val="0"/>
        <w:ind w:left="708" w:firstLine="709"/>
        <w:jc w:val="both"/>
        <w:rPr>
          <w:rFonts w:ascii="Tahoma" w:hAnsi="Tahoma" w:cs="Tahoma"/>
          <w:i/>
          <w:sz w:val="20"/>
          <w:szCs w:val="20"/>
        </w:rPr>
      </w:pPr>
      <w:bookmarkStart w:id="1" w:name="4"/>
      <w:r w:rsidRPr="00057B85">
        <w:rPr>
          <w:rFonts w:ascii="Helvetica" w:hAnsi="Helvetica" w:cs="Helvetica"/>
          <w:b/>
          <w:bCs/>
          <w:i/>
          <w:sz w:val="20"/>
          <w:szCs w:val="20"/>
          <w:shd w:val="clear" w:color="auto" w:fill="F1F1F1"/>
        </w:rPr>
        <w:t>ARTÍCULO 4o. PATRIMONIO.</w:t>
      </w:r>
      <w:bookmarkEnd w:id="1"/>
      <w:r w:rsidRPr="00057B85">
        <w:rPr>
          <w:rFonts w:ascii="Helvetica" w:hAnsi="Helvetica" w:cs="Helvetica"/>
          <w:i/>
          <w:sz w:val="20"/>
          <w:szCs w:val="20"/>
          <w:shd w:val="clear" w:color="auto" w:fill="F1F1F1"/>
        </w:rPr>
        <w:t> </w:t>
      </w:r>
      <w:r w:rsidRPr="00057B85">
        <w:rPr>
          <w:rFonts w:ascii="Helvetica" w:hAnsi="Helvetica" w:cs="Helvetica"/>
          <w:i/>
          <w:color w:val="000000"/>
          <w:sz w:val="20"/>
          <w:szCs w:val="20"/>
          <w:shd w:val="clear" w:color="auto" w:fill="F1F1F1"/>
        </w:rPr>
        <w:t>El patrimonio de la entidad estará conformado por los activos que reciba para el funcionamiento y la acumulación de los traslados que se hagan de otras cuentas patrimoniales, las transferencias del Presupuesto General de la Nación, los activos que le transfiera la Nación y otras entidades públicas del orden nacional y los demás activos e ingresos que a cualquier título perciba.</w:t>
      </w:r>
    </w:p>
    <w:p w:rsidR="002A38DA" w:rsidRDefault="002A38DA" w:rsidP="00FF5987">
      <w:pPr>
        <w:widowControl w:val="0"/>
        <w:autoSpaceDE w:val="0"/>
        <w:autoSpaceDN w:val="0"/>
        <w:adjustRightInd w:val="0"/>
        <w:ind w:firstLine="709"/>
        <w:jc w:val="both"/>
        <w:rPr>
          <w:rFonts w:ascii="Tahoma" w:hAnsi="Tahoma" w:cs="Tahoma"/>
        </w:rPr>
      </w:pPr>
    </w:p>
    <w:p w:rsidR="00993F66" w:rsidRDefault="002A38DA" w:rsidP="00FF5987">
      <w:pPr>
        <w:widowControl w:val="0"/>
        <w:autoSpaceDE w:val="0"/>
        <w:autoSpaceDN w:val="0"/>
        <w:adjustRightInd w:val="0"/>
        <w:ind w:firstLine="709"/>
        <w:jc w:val="both"/>
        <w:rPr>
          <w:rFonts w:ascii="Tahoma" w:hAnsi="Tahoma" w:cs="Tahoma"/>
        </w:rPr>
      </w:pPr>
      <w:bookmarkStart w:id="2" w:name="_Hlk520655931"/>
      <w:r>
        <w:rPr>
          <w:rFonts w:ascii="Tahoma" w:hAnsi="Tahoma" w:cs="Tahoma"/>
        </w:rPr>
        <w:t xml:space="preserve">Por la razón anterior, </w:t>
      </w:r>
      <w:r w:rsidR="00B372F3">
        <w:rPr>
          <w:rFonts w:ascii="Tahoma" w:hAnsi="Tahoma" w:cs="Tahoma"/>
        </w:rPr>
        <w:t xml:space="preserve">resulta un exabrupto dar por sentado que </w:t>
      </w:r>
      <w:r w:rsidR="00B372F3" w:rsidRPr="00B372F3">
        <w:rPr>
          <w:rFonts w:ascii="Tahoma" w:hAnsi="Tahoma" w:cs="Tahoma"/>
          <w:b/>
        </w:rPr>
        <w:t>todos los dineros</w:t>
      </w:r>
      <w:r w:rsidR="00B372F3">
        <w:rPr>
          <w:rFonts w:ascii="Tahoma" w:hAnsi="Tahoma" w:cs="Tahoma"/>
        </w:rPr>
        <w:t xml:space="preserve"> que COLPENSIONES tiene depositados en las diferentes entidades bancarias pertenece</w:t>
      </w:r>
      <w:r w:rsidR="00495F73">
        <w:rPr>
          <w:rFonts w:ascii="Tahoma" w:hAnsi="Tahoma" w:cs="Tahoma"/>
        </w:rPr>
        <w:t>n</w:t>
      </w:r>
      <w:r w:rsidR="00B372F3">
        <w:rPr>
          <w:rFonts w:ascii="Tahoma" w:hAnsi="Tahoma" w:cs="Tahoma"/>
        </w:rPr>
        <w:t xml:space="preserve"> al sistema general de pensiones del régimen</w:t>
      </w:r>
      <w:r w:rsidR="00645C48">
        <w:rPr>
          <w:rFonts w:ascii="Tahoma" w:hAnsi="Tahoma" w:cs="Tahoma"/>
        </w:rPr>
        <w:t xml:space="preserve"> </w:t>
      </w:r>
      <w:r w:rsidR="00B372F3">
        <w:rPr>
          <w:rFonts w:ascii="Tahoma" w:hAnsi="Tahoma" w:cs="Tahoma"/>
        </w:rPr>
        <w:t>de prima media, como lo da a entender dich</w:t>
      </w:r>
      <w:r w:rsidR="00495F73">
        <w:rPr>
          <w:rFonts w:ascii="Tahoma" w:hAnsi="Tahoma" w:cs="Tahoma"/>
        </w:rPr>
        <w:t xml:space="preserve">o Fondo de Pensiones </w:t>
      </w:r>
      <w:r w:rsidR="00B372F3">
        <w:rPr>
          <w:rFonts w:ascii="Tahoma" w:hAnsi="Tahoma" w:cs="Tahoma"/>
        </w:rPr>
        <w:t xml:space="preserve">en el comunicado del 31 de marzo de 2016 </w:t>
      </w:r>
      <w:r w:rsidR="00495F73">
        <w:rPr>
          <w:rFonts w:ascii="Tahoma" w:hAnsi="Tahoma" w:cs="Tahoma"/>
        </w:rPr>
        <w:t>traído</w:t>
      </w:r>
      <w:r w:rsidR="00B372F3">
        <w:rPr>
          <w:rFonts w:ascii="Tahoma" w:hAnsi="Tahoma" w:cs="Tahoma"/>
        </w:rPr>
        <w:t xml:space="preserve"> a colación por la jueza de primer grado, </w:t>
      </w:r>
      <w:r w:rsidR="00495F73">
        <w:rPr>
          <w:rFonts w:ascii="Tahoma" w:hAnsi="Tahoma" w:cs="Tahoma"/>
        </w:rPr>
        <w:t>pues</w:t>
      </w:r>
      <w:r>
        <w:rPr>
          <w:rFonts w:ascii="Tahoma" w:hAnsi="Tahoma" w:cs="Tahoma"/>
        </w:rPr>
        <w:t>, como acaba de verse, existen otros dineros propios (depositados en cuentas bancarias) que no hacen parte del sistema general de pensiones del régimen de prima media</w:t>
      </w:r>
      <w:r w:rsidR="009205C6">
        <w:rPr>
          <w:rFonts w:ascii="Tahoma" w:hAnsi="Tahoma" w:cs="Tahoma"/>
        </w:rPr>
        <w:t xml:space="preserve"> o que no tienen la calidad de inembargables.</w:t>
      </w:r>
      <w:r>
        <w:rPr>
          <w:rFonts w:ascii="Tahoma" w:hAnsi="Tahoma" w:cs="Tahoma"/>
        </w:rPr>
        <w:t xml:space="preserve"> </w:t>
      </w:r>
    </w:p>
    <w:p w:rsidR="00993F66" w:rsidRDefault="00993F66" w:rsidP="00FF5987">
      <w:pPr>
        <w:widowControl w:val="0"/>
        <w:autoSpaceDE w:val="0"/>
        <w:autoSpaceDN w:val="0"/>
        <w:adjustRightInd w:val="0"/>
        <w:ind w:firstLine="709"/>
        <w:jc w:val="both"/>
        <w:rPr>
          <w:rFonts w:ascii="Tahoma" w:hAnsi="Tahoma" w:cs="Tahoma"/>
        </w:rPr>
      </w:pPr>
    </w:p>
    <w:p w:rsidR="00220868" w:rsidRDefault="00495F73" w:rsidP="00220868">
      <w:pPr>
        <w:widowControl w:val="0"/>
        <w:autoSpaceDE w:val="0"/>
        <w:autoSpaceDN w:val="0"/>
        <w:adjustRightInd w:val="0"/>
        <w:ind w:firstLine="709"/>
        <w:jc w:val="both"/>
        <w:rPr>
          <w:rFonts w:ascii="Tahoma" w:hAnsi="Tahoma" w:cs="Tahoma"/>
        </w:rPr>
      </w:pPr>
      <w:r>
        <w:rPr>
          <w:rFonts w:ascii="Tahoma" w:hAnsi="Tahoma" w:cs="Tahoma"/>
        </w:rPr>
        <w:t xml:space="preserve">En ese orden de ideas, como quiera que en el presente caso no existe evidencia de </w:t>
      </w:r>
      <w:r w:rsidR="00220868">
        <w:rPr>
          <w:rFonts w:ascii="Tahoma" w:hAnsi="Tahoma" w:cs="Tahoma"/>
        </w:rPr>
        <w:t>que</w:t>
      </w:r>
      <w:r>
        <w:rPr>
          <w:rFonts w:ascii="Tahoma" w:hAnsi="Tahoma" w:cs="Tahoma"/>
        </w:rPr>
        <w:t xml:space="preserve"> la cuenta bancaria </w:t>
      </w:r>
      <w:r w:rsidR="00220868">
        <w:rPr>
          <w:rFonts w:ascii="Tahoma" w:hAnsi="Tahoma" w:cs="Tahoma"/>
        </w:rPr>
        <w:t>denunciada</w:t>
      </w:r>
      <w:r>
        <w:rPr>
          <w:rFonts w:ascii="Tahoma" w:hAnsi="Tahoma" w:cs="Tahoma"/>
        </w:rPr>
        <w:t xml:space="preserve"> por la </w:t>
      </w:r>
      <w:r w:rsidR="00220868">
        <w:rPr>
          <w:rFonts w:ascii="Tahoma" w:hAnsi="Tahoma" w:cs="Tahoma"/>
        </w:rPr>
        <w:t>parte</w:t>
      </w:r>
      <w:r>
        <w:rPr>
          <w:rFonts w:ascii="Tahoma" w:hAnsi="Tahoma" w:cs="Tahoma"/>
        </w:rPr>
        <w:t xml:space="preserve"> ejecutante </w:t>
      </w:r>
      <w:r w:rsidR="00220868">
        <w:rPr>
          <w:rFonts w:ascii="Tahoma" w:hAnsi="Tahoma" w:cs="Tahoma"/>
        </w:rPr>
        <w:t>contenga</w:t>
      </w:r>
      <w:r>
        <w:rPr>
          <w:rFonts w:ascii="Tahoma" w:hAnsi="Tahoma" w:cs="Tahoma"/>
        </w:rPr>
        <w:t xml:space="preserve"> re</w:t>
      </w:r>
      <w:r w:rsidR="00220868">
        <w:rPr>
          <w:rFonts w:ascii="Tahoma" w:hAnsi="Tahoma" w:cs="Tahoma"/>
        </w:rPr>
        <w:t>curs</w:t>
      </w:r>
      <w:r>
        <w:rPr>
          <w:rFonts w:ascii="Tahoma" w:hAnsi="Tahoma" w:cs="Tahoma"/>
        </w:rPr>
        <w:t>os inembargables,</w:t>
      </w:r>
      <w:r w:rsidR="00220868">
        <w:rPr>
          <w:rFonts w:ascii="Tahoma" w:hAnsi="Tahoma" w:cs="Tahoma"/>
        </w:rPr>
        <w:t xml:space="preserve"> procede la medida cautelar solicitada, a efectos de que el respectivo Banco se pronuncie en su oportunidad.</w:t>
      </w:r>
    </w:p>
    <w:bookmarkEnd w:id="2"/>
    <w:p w:rsidR="00993F66" w:rsidRDefault="00220868" w:rsidP="00220868">
      <w:pPr>
        <w:widowControl w:val="0"/>
        <w:autoSpaceDE w:val="0"/>
        <w:autoSpaceDN w:val="0"/>
        <w:adjustRightInd w:val="0"/>
        <w:ind w:firstLine="709"/>
        <w:jc w:val="both"/>
        <w:rPr>
          <w:rFonts w:ascii="Tahoma" w:hAnsi="Tahoma" w:cs="Tahoma"/>
        </w:rPr>
      </w:pPr>
      <w:r>
        <w:rPr>
          <w:rFonts w:ascii="Tahoma" w:hAnsi="Tahoma" w:cs="Tahoma"/>
        </w:rPr>
        <w:t xml:space="preserve">Por lo tanto se revocará el punto objeto de apelación para en su lugar ordenar a la jueza de instancia que proceda a decretar la medida cautelar solicitada, advirtiendo a la entidad bancaria que el embargo afecta las cuentas bancarias que no contengan </w:t>
      </w:r>
      <w:r w:rsidR="00993F66">
        <w:rPr>
          <w:rFonts w:ascii="Tahoma" w:hAnsi="Tahoma" w:cs="Tahoma"/>
        </w:rPr>
        <w:t>recursos inembargables.</w:t>
      </w:r>
    </w:p>
    <w:p w:rsidR="00FF5987" w:rsidRPr="00FF5987" w:rsidRDefault="00FF5987" w:rsidP="00FF5987">
      <w:pPr>
        <w:widowControl w:val="0"/>
        <w:autoSpaceDE w:val="0"/>
        <w:autoSpaceDN w:val="0"/>
        <w:adjustRightInd w:val="0"/>
        <w:ind w:firstLine="709"/>
        <w:jc w:val="both"/>
        <w:rPr>
          <w:rFonts w:ascii="Tahoma" w:hAnsi="Tahoma" w:cs="Tahoma"/>
        </w:rPr>
      </w:pPr>
      <w:r w:rsidRPr="00FF5987">
        <w:rPr>
          <w:rFonts w:ascii="Tahoma" w:hAnsi="Tahoma" w:cs="Tahoma"/>
        </w:rPr>
        <w:t>Sin lugar a costas en esta instancia en razón a que prosperó el recurso.</w:t>
      </w:r>
    </w:p>
    <w:p w:rsidR="00FF5987" w:rsidRDefault="00FF5987" w:rsidP="00FF5987">
      <w:pPr>
        <w:widowControl w:val="0"/>
        <w:autoSpaceDE w:val="0"/>
        <w:autoSpaceDN w:val="0"/>
        <w:adjustRightInd w:val="0"/>
        <w:ind w:firstLine="709"/>
        <w:jc w:val="both"/>
        <w:rPr>
          <w:rFonts w:ascii="Tahoma" w:hAnsi="Tahoma" w:cs="Tahoma"/>
        </w:rPr>
      </w:pPr>
      <w:r w:rsidRPr="00FF5987">
        <w:rPr>
          <w:rFonts w:ascii="Tahoma" w:hAnsi="Tahoma" w:cs="Tahoma"/>
        </w:rPr>
        <w:t xml:space="preserve">En mérito de lo expuesto, el </w:t>
      </w:r>
      <w:r w:rsidRPr="00FF5987">
        <w:rPr>
          <w:rFonts w:ascii="Tahoma" w:hAnsi="Tahoma" w:cs="Tahoma"/>
          <w:b/>
        </w:rPr>
        <w:t>Tribunal Superior del Distrito Judicial de Pereira (Risaralda)</w:t>
      </w:r>
      <w:r w:rsidRPr="00FF5987">
        <w:rPr>
          <w:rFonts w:ascii="Tahoma" w:hAnsi="Tahoma" w:cs="Tahoma"/>
        </w:rPr>
        <w:t xml:space="preserve">, </w:t>
      </w:r>
      <w:r w:rsidRPr="00FF5987">
        <w:rPr>
          <w:rFonts w:ascii="Tahoma" w:hAnsi="Tahoma" w:cs="Tahoma"/>
          <w:b/>
        </w:rPr>
        <w:t>Sala de Decisión Laboral</w:t>
      </w:r>
      <w:r w:rsidR="00A622B4">
        <w:rPr>
          <w:rFonts w:ascii="Tahoma" w:hAnsi="Tahoma" w:cs="Tahoma"/>
          <w:b/>
        </w:rPr>
        <w:t xml:space="preserve"> No. 1</w:t>
      </w:r>
      <w:r w:rsidRPr="00FF5987">
        <w:rPr>
          <w:rFonts w:ascii="Tahoma" w:hAnsi="Tahoma" w:cs="Tahoma"/>
        </w:rPr>
        <w:t xml:space="preserve">, </w:t>
      </w:r>
    </w:p>
    <w:p w:rsidR="00A622B4" w:rsidRDefault="00A622B4" w:rsidP="00FF5987">
      <w:pPr>
        <w:widowControl w:val="0"/>
        <w:autoSpaceDE w:val="0"/>
        <w:autoSpaceDN w:val="0"/>
        <w:adjustRightInd w:val="0"/>
        <w:ind w:firstLine="709"/>
        <w:jc w:val="both"/>
        <w:rPr>
          <w:rFonts w:ascii="Tahoma" w:hAnsi="Tahoma" w:cs="Tahoma"/>
        </w:rPr>
      </w:pPr>
    </w:p>
    <w:p w:rsidR="00FF5987" w:rsidRPr="00FF5987" w:rsidRDefault="00FF5987" w:rsidP="00FF5987">
      <w:pPr>
        <w:widowControl w:val="0"/>
        <w:autoSpaceDE w:val="0"/>
        <w:autoSpaceDN w:val="0"/>
        <w:adjustRightInd w:val="0"/>
        <w:jc w:val="center"/>
        <w:rPr>
          <w:rFonts w:ascii="Tahoma" w:hAnsi="Tahoma" w:cs="Tahoma"/>
          <w:b/>
        </w:rPr>
      </w:pPr>
      <w:r w:rsidRPr="00FF5987">
        <w:rPr>
          <w:rFonts w:ascii="Tahoma" w:hAnsi="Tahoma" w:cs="Tahoma"/>
          <w:b/>
        </w:rPr>
        <w:lastRenderedPageBreak/>
        <w:t>R E S U E L V E:</w:t>
      </w:r>
    </w:p>
    <w:p w:rsidR="00220868" w:rsidRDefault="00FF5987" w:rsidP="005C20B8">
      <w:pPr>
        <w:widowControl w:val="0"/>
        <w:autoSpaceDE w:val="0"/>
        <w:autoSpaceDN w:val="0"/>
        <w:adjustRightInd w:val="0"/>
        <w:ind w:firstLine="708"/>
        <w:jc w:val="both"/>
        <w:rPr>
          <w:rFonts w:ascii="Tahoma" w:hAnsi="Tahoma" w:cs="Tahoma"/>
        </w:rPr>
      </w:pPr>
      <w:r w:rsidRPr="00EA2018">
        <w:rPr>
          <w:rFonts w:ascii="Tahoma" w:hAnsi="Tahoma" w:cs="Tahoma"/>
          <w:b/>
          <w:u w:val="single"/>
        </w:rPr>
        <w:t>PRIMERO</w:t>
      </w:r>
      <w:r w:rsidRPr="00EA2018">
        <w:rPr>
          <w:rFonts w:ascii="Tahoma" w:hAnsi="Tahoma" w:cs="Tahoma"/>
        </w:rPr>
        <w:t>.</w:t>
      </w:r>
      <w:r w:rsidRPr="00220868">
        <w:rPr>
          <w:rFonts w:ascii="Tahoma" w:hAnsi="Tahoma" w:cs="Tahoma"/>
          <w:b/>
        </w:rPr>
        <w:t xml:space="preserve">- </w:t>
      </w:r>
      <w:r w:rsidR="00220868" w:rsidRPr="00220868">
        <w:rPr>
          <w:rFonts w:ascii="Tahoma" w:hAnsi="Tahoma" w:cs="Tahoma"/>
          <w:b/>
        </w:rPr>
        <w:t>REVOCAR</w:t>
      </w:r>
      <w:r w:rsidR="00220868">
        <w:rPr>
          <w:rFonts w:ascii="Tahoma" w:hAnsi="Tahoma" w:cs="Tahoma"/>
        </w:rPr>
        <w:t xml:space="preserve"> el numeral cuarto de la parte resolutiva del auto objeto de apelación por las razones expuestas en precedencia. </w:t>
      </w:r>
    </w:p>
    <w:p w:rsidR="00220868" w:rsidRDefault="00220868" w:rsidP="005C20B8">
      <w:pPr>
        <w:widowControl w:val="0"/>
        <w:autoSpaceDE w:val="0"/>
        <w:autoSpaceDN w:val="0"/>
        <w:adjustRightInd w:val="0"/>
        <w:ind w:firstLine="708"/>
        <w:jc w:val="both"/>
        <w:rPr>
          <w:rFonts w:ascii="Tahoma" w:hAnsi="Tahoma" w:cs="Tahoma"/>
        </w:rPr>
      </w:pPr>
    </w:p>
    <w:p w:rsidR="00FF5987" w:rsidRDefault="00220868" w:rsidP="005C20B8">
      <w:pPr>
        <w:widowControl w:val="0"/>
        <w:autoSpaceDE w:val="0"/>
        <w:autoSpaceDN w:val="0"/>
        <w:adjustRightInd w:val="0"/>
        <w:ind w:firstLine="708"/>
        <w:jc w:val="both"/>
        <w:rPr>
          <w:rFonts w:ascii="Tahoma" w:hAnsi="Tahoma" w:cs="Tahoma"/>
        </w:rPr>
      </w:pPr>
      <w:r>
        <w:rPr>
          <w:rFonts w:ascii="Tahoma" w:hAnsi="Tahoma" w:cs="Tahoma"/>
          <w:b/>
          <w:u w:val="single"/>
        </w:rPr>
        <w:t>SEGUNDO.</w:t>
      </w:r>
      <w:r>
        <w:rPr>
          <w:rFonts w:ascii="Tahoma" w:hAnsi="Tahoma" w:cs="Tahoma"/>
          <w:b/>
        </w:rPr>
        <w:t xml:space="preserve">- </w:t>
      </w:r>
      <w:r>
        <w:rPr>
          <w:rFonts w:ascii="Tahoma" w:hAnsi="Tahoma" w:cs="Tahoma"/>
        </w:rPr>
        <w:t xml:space="preserve">En su lugar, </w:t>
      </w:r>
      <w:r w:rsidR="00FF5987" w:rsidRPr="0026150E">
        <w:rPr>
          <w:rFonts w:ascii="Tahoma" w:hAnsi="Tahoma" w:cs="Tahoma"/>
          <w:b/>
        </w:rPr>
        <w:t>ORDENAR</w:t>
      </w:r>
      <w:r w:rsidR="00FF5987">
        <w:rPr>
          <w:rFonts w:ascii="Tahoma" w:hAnsi="Tahoma" w:cs="Tahoma"/>
        </w:rPr>
        <w:t xml:space="preserve"> al Ju</w:t>
      </w:r>
      <w:r>
        <w:rPr>
          <w:rFonts w:ascii="Tahoma" w:hAnsi="Tahoma" w:cs="Tahoma"/>
        </w:rPr>
        <w:t xml:space="preserve">zgado </w:t>
      </w:r>
      <w:r w:rsidR="00FF5987">
        <w:rPr>
          <w:rFonts w:ascii="Tahoma" w:hAnsi="Tahoma" w:cs="Tahoma"/>
        </w:rPr>
        <w:t>de instancia que proceda a decretar la medida cautelar</w:t>
      </w:r>
      <w:r w:rsidR="005C20B8">
        <w:rPr>
          <w:rFonts w:ascii="Tahoma" w:hAnsi="Tahoma" w:cs="Tahoma"/>
        </w:rPr>
        <w:t xml:space="preserve"> </w:t>
      </w:r>
      <w:r>
        <w:rPr>
          <w:rFonts w:ascii="Tahoma" w:hAnsi="Tahoma" w:cs="Tahoma"/>
        </w:rPr>
        <w:t xml:space="preserve">solicitada </w:t>
      </w:r>
      <w:r w:rsidR="005C20B8">
        <w:rPr>
          <w:rFonts w:ascii="Tahoma" w:hAnsi="Tahoma" w:cs="Tahoma"/>
        </w:rPr>
        <w:t xml:space="preserve">para garantizar el pago de las costas procesales del proceso ordinario, </w:t>
      </w:r>
      <w:r w:rsidR="00FF5987">
        <w:rPr>
          <w:rFonts w:ascii="Tahoma" w:hAnsi="Tahoma" w:cs="Tahoma"/>
        </w:rPr>
        <w:t xml:space="preserve">advirtiendo a las entidades bancarias que el embargo afecta las cuentas bancarias que no contengan </w:t>
      </w:r>
      <w:r w:rsidR="00993F66">
        <w:rPr>
          <w:rFonts w:ascii="Tahoma" w:hAnsi="Tahoma" w:cs="Tahoma"/>
        </w:rPr>
        <w:t>recursos</w:t>
      </w:r>
      <w:r w:rsidR="002A38DA">
        <w:rPr>
          <w:rFonts w:ascii="Tahoma" w:hAnsi="Tahoma" w:cs="Tahoma"/>
        </w:rPr>
        <w:t xml:space="preserve"> inembargables</w:t>
      </w:r>
      <w:r w:rsidR="00FF5987">
        <w:rPr>
          <w:rFonts w:ascii="Tahoma" w:hAnsi="Tahoma" w:cs="Tahoma"/>
        </w:rPr>
        <w:t>.</w:t>
      </w:r>
    </w:p>
    <w:p w:rsidR="00FF5987" w:rsidRDefault="00220868" w:rsidP="00FF5987">
      <w:pPr>
        <w:widowControl w:val="0"/>
        <w:autoSpaceDE w:val="0"/>
        <w:autoSpaceDN w:val="0"/>
        <w:adjustRightInd w:val="0"/>
        <w:ind w:firstLine="709"/>
        <w:jc w:val="both"/>
        <w:rPr>
          <w:rFonts w:ascii="Tahoma" w:hAnsi="Tahoma" w:cs="Tahoma"/>
        </w:rPr>
      </w:pPr>
      <w:r>
        <w:rPr>
          <w:rFonts w:ascii="Tahoma" w:hAnsi="Tahoma" w:cs="Tahoma"/>
          <w:b/>
          <w:u w:val="single"/>
        </w:rPr>
        <w:t>TERCER</w:t>
      </w:r>
      <w:r w:rsidR="00FF5987" w:rsidRPr="00742218">
        <w:rPr>
          <w:rFonts w:ascii="Tahoma" w:hAnsi="Tahoma" w:cs="Tahoma"/>
          <w:b/>
          <w:u w:val="single"/>
        </w:rPr>
        <w:t>O</w:t>
      </w:r>
      <w:r w:rsidR="00FF5987" w:rsidRPr="001F5B44">
        <w:rPr>
          <w:rFonts w:ascii="Tahoma" w:hAnsi="Tahoma" w:cs="Tahoma"/>
          <w:b/>
        </w:rPr>
        <w:t>.-</w:t>
      </w:r>
      <w:r w:rsidR="00FF5987">
        <w:rPr>
          <w:rFonts w:ascii="Tahoma" w:hAnsi="Tahoma" w:cs="Tahoma"/>
          <w:b/>
        </w:rPr>
        <w:t xml:space="preserve"> </w:t>
      </w:r>
      <w:r w:rsidR="00FF5987">
        <w:rPr>
          <w:rFonts w:ascii="Tahoma" w:hAnsi="Tahoma" w:cs="Tahoma"/>
        </w:rPr>
        <w:t>Sin costas en esta instancia.</w:t>
      </w:r>
    </w:p>
    <w:p w:rsidR="000F6447" w:rsidRDefault="000F6447" w:rsidP="005C20B8">
      <w:pPr>
        <w:widowControl w:val="0"/>
        <w:autoSpaceDE w:val="0"/>
        <w:autoSpaceDN w:val="0"/>
        <w:adjustRightInd w:val="0"/>
        <w:ind w:firstLine="708"/>
        <w:jc w:val="center"/>
        <w:rPr>
          <w:rFonts w:ascii="Tahoma" w:hAnsi="Tahoma" w:cs="Tahoma"/>
          <w:b/>
        </w:rPr>
      </w:pPr>
    </w:p>
    <w:p w:rsidR="00FF5987" w:rsidRPr="00EA2018" w:rsidRDefault="00FF5987" w:rsidP="005C20B8">
      <w:pPr>
        <w:widowControl w:val="0"/>
        <w:autoSpaceDE w:val="0"/>
        <w:autoSpaceDN w:val="0"/>
        <w:adjustRightInd w:val="0"/>
        <w:ind w:firstLine="708"/>
        <w:jc w:val="center"/>
        <w:rPr>
          <w:rFonts w:ascii="Tahoma" w:hAnsi="Tahoma" w:cs="Tahoma"/>
        </w:rPr>
      </w:pPr>
      <w:r>
        <w:rPr>
          <w:rFonts w:ascii="Tahoma" w:hAnsi="Tahoma" w:cs="Tahoma"/>
          <w:b/>
        </w:rPr>
        <w:t>NOTIFÍQUESE Y CÚMPLASE</w:t>
      </w:r>
    </w:p>
    <w:p w:rsidR="00FF5987" w:rsidRDefault="00FF5987" w:rsidP="00FF5987">
      <w:pPr>
        <w:widowControl w:val="0"/>
        <w:autoSpaceDE w:val="0"/>
        <w:autoSpaceDN w:val="0"/>
        <w:adjustRightInd w:val="0"/>
        <w:jc w:val="both"/>
        <w:rPr>
          <w:rFonts w:ascii="Tahoma" w:hAnsi="Tahoma" w:cs="Tahoma"/>
        </w:rPr>
      </w:pPr>
    </w:p>
    <w:p w:rsidR="00FF5987" w:rsidRPr="00EA2018" w:rsidRDefault="00FF5987" w:rsidP="00FF5987">
      <w:pPr>
        <w:widowControl w:val="0"/>
        <w:autoSpaceDE w:val="0"/>
        <w:autoSpaceDN w:val="0"/>
        <w:adjustRightInd w:val="0"/>
        <w:jc w:val="both"/>
        <w:rPr>
          <w:rFonts w:ascii="Tahoma" w:hAnsi="Tahoma" w:cs="Tahoma"/>
        </w:rPr>
      </w:pPr>
      <w:r w:rsidRPr="00EA2018">
        <w:rPr>
          <w:rFonts w:ascii="Tahoma" w:hAnsi="Tahoma" w:cs="Tahoma"/>
        </w:rPr>
        <w:tab/>
        <w:t>L</w:t>
      </w:r>
      <w:r>
        <w:rPr>
          <w:rFonts w:ascii="Tahoma" w:hAnsi="Tahoma" w:cs="Tahoma"/>
        </w:rPr>
        <w:t xml:space="preserve">a </w:t>
      </w:r>
      <w:r w:rsidRPr="00EA2018">
        <w:rPr>
          <w:rFonts w:ascii="Tahoma" w:hAnsi="Tahoma" w:cs="Tahoma"/>
        </w:rPr>
        <w:t>Magistrad</w:t>
      </w:r>
      <w:r>
        <w:rPr>
          <w:rFonts w:ascii="Tahoma" w:hAnsi="Tahoma" w:cs="Tahoma"/>
        </w:rPr>
        <w:t>a</w:t>
      </w:r>
      <w:r w:rsidR="000F6447">
        <w:rPr>
          <w:rFonts w:ascii="Tahoma" w:hAnsi="Tahoma" w:cs="Tahoma"/>
        </w:rPr>
        <w:t xml:space="preserve"> Ponente</w:t>
      </w:r>
      <w:r w:rsidRPr="00EA2018">
        <w:rPr>
          <w:rFonts w:ascii="Tahoma" w:hAnsi="Tahoma" w:cs="Tahoma"/>
        </w:rPr>
        <w:t>,</w:t>
      </w:r>
    </w:p>
    <w:p w:rsidR="00FF5987" w:rsidRDefault="00FF5987" w:rsidP="00FF5987">
      <w:pPr>
        <w:widowControl w:val="0"/>
        <w:autoSpaceDE w:val="0"/>
        <w:autoSpaceDN w:val="0"/>
        <w:adjustRightInd w:val="0"/>
        <w:jc w:val="both"/>
        <w:rPr>
          <w:rFonts w:ascii="Tahoma" w:hAnsi="Tahoma" w:cs="Tahoma"/>
        </w:rPr>
      </w:pPr>
    </w:p>
    <w:p w:rsidR="00FF5987" w:rsidRPr="00EA2018" w:rsidRDefault="00FF5987" w:rsidP="00FF5987">
      <w:pPr>
        <w:widowControl w:val="0"/>
        <w:autoSpaceDE w:val="0"/>
        <w:autoSpaceDN w:val="0"/>
        <w:adjustRightInd w:val="0"/>
        <w:jc w:val="both"/>
        <w:rPr>
          <w:rFonts w:ascii="Tahoma" w:hAnsi="Tahoma" w:cs="Tahoma"/>
        </w:rPr>
      </w:pPr>
    </w:p>
    <w:p w:rsidR="00FF5987" w:rsidRDefault="00FF5987" w:rsidP="00A6180B">
      <w:pPr>
        <w:widowControl w:val="0"/>
        <w:autoSpaceDE w:val="0"/>
        <w:autoSpaceDN w:val="0"/>
        <w:adjustRightInd w:val="0"/>
        <w:spacing w:line="240" w:lineRule="auto"/>
        <w:jc w:val="center"/>
        <w:rPr>
          <w:rFonts w:ascii="Tahoma" w:hAnsi="Tahoma" w:cs="Tahoma"/>
          <w:b/>
        </w:rPr>
      </w:pPr>
      <w:r w:rsidRPr="00EA2018">
        <w:rPr>
          <w:rFonts w:ascii="Tahoma" w:hAnsi="Tahoma" w:cs="Tahoma"/>
          <w:b/>
        </w:rPr>
        <w:t>ANA LUCÍA CAICEDO CALDERÓN</w:t>
      </w:r>
    </w:p>
    <w:p w:rsidR="00A6180B" w:rsidRPr="00EA2018" w:rsidRDefault="00A6180B" w:rsidP="00A6180B">
      <w:pPr>
        <w:widowControl w:val="0"/>
        <w:autoSpaceDE w:val="0"/>
        <w:autoSpaceDN w:val="0"/>
        <w:adjustRightInd w:val="0"/>
        <w:spacing w:line="240" w:lineRule="auto"/>
        <w:jc w:val="center"/>
        <w:rPr>
          <w:rFonts w:ascii="Tahoma" w:hAnsi="Tahoma" w:cs="Tahoma"/>
          <w:b/>
        </w:rPr>
      </w:pPr>
      <w:r>
        <w:rPr>
          <w:rFonts w:ascii="Tahoma" w:hAnsi="Tahoma" w:cs="Tahoma"/>
          <w:b/>
        </w:rPr>
        <w:t>Aclara voto</w:t>
      </w:r>
    </w:p>
    <w:p w:rsidR="00FF5987" w:rsidRDefault="00FF5987" w:rsidP="00FF5987">
      <w:pPr>
        <w:widowControl w:val="0"/>
        <w:autoSpaceDE w:val="0"/>
        <w:autoSpaceDN w:val="0"/>
        <w:adjustRightInd w:val="0"/>
        <w:jc w:val="center"/>
        <w:rPr>
          <w:rFonts w:ascii="Tahoma" w:hAnsi="Tahoma" w:cs="Tahoma"/>
          <w:b/>
        </w:rPr>
      </w:pPr>
    </w:p>
    <w:p w:rsidR="00FF5987" w:rsidRDefault="00FF5987" w:rsidP="00FF5987">
      <w:pPr>
        <w:widowControl w:val="0"/>
        <w:autoSpaceDE w:val="0"/>
        <w:autoSpaceDN w:val="0"/>
        <w:adjustRightInd w:val="0"/>
        <w:rPr>
          <w:rFonts w:ascii="Tahoma" w:hAnsi="Tahoma" w:cs="Tahoma"/>
        </w:rPr>
      </w:pPr>
      <w:r>
        <w:rPr>
          <w:rFonts w:ascii="Tahoma" w:hAnsi="Tahoma" w:cs="Tahoma"/>
        </w:rPr>
        <w:tab/>
      </w:r>
      <w:r w:rsidRPr="00EA2018">
        <w:rPr>
          <w:rFonts w:ascii="Tahoma" w:hAnsi="Tahoma" w:cs="Tahoma"/>
        </w:rPr>
        <w:t>L</w:t>
      </w:r>
      <w:r w:rsidR="00220868">
        <w:rPr>
          <w:rFonts w:ascii="Tahoma" w:hAnsi="Tahoma" w:cs="Tahoma"/>
        </w:rPr>
        <w:t xml:space="preserve">a Magistrada y el </w:t>
      </w:r>
      <w:r w:rsidRPr="00EA2018">
        <w:rPr>
          <w:rFonts w:ascii="Tahoma" w:hAnsi="Tahoma" w:cs="Tahoma"/>
        </w:rPr>
        <w:t>Magistrado,</w:t>
      </w:r>
    </w:p>
    <w:p w:rsidR="00FF5987" w:rsidRDefault="00FF5987" w:rsidP="00FF5987">
      <w:pPr>
        <w:widowControl w:val="0"/>
        <w:autoSpaceDE w:val="0"/>
        <w:autoSpaceDN w:val="0"/>
        <w:adjustRightInd w:val="0"/>
        <w:rPr>
          <w:rFonts w:ascii="Tahoma" w:hAnsi="Tahoma" w:cs="Tahoma"/>
        </w:rPr>
      </w:pPr>
    </w:p>
    <w:p w:rsidR="00FF5987" w:rsidRPr="00EA2018" w:rsidRDefault="00FF5987" w:rsidP="00FF5987">
      <w:pPr>
        <w:widowControl w:val="0"/>
        <w:autoSpaceDE w:val="0"/>
        <w:autoSpaceDN w:val="0"/>
        <w:adjustRightInd w:val="0"/>
        <w:rPr>
          <w:rFonts w:ascii="Tahoma" w:hAnsi="Tahoma" w:cs="Tahoma"/>
          <w:b/>
        </w:rPr>
      </w:pPr>
    </w:p>
    <w:p w:rsidR="00FF5987" w:rsidRDefault="00FF5987" w:rsidP="00FF5987">
      <w:pPr>
        <w:widowControl w:val="0"/>
        <w:autoSpaceDE w:val="0"/>
        <w:autoSpaceDN w:val="0"/>
        <w:adjustRightInd w:val="0"/>
        <w:jc w:val="center"/>
        <w:rPr>
          <w:rFonts w:ascii="Tahoma" w:hAnsi="Tahoma" w:cs="Tahoma"/>
          <w:b/>
        </w:rPr>
      </w:pPr>
    </w:p>
    <w:p w:rsidR="00FF5987" w:rsidRPr="00EA2018" w:rsidRDefault="00FF5987" w:rsidP="00FF5987">
      <w:pPr>
        <w:widowControl w:val="0"/>
        <w:autoSpaceDE w:val="0"/>
        <w:autoSpaceDN w:val="0"/>
        <w:adjustRightInd w:val="0"/>
        <w:jc w:val="center"/>
        <w:rPr>
          <w:rFonts w:ascii="Tahoma" w:hAnsi="Tahoma" w:cs="Tahoma"/>
          <w:b/>
        </w:rPr>
      </w:pPr>
    </w:p>
    <w:p w:rsidR="004447B1" w:rsidRPr="00593775" w:rsidRDefault="00246E5E" w:rsidP="000F6447">
      <w:pPr>
        <w:widowControl w:val="0"/>
        <w:autoSpaceDE w:val="0"/>
        <w:autoSpaceDN w:val="0"/>
        <w:adjustRightInd w:val="0"/>
        <w:jc w:val="both"/>
        <w:rPr>
          <w:rFonts w:ascii="Tahoma" w:hAnsi="Tahoma" w:cs="Tahoma"/>
          <w:sz w:val="24"/>
          <w:szCs w:val="24"/>
        </w:rPr>
      </w:pPr>
      <w:r>
        <w:rPr>
          <w:rFonts w:ascii="Tahoma" w:hAnsi="Tahoma" w:cs="Tahoma"/>
          <w:b/>
        </w:rPr>
        <w:t>OLGA LUCÍA HOYOS SEPÚLVEDA</w:t>
      </w:r>
      <w:r>
        <w:rPr>
          <w:rFonts w:ascii="Tahoma" w:hAnsi="Tahoma" w:cs="Tahoma"/>
          <w:b/>
        </w:rPr>
        <w:tab/>
      </w:r>
      <w:r>
        <w:rPr>
          <w:rFonts w:ascii="Tahoma" w:hAnsi="Tahoma" w:cs="Tahoma"/>
          <w:b/>
        </w:rPr>
        <w:tab/>
      </w:r>
      <w:r>
        <w:rPr>
          <w:rFonts w:ascii="Tahoma" w:hAnsi="Tahoma" w:cs="Tahoma"/>
          <w:b/>
        </w:rPr>
        <w:tab/>
      </w:r>
      <w:r w:rsidR="00FF5987" w:rsidRPr="00EA2018">
        <w:rPr>
          <w:rFonts w:ascii="Tahoma" w:hAnsi="Tahoma" w:cs="Tahoma"/>
          <w:b/>
        </w:rPr>
        <w:t>JULIO CÉSAR SALAZAR MUÑOZ</w:t>
      </w:r>
      <w:r w:rsidR="000F6447">
        <w:rPr>
          <w:rFonts w:ascii="Tahoma" w:hAnsi="Tahoma" w:cs="Tahoma"/>
          <w:b/>
        </w:rPr>
        <w:tab/>
      </w:r>
      <w:r w:rsidR="000F6447">
        <w:rPr>
          <w:rFonts w:ascii="Tahoma" w:hAnsi="Tahoma" w:cs="Tahoma"/>
          <w:b/>
        </w:rPr>
        <w:tab/>
      </w:r>
      <w:r w:rsidR="000F6447">
        <w:rPr>
          <w:rFonts w:ascii="Tahoma" w:hAnsi="Tahoma" w:cs="Tahoma"/>
          <w:b/>
        </w:rPr>
        <w:tab/>
      </w:r>
      <w:r w:rsidR="00FF5987">
        <w:rPr>
          <w:rFonts w:ascii="Tahoma" w:hAnsi="Tahoma" w:cs="Tahoma"/>
          <w:b/>
        </w:rPr>
        <w:t xml:space="preserve"> </w:t>
      </w:r>
    </w:p>
    <w:sectPr w:rsidR="004447B1" w:rsidRPr="00593775" w:rsidSect="00BC05FC">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75" w:rsidRDefault="00173B75" w:rsidP="00B32800">
      <w:pPr>
        <w:spacing w:after="0" w:line="240" w:lineRule="auto"/>
      </w:pPr>
      <w:r>
        <w:separator/>
      </w:r>
    </w:p>
  </w:endnote>
  <w:endnote w:type="continuationSeparator" w:id="0">
    <w:p w:rsidR="00173B75" w:rsidRDefault="00173B75" w:rsidP="00B3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809699"/>
      <w:docPartObj>
        <w:docPartGallery w:val="Page Numbers (Bottom of Page)"/>
        <w:docPartUnique/>
      </w:docPartObj>
    </w:sdtPr>
    <w:sdtEndPr/>
    <w:sdtContent>
      <w:p w:rsidR="00E80387" w:rsidRDefault="00E80387">
        <w:pPr>
          <w:pStyle w:val="Piedepgina"/>
          <w:jc w:val="right"/>
        </w:pPr>
        <w:r>
          <w:fldChar w:fldCharType="begin"/>
        </w:r>
        <w:r>
          <w:instrText>PAGE   \* MERGEFORMAT</w:instrText>
        </w:r>
        <w:r>
          <w:fldChar w:fldCharType="separate"/>
        </w:r>
        <w:r w:rsidR="00AC6F0A" w:rsidRPr="00AC6F0A">
          <w:rPr>
            <w:noProof/>
            <w:lang w:val="es-ES"/>
          </w:rPr>
          <w:t>2</w:t>
        </w:r>
        <w:r>
          <w:fldChar w:fldCharType="end"/>
        </w:r>
      </w:p>
    </w:sdtContent>
  </w:sdt>
  <w:p w:rsidR="00E80387" w:rsidRDefault="00E803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75" w:rsidRDefault="00173B75" w:rsidP="00B32800">
      <w:pPr>
        <w:spacing w:after="0" w:line="240" w:lineRule="auto"/>
      </w:pPr>
      <w:r>
        <w:separator/>
      </w:r>
    </w:p>
  </w:footnote>
  <w:footnote w:type="continuationSeparator" w:id="0">
    <w:p w:rsidR="00173B75" w:rsidRDefault="00173B75" w:rsidP="00B32800">
      <w:pPr>
        <w:spacing w:after="0" w:line="240" w:lineRule="auto"/>
      </w:pPr>
      <w:r>
        <w:continuationSeparator/>
      </w:r>
    </w:p>
  </w:footnote>
  <w:footnote w:id="1">
    <w:p w:rsidR="00F36216" w:rsidRDefault="00F36216" w:rsidP="00057B85">
      <w:pPr>
        <w:pStyle w:val="NormalWeb"/>
        <w:spacing w:before="0" w:beforeAutospacing="0" w:after="0" w:afterAutospacing="0"/>
        <w:jc w:val="both"/>
      </w:pPr>
      <w:r>
        <w:rPr>
          <w:rStyle w:val="Refdenotaalpie"/>
        </w:rPr>
        <w:footnoteRef/>
      </w:r>
      <w:r>
        <w:t xml:space="preserve"> </w:t>
      </w:r>
      <w:r w:rsidRPr="00057B85">
        <w:rPr>
          <w:sz w:val="20"/>
          <w:szCs w:val="20"/>
        </w:rPr>
        <w:t xml:space="preserve">Auto de segunda instancia del </w:t>
      </w:r>
      <w:r w:rsidR="00057B85" w:rsidRPr="00057B85">
        <w:rPr>
          <w:bCs/>
          <w:sz w:val="20"/>
          <w:szCs w:val="20"/>
        </w:rPr>
        <w:t xml:space="preserve">23 de octubre de 2015, </w:t>
      </w:r>
      <w:r w:rsidR="00057B85" w:rsidRPr="00057B85">
        <w:rPr>
          <w:sz w:val="20"/>
          <w:szCs w:val="20"/>
        </w:rPr>
        <w:t xml:space="preserve">Radicación No. 66001-31-05-002-2010-00549-01, Proceso Ejecutivo Laboral, Ejecutante: Martha Cecilia Usma Santa, Ejecutado: COLPENSIONES, </w:t>
      </w:r>
      <w:r w:rsidRPr="00057B85">
        <w:rPr>
          <w:sz w:val="20"/>
          <w:szCs w:val="20"/>
        </w:rPr>
        <w:t>M.P. ANA LUCÍA CAICEDO CALDERÓN</w:t>
      </w:r>
    </w:p>
    <w:p w:rsidR="00F36216" w:rsidRDefault="00F3621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87" w:rsidRPr="0021630F" w:rsidRDefault="00E80387" w:rsidP="00E80387">
    <w:pPr>
      <w:pStyle w:val="Ttulo"/>
      <w:spacing w:line="240" w:lineRule="auto"/>
      <w:jc w:val="both"/>
      <w:rPr>
        <w:rFonts w:ascii="Tahoma" w:hAnsi="Tahoma" w:cs="Tahoma"/>
        <w:b w:val="0"/>
        <w:sz w:val="14"/>
        <w:szCs w:val="14"/>
      </w:rPr>
    </w:pPr>
    <w:r w:rsidRPr="0021630F">
      <w:rPr>
        <w:rFonts w:ascii="Tahoma" w:hAnsi="Tahoma" w:cs="Tahoma"/>
        <w:b w:val="0"/>
        <w:sz w:val="14"/>
        <w:szCs w:val="14"/>
      </w:rPr>
      <w:t xml:space="preserve">Radicado No.: </w:t>
    </w:r>
    <w:r w:rsidR="00E9565C">
      <w:rPr>
        <w:rFonts w:ascii="Tahoma" w:hAnsi="Tahoma" w:cs="Tahoma"/>
        <w:b w:val="0"/>
        <w:sz w:val="14"/>
        <w:szCs w:val="14"/>
      </w:rPr>
      <w:t>66001-31-05-002-</w:t>
    </w:r>
    <w:r w:rsidR="00123A1A">
      <w:rPr>
        <w:rFonts w:ascii="Tahoma" w:hAnsi="Tahoma" w:cs="Tahoma"/>
        <w:b w:val="0"/>
        <w:sz w:val="14"/>
        <w:szCs w:val="14"/>
      </w:rPr>
      <w:t>2008-00810-01</w:t>
    </w:r>
  </w:p>
  <w:p w:rsidR="00E80387" w:rsidRPr="0021630F" w:rsidRDefault="00E80387" w:rsidP="00E80387">
    <w:pPr>
      <w:pStyle w:val="Ttulo"/>
      <w:spacing w:line="240" w:lineRule="auto"/>
      <w:jc w:val="both"/>
      <w:rPr>
        <w:rFonts w:ascii="Tahoma" w:hAnsi="Tahoma" w:cs="Tahoma"/>
        <w:b w:val="0"/>
        <w:sz w:val="14"/>
        <w:szCs w:val="14"/>
      </w:rPr>
    </w:pPr>
    <w:r w:rsidRPr="0021630F">
      <w:rPr>
        <w:rFonts w:ascii="Tahoma" w:hAnsi="Tahoma" w:cs="Tahoma"/>
        <w:b w:val="0"/>
        <w:sz w:val="14"/>
        <w:szCs w:val="14"/>
      </w:rPr>
      <w:t xml:space="preserve">Demandante: </w:t>
    </w:r>
    <w:r w:rsidR="00123A1A">
      <w:rPr>
        <w:rFonts w:ascii="Tahoma" w:hAnsi="Tahoma" w:cs="Tahoma"/>
        <w:b w:val="0"/>
        <w:sz w:val="14"/>
        <w:szCs w:val="14"/>
      </w:rPr>
      <w:t>JAVIER ANTONIO MARTÍNEZ AGUIRRE</w:t>
    </w:r>
  </w:p>
  <w:p w:rsidR="00E80387" w:rsidRPr="003F0963" w:rsidRDefault="00E80387" w:rsidP="00E80387">
    <w:pPr>
      <w:pStyle w:val="Ttulo"/>
      <w:spacing w:line="240" w:lineRule="auto"/>
      <w:ind w:left="708" w:hanging="708"/>
      <w:jc w:val="both"/>
      <w:rPr>
        <w:rFonts w:ascii="Tahoma" w:hAnsi="Tahoma" w:cs="Tahoma"/>
        <w:b w:val="0"/>
        <w:sz w:val="14"/>
        <w:szCs w:val="14"/>
      </w:rPr>
    </w:pPr>
    <w:r w:rsidRPr="0021630F">
      <w:rPr>
        <w:rFonts w:ascii="Tahoma" w:hAnsi="Tahoma" w:cs="Tahoma"/>
        <w:b w:val="0"/>
        <w:sz w:val="14"/>
        <w:szCs w:val="14"/>
      </w:rPr>
      <w:t xml:space="preserve">Demandado: </w:t>
    </w:r>
    <w:r>
      <w:rPr>
        <w:rFonts w:ascii="Tahoma" w:hAnsi="Tahoma" w:cs="Tahoma"/>
        <w:b w:val="0"/>
        <w:sz w:val="14"/>
        <w:szCs w:val="14"/>
      </w:rPr>
      <w:t>Colpensiones</w:t>
    </w:r>
  </w:p>
  <w:p w:rsidR="00E80387" w:rsidRDefault="00E80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ABB"/>
    <w:multiLevelType w:val="hybridMultilevel"/>
    <w:tmpl w:val="5532C994"/>
    <w:lvl w:ilvl="0" w:tplc="4E1E36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A516C"/>
    <w:multiLevelType w:val="hybridMultilevel"/>
    <w:tmpl w:val="9176DA0C"/>
    <w:lvl w:ilvl="0" w:tplc="0C5C87F6">
      <w:numFmt w:val="bullet"/>
      <w:lvlText w:val="-"/>
      <w:lvlJc w:val="left"/>
      <w:pPr>
        <w:ind w:left="1080" w:hanging="360"/>
      </w:pPr>
      <w:rPr>
        <w:rFonts w:ascii="Tahoma" w:eastAsia="Times New Roman" w:hAnsi="Tahoma" w:cs="Tahoma" w:hint="default"/>
        <w:color w:val="000000" w:themeColor="text1"/>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979635E"/>
    <w:multiLevelType w:val="multilevel"/>
    <w:tmpl w:val="DFFC5D9A"/>
    <w:lvl w:ilvl="0">
      <w:start w:val="3"/>
      <w:numFmt w:val="decimal"/>
      <w:lvlText w:val="%1."/>
      <w:lvlJc w:val="left"/>
      <w:pPr>
        <w:ind w:left="510" w:hanging="510"/>
      </w:pPr>
      <w:rPr>
        <w:rFonts w:eastAsiaTheme="minorHAnsi" w:hint="default"/>
        <w:color w:val="000000"/>
      </w:rPr>
    </w:lvl>
    <w:lvl w:ilvl="1">
      <w:start w:val="2"/>
      <w:numFmt w:val="decimal"/>
      <w:lvlText w:val="%1.%2."/>
      <w:lvlJc w:val="left"/>
      <w:pPr>
        <w:ind w:left="720" w:hanging="720"/>
      </w:pPr>
      <w:rPr>
        <w:rFonts w:eastAsiaTheme="minorHAnsi" w:hint="default"/>
        <w:b/>
        <w:color w:val="000000"/>
      </w:rPr>
    </w:lvl>
    <w:lvl w:ilvl="2">
      <w:start w:val="1"/>
      <w:numFmt w:val="decimal"/>
      <w:lvlText w:val="%1.%2.)%3."/>
      <w:lvlJc w:val="left"/>
      <w:pPr>
        <w:ind w:left="1080" w:hanging="108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800" w:hanging="1800"/>
      </w:pPr>
      <w:rPr>
        <w:rFonts w:eastAsiaTheme="minorHAnsi" w:hint="default"/>
        <w:color w:val="000000"/>
      </w:rPr>
    </w:lvl>
    <w:lvl w:ilvl="6">
      <w:start w:val="1"/>
      <w:numFmt w:val="decimal"/>
      <w:lvlText w:val="%1.%2.)%3.%4.%5.%6.%7."/>
      <w:lvlJc w:val="left"/>
      <w:pPr>
        <w:ind w:left="2160" w:hanging="216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520" w:hanging="2520"/>
      </w:pPr>
      <w:rPr>
        <w:rFonts w:eastAsiaTheme="minorHAnsi" w:hint="default"/>
        <w:color w:val="000000"/>
      </w:rPr>
    </w:lvl>
  </w:abstractNum>
  <w:abstractNum w:abstractNumId="4" w15:restartNumberingAfterBreak="0">
    <w:nsid w:val="29A43438"/>
    <w:multiLevelType w:val="hybridMultilevel"/>
    <w:tmpl w:val="B8B8EA78"/>
    <w:lvl w:ilvl="0" w:tplc="C994D1B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A16769"/>
    <w:multiLevelType w:val="multilevel"/>
    <w:tmpl w:val="C6F2EA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0C544E0"/>
    <w:multiLevelType w:val="hybridMultilevel"/>
    <w:tmpl w:val="B804E9E2"/>
    <w:lvl w:ilvl="0" w:tplc="6652D0E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339F0FE5"/>
    <w:multiLevelType w:val="hybridMultilevel"/>
    <w:tmpl w:val="02E466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FB5636"/>
    <w:multiLevelType w:val="multilevel"/>
    <w:tmpl w:val="2D081054"/>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4D0B75BC"/>
    <w:multiLevelType w:val="hybridMultilevel"/>
    <w:tmpl w:val="3A74EDB8"/>
    <w:lvl w:ilvl="0" w:tplc="C43CD7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D25A3F"/>
    <w:multiLevelType w:val="multilevel"/>
    <w:tmpl w:val="D0E0D78A"/>
    <w:lvl w:ilvl="0">
      <w:start w:val="1"/>
      <w:numFmt w:val="upperRoman"/>
      <w:lvlText w:val="%1."/>
      <w:lvlJc w:val="left"/>
      <w:pPr>
        <w:ind w:left="1080" w:hanging="72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53FC3A62"/>
    <w:multiLevelType w:val="multilevel"/>
    <w:tmpl w:val="14241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9D631F1"/>
    <w:multiLevelType w:val="multilevel"/>
    <w:tmpl w:val="29D4EDF8"/>
    <w:lvl w:ilvl="0">
      <w:start w:val="4"/>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570" w:hanging="1440"/>
      </w:pPr>
      <w:rPr>
        <w:rFonts w:hint="default"/>
      </w:rPr>
    </w:lvl>
    <w:lvl w:ilvl="4">
      <w:start w:val="1"/>
      <w:numFmt w:val="decimal"/>
      <w:lvlText w:val="%1.%2.%3.%4.%5."/>
      <w:lvlJc w:val="left"/>
      <w:pPr>
        <w:ind w:left="4640" w:hanging="180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490" w:hanging="2520"/>
      </w:pPr>
      <w:rPr>
        <w:rFonts w:hint="default"/>
      </w:rPr>
    </w:lvl>
    <w:lvl w:ilvl="8">
      <w:start w:val="1"/>
      <w:numFmt w:val="decimal"/>
      <w:lvlText w:val="%1.%2.%3.%4.%5.%6.%7.%8.%9."/>
      <w:lvlJc w:val="left"/>
      <w:pPr>
        <w:ind w:left="8560" w:hanging="2880"/>
      </w:pPr>
      <w:rPr>
        <w:rFonts w:hint="default"/>
      </w:rPr>
    </w:lvl>
  </w:abstractNum>
  <w:abstractNum w:abstractNumId="13" w15:restartNumberingAfterBreak="0">
    <w:nsid w:val="5DDE5586"/>
    <w:multiLevelType w:val="hybridMultilevel"/>
    <w:tmpl w:val="C1F2EA60"/>
    <w:lvl w:ilvl="0" w:tplc="F05EF4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6874A3"/>
    <w:multiLevelType w:val="hybridMultilevel"/>
    <w:tmpl w:val="2672650A"/>
    <w:lvl w:ilvl="0" w:tplc="D91458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6"/>
  </w:num>
  <w:num w:numId="5">
    <w:abstractNumId w:val="3"/>
  </w:num>
  <w:num w:numId="6">
    <w:abstractNumId w:val="8"/>
  </w:num>
  <w:num w:numId="7">
    <w:abstractNumId w:val="14"/>
  </w:num>
  <w:num w:numId="8">
    <w:abstractNumId w:val="2"/>
  </w:num>
  <w:num w:numId="9">
    <w:abstractNumId w:val="15"/>
  </w:num>
  <w:num w:numId="10">
    <w:abstractNumId w:val="5"/>
  </w:num>
  <w:num w:numId="11">
    <w:abstractNumId w:val="9"/>
  </w:num>
  <w:num w:numId="12">
    <w:abstractNumId w:val="4"/>
  </w:num>
  <w:num w:numId="13">
    <w:abstractNumId w:val="0"/>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8E"/>
    <w:rsid w:val="000277F6"/>
    <w:rsid w:val="00031A4F"/>
    <w:rsid w:val="000368E2"/>
    <w:rsid w:val="000523FC"/>
    <w:rsid w:val="00057B85"/>
    <w:rsid w:val="000711A5"/>
    <w:rsid w:val="000854A2"/>
    <w:rsid w:val="0008739B"/>
    <w:rsid w:val="000D5AF6"/>
    <w:rsid w:val="000E5191"/>
    <w:rsid w:val="000F4617"/>
    <w:rsid w:val="000F6447"/>
    <w:rsid w:val="00100AB4"/>
    <w:rsid w:val="0011316E"/>
    <w:rsid w:val="00123A1A"/>
    <w:rsid w:val="001358B6"/>
    <w:rsid w:val="001417B0"/>
    <w:rsid w:val="00142CE0"/>
    <w:rsid w:val="00166C43"/>
    <w:rsid w:val="00173B75"/>
    <w:rsid w:val="00173EF2"/>
    <w:rsid w:val="0018487B"/>
    <w:rsid w:val="001D6284"/>
    <w:rsid w:val="001E60B6"/>
    <w:rsid w:val="00220868"/>
    <w:rsid w:val="0024631F"/>
    <w:rsid w:val="00246E5E"/>
    <w:rsid w:val="00257C82"/>
    <w:rsid w:val="00276343"/>
    <w:rsid w:val="00276E3B"/>
    <w:rsid w:val="002A38DA"/>
    <w:rsid w:val="002A6701"/>
    <w:rsid w:val="002B5420"/>
    <w:rsid w:val="002C12B8"/>
    <w:rsid w:val="002E5F27"/>
    <w:rsid w:val="002F56BC"/>
    <w:rsid w:val="00304ED0"/>
    <w:rsid w:val="00307DFB"/>
    <w:rsid w:val="00363323"/>
    <w:rsid w:val="0038703F"/>
    <w:rsid w:val="003B2299"/>
    <w:rsid w:val="003D60DA"/>
    <w:rsid w:val="003D623A"/>
    <w:rsid w:val="003D755B"/>
    <w:rsid w:val="00436D02"/>
    <w:rsid w:val="00444782"/>
    <w:rsid w:val="004447B1"/>
    <w:rsid w:val="00445475"/>
    <w:rsid w:val="00454F6C"/>
    <w:rsid w:val="00470AB1"/>
    <w:rsid w:val="00487EF4"/>
    <w:rsid w:val="00495F73"/>
    <w:rsid w:val="00496ED9"/>
    <w:rsid w:val="004B3F3C"/>
    <w:rsid w:val="004B5ADC"/>
    <w:rsid w:val="004D1934"/>
    <w:rsid w:val="004E5A80"/>
    <w:rsid w:val="004E79BB"/>
    <w:rsid w:val="005064AE"/>
    <w:rsid w:val="005353FD"/>
    <w:rsid w:val="00546198"/>
    <w:rsid w:val="00547792"/>
    <w:rsid w:val="00564053"/>
    <w:rsid w:val="00581E39"/>
    <w:rsid w:val="0059134F"/>
    <w:rsid w:val="00593775"/>
    <w:rsid w:val="005B4C74"/>
    <w:rsid w:val="005C20B8"/>
    <w:rsid w:val="0061580A"/>
    <w:rsid w:val="0064059E"/>
    <w:rsid w:val="00645C48"/>
    <w:rsid w:val="006474B9"/>
    <w:rsid w:val="0066767D"/>
    <w:rsid w:val="006715A7"/>
    <w:rsid w:val="00680456"/>
    <w:rsid w:val="006B2C9C"/>
    <w:rsid w:val="006B60E7"/>
    <w:rsid w:val="006B763B"/>
    <w:rsid w:val="006D0B49"/>
    <w:rsid w:val="006F7D4B"/>
    <w:rsid w:val="00702173"/>
    <w:rsid w:val="00740A13"/>
    <w:rsid w:val="0074492E"/>
    <w:rsid w:val="00761FBB"/>
    <w:rsid w:val="00766277"/>
    <w:rsid w:val="00770DC6"/>
    <w:rsid w:val="00777698"/>
    <w:rsid w:val="00793D41"/>
    <w:rsid w:val="007B47B4"/>
    <w:rsid w:val="00807F7C"/>
    <w:rsid w:val="00824418"/>
    <w:rsid w:val="008275AE"/>
    <w:rsid w:val="00851526"/>
    <w:rsid w:val="00880D0F"/>
    <w:rsid w:val="00881B6C"/>
    <w:rsid w:val="008C4392"/>
    <w:rsid w:val="008E102F"/>
    <w:rsid w:val="008F0C16"/>
    <w:rsid w:val="009003F3"/>
    <w:rsid w:val="009202B1"/>
    <w:rsid w:val="009205C6"/>
    <w:rsid w:val="009401F5"/>
    <w:rsid w:val="00960473"/>
    <w:rsid w:val="009628B9"/>
    <w:rsid w:val="00993F66"/>
    <w:rsid w:val="009D4529"/>
    <w:rsid w:val="009E3716"/>
    <w:rsid w:val="009F4B25"/>
    <w:rsid w:val="00A028DC"/>
    <w:rsid w:val="00A257B1"/>
    <w:rsid w:val="00A35920"/>
    <w:rsid w:val="00A56C08"/>
    <w:rsid w:val="00A6180B"/>
    <w:rsid w:val="00A622B4"/>
    <w:rsid w:val="00A67E11"/>
    <w:rsid w:val="00AC6F0A"/>
    <w:rsid w:val="00AD0C45"/>
    <w:rsid w:val="00AD249B"/>
    <w:rsid w:val="00AD532C"/>
    <w:rsid w:val="00B046F2"/>
    <w:rsid w:val="00B069E5"/>
    <w:rsid w:val="00B32800"/>
    <w:rsid w:val="00B372F3"/>
    <w:rsid w:val="00B40BA3"/>
    <w:rsid w:val="00B410BF"/>
    <w:rsid w:val="00B4744B"/>
    <w:rsid w:val="00B7578E"/>
    <w:rsid w:val="00B9574B"/>
    <w:rsid w:val="00B97BDA"/>
    <w:rsid w:val="00BA74BE"/>
    <w:rsid w:val="00BB2B65"/>
    <w:rsid w:val="00BC05FC"/>
    <w:rsid w:val="00BD6936"/>
    <w:rsid w:val="00BF2DD5"/>
    <w:rsid w:val="00C13EFF"/>
    <w:rsid w:val="00C2202C"/>
    <w:rsid w:val="00C358B0"/>
    <w:rsid w:val="00C4392F"/>
    <w:rsid w:val="00C51B0C"/>
    <w:rsid w:val="00C5287C"/>
    <w:rsid w:val="00C6522A"/>
    <w:rsid w:val="00C83860"/>
    <w:rsid w:val="00CF2231"/>
    <w:rsid w:val="00D11036"/>
    <w:rsid w:val="00D331EC"/>
    <w:rsid w:val="00D421F0"/>
    <w:rsid w:val="00D573F1"/>
    <w:rsid w:val="00D757A4"/>
    <w:rsid w:val="00D7652A"/>
    <w:rsid w:val="00DE3CE3"/>
    <w:rsid w:val="00DE55CD"/>
    <w:rsid w:val="00E072FA"/>
    <w:rsid w:val="00E6463A"/>
    <w:rsid w:val="00E80387"/>
    <w:rsid w:val="00E869A6"/>
    <w:rsid w:val="00E9565C"/>
    <w:rsid w:val="00EA680D"/>
    <w:rsid w:val="00EB445E"/>
    <w:rsid w:val="00F05541"/>
    <w:rsid w:val="00F0665B"/>
    <w:rsid w:val="00F36216"/>
    <w:rsid w:val="00F41780"/>
    <w:rsid w:val="00F46AF6"/>
    <w:rsid w:val="00F550D4"/>
    <w:rsid w:val="00FB4113"/>
    <w:rsid w:val="00FC033C"/>
    <w:rsid w:val="00FC77B5"/>
    <w:rsid w:val="00FD5510"/>
    <w:rsid w:val="00FF197A"/>
    <w:rsid w:val="00FF5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B3938"/>
  <w15:chartTrackingRefBased/>
  <w15:docId w15:val="{CC0FDE17-E8FD-40C1-AAFB-64D89C6D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3FD"/>
    <w:pPr>
      <w:spacing w:after="200" w:line="276" w:lineRule="auto"/>
    </w:pPr>
    <w:rPr>
      <w:lang w:val="es-CO"/>
    </w:rPr>
  </w:style>
  <w:style w:type="paragraph" w:styleId="Ttulo1">
    <w:name w:val="heading 1"/>
    <w:basedOn w:val="Normal"/>
    <w:next w:val="Normal"/>
    <w:link w:val="Ttulo1Car"/>
    <w:qFormat/>
    <w:rsid w:val="005353FD"/>
    <w:pPr>
      <w:keepNext/>
      <w:spacing w:after="0" w:line="240" w:lineRule="auto"/>
      <w:ind w:firstLine="2552"/>
      <w:jc w:val="both"/>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unhideWhenUsed/>
    <w:qFormat/>
    <w:rsid w:val="0053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53FD"/>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rsid w:val="005353FD"/>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5353FD"/>
    <w:pPr>
      <w:ind w:left="720"/>
      <w:contextualSpacing/>
    </w:pPr>
  </w:style>
  <w:style w:type="paragraph" w:styleId="NormalWeb">
    <w:name w:val="Normal (Web)"/>
    <w:basedOn w:val="Normal"/>
    <w:uiPriority w:val="99"/>
    <w:unhideWhenUsed/>
    <w:rsid w:val="005353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unhideWhenUsed/>
    <w:rsid w:val="00B3280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32800"/>
    <w:rPr>
      <w:sz w:val="20"/>
      <w:szCs w:val="20"/>
      <w:lang w:val="es-CO"/>
    </w:rPr>
  </w:style>
  <w:style w:type="character" w:styleId="Refdenotaalpie">
    <w:name w:val="footnote reference"/>
    <w:basedOn w:val="Fuentedeprrafopredeter"/>
    <w:uiPriority w:val="99"/>
    <w:unhideWhenUsed/>
    <w:rsid w:val="00B32800"/>
    <w:rPr>
      <w:vertAlign w:val="superscript"/>
    </w:rPr>
  </w:style>
  <w:style w:type="paragraph" w:styleId="Textodeglobo">
    <w:name w:val="Balloon Text"/>
    <w:basedOn w:val="Normal"/>
    <w:link w:val="TextodegloboCar"/>
    <w:uiPriority w:val="99"/>
    <w:semiHidden/>
    <w:unhideWhenUsed/>
    <w:rsid w:val="005937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775"/>
    <w:rPr>
      <w:rFonts w:ascii="Segoe UI" w:hAnsi="Segoe UI" w:cs="Segoe UI"/>
      <w:sz w:val="18"/>
      <w:szCs w:val="18"/>
      <w:lang w:val="es-CO"/>
    </w:rPr>
  </w:style>
  <w:style w:type="paragraph" w:styleId="Encabezado">
    <w:name w:val="header"/>
    <w:basedOn w:val="Normal"/>
    <w:link w:val="EncabezadoCar"/>
    <w:uiPriority w:val="99"/>
    <w:unhideWhenUsed/>
    <w:rsid w:val="00E80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0387"/>
    <w:rPr>
      <w:lang w:val="es-CO"/>
    </w:rPr>
  </w:style>
  <w:style w:type="paragraph" w:styleId="Piedepgina">
    <w:name w:val="footer"/>
    <w:basedOn w:val="Normal"/>
    <w:link w:val="PiedepginaCar"/>
    <w:uiPriority w:val="99"/>
    <w:unhideWhenUsed/>
    <w:rsid w:val="00E80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387"/>
    <w:rPr>
      <w:lang w:val="es-CO"/>
    </w:rPr>
  </w:style>
  <w:style w:type="paragraph" w:styleId="Ttulo">
    <w:name w:val="Title"/>
    <w:basedOn w:val="Normal"/>
    <w:link w:val="TtuloCar"/>
    <w:qFormat/>
    <w:rsid w:val="00E80387"/>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E80387"/>
    <w:rPr>
      <w:rFonts w:ascii="Arial" w:eastAsia="Times New Roman" w:hAnsi="Arial" w:cs="Arial"/>
      <w:b/>
      <w:sz w:val="24"/>
      <w:szCs w:val="24"/>
      <w:lang w:eastAsia="es-ES"/>
    </w:rPr>
  </w:style>
  <w:style w:type="character" w:customStyle="1" w:styleId="apple-converted-space">
    <w:name w:val="apple-converted-space"/>
    <w:basedOn w:val="Fuentedeprrafopredeter"/>
    <w:rsid w:val="0066767D"/>
  </w:style>
  <w:style w:type="character" w:styleId="Hipervnculo">
    <w:name w:val="Hyperlink"/>
    <w:basedOn w:val="Fuentedeprrafopredeter"/>
    <w:uiPriority w:val="99"/>
    <w:semiHidden/>
    <w:unhideWhenUsed/>
    <w:rsid w:val="0066767D"/>
    <w:rPr>
      <w:color w:val="0000FF"/>
      <w:u w:val="single"/>
    </w:rPr>
  </w:style>
  <w:style w:type="paragraph" w:styleId="Textoindependiente">
    <w:name w:val="Body Text"/>
    <w:basedOn w:val="Normal"/>
    <w:link w:val="TextoindependienteCar"/>
    <w:rsid w:val="009F4B2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F4B25"/>
    <w:rPr>
      <w:rFonts w:ascii="Arial" w:eastAsia="Times New Roman" w:hAnsi="Arial" w:cs="Times New Roman"/>
      <w:sz w:val="26"/>
      <w:szCs w:val="20"/>
      <w:lang w:val="es-ES_tradnl" w:eastAsia="es-ES"/>
    </w:rPr>
  </w:style>
  <w:style w:type="paragraph" w:styleId="Sinespaciado">
    <w:name w:val="No Spacing"/>
    <w:uiPriority w:val="1"/>
    <w:qFormat/>
    <w:rsid w:val="00FF5987"/>
    <w:pPr>
      <w:spacing w:line="240" w:lineRule="auto"/>
    </w:pPr>
    <w:rPr>
      <w:lang w:val="es-CO"/>
    </w:rPr>
  </w:style>
  <w:style w:type="character" w:customStyle="1" w:styleId="baj">
    <w:name w:val="b_aj"/>
    <w:basedOn w:val="Fuentedeprrafopredeter"/>
    <w:rsid w:val="0005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5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38F5-4C8A-4260-8F24-2CC4A0F2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WALTER MAURICIO ZULUAGA MEJIA</cp:lastModifiedBy>
  <cp:revision>4</cp:revision>
  <cp:lastPrinted>2018-06-01T12:52:00Z</cp:lastPrinted>
  <dcterms:created xsi:type="dcterms:W3CDTF">2018-06-01T12:55:00Z</dcterms:created>
  <dcterms:modified xsi:type="dcterms:W3CDTF">2018-07-30T00:32:00Z</dcterms:modified>
</cp:coreProperties>
</file>