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515" w:rsidRPr="00EA3EFB" w:rsidRDefault="00F25515" w:rsidP="00F25515">
      <w:pPr>
        <w:pStyle w:val="Puesto"/>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sz w:val="18"/>
          <w:szCs w:val="18"/>
        </w:rPr>
      </w:pPr>
      <w:r w:rsidRPr="00EA3EFB">
        <w:rPr>
          <w:rFonts w:ascii="Arial Narrow" w:hAnsi="Arial Narrow" w:cs="Tahoma"/>
          <w:b w:val="0"/>
          <w:sz w:val="18"/>
          <w:szCs w:val="18"/>
        </w:rPr>
        <w:t>El contenido total y fiel de la decisión debe ser verificado en el audio que reposa en la secretaría</w:t>
      </w:r>
      <w:r>
        <w:rPr>
          <w:rFonts w:ascii="Arial Narrow" w:hAnsi="Arial Narrow" w:cs="Tahoma"/>
          <w:b w:val="0"/>
          <w:sz w:val="18"/>
          <w:szCs w:val="18"/>
        </w:rPr>
        <w:t xml:space="preserve"> de esta Corporación</w:t>
      </w:r>
      <w:r w:rsidRPr="00EA3EFB">
        <w:rPr>
          <w:rFonts w:ascii="Arial Narrow" w:hAnsi="Arial Narrow" w:cs="Tahoma"/>
          <w:b w:val="0"/>
          <w:sz w:val="18"/>
          <w:szCs w:val="18"/>
        </w:rPr>
        <w:t>.</w:t>
      </w:r>
    </w:p>
    <w:p w:rsidR="00F25515" w:rsidRPr="006950C0" w:rsidRDefault="00F25515" w:rsidP="00F25515">
      <w:pPr>
        <w:pStyle w:val="Puesto"/>
        <w:spacing w:line="240" w:lineRule="auto"/>
        <w:jc w:val="both"/>
        <w:rPr>
          <w:rFonts w:ascii="Tahoma" w:hAnsi="Tahoma" w:cs="Tahoma"/>
          <w:sz w:val="14"/>
          <w:szCs w:val="14"/>
        </w:rPr>
      </w:pPr>
    </w:p>
    <w:p w:rsidR="009B4A4E" w:rsidRPr="00F25515" w:rsidRDefault="009B4A4E" w:rsidP="00F25515">
      <w:pPr>
        <w:pStyle w:val="Sinespaciado"/>
        <w:jc w:val="both"/>
        <w:rPr>
          <w:rFonts w:ascii="Arial" w:hAnsi="Arial" w:cs="Arial"/>
          <w:b/>
          <w:sz w:val="18"/>
        </w:rPr>
      </w:pPr>
      <w:r w:rsidRPr="00F25515">
        <w:rPr>
          <w:rFonts w:ascii="Arial" w:hAnsi="Arial" w:cs="Arial"/>
          <w:sz w:val="18"/>
        </w:rPr>
        <w:t xml:space="preserve">Providencia: </w:t>
      </w:r>
      <w:r w:rsidRPr="00F25515">
        <w:rPr>
          <w:rFonts w:ascii="Arial" w:hAnsi="Arial" w:cs="Arial"/>
          <w:sz w:val="18"/>
        </w:rPr>
        <w:tab/>
      </w:r>
      <w:r w:rsidRPr="00F25515">
        <w:rPr>
          <w:rFonts w:ascii="Arial" w:hAnsi="Arial" w:cs="Arial"/>
          <w:sz w:val="18"/>
        </w:rPr>
        <w:tab/>
      </w:r>
      <w:r w:rsidRPr="00F25515">
        <w:rPr>
          <w:rFonts w:ascii="Arial" w:hAnsi="Arial" w:cs="Arial"/>
          <w:sz w:val="18"/>
        </w:rPr>
        <w:tab/>
        <w:t>Auto del 1</w:t>
      </w:r>
      <w:r w:rsidR="00037AB0" w:rsidRPr="00F25515">
        <w:rPr>
          <w:rFonts w:ascii="Arial" w:hAnsi="Arial" w:cs="Arial"/>
          <w:sz w:val="18"/>
        </w:rPr>
        <w:t>1</w:t>
      </w:r>
      <w:r w:rsidRPr="00F25515">
        <w:rPr>
          <w:rFonts w:ascii="Arial" w:hAnsi="Arial" w:cs="Arial"/>
          <w:sz w:val="18"/>
        </w:rPr>
        <w:t xml:space="preserve"> de julio de 2018 </w:t>
      </w:r>
    </w:p>
    <w:p w:rsidR="009B4A4E" w:rsidRPr="00F25515" w:rsidRDefault="009B4A4E" w:rsidP="00F25515">
      <w:pPr>
        <w:pStyle w:val="Sinespaciado"/>
        <w:jc w:val="both"/>
        <w:rPr>
          <w:rFonts w:ascii="Arial" w:hAnsi="Arial" w:cs="Arial"/>
          <w:b/>
          <w:sz w:val="18"/>
        </w:rPr>
      </w:pPr>
      <w:r w:rsidRPr="00F25515">
        <w:rPr>
          <w:rFonts w:ascii="Arial" w:hAnsi="Arial" w:cs="Arial"/>
          <w:sz w:val="18"/>
        </w:rPr>
        <w:t>Radicación No.:</w:t>
      </w:r>
      <w:r w:rsidRPr="00F25515">
        <w:rPr>
          <w:rFonts w:ascii="Arial" w:hAnsi="Arial" w:cs="Arial"/>
          <w:sz w:val="18"/>
        </w:rPr>
        <w:tab/>
      </w:r>
      <w:r w:rsidRPr="00F25515">
        <w:rPr>
          <w:rFonts w:ascii="Arial" w:hAnsi="Arial" w:cs="Arial"/>
          <w:sz w:val="18"/>
        </w:rPr>
        <w:tab/>
      </w:r>
      <w:r w:rsidRPr="00F25515">
        <w:rPr>
          <w:rFonts w:ascii="Arial" w:hAnsi="Arial" w:cs="Arial"/>
          <w:sz w:val="18"/>
        </w:rPr>
        <w:tab/>
        <w:t>66001-31-05-003-2006-00826-04</w:t>
      </w:r>
    </w:p>
    <w:p w:rsidR="009B4A4E" w:rsidRPr="00F25515" w:rsidRDefault="009B4A4E" w:rsidP="00F25515">
      <w:pPr>
        <w:pStyle w:val="Sinespaciado"/>
        <w:jc w:val="both"/>
        <w:rPr>
          <w:rFonts w:ascii="Arial" w:hAnsi="Arial" w:cs="Arial"/>
          <w:b/>
          <w:sz w:val="18"/>
        </w:rPr>
      </w:pPr>
      <w:r w:rsidRPr="00F25515">
        <w:rPr>
          <w:rFonts w:ascii="Arial" w:hAnsi="Arial" w:cs="Arial"/>
          <w:sz w:val="18"/>
        </w:rPr>
        <w:t>Proceso:</w:t>
      </w:r>
      <w:r w:rsidRPr="00F25515">
        <w:rPr>
          <w:rFonts w:ascii="Arial" w:hAnsi="Arial" w:cs="Arial"/>
          <w:sz w:val="18"/>
        </w:rPr>
        <w:tab/>
      </w:r>
      <w:r w:rsidRPr="00F25515">
        <w:rPr>
          <w:rFonts w:ascii="Arial" w:hAnsi="Arial" w:cs="Arial"/>
          <w:sz w:val="18"/>
        </w:rPr>
        <w:tab/>
      </w:r>
      <w:r w:rsidRPr="00F25515">
        <w:rPr>
          <w:rFonts w:ascii="Arial" w:hAnsi="Arial" w:cs="Arial"/>
          <w:sz w:val="18"/>
        </w:rPr>
        <w:tab/>
        <w:t xml:space="preserve">Ordinario laboral </w:t>
      </w:r>
    </w:p>
    <w:p w:rsidR="009B4A4E" w:rsidRPr="00F25515" w:rsidRDefault="009B4A4E" w:rsidP="00F25515">
      <w:pPr>
        <w:pStyle w:val="Sinespaciado"/>
        <w:jc w:val="both"/>
        <w:rPr>
          <w:rFonts w:ascii="Arial" w:hAnsi="Arial" w:cs="Arial"/>
          <w:b/>
          <w:sz w:val="18"/>
        </w:rPr>
      </w:pPr>
      <w:r w:rsidRPr="00F25515">
        <w:rPr>
          <w:rFonts w:ascii="Arial" w:hAnsi="Arial" w:cs="Arial"/>
          <w:sz w:val="18"/>
        </w:rPr>
        <w:t>Demandante:</w:t>
      </w:r>
      <w:r w:rsidRPr="00F25515">
        <w:rPr>
          <w:rFonts w:ascii="Arial" w:hAnsi="Arial" w:cs="Arial"/>
          <w:sz w:val="18"/>
        </w:rPr>
        <w:tab/>
      </w:r>
      <w:r w:rsidRPr="00F25515">
        <w:rPr>
          <w:rFonts w:ascii="Arial" w:hAnsi="Arial" w:cs="Arial"/>
          <w:sz w:val="18"/>
        </w:rPr>
        <w:tab/>
      </w:r>
      <w:r w:rsidRPr="00F25515">
        <w:rPr>
          <w:rFonts w:ascii="Arial" w:hAnsi="Arial" w:cs="Arial"/>
          <w:sz w:val="18"/>
        </w:rPr>
        <w:tab/>
        <w:t>MANUEL ANTONIO LOAIZA AGUDELO</w:t>
      </w:r>
    </w:p>
    <w:p w:rsidR="009B4A4E" w:rsidRPr="00F25515" w:rsidRDefault="009B4A4E" w:rsidP="00F25515">
      <w:pPr>
        <w:pStyle w:val="Sinespaciado"/>
        <w:jc w:val="both"/>
        <w:rPr>
          <w:rFonts w:ascii="Arial" w:hAnsi="Arial" w:cs="Arial"/>
          <w:b/>
          <w:sz w:val="18"/>
        </w:rPr>
      </w:pPr>
      <w:r w:rsidRPr="00F25515">
        <w:rPr>
          <w:rFonts w:ascii="Arial" w:hAnsi="Arial" w:cs="Arial"/>
          <w:sz w:val="18"/>
        </w:rPr>
        <w:t>Demandada:</w:t>
      </w:r>
      <w:r w:rsidRPr="00F25515">
        <w:rPr>
          <w:rFonts w:ascii="Arial" w:hAnsi="Arial" w:cs="Arial"/>
          <w:sz w:val="18"/>
        </w:rPr>
        <w:tab/>
      </w:r>
      <w:r w:rsidRPr="00F25515">
        <w:rPr>
          <w:rFonts w:ascii="Arial" w:hAnsi="Arial" w:cs="Arial"/>
          <w:sz w:val="18"/>
        </w:rPr>
        <w:tab/>
      </w:r>
      <w:r w:rsidRPr="00F25515">
        <w:rPr>
          <w:rFonts w:ascii="Arial" w:hAnsi="Arial" w:cs="Arial"/>
          <w:sz w:val="18"/>
        </w:rPr>
        <w:tab/>
        <w:t>MUNICIPIO DE PEREIRA Y OTROS</w:t>
      </w:r>
    </w:p>
    <w:p w:rsidR="009B4A4E" w:rsidRPr="00F25515" w:rsidRDefault="009B4A4E" w:rsidP="00F25515">
      <w:pPr>
        <w:pStyle w:val="Sinespaciado"/>
        <w:jc w:val="both"/>
        <w:rPr>
          <w:rFonts w:ascii="Arial" w:hAnsi="Arial" w:cs="Arial"/>
          <w:b/>
          <w:sz w:val="18"/>
        </w:rPr>
      </w:pPr>
      <w:r w:rsidRPr="00F25515">
        <w:rPr>
          <w:rFonts w:ascii="Arial" w:hAnsi="Arial" w:cs="Arial"/>
          <w:sz w:val="18"/>
        </w:rPr>
        <w:t xml:space="preserve">Juzgado de origen: </w:t>
      </w:r>
      <w:r w:rsidRPr="00F25515">
        <w:rPr>
          <w:rFonts w:ascii="Arial" w:hAnsi="Arial" w:cs="Arial"/>
          <w:sz w:val="18"/>
        </w:rPr>
        <w:tab/>
      </w:r>
      <w:r w:rsidRPr="00F25515">
        <w:rPr>
          <w:rFonts w:ascii="Arial" w:hAnsi="Arial" w:cs="Arial"/>
          <w:sz w:val="18"/>
        </w:rPr>
        <w:tab/>
        <w:t>Tercero Laboral del Circuito de Pereira</w:t>
      </w:r>
    </w:p>
    <w:p w:rsidR="009B4A4E" w:rsidRPr="00F25515" w:rsidRDefault="009B4A4E" w:rsidP="00F25515">
      <w:pPr>
        <w:pStyle w:val="Sinespaciado"/>
        <w:jc w:val="both"/>
        <w:rPr>
          <w:rFonts w:ascii="Arial" w:hAnsi="Arial" w:cs="Arial"/>
          <w:b/>
          <w:sz w:val="18"/>
        </w:rPr>
      </w:pPr>
      <w:r w:rsidRPr="00F25515">
        <w:rPr>
          <w:rFonts w:ascii="Arial" w:hAnsi="Arial" w:cs="Arial"/>
          <w:sz w:val="18"/>
        </w:rPr>
        <w:t>Magistrada ponente:</w:t>
      </w:r>
      <w:r w:rsidRPr="00F25515">
        <w:rPr>
          <w:rFonts w:ascii="Arial" w:hAnsi="Arial" w:cs="Arial"/>
          <w:sz w:val="18"/>
        </w:rPr>
        <w:tab/>
      </w:r>
      <w:r w:rsidRPr="00F25515">
        <w:rPr>
          <w:rFonts w:ascii="Arial" w:hAnsi="Arial" w:cs="Arial"/>
          <w:sz w:val="18"/>
        </w:rPr>
        <w:tab/>
        <w:t>Dra. Ana Lucía Caicedo Calderón</w:t>
      </w:r>
    </w:p>
    <w:p w:rsidR="00F25515" w:rsidRDefault="00F25515" w:rsidP="00F25515">
      <w:pPr>
        <w:pStyle w:val="Sinespaciado"/>
        <w:jc w:val="both"/>
        <w:rPr>
          <w:rFonts w:ascii="Arial" w:hAnsi="Arial" w:cs="Arial"/>
          <w:sz w:val="18"/>
        </w:rPr>
      </w:pPr>
    </w:p>
    <w:p w:rsidR="00F25515" w:rsidRDefault="00F25515" w:rsidP="00F25515">
      <w:pPr>
        <w:pStyle w:val="Sinespaciado"/>
        <w:jc w:val="both"/>
        <w:rPr>
          <w:rFonts w:ascii="Arial" w:hAnsi="Arial" w:cs="Arial"/>
          <w:sz w:val="18"/>
        </w:rPr>
      </w:pPr>
    </w:p>
    <w:p w:rsidR="00F25515" w:rsidRDefault="0070659B" w:rsidP="00F25515">
      <w:pPr>
        <w:pStyle w:val="Sinespaciado"/>
        <w:jc w:val="both"/>
        <w:rPr>
          <w:rFonts w:ascii="Arial" w:hAnsi="Arial" w:cs="Arial"/>
          <w:b/>
          <w:sz w:val="18"/>
        </w:rPr>
      </w:pPr>
      <w:r w:rsidRPr="00F25515">
        <w:rPr>
          <w:rFonts w:ascii="Arial" w:hAnsi="Arial" w:cs="Arial"/>
          <w:b/>
          <w:sz w:val="18"/>
        </w:rPr>
        <w:t xml:space="preserve">Temas: </w:t>
      </w:r>
      <w:r w:rsidRPr="00F25515">
        <w:rPr>
          <w:rFonts w:ascii="Arial" w:hAnsi="Arial" w:cs="Arial"/>
          <w:b/>
          <w:sz w:val="18"/>
        </w:rPr>
        <w:tab/>
      </w:r>
      <w:r w:rsidR="009B4A4E" w:rsidRPr="00F25515">
        <w:rPr>
          <w:rFonts w:ascii="Arial" w:hAnsi="Arial" w:cs="Arial"/>
          <w:b/>
          <w:sz w:val="18"/>
        </w:rPr>
        <w:tab/>
      </w:r>
      <w:r w:rsidR="00F25515">
        <w:rPr>
          <w:rFonts w:ascii="Arial" w:hAnsi="Arial" w:cs="Arial"/>
          <w:b/>
          <w:sz w:val="18"/>
        </w:rPr>
        <w:t xml:space="preserve">LIQUIDACIÓN DE COSTAS / </w:t>
      </w:r>
      <w:r w:rsidR="00F25515" w:rsidRPr="00F25515">
        <w:rPr>
          <w:rFonts w:ascii="Arial" w:hAnsi="Arial" w:cs="Arial"/>
          <w:b/>
          <w:sz w:val="18"/>
        </w:rPr>
        <w:t xml:space="preserve"> </w:t>
      </w:r>
      <w:r w:rsidR="00F25515">
        <w:rPr>
          <w:rFonts w:ascii="Arial" w:hAnsi="Arial" w:cs="Arial"/>
          <w:b/>
          <w:sz w:val="18"/>
        </w:rPr>
        <w:t xml:space="preserve">PROCESO INICIADO EN 2006 / VIGENCIA DEL </w:t>
      </w:r>
      <w:r w:rsidR="00F25515" w:rsidRPr="00F25515">
        <w:rPr>
          <w:rFonts w:ascii="Arial" w:hAnsi="Arial" w:cs="Arial"/>
          <w:b/>
          <w:sz w:val="18"/>
        </w:rPr>
        <w:t>ACUERDO 1887 DE 2003</w:t>
      </w:r>
      <w:r w:rsidR="00F25515">
        <w:rPr>
          <w:rFonts w:ascii="Arial" w:hAnsi="Arial" w:cs="Arial"/>
          <w:b/>
          <w:sz w:val="18"/>
        </w:rPr>
        <w:t xml:space="preserve"> / MODIFICA VALORES</w:t>
      </w:r>
    </w:p>
    <w:p w:rsidR="00F25515" w:rsidRPr="00F25515" w:rsidRDefault="00F25515" w:rsidP="00F25515">
      <w:pPr>
        <w:pStyle w:val="Sinespaciado"/>
        <w:jc w:val="both"/>
        <w:rPr>
          <w:rFonts w:ascii="Arial" w:hAnsi="Arial" w:cs="Arial"/>
          <w:b/>
          <w:sz w:val="18"/>
        </w:rPr>
      </w:pPr>
    </w:p>
    <w:p w:rsidR="00F25515" w:rsidRDefault="00F25515" w:rsidP="00F25515">
      <w:pPr>
        <w:pStyle w:val="Sinespaciado"/>
        <w:jc w:val="both"/>
        <w:rPr>
          <w:rFonts w:ascii="Arial" w:hAnsi="Arial" w:cs="Arial"/>
          <w:i/>
          <w:sz w:val="18"/>
        </w:rPr>
      </w:pPr>
      <w:r w:rsidRPr="00F25515">
        <w:rPr>
          <w:rFonts w:ascii="Arial" w:hAnsi="Arial" w:cs="Arial"/>
          <w:sz w:val="18"/>
          <w:lang w:val="es-CO"/>
        </w:rPr>
        <w:t xml:space="preserve">El Artículo 7º del </w:t>
      </w:r>
      <w:r w:rsidRPr="00F25515">
        <w:rPr>
          <w:rFonts w:ascii="Arial" w:hAnsi="Arial" w:cs="Arial"/>
          <w:sz w:val="18"/>
        </w:rPr>
        <w:t xml:space="preserve">PSAA 1610554 de agosto 16 de 2016, respecto a su vigencia establece lo siguiente: </w:t>
      </w:r>
      <w:r w:rsidRPr="00F25515">
        <w:rPr>
          <w:rFonts w:ascii="Arial" w:hAnsi="Arial" w:cs="Arial"/>
          <w:i/>
          <w:sz w:val="18"/>
        </w:rPr>
        <w:t xml:space="preserve">“El presente acuerdo rige a partir de su publicación y se aplicará respecto a los procesos iniciados a partir de dicha fecha. Los comenzados antes se siguen regulando por los reglamentos anteriores sobre la materia, de manera especial los contenidos en los Acuerdos 1887 de 2003, 2222 de 2003 y 9943 de 2013 de la Sala Administrativa del Consejo Superior de la Judicatura”. </w:t>
      </w:r>
    </w:p>
    <w:p w:rsidR="00F25515" w:rsidRDefault="00F25515" w:rsidP="00F25515">
      <w:pPr>
        <w:pStyle w:val="Sinespaciado"/>
        <w:jc w:val="both"/>
        <w:rPr>
          <w:rFonts w:ascii="Arial" w:hAnsi="Arial" w:cs="Arial"/>
          <w:i/>
          <w:sz w:val="18"/>
        </w:rPr>
      </w:pPr>
      <w:bookmarkStart w:id="0" w:name="_GoBack"/>
      <w:bookmarkEnd w:id="0"/>
    </w:p>
    <w:p w:rsidR="00F25515" w:rsidRPr="00F25515" w:rsidRDefault="00F25515" w:rsidP="00F25515">
      <w:pPr>
        <w:pStyle w:val="Sinespaciado"/>
        <w:jc w:val="both"/>
        <w:rPr>
          <w:rFonts w:ascii="Arial" w:hAnsi="Arial" w:cs="Arial"/>
          <w:sz w:val="18"/>
        </w:rPr>
      </w:pPr>
      <w:r w:rsidRPr="00F25515">
        <w:rPr>
          <w:rFonts w:ascii="Arial" w:hAnsi="Arial" w:cs="Arial"/>
          <w:sz w:val="18"/>
        </w:rPr>
        <w:t xml:space="preserve">Ahora, como quiera que este asunto se inició en octubre de 2006, la norma aplicable para la fijación de las agencias en derecho es el Acuerdo 1887 de 2003 y no el actual Acuerdo PSAA16-10554 de 2016 citado por la jueza de instancia, como acertadamente lo advierte el apelante. </w:t>
      </w:r>
    </w:p>
    <w:p w:rsidR="00F25515" w:rsidRPr="00F25515" w:rsidRDefault="00F25515" w:rsidP="00F25515">
      <w:pPr>
        <w:pStyle w:val="Sinespaciado"/>
        <w:jc w:val="both"/>
        <w:rPr>
          <w:rFonts w:ascii="Arial" w:hAnsi="Arial" w:cs="Arial"/>
          <w:sz w:val="18"/>
        </w:rPr>
      </w:pPr>
    </w:p>
    <w:p w:rsidR="00F25515" w:rsidRDefault="00F25515" w:rsidP="00F25515">
      <w:pPr>
        <w:pStyle w:val="Sinespaciado"/>
        <w:jc w:val="both"/>
        <w:rPr>
          <w:rFonts w:ascii="Arial" w:hAnsi="Arial" w:cs="Arial"/>
          <w:sz w:val="18"/>
        </w:rPr>
      </w:pPr>
      <w:r w:rsidRPr="00F25515">
        <w:rPr>
          <w:rFonts w:ascii="Arial" w:hAnsi="Arial" w:cs="Arial"/>
          <w:sz w:val="18"/>
        </w:rPr>
        <w:t xml:space="preserve">Aclarado lo anterior, las agencias en derecho en el </w:t>
      </w:r>
      <w:proofErr w:type="spellStart"/>
      <w:r w:rsidRPr="00F25515">
        <w:rPr>
          <w:rFonts w:ascii="Arial" w:hAnsi="Arial" w:cs="Arial"/>
          <w:sz w:val="18"/>
        </w:rPr>
        <w:t>subjudice</w:t>
      </w:r>
      <w:proofErr w:type="spellEnd"/>
      <w:r w:rsidRPr="00F25515">
        <w:rPr>
          <w:rFonts w:ascii="Arial" w:hAnsi="Arial" w:cs="Arial"/>
          <w:sz w:val="18"/>
        </w:rPr>
        <w:t xml:space="preserve"> oscilan entre el 0 y 25% de las pretensiones reconocidas en primera y en segunda instancia, de conformidad al numeral 2.1.1. </w:t>
      </w:r>
      <w:proofErr w:type="gramStart"/>
      <w:r w:rsidRPr="00F25515">
        <w:rPr>
          <w:rFonts w:ascii="Arial" w:hAnsi="Arial" w:cs="Arial"/>
          <w:sz w:val="18"/>
        </w:rPr>
        <w:t>del</w:t>
      </w:r>
      <w:proofErr w:type="gramEnd"/>
      <w:r w:rsidRPr="00F25515">
        <w:rPr>
          <w:rFonts w:ascii="Arial" w:hAnsi="Arial" w:cs="Arial"/>
          <w:sz w:val="18"/>
        </w:rPr>
        <w:t xml:space="preserve"> artículo 6º del Acuerdo 1887 de 2003.</w:t>
      </w:r>
    </w:p>
    <w:p w:rsidR="00F25515" w:rsidRDefault="00F25515" w:rsidP="00F25515">
      <w:pPr>
        <w:pStyle w:val="Sinespaciado"/>
        <w:jc w:val="both"/>
        <w:rPr>
          <w:rFonts w:ascii="Arial" w:hAnsi="Arial" w:cs="Arial"/>
          <w:sz w:val="18"/>
        </w:rPr>
      </w:pPr>
    </w:p>
    <w:p w:rsidR="00F25515" w:rsidRDefault="00F25515" w:rsidP="00F25515">
      <w:pPr>
        <w:pStyle w:val="Sinespaciado"/>
        <w:jc w:val="both"/>
        <w:rPr>
          <w:rFonts w:ascii="Arial" w:hAnsi="Arial" w:cs="Arial"/>
          <w:sz w:val="18"/>
        </w:rPr>
      </w:pPr>
    </w:p>
    <w:p w:rsidR="00F25515" w:rsidRDefault="00F25515" w:rsidP="00F25515">
      <w:pPr>
        <w:pStyle w:val="Sinespaciado"/>
        <w:jc w:val="both"/>
        <w:rPr>
          <w:rFonts w:ascii="Arial" w:hAnsi="Arial" w:cs="Arial"/>
          <w:sz w:val="18"/>
        </w:rPr>
      </w:pPr>
    </w:p>
    <w:p w:rsidR="00BC6EBB" w:rsidRPr="00F25515" w:rsidRDefault="00BC6EBB" w:rsidP="00F25515">
      <w:pPr>
        <w:pStyle w:val="Sinespaciado"/>
        <w:jc w:val="both"/>
        <w:rPr>
          <w:rFonts w:ascii="Arial" w:hAnsi="Arial" w:cs="Arial"/>
          <w:sz w:val="18"/>
          <w:lang w:val="es-MX"/>
        </w:rPr>
      </w:pPr>
    </w:p>
    <w:p w:rsidR="0070659B" w:rsidRPr="00BC6EBB" w:rsidRDefault="0070659B" w:rsidP="00B66FEA">
      <w:pPr>
        <w:pStyle w:val="Ttulo4"/>
        <w:widowControl w:val="0"/>
        <w:tabs>
          <w:tab w:val="clear" w:pos="0"/>
        </w:tabs>
        <w:rPr>
          <w:rFonts w:ascii="Tahoma" w:hAnsi="Tahoma" w:cs="Tahoma"/>
          <w:bCs/>
          <w:sz w:val="22"/>
          <w:szCs w:val="22"/>
          <w:lang w:eastAsia="es-MX"/>
        </w:rPr>
      </w:pPr>
      <w:r w:rsidRPr="00BC6EBB">
        <w:rPr>
          <w:rFonts w:ascii="Tahoma" w:hAnsi="Tahoma" w:cs="Tahoma"/>
          <w:bCs/>
          <w:sz w:val="22"/>
          <w:szCs w:val="22"/>
          <w:lang w:eastAsia="es-MX"/>
        </w:rPr>
        <w:t>TRIBUNAL SUPERIOR DEL DISTRITO JUDICIAL DE PEREIRA</w:t>
      </w:r>
    </w:p>
    <w:p w:rsidR="0070659B" w:rsidRPr="00BC6EBB" w:rsidRDefault="0070659B" w:rsidP="00B66FEA">
      <w:pPr>
        <w:pStyle w:val="Ttulo4"/>
        <w:widowControl w:val="0"/>
        <w:tabs>
          <w:tab w:val="clear" w:pos="0"/>
        </w:tabs>
        <w:rPr>
          <w:rFonts w:ascii="Tahoma" w:hAnsi="Tahoma" w:cs="Tahoma"/>
          <w:bCs/>
          <w:sz w:val="22"/>
          <w:szCs w:val="22"/>
          <w:lang w:eastAsia="es-MX"/>
        </w:rPr>
      </w:pPr>
      <w:r w:rsidRPr="00BC6EBB">
        <w:rPr>
          <w:rFonts w:ascii="Tahoma" w:hAnsi="Tahoma" w:cs="Tahoma"/>
          <w:bCs/>
          <w:sz w:val="22"/>
          <w:szCs w:val="22"/>
          <w:lang w:eastAsia="es-MX"/>
        </w:rPr>
        <w:t>SALA LABORAL</w:t>
      </w:r>
    </w:p>
    <w:p w:rsidR="0070659B" w:rsidRPr="00BC6EBB" w:rsidRDefault="0070659B" w:rsidP="00B66FEA">
      <w:pPr>
        <w:jc w:val="center"/>
        <w:rPr>
          <w:rFonts w:ascii="Tahoma" w:hAnsi="Tahoma" w:cs="Tahoma"/>
          <w:bCs/>
          <w:sz w:val="22"/>
          <w:szCs w:val="22"/>
        </w:rPr>
      </w:pPr>
    </w:p>
    <w:p w:rsidR="0070659B" w:rsidRPr="00BC6EBB" w:rsidRDefault="0070659B" w:rsidP="00B66FEA">
      <w:pPr>
        <w:jc w:val="center"/>
        <w:rPr>
          <w:rFonts w:ascii="Tahoma" w:hAnsi="Tahoma" w:cs="Tahoma"/>
          <w:b/>
          <w:bCs/>
          <w:sz w:val="22"/>
          <w:szCs w:val="22"/>
        </w:rPr>
      </w:pPr>
      <w:r w:rsidRPr="00BC6EBB">
        <w:rPr>
          <w:rFonts w:ascii="Tahoma" w:hAnsi="Tahoma" w:cs="Tahoma"/>
          <w:bCs/>
          <w:sz w:val="22"/>
          <w:szCs w:val="22"/>
        </w:rPr>
        <w:t>Magistrada Ponente:</w:t>
      </w:r>
      <w:r w:rsidRPr="00BC6EBB">
        <w:rPr>
          <w:rFonts w:ascii="Tahoma" w:hAnsi="Tahoma" w:cs="Tahoma"/>
          <w:b/>
          <w:bCs/>
          <w:sz w:val="22"/>
          <w:szCs w:val="22"/>
        </w:rPr>
        <w:t xml:space="preserve"> ANA LUCÍA CAICEDO CALDERÓN</w:t>
      </w:r>
    </w:p>
    <w:p w:rsidR="0070659B" w:rsidRPr="00BC6EBB" w:rsidRDefault="0070659B" w:rsidP="00B66FEA">
      <w:pPr>
        <w:jc w:val="center"/>
        <w:rPr>
          <w:rFonts w:ascii="Tahoma" w:hAnsi="Tahoma" w:cs="Tahoma"/>
          <w:b/>
          <w:sz w:val="22"/>
          <w:szCs w:val="22"/>
        </w:rPr>
      </w:pPr>
    </w:p>
    <w:p w:rsidR="0070659B" w:rsidRPr="00BC6EBB" w:rsidRDefault="00B66FEA" w:rsidP="00B66FEA">
      <w:pPr>
        <w:jc w:val="center"/>
        <w:rPr>
          <w:rFonts w:ascii="Tahoma" w:hAnsi="Tahoma" w:cs="Tahoma"/>
          <w:b/>
          <w:sz w:val="22"/>
          <w:szCs w:val="22"/>
        </w:rPr>
      </w:pPr>
      <w:r w:rsidRPr="00BC6EBB">
        <w:rPr>
          <w:rFonts w:ascii="Tahoma" w:hAnsi="Tahoma" w:cs="Tahoma"/>
          <w:b/>
          <w:sz w:val="22"/>
          <w:szCs w:val="22"/>
        </w:rPr>
        <w:t xml:space="preserve">Acta </w:t>
      </w:r>
      <w:r w:rsidR="0070659B" w:rsidRPr="00BC6EBB">
        <w:rPr>
          <w:rFonts w:ascii="Tahoma" w:hAnsi="Tahoma" w:cs="Tahoma"/>
          <w:b/>
          <w:sz w:val="22"/>
          <w:szCs w:val="22"/>
        </w:rPr>
        <w:t>No.____</w:t>
      </w:r>
    </w:p>
    <w:p w:rsidR="0070659B" w:rsidRPr="00BC6EBB" w:rsidRDefault="0070659B" w:rsidP="00B66FEA">
      <w:pPr>
        <w:jc w:val="center"/>
        <w:rPr>
          <w:rFonts w:ascii="Tahoma" w:hAnsi="Tahoma" w:cs="Tahoma"/>
          <w:b/>
          <w:sz w:val="22"/>
          <w:szCs w:val="22"/>
        </w:rPr>
      </w:pPr>
    </w:p>
    <w:p w:rsidR="0070659B" w:rsidRPr="00BC6EBB" w:rsidRDefault="00B66FEA" w:rsidP="00B66FEA">
      <w:pPr>
        <w:jc w:val="center"/>
        <w:rPr>
          <w:rFonts w:ascii="Tahoma" w:hAnsi="Tahoma" w:cs="Tahoma"/>
          <w:b/>
          <w:sz w:val="22"/>
          <w:szCs w:val="22"/>
        </w:rPr>
      </w:pPr>
      <w:r w:rsidRPr="00BC6EBB">
        <w:rPr>
          <w:rFonts w:ascii="Tahoma" w:hAnsi="Tahoma" w:cs="Tahoma"/>
          <w:b/>
          <w:sz w:val="22"/>
          <w:szCs w:val="22"/>
        </w:rPr>
        <w:t>Auto interlocutorio</w:t>
      </w:r>
    </w:p>
    <w:p w:rsidR="0070659B" w:rsidRPr="00BC6EBB" w:rsidRDefault="0070659B" w:rsidP="00B66FEA">
      <w:pPr>
        <w:jc w:val="both"/>
        <w:rPr>
          <w:rFonts w:ascii="Tahoma" w:hAnsi="Tahoma" w:cs="Tahoma"/>
          <w:b/>
          <w:sz w:val="22"/>
          <w:szCs w:val="22"/>
        </w:rPr>
      </w:pPr>
    </w:p>
    <w:p w:rsidR="0070659B" w:rsidRPr="00BC6EBB" w:rsidRDefault="0070659B" w:rsidP="00B66FEA">
      <w:pPr>
        <w:jc w:val="center"/>
        <w:rPr>
          <w:rFonts w:ascii="Tahoma" w:hAnsi="Tahoma" w:cs="Tahoma"/>
          <w:sz w:val="22"/>
          <w:szCs w:val="22"/>
          <w:lang w:val="es-ES_tradnl"/>
        </w:rPr>
      </w:pPr>
      <w:r w:rsidRPr="00BC6EBB">
        <w:rPr>
          <w:rFonts w:ascii="Tahoma" w:hAnsi="Tahoma" w:cs="Tahoma"/>
          <w:spacing w:val="2"/>
          <w:sz w:val="22"/>
          <w:szCs w:val="22"/>
          <w:lang w:val="es-ES_tradnl"/>
        </w:rPr>
        <w:t>P</w:t>
      </w:r>
      <w:r w:rsidRPr="00BC6EBB">
        <w:rPr>
          <w:rFonts w:ascii="Tahoma" w:hAnsi="Tahoma" w:cs="Tahoma"/>
          <w:sz w:val="22"/>
          <w:szCs w:val="22"/>
          <w:lang w:val="es-ES_tradnl"/>
        </w:rPr>
        <w:t xml:space="preserve">ereira (Risaralda), </w:t>
      </w:r>
      <w:r w:rsidR="009B4A4E">
        <w:rPr>
          <w:rFonts w:ascii="Tahoma" w:hAnsi="Tahoma" w:cs="Tahoma"/>
          <w:sz w:val="22"/>
          <w:szCs w:val="22"/>
          <w:lang w:val="es-ES_tradnl"/>
        </w:rPr>
        <w:t>1</w:t>
      </w:r>
      <w:r w:rsidR="00037AB0">
        <w:rPr>
          <w:rFonts w:ascii="Tahoma" w:hAnsi="Tahoma" w:cs="Tahoma"/>
          <w:sz w:val="22"/>
          <w:szCs w:val="22"/>
          <w:lang w:val="es-ES_tradnl"/>
        </w:rPr>
        <w:t>1</w:t>
      </w:r>
      <w:r w:rsidR="009B4A4E">
        <w:rPr>
          <w:rFonts w:ascii="Tahoma" w:hAnsi="Tahoma" w:cs="Tahoma"/>
          <w:sz w:val="22"/>
          <w:szCs w:val="22"/>
          <w:lang w:val="es-ES_tradnl"/>
        </w:rPr>
        <w:t xml:space="preserve"> de julio de 2018</w:t>
      </w:r>
    </w:p>
    <w:p w:rsidR="0070659B" w:rsidRPr="00BC6EBB" w:rsidRDefault="0070659B" w:rsidP="00B66FEA">
      <w:pPr>
        <w:spacing w:line="276" w:lineRule="auto"/>
        <w:jc w:val="both"/>
        <w:rPr>
          <w:rFonts w:ascii="Tahoma" w:hAnsi="Tahoma" w:cs="Tahoma"/>
          <w:sz w:val="22"/>
          <w:szCs w:val="22"/>
          <w:lang w:val="es-ES_tradnl"/>
        </w:rPr>
      </w:pPr>
    </w:p>
    <w:p w:rsidR="0070659B" w:rsidRPr="00BC6EBB" w:rsidRDefault="0070659B" w:rsidP="00B66FEA">
      <w:pPr>
        <w:spacing w:line="276" w:lineRule="auto"/>
        <w:jc w:val="center"/>
        <w:rPr>
          <w:rFonts w:ascii="Tahoma" w:hAnsi="Tahoma" w:cs="Tahoma"/>
          <w:b/>
          <w:sz w:val="22"/>
          <w:szCs w:val="22"/>
          <w:lang w:val="es-ES_tradnl"/>
        </w:rPr>
      </w:pPr>
      <w:r w:rsidRPr="00BC6EBB">
        <w:rPr>
          <w:rFonts w:ascii="Tahoma" w:hAnsi="Tahoma" w:cs="Tahoma"/>
          <w:b/>
          <w:sz w:val="22"/>
          <w:szCs w:val="22"/>
          <w:u w:val="single"/>
          <w:lang w:val="es-ES_tradnl"/>
        </w:rPr>
        <w:t>PUNTO A TRATAR</w:t>
      </w:r>
      <w:r w:rsidRPr="00BC6EBB">
        <w:rPr>
          <w:rFonts w:ascii="Tahoma" w:hAnsi="Tahoma" w:cs="Tahoma"/>
          <w:b/>
          <w:sz w:val="22"/>
          <w:szCs w:val="22"/>
          <w:lang w:val="es-ES_tradnl"/>
        </w:rPr>
        <w:t>:</w:t>
      </w:r>
    </w:p>
    <w:p w:rsidR="0070659B" w:rsidRPr="00BC6EBB" w:rsidRDefault="0070659B" w:rsidP="00B66FEA">
      <w:pPr>
        <w:spacing w:line="276" w:lineRule="auto"/>
        <w:jc w:val="center"/>
        <w:rPr>
          <w:rFonts w:ascii="Tahoma" w:hAnsi="Tahoma" w:cs="Tahoma"/>
          <w:b/>
          <w:sz w:val="22"/>
          <w:szCs w:val="22"/>
          <w:lang w:val="es-ES_tradnl"/>
        </w:rPr>
      </w:pPr>
    </w:p>
    <w:p w:rsidR="0070659B" w:rsidRPr="00BC6EBB" w:rsidRDefault="0070659B" w:rsidP="00B66FEA">
      <w:pPr>
        <w:spacing w:line="276" w:lineRule="auto"/>
        <w:ind w:firstLine="708"/>
        <w:jc w:val="both"/>
        <w:rPr>
          <w:rFonts w:ascii="Tahoma" w:hAnsi="Tahoma" w:cs="Tahoma"/>
          <w:sz w:val="22"/>
          <w:szCs w:val="22"/>
          <w:lang w:val="es-ES_tradnl"/>
        </w:rPr>
      </w:pPr>
      <w:r w:rsidRPr="00BC6EBB">
        <w:rPr>
          <w:rFonts w:ascii="Tahoma" w:hAnsi="Tahoma" w:cs="Tahoma"/>
          <w:sz w:val="22"/>
          <w:szCs w:val="22"/>
          <w:lang w:val="es-ES_tradnl"/>
        </w:rPr>
        <w:t xml:space="preserve">Por medio de la presente providencia se entra a desatar el recurso de apelación interpuesto por la parte demandante contra el auto que aprobó la liquidación de las costas procesales realizada por la Secretaría del Despacho. </w:t>
      </w:r>
    </w:p>
    <w:p w:rsidR="0070659B" w:rsidRPr="00BC6EBB" w:rsidRDefault="0070659B" w:rsidP="00B66FEA">
      <w:pPr>
        <w:ind w:firstLine="708"/>
        <w:jc w:val="both"/>
        <w:rPr>
          <w:rFonts w:ascii="Tahoma" w:hAnsi="Tahoma" w:cs="Tahoma"/>
          <w:sz w:val="22"/>
          <w:szCs w:val="22"/>
          <w:lang w:val="es-ES_tradnl"/>
        </w:rPr>
      </w:pPr>
    </w:p>
    <w:p w:rsidR="0070659B" w:rsidRDefault="0070659B" w:rsidP="00B66FEA">
      <w:pPr>
        <w:spacing w:line="276" w:lineRule="auto"/>
        <w:ind w:firstLine="708"/>
        <w:jc w:val="both"/>
        <w:rPr>
          <w:rFonts w:ascii="Tahoma" w:hAnsi="Tahoma" w:cs="Tahoma"/>
          <w:sz w:val="22"/>
          <w:szCs w:val="22"/>
        </w:rPr>
      </w:pPr>
      <w:r w:rsidRPr="00BC6EBB">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BC6EBB">
        <w:rPr>
          <w:rFonts w:ascii="Tahoma" w:hAnsi="Tahoma" w:cs="Tahoma"/>
          <w:b/>
          <w:sz w:val="22"/>
          <w:szCs w:val="22"/>
          <w:lang w:val="es-ES_tradnl"/>
        </w:rPr>
        <w:t>auto interlocutorio</w:t>
      </w:r>
      <w:r w:rsidRPr="00BC6EBB">
        <w:rPr>
          <w:rFonts w:ascii="Tahoma" w:hAnsi="Tahoma" w:cs="Tahoma"/>
          <w:sz w:val="22"/>
          <w:szCs w:val="22"/>
        </w:rPr>
        <w:t>:</w:t>
      </w:r>
    </w:p>
    <w:p w:rsidR="00B66FEA" w:rsidRPr="00BC6EBB" w:rsidRDefault="00B66FEA" w:rsidP="00B66FEA">
      <w:pPr>
        <w:ind w:firstLine="708"/>
        <w:jc w:val="both"/>
        <w:rPr>
          <w:rFonts w:ascii="Tahoma" w:hAnsi="Tahoma" w:cs="Tahoma"/>
          <w:sz w:val="22"/>
          <w:szCs w:val="22"/>
        </w:rPr>
      </w:pPr>
    </w:p>
    <w:p w:rsidR="0070659B" w:rsidRPr="00BC6EBB" w:rsidRDefault="0070659B" w:rsidP="00B66FEA">
      <w:pPr>
        <w:spacing w:line="276" w:lineRule="auto"/>
        <w:ind w:firstLine="708"/>
        <w:jc w:val="center"/>
        <w:rPr>
          <w:rFonts w:ascii="Tahoma" w:hAnsi="Tahoma" w:cs="Tahoma"/>
          <w:b/>
          <w:sz w:val="22"/>
          <w:szCs w:val="22"/>
        </w:rPr>
      </w:pPr>
      <w:r w:rsidRPr="00BC6EBB">
        <w:rPr>
          <w:rFonts w:ascii="Tahoma" w:hAnsi="Tahoma" w:cs="Tahoma"/>
          <w:b/>
          <w:sz w:val="22"/>
          <w:szCs w:val="22"/>
        </w:rPr>
        <w:t xml:space="preserve">I.- </w:t>
      </w:r>
      <w:r w:rsidRPr="00BC6EBB">
        <w:rPr>
          <w:rFonts w:ascii="Tahoma" w:hAnsi="Tahoma" w:cs="Tahoma"/>
          <w:b/>
          <w:sz w:val="22"/>
          <w:szCs w:val="22"/>
          <w:u w:val="single"/>
        </w:rPr>
        <w:t>ANTECEDENTES PROCESALES</w:t>
      </w:r>
      <w:r w:rsidRPr="00BC6EBB">
        <w:rPr>
          <w:rFonts w:ascii="Tahoma" w:hAnsi="Tahoma" w:cs="Tahoma"/>
          <w:b/>
          <w:sz w:val="22"/>
          <w:szCs w:val="22"/>
        </w:rPr>
        <w:t>:</w:t>
      </w:r>
    </w:p>
    <w:p w:rsidR="0070659B" w:rsidRPr="00BC6EBB" w:rsidRDefault="0070659B" w:rsidP="00B66FEA">
      <w:pPr>
        <w:ind w:firstLine="708"/>
        <w:jc w:val="center"/>
        <w:rPr>
          <w:rFonts w:ascii="Tahoma" w:hAnsi="Tahoma" w:cs="Tahoma"/>
          <w:b/>
          <w:sz w:val="22"/>
          <w:szCs w:val="22"/>
        </w:rPr>
      </w:pPr>
    </w:p>
    <w:p w:rsidR="00D83B9E" w:rsidRDefault="0070659B" w:rsidP="00B66FEA">
      <w:pPr>
        <w:spacing w:line="276" w:lineRule="auto"/>
        <w:ind w:firstLine="708"/>
        <w:jc w:val="both"/>
        <w:rPr>
          <w:rFonts w:ascii="Tahoma" w:hAnsi="Tahoma" w:cs="Tahoma"/>
          <w:sz w:val="22"/>
          <w:szCs w:val="22"/>
        </w:rPr>
      </w:pPr>
      <w:r w:rsidRPr="00BC6EBB">
        <w:rPr>
          <w:rFonts w:ascii="Tahoma" w:hAnsi="Tahoma" w:cs="Tahoma"/>
          <w:sz w:val="22"/>
          <w:szCs w:val="22"/>
        </w:rPr>
        <w:t xml:space="preserve">Para mejor proveer conviene aclarar que </w:t>
      </w:r>
      <w:r w:rsidR="0080200E">
        <w:rPr>
          <w:rFonts w:ascii="Tahoma" w:hAnsi="Tahoma" w:cs="Tahoma"/>
          <w:sz w:val="22"/>
          <w:szCs w:val="22"/>
        </w:rPr>
        <w:t xml:space="preserve">en </w:t>
      </w:r>
      <w:r w:rsidRPr="00BC6EBB">
        <w:rPr>
          <w:rFonts w:ascii="Tahoma" w:hAnsi="Tahoma" w:cs="Tahoma"/>
          <w:sz w:val="22"/>
          <w:szCs w:val="22"/>
        </w:rPr>
        <w:t xml:space="preserve">el presente proceso </w:t>
      </w:r>
      <w:r w:rsidR="0080200E">
        <w:rPr>
          <w:rFonts w:ascii="Tahoma" w:hAnsi="Tahoma" w:cs="Tahoma"/>
          <w:sz w:val="22"/>
          <w:szCs w:val="22"/>
        </w:rPr>
        <w:t xml:space="preserve">mediante sentencia de primera instancia del 5 de septiembre de 2016 (folio 413 a 415), revocada parcialmente por esta Corporación en fallo del 9 de octubre de 2017 (folio 432 a 439), luego de declarar que MANUEL ANTONIO LOAIZA AGUDELO en calidad de trabajador y HERNANDO GÓMEZ y CIVAL CONSTRUCTORES LTDA., en calidad de empleadores, estuvieron vinculados por un contrato de trabajo verbal y a término indefinido que inició el 4 de noviembre de 2004 y finalizó 5 de febrero de 2005, se fulminaron las siguientes condenas: 1) Pagar en favor del trabajador </w:t>
      </w:r>
      <w:r w:rsidR="00B8263B">
        <w:rPr>
          <w:rFonts w:ascii="Tahoma" w:hAnsi="Tahoma" w:cs="Tahoma"/>
          <w:sz w:val="22"/>
          <w:szCs w:val="22"/>
        </w:rPr>
        <w:t xml:space="preserve">$255.555,55 por concepto de cesantías; $4.136 por concepto de intereses a las cesantías; $255.555,55 por concepto de primas de servicios; y, $127.777,77 por concepto de </w:t>
      </w:r>
      <w:r w:rsidR="00CD0A72">
        <w:rPr>
          <w:rFonts w:ascii="Tahoma" w:hAnsi="Tahoma" w:cs="Tahoma"/>
          <w:sz w:val="22"/>
          <w:szCs w:val="22"/>
        </w:rPr>
        <w:t>compensación</w:t>
      </w:r>
      <w:r w:rsidR="00B8263B">
        <w:rPr>
          <w:rFonts w:ascii="Tahoma" w:hAnsi="Tahoma" w:cs="Tahoma"/>
          <w:sz w:val="22"/>
          <w:szCs w:val="22"/>
        </w:rPr>
        <w:t xml:space="preserve"> de vacaciones. 2) Pagar a título de indemnización moratoria la suma de $24.333.380,80 </w:t>
      </w:r>
      <w:r w:rsidR="00270EA9">
        <w:rPr>
          <w:rFonts w:ascii="Tahoma" w:hAnsi="Tahoma" w:cs="Tahoma"/>
          <w:sz w:val="22"/>
          <w:szCs w:val="22"/>
        </w:rPr>
        <w:t xml:space="preserve">a razón de $33.333,33 diarios desde el 6 de febrero de 2005 hasta </w:t>
      </w:r>
      <w:r w:rsidR="00D83B9E">
        <w:rPr>
          <w:rFonts w:ascii="Tahoma" w:hAnsi="Tahoma" w:cs="Tahoma"/>
          <w:sz w:val="22"/>
          <w:szCs w:val="22"/>
        </w:rPr>
        <w:t xml:space="preserve">el 5 de febrer5o de 2007, a partir del 6 de febrero de </w:t>
      </w:r>
      <w:r w:rsidR="00D83B9E">
        <w:rPr>
          <w:rFonts w:ascii="Tahoma" w:hAnsi="Tahoma" w:cs="Tahoma"/>
          <w:sz w:val="22"/>
          <w:szCs w:val="22"/>
        </w:rPr>
        <w:lastRenderedPageBreak/>
        <w:t xml:space="preserve">2007, intereses moratorios a la tasa máxima de créditos de libre asignación liquidados sobre las sumas adeudadas hasta el pago total de la </w:t>
      </w:r>
      <w:r w:rsidR="00CD0A72">
        <w:rPr>
          <w:rFonts w:ascii="Tahoma" w:hAnsi="Tahoma" w:cs="Tahoma"/>
          <w:sz w:val="22"/>
          <w:szCs w:val="22"/>
        </w:rPr>
        <w:t>obligación</w:t>
      </w:r>
      <w:r w:rsidR="00D83B9E">
        <w:rPr>
          <w:rFonts w:ascii="Tahoma" w:hAnsi="Tahoma" w:cs="Tahoma"/>
          <w:sz w:val="22"/>
          <w:szCs w:val="22"/>
        </w:rPr>
        <w:t xml:space="preserve">. 3) Pagar las costas procesales de primera instancia en un 80%. </w:t>
      </w:r>
    </w:p>
    <w:p w:rsidR="00B66FEA" w:rsidRDefault="00B66FEA" w:rsidP="00B66FEA">
      <w:pPr>
        <w:ind w:firstLine="708"/>
        <w:jc w:val="both"/>
        <w:rPr>
          <w:rFonts w:ascii="Tahoma" w:hAnsi="Tahoma" w:cs="Tahoma"/>
          <w:sz w:val="22"/>
          <w:szCs w:val="22"/>
        </w:rPr>
      </w:pPr>
    </w:p>
    <w:p w:rsidR="00B66FEA" w:rsidRDefault="00B66FEA" w:rsidP="00B66FEA">
      <w:pPr>
        <w:ind w:firstLine="708"/>
        <w:jc w:val="both"/>
        <w:rPr>
          <w:rFonts w:ascii="Tahoma" w:hAnsi="Tahoma" w:cs="Tahoma"/>
          <w:sz w:val="22"/>
          <w:szCs w:val="22"/>
        </w:rPr>
      </w:pPr>
    </w:p>
    <w:p w:rsidR="00B66FEA" w:rsidRDefault="00B66FEA" w:rsidP="00B66FEA">
      <w:pPr>
        <w:ind w:firstLine="708"/>
        <w:jc w:val="both"/>
        <w:rPr>
          <w:rFonts w:ascii="Tahoma" w:hAnsi="Tahoma" w:cs="Tahoma"/>
          <w:sz w:val="22"/>
          <w:szCs w:val="22"/>
        </w:rPr>
      </w:pPr>
    </w:p>
    <w:p w:rsidR="002548F5" w:rsidRPr="00BC6EBB" w:rsidRDefault="002548F5" w:rsidP="00B66FEA">
      <w:pPr>
        <w:jc w:val="center"/>
        <w:rPr>
          <w:rFonts w:ascii="Tahoma" w:hAnsi="Tahoma" w:cs="Tahoma"/>
          <w:b/>
          <w:sz w:val="22"/>
          <w:szCs w:val="22"/>
          <w:lang w:val="es-CO"/>
        </w:rPr>
      </w:pPr>
      <w:r w:rsidRPr="00BC6EBB">
        <w:rPr>
          <w:rFonts w:ascii="Tahoma" w:hAnsi="Tahoma" w:cs="Tahoma"/>
          <w:b/>
          <w:sz w:val="22"/>
          <w:szCs w:val="22"/>
          <w:lang w:val="es-CO"/>
        </w:rPr>
        <w:t>II</w:t>
      </w:r>
      <w:r w:rsidR="007A0E5F">
        <w:rPr>
          <w:rFonts w:ascii="Tahoma" w:hAnsi="Tahoma" w:cs="Tahoma"/>
          <w:b/>
          <w:sz w:val="22"/>
          <w:szCs w:val="22"/>
          <w:lang w:val="es-CO"/>
        </w:rPr>
        <w:t>.-</w:t>
      </w:r>
      <w:r w:rsidRPr="00BC6EBB">
        <w:rPr>
          <w:rFonts w:ascii="Tahoma" w:hAnsi="Tahoma" w:cs="Tahoma"/>
          <w:b/>
          <w:sz w:val="22"/>
          <w:szCs w:val="22"/>
          <w:lang w:val="es-CO"/>
        </w:rPr>
        <w:t xml:space="preserve"> </w:t>
      </w:r>
      <w:r w:rsidR="00517B79" w:rsidRPr="007A0E5F">
        <w:rPr>
          <w:rFonts w:ascii="Tahoma" w:hAnsi="Tahoma" w:cs="Tahoma"/>
          <w:b/>
          <w:sz w:val="22"/>
          <w:szCs w:val="22"/>
          <w:u w:val="single"/>
          <w:lang w:val="es-CO"/>
        </w:rPr>
        <w:t xml:space="preserve">AUTO OBJETO DE </w:t>
      </w:r>
      <w:r w:rsidRPr="007A0E5F">
        <w:rPr>
          <w:rFonts w:ascii="Tahoma" w:hAnsi="Tahoma" w:cs="Tahoma"/>
          <w:b/>
          <w:sz w:val="22"/>
          <w:szCs w:val="22"/>
          <w:u w:val="single"/>
          <w:lang w:val="es-CO"/>
        </w:rPr>
        <w:t>APELACIÓN</w:t>
      </w:r>
    </w:p>
    <w:p w:rsidR="002548F5" w:rsidRPr="00BC6EBB" w:rsidRDefault="002548F5" w:rsidP="00B66FEA">
      <w:pPr>
        <w:ind w:firstLine="708"/>
        <w:jc w:val="both"/>
        <w:rPr>
          <w:rFonts w:ascii="Tahoma" w:hAnsi="Tahoma" w:cs="Tahoma"/>
          <w:sz w:val="22"/>
          <w:szCs w:val="22"/>
        </w:rPr>
      </w:pPr>
    </w:p>
    <w:p w:rsidR="00C640B7" w:rsidRPr="00BC6EBB" w:rsidRDefault="00517B79" w:rsidP="00B66FEA">
      <w:pPr>
        <w:spacing w:line="276" w:lineRule="auto"/>
        <w:ind w:firstLine="708"/>
        <w:jc w:val="both"/>
        <w:rPr>
          <w:rFonts w:ascii="Tahoma" w:hAnsi="Tahoma" w:cs="Tahoma"/>
          <w:sz w:val="22"/>
          <w:szCs w:val="22"/>
        </w:rPr>
      </w:pPr>
      <w:r w:rsidRPr="00BC6EBB">
        <w:rPr>
          <w:rFonts w:ascii="Tahoma" w:hAnsi="Tahoma" w:cs="Tahoma"/>
          <w:sz w:val="22"/>
          <w:szCs w:val="22"/>
        </w:rPr>
        <w:t xml:space="preserve">Una vez </w:t>
      </w:r>
      <w:r w:rsidR="0059197E" w:rsidRPr="00BC6EBB">
        <w:rPr>
          <w:rFonts w:ascii="Tahoma" w:hAnsi="Tahoma" w:cs="Tahoma"/>
          <w:sz w:val="22"/>
          <w:szCs w:val="22"/>
        </w:rPr>
        <w:t xml:space="preserve">obedecido lo </w:t>
      </w:r>
      <w:r w:rsidR="00242965" w:rsidRPr="00BC6EBB">
        <w:rPr>
          <w:rFonts w:ascii="Tahoma" w:hAnsi="Tahoma" w:cs="Tahoma"/>
          <w:sz w:val="22"/>
          <w:szCs w:val="22"/>
        </w:rPr>
        <w:t>resuelto</w:t>
      </w:r>
      <w:r w:rsidR="0059197E" w:rsidRPr="00BC6EBB">
        <w:rPr>
          <w:rFonts w:ascii="Tahoma" w:hAnsi="Tahoma" w:cs="Tahoma"/>
          <w:sz w:val="22"/>
          <w:szCs w:val="22"/>
        </w:rPr>
        <w:t xml:space="preserve"> por el superior, </w:t>
      </w:r>
      <w:r w:rsidR="007A0E5F">
        <w:rPr>
          <w:rFonts w:ascii="Tahoma" w:hAnsi="Tahoma" w:cs="Tahoma"/>
          <w:sz w:val="22"/>
          <w:szCs w:val="22"/>
        </w:rPr>
        <w:t xml:space="preserve">mediante auto del 28 de noviembre de 2017 (folio 443), la jueza de instancia fijó como agencias en derecho $1.971.047, siguiendo los parámetros del </w:t>
      </w:r>
      <w:r w:rsidR="007A0E5F" w:rsidRPr="005C7D31">
        <w:rPr>
          <w:rFonts w:ascii="Tahoma" w:hAnsi="Tahoma" w:cs="Tahoma"/>
          <w:b/>
          <w:sz w:val="22"/>
          <w:szCs w:val="22"/>
        </w:rPr>
        <w:t>Acuerdo PSAA 1610554 de agosto 16 de 2016</w:t>
      </w:r>
      <w:r w:rsidR="007A0E5F">
        <w:rPr>
          <w:rFonts w:ascii="Tahoma" w:hAnsi="Tahoma" w:cs="Tahoma"/>
          <w:b/>
          <w:sz w:val="22"/>
          <w:szCs w:val="22"/>
        </w:rPr>
        <w:t>, artículo 3º, parágrafo 4º.</w:t>
      </w:r>
      <w:r w:rsidR="007A0E5F">
        <w:rPr>
          <w:rFonts w:ascii="Tahoma" w:hAnsi="Tahoma" w:cs="Tahoma"/>
          <w:sz w:val="22"/>
          <w:szCs w:val="22"/>
        </w:rPr>
        <w:t xml:space="preserve"> Acto seguido la Secretaría del Despacho procedió a liquidar las costas procesales las cuales arrojaron la suma de $1.576.838, después de aplicar el 80% al valor de las agencias en derecho (folio 443 reverso). Dicha </w:t>
      </w:r>
      <w:r w:rsidR="00F06A96" w:rsidRPr="00BC6EBB">
        <w:rPr>
          <w:rFonts w:ascii="Tahoma" w:hAnsi="Tahoma" w:cs="Tahoma"/>
          <w:sz w:val="22"/>
          <w:szCs w:val="22"/>
        </w:rPr>
        <w:t>liquidació</w:t>
      </w:r>
      <w:r w:rsidR="009B1DFE" w:rsidRPr="00BC6EBB">
        <w:rPr>
          <w:rFonts w:ascii="Tahoma" w:hAnsi="Tahoma" w:cs="Tahoma"/>
          <w:sz w:val="22"/>
          <w:szCs w:val="22"/>
        </w:rPr>
        <w:t>n fue aprobada por auto de</w:t>
      </w:r>
      <w:r w:rsidR="007A0E5F">
        <w:rPr>
          <w:rFonts w:ascii="Tahoma" w:hAnsi="Tahoma" w:cs="Tahoma"/>
          <w:sz w:val="22"/>
          <w:szCs w:val="22"/>
        </w:rPr>
        <w:t>l 28 de noviembre de 2017 (</w:t>
      </w:r>
      <w:r w:rsidR="00F06A96" w:rsidRPr="00BC6EBB">
        <w:rPr>
          <w:rFonts w:ascii="Tahoma" w:hAnsi="Tahoma" w:cs="Tahoma"/>
          <w:sz w:val="22"/>
          <w:szCs w:val="22"/>
        </w:rPr>
        <w:t xml:space="preserve">folio </w:t>
      </w:r>
      <w:r w:rsidR="007A0E5F">
        <w:rPr>
          <w:rFonts w:ascii="Tahoma" w:hAnsi="Tahoma" w:cs="Tahoma"/>
          <w:sz w:val="22"/>
          <w:szCs w:val="22"/>
        </w:rPr>
        <w:t>444</w:t>
      </w:r>
      <w:r w:rsidR="00F06A96" w:rsidRPr="00BC6EBB">
        <w:rPr>
          <w:rFonts w:ascii="Tahoma" w:hAnsi="Tahoma" w:cs="Tahoma"/>
          <w:sz w:val="22"/>
          <w:szCs w:val="22"/>
        </w:rPr>
        <w:t xml:space="preserve">). </w:t>
      </w:r>
    </w:p>
    <w:p w:rsidR="00A523C2" w:rsidRPr="00BC6EBB" w:rsidRDefault="00A523C2" w:rsidP="00B66FEA">
      <w:pPr>
        <w:ind w:firstLine="708"/>
        <w:jc w:val="both"/>
        <w:rPr>
          <w:rFonts w:ascii="Tahoma" w:hAnsi="Tahoma" w:cs="Tahoma"/>
          <w:b/>
          <w:sz w:val="22"/>
          <w:szCs w:val="22"/>
          <w:u w:val="single"/>
        </w:rPr>
      </w:pPr>
    </w:p>
    <w:p w:rsidR="00F37868" w:rsidRPr="00BC6EBB" w:rsidRDefault="00741F9E" w:rsidP="00B66FEA">
      <w:pPr>
        <w:spacing w:line="276" w:lineRule="auto"/>
        <w:jc w:val="center"/>
        <w:rPr>
          <w:rFonts w:ascii="Tahoma" w:hAnsi="Tahoma" w:cs="Tahoma"/>
          <w:b/>
          <w:sz w:val="22"/>
          <w:szCs w:val="22"/>
          <w:u w:val="single"/>
        </w:rPr>
      </w:pPr>
      <w:r w:rsidRPr="00BC6EBB">
        <w:rPr>
          <w:rFonts w:ascii="Tahoma" w:hAnsi="Tahoma" w:cs="Tahoma"/>
          <w:b/>
          <w:sz w:val="22"/>
          <w:szCs w:val="22"/>
          <w:u w:val="single"/>
        </w:rPr>
        <w:t>I</w:t>
      </w:r>
      <w:r w:rsidR="00F37868" w:rsidRPr="00BC6EBB">
        <w:rPr>
          <w:rFonts w:ascii="Tahoma" w:hAnsi="Tahoma" w:cs="Tahoma"/>
          <w:b/>
          <w:sz w:val="22"/>
          <w:szCs w:val="22"/>
          <w:u w:val="single"/>
        </w:rPr>
        <w:t>I. FUNDAMENTOS DE LA APELACIÓN</w:t>
      </w:r>
    </w:p>
    <w:p w:rsidR="00F37868" w:rsidRPr="00BC6EBB" w:rsidRDefault="00F37868" w:rsidP="00B66FEA">
      <w:pPr>
        <w:jc w:val="center"/>
        <w:rPr>
          <w:rFonts w:ascii="Tahoma" w:hAnsi="Tahoma" w:cs="Tahoma"/>
          <w:b/>
          <w:sz w:val="22"/>
          <w:szCs w:val="22"/>
          <w:u w:val="single"/>
        </w:rPr>
      </w:pPr>
    </w:p>
    <w:p w:rsidR="00803187" w:rsidRDefault="00041390" w:rsidP="00B66FEA">
      <w:pPr>
        <w:widowControl w:val="0"/>
        <w:autoSpaceDE w:val="0"/>
        <w:autoSpaceDN w:val="0"/>
        <w:adjustRightInd w:val="0"/>
        <w:spacing w:line="276" w:lineRule="auto"/>
        <w:ind w:firstLine="708"/>
        <w:jc w:val="both"/>
        <w:rPr>
          <w:rFonts w:ascii="Tahoma" w:hAnsi="Tahoma" w:cs="Tahoma"/>
          <w:sz w:val="22"/>
          <w:szCs w:val="22"/>
          <w:lang w:val="es-ES_tradnl"/>
        </w:rPr>
      </w:pPr>
      <w:r w:rsidRPr="00BC6EBB">
        <w:rPr>
          <w:rFonts w:ascii="Tahoma" w:hAnsi="Tahoma" w:cs="Tahoma"/>
          <w:sz w:val="22"/>
          <w:szCs w:val="22"/>
          <w:lang w:val="es-ES_tradnl"/>
        </w:rPr>
        <w:t xml:space="preserve">La inconformidad de la parte demandante frente a la liquidación de las costas se dirigió básicamente a los siguientes aspectos: </w:t>
      </w:r>
      <w:r w:rsidRPr="00BC6EBB">
        <w:rPr>
          <w:rFonts w:ascii="Tahoma" w:hAnsi="Tahoma" w:cs="Tahoma"/>
          <w:i/>
          <w:sz w:val="22"/>
          <w:szCs w:val="22"/>
          <w:lang w:val="es-ES_tradnl"/>
        </w:rPr>
        <w:t xml:space="preserve">i) </w:t>
      </w:r>
      <w:r w:rsidR="005B229D" w:rsidRPr="00BC6EBB">
        <w:rPr>
          <w:rFonts w:ascii="Tahoma" w:hAnsi="Tahoma" w:cs="Tahoma"/>
          <w:sz w:val="22"/>
          <w:szCs w:val="22"/>
          <w:lang w:val="es-ES_tradnl"/>
        </w:rPr>
        <w:t xml:space="preserve">Que </w:t>
      </w:r>
      <w:r w:rsidR="003D7842">
        <w:rPr>
          <w:rFonts w:ascii="Tahoma" w:hAnsi="Tahoma" w:cs="Tahoma"/>
          <w:sz w:val="22"/>
          <w:szCs w:val="22"/>
          <w:lang w:val="es-ES_tradnl"/>
        </w:rPr>
        <w:t xml:space="preserve">la liquidación de las costas procesales debió disciplinarse por el Acuerdo 1887 de 2003 de la Sala Administrativa del Consejo Superior de la Judicatura y con el Acuerdo </w:t>
      </w:r>
      <w:r w:rsidR="003D7842" w:rsidRPr="003D7842">
        <w:rPr>
          <w:rFonts w:ascii="Tahoma" w:hAnsi="Tahoma" w:cs="Tahoma"/>
          <w:sz w:val="22"/>
          <w:szCs w:val="22"/>
        </w:rPr>
        <w:t>PSAA 1610554 de 2016</w:t>
      </w:r>
      <w:r w:rsidR="003D7842">
        <w:rPr>
          <w:rFonts w:ascii="Tahoma" w:hAnsi="Tahoma" w:cs="Tahoma"/>
          <w:sz w:val="22"/>
          <w:szCs w:val="22"/>
        </w:rPr>
        <w:t xml:space="preserve"> ibídem, toda vez que el presente proceso se inició con anterioridad a la publicación de esta última norm</w:t>
      </w:r>
      <w:r w:rsidR="00FA1771">
        <w:rPr>
          <w:rFonts w:ascii="Tahoma" w:hAnsi="Tahoma" w:cs="Tahoma"/>
          <w:sz w:val="22"/>
          <w:szCs w:val="22"/>
        </w:rPr>
        <w:t xml:space="preserve">a. </w:t>
      </w:r>
      <w:r w:rsidR="00FA1771">
        <w:rPr>
          <w:rFonts w:ascii="Tahoma" w:hAnsi="Tahoma" w:cs="Tahoma"/>
          <w:i/>
          <w:sz w:val="22"/>
          <w:szCs w:val="22"/>
        </w:rPr>
        <w:t xml:space="preserve">ii) </w:t>
      </w:r>
      <w:r w:rsidR="00FA1771">
        <w:rPr>
          <w:rFonts w:ascii="Tahoma" w:hAnsi="Tahoma" w:cs="Tahoma"/>
          <w:sz w:val="22"/>
          <w:szCs w:val="22"/>
        </w:rPr>
        <w:t xml:space="preserve">Que de conformidad al </w:t>
      </w:r>
      <w:r w:rsidR="00FA1771" w:rsidRPr="00BC6EBB">
        <w:rPr>
          <w:rFonts w:ascii="Tahoma" w:hAnsi="Tahoma" w:cs="Tahoma"/>
          <w:sz w:val="22"/>
          <w:szCs w:val="22"/>
          <w:lang w:val="es-ES_tradnl"/>
        </w:rPr>
        <w:t>numeral 2.1.1.</w:t>
      </w:r>
      <w:r w:rsidR="00FA1771">
        <w:rPr>
          <w:rFonts w:ascii="Tahoma" w:hAnsi="Tahoma" w:cs="Tahoma"/>
          <w:sz w:val="22"/>
          <w:szCs w:val="22"/>
          <w:lang w:val="es-ES_tradnl"/>
        </w:rPr>
        <w:t xml:space="preserve"> </w:t>
      </w:r>
      <w:proofErr w:type="gramStart"/>
      <w:r w:rsidR="00FA1771">
        <w:rPr>
          <w:rFonts w:ascii="Tahoma" w:hAnsi="Tahoma" w:cs="Tahoma"/>
          <w:sz w:val="22"/>
          <w:szCs w:val="22"/>
          <w:lang w:val="es-ES_tradnl"/>
        </w:rPr>
        <w:t>del</w:t>
      </w:r>
      <w:proofErr w:type="gramEnd"/>
      <w:r w:rsidR="00FA1771">
        <w:rPr>
          <w:rFonts w:ascii="Tahoma" w:hAnsi="Tahoma" w:cs="Tahoma"/>
          <w:sz w:val="22"/>
          <w:szCs w:val="22"/>
          <w:lang w:val="es-ES_tradnl"/>
        </w:rPr>
        <w:t xml:space="preserve"> </w:t>
      </w:r>
      <w:r w:rsidR="00FA1771" w:rsidRPr="00BC6EBB">
        <w:rPr>
          <w:rFonts w:ascii="Tahoma" w:hAnsi="Tahoma" w:cs="Tahoma"/>
          <w:sz w:val="22"/>
          <w:szCs w:val="22"/>
          <w:lang w:val="es-ES_tradnl"/>
        </w:rPr>
        <w:t>artículo 6º del Acuerdo 1887 de 2003</w:t>
      </w:r>
      <w:r w:rsidR="00FA1771">
        <w:rPr>
          <w:rFonts w:ascii="Tahoma" w:hAnsi="Tahoma" w:cs="Tahoma"/>
          <w:sz w:val="22"/>
          <w:szCs w:val="22"/>
          <w:lang w:val="es-ES_tradnl"/>
        </w:rPr>
        <w:t xml:space="preserve"> </w:t>
      </w:r>
      <w:r w:rsidR="00FA1771" w:rsidRPr="00BC6EBB">
        <w:rPr>
          <w:rFonts w:ascii="Tahoma" w:hAnsi="Tahoma" w:cs="Tahoma"/>
          <w:sz w:val="22"/>
          <w:szCs w:val="22"/>
          <w:lang w:val="es-ES_tradnl"/>
        </w:rPr>
        <w:t xml:space="preserve">las agencias en derecho en primera instancia serán </w:t>
      </w:r>
      <w:r w:rsidR="00FA1771" w:rsidRPr="00BC6EBB">
        <w:rPr>
          <w:rFonts w:ascii="Tahoma" w:hAnsi="Tahoma" w:cs="Tahoma"/>
          <w:i/>
          <w:sz w:val="22"/>
          <w:szCs w:val="22"/>
          <w:lang w:val="es-ES_tradnl"/>
        </w:rPr>
        <w:t>“H</w:t>
      </w:r>
      <w:proofErr w:type="spellStart"/>
      <w:r w:rsidR="00FA1771" w:rsidRPr="00BC6EBB">
        <w:rPr>
          <w:rFonts w:ascii="Tahoma" w:hAnsi="Tahoma" w:cs="Tahoma"/>
          <w:i/>
          <w:color w:val="000000"/>
          <w:sz w:val="22"/>
          <w:szCs w:val="22"/>
          <w:lang w:eastAsia="es-CO"/>
        </w:rPr>
        <w:t>asta</w:t>
      </w:r>
      <w:proofErr w:type="spellEnd"/>
      <w:r w:rsidR="00FA1771" w:rsidRPr="00BC6EBB">
        <w:rPr>
          <w:rFonts w:ascii="Tahoma" w:hAnsi="Tahoma" w:cs="Tahoma"/>
          <w:i/>
          <w:color w:val="000000"/>
          <w:sz w:val="22"/>
          <w:szCs w:val="22"/>
          <w:lang w:eastAsia="es-CO"/>
        </w:rPr>
        <w:t xml:space="preserve"> el veinticinco por ciento (25%) del valor de las pretensiones reconocidas en la sentencia. Si ésta, además, reconoce obligaciones de hacer, se incrementará hasta cuatro (4) salarios mínimos mensuales legales vigentes por este concepto”</w:t>
      </w:r>
      <w:r w:rsidR="00FA1771">
        <w:rPr>
          <w:rFonts w:ascii="Tahoma" w:hAnsi="Tahoma" w:cs="Tahoma"/>
          <w:i/>
          <w:color w:val="000000"/>
          <w:sz w:val="22"/>
          <w:szCs w:val="22"/>
          <w:lang w:eastAsia="es-CO"/>
        </w:rPr>
        <w:t xml:space="preserve"> </w:t>
      </w:r>
      <w:r w:rsidR="00FA1771">
        <w:rPr>
          <w:rFonts w:ascii="Tahoma" w:hAnsi="Tahoma" w:cs="Tahoma"/>
          <w:color w:val="000000"/>
          <w:sz w:val="22"/>
          <w:szCs w:val="22"/>
          <w:lang w:eastAsia="es-CO"/>
        </w:rPr>
        <w:t xml:space="preserve">por tratarse de un proceso ordinario laboral de primera instancia. </w:t>
      </w:r>
      <w:r w:rsidR="0037283C" w:rsidRPr="00BC6EBB">
        <w:rPr>
          <w:rFonts w:ascii="Tahoma" w:hAnsi="Tahoma" w:cs="Tahoma"/>
          <w:i/>
          <w:sz w:val="22"/>
          <w:szCs w:val="22"/>
          <w:lang w:val="es-ES_tradnl"/>
        </w:rPr>
        <w:t xml:space="preserve">iii) </w:t>
      </w:r>
      <w:r w:rsidR="00803187">
        <w:rPr>
          <w:rFonts w:ascii="Tahoma" w:hAnsi="Tahoma" w:cs="Tahoma"/>
          <w:sz w:val="22"/>
          <w:szCs w:val="22"/>
          <w:lang w:val="es-ES_tradnl"/>
        </w:rPr>
        <w:t xml:space="preserve">Que el juzgado de instancia al momento de liquidar las costas procesales, desconoció que el Tribunal Superior de Pereira recovó </w:t>
      </w:r>
      <w:r w:rsidR="00CD0A72">
        <w:rPr>
          <w:rFonts w:ascii="Tahoma" w:hAnsi="Tahoma" w:cs="Tahoma"/>
          <w:sz w:val="22"/>
          <w:szCs w:val="22"/>
          <w:lang w:val="es-ES_tradnl"/>
        </w:rPr>
        <w:t>parcialmente</w:t>
      </w:r>
      <w:r w:rsidR="00803187">
        <w:rPr>
          <w:rFonts w:ascii="Tahoma" w:hAnsi="Tahoma" w:cs="Tahoma"/>
          <w:sz w:val="22"/>
          <w:szCs w:val="22"/>
          <w:lang w:val="es-ES_tradnl"/>
        </w:rPr>
        <w:t xml:space="preserve"> la sentencia de primer grado y condenó a la parte demandada a pagar la indemnización moratoria. </w:t>
      </w:r>
    </w:p>
    <w:p w:rsidR="0081692D" w:rsidRPr="00BC6EBB" w:rsidRDefault="0081692D" w:rsidP="00B66FEA">
      <w:pPr>
        <w:widowControl w:val="0"/>
        <w:autoSpaceDE w:val="0"/>
        <w:autoSpaceDN w:val="0"/>
        <w:adjustRightInd w:val="0"/>
        <w:ind w:firstLine="708"/>
        <w:jc w:val="both"/>
        <w:rPr>
          <w:rFonts w:ascii="Tahoma" w:hAnsi="Tahoma" w:cs="Tahoma"/>
          <w:color w:val="000000"/>
          <w:sz w:val="22"/>
          <w:szCs w:val="22"/>
          <w:lang w:eastAsia="es-CO"/>
        </w:rPr>
      </w:pPr>
    </w:p>
    <w:p w:rsidR="00803187" w:rsidRDefault="00F37868" w:rsidP="00B66FEA">
      <w:pPr>
        <w:widowControl w:val="0"/>
        <w:autoSpaceDE w:val="0"/>
        <w:autoSpaceDN w:val="0"/>
        <w:adjustRightInd w:val="0"/>
        <w:spacing w:line="276" w:lineRule="auto"/>
        <w:ind w:firstLine="708"/>
        <w:jc w:val="both"/>
        <w:rPr>
          <w:rFonts w:ascii="Tahoma" w:hAnsi="Tahoma" w:cs="Tahoma"/>
          <w:sz w:val="22"/>
          <w:szCs w:val="22"/>
        </w:rPr>
      </w:pPr>
      <w:r w:rsidRPr="00BC6EBB">
        <w:rPr>
          <w:rFonts w:ascii="Tahoma" w:hAnsi="Tahoma" w:cs="Tahoma"/>
          <w:sz w:val="22"/>
          <w:szCs w:val="22"/>
        </w:rPr>
        <w:t xml:space="preserve">En virtud de lo anterior solicita la revocatoria </w:t>
      </w:r>
      <w:r w:rsidR="009F3B23" w:rsidRPr="00BC6EBB">
        <w:rPr>
          <w:rFonts w:ascii="Tahoma" w:hAnsi="Tahoma" w:cs="Tahoma"/>
          <w:sz w:val="22"/>
          <w:szCs w:val="22"/>
        </w:rPr>
        <w:t>del auto en cuestión</w:t>
      </w:r>
      <w:r w:rsidR="00C640B7" w:rsidRPr="00BC6EBB">
        <w:rPr>
          <w:rFonts w:ascii="Tahoma" w:hAnsi="Tahoma" w:cs="Tahoma"/>
          <w:sz w:val="22"/>
          <w:szCs w:val="22"/>
        </w:rPr>
        <w:t xml:space="preserve"> y e</w:t>
      </w:r>
      <w:r w:rsidR="00803187">
        <w:rPr>
          <w:rFonts w:ascii="Tahoma" w:hAnsi="Tahoma" w:cs="Tahoma"/>
          <w:sz w:val="22"/>
          <w:szCs w:val="22"/>
        </w:rPr>
        <w:t xml:space="preserve">n su lugar aplicar la norma correcta y el valor de las pretensiones realmente reconocidas al demandante. </w:t>
      </w:r>
    </w:p>
    <w:p w:rsidR="00803187" w:rsidRPr="00BC6EBB" w:rsidRDefault="00803187" w:rsidP="00B66FEA">
      <w:pPr>
        <w:spacing w:line="276" w:lineRule="auto"/>
        <w:rPr>
          <w:sz w:val="22"/>
          <w:szCs w:val="22"/>
        </w:rPr>
      </w:pPr>
    </w:p>
    <w:p w:rsidR="00D3635B" w:rsidRPr="00BC6EBB" w:rsidRDefault="00720D2F" w:rsidP="00B66FEA">
      <w:pPr>
        <w:pStyle w:val="Ttulo4"/>
        <w:spacing w:line="276" w:lineRule="auto"/>
        <w:rPr>
          <w:rFonts w:ascii="Tahoma" w:hAnsi="Tahoma" w:cs="Tahoma"/>
          <w:spacing w:val="2"/>
          <w:sz w:val="22"/>
          <w:szCs w:val="22"/>
          <w:u w:val="single"/>
        </w:rPr>
      </w:pPr>
      <w:r w:rsidRPr="00BC6EBB">
        <w:rPr>
          <w:rFonts w:ascii="Tahoma" w:hAnsi="Tahoma" w:cs="Tahoma"/>
          <w:sz w:val="22"/>
          <w:szCs w:val="22"/>
        </w:rPr>
        <w:t xml:space="preserve">IV.- </w:t>
      </w:r>
      <w:r w:rsidR="00D3635B" w:rsidRPr="00BC6EBB">
        <w:rPr>
          <w:rFonts w:ascii="Tahoma" w:hAnsi="Tahoma" w:cs="Tahoma"/>
          <w:spacing w:val="2"/>
          <w:sz w:val="22"/>
          <w:szCs w:val="22"/>
          <w:u w:val="single"/>
        </w:rPr>
        <w:t>CONSIDERACIONES</w:t>
      </w:r>
    </w:p>
    <w:p w:rsidR="00216556" w:rsidRPr="00BC6EBB" w:rsidRDefault="00216556" w:rsidP="00B66FEA">
      <w:pPr>
        <w:pStyle w:val="Textoindependiente"/>
        <w:widowControl w:val="0"/>
        <w:autoSpaceDE w:val="0"/>
        <w:autoSpaceDN w:val="0"/>
        <w:adjustRightInd w:val="0"/>
        <w:spacing w:after="0"/>
        <w:rPr>
          <w:rFonts w:ascii="Tahoma" w:hAnsi="Tahoma" w:cs="Tahoma"/>
          <w:b/>
          <w:bCs/>
          <w:spacing w:val="2"/>
          <w:sz w:val="22"/>
          <w:szCs w:val="22"/>
        </w:rPr>
      </w:pPr>
    </w:p>
    <w:p w:rsidR="007D4D1B" w:rsidRPr="00BC6EBB" w:rsidRDefault="007D4D1B" w:rsidP="00B66FEA">
      <w:pPr>
        <w:pStyle w:val="Textoindependiente"/>
        <w:widowControl w:val="0"/>
        <w:numPr>
          <w:ilvl w:val="1"/>
          <w:numId w:val="1"/>
        </w:numPr>
        <w:autoSpaceDE w:val="0"/>
        <w:autoSpaceDN w:val="0"/>
        <w:adjustRightInd w:val="0"/>
        <w:spacing w:after="0" w:line="276" w:lineRule="auto"/>
        <w:rPr>
          <w:rFonts w:ascii="Tahoma" w:hAnsi="Tahoma" w:cs="Tahoma"/>
          <w:b/>
          <w:bCs/>
          <w:spacing w:val="2"/>
          <w:sz w:val="22"/>
          <w:szCs w:val="22"/>
        </w:rPr>
      </w:pPr>
      <w:r w:rsidRPr="00BC6EBB">
        <w:rPr>
          <w:rFonts w:ascii="Tahoma" w:hAnsi="Tahoma" w:cs="Tahoma"/>
          <w:b/>
          <w:bCs/>
          <w:spacing w:val="2"/>
          <w:sz w:val="22"/>
          <w:szCs w:val="22"/>
        </w:rPr>
        <w:t>Problema</w:t>
      </w:r>
      <w:r w:rsidR="003F297E" w:rsidRPr="00BC6EBB">
        <w:rPr>
          <w:rFonts w:ascii="Tahoma" w:hAnsi="Tahoma" w:cs="Tahoma"/>
          <w:b/>
          <w:bCs/>
          <w:spacing w:val="2"/>
          <w:sz w:val="22"/>
          <w:szCs w:val="22"/>
        </w:rPr>
        <w:t>s</w:t>
      </w:r>
      <w:r w:rsidRPr="00BC6EBB">
        <w:rPr>
          <w:rFonts w:ascii="Tahoma" w:hAnsi="Tahoma" w:cs="Tahoma"/>
          <w:b/>
          <w:bCs/>
          <w:spacing w:val="2"/>
          <w:sz w:val="22"/>
          <w:szCs w:val="22"/>
        </w:rPr>
        <w:t xml:space="preserve"> jurídico</w:t>
      </w:r>
      <w:r w:rsidR="003F297E" w:rsidRPr="00BC6EBB">
        <w:rPr>
          <w:rFonts w:ascii="Tahoma" w:hAnsi="Tahoma" w:cs="Tahoma"/>
          <w:b/>
          <w:bCs/>
          <w:spacing w:val="2"/>
          <w:sz w:val="22"/>
          <w:szCs w:val="22"/>
        </w:rPr>
        <w:t>s</w:t>
      </w:r>
      <w:r w:rsidRPr="00BC6EBB">
        <w:rPr>
          <w:rFonts w:ascii="Tahoma" w:hAnsi="Tahoma" w:cs="Tahoma"/>
          <w:b/>
          <w:bCs/>
          <w:spacing w:val="2"/>
          <w:sz w:val="22"/>
          <w:szCs w:val="22"/>
        </w:rPr>
        <w:t xml:space="preserve"> por resolver:</w:t>
      </w:r>
    </w:p>
    <w:p w:rsidR="007D4D1B" w:rsidRPr="00BC6EBB" w:rsidRDefault="007D4D1B" w:rsidP="00B66FEA">
      <w:pPr>
        <w:rPr>
          <w:sz w:val="22"/>
          <w:szCs w:val="22"/>
        </w:rPr>
      </w:pPr>
    </w:p>
    <w:p w:rsidR="006E204E" w:rsidRPr="00BC6EBB" w:rsidRDefault="00C640B7" w:rsidP="00B66FEA">
      <w:pPr>
        <w:pStyle w:val="Prrafodelista"/>
        <w:numPr>
          <w:ilvl w:val="0"/>
          <w:numId w:val="15"/>
        </w:numPr>
        <w:spacing w:line="276" w:lineRule="auto"/>
        <w:jc w:val="both"/>
        <w:rPr>
          <w:rFonts w:ascii="Tahoma" w:hAnsi="Tahoma" w:cs="Tahoma"/>
          <w:sz w:val="22"/>
          <w:szCs w:val="22"/>
          <w:lang w:val="es-MX"/>
        </w:rPr>
      </w:pPr>
      <w:r w:rsidRPr="00BC6EBB">
        <w:rPr>
          <w:rFonts w:ascii="Tahoma" w:hAnsi="Tahoma" w:cs="Tahoma"/>
          <w:sz w:val="22"/>
          <w:szCs w:val="22"/>
          <w:lang w:val="es-MX"/>
        </w:rPr>
        <w:t>¿</w:t>
      </w:r>
      <w:r w:rsidR="006E204E" w:rsidRPr="00BC6EBB">
        <w:rPr>
          <w:rFonts w:ascii="Tahoma" w:hAnsi="Tahoma" w:cs="Tahoma"/>
          <w:sz w:val="22"/>
          <w:szCs w:val="22"/>
          <w:lang w:val="es-MX"/>
        </w:rPr>
        <w:t>Cuál es la norma que se debe aplicar al presente caso para la fijación de agencias en derecho?</w:t>
      </w:r>
    </w:p>
    <w:p w:rsidR="006E204E" w:rsidRPr="00BC6EBB" w:rsidRDefault="006E204E" w:rsidP="00B66FEA">
      <w:pPr>
        <w:pStyle w:val="Prrafodelista"/>
        <w:numPr>
          <w:ilvl w:val="0"/>
          <w:numId w:val="15"/>
        </w:numPr>
        <w:spacing w:line="276" w:lineRule="auto"/>
        <w:jc w:val="both"/>
        <w:rPr>
          <w:rFonts w:ascii="Tahoma" w:hAnsi="Tahoma" w:cs="Tahoma"/>
          <w:sz w:val="22"/>
          <w:szCs w:val="22"/>
          <w:lang w:val="es-MX"/>
        </w:rPr>
      </w:pPr>
      <w:r w:rsidRPr="00BC6EBB">
        <w:rPr>
          <w:rFonts w:ascii="Tahoma" w:hAnsi="Tahoma" w:cs="Tahoma"/>
          <w:sz w:val="22"/>
          <w:szCs w:val="22"/>
          <w:lang w:val="es-MX"/>
        </w:rPr>
        <w:t>¿En el presente caso hay lugar a modificar el valor que se fijó como agencias en derecho en primera instancia</w:t>
      </w:r>
      <w:r w:rsidR="001C649D" w:rsidRPr="00BC6EBB">
        <w:rPr>
          <w:rFonts w:ascii="Tahoma" w:hAnsi="Tahoma" w:cs="Tahoma"/>
          <w:sz w:val="22"/>
          <w:szCs w:val="22"/>
          <w:lang w:val="es-MX"/>
        </w:rPr>
        <w:t xml:space="preserve">, teniendo en cuenta </w:t>
      </w:r>
      <w:r w:rsidR="0068659B">
        <w:rPr>
          <w:rFonts w:ascii="Tahoma" w:hAnsi="Tahoma" w:cs="Tahoma"/>
          <w:sz w:val="22"/>
          <w:szCs w:val="22"/>
          <w:lang w:val="es-MX"/>
        </w:rPr>
        <w:t>la condena impuesta en segunda instancia</w:t>
      </w:r>
      <w:r w:rsidRPr="00BC6EBB">
        <w:rPr>
          <w:rFonts w:ascii="Tahoma" w:hAnsi="Tahoma" w:cs="Tahoma"/>
          <w:sz w:val="22"/>
          <w:szCs w:val="22"/>
          <w:lang w:val="es-MX"/>
        </w:rPr>
        <w:t xml:space="preserve">? </w:t>
      </w:r>
    </w:p>
    <w:p w:rsidR="00E764EB" w:rsidRPr="00BC6EBB" w:rsidRDefault="00E764EB" w:rsidP="00B66FEA">
      <w:pPr>
        <w:ind w:left="709"/>
        <w:jc w:val="both"/>
        <w:rPr>
          <w:rFonts w:ascii="Tahoma" w:hAnsi="Tahoma" w:cs="Tahoma"/>
          <w:sz w:val="22"/>
          <w:szCs w:val="22"/>
          <w:lang w:val="es-MX"/>
        </w:rPr>
      </w:pPr>
    </w:p>
    <w:p w:rsidR="00936282" w:rsidRPr="00936282" w:rsidRDefault="00936282" w:rsidP="00B66FEA">
      <w:pPr>
        <w:pStyle w:val="Textoindependiente"/>
        <w:widowControl w:val="0"/>
        <w:numPr>
          <w:ilvl w:val="1"/>
          <w:numId w:val="1"/>
        </w:numPr>
        <w:autoSpaceDE w:val="0"/>
        <w:autoSpaceDN w:val="0"/>
        <w:adjustRightInd w:val="0"/>
        <w:spacing w:after="0" w:line="276" w:lineRule="auto"/>
        <w:jc w:val="both"/>
        <w:rPr>
          <w:rFonts w:ascii="Tahoma" w:hAnsi="Tahoma" w:cs="Tahoma"/>
          <w:sz w:val="22"/>
          <w:szCs w:val="22"/>
        </w:rPr>
      </w:pPr>
      <w:r>
        <w:rPr>
          <w:rFonts w:ascii="Tahoma" w:hAnsi="Tahoma" w:cs="Tahoma"/>
          <w:b/>
          <w:sz w:val="22"/>
          <w:szCs w:val="22"/>
        </w:rPr>
        <w:t xml:space="preserve">Norma aplicable para los asuntos iniciados antes de la vigencia del </w:t>
      </w:r>
      <w:r w:rsidRPr="005C7D31">
        <w:rPr>
          <w:rFonts w:ascii="Tahoma" w:hAnsi="Tahoma" w:cs="Tahoma"/>
          <w:b/>
          <w:sz w:val="22"/>
          <w:szCs w:val="22"/>
        </w:rPr>
        <w:t>Acuerdo PSAA 1610554 de agosto 16 de 2016</w:t>
      </w:r>
    </w:p>
    <w:p w:rsidR="00936282" w:rsidRDefault="00936282" w:rsidP="00B66FEA">
      <w:pPr>
        <w:pStyle w:val="Textoindependiente"/>
        <w:widowControl w:val="0"/>
        <w:autoSpaceDE w:val="0"/>
        <w:autoSpaceDN w:val="0"/>
        <w:adjustRightInd w:val="0"/>
        <w:spacing w:after="0"/>
        <w:ind w:left="1440"/>
        <w:jc w:val="both"/>
        <w:rPr>
          <w:rFonts w:ascii="Tahoma" w:hAnsi="Tahoma" w:cs="Tahoma"/>
          <w:sz w:val="22"/>
          <w:szCs w:val="22"/>
        </w:rPr>
      </w:pPr>
    </w:p>
    <w:p w:rsidR="00AE7443" w:rsidRDefault="00AE7443" w:rsidP="00B66FEA">
      <w:pPr>
        <w:pStyle w:val="Textonotapie"/>
        <w:spacing w:line="276" w:lineRule="auto"/>
        <w:ind w:firstLine="709"/>
        <w:jc w:val="both"/>
        <w:rPr>
          <w:rFonts w:ascii="Tahoma" w:hAnsi="Tahoma" w:cs="Tahoma"/>
          <w:sz w:val="22"/>
          <w:szCs w:val="22"/>
        </w:rPr>
      </w:pPr>
      <w:r>
        <w:rPr>
          <w:rFonts w:ascii="Tahoma" w:hAnsi="Tahoma" w:cs="Tahoma"/>
          <w:sz w:val="22"/>
          <w:szCs w:val="22"/>
          <w:lang w:val="es-CO"/>
        </w:rPr>
        <w:t xml:space="preserve">El </w:t>
      </w:r>
      <w:r w:rsidRPr="00AE7443">
        <w:rPr>
          <w:rFonts w:ascii="Tahoma" w:hAnsi="Tahoma" w:cs="Tahoma"/>
          <w:sz w:val="22"/>
          <w:szCs w:val="22"/>
          <w:lang w:val="es-CO"/>
        </w:rPr>
        <w:t xml:space="preserve">Artículo 7º del </w:t>
      </w:r>
      <w:r w:rsidRPr="00AE7443">
        <w:rPr>
          <w:rFonts w:ascii="Tahoma" w:hAnsi="Tahoma" w:cs="Tahoma"/>
          <w:sz w:val="22"/>
          <w:szCs w:val="22"/>
        </w:rPr>
        <w:t>PSAA 1610554 de agosto 16 de 2016</w:t>
      </w:r>
      <w:r>
        <w:rPr>
          <w:rFonts w:ascii="Tahoma" w:hAnsi="Tahoma" w:cs="Tahoma"/>
          <w:sz w:val="22"/>
          <w:szCs w:val="22"/>
        </w:rPr>
        <w:t xml:space="preserve">, respecto a su vigencia establece lo siguiente: </w:t>
      </w:r>
      <w:r w:rsidRPr="00AE7443">
        <w:rPr>
          <w:rFonts w:ascii="Tahoma" w:hAnsi="Tahoma" w:cs="Tahoma"/>
          <w:i/>
          <w:sz w:val="22"/>
          <w:szCs w:val="22"/>
        </w:rPr>
        <w:t>“El presente acuerdo rige a partir de su publicación y se aplicará respecto a los procesos iniciados a partir de dicha fecha. Los comenzados antes se siguen regulando por los reglamentos anteriores sobre la materia, de manera especial los contenidos en los Acuerdos 1887 de 2003, 2222 de 2003 y 9943 de 2013 de la Sala Administrativa del Consejo Superior de la Judicatura”.</w:t>
      </w:r>
      <w:r>
        <w:rPr>
          <w:rFonts w:ascii="Tahoma" w:hAnsi="Tahoma" w:cs="Tahoma"/>
          <w:i/>
          <w:sz w:val="22"/>
          <w:szCs w:val="22"/>
        </w:rPr>
        <w:t xml:space="preserve"> </w:t>
      </w:r>
      <w:r>
        <w:rPr>
          <w:rFonts w:ascii="Tahoma" w:hAnsi="Tahoma" w:cs="Tahoma"/>
          <w:sz w:val="22"/>
          <w:szCs w:val="22"/>
        </w:rPr>
        <w:t xml:space="preserve">Ahora, como quiera que este asunto se inició en octubre de 2006, la norma aplicable </w:t>
      </w:r>
      <w:r w:rsidR="002B5B84">
        <w:rPr>
          <w:rFonts w:ascii="Tahoma" w:hAnsi="Tahoma" w:cs="Tahoma"/>
          <w:sz w:val="22"/>
          <w:szCs w:val="22"/>
        </w:rPr>
        <w:lastRenderedPageBreak/>
        <w:t xml:space="preserve">para la fijación de las agencias en derecho es el Acuerdo 1887 de 2003 y no </w:t>
      </w:r>
      <w:r w:rsidR="002B5B84" w:rsidRPr="002B5B84">
        <w:rPr>
          <w:rFonts w:ascii="Tahoma" w:hAnsi="Tahoma" w:cs="Tahoma"/>
          <w:sz w:val="22"/>
          <w:szCs w:val="22"/>
        </w:rPr>
        <w:t xml:space="preserve">el actual Acuerdo </w:t>
      </w:r>
      <w:r w:rsidR="002B5B84" w:rsidRPr="002B5B84">
        <w:rPr>
          <w:rFonts w:ascii="Tahoma" w:hAnsi="Tahoma" w:cs="Tahoma"/>
          <w:sz w:val="22"/>
          <w:szCs w:val="22"/>
          <w:lang w:val="es-ES_tradnl"/>
        </w:rPr>
        <w:t xml:space="preserve">PSAA16-10554 </w:t>
      </w:r>
      <w:r w:rsidR="002B5B84">
        <w:rPr>
          <w:rFonts w:ascii="Tahoma" w:hAnsi="Tahoma" w:cs="Tahoma"/>
          <w:sz w:val="22"/>
          <w:szCs w:val="22"/>
          <w:lang w:val="es-ES_tradnl"/>
        </w:rPr>
        <w:t>de 2016 citado por la jueza de instancia,</w:t>
      </w:r>
      <w:r w:rsidR="002B5B84">
        <w:rPr>
          <w:rFonts w:ascii="Tahoma" w:hAnsi="Tahoma" w:cs="Tahoma"/>
          <w:sz w:val="22"/>
          <w:szCs w:val="22"/>
        </w:rPr>
        <w:t xml:space="preserve"> como acertadamente lo advierte el apelante. </w:t>
      </w:r>
    </w:p>
    <w:p w:rsidR="002B5B84" w:rsidRDefault="002B5B84" w:rsidP="00B66FEA">
      <w:pPr>
        <w:pStyle w:val="Textonotapie"/>
        <w:ind w:firstLine="709"/>
        <w:jc w:val="both"/>
        <w:rPr>
          <w:rFonts w:ascii="Tahoma" w:hAnsi="Tahoma" w:cs="Tahoma"/>
          <w:sz w:val="22"/>
          <w:szCs w:val="22"/>
        </w:rPr>
      </w:pPr>
    </w:p>
    <w:p w:rsidR="002B5B84" w:rsidRPr="00AE7443" w:rsidRDefault="002B5B84" w:rsidP="00B66FEA">
      <w:pPr>
        <w:pStyle w:val="Textonotapie"/>
        <w:spacing w:line="276" w:lineRule="auto"/>
        <w:ind w:firstLine="709"/>
        <w:jc w:val="both"/>
        <w:rPr>
          <w:rFonts w:ascii="Tahoma" w:hAnsi="Tahoma" w:cs="Tahoma"/>
          <w:sz w:val="22"/>
          <w:szCs w:val="22"/>
          <w:lang w:val="es-CO"/>
        </w:rPr>
      </w:pPr>
      <w:r>
        <w:rPr>
          <w:rFonts w:ascii="Tahoma" w:hAnsi="Tahoma" w:cs="Tahoma"/>
          <w:sz w:val="22"/>
          <w:szCs w:val="22"/>
        </w:rPr>
        <w:t xml:space="preserve">Aclarado lo anterior, las agencias en derecho en el </w:t>
      </w:r>
      <w:proofErr w:type="spellStart"/>
      <w:r>
        <w:rPr>
          <w:rFonts w:ascii="Tahoma" w:hAnsi="Tahoma" w:cs="Tahoma"/>
          <w:sz w:val="22"/>
          <w:szCs w:val="22"/>
        </w:rPr>
        <w:t>subjudice</w:t>
      </w:r>
      <w:proofErr w:type="spellEnd"/>
      <w:r>
        <w:rPr>
          <w:rFonts w:ascii="Tahoma" w:hAnsi="Tahoma" w:cs="Tahoma"/>
          <w:sz w:val="22"/>
          <w:szCs w:val="22"/>
        </w:rPr>
        <w:t xml:space="preserve"> oscilan entre el 0 y 25% de las pretensiones reconocidas en primera y en segunda instancia, de conformidad al </w:t>
      </w:r>
      <w:r w:rsidRPr="00BC6EBB">
        <w:rPr>
          <w:rFonts w:ascii="Tahoma" w:hAnsi="Tahoma" w:cs="Tahoma"/>
          <w:sz w:val="22"/>
          <w:szCs w:val="22"/>
          <w:lang w:val="es-ES_tradnl"/>
        </w:rPr>
        <w:t>numeral 2.1.1.</w:t>
      </w:r>
      <w:r>
        <w:rPr>
          <w:rFonts w:ascii="Tahoma" w:hAnsi="Tahoma" w:cs="Tahoma"/>
          <w:sz w:val="22"/>
          <w:szCs w:val="22"/>
          <w:lang w:val="es-ES_tradnl"/>
        </w:rPr>
        <w:t xml:space="preserve"> </w:t>
      </w:r>
      <w:proofErr w:type="gramStart"/>
      <w:r>
        <w:rPr>
          <w:rFonts w:ascii="Tahoma" w:hAnsi="Tahoma" w:cs="Tahoma"/>
          <w:sz w:val="22"/>
          <w:szCs w:val="22"/>
          <w:lang w:val="es-ES_tradnl"/>
        </w:rPr>
        <w:t>del</w:t>
      </w:r>
      <w:proofErr w:type="gramEnd"/>
      <w:r>
        <w:rPr>
          <w:rFonts w:ascii="Tahoma" w:hAnsi="Tahoma" w:cs="Tahoma"/>
          <w:sz w:val="22"/>
          <w:szCs w:val="22"/>
          <w:lang w:val="es-ES_tradnl"/>
        </w:rPr>
        <w:t xml:space="preserve"> </w:t>
      </w:r>
      <w:r w:rsidRPr="00BC6EBB">
        <w:rPr>
          <w:rFonts w:ascii="Tahoma" w:hAnsi="Tahoma" w:cs="Tahoma"/>
          <w:sz w:val="22"/>
          <w:szCs w:val="22"/>
          <w:lang w:val="es-ES_tradnl"/>
        </w:rPr>
        <w:t>artículo 6º del Acuerdo 1887 de 2003</w:t>
      </w:r>
      <w:r>
        <w:rPr>
          <w:rFonts w:ascii="Tahoma" w:hAnsi="Tahoma" w:cs="Tahoma"/>
          <w:sz w:val="22"/>
          <w:szCs w:val="22"/>
          <w:lang w:val="es-ES_tradnl"/>
        </w:rPr>
        <w:t>.</w:t>
      </w:r>
      <w:r>
        <w:rPr>
          <w:rFonts w:ascii="Tahoma" w:hAnsi="Tahoma" w:cs="Tahoma"/>
          <w:sz w:val="22"/>
          <w:szCs w:val="22"/>
        </w:rPr>
        <w:t xml:space="preserve"> </w:t>
      </w:r>
    </w:p>
    <w:p w:rsidR="00AE7443" w:rsidRDefault="00AE7443" w:rsidP="00B66FEA">
      <w:pPr>
        <w:pStyle w:val="Textoindependiente"/>
        <w:widowControl w:val="0"/>
        <w:autoSpaceDE w:val="0"/>
        <w:autoSpaceDN w:val="0"/>
        <w:adjustRightInd w:val="0"/>
        <w:spacing w:after="0"/>
        <w:ind w:left="1440"/>
        <w:jc w:val="both"/>
        <w:rPr>
          <w:rFonts w:ascii="Tahoma" w:hAnsi="Tahoma" w:cs="Tahoma"/>
          <w:sz w:val="22"/>
          <w:szCs w:val="22"/>
        </w:rPr>
      </w:pPr>
    </w:p>
    <w:p w:rsidR="006E204E" w:rsidRPr="00BC6EBB" w:rsidRDefault="006A5DCB" w:rsidP="00B66FEA">
      <w:pPr>
        <w:pStyle w:val="Textoindependiente"/>
        <w:widowControl w:val="0"/>
        <w:numPr>
          <w:ilvl w:val="1"/>
          <w:numId w:val="1"/>
        </w:numPr>
        <w:autoSpaceDE w:val="0"/>
        <w:autoSpaceDN w:val="0"/>
        <w:adjustRightInd w:val="0"/>
        <w:spacing w:after="0" w:line="276" w:lineRule="auto"/>
        <w:jc w:val="both"/>
        <w:rPr>
          <w:rFonts w:ascii="Tahoma" w:hAnsi="Tahoma" w:cs="Tahoma"/>
          <w:sz w:val="22"/>
          <w:szCs w:val="22"/>
        </w:rPr>
      </w:pPr>
      <w:r w:rsidRPr="00BC6EBB">
        <w:rPr>
          <w:rFonts w:ascii="Tahoma" w:hAnsi="Tahoma" w:cs="Tahoma"/>
          <w:b/>
          <w:sz w:val="22"/>
          <w:szCs w:val="22"/>
        </w:rPr>
        <w:t>Determinación del valor de las agencias en derecho en este caso:</w:t>
      </w:r>
    </w:p>
    <w:p w:rsidR="006A5DCB" w:rsidRPr="00BC6EBB" w:rsidRDefault="006A5DCB" w:rsidP="00B66FEA">
      <w:pPr>
        <w:pStyle w:val="Textoindependiente"/>
        <w:widowControl w:val="0"/>
        <w:autoSpaceDE w:val="0"/>
        <w:autoSpaceDN w:val="0"/>
        <w:adjustRightInd w:val="0"/>
        <w:spacing w:after="0" w:line="276" w:lineRule="auto"/>
        <w:ind w:left="1440"/>
        <w:rPr>
          <w:rFonts w:ascii="Tahoma" w:hAnsi="Tahoma" w:cs="Tahoma"/>
          <w:sz w:val="22"/>
          <w:szCs w:val="22"/>
        </w:rPr>
      </w:pPr>
    </w:p>
    <w:p w:rsidR="00383814" w:rsidRDefault="00383814" w:rsidP="00B66FEA">
      <w:pPr>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Para el efecto, basta recordar que en primera instancia se reconocieron parcialmente las pretensiones, en tanto que en segunda instancia se reconoció además la indemnización moratoria. En suma, la condena a la parte demandante correspondió a las siguientes sumas:</w:t>
      </w:r>
    </w:p>
    <w:p w:rsidR="00383814" w:rsidRDefault="00383814" w:rsidP="00B66FEA">
      <w:pPr>
        <w:autoSpaceDE w:val="0"/>
        <w:autoSpaceDN w:val="0"/>
        <w:adjustRightInd w:val="0"/>
        <w:ind w:firstLine="709"/>
        <w:jc w:val="both"/>
        <w:rPr>
          <w:rFonts w:ascii="Tahoma" w:hAnsi="Tahoma" w:cs="Tahoma"/>
          <w:sz w:val="22"/>
          <w:szCs w:val="22"/>
        </w:rPr>
      </w:pPr>
    </w:p>
    <w:p w:rsidR="00383814" w:rsidRDefault="00383814" w:rsidP="00B66FEA">
      <w:pPr>
        <w:pStyle w:val="Prrafodelista"/>
        <w:numPr>
          <w:ilvl w:val="0"/>
          <w:numId w:val="16"/>
        </w:numPr>
        <w:spacing w:line="276" w:lineRule="auto"/>
        <w:jc w:val="both"/>
        <w:rPr>
          <w:rFonts w:ascii="Tahoma" w:hAnsi="Tahoma" w:cs="Tahoma"/>
          <w:sz w:val="22"/>
          <w:szCs w:val="22"/>
        </w:rPr>
      </w:pPr>
      <w:r w:rsidRPr="00383814">
        <w:rPr>
          <w:rFonts w:ascii="Tahoma" w:hAnsi="Tahoma" w:cs="Tahoma"/>
          <w:sz w:val="22"/>
          <w:szCs w:val="22"/>
        </w:rPr>
        <w:t>$</w:t>
      </w:r>
      <w:r>
        <w:rPr>
          <w:rFonts w:ascii="Tahoma" w:hAnsi="Tahoma" w:cs="Tahoma"/>
          <w:sz w:val="22"/>
          <w:szCs w:val="22"/>
        </w:rPr>
        <w:t xml:space="preserve">    </w:t>
      </w:r>
      <w:r w:rsidRPr="00383814">
        <w:rPr>
          <w:rFonts w:ascii="Tahoma" w:hAnsi="Tahoma" w:cs="Tahoma"/>
          <w:sz w:val="22"/>
          <w:szCs w:val="22"/>
        </w:rPr>
        <w:t>255.555,55 por concepto de cesantías;</w:t>
      </w:r>
    </w:p>
    <w:p w:rsidR="00383814" w:rsidRDefault="00383814" w:rsidP="00B66FEA">
      <w:pPr>
        <w:pStyle w:val="Prrafodelista"/>
        <w:numPr>
          <w:ilvl w:val="0"/>
          <w:numId w:val="16"/>
        </w:numPr>
        <w:spacing w:line="276" w:lineRule="auto"/>
        <w:jc w:val="both"/>
        <w:rPr>
          <w:rFonts w:ascii="Tahoma" w:hAnsi="Tahoma" w:cs="Tahoma"/>
          <w:sz w:val="22"/>
          <w:szCs w:val="22"/>
        </w:rPr>
      </w:pPr>
      <w:r w:rsidRPr="00383814">
        <w:rPr>
          <w:rFonts w:ascii="Tahoma" w:hAnsi="Tahoma" w:cs="Tahoma"/>
          <w:sz w:val="22"/>
          <w:szCs w:val="22"/>
        </w:rPr>
        <w:t>$</w:t>
      </w:r>
      <w:r>
        <w:rPr>
          <w:rFonts w:ascii="Tahoma" w:hAnsi="Tahoma" w:cs="Tahoma"/>
          <w:sz w:val="22"/>
          <w:szCs w:val="22"/>
        </w:rPr>
        <w:t xml:space="preserve">       </w:t>
      </w:r>
      <w:r w:rsidRPr="00383814">
        <w:rPr>
          <w:rFonts w:ascii="Tahoma" w:hAnsi="Tahoma" w:cs="Tahoma"/>
          <w:sz w:val="22"/>
          <w:szCs w:val="22"/>
        </w:rPr>
        <w:t>4.136</w:t>
      </w:r>
      <w:r w:rsidR="00BB0E5E">
        <w:rPr>
          <w:rFonts w:ascii="Tahoma" w:hAnsi="Tahoma" w:cs="Tahoma"/>
          <w:sz w:val="22"/>
          <w:szCs w:val="22"/>
        </w:rPr>
        <w:t>,oo</w:t>
      </w:r>
      <w:r w:rsidRPr="00383814">
        <w:rPr>
          <w:rFonts w:ascii="Tahoma" w:hAnsi="Tahoma" w:cs="Tahoma"/>
          <w:sz w:val="22"/>
          <w:szCs w:val="22"/>
        </w:rPr>
        <w:t xml:space="preserve"> por concepto de intereses a las cesantías; </w:t>
      </w:r>
    </w:p>
    <w:p w:rsidR="00383814" w:rsidRDefault="00383814" w:rsidP="00B66FEA">
      <w:pPr>
        <w:pStyle w:val="Prrafodelista"/>
        <w:numPr>
          <w:ilvl w:val="0"/>
          <w:numId w:val="16"/>
        </w:numPr>
        <w:spacing w:line="276" w:lineRule="auto"/>
        <w:jc w:val="both"/>
        <w:rPr>
          <w:rFonts w:ascii="Tahoma" w:hAnsi="Tahoma" w:cs="Tahoma"/>
          <w:sz w:val="22"/>
          <w:szCs w:val="22"/>
        </w:rPr>
      </w:pPr>
      <w:r w:rsidRPr="00383814">
        <w:rPr>
          <w:rFonts w:ascii="Tahoma" w:hAnsi="Tahoma" w:cs="Tahoma"/>
          <w:sz w:val="22"/>
          <w:szCs w:val="22"/>
        </w:rPr>
        <w:t>$</w:t>
      </w:r>
      <w:r>
        <w:rPr>
          <w:rFonts w:ascii="Tahoma" w:hAnsi="Tahoma" w:cs="Tahoma"/>
          <w:sz w:val="22"/>
          <w:szCs w:val="22"/>
        </w:rPr>
        <w:t xml:space="preserve">    </w:t>
      </w:r>
      <w:r w:rsidRPr="00383814">
        <w:rPr>
          <w:rFonts w:ascii="Tahoma" w:hAnsi="Tahoma" w:cs="Tahoma"/>
          <w:sz w:val="22"/>
          <w:szCs w:val="22"/>
        </w:rPr>
        <w:t xml:space="preserve">255.555,55 por concepto de primas de servicios; </w:t>
      </w:r>
    </w:p>
    <w:p w:rsidR="00383814" w:rsidRPr="00383814" w:rsidRDefault="00383814" w:rsidP="00B66FEA">
      <w:pPr>
        <w:pStyle w:val="Prrafodelista"/>
        <w:numPr>
          <w:ilvl w:val="0"/>
          <w:numId w:val="16"/>
        </w:numPr>
        <w:spacing w:line="276" w:lineRule="auto"/>
        <w:jc w:val="both"/>
        <w:rPr>
          <w:rFonts w:ascii="Tahoma" w:hAnsi="Tahoma" w:cs="Tahoma"/>
          <w:sz w:val="22"/>
          <w:szCs w:val="22"/>
        </w:rPr>
      </w:pPr>
      <w:r w:rsidRPr="00383814">
        <w:rPr>
          <w:rFonts w:ascii="Tahoma" w:hAnsi="Tahoma" w:cs="Tahoma"/>
          <w:sz w:val="22"/>
          <w:szCs w:val="22"/>
        </w:rPr>
        <w:t>$</w:t>
      </w:r>
      <w:r>
        <w:rPr>
          <w:rFonts w:ascii="Tahoma" w:hAnsi="Tahoma" w:cs="Tahoma"/>
          <w:sz w:val="22"/>
          <w:szCs w:val="22"/>
        </w:rPr>
        <w:t xml:space="preserve">    </w:t>
      </w:r>
      <w:r w:rsidRPr="00383814">
        <w:rPr>
          <w:rFonts w:ascii="Tahoma" w:hAnsi="Tahoma" w:cs="Tahoma"/>
          <w:sz w:val="22"/>
          <w:szCs w:val="22"/>
        </w:rPr>
        <w:t>127.777,77 por concepto de compensación de vacaciones.</w:t>
      </w:r>
    </w:p>
    <w:p w:rsidR="00BB0E5E" w:rsidRDefault="00383814" w:rsidP="00B66FEA">
      <w:pPr>
        <w:pStyle w:val="Prrafodelista"/>
        <w:numPr>
          <w:ilvl w:val="0"/>
          <w:numId w:val="16"/>
        </w:numPr>
        <w:spacing w:line="276" w:lineRule="auto"/>
        <w:jc w:val="both"/>
        <w:rPr>
          <w:rFonts w:ascii="Tahoma" w:hAnsi="Tahoma" w:cs="Tahoma"/>
          <w:sz w:val="22"/>
          <w:szCs w:val="22"/>
        </w:rPr>
      </w:pPr>
      <w:r w:rsidRPr="00383814">
        <w:rPr>
          <w:rFonts w:ascii="Tahoma" w:hAnsi="Tahoma" w:cs="Tahoma"/>
          <w:sz w:val="22"/>
          <w:szCs w:val="22"/>
        </w:rPr>
        <w:t xml:space="preserve">$24.333.380,80 </w:t>
      </w:r>
      <w:r>
        <w:rPr>
          <w:rFonts w:ascii="Tahoma" w:hAnsi="Tahoma" w:cs="Tahoma"/>
          <w:sz w:val="22"/>
          <w:szCs w:val="22"/>
        </w:rPr>
        <w:t>por concepto de indemnización moratoria</w:t>
      </w:r>
      <w:r w:rsidR="00BB0E5E">
        <w:rPr>
          <w:rFonts w:ascii="Tahoma" w:hAnsi="Tahoma" w:cs="Tahoma"/>
          <w:sz w:val="22"/>
          <w:szCs w:val="22"/>
        </w:rPr>
        <w:t>,</w:t>
      </w:r>
      <w:r>
        <w:rPr>
          <w:rFonts w:ascii="Tahoma" w:hAnsi="Tahoma" w:cs="Tahoma"/>
          <w:sz w:val="22"/>
          <w:szCs w:val="22"/>
        </w:rPr>
        <w:t xml:space="preserve"> </w:t>
      </w:r>
      <w:r w:rsidRPr="00383814">
        <w:rPr>
          <w:rFonts w:ascii="Tahoma" w:hAnsi="Tahoma" w:cs="Tahoma"/>
          <w:sz w:val="22"/>
          <w:szCs w:val="22"/>
        </w:rPr>
        <w:t xml:space="preserve"> razón de $33.333,33 </w:t>
      </w:r>
      <w:r w:rsidR="00BB0E5E">
        <w:rPr>
          <w:rFonts w:ascii="Tahoma" w:hAnsi="Tahoma" w:cs="Tahoma"/>
          <w:sz w:val="22"/>
          <w:szCs w:val="22"/>
        </w:rPr>
        <w:t xml:space="preserve">       </w:t>
      </w:r>
      <w:r w:rsidRPr="00383814">
        <w:rPr>
          <w:rFonts w:ascii="Tahoma" w:hAnsi="Tahoma" w:cs="Tahoma"/>
          <w:sz w:val="22"/>
          <w:szCs w:val="22"/>
        </w:rPr>
        <w:t>diarios desde el 6 de febrero de 2005 hasta el 5 de febrero de 2007</w:t>
      </w:r>
      <w:r w:rsidR="00BB0E5E">
        <w:rPr>
          <w:rFonts w:ascii="Tahoma" w:hAnsi="Tahoma" w:cs="Tahoma"/>
          <w:sz w:val="22"/>
          <w:szCs w:val="22"/>
        </w:rPr>
        <w:t>;</w:t>
      </w:r>
    </w:p>
    <w:p w:rsidR="00BB0E5E" w:rsidRDefault="00BB0E5E" w:rsidP="00B66FEA">
      <w:pPr>
        <w:pStyle w:val="Prrafodelista"/>
        <w:numPr>
          <w:ilvl w:val="0"/>
          <w:numId w:val="16"/>
        </w:numPr>
        <w:spacing w:line="276" w:lineRule="auto"/>
        <w:jc w:val="both"/>
        <w:rPr>
          <w:rFonts w:ascii="Tahoma" w:hAnsi="Tahoma" w:cs="Tahoma"/>
          <w:sz w:val="22"/>
          <w:szCs w:val="22"/>
        </w:rPr>
      </w:pPr>
      <w:r>
        <w:rPr>
          <w:rFonts w:ascii="Tahoma" w:hAnsi="Tahoma" w:cs="Tahoma"/>
          <w:sz w:val="22"/>
          <w:szCs w:val="22"/>
        </w:rPr>
        <w:t xml:space="preserve">$ </w:t>
      </w:r>
      <w:r w:rsidR="001273CF">
        <w:rPr>
          <w:rFonts w:ascii="Tahoma" w:hAnsi="Tahoma" w:cs="Tahoma"/>
          <w:sz w:val="22"/>
          <w:szCs w:val="22"/>
        </w:rPr>
        <w:t xml:space="preserve">1.936.366,oo por concepto de intereses moratorios, </w:t>
      </w:r>
      <w:r>
        <w:rPr>
          <w:rFonts w:ascii="Tahoma" w:hAnsi="Tahoma" w:cs="Tahoma"/>
          <w:sz w:val="22"/>
          <w:szCs w:val="22"/>
        </w:rPr>
        <w:t>liquidados sobre la suma de $643.024,87 que corresponde al total de las sumas adeudadas por prestaciones y vacaciones</w:t>
      </w:r>
      <w:r w:rsidR="001273CF">
        <w:rPr>
          <w:rFonts w:ascii="Tahoma" w:hAnsi="Tahoma" w:cs="Tahoma"/>
          <w:sz w:val="22"/>
          <w:szCs w:val="22"/>
        </w:rPr>
        <w:t>, desde el 6 de febrero de 2007 hasta el 13 de julio de 2018 (tal como se observa en la tabla adjunta)</w:t>
      </w:r>
      <w:r>
        <w:rPr>
          <w:rFonts w:ascii="Tahoma" w:hAnsi="Tahoma" w:cs="Tahoma"/>
          <w:sz w:val="22"/>
          <w:szCs w:val="22"/>
        </w:rPr>
        <w:t>.</w:t>
      </w:r>
    </w:p>
    <w:p w:rsidR="001273CF" w:rsidRDefault="001273CF" w:rsidP="00B66FEA">
      <w:pPr>
        <w:spacing w:line="276" w:lineRule="auto"/>
        <w:jc w:val="both"/>
        <w:rPr>
          <w:rFonts w:ascii="Tahoma" w:hAnsi="Tahoma" w:cs="Tahoma"/>
          <w:sz w:val="22"/>
          <w:szCs w:val="22"/>
        </w:rPr>
      </w:pPr>
    </w:p>
    <w:p w:rsidR="001273CF" w:rsidRPr="001273CF" w:rsidRDefault="001273CF" w:rsidP="00B66FEA">
      <w:pPr>
        <w:spacing w:line="276" w:lineRule="auto"/>
        <w:ind w:left="1068"/>
        <w:jc w:val="both"/>
        <w:rPr>
          <w:rFonts w:ascii="Tahoma" w:hAnsi="Tahoma" w:cs="Tahoma"/>
          <w:b/>
          <w:sz w:val="22"/>
          <w:szCs w:val="22"/>
        </w:rPr>
      </w:pPr>
      <w:r>
        <w:rPr>
          <w:rFonts w:ascii="Tahoma" w:hAnsi="Tahoma" w:cs="Tahoma"/>
          <w:b/>
          <w:sz w:val="22"/>
          <w:szCs w:val="22"/>
        </w:rPr>
        <w:t xml:space="preserve">TOTAL PRETENSIONES RECONOCIDAS: </w:t>
      </w:r>
      <w:r w:rsidRPr="001273CF">
        <w:rPr>
          <w:rFonts w:ascii="Tahoma" w:hAnsi="Tahoma" w:cs="Tahoma"/>
          <w:b/>
          <w:sz w:val="22"/>
          <w:szCs w:val="22"/>
          <w:u w:val="single"/>
        </w:rPr>
        <w:t>$26.912.771,67</w:t>
      </w:r>
    </w:p>
    <w:p w:rsidR="001273CF" w:rsidRDefault="001273CF" w:rsidP="00B66FEA">
      <w:pPr>
        <w:jc w:val="both"/>
        <w:rPr>
          <w:rFonts w:ascii="Tahoma" w:hAnsi="Tahoma" w:cs="Tahoma"/>
          <w:sz w:val="22"/>
          <w:szCs w:val="22"/>
        </w:rPr>
      </w:pPr>
    </w:p>
    <w:p w:rsidR="00F732FD" w:rsidRPr="00F732FD" w:rsidRDefault="00F732FD" w:rsidP="00B66FEA">
      <w:pPr>
        <w:spacing w:line="276" w:lineRule="auto"/>
        <w:ind w:firstLine="709"/>
        <w:jc w:val="both"/>
        <w:rPr>
          <w:rFonts w:ascii="Tahoma" w:hAnsi="Tahoma" w:cs="Tahoma"/>
          <w:sz w:val="22"/>
          <w:szCs w:val="22"/>
        </w:rPr>
      </w:pPr>
      <w:r>
        <w:rPr>
          <w:rFonts w:ascii="Tahoma" w:hAnsi="Tahoma" w:cs="Tahoma"/>
          <w:sz w:val="22"/>
          <w:szCs w:val="22"/>
        </w:rPr>
        <w:t>Por otra parte, no podemos olvidar que p</w:t>
      </w:r>
      <w:r w:rsidRPr="00F732FD">
        <w:rPr>
          <w:rFonts w:ascii="Tahoma" w:hAnsi="Tahoma" w:cs="Tahoma"/>
          <w:sz w:val="22"/>
          <w:szCs w:val="22"/>
        </w:rPr>
        <w:t xml:space="preserve">ara la fijación de agencias en derecho </w:t>
      </w:r>
      <w:r w:rsidR="006071B2">
        <w:rPr>
          <w:rFonts w:ascii="Tahoma" w:hAnsi="Tahoma" w:cs="Tahoma"/>
          <w:sz w:val="22"/>
          <w:szCs w:val="22"/>
        </w:rPr>
        <w:t>se debe tener</w:t>
      </w:r>
      <w:r w:rsidRPr="00F732FD">
        <w:rPr>
          <w:rFonts w:ascii="Tahoma" w:hAnsi="Tahoma" w:cs="Tahoma"/>
          <w:sz w:val="22"/>
          <w:szCs w:val="22"/>
        </w:rPr>
        <w:t xml:space="preserve"> en cuenta, dentro del rango de las tarifas mínimas y máximas establecidas, la </w:t>
      </w:r>
      <w:r w:rsidR="006071B2">
        <w:rPr>
          <w:rFonts w:ascii="Tahoma" w:hAnsi="Tahoma" w:cs="Tahoma"/>
          <w:sz w:val="22"/>
          <w:szCs w:val="22"/>
        </w:rPr>
        <w:t>na</w:t>
      </w:r>
      <w:r w:rsidRPr="00F732FD">
        <w:rPr>
          <w:rFonts w:ascii="Tahoma" w:hAnsi="Tahoma" w:cs="Tahoma"/>
          <w:sz w:val="22"/>
          <w:szCs w:val="22"/>
        </w:rPr>
        <w:t>turaleza, la calidad y la duración de la gestión realizada por el apoderado, la cuantía del proceso y demás circunstancias especiales directamente relacionadas con dicha actividad, que permitan valorar la labor jurídica desarrollada.</w:t>
      </w:r>
    </w:p>
    <w:p w:rsidR="00F732FD" w:rsidRDefault="00F732FD" w:rsidP="00B66FEA">
      <w:pPr>
        <w:ind w:firstLine="709"/>
        <w:jc w:val="both"/>
        <w:rPr>
          <w:rFonts w:ascii="Tahoma" w:hAnsi="Tahoma" w:cs="Tahoma"/>
          <w:sz w:val="22"/>
          <w:szCs w:val="22"/>
        </w:rPr>
      </w:pPr>
    </w:p>
    <w:p w:rsidR="00064356" w:rsidRDefault="00BF5D74" w:rsidP="00B66FEA">
      <w:pPr>
        <w:spacing w:line="276" w:lineRule="auto"/>
        <w:ind w:firstLine="709"/>
        <w:jc w:val="both"/>
        <w:rPr>
          <w:rFonts w:ascii="Tahoma" w:hAnsi="Tahoma" w:cs="Tahoma"/>
          <w:b/>
          <w:sz w:val="22"/>
          <w:szCs w:val="22"/>
        </w:rPr>
      </w:pPr>
      <w:r>
        <w:rPr>
          <w:rFonts w:ascii="Tahoma" w:hAnsi="Tahoma" w:cs="Tahoma"/>
          <w:sz w:val="22"/>
          <w:szCs w:val="22"/>
        </w:rPr>
        <w:t xml:space="preserve">Revisado el expediente se observa que se trata de un proceso ordinario  en el que se buscaba la aplicación del principio de la primacía de la realidad, </w:t>
      </w:r>
      <w:r w:rsidR="00FA7E59">
        <w:rPr>
          <w:rFonts w:ascii="Tahoma" w:hAnsi="Tahoma" w:cs="Tahoma"/>
          <w:sz w:val="22"/>
          <w:szCs w:val="22"/>
        </w:rPr>
        <w:t xml:space="preserve">para cuya consecución se requirió un amplio debate probatorio; el </w:t>
      </w:r>
      <w:r>
        <w:rPr>
          <w:rFonts w:ascii="Tahoma" w:hAnsi="Tahoma" w:cs="Tahoma"/>
          <w:sz w:val="22"/>
          <w:szCs w:val="22"/>
        </w:rPr>
        <w:t xml:space="preserve">proceso </w:t>
      </w:r>
      <w:r w:rsidR="00FA7E59">
        <w:rPr>
          <w:rFonts w:ascii="Tahoma" w:hAnsi="Tahoma" w:cs="Tahoma"/>
          <w:sz w:val="22"/>
          <w:szCs w:val="22"/>
        </w:rPr>
        <w:t xml:space="preserve">se </w:t>
      </w:r>
      <w:r>
        <w:rPr>
          <w:rFonts w:ascii="Tahoma" w:hAnsi="Tahoma" w:cs="Tahoma"/>
          <w:sz w:val="22"/>
          <w:szCs w:val="22"/>
        </w:rPr>
        <w:t>inició en octubre de 2006</w:t>
      </w:r>
      <w:r w:rsidR="00FA7E59">
        <w:rPr>
          <w:rFonts w:ascii="Tahoma" w:hAnsi="Tahoma" w:cs="Tahoma"/>
          <w:sz w:val="22"/>
          <w:szCs w:val="22"/>
        </w:rPr>
        <w:t xml:space="preserve"> y sólo 11 años después se logró la resolución final del litigio con las sentencias de primera y segunda instancia; a la </w:t>
      </w:r>
      <w:r>
        <w:rPr>
          <w:rFonts w:ascii="Tahoma" w:hAnsi="Tahoma" w:cs="Tahoma"/>
          <w:sz w:val="22"/>
          <w:szCs w:val="22"/>
        </w:rPr>
        <w:t xml:space="preserve">fecha </w:t>
      </w:r>
      <w:r w:rsidR="00FA7E59">
        <w:rPr>
          <w:rFonts w:ascii="Tahoma" w:hAnsi="Tahoma" w:cs="Tahoma"/>
          <w:sz w:val="22"/>
          <w:szCs w:val="22"/>
        </w:rPr>
        <w:t xml:space="preserve">el proceso lleva 12 años </w:t>
      </w:r>
      <w:r>
        <w:rPr>
          <w:rFonts w:ascii="Tahoma" w:hAnsi="Tahoma" w:cs="Tahoma"/>
          <w:sz w:val="22"/>
          <w:szCs w:val="22"/>
        </w:rPr>
        <w:t xml:space="preserve">en trámite, </w:t>
      </w:r>
      <w:r w:rsidR="00FA7E59">
        <w:rPr>
          <w:rFonts w:ascii="Tahoma" w:hAnsi="Tahoma" w:cs="Tahoma"/>
          <w:sz w:val="22"/>
          <w:szCs w:val="22"/>
        </w:rPr>
        <w:t xml:space="preserve">sin que exista prueba de que la parte demandada haya cumplido la sentencia; </w:t>
      </w:r>
      <w:r>
        <w:rPr>
          <w:rFonts w:ascii="Tahoma" w:hAnsi="Tahoma" w:cs="Tahoma"/>
          <w:sz w:val="22"/>
          <w:szCs w:val="22"/>
        </w:rPr>
        <w:t xml:space="preserve">durante ese período el apoderado de la parte ejecutante ha estado muy activo en la defensa de los derechos de su cliente, no solo con </w:t>
      </w:r>
      <w:r w:rsidR="00872A6E">
        <w:rPr>
          <w:rFonts w:ascii="Tahoma" w:hAnsi="Tahoma" w:cs="Tahoma"/>
          <w:sz w:val="22"/>
          <w:szCs w:val="22"/>
        </w:rPr>
        <w:t xml:space="preserve">la interposición de la respectiva demanda </w:t>
      </w:r>
      <w:r w:rsidR="00872A6E" w:rsidRPr="00872A6E">
        <w:rPr>
          <w:rFonts w:ascii="Tahoma" w:hAnsi="Tahoma" w:cs="Tahoma"/>
          <w:i/>
          <w:sz w:val="22"/>
          <w:szCs w:val="22"/>
        </w:rPr>
        <w:t>-cuya</w:t>
      </w:r>
      <w:r w:rsidR="00872A6E" w:rsidRPr="00872A6E">
        <w:rPr>
          <w:rFonts w:ascii="Tahoma" w:hAnsi="Tahoma" w:cs="Tahoma"/>
          <w:i/>
          <w:sz w:val="22"/>
          <w:szCs w:val="22"/>
          <w:lang w:val="es-MX"/>
        </w:rPr>
        <w:t xml:space="preserve"> elaboración requiere conocimientos especializados en Derecho</w:t>
      </w:r>
      <w:r w:rsidR="00872A6E">
        <w:rPr>
          <w:rFonts w:ascii="Tahoma" w:hAnsi="Tahoma" w:cs="Tahoma"/>
          <w:i/>
          <w:sz w:val="22"/>
          <w:szCs w:val="22"/>
          <w:lang w:val="es-MX"/>
        </w:rPr>
        <w:t xml:space="preserve"> laboral</w:t>
      </w:r>
      <w:r w:rsidR="00872A6E" w:rsidRPr="00872A6E">
        <w:rPr>
          <w:rFonts w:ascii="Tahoma" w:hAnsi="Tahoma" w:cs="Tahoma"/>
          <w:i/>
          <w:sz w:val="22"/>
          <w:szCs w:val="22"/>
          <w:lang w:val="es-MX"/>
        </w:rPr>
        <w:t>-</w:t>
      </w:r>
      <w:r w:rsidR="00872A6E">
        <w:rPr>
          <w:rFonts w:ascii="Tahoma" w:hAnsi="Tahoma" w:cs="Tahoma"/>
          <w:sz w:val="22"/>
          <w:szCs w:val="22"/>
        </w:rPr>
        <w:t xml:space="preserve"> sino con </w:t>
      </w:r>
      <w:r>
        <w:rPr>
          <w:rFonts w:ascii="Tahoma" w:hAnsi="Tahoma" w:cs="Tahoma"/>
          <w:sz w:val="22"/>
          <w:szCs w:val="22"/>
        </w:rPr>
        <w:t>su presencia en todas las audiencias</w:t>
      </w:r>
      <w:r w:rsidR="00872A6E">
        <w:rPr>
          <w:rFonts w:ascii="Tahoma" w:hAnsi="Tahoma" w:cs="Tahoma"/>
          <w:sz w:val="22"/>
          <w:szCs w:val="22"/>
        </w:rPr>
        <w:t xml:space="preserve">, las </w:t>
      </w:r>
      <w:r>
        <w:rPr>
          <w:rFonts w:ascii="Tahoma" w:hAnsi="Tahoma" w:cs="Tahoma"/>
          <w:sz w:val="22"/>
          <w:szCs w:val="22"/>
        </w:rPr>
        <w:t xml:space="preserve">solicitudes </w:t>
      </w:r>
      <w:r w:rsidR="00872A6E">
        <w:rPr>
          <w:rFonts w:ascii="Tahoma" w:hAnsi="Tahoma" w:cs="Tahoma"/>
          <w:sz w:val="22"/>
          <w:szCs w:val="22"/>
        </w:rPr>
        <w:t xml:space="preserve">que formuló </w:t>
      </w:r>
      <w:r>
        <w:rPr>
          <w:rFonts w:ascii="Tahoma" w:hAnsi="Tahoma" w:cs="Tahoma"/>
          <w:sz w:val="22"/>
          <w:szCs w:val="22"/>
        </w:rPr>
        <w:t>y la interposición de recursos de reposición y apelación (a la sazón 4 apelaciones), de manera</w:t>
      </w:r>
      <w:r w:rsidR="00FA7E59">
        <w:rPr>
          <w:rFonts w:ascii="Tahoma" w:hAnsi="Tahoma" w:cs="Tahoma"/>
          <w:sz w:val="22"/>
          <w:szCs w:val="22"/>
        </w:rPr>
        <w:t xml:space="preserve"> que la Sala considera que las agencias en derecho deben fijarse en el 20% </w:t>
      </w:r>
      <w:r w:rsidR="00872A6E">
        <w:rPr>
          <w:rFonts w:ascii="Tahoma" w:hAnsi="Tahoma" w:cs="Tahoma"/>
          <w:sz w:val="22"/>
          <w:szCs w:val="22"/>
        </w:rPr>
        <w:t xml:space="preserve">de las pretensiones reconocidas en primera y segunda instancia </w:t>
      </w:r>
      <w:r w:rsidR="001273CF">
        <w:rPr>
          <w:rFonts w:ascii="Tahoma" w:hAnsi="Tahoma" w:cs="Tahoma"/>
          <w:sz w:val="22"/>
          <w:szCs w:val="22"/>
        </w:rPr>
        <w:t>(</w:t>
      </w:r>
      <w:r w:rsidR="00872A6E">
        <w:rPr>
          <w:rFonts w:ascii="Tahoma" w:hAnsi="Tahoma" w:cs="Tahoma"/>
          <w:sz w:val="22"/>
          <w:szCs w:val="22"/>
        </w:rPr>
        <w:t xml:space="preserve">que en total suman </w:t>
      </w:r>
      <w:r w:rsidR="001273CF" w:rsidRPr="001273CF">
        <w:rPr>
          <w:rFonts w:ascii="Tahoma" w:hAnsi="Tahoma" w:cs="Tahoma"/>
          <w:sz w:val="22"/>
          <w:szCs w:val="22"/>
        </w:rPr>
        <w:t>$26.912.771,67)</w:t>
      </w:r>
      <w:r w:rsidR="001273CF">
        <w:rPr>
          <w:rFonts w:ascii="Tahoma" w:hAnsi="Tahoma" w:cs="Tahoma"/>
          <w:sz w:val="22"/>
          <w:szCs w:val="22"/>
        </w:rPr>
        <w:t xml:space="preserve">, lo que nos da el valor de </w:t>
      </w:r>
      <w:r w:rsidR="001273CF">
        <w:rPr>
          <w:rFonts w:ascii="Tahoma" w:hAnsi="Tahoma" w:cs="Tahoma"/>
          <w:b/>
          <w:sz w:val="22"/>
          <w:szCs w:val="22"/>
        </w:rPr>
        <w:t xml:space="preserve">$5.382.554,33. </w:t>
      </w:r>
    </w:p>
    <w:p w:rsidR="00064356" w:rsidRDefault="00064356" w:rsidP="00B66FEA">
      <w:pPr>
        <w:ind w:firstLine="709"/>
        <w:jc w:val="both"/>
        <w:rPr>
          <w:rFonts w:ascii="Tahoma" w:hAnsi="Tahoma" w:cs="Tahoma"/>
          <w:b/>
          <w:sz w:val="22"/>
          <w:szCs w:val="22"/>
        </w:rPr>
      </w:pPr>
    </w:p>
    <w:p w:rsidR="00615DCB" w:rsidRDefault="00064356" w:rsidP="00B66FEA">
      <w:pPr>
        <w:spacing w:line="276" w:lineRule="auto"/>
        <w:ind w:firstLine="709"/>
        <w:jc w:val="both"/>
        <w:rPr>
          <w:rFonts w:ascii="Tahoma" w:hAnsi="Tahoma" w:cs="Tahoma"/>
          <w:sz w:val="22"/>
          <w:szCs w:val="22"/>
        </w:rPr>
      </w:pPr>
      <w:r>
        <w:rPr>
          <w:rFonts w:ascii="Tahoma" w:hAnsi="Tahoma" w:cs="Tahoma"/>
          <w:sz w:val="22"/>
          <w:szCs w:val="22"/>
        </w:rPr>
        <w:t xml:space="preserve">Como quiera que este valor es </w:t>
      </w:r>
      <w:r w:rsidR="00872A6E">
        <w:rPr>
          <w:rFonts w:ascii="Tahoma" w:hAnsi="Tahoma" w:cs="Tahoma"/>
          <w:sz w:val="22"/>
          <w:szCs w:val="22"/>
        </w:rPr>
        <w:t xml:space="preserve">superior al fijado en primera instancia, </w:t>
      </w:r>
      <w:r>
        <w:rPr>
          <w:rFonts w:ascii="Tahoma" w:hAnsi="Tahoma" w:cs="Tahoma"/>
          <w:sz w:val="22"/>
          <w:szCs w:val="22"/>
        </w:rPr>
        <w:t xml:space="preserve">hay lugar a </w:t>
      </w:r>
      <w:r w:rsidR="00872A6E">
        <w:rPr>
          <w:rFonts w:ascii="Tahoma" w:hAnsi="Tahoma" w:cs="Tahoma"/>
          <w:sz w:val="22"/>
          <w:szCs w:val="22"/>
        </w:rPr>
        <w:t>revocar el auto apelado</w:t>
      </w:r>
      <w:r w:rsidR="00615DCB">
        <w:rPr>
          <w:rFonts w:ascii="Tahoma" w:hAnsi="Tahoma" w:cs="Tahoma"/>
          <w:sz w:val="22"/>
          <w:szCs w:val="22"/>
        </w:rPr>
        <w:t>, no sin antes advertir que como el juzgado de instancia aplicó una norma errada al presente caso, para la Sala resulta imposible establecer si ese Despacho ignoró  el valor de la indemnización moratoria, como alega el demandante</w:t>
      </w:r>
      <w:r w:rsidR="00872A6E">
        <w:rPr>
          <w:rFonts w:ascii="Tahoma" w:hAnsi="Tahoma" w:cs="Tahoma"/>
          <w:sz w:val="22"/>
          <w:szCs w:val="22"/>
        </w:rPr>
        <w:t xml:space="preserve">. </w:t>
      </w:r>
    </w:p>
    <w:p w:rsidR="00615DCB" w:rsidRDefault="00615DCB" w:rsidP="00B66FEA">
      <w:pPr>
        <w:ind w:firstLine="709"/>
        <w:jc w:val="both"/>
        <w:rPr>
          <w:rFonts w:ascii="Tahoma" w:hAnsi="Tahoma" w:cs="Tahoma"/>
          <w:sz w:val="22"/>
          <w:szCs w:val="22"/>
        </w:rPr>
      </w:pPr>
    </w:p>
    <w:p w:rsidR="00872A6E" w:rsidRDefault="00872A6E" w:rsidP="00B66FEA">
      <w:pPr>
        <w:spacing w:line="276" w:lineRule="auto"/>
        <w:ind w:firstLine="709"/>
        <w:jc w:val="both"/>
        <w:rPr>
          <w:rFonts w:ascii="Tahoma" w:hAnsi="Tahoma" w:cs="Tahoma"/>
          <w:sz w:val="22"/>
          <w:szCs w:val="22"/>
        </w:rPr>
      </w:pPr>
      <w:r>
        <w:rPr>
          <w:rFonts w:ascii="Tahoma" w:hAnsi="Tahoma" w:cs="Tahoma"/>
          <w:sz w:val="22"/>
          <w:szCs w:val="22"/>
        </w:rPr>
        <w:t xml:space="preserve">En </w:t>
      </w:r>
      <w:r w:rsidR="00615DCB">
        <w:rPr>
          <w:rFonts w:ascii="Tahoma" w:hAnsi="Tahoma" w:cs="Tahoma"/>
          <w:sz w:val="22"/>
          <w:szCs w:val="22"/>
        </w:rPr>
        <w:t xml:space="preserve">consecuencia </w:t>
      </w:r>
      <w:r>
        <w:rPr>
          <w:rFonts w:ascii="Tahoma" w:hAnsi="Tahoma" w:cs="Tahoma"/>
          <w:sz w:val="22"/>
          <w:szCs w:val="22"/>
        </w:rPr>
        <w:t xml:space="preserve">se modificará la liquidación de las costas procesales realizado por la Secretaría del juzgado de instancia, la cual quedará de la siguiente manera: </w:t>
      </w:r>
    </w:p>
    <w:p w:rsidR="00B66FEA" w:rsidRDefault="00B66FEA" w:rsidP="00B66FEA">
      <w:pPr>
        <w:ind w:firstLine="709"/>
        <w:jc w:val="both"/>
        <w:rPr>
          <w:rFonts w:ascii="Tahoma" w:hAnsi="Tahoma" w:cs="Tahoma"/>
          <w:sz w:val="22"/>
          <w:szCs w:val="22"/>
        </w:rPr>
      </w:pPr>
    </w:p>
    <w:p w:rsidR="005F0E26" w:rsidRPr="00BC6EBB" w:rsidRDefault="005F0E26" w:rsidP="00B66FEA">
      <w:pPr>
        <w:autoSpaceDE w:val="0"/>
        <w:autoSpaceDN w:val="0"/>
        <w:adjustRightInd w:val="0"/>
        <w:spacing w:line="276" w:lineRule="auto"/>
        <w:ind w:firstLine="709"/>
        <w:jc w:val="both"/>
        <w:rPr>
          <w:rFonts w:ascii="Tahoma" w:hAnsi="Tahoma" w:cs="Tahoma"/>
          <w:sz w:val="22"/>
          <w:szCs w:val="22"/>
          <w:lang w:val="es-CO"/>
        </w:rPr>
      </w:pPr>
      <w:r w:rsidRPr="00BC6EBB">
        <w:rPr>
          <w:rFonts w:ascii="Tahoma" w:hAnsi="Tahoma" w:cs="Tahoma"/>
          <w:sz w:val="22"/>
          <w:szCs w:val="22"/>
          <w:lang w:val="es-CO"/>
        </w:rPr>
        <w:t>AGENCIAS EN DERECHO DE PRIMERA INSTANCIA</w:t>
      </w:r>
      <w:r w:rsidR="00A5794B">
        <w:rPr>
          <w:rFonts w:ascii="Tahoma" w:hAnsi="Tahoma" w:cs="Tahoma"/>
          <w:sz w:val="22"/>
          <w:szCs w:val="22"/>
          <w:lang w:val="es-CO"/>
        </w:rPr>
        <w:t xml:space="preserve"> (</w:t>
      </w:r>
      <w:r w:rsidR="00064356">
        <w:rPr>
          <w:rFonts w:ascii="Tahoma" w:hAnsi="Tahoma" w:cs="Tahoma"/>
          <w:sz w:val="22"/>
          <w:szCs w:val="22"/>
          <w:lang w:val="es-CO"/>
        </w:rPr>
        <w:t>8</w:t>
      </w:r>
      <w:r w:rsidR="00A5794B">
        <w:rPr>
          <w:rFonts w:ascii="Tahoma" w:hAnsi="Tahoma" w:cs="Tahoma"/>
          <w:sz w:val="22"/>
          <w:szCs w:val="22"/>
          <w:lang w:val="es-CO"/>
        </w:rPr>
        <w:t>0%)</w:t>
      </w:r>
      <w:r w:rsidRPr="00BC6EBB">
        <w:rPr>
          <w:rFonts w:ascii="Tahoma" w:hAnsi="Tahoma" w:cs="Tahoma"/>
          <w:sz w:val="22"/>
          <w:szCs w:val="22"/>
          <w:lang w:val="es-CO"/>
        </w:rPr>
        <w:t>:</w:t>
      </w:r>
      <w:r w:rsidR="00242965" w:rsidRPr="00BC6EBB">
        <w:rPr>
          <w:rFonts w:ascii="Tahoma" w:hAnsi="Tahoma" w:cs="Tahoma"/>
          <w:sz w:val="22"/>
          <w:szCs w:val="22"/>
          <w:lang w:val="es-CO"/>
        </w:rPr>
        <w:tab/>
      </w:r>
      <w:r w:rsidR="00242965" w:rsidRPr="00BC6EBB">
        <w:rPr>
          <w:rFonts w:ascii="Tahoma" w:hAnsi="Tahoma" w:cs="Tahoma"/>
          <w:sz w:val="22"/>
          <w:szCs w:val="22"/>
          <w:lang w:val="es-CO"/>
        </w:rPr>
        <w:tab/>
      </w:r>
      <w:r w:rsidR="00242965" w:rsidRPr="00BC6EBB">
        <w:rPr>
          <w:rFonts w:ascii="Tahoma" w:hAnsi="Tahoma" w:cs="Tahoma"/>
          <w:sz w:val="22"/>
          <w:szCs w:val="22"/>
          <w:lang w:val="es-CO"/>
        </w:rPr>
        <w:tab/>
      </w:r>
      <w:r w:rsidRPr="00BC6EBB">
        <w:rPr>
          <w:rFonts w:ascii="Tahoma" w:hAnsi="Tahoma" w:cs="Tahoma"/>
          <w:sz w:val="22"/>
          <w:szCs w:val="22"/>
          <w:lang w:val="es-CO"/>
        </w:rPr>
        <w:t>$</w:t>
      </w:r>
      <w:r w:rsidR="00064356">
        <w:rPr>
          <w:rFonts w:ascii="Tahoma" w:hAnsi="Tahoma" w:cs="Tahoma"/>
          <w:sz w:val="22"/>
          <w:szCs w:val="22"/>
          <w:lang w:val="es-CO"/>
        </w:rPr>
        <w:t xml:space="preserve"> </w:t>
      </w:r>
      <w:r w:rsidR="00064356">
        <w:rPr>
          <w:rFonts w:ascii="Tahoma" w:hAnsi="Tahoma" w:cs="Tahoma"/>
          <w:sz w:val="22"/>
          <w:szCs w:val="22"/>
          <w:lang w:val="es-MX"/>
        </w:rPr>
        <w:t>4.306.043,46</w:t>
      </w:r>
    </w:p>
    <w:p w:rsidR="005F0E26" w:rsidRPr="00BC6EBB" w:rsidRDefault="005F0E26" w:rsidP="00B66FEA">
      <w:pPr>
        <w:autoSpaceDE w:val="0"/>
        <w:autoSpaceDN w:val="0"/>
        <w:adjustRightInd w:val="0"/>
        <w:spacing w:line="276" w:lineRule="auto"/>
        <w:ind w:firstLine="709"/>
        <w:jc w:val="both"/>
        <w:rPr>
          <w:rFonts w:ascii="Tahoma" w:hAnsi="Tahoma" w:cs="Tahoma"/>
          <w:sz w:val="22"/>
          <w:szCs w:val="22"/>
          <w:u w:val="single"/>
          <w:lang w:val="es-CO"/>
        </w:rPr>
      </w:pPr>
      <w:r w:rsidRPr="00BC6EBB">
        <w:rPr>
          <w:rFonts w:ascii="Tahoma" w:hAnsi="Tahoma" w:cs="Tahoma"/>
          <w:sz w:val="22"/>
          <w:szCs w:val="22"/>
          <w:lang w:val="es-CO"/>
        </w:rPr>
        <w:t>AGENCIAS EN DERECHO DE SEGUNDA</w:t>
      </w:r>
      <w:r w:rsidR="00A5794B">
        <w:rPr>
          <w:rFonts w:ascii="Tahoma" w:hAnsi="Tahoma" w:cs="Tahoma"/>
          <w:sz w:val="22"/>
          <w:szCs w:val="22"/>
          <w:lang w:val="es-CO"/>
        </w:rPr>
        <w:t xml:space="preserve"> INSTANCIA</w:t>
      </w:r>
      <w:r w:rsidRPr="00BC6EBB">
        <w:rPr>
          <w:rFonts w:ascii="Tahoma" w:hAnsi="Tahoma" w:cs="Tahoma"/>
          <w:sz w:val="22"/>
          <w:szCs w:val="22"/>
          <w:lang w:val="es-CO"/>
        </w:rPr>
        <w:t>:</w:t>
      </w:r>
      <w:r w:rsidR="00242965" w:rsidRPr="00BC6EBB">
        <w:rPr>
          <w:rFonts w:ascii="Tahoma" w:hAnsi="Tahoma" w:cs="Tahoma"/>
          <w:sz w:val="22"/>
          <w:szCs w:val="22"/>
          <w:lang w:val="es-CO"/>
        </w:rPr>
        <w:tab/>
      </w:r>
      <w:r w:rsidR="00242965" w:rsidRPr="00BC6EBB">
        <w:rPr>
          <w:rFonts w:ascii="Tahoma" w:hAnsi="Tahoma" w:cs="Tahoma"/>
          <w:sz w:val="22"/>
          <w:szCs w:val="22"/>
          <w:lang w:val="es-CO"/>
        </w:rPr>
        <w:tab/>
      </w:r>
      <w:r w:rsidR="00242965" w:rsidRPr="00BC6EBB">
        <w:rPr>
          <w:rFonts w:ascii="Tahoma" w:hAnsi="Tahoma" w:cs="Tahoma"/>
          <w:sz w:val="22"/>
          <w:szCs w:val="22"/>
          <w:lang w:val="es-CO"/>
        </w:rPr>
        <w:tab/>
      </w:r>
      <w:r w:rsidR="00064356">
        <w:rPr>
          <w:rFonts w:ascii="Tahoma" w:hAnsi="Tahoma" w:cs="Tahoma"/>
          <w:sz w:val="22"/>
          <w:szCs w:val="22"/>
          <w:lang w:val="es-CO"/>
        </w:rPr>
        <w:t>$          000</w:t>
      </w:r>
      <w:proofErr w:type="gramStart"/>
      <w:r w:rsidR="00E02E47">
        <w:rPr>
          <w:rFonts w:ascii="Tahoma" w:hAnsi="Tahoma" w:cs="Tahoma"/>
          <w:sz w:val="22"/>
          <w:szCs w:val="22"/>
          <w:lang w:val="es-CO"/>
        </w:rPr>
        <w:t>,oo</w:t>
      </w:r>
      <w:proofErr w:type="gramEnd"/>
    </w:p>
    <w:p w:rsidR="005F0E26" w:rsidRPr="00BC6EBB" w:rsidRDefault="005F0E26" w:rsidP="00B66FEA">
      <w:pPr>
        <w:autoSpaceDE w:val="0"/>
        <w:autoSpaceDN w:val="0"/>
        <w:adjustRightInd w:val="0"/>
        <w:spacing w:line="276" w:lineRule="auto"/>
        <w:jc w:val="both"/>
        <w:rPr>
          <w:rFonts w:ascii="Tahoma" w:hAnsi="Tahoma" w:cs="Tahoma"/>
          <w:sz w:val="22"/>
          <w:szCs w:val="22"/>
          <w:lang w:val="es-CO"/>
        </w:rPr>
      </w:pPr>
    </w:p>
    <w:p w:rsidR="005F0E26" w:rsidRPr="00BC6EBB" w:rsidRDefault="005F0E26" w:rsidP="00B66FEA">
      <w:pPr>
        <w:autoSpaceDE w:val="0"/>
        <w:autoSpaceDN w:val="0"/>
        <w:adjustRightInd w:val="0"/>
        <w:spacing w:line="276" w:lineRule="auto"/>
        <w:ind w:firstLine="709"/>
        <w:jc w:val="both"/>
        <w:rPr>
          <w:rFonts w:ascii="Tahoma" w:hAnsi="Tahoma" w:cs="Tahoma"/>
          <w:b/>
          <w:sz w:val="22"/>
          <w:szCs w:val="22"/>
          <w:lang w:val="es-CO"/>
        </w:rPr>
      </w:pPr>
      <w:r w:rsidRPr="00BC6EBB">
        <w:rPr>
          <w:rFonts w:ascii="Tahoma" w:hAnsi="Tahoma" w:cs="Tahoma"/>
          <w:b/>
          <w:sz w:val="22"/>
          <w:szCs w:val="22"/>
          <w:lang w:val="es-CO"/>
        </w:rPr>
        <w:t xml:space="preserve">TOTAL COSTAS </w:t>
      </w:r>
      <w:r w:rsidR="00242965" w:rsidRPr="00BC6EBB">
        <w:rPr>
          <w:rFonts w:ascii="Tahoma" w:hAnsi="Tahoma" w:cs="Tahoma"/>
          <w:b/>
          <w:sz w:val="22"/>
          <w:szCs w:val="22"/>
          <w:lang w:val="es-CO"/>
        </w:rPr>
        <w:t>PROCESALES:</w:t>
      </w:r>
      <w:r w:rsidR="00242965" w:rsidRPr="00BC6EBB">
        <w:rPr>
          <w:rFonts w:ascii="Tahoma" w:hAnsi="Tahoma" w:cs="Tahoma"/>
          <w:b/>
          <w:sz w:val="22"/>
          <w:szCs w:val="22"/>
          <w:lang w:val="es-CO"/>
        </w:rPr>
        <w:tab/>
      </w:r>
      <w:r w:rsidR="00242965" w:rsidRPr="00BC6EBB">
        <w:rPr>
          <w:rFonts w:ascii="Tahoma" w:hAnsi="Tahoma" w:cs="Tahoma"/>
          <w:b/>
          <w:sz w:val="22"/>
          <w:szCs w:val="22"/>
          <w:lang w:val="es-CO"/>
        </w:rPr>
        <w:tab/>
      </w:r>
      <w:r w:rsidR="00242965" w:rsidRPr="00BC6EBB">
        <w:rPr>
          <w:rFonts w:ascii="Tahoma" w:hAnsi="Tahoma" w:cs="Tahoma"/>
          <w:b/>
          <w:sz w:val="22"/>
          <w:szCs w:val="22"/>
          <w:lang w:val="es-CO"/>
        </w:rPr>
        <w:tab/>
      </w:r>
      <w:r w:rsidR="00160EE6" w:rsidRPr="00BC6EBB">
        <w:rPr>
          <w:rFonts w:ascii="Tahoma" w:hAnsi="Tahoma" w:cs="Tahoma"/>
          <w:b/>
          <w:sz w:val="22"/>
          <w:szCs w:val="22"/>
          <w:lang w:val="es-CO"/>
        </w:rPr>
        <w:t xml:space="preserve"> </w:t>
      </w:r>
      <w:r w:rsidRPr="00BC6EBB">
        <w:rPr>
          <w:rFonts w:ascii="Tahoma" w:hAnsi="Tahoma" w:cs="Tahoma"/>
          <w:b/>
          <w:sz w:val="22"/>
          <w:szCs w:val="22"/>
          <w:lang w:val="es-CO"/>
        </w:rPr>
        <w:tab/>
      </w:r>
      <w:r w:rsidRPr="00BC6EBB">
        <w:rPr>
          <w:rFonts w:ascii="Tahoma" w:hAnsi="Tahoma" w:cs="Tahoma"/>
          <w:b/>
          <w:sz w:val="22"/>
          <w:szCs w:val="22"/>
          <w:lang w:val="es-CO"/>
        </w:rPr>
        <w:tab/>
        <w:t>$</w:t>
      </w:r>
      <w:r w:rsidR="00064356">
        <w:rPr>
          <w:rFonts w:ascii="Tahoma" w:hAnsi="Tahoma" w:cs="Tahoma"/>
          <w:b/>
          <w:sz w:val="22"/>
          <w:szCs w:val="22"/>
          <w:lang w:val="es-CO"/>
        </w:rPr>
        <w:t xml:space="preserve"> </w:t>
      </w:r>
      <w:r w:rsidR="00064356" w:rsidRPr="00064356">
        <w:rPr>
          <w:rFonts w:ascii="Tahoma" w:hAnsi="Tahoma" w:cs="Tahoma"/>
          <w:b/>
          <w:sz w:val="22"/>
          <w:szCs w:val="22"/>
          <w:lang w:val="es-MX"/>
        </w:rPr>
        <w:t>4.306.043,46</w:t>
      </w:r>
    </w:p>
    <w:p w:rsidR="00064356" w:rsidRPr="00BC6EBB" w:rsidRDefault="00064356" w:rsidP="00B66FEA">
      <w:pPr>
        <w:autoSpaceDE w:val="0"/>
        <w:autoSpaceDN w:val="0"/>
        <w:adjustRightInd w:val="0"/>
        <w:spacing w:line="276" w:lineRule="auto"/>
        <w:jc w:val="both"/>
        <w:rPr>
          <w:rFonts w:ascii="Tahoma" w:hAnsi="Tahoma" w:cs="Tahoma"/>
          <w:sz w:val="22"/>
          <w:szCs w:val="22"/>
          <w:lang w:val="es-CO"/>
        </w:rPr>
      </w:pPr>
    </w:p>
    <w:p w:rsidR="00372A2C" w:rsidRPr="00BC6EBB" w:rsidRDefault="00372A2C" w:rsidP="00B66FEA">
      <w:pPr>
        <w:widowControl w:val="0"/>
        <w:autoSpaceDE w:val="0"/>
        <w:autoSpaceDN w:val="0"/>
        <w:adjustRightInd w:val="0"/>
        <w:spacing w:line="276" w:lineRule="auto"/>
        <w:ind w:firstLine="709"/>
        <w:jc w:val="both"/>
        <w:rPr>
          <w:rFonts w:ascii="Tahoma" w:hAnsi="Tahoma" w:cs="Tahoma"/>
          <w:sz w:val="22"/>
          <w:szCs w:val="22"/>
        </w:rPr>
      </w:pPr>
      <w:r w:rsidRPr="00BC6EBB">
        <w:rPr>
          <w:rFonts w:ascii="Tahoma" w:hAnsi="Tahoma" w:cs="Tahoma"/>
          <w:sz w:val="22"/>
          <w:szCs w:val="22"/>
        </w:rPr>
        <w:t xml:space="preserve">Sin costas en esta instancia por haber prosperado el recurso de apelación. </w:t>
      </w:r>
    </w:p>
    <w:p w:rsidR="00372A2C" w:rsidRPr="00BC6EBB" w:rsidRDefault="00372A2C" w:rsidP="00B66FEA">
      <w:pPr>
        <w:autoSpaceDE w:val="0"/>
        <w:autoSpaceDN w:val="0"/>
        <w:adjustRightInd w:val="0"/>
        <w:spacing w:line="276" w:lineRule="auto"/>
        <w:ind w:firstLine="709"/>
        <w:jc w:val="both"/>
        <w:rPr>
          <w:rFonts w:ascii="Tahoma" w:hAnsi="Tahoma" w:cs="Tahoma"/>
          <w:sz w:val="22"/>
          <w:szCs w:val="22"/>
          <w:lang w:val="es-MX"/>
        </w:rPr>
      </w:pPr>
    </w:p>
    <w:p w:rsidR="007D4D1B" w:rsidRPr="00BC6EBB" w:rsidRDefault="000C2DE8" w:rsidP="00B66FEA">
      <w:pPr>
        <w:widowControl w:val="0"/>
        <w:autoSpaceDE w:val="0"/>
        <w:autoSpaceDN w:val="0"/>
        <w:adjustRightInd w:val="0"/>
        <w:spacing w:line="276" w:lineRule="auto"/>
        <w:ind w:firstLine="1080"/>
        <w:jc w:val="both"/>
        <w:rPr>
          <w:rFonts w:ascii="Tahoma" w:hAnsi="Tahoma" w:cs="Tahoma"/>
          <w:sz w:val="22"/>
          <w:szCs w:val="22"/>
        </w:rPr>
      </w:pPr>
      <w:r w:rsidRPr="00BC6EBB">
        <w:rPr>
          <w:rFonts w:ascii="Tahoma" w:hAnsi="Tahoma" w:cs="Tahoma"/>
          <w:sz w:val="22"/>
          <w:szCs w:val="22"/>
        </w:rPr>
        <w:t>En mérito de</w:t>
      </w:r>
      <w:r w:rsidR="007D4D1B" w:rsidRPr="00BC6EBB">
        <w:rPr>
          <w:rFonts w:ascii="Tahoma" w:hAnsi="Tahoma" w:cs="Tahoma"/>
          <w:sz w:val="22"/>
          <w:szCs w:val="22"/>
        </w:rPr>
        <w:t xml:space="preserve"> lo expuesto, el </w:t>
      </w:r>
      <w:r w:rsidR="00B66FEA" w:rsidRPr="00BC6EBB">
        <w:rPr>
          <w:rFonts w:ascii="Tahoma" w:hAnsi="Tahoma" w:cs="Tahoma"/>
          <w:b/>
          <w:sz w:val="22"/>
          <w:szCs w:val="22"/>
        </w:rPr>
        <w:t xml:space="preserve">Tribunal Superior del Distrito Judicial de Pereira </w:t>
      </w:r>
      <w:r w:rsidR="007D4D1B" w:rsidRPr="00BC6EBB">
        <w:rPr>
          <w:rFonts w:ascii="Tahoma" w:hAnsi="Tahoma" w:cs="Tahoma"/>
          <w:b/>
          <w:sz w:val="22"/>
          <w:szCs w:val="22"/>
        </w:rPr>
        <w:t>(</w:t>
      </w:r>
      <w:r w:rsidR="00B66FEA" w:rsidRPr="00BC6EBB">
        <w:rPr>
          <w:rFonts w:ascii="Tahoma" w:hAnsi="Tahoma" w:cs="Tahoma"/>
          <w:b/>
          <w:sz w:val="22"/>
          <w:szCs w:val="22"/>
        </w:rPr>
        <w:t>Risaralda</w:t>
      </w:r>
      <w:r w:rsidR="007D4D1B" w:rsidRPr="00BC6EBB">
        <w:rPr>
          <w:rFonts w:ascii="Tahoma" w:hAnsi="Tahoma" w:cs="Tahoma"/>
          <w:b/>
          <w:sz w:val="22"/>
          <w:szCs w:val="22"/>
        </w:rPr>
        <w:t>)</w:t>
      </w:r>
      <w:r w:rsidR="007D4D1B" w:rsidRPr="00BC6EBB">
        <w:rPr>
          <w:rFonts w:ascii="Tahoma" w:hAnsi="Tahoma" w:cs="Tahoma"/>
          <w:sz w:val="22"/>
          <w:szCs w:val="22"/>
        </w:rPr>
        <w:t xml:space="preserve">, </w:t>
      </w:r>
      <w:r w:rsidR="00B66FEA" w:rsidRPr="00BC6EBB">
        <w:rPr>
          <w:rFonts w:ascii="Tahoma" w:hAnsi="Tahoma" w:cs="Tahoma"/>
          <w:b/>
          <w:sz w:val="22"/>
          <w:szCs w:val="22"/>
        </w:rPr>
        <w:t xml:space="preserve">Sala de Decisión Laboral </w:t>
      </w:r>
      <w:r w:rsidR="00647843" w:rsidRPr="00BC6EBB">
        <w:rPr>
          <w:rFonts w:ascii="Tahoma" w:hAnsi="Tahoma" w:cs="Tahoma"/>
          <w:b/>
          <w:sz w:val="22"/>
          <w:szCs w:val="22"/>
        </w:rPr>
        <w:t>No. 1</w:t>
      </w:r>
      <w:r w:rsidR="007D4D1B" w:rsidRPr="00BC6EBB">
        <w:rPr>
          <w:rFonts w:ascii="Tahoma" w:hAnsi="Tahoma" w:cs="Tahoma"/>
          <w:sz w:val="22"/>
          <w:szCs w:val="22"/>
        </w:rPr>
        <w:t xml:space="preserve">, </w:t>
      </w:r>
    </w:p>
    <w:p w:rsidR="00F076AC" w:rsidRPr="00BC6EBB" w:rsidRDefault="00F076AC" w:rsidP="00B66FEA">
      <w:pPr>
        <w:widowControl w:val="0"/>
        <w:autoSpaceDE w:val="0"/>
        <w:autoSpaceDN w:val="0"/>
        <w:adjustRightInd w:val="0"/>
        <w:spacing w:line="276" w:lineRule="auto"/>
        <w:jc w:val="center"/>
        <w:rPr>
          <w:rFonts w:ascii="Tahoma" w:hAnsi="Tahoma" w:cs="Tahoma"/>
          <w:b/>
          <w:sz w:val="22"/>
          <w:szCs w:val="22"/>
        </w:rPr>
      </w:pPr>
    </w:p>
    <w:p w:rsidR="007D4D1B" w:rsidRPr="00BC6EBB" w:rsidRDefault="007D4D1B" w:rsidP="00B66FEA">
      <w:pPr>
        <w:widowControl w:val="0"/>
        <w:autoSpaceDE w:val="0"/>
        <w:autoSpaceDN w:val="0"/>
        <w:adjustRightInd w:val="0"/>
        <w:spacing w:line="276" w:lineRule="auto"/>
        <w:jc w:val="center"/>
        <w:rPr>
          <w:rFonts w:ascii="Tahoma" w:hAnsi="Tahoma" w:cs="Tahoma"/>
          <w:b/>
          <w:sz w:val="22"/>
          <w:szCs w:val="22"/>
        </w:rPr>
      </w:pPr>
      <w:r w:rsidRPr="00BC6EBB">
        <w:rPr>
          <w:rFonts w:ascii="Tahoma" w:hAnsi="Tahoma" w:cs="Tahoma"/>
          <w:b/>
          <w:sz w:val="22"/>
          <w:szCs w:val="22"/>
        </w:rPr>
        <w:t>R E S U E L V E:</w:t>
      </w:r>
    </w:p>
    <w:p w:rsidR="007D4D1B" w:rsidRPr="00BC6EBB" w:rsidRDefault="007D4D1B" w:rsidP="00B66FEA">
      <w:pPr>
        <w:widowControl w:val="0"/>
        <w:autoSpaceDE w:val="0"/>
        <w:autoSpaceDN w:val="0"/>
        <w:adjustRightInd w:val="0"/>
        <w:spacing w:line="276" w:lineRule="auto"/>
        <w:jc w:val="both"/>
        <w:rPr>
          <w:rFonts w:ascii="Tahoma" w:hAnsi="Tahoma" w:cs="Tahoma"/>
          <w:sz w:val="22"/>
          <w:szCs w:val="22"/>
        </w:rPr>
      </w:pPr>
    </w:p>
    <w:p w:rsidR="00160EE6" w:rsidRPr="00BC6EBB" w:rsidRDefault="00E73E18" w:rsidP="00B66FEA">
      <w:pPr>
        <w:widowControl w:val="0"/>
        <w:autoSpaceDE w:val="0"/>
        <w:autoSpaceDN w:val="0"/>
        <w:adjustRightInd w:val="0"/>
        <w:spacing w:line="276" w:lineRule="auto"/>
        <w:ind w:firstLine="709"/>
        <w:jc w:val="both"/>
        <w:rPr>
          <w:rFonts w:ascii="Tahoma" w:hAnsi="Tahoma" w:cs="Tahoma"/>
          <w:bCs/>
          <w:spacing w:val="2"/>
          <w:sz w:val="22"/>
          <w:szCs w:val="22"/>
        </w:rPr>
      </w:pPr>
      <w:r w:rsidRPr="00BC6EBB">
        <w:rPr>
          <w:rFonts w:ascii="Tahoma" w:hAnsi="Tahoma" w:cs="Tahoma"/>
          <w:b/>
          <w:sz w:val="22"/>
          <w:szCs w:val="22"/>
          <w:u w:val="single"/>
        </w:rPr>
        <w:t>PRIMERO</w:t>
      </w:r>
      <w:r w:rsidRPr="00BC6EBB">
        <w:rPr>
          <w:rFonts w:ascii="Tahoma" w:hAnsi="Tahoma" w:cs="Tahoma"/>
          <w:b/>
          <w:sz w:val="22"/>
          <w:szCs w:val="22"/>
        </w:rPr>
        <w:t xml:space="preserve">.- </w:t>
      </w:r>
      <w:r w:rsidR="000B33D6" w:rsidRPr="00BC6EBB">
        <w:rPr>
          <w:rFonts w:ascii="Tahoma" w:hAnsi="Tahoma" w:cs="Tahoma"/>
          <w:b/>
          <w:sz w:val="22"/>
          <w:szCs w:val="22"/>
        </w:rPr>
        <w:t xml:space="preserve">REVOCAR </w:t>
      </w:r>
      <w:r w:rsidR="000B33D6" w:rsidRPr="00BC6EBB">
        <w:rPr>
          <w:rFonts w:ascii="Tahoma" w:hAnsi="Tahoma" w:cs="Tahoma"/>
          <w:sz w:val="22"/>
          <w:szCs w:val="22"/>
        </w:rPr>
        <w:t xml:space="preserve">el auto apelado y en su lugar </w:t>
      </w:r>
      <w:r w:rsidR="000B33D6" w:rsidRPr="00BC6EBB">
        <w:rPr>
          <w:rFonts w:ascii="Tahoma" w:hAnsi="Tahoma" w:cs="Tahoma"/>
          <w:b/>
          <w:sz w:val="22"/>
          <w:szCs w:val="22"/>
        </w:rPr>
        <w:t>M</w:t>
      </w:r>
      <w:r w:rsidR="006A5FB2" w:rsidRPr="00BC6EBB">
        <w:rPr>
          <w:rFonts w:ascii="Tahoma" w:hAnsi="Tahoma" w:cs="Tahoma"/>
          <w:b/>
          <w:sz w:val="22"/>
          <w:szCs w:val="22"/>
        </w:rPr>
        <w:t xml:space="preserve">ODIFICAR </w:t>
      </w:r>
      <w:r w:rsidR="000B33D6" w:rsidRPr="00BC6EBB">
        <w:rPr>
          <w:rFonts w:ascii="Tahoma" w:hAnsi="Tahoma" w:cs="Tahoma"/>
          <w:bCs/>
          <w:spacing w:val="2"/>
          <w:sz w:val="22"/>
          <w:szCs w:val="22"/>
        </w:rPr>
        <w:t>la liqu</w:t>
      </w:r>
      <w:r w:rsidR="00160EE6" w:rsidRPr="00BC6EBB">
        <w:rPr>
          <w:rFonts w:ascii="Tahoma" w:hAnsi="Tahoma" w:cs="Tahoma"/>
          <w:bCs/>
          <w:spacing w:val="2"/>
          <w:sz w:val="22"/>
          <w:szCs w:val="22"/>
        </w:rPr>
        <w:t xml:space="preserve">idación de costas procesales </w:t>
      </w:r>
      <w:r w:rsidR="00242965" w:rsidRPr="00BC6EBB">
        <w:rPr>
          <w:rFonts w:ascii="Tahoma" w:hAnsi="Tahoma" w:cs="Tahoma"/>
          <w:bCs/>
          <w:spacing w:val="2"/>
          <w:sz w:val="22"/>
          <w:szCs w:val="22"/>
        </w:rPr>
        <w:t xml:space="preserve">a favor de la </w:t>
      </w:r>
      <w:r w:rsidR="00064356">
        <w:rPr>
          <w:rFonts w:ascii="Tahoma" w:hAnsi="Tahoma" w:cs="Tahoma"/>
          <w:bCs/>
          <w:spacing w:val="2"/>
          <w:sz w:val="22"/>
          <w:szCs w:val="22"/>
        </w:rPr>
        <w:t xml:space="preserve">parte </w:t>
      </w:r>
      <w:r w:rsidR="00242965" w:rsidRPr="00BC6EBB">
        <w:rPr>
          <w:rFonts w:ascii="Tahoma" w:hAnsi="Tahoma" w:cs="Tahoma"/>
          <w:bCs/>
          <w:spacing w:val="2"/>
          <w:sz w:val="22"/>
          <w:szCs w:val="22"/>
        </w:rPr>
        <w:t xml:space="preserve">demandante y a cargo de </w:t>
      </w:r>
      <w:r w:rsidR="00064356">
        <w:rPr>
          <w:rFonts w:ascii="Tahoma" w:hAnsi="Tahoma" w:cs="Tahoma"/>
          <w:sz w:val="22"/>
          <w:szCs w:val="22"/>
        </w:rPr>
        <w:t>HERNANDO GÓMEZ y CIVAL CONSTRUCTORES LTDA.</w:t>
      </w:r>
      <w:r w:rsidR="00242965" w:rsidRPr="00BC6EBB">
        <w:rPr>
          <w:rFonts w:ascii="Tahoma" w:hAnsi="Tahoma" w:cs="Tahoma"/>
          <w:b/>
          <w:sz w:val="22"/>
          <w:szCs w:val="22"/>
          <w:lang w:val="es-CO"/>
        </w:rPr>
        <w:t xml:space="preserve"> </w:t>
      </w:r>
      <w:proofErr w:type="gramStart"/>
      <w:r w:rsidR="00242965" w:rsidRPr="00BC6EBB">
        <w:rPr>
          <w:rFonts w:ascii="Tahoma" w:hAnsi="Tahoma" w:cs="Tahoma"/>
          <w:sz w:val="22"/>
          <w:szCs w:val="22"/>
          <w:lang w:val="es-CO"/>
        </w:rPr>
        <w:t>de</w:t>
      </w:r>
      <w:proofErr w:type="gramEnd"/>
      <w:r w:rsidR="00242965" w:rsidRPr="00BC6EBB">
        <w:rPr>
          <w:rFonts w:ascii="Tahoma" w:hAnsi="Tahoma" w:cs="Tahoma"/>
          <w:sz w:val="22"/>
          <w:szCs w:val="22"/>
          <w:lang w:val="es-CO"/>
        </w:rPr>
        <w:t xml:space="preserve"> </w:t>
      </w:r>
      <w:r w:rsidR="00160EE6" w:rsidRPr="00BC6EBB">
        <w:rPr>
          <w:rFonts w:ascii="Tahoma" w:hAnsi="Tahoma" w:cs="Tahoma"/>
          <w:bCs/>
          <w:spacing w:val="2"/>
          <w:sz w:val="22"/>
          <w:szCs w:val="22"/>
        </w:rPr>
        <w:t xml:space="preserve">la siguiente manera: </w:t>
      </w:r>
    </w:p>
    <w:p w:rsidR="00836372" w:rsidRPr="00BC6EBB" w:rsidRDefault="00836372" w:rsidP="00B66FEA">
      <w:pPr>
        <w:widowControl w:val="0"/>
        <w:autoSpaceDE w:val="0"/>
        <w:autoSpaceDN w:val="0"/>
        <w:adjustRightInd w:val="0"/>
        <w:spacing w:line="276" w:lineRule="auto"/>
        <w:ind w:firstLine="709"/>
        <w:jc w:val="both"/>
        <w:rPr>
          <w:rFonts w:ascii="Tahoma" w:hAnsi="Tahoma" w:cs="Tahoma"/>
          <w:bCs/>
          <w:spacing w:val="2"/>
          <w:sz w:val="22"/>
          <w:szCs w:val="22"/>
        </w:rPr>
      </w:pPr>
    </w:p>
    <w:p w:rsidR="00064356" w:rsidRPr="00BC6EBB" w:rsidRDefault="00064356" w:rsidP="00B66FEA">
      <w:pPr>
        <w:autoSpaceDE w:val="0"/>
        <w:autoSpaceDN w:val="0"/>
        <w:adjustRightInd w:val="0"/>
        <w:spacing w:line="276" w:lineRule="auto"/>
        <w:ind w:firstLine="709"/>
        <w:jc w:val="both"/>
        <w:rPr>
          <w:rFonts w:ascii="Tahoma" w:hAnsi="Tahoma" w:cs="Tahoma"/>
          <w:sz w:val="22"/>
          <w:szCs w:val="22"/>
          <w:lang w:val="es-CO"/>
        </w:rPr>
      </w:pPr>
      <w:r w:rsidRPr="00BC6EBB">
        <w:rPr>
          <w:rFonts w:ascii="Tahoma" w:hAnsi="Tahoma" w:cs="Tahoma"/>
          <w:sz w:val="22"/>
          <w:szCs w:val="22"/>
          <w:lang w:val="es-CO"/>
        </w:rPr>
        <w:t>AGENCIAS EN DERECHO DE PRIMERA INSTANCIA</w:t>
      </w:r>
      <w:r>
        <w:rPr>
          <w:rFonts w:ascii="Tahoma" w:hAnsi="Tahoma" w:cs="Tahoma"/>
          <w:sz w:val="22"/>
          <w:szCs w:val="22"/>
          <w:lang w:val="es-CO"/>
        </w:rPr>
        <w:t xml:space="preserve"> (80%)</w:t>
      </w:r>
      <w:r w:rsidRPr="00BC6EBB">
        <w:rPr>
          <w:rFonts w:ascii="Tahoma" w:hAnsi="Tahoma" w:cs="Tahoma"/>
          <w:sz w:val="22"/>
          <w:szCs w:val="22"/>
          <w:lang w:val="es-CO"/>
        </w:rPr>
        <w:t>:</w:t>
      </w:r>
      <w:r w:rsidRPr="00BC6EBB">
        <w:rPr>
          <w:rFonts w:ascii="Tahoma" w:hAnsi="Tahoma" w:cs="Tahoma"/>
          <w:sz w:val="22"/>
          <w:szCs w:val="22"/>
          <w:lang w:val="es-CO"/>
        </w:rPr>
        <w:tab/>
      </w:r>
      <w:r w:rsidRPr="00BC6EBB">
        <w:rPr>
          <w:rFonts w:ascii="Tahoma" w:hAnsi="Tahoma" w:cs="Tahoma"/>
          <w:sz w:val="22"/>
          <w:szCs w:val="22"/>
          <w:lang w:val="es-CO"/>
        </w:rPr>
        <w:tab/>
      </w:r>
      <w:r w:rsidRPr="00BC6EBB">
        <w:rPr>
          <w:rFonts w:ascii="Tahoma" w:hAnsi="Tahoma" w:cs="Tahoma"/>
          <w:sz w:val="22"/>
          <w:szCs w:val="22"/>
          <w:lang w:val="es-CO"/>
        </w:rPr>
        <w:tab/>
        <w:t>$</w:t>
      </w:r>
      <w:r>
        <w:rPr>
          <w:rFonts w:ascii="Tahoma" w:hAnsi="Tahoma" w:cs="Tahoma"/>
          <w:sz w:val="22"/>
          <w:szCs w:val="22"/>
          <w:lang w:val="es-CO"/>
        </w:rPr>
        <w:t xml:space="preserve"> </w:t>
      </w:r>
      <w:r>
        <w:rPr>
          <w:rFonts w:ascii="Tahoma" w:hAnsi="Tahoma" w:cs="Tahoma"/>
          <w:sz w:val="22"/>
          <w:szCs w:val="22"/>
          <w:lang w:val="es-MX"/>
        </w:rPr>
        <w:t>4.306.043,46</w:t>
      </w:r>
    </w:p>
    <w:p w:rsidR="00064356" w:rsidRPr="00BC6EBB" w:rsidRDefault="00064356" w:rsidP="00B66FEA">
      <w:pPr>
        <w:autoSpaceDE w:val="0"/>
        <w:autoSpaceDN w:val="0"/>
        <w:adjustRightInd w:val="0"/>
        <w:spacing w:line="276" w:lineRule="auto"/>
        <w:ind w:firstLine="709"/>
        <w:jc w:val="both"/>
        <w:rPr>
          <w:rFonts w:ascii="Tahoma" w:hAnsi="Tahoma" w:cs="Tahoma"/>
          <w:sz w:val="22"/>
          <w:szCs w:val="22"/>
          <w:u w:val="single"/>
          <w:lang w:val="es-CO"/>
        </w:rPr>
      </w:pPr>
      <w:r w:rsidRPr="00BC6EBB">
        <w:rPr>
          <w:rFonts w:ascii="Tahoma" w:hAnsi="Tahoma" w:cs="Tahoma"/>
          <w:sz w:val="22"/>
          <w:szCs w:val="22"/>
          <w:lang w:val="es-CO"/>
        </w:rPr>
        <w:t>AGENCIAS EN DERECHO DE SEGUNDA</w:t>
      </w:r>
      <w:r>
        <w:rPr>
          <w:rFonts w:ascii="Tahoma" w:hAnsi="Tahoma" w:cs="Tahoma"/>
          <w:sz w:val="22"/>
          <w:szCs w:val="22"/>
          <w:lang w:val="es-CO"/>
        </w:rPr>
        <w:t xml:space="preserve"> INSTANCIA</w:t>
      </w:r>
      <w:r w:rsidRPr="00BC6EBB">
        <w:rPr>
          <w:rFonts w:ascii="Tahoma" w:hAnsi="Tahoma" w:cs="Tahoma"/>
          <w:sz w:val="22"/>
          <w:szCs w:val="22"/>
          <w:lang w:val="es-CO"/>
        </w:rPr>
        <w:t>:</w:t>
      </w:r>
      <w:r w:rsidRPr="00BC6EBB">
        <w:rPr>
          <w:rFonts w:ascii="Tahoma" w:hAnsi="Tahoma" w:cs="Tahoma"/>
          <w:sz w:val="22"/>
          <w:szCs w:val="22"/>
          <w:lang w:val="es-CO"/>
        </w:rPr>
        <w:tab/>
      </w:r>
      <w:r w:rsidRPr="00BC6EBB">
        <w:rPr>
          <w:rFonts w:ascii="Tahoma" w:hAnsi="Tahoma" w:cs="Tahoma"/>
          <w:sz w:val="22"/>
          <w:szCs w:val="22"/>
          <w:lang w:val="es-CO"/>
        </w:rPr>
        <w:tab/>
      </w:r>
      <w:r w:rsidRPr="00BC6EBB">
        <w:rPr>
          <w:rFonts w:ascii="Tahoma" w:hAnsi="Tahoma" w:cs="Tahoma"/>
          <w:sz w:val="22"/>
          <w:szCs w:val="22"/>
          <w:lang w:val="es-CO"/>
        </w:rPr>
        <w:tab/>
      </w:r>
      <w:r>
        <w:rPr>
          <w:rFonts w:ascii="Tahoma" w:hAnsi="Tahoma" w:cs="Tahoma"/>
          <w:sz w:val="22"/>
          <w:szCs w:val="22"/>
          <w:lang w:val="es-CO"/>
        </w:rPr>
        <w:t>$          000</w:t>
      </w:r>
    </w:p>
    <w:p w:rsidR="00064356" w:rsidRPr="00BC6EBB" w:rsidRDefault="00064356" w:rsidP="00B66FEA">
      <w:pPr>
        <w:autoSpaceDE w:val="0"/>
        <w:autoSpaceDN w:val="0"/>
        <w:adjustRightInd w:val="0"/>
        <w:spacing w:line="276" w:lineRule="auto"/>
        <w:jc w:val="both"/>
        <w:rPr>
          <w:rFonts w:ascii="Tahoma" w:hAnsi="Tahoma" w:cs="Tahoma"/>
          <w:sz w:val="22"/>
          <w:szCs w:val="22"/>
          <w:lang w:val="es-CO"/>
        </w:rPr>
      </w:pPr>
    </w:p>
    <w:p w:rsidR="00064356" w:rsidRPr="00BC6EBB" w:rsidRDefault="00064356" w:rsidP="00B66FEA">
      <w:pPr>
        <w:autoSpaceDE w:val="0"/>
        <w:autoSpaceDN w:val="0"/>
        <w:adjustRightInd w:val="0"/>
        <w:spacing w:line="276" w:lineRule="auto"/>
        <w:ind w:firstLine="709"/>
        <w:jc w:val="both"/>
        <w:rPr>
          <w:rFonts w:ascii="Tahoma" w:hAnsi="Tahoma" w:cs="Tahoma"/>
          <w:b/>
          <w:sz w:val="22"/>
          <w:szCs w:val="22"/>
          <w:lang w:val="es-CO"/>
        </w:rPr>
      </w:pPr>
      <w:r w:rsidRPr="00BC6EBB">
        <w:rPr>
          <w:rFonts w:ascii="Tahoma" w:hAnsi="Tahoma" w:cs="Tahoma"/>
          <w:b/>
          <w:sz w:val="22"/>
          <w:szCs w:val="22"/>
          <w:lang w:val="es-CO"/>
        </w:rPr>
        <w:t>TOTAL COSTAS PROCESALES:</w:t>
      </w:r>
      <w:r w:rsidRPr="00BC6EBB">
        <w:rPr>
          <w:rFonts w:ascii="Tahoma" w:hAnsi="Tahoma" w:cs="Tahoma"/>
          <w:b/>
          <w:sz w:val="22"/>
          <w:szCs w:val="22"/>
          <w:lang w:val="es-CO"/>
        </w:rPr>
        <w:tab/>
      </w:r>
      <w:r w:rsidRPr="00BC6EBB">
        <w:rPr>
          <w:rFonts w:ascii="Tahoma" w:hAnsi="Tahoma" w:cs="Tahoma"/>
          <w:b/>
          <w:sz w:val="22"/>
          <w:szCs w:val="22"/>
          <w:lang w:val="es-CO"/>
        </w:rPr>
        <w:tab/>
      </w:r>
      <w:r w:rsidR="00B66FEA">
        <w:rPr>
          <w:rFonts w:ascii="Tahoma" w:hAnsi="Tahoma" w:cs="Tahoma"/>
          <w:b/>
          <w:sz w:val="22"/>
          <w:szCs w:val="22"/>
          <w:lang w:val="es-CO"/>
        </w:rPr>
        <w:t xml:space="preserve">                                          </w:t>
      </w:r>
      <w:r w:rsidRPr="00BC6EBB">
        <w:rPr>
          <w:rFonts w:ascii="Tahoma" w:hAnsi="Tahoma" w:cs="Tahoma"/>
          <w:b/>
          <w:sz w:val="22"/>
          <w:szCs w:val="22"/>
          <w:lang w:val="es-CO"/>
        </w:rPr>
        <w:t>$</w:t>
      </w:r>
      <w:r>
        <w:rPr>
          <w:rFonts w:ascii="Tahoma" w:hAnsi="Tahoma" w:cs="Tahoma"/>
          <w:b/>
          <w:sz w:val="22"/>
          <w:szCs w:val="22"/>
          <w:lang w:val="es-CO"/>
        </w:rPr>
        <w:t xml:space="preserve"> </w:t>
      </w:r>
      <w:r w:rsidRPr="00064356">
        <w:rPr>
          <w:rFonts w:ascii="Tahoma" w:hAnsi="Tahoma" w:cs="Tahoma"/>
          <w:b/>
          <w:sz w:val="22"/>
          <w:szCs w:val="22"/>
          <w:lang w:val="es-MX"/>
        </w:rPr>
        <w:t>4.306.043,46</w:t>
      </w:r>
    </w:p>
    <w:p w:rsidR="00F33605" w:rsidRPr="00BC6EBB" w:rsidRDefault="00F33605" w:rsidP="00B66FEA">
      <w:pPr>
        <w:autoSpaceDE w:val="0"/>
        <w:autoSpaceDN w:val="0"/>
        <w:adjustRightInd w:val="0"/>
        <w:spacing w:line="276" w:lineRule="auto"/>
        <w:jc w:val="both"/>
        <w:rPr>
          <w:rFonts w:ascii="Tahoma" w:hAnsi="Tahoma" w:cs="Tahoma"/>
          <w:sz w:val="22"/>
          <w:szCs w:val="22"/>
          <w:lang w:val="es-CO"/>
        </w:rPr>
      </w:pPr>
    </w:p>
    <w:p w:rsidR="00AF50EA" w:rsidRPr="00BC6EBB" w:rsidRDefault="0081733C" w:rsidP="00B66FEA">
      <w:pPr>
        <w:widowControl w:val="0"/>
        <w:autoSpaceDE w:val="0"/>
        <w:autoSpaceDN w:val="0"/>
        <w:adjustRightInd w:val="0"/>
        <w:spacing w:line="276" w:lineRule="auto"/>
        <w:ind w:firstLine="709"/>
        <w:jc w:val="both"/>
        <w:rPr>
          <w:rFonts w:ascii="Tahoma" w:hAnsi="Tahoma" w:cs="Tahoma"/>
          <w:sz w:val="22"/>
          <w:szCs w:val="22"/>
        </w:rPr>
      </w:pPr>
      <w:r w:rsidRPr="00BC6EBB">
        <w:rPr>
          <w:rFonts w:ascii="Tahoma" w:hAnsi="Tahoma" w:cs="Tahoma"/>
          <w:b/>
          <w:sz w:val="22"/>
          <w:szCs w:val="22"/>
          <w:u w:val="single"/>
        </w:rPr>
        <w:t>SEGUND</w:t>
      </w:r>
      <w:r w:rsidR="00F64927" w:rsidRPr="00BC6EBB">
        <w:rPr>
          <w:rFonts w:ascii="Tahoma" w:hAnsi="Tahoma" w:cs="Tahoma"/>
          <w:b/>
          <w:sz w:val="22"/>
          <w:szCs w:val="22"/>
          <w:u w:val="single"/>
        </w:rPr>
        <w:t>O</w:t>
      </w:r>
      <w:r w:rsidR="00F64927" w:rsidRPr="00BC6EBB">
        <w:rPr>
          <w:rFonts w:ascii="Tahoma" w:hAnsi="Tahoma" w:cs="Tahoma"/>
          <w:b/>
          <w:sz w:val="22"/>
          <w:szCs w:val="22"/>
        </w:rPr>
        <w:t xml:space="preserve">.- </w:t>
      </w:r>
      <w:r w:rsidR="00AA4699" w:rsidRPr="00BC6EBB">
        <w:rPr>
          <w:rFonts w:ascii="Tahoma" w:hAnsi="Tahoma" w:cs="Tahoma"/>
          <w:sz w:val="22"/>
          <w:szCs w:val="22"/>
        </w:rPr>
        <w:t xml:space="preserve">Sin costas en esta instancia. </w:t>
      </w:r>
    </w:p>
    <w:p w:rsidR="00797D49" w:rsidRPr="00BC6EBB" w:rsidRDefault="00797D49" w:rsidP="00B66FEA">
      <w:pPr>
        <w:widowControl w:val="0"/>
        <w:autoSpaceDE w:val="0"/>
        <w:autoSpaceDN w:val="0"/>
        <w:adjustRightInd w:val="0"/>
        <w:spacing w:line="276" w:lineRule="auto"/>
        <w:ind w:firstLine="1080"/>
        <w:jc w:val="both"/>
        <w:rPr>
          <w:rFonts w:ascii="Tahoma" w:hAnsi="Tahoma" w:cs="Tahoma"/>
          <w:sz w:val="22"/>
          <w:szCs w:val="22"/>
        </w:rPr>
      </w:pPr>
    </w:p>
    <w:p w:rsidR="007D4D1B" w:rsidRPr="00BC6EBB" w:rsidRDefault="000676D1" w:rsidP="00B66FEA">
      <w:pPr>
        <w:widowControl w:val="0"/>
        <w:autoSpaceDE w:val="0"/>
        <w:autoSpaceDN w:val="0"/>
        <w:adjustRightInd w:val="0"/>
        <w:spacing w:line="276" w:lineRule="auto"/>
        <w:ind w:firstLine="708"/>
        <w:jc w:val="both"/>
        <w:rPr>
          <w:rFonts w:ascii="Tahoma" w:hAnsi="Tahoma" w:cs="Tahoma"/>
          <w:sz w:val="22"/>
          <w:szCs w:val="22"/>
        </w:rPr>
      </w:pPr>
      <w:r w:rsidRPr="00BC6EBB">
        <w:rPr>
          <w:rFonts w:ascii="Tahoma" w:hAnsi="Tahoma" w:cs="Tahoma"/>
          <w:b/>
          <w:sz w:val="22"/>
          <w:szCs w:val="22"/>
        </w:rPr>
        <w:t>NOTIFÍQUESE Y CÚMPLASE</w:t>
      </w:r>
    </w:p>
    <w:p w:rsidR="00B10EE6" w:rsidRPr="00BC6EBB" w:rsidRDefault="007D4D1B" w:rsidP="00B66FEA">
      <w:pPr>
        <w:widowControl w:val="0"/>
        <w:autoSpaceDE w:val="0"/>
        <w:autoSpaceDN w:val="0"/>
        <w:adjustRightInd w:val="0"/>
        <w:spacing w:line="276" w:lineRule="auto"/>
        <w:jc w:val="both"/>
        <w:rPr>
          <w:rFonts w:ascii="Tahoma" w:hAnsi="Tahoma" w:cs="Tahoma"/>
          <w:sz w:val="22"/>
          <w:szCs w:val="22"/>
        </w:rPr>
      </w:pPr>
      <w:r w:rsidRPr="00BC6EBB">
        <w:rPr>
          <w:rFonts w:ascii="Tahoma" w:hAnsi="Tahoma" w:cs="Tahoma"/>
          <w:sz w:val="22"/>
          <w:szCs w:val="22"/>
        </w:rPr>
        <w:tab/>
      </w:r>
    </w:p>
    <w:p w:rsidR="007D4D1B" w:rsidRPr="00BC6EBB" w:rsidRDefault="008E3047" w:rsidP="00B66FEA">
      <w:pPr>
        <w:widowControl w:val="0"/>
        <w:autoSpaceDE w:val="0"/>
        <w:autoSpaceDN w:val="0"/>
        <w:adjustRightInd w:val="0"/>
        <w:spacing w:line="276" w:lineRule="auto"/>
        <w:ind w:firstLine="708"/>
        <w:jc w:val="both"/>
        <w:rPr>
          <w:rFonts w:ascii="Tahoma" w:hAnsi="Tahoma" w:cs="Tahoma"/>
          <w:sz w:val="22"/>
          <w:szCs w:val="22"/>
        </w:rPr>
      </w:pPr>
      <w:r w:rsidRPr="00BC6EBB">
        <w:rPr>
          <w:rFonts w:ascii="Tahoma" w:hAnsi="Tahoma" w:cs="Tahoma"/>
          <w:sz w:val="22"/>
          <w:szCs w:val="22"/>
        </w:rPr>
        <w:t>L</w:t>
      </w:r>
      <w:r w:rsidR="006A5FB2" w:rsidRPr="00BC6EBB">
        <w:rPr>
          <w:rFonts w:ascii="Tahoma" w:hAnsi="Tahoma" w:cs="Tahoma"/>
          <w:sz w:val="22"/>
          <w:szCs w:val="22"/>
        </w:rPr>
        <w:t xml:space="preserve">a </w:t>
      </w:r>
      <w:r w:rsidRPr="00BC6EBB">
        <w:rPr>
          <w:rFonts w:ascii="Tahoma" w:hAnsi="Tahoma" w:cs="Tahoma"/>
          <w:sz w:val="22"/>
          <w:szCs w:val="22"/>
        </w:rPr>
        <w:t>Magistrad</w:t>
      </w:r>
      <w:r w:rsidR="006A5FB2" w:rsidRPr="00BC6EBB">
        <w:rPr>
          <w:rFonts w:ascii="Tahoma" w:hAnsi="Tahoma" w:cs="Tahoma"/>
          <w:sz w:val="22"/>
          <w:szCs w:val="22"/>
        </w:rPr>
        <w:t xml:space="preserve">a Ponente, </w:t>
      </w:r>
    </w:p>
    <w:p w:rsidR="007D4D1B" w:rsidRPr="00BC6EBB" w:rsidRDefault="007D4D1B" w:rsidP="00B66FEA">
      <w:pPr>
        <w:widowControl w:val="0"/>
        <w:autoSpaceDE w:val="0"/>
        <w:autoSpaceDN w:val="0"/>
        <w:adjustRightInd w:val="0"/>
        <w:spacing w:line="276" w:lineRule="auto"/>
        <w:jc w:val="both"/>
        <w:rPr>
          <w:rFonts w:ascii="Tahoma" w:hAnsi="Tahoma" w:cs="Tahoma"/>
          <w:sz w:val="22"/>
          <w:szCs w:val="22"/>
        </w:rPr>
      </w:pPr>
    </w:p>
    <w:p w:rsidR="000676D1" w:rsidRPr="00BC6EBB" w:rsidRDefault="000676D1" w:rsidP="00B66FEA">
      <w:pPr>
        <w:widowControl w:val="0"/>
        <w:autoSpaceDE w:val="0"/>
        <w:autoSpaceDN w:val="0"/>
        <w:adjustRightInd w:val="0"/>
        <w:spacing w:line="276" w:lineRule="auto"/>
        <w:jc w:val="both"/>
        <w:rPr>
          <w:rFonts w:ascii="Tahoma" w:hAnsi="Tahoma" w:cs="Tahoma"/>
          <w:sz w:val="22"/>
          <w:szCs w:val="22"/>
        </w:rPr>
      </w:pPr>
    </w:p>
    <w:p w:rsidR="005C7F80" w:rsidRPr="00BC6EBB" w:rsidRDefault="005C7F80" w:rsidP="00B66FEA">
      <w:pPr>
        <w:widowControl w:val="0"/>
        <w:autoSpaceDE w:val="0"/>
        <w:autoSpaceDN w:val="0"/>
        <w:adjustRightInd w:val="0"/>
        <w:spacing w:line="276" w:lineRule="auto"/>
        <w:jc w:val="both"/>
        <w:rPr>
          <w:rFonts w:ascii="Tahoma" w:hAnsi="Tahoma" w:cs="Tahoma"/>
          <w:sz w:val="22"/>
          <w:szCs w:val="22"/>
        </w:rPr>
      </w:pPr>
    </w:p>
    <w:p w:rsidR="007D4D1B" w:rsidRPr="00BC6EBB" w:rsidRDefault="007D4D1B" w:rsidP="00B66FEA">
      <w:pPr>
        <w:widowControl w:val="0"/>
        <w:autoSpaceDE w:val="0"/>
        <w:autoSpaceDN w:val="0"/>
        <w:adjustRightInd w:val="0"/>
        <w:spacing w:line="276" w:lineRule="auto"/>
        <w:jc w:val="center"/>
        <w:rPr>
          <w:rFonts w:ascii="Tahoma" w:hAnsi="Tahoma" w:cs="Tahoma"/>
          <w:b/>
          <w:sz w:val="22"/>
          <w:szCs w:val="22"/>
        </w:rPr>
      </w:pPr>
      <w:r w:rsidRPr="00BC6EBB">
        <w:rPr>
          <w:rFonts w:ascii="Tahoma" w:hAnsi="Tahoma" w:cs="Tahoma"/>
          <w:b/>
          <w:sz w:val="22"/>
          <w:szCs w:val="22"/>
        </w:rPr>
        <w:t>ANA LUCÍA CAICEDO CALDERÓN</w:t>
      </w:r>
    </w:p>
    <w:p w:rsidR="00FA5D14" w:rsidRDefault="00FA5D14" w:rsidP="00B66FEA">
      <w:pPr>
        <w:widowControl w:val="0"/>
        <w:autoSpaceDE w:val="0"/>
        <w:autoSpaceDN w:val="0"/>
        <w:adjustRightInd w:val="0"/>
        <w:spacing w:line="276" w:lineRule="auto"/>
        <w:jc w:val="center"/>
        <w:rPr>
          <w:rFonts w:ascii="Tahoma" w:hAnsi="Tahoma" w:cs="Tahoma"/>
          <w:b/>
          <w:sz w:val="22"/>
          <w:szCs w:val="22"/>
        </w:rPr>
      </w:pPr>
    </w:p>
    <w:p w:rsidR="00B66FEA" w:rsidRPr="00BC6EBB" w:rsidRDefault="00B66FEA" w:rsidP="00B66FEA">
      <w:pPr>
        <w:widowControl w:val="0"/>
        <w:autoSpaceDE w:val="0"/>
        <w:autoSpaceDN w:val="0"/>
        <w:adjustRightInd w:val="0"/>
        <w:spacing w:line="276" w:lineRule="auto"/>
        <w:jc w:val="center"/>
        <w:rPr>
          <w:rFonts w:ascii="Tahoma" w:hAnsi="Tahoma" w:cs="Tahoma"/>
          <w:b/>
          <w:sz w:val="22"/>
          <w:szCs w:val="22"/>
        </w:rPr>
      </w:pPr>
    </w:p>
    <w:p w:rsidR="006A5FB2" w:rsidRPr="00BC6EBB" w:rsidRDefault="0015185A" w:rsidP="00B66FEA">
      <w:pPr>
        <w:widowControl w:val="0"/>
        <w:autoSpaceDE w:val="0"/>
        <w:autoSpaceDN w:val="0"/>
        <w:adjustRightInd w:val="0"/>
        <w:spacing w:line="276" w:lineRule="auto"/>
        <w:ind w:firstLine="709"/>
        <w:rPr>
          <w:rFonts w:ascii="Tahoma" w:hAnsi="Tahoma" w:cs="Tahoma"/>
          <w:sz w:val="22"/>
          <w:szCs w:val="22"/>
        </w:rPr>
      </w:pPr>
      <w:r>
        <w:rPr>
          <w:rFonts w:ascii="Tahoma" w:hAnsi="Tahoma" w:cs="Tahoma"/>
          <w:sz w:val="22"/>
          <w:szCs w:val="22"/>
        </w:rPr>
        <w:t>L</w:t>
      </w:r>
      <w:r w:rsidR="00085480">
        <w:rPr>
          <w:rFonts w:ascii="Tahoma" w:hAnsi="Tahoma" w:cs="Tahoma"/>
          <w:sz w:val="22"/>
          <w:szCs w:val="22"/>
        </w:rPr>
        <w:t xml:space="preserve">a </w:t>
      </w:r>
      <w:r w:rsidR="006A5FB2" w:rsidRPr="00BC6EBB">
        <w:rPr>
          <w:rFonts w:ascii="Tahoma" w:hAnsi="Tahoma" w:cs="Tahoma"/>
          <w:sz w:val="22"/>
          <w:szCs w:val="22"/>
        </w:rPr>
        <w:t>Magistrad</w:t>
      </w:r>
      <w:r w:rsidR="00085480">
        <w:rPr>
          <w:rFonts w:ascii="Tahoma" w:hAnsi="Tahoma" w:cs="Tahoma"/>
          <w:sz w:val="22"/>
          <w:szCs w:val="22"/>
        </w:rPr>
        <w:t>a y el Magistrado,</w:t>
      </w:r>
      <w:r w:rsidR="006A5FB2" w:rsidRPr="00BC6EBB">
        <w:rPr>
          <w:rFonts w:ascii="Tahoma" w:hAnsi="Tahoma" w:cs="Tahoma"/>
          <w:sz w:val="22"/>
          <w:szCs w:val="22"/>
        </w:rPr>
        <w:t xml:space="preserve"> </w:t>
      </w:r>
    </w:p>
    <w:p w:rsidR="00F33605" w:rsidRDefault="00F33605" w:rsidP="00B66FEA">
      <w:pPr>
        <w:widowControl w:val="0"/>
        <w:autoSpaceDE w:val="0"/>
        <w:autoSpaceDN w:val="0"/>
        <w:adjustRightInd w:val="0"/>
        <w:spacing w:line="276" w:lineRule="auto"/>
        <w:jc w:val="both"/>
        <w:rPr>
          <w:rFonts w:ascii="Tahoma" w:hAnsi="Tahoma" w:cs="Tahoma"/>
          <w:b/>
          <w:sz w:val="22"/>
          <w:szCs w:val="22"/>
        </w:rPr>
      </w:pPr>
    </w:p>
    <w:p w:rsidR="0015185A" w:rsidRDefault="0015185A" w:rsidP="00B66FEA">
      <w:pPr>
        <w:widowControl w:val="0"/>
        <w:autoSpaceDE w:val="0"/>
        <w:autoSpaceDN w:val="0"/>
        <w:adjustRightInd w:val="0"/>
        <w:spacing w:line="276" w:lineRule="auto"/>
        <w:jc w:val="both"/>
        <w:rPr>
          <w:rFonts w:ascii="Tahoma" w:hAnsi="Tahoma" w:cs="Tahoma"/>
          <w:b/>
          <w:sz w:val="22"/>
          <w:szCs w:val="22"/>
        </w:rPr>
      </w:pPr>
    </w:p>
    <w:p w:rsidR="0015185A" w:rsidRDefault="0015185A" w:rsidP="00B66FEA">
      <w:pPr>
        <w:widowControl w:val="0"/>
        <w:autoSpaceDE w:val="0"/>
        <w:autoSpaceDN w:val="0"/>
        <w:adjustRightInd w:val="0"/>
        <w:spacing w:line="276" w:lineRule="auto"/>
        <w:jc w:val="both"/>
        <w:rPr>
          <w:rFonts w:ascii="Tahoma" w:hAnsi="Tahoma" w:cs="Tahoma"/>
          <w:b/>
          <w:sz w:val="22"/>
          <w:szCs w:val="22"/>
        </w:rPr>
      </w:pPr>
    </w:p>
    <w:p w:rsidR="00F33605" w:rsidRDefault="00F33605" w:rsidP="00B66FEA">
      <w:pPr>
        <w:widowControl w:val="0"/>
        <w:autoSpaceDE w:val="0"/>
        <w:autoSpaceDN w:val="0"/>
        <w:adjustRightInd w:val="0"/>
        <w:spacing w:line="276" w:lineRule="auto"/>
        <w:jc w:val="both"/>
        <w:rPr>
          <w:rFonts w:ascii="Tahoma" w:hAnsi="Tahoma" w:cs="Tahoma"/>
          <w:b/>
          <w:sz w:val="22"/>
          <w:szCs w:val="22"/>
        </w:rPr>
      </w:pPr>
    </w:p>
    <w:p w:rsidR="00F33605" w:rsidRDefault="00085480" w:rsidP="00B66FEA">
      <w:pPr>
        <w:widowControl w:val="0"/>
        <w:autoSpaceDE w:val="0"/>
        <w:autoSpaceDN w:val="0"/>
        <w:adjustRightInd w:val="0"/>
        <w:spacing w:line="276" w:lineRule="auto"/>
        <w:jc w:val="both"/>
        <w:rPr>
          <w:rFonts w:ascii="Tahoma" w:hAnsi="Tahoma" w:cs="Tahoma"/>
          <w:b/>
          <w:sz w:val="22"/>
          <w:szCs w:val="22"/>
        </w:rPr>
      </w:pPr>
      <w:r>
        <w:rPr>
          <w:rFonts w:ascii="Tahoma" w:hAnsi="Tahoma" w:cs="Tahoma"/>
          <w:b/>
          <w:sz w:val="22"/>
          <w:szCs w:val="22"/>
        </w:rPr>
        <w:t xml:space="preserve">OLGA LUCÍA HOYOS SEPÚLVEDA </w:t>
      </w:r>
      <w:r>
        <w:rPr>
          <w:rFonts w:ascii="Tahoma" w:hAnsi="Tahoma" w:cs="Tahoma"/>
          <w:b/>
          <w:sz w:val="22"/>
          <w:szCs w:val="22"/>
        </w:rPr>
        <w:tab/>
      </w:r>
      <w:r w:rsidR="00522BDD">
        <w:rPr>
          <w:rFonts w:ascii="Tahoma" w:hAnsi="Tahoma" w:cs="Tahoma"/>
          <w:b/>
          <w:sz w:val="22"/>
          <w:szCs w:val="22"/>
        </w:rPr>
        <w:t xml:space="preserve">                           </w:t>
      </w:r>
      <w:r w:rsidR="0015185A">
        <w:rPr>
          <w:rFonts w:ascii="Tahoma" w:hAnsi="Tahoma" w:cs="Tahoma"/>
          <w:b/>
          <w:sz w:val="22"/>
          <w:szCs w:val="22"/>
        </w:rPr>
        <w:t>JULIO CÉSAR SALAZAR MUÑOZ</w:t>
      </w:r>
      <w:r w:rsidR="0015185A">
        <w:rPr>
          <w:rFonts w:ascii="Tahoma" w:hAnsi="Tahoma" w:cs="Tahoma"/>
          <w:b/>
          <w:sz w:val="22"/>
          <w:szCs w:val="22"/>
        </w:rPr>
        <w:tab/>
      </w:r>
    </w:p>
    <w:p w:rsidR="00B66FEA" w:rsidRDefault="00B66FEA" w:rsidP="00B66FEA">
      <w:pPr>
        <w:widowControl w:val="0"/>
        <w:autoSpaceDE w:val="0"/>
        <w:autoSpaceDN w:val="0"/>
        <w:adjustRightInd w:val="0"/>
        <w:spacing w:line="276" w:lineRule="auto"/>
        <w:jc w:val="both"/>
        <w:rPr>
          <w:rFonts w:ascii="Tahoma" w:hAnsi="Tahoma" w:cs="Tahoma"/>
          <w:b/>
          <w:sz w:val="22"/>
          <w:szCs w:val="22"/>
        </w:rPr>
      </w:pPr>
    </w:p>
    <w:p w:rsidR="00B66FEA" w:rsidRDefault="00B66FEA" w:rsidP="00B66FEA">
      <w:pPr>
        <w:widowControl w:val="0"/>
        <w:autoSpaceDE w:val="0"/>
        <w:autoSpaceDN w:val="0"/>
        <w:adjustRightInd w:val="0"/>
        <w:spacing w:line="276" w:lineRule="auto"/>
        <w:jc w:val="both"/>
        <w:rPr>
          <w:rFonts w:ascii="Tahoma" w:hAnsi="Tahoma" w:cs="Tahoma"/>
          <w:b/>
          <w:sz w:val="22"/>
          <w:szCs w:val="22"/>
        </w:rPr>
      </w:pPr>
    </w:p>
    <w:p w:rsidR="00B66FEA" w:rsidRDefault="00B66FEA" w:rsidP="00B66FEA">
      <w:pPr>
        <w:widowControl w:val="0"/>
        <w:autoSpaceDE w:val="0"/>
        <w:autoSpaceDN w:val="0"/>
        <w:adjustRightInd w:val="0"/>
        <w:spacing w:line="276" w:lineRule="auto"/>
        <w:jc w:val="both"/>
        <w:rPr>
          <w:rFonts w:ascii="Tahoma" w:hAnsi="Tahoma" w:cs="Tahoma"/>
          <w:b/>
          <w:sz w:val="22"/>
          <w:szCs w:val="22"/>
        </w:rPr>
      </w:pPr>
    </w:p>
    <w:p w:rsidR="00B66FEA" w:rsidRDefault="00B66FEA" w:rsidP="00B66FEA">
      <w:pPr>
        <w:widowControl w:val="0"/>
        <w:autoSpaceDE w:val="0"/>
        <w:autoSpaceDN w:val="0"/>
        <w:adjustRightInd w:val="0"/>
        <w:spacing w:line="276" w:lineRule="auto"/>
        <w:jc w:val="both"/>
        <w:rPr>
          <w:rFonts w:ascii="Tahoma" w:hAnsi="Tahoma" w:cs="Tahoma"/>
          <w:b/>
          <w:sz w:val="22"/>
          <w:szCs w:val="22"/>
        </w:rPr>
      </w:pPr>
    </w:p>
    <w:p w:rsidR="00B66FEA" w:rsidRDefault="00B66FEA" w:rsidP="00B66FEA">
      <w:pPr>
        <w:widowControl w:val="0"/>
        <w:autoSpaceDE w:val="0"/>
        <w:autoSpaceDN w:val="0"/>
        <w:adjustRightInd w:val="0"/>
        <w:spacing w:line="276" w:lineRule="auto"/>
        <w:jc w:val="both"/>
        <w:rPr>
          <w:rFonts w:ascii="Tahoma" w:hAnsi="Tahoma" w:cs="Tahoma"/>
          <w:b/>
          <w:sz w:val="22"/>
          <w:szCs w:val="22"/>
        </w:rPr>
      </w:pPr>
    </w:p>
    <w:p w:rsidR="00B66FEA" w:rsidRDefault="00B66FEA" w:rsidP="00B66FEA">
      <w:pPr>
        <w:widowControl w:val="0"/>
        <w:autoSpaceDE w:val="0"/>
        <w:autoSpaceDN w:val="0"/>
        <w:adjustRightInd w:val="0"/>
        <w:spacing w:line="276" w:lineRule="auto"/>
        <w:jc w:val="both"/>
        <w:rPr>
          <w:rFonts w:ascii="Tahoma" w:hAnsi="Tahoma" w:cs="Tahoma"/>
          <w:b/>
          <w:sz w:val="22"/>
          <w:szCs w:val="22"/>
        </w:rPr>
      </w:pPr>
    </w:p>
    <w:p w:rsidR="00B66FEA" w:rsidRDefault="00B66FEA" w:rsidP="00B66FEA">
      <w:pPr>
        <w:widowControl w:val="0"/>
        <w:autoSpaceDE w:val="0"/>
        <w:autoSpaceDN w:val="0"/>
        <w:adjustRightInd w:val="0"/>
        <w:spacing w:line="276" w:lineRule="auto"/>
        <w:jc w:val="both"/>
        <w:rPr>
          <w:rFonts w:ascii="Tahoma" w:hAnsi="Tahoma" w:cs="Tahoma"/>
          <w:b/>
          <w:sz w:val="22"/>
          <w:szCs w:val="22"/>
        </w:rPr>
      </w:pPr>
    </w:p>
    <w:p w:rsidR="00B66FEA" w:rsidRDefault="00B66FEA" w:rsidP="00B66FEA">
      <w:pPr>
        <w:widowControl w:val="0"/>
        <w:autoSpaceDE w:val="0"/>
        <w:autoSpaceDN w:val="0"/>
        <w:adjustRightInd w:val="0"/>
        <w:spacing w:line="276" w:lineRule="auto"/>
        <w:jc w:val="both"/>
        <w:rPr>
          <w:rFonts w:ascii="Tahoma" w:hAnsi="Tahoma" w:cs="Tahoma"/>
          <w:b/>
          <w:sz w:val="22"/>
          <w:szCs w:val="22"/>
        </w:rPr>
      </w:pPr>
    </w:p>
    <w:p w:rsidR="00B66FEA" w:rsidRDefault="00B66FEA" w:rsidP="00B66FEA">
      <w:pPr>
        <w:widowControl w:val="0"/>
        <w:autoSpaceDE w:val="0"/>
        <w:autoSpaceDN w:val="0"/>
        <w:adjustRightInd w:val="0"/>
        <w:spacing w:line="276" w:lineRule="auto"/>
        <w:jc w:val="both"/>
        <w:rPr>
          <w:rFonts w:ascii="Tahoma" w:hAnsi="Tahoma" w:cs="Tahoma"/>
          <w:b/>
          <w:sz w:val="22"/>
          <w:szCs w:val="22"/>
        </w:rPr>
      </w:pPr>
    </w:p>
    <w:p w:rsidR="00B66FEA" w:rsidRDefault="00B66FEA" w:rsidP="00B66FEA">
      <w:pPr>
        <w:widowControl w:val="0"/>
        <w:autoSpaceDE w:val="0"/>
        <w:autoSpaceDN w:val="0"/>
        <w:adjustRightInd w:val="0"/>
        <w:spacing w:line="276" w:lineRule="auto"/>
        <w:jc w:val="both"/>
        <w:rPr>
          <w:rFonts w:ascii="Tahoma" w:hAnsi="Tahoma" w:cs="Tahoma"/>
          <w:b/>
          <w:sz w:val="22"/>
          <w:szCs w:val="22"/>
        </w:rPr>
      </w:pPr>
    </w:p>
    <w:p w:rsidR="00B66FEA" w:rsidRDefault="00B66FEA" w:rsidP="00B66FEA">
      <w:pPr>
        <w:widowControl w:val="0"/>
        <w:autoSpaceDE w:val="0"/>
        <w:autoSpaceDN w:val="0"/>
        <w:adjustRightInd w:val="0"/>
        <w:spacing w:line="276" w:lineRule="auto"/>
        <w:jc w:val="both"/>
        <w:rPr>
          <w:rFonts w:ascii="Tahoma" w:hAnsi="Tahoma" w:cs="Tahoma"/>
          <w:b/>
          <w:sz w:val="22"/>
          <w:szCs w:val="22"/>
        </w:rPr>
      </w:pPr>
    </w:p>
    <w:p w:rsidR="00B66FEA" w:rsidRDefault="00B66FEA" w:rsidP="00B66FEA">
      <w:pPr>
        <w:widowControl w:val="0"/>
        <w:autoSpaceDE w:val="0"/>
        <w:autoSpaceDN w:val="0"/>
        <w:adjustRightInd w:val="0"/>
        <w:spacing w:line="276" w:lineRule="auto"/>
        <w:jc w:val="both"/>
        <w:rPr>
          <w:rFonts w:ascii="Tahoma" w:hAnsi="Tahoma" w:cs="Tahoma"/>
          <w:b/>
          <w:sz w:val="22"/>
          <w:szCs w:val="22"/>
        </w:rPr>
      </w:pPr>
    </w:p>
    <w:p w:rsidR="00B66FEA" w:rsidRDefault="00B66FEA" w:rsidP="00B66FEA">
      <w:pPr>
        <w:widowControl w:val="0"/>
        <w:autoSpaceDE w:val="0"/>
        <w:autoSpaceDN w:val="0"/>
        <w:adjustRightInd w:val="0"/>
        <w:spacing w:line="276" w:lineRule="auto"/>
        <w:jc w:val="both"/>
        <w:rPr>
          <w:rFonts w:ascii="Tahoma" w:hAnsi="Tahoma" w:cs="Tahoma"/>
          <w:b/>
          <w:sz w:val="22"/>
          <w:szCs w:val="22"/>
        </w:rPr>
      </w:pPr>
    </w:p>
    <w:p w:rsidR="00B66FEA" w:rsidRDefault="00B66FEA" w:rsidP="00B66FEA">
      <w:pPr>
        <w:widowControl w:val="0"/>
        <w:autoSpaceDE w:val="0"/>
        <w:autoSpaceDN w:val="0"/>
        <w:adjustRightInd w:val="0"/>
        <w:spacing w:line="276" w:lineRule="auto"/>
        <w:jc w:val="both"/>
        <w:rPr>
          <w:rFonts w:ascii="Tahoma" w:hAnsi="Tahoma" w:cs="Tahoma"/>
          <w:b/>
          <w:sz w:val="22"/>
          <w:szCs w:val="22"/>
        </w:rPr>
      </w:pPr>
    </w:p>
    <w:p w:rsidR="00B66FEA" w:rsidRDefault="00B66FEA" w:rsidP="00B66FEA">
      <w:pPr>
        <w:widowControl w:val="0"/>
        <w:autoSpaceDE w:val="0"/>
        <w:autoSpaceDN w:val="0"/>
        <w:adjustRightInd w:val="0"/>
        <w:spacing w:line="276" w:lineRule="auto"/>
        <w:jc w:val="both"/>
        <w:rPr>
          <w:rFonts w:ascii="Tahoma" w:hAnsi="Tahoma" w:cs="Tahoma"/>
          <w:b/>
          <w:sz w:val="22"/>
          <w:szCs w:val="22"/>
        </w:rPr>
      </w:pPr>
    </w:p>
    <w:p w:rsidR="00B66FEA" w:rsidRDefault="00B66FEA" w:rsidP="00B66FEA">
      <w:pPr>
        <w:widowControl w:val="0"/>
        <w:autoSpaceDE w:val="0"/>
        <w:autoSpaceDN w:val="0"/>
        <w:adjustRightInd w:val="0"/>
        <w:spacing w:line="276" w:lineRule="auto"/>
        <w:jc w:val="both"/>
        <w:rPr>
          <w:rFonts w:ascii="Tahoma" w:hAnsi="Tahoma" w:cs="Tahoma"/>
          <w:b/>
          <w:sz w:val="22"/>
          <w:szCs w:val="22"/>
        </w:rPr>
      </w:pPr>
    </w:p>
    <w:p w:rsidR="00B66FEA" w:rsidRDefault="00B66FEA" w:rsidP="00B66FEA">
      <w:pPr>
        <w:widowControl w:val="0"/>
        <w:autoSpaceDE w:val="0"/>
        <w:autoSpaceDN w:val="0"/>
        <w:adjustRightInd w:val="0"/>
        <w:spacing w:line="276" w:lineRule="auto"/>
        <w:jc w:val="both"/>
        <w:rPr>
          <w:rFonts w:ascii="Tahoma" w:hAnsi="Tahoma" w:cs="Tahoma"/>
          <w:b/>
          <w:sz w:val="22"/>
          <w:szCs w:val="22"/>
        </w:rPr>
      </w:pPr>
    </w:p>
    <w:tbl>
      <w:tblPr>
        <w:tblW w:w="8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6"/>
        <w:gridCol w:w="1718"/>
        <w:gridCol w:w="797"/>
        <w:gridCol w:w="2300"/>
        <w:gridCol w:w="2021"/>
      </w:tblGrid>
      <w:tr w:rsidR="00B66FEA" w:rsidRPr="00B66FEA" w:rsidTr="00B66FEA">
        <w:trPr>
          <w:trHeight w:val="19"/>
        </w:trPr>
        <w:tc>
          <w:tcPr>
            <w:tcW w:w="0" w:type="auto"/>
            <w:gridSpan w:val="3"/>
            <w:shd w:val="clear" w:color="auto" w:fill="auto"/>
            <w:noWrap/>
            <w:vAlign w:val="bottom"/>
            <w:hideMark/>
          </w:tcPr>
          <w:p w:rsidR="00B66FEA" w:rsidRPr="00B66FEA" w:rsidRDefault="00B66FEA" w:rsidP="00B66FEA">
            <w:pPr>
              <w:rPr>
                <w:rFonts w:asciiTheme="minorHAnsi" w:hAnsiTheme="minorHAnsi" w:cs="Arial"/>
                <w:b/>
                <w:bCs/>
                <w:sz w:val="16"/>
                <w:szCs w:val="16"/>
              </w:rPr>
            </w:pPr>
            <w:r w:rsidRPr="00B66FEA">
              <w:rPr>
                <w:rFonts w:asciiTheme="minorHAnsi" w:hAnsiTheme="minorHAnsi" w:cs="Arial"/>
                <w:b/>
                <w:bCs/>
                <w:sz w:val="16"/>
                <w:szCs w:val="16"/>
              </w:rPr>
              <w:t>Intereses Corrientes sobre el Capital Inicial</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CAPITAL</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p>
        </w:tc>
        <w:tc>
          <w:tcPr>
            <w:tcW w:w="0" w:type="auto"/>
            <w:shd w:val="clear" w:color="auto" w:fill="auto"/>
            <w:noWrap/>
            <w:vAlign w:val="bottom"/>
            <w:hideMark/>
          </w:tcPr>
          <w:p w:rsidR="00B66FEA" w:rsidRPr="00B66FEA" w:rsidRDefault="00B66FEA" w:rsidP="00B66FEA">
            <w:pPr>
              <w:rPr>
                <w:rFonts w:asciiTheme="minorHAnsi" w:hAnsiTheme="minorHAnsi"/>
                <w:sz w:val="16"/>
                <w:szCs w:val="16"/>
              </w:rPr>
            </w:pPr>
          </w:p>
        </w:tc>
        <w:tc>
          <w:tcPr>
            <w:tcW w:w="0" w:type="auto"/>
            <w:shd w:val="clear" w:color="auto" w:fill="auto"/>
            <w:noWrap/>
            <w:vAlign w:val="bottom"/>
            <w:hideMark/>
          </w:tcPr>
          <w:p w:rsidR="00B66FEA" w:rsidRPr="00B66FEA" w:rsidRDefault="00B66FEA" w:rsidP="00B66FEA">
            <w:pPr>
              <w:rPr>
                <w:rFonts w:asciiTheme="minorHAnsi" w:hAnsiTheme="minorHAnsi"/>
                <w:sz w:val="16"/>
                <w:szCs w:val="16"/>
              </w:rPr>
            </w:pP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643.024,87</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s="Arial"/>
                <w:b/>
                <w:bCs/>
                <w:sz w:val="16"/>
                <w:szCs w:val="16"/>
              </w:rPr>
            </w:pPr>
            <w:r w:rsidRPr="00B66FEA">
              <w:rPr>
                <w:rFonts w:asciiTheme="minorHAnsi" w:hAnsiTheme="minorHAnsi" w:cs="Arial"/>
                <w:b/>
                <w:bCs/>
                <w:sz w:val="16"/>
                <w:szCs w:val="16"/>
              </w:rPr>
              <w:t>Desde</w:t>
            </w:r>
          </w:p>
        </w:tc>
        <w:tc>
          <w:tcPr>
            <w:tcW w:w="0" w:type="auto"/>
            <w:shd w:val="clear" w:color="auto" w:fill="auto"/>
            <w:noWrap/>
            <w:vAlign w:val="bottom"/>
            <w:hideMark/>
          </w:tcPr>
          <w:p w:rsidR="00B66FEA" w:rsidRPr="00B66FEA" w:rsidRDefault="00B66FEA" w:rsidP="00B66FEA">
            <w:pPr>
              <w:jc w:val="center"/>
              <w:rPr>
                <w:rFonts w:asciiTheme="minorHAnsi" w:hAnsiTheme="minorHAnsi" w:cs="Arial"/>
                <w:b/>
                <w:bCs/>
                <w:sz w:val="16"/>
                <w:szCs w:val="16"/>
              </w:rPr>
            </w:pPr>
            <w:r w:rsidRPr="00B66FEA">
              <w:rPr>
                <w:rFonts w:asciiTheme="minorHAnsi" w:hAnsiTheme="minorHAnsi" w:cs="Arial"/>
                <w:b/>
                <w:bCs/>
                <w:sz w:val="16"/>
                <w:szCs w:val="16"/>
              </w:rPr>
              <w:t>Hasta</w:t>
            </w:r>
          </w:p>
        </w:tc>
        <w:tc>
          <w:tcPr>
            <w:tcW w:w="0" w:type="auto"/>
            <w:shd w:val="clear" w:color="auto" w:fill="auto"/>
            <w:noWrap/>
            <w:vAlign w:val="bottom"/>
            <w:hideMark/>
          </w:tcPr>
          <w:p w:rsidR="00B66FEA" w:rsidRPr="00B66FEA" w:rsidRDefault="00B66FEA" w:rsidP="00B66FEA">
            <w:pPr>
              <w:jc w:val="center"/>
              <w:rPr>
                <w:rFonts w:asciiTheme="minorHAnsi" w:hAnsiTheme="minorHAnsi" w:cs="Arial"/>
                <w:b/>
                <w:bCs/>
                <w:sz w:val="16"/>
                <w:szCs w:val="16"/>
              </w:rPr>
            </w:pPr>
            <w:proofErr w:type="spellStart"/>
            <w:r w:rsidRPr="00B66FEA">
              <w:rPr>
                <w:rFonts w:asciiTheme="minorHAnsi" w:hAnsiTheme="minorHAnsi" w:cs="Arial"/>
                <w:b/>
                <w:bCs/>
                <w:sz w:val="16"/>
                <w:szCs w:val="16"/>
              </w:rPr>
              <w:t>Dias</w:t>
            </w:r>
            <w:proofErr w:type="spellEnd"/>
          </w:p>
        </w:tc>
        <w:tc>
          <w:tcPr>
            <w:tcW w:w="0" w:type="auto"/>
            <w:shd w:val="clear" w:color="auto" w:fill="auto"/>
            <w:noWrap/>
            <w:vAlign w:val="bottom"/>
            <w:hideMark/>
          </w:tcPr>
          <w:p w:rsidR="00B66FEA" w:rsidRPr="00B66FEA" w:rsidRDefault="00B66FEA" w:rsidP="00B66FEA">
            <w:pPr>
              <w:jc w:val="center"/>
              <w:rPr>
                <w:rFonts w:asciiTheme="minorHAnsi" w:hAnsiTheme="minorHAnsi" w:cs="Arial"/>
                <w:b/>
                <w:bCs/>
                <w:sz w:val="16"/>
                <w:szCs w:val="16"/>
              </w:rPr>
            </w:pPr>
            <w:r w:rsidRPr="00B66FEA">
              <w:rPr>
                <w:rFonts w:asciiTheme="minorHAnsi" w:hAnsiTheme="minorHAnsi" w:cs="Arial"/>
                <w:b/>
                <w:bCs/>
                <w:sz w:val="16"/>
                <w:szCs w:val="16"/>
              </w:rPr>
              <w:t xml:space="preserve">Tasa </w:t>
            </w:r>
            <w:proofErr w:type="gramStart"/>
            <w:r w:rsidRPr="00B66FEA">
              <w:rPr>
                <w:rFonts w:asciiTheme="minorHAnsi" w:hAnsiTheme="minorHAnsi" w:cs="Arial"/>
                <w:b/>
                <w:bCs/>
                <w:sz w:val="16"/>
                <w:szCs w:val="16"/>
              </w:rPr>
              <w:t>Mensual(</w:t>
            </w:r>
            <w:proofErr w:type="gramEnd"/>
            <w:r w:rsidRPr="00B66FEA">
              <w:rPr>
                <w:rFonts w:asciiTheme="minorHAnsi" w:hAnsiTheme="minorHAnsi" w:cs="Arial"/>
                <w:b/>
                <w:bCs/>
                <w:sz w:val="16"/>
                <w:szCs w:val="16"/>
              </w:rPr>
              <w:t>%)</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06/02/2007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28/02/2007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23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1,09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5.373,54</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01/03/2007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31/03/2007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1,09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7.242,60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01/04/2007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30/04/2007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1,30</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8.359,32</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01/05/2007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31/05/2007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1,30</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8.637,97</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01/06/2007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30/06/2007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1,30</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8.359,32</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01/07/2007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31/07/2007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1,46</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9.701,10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01/08/2007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31/08/2007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1,46</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9.701,10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01/09/2007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30/09/2007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1,46</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9.388,16</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01/10/2007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31/10/2007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1,62</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10.764,24</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01/11/2007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30/11/2007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1,62</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10.417,00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01/12/2007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31/12/2007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1,62</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10.764,24</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01/01/2008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31/01/2008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1,66</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11.030,02</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01/02/2008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29/02/2008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29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1,66</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10.318,41</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01/03/2008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31/03/2008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1,66</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11.030,02</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01/04/2008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30/04/2008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1,67</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10.738,52</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01/05/2008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31/05/2008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1,67</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11.096,47</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01/06/2008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30/06/2008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1,67</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10.738,52</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01/07/2008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31/07/2008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1,64</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10.897,13</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01/08/2008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31/08/2008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1,64</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10.897,13</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01/09/2008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30/09/2008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1,64</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10.545,61</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01/10/2008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31/10/2008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1,60</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10.631,34</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01/11/2008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30/11/2008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1,60</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10.288,40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01/12/2008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31/12/2008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1,60</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10.631,34</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01/01/2009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31/01/2009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1,56</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10.365,56</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01/02/2009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28/02/2009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28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1,56</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9.362,44</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01/03/2009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31/03/2009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1,56</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10.365,56</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01/04/2009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30/04/2009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1,55</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9.966,89</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01/05/2009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31/05/2009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1,55</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10.299,12</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01/06/2009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30/06/2009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1,55</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9.966,89</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01/07/2009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31/07/2009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1,44</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9.568,21</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01/08/2009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31/08/2009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1,44</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9.568,21</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01/09/2009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30/09/2009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1,44</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9.259,56</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01/10/2009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31/10/2009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1,34</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8.903,75</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01/11/2009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30/11/2009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1,34</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8.616,53</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01/12/2009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31/12/2009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1,34</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8.903,75</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01/01/2010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31/01/2010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1,25</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8.305,74</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01/02/2010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28/02/2010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28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1,25</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7.501,96</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01/03/2010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31/03/2010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1,25</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8.305,74</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01/04/2010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30/04/2010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1,19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7.652,00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01/05/2010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31/05/2010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1,19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7.907,06</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01/06/2010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30/06/2010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1,19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7.652,00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01/07/2010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31/07/2010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1,17</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7.774,17</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01/08/2010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31/08/2010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1,17</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7.774,17</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01/09/2010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30/09/2010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1,17</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7.523,39</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01/10/2010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31/10/2010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1,11</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7.375,50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01/11/2010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30/11/2010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1,11</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7.137,58</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01/12/2010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31/12/2010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1,11</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7.375,50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01/01/2011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31/01/2011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1,22</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8.106,40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01/02/2011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28/02/2011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28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1,22</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7.321,91</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01/03/2011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31/03/2011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1,22</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8.106,40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01/04/2011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30/04/2011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1,37</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8.809,44</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01/05/2011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31/05/2011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1,37</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9.103,09</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01/06/2011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30/06/2011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1,37</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8.809,44</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01/07/2011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31/07/2011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1,43</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9.501,76</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01/08/2011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31/08/2011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1,43</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9.501,76</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01/09/2011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30/09/2011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1,43</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9.195,26</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01/10/2011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31/10/2011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9.900,44</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01/11/2011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30/11/2011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9.581,07</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01/12/2011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31/12/2011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9.900,44</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01/01/2012</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31/01/2012</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1,53</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10.166,22</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01/02/2012</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29/02/2012</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29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1,53</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9.510,34</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01/03/2012</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31/03/2012</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1,53</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10.166,22</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01/04/2012</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30/04/2012</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1,57</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10.095,49</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01/05/2012</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31/05/2012</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1,57</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10.432,01</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01/06/2012</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30/06/2012</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1,57</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10.095,49</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01/07/2012</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31/07/2012</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10.564,90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lastRenderedPageBreak/>
              <w:t>01/08/2012</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31/08/2012</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10.564,90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01/09/2012</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30/09/2012</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10.224,10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01/10/2012</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31/10/2012</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10.564,90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01/11/2012</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30/11/2012</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10.224,10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01/12/2012</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31/12/2012</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10.564,90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01/01/2013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31/01/2013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1,58</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10.498,45</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01/02/2013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28/02/2013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28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1,58</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9.482,47</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01/03/2013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31/03/2013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1,58</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10.498,45</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01/04/2013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30/04/2013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10.224,10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01/05/2013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31/05/2013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10.564,90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01/06/2013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30/06/2013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10.224,10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01/07/2013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31/07/2013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1,55</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10.299,12</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01/08/2013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31/08/2013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1,55</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10.299,12</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01/09/2013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30/09/2013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1,55</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9.966,89</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01/10/2013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31/10/2013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1,52</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10.099,78</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01/11/2013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30/11/2013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1,52</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9.773,98</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01/12/2013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31/12/2013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1,52</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10.099,78</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01/01/2014</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31/01/2014</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1,51</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10.033,33</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01/02/2014</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28/02/2014</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28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1,51</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9.062,36</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01/03/2014</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31/03/2014</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1,51</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10.033,33</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01/04/2014</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30/04/2014</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1,50</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9.645,37</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01/05/2014</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31/05/2014</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1,50</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9.966,89</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01/06/2014</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30/06/2014</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1,50</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9.645,37</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01/07/2014</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31/07/2014</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1,48</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9.833,99</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01/08/2014</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31/08/2014</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1,48</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9.833,99</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01/09/2014</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30/09/2014</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1,48</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9.516,77</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01/10/2014</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31/10/2014</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1,47</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9.767,55</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01/11/2014</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30/11/2014</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1,47</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9.452,47</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01/12/2014</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31/12/2014</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1,47</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9.767,55</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01/01/2015</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31/01/2015</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1,48</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9.833,99</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01/02/2015</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28/02/2015</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28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1,48</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8.882,32</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01/03/2015</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31/03/2015</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1,48</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9.833,99</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01/04/2015</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30/04/2015</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9.581,07</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01/05/2015</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31/05/2015</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9.900,44</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01/06/2015</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30/06/2015</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9.581,07</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01/07/2015</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31/07/2015</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1,48</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9.833,99</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01/08/2015</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31/08/2015</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1,48</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9.833,99</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01/09/2015</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30/09/2015</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1,48</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9.516,77</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01/10/2015</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31/10/2015</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1,48</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9.833,99</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01/11/2015</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30/11/2015</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1,48</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9.516,77</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01/12/2015</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31/12/2015</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1,48</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9.833,99</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01/01/2016</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31/01/2016</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1,51</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10.033,33</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01/02/2016</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29/02/2016</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29</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1,51</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9.386,02</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01/03/2016</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31/03/2016</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1,51</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10.033,33</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01/04/2016</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30/04/2016</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1,57</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10.095,49</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01/05/2016</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31/05/2016</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1,57</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10.432,01</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01/06/2016</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30/06/2016</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1,57</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10.095,49</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01/07/2016</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31/07/2016</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1,62</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10.764,24</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01/08/2016</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31/08/2016</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1,62</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10.764,24</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01/09/2016</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30/09/2016</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1,62</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10.417,00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01/10/2016</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31/10/2016</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1,67</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11.096,47</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01/11/2016</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30/11/2016</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1,67</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10.738,52</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01/12/2016</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31/12/2016</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1,67</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11.096,47</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01/01/2017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31/01/2017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11.229,36</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01/02/2017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28/02/2017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28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10.142,65</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01/03/2017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31/03/2017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11.229,36</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01/04/2017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30/04/2017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10.867,12</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01/05/2017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31/05/2017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11.229,36</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01/06/2017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30/06/2017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10.867,12</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01/07/2017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31/07/2017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1,67</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11.096,47</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01/08/2017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31/08/2017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1,67</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11.096,47</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01/09/2017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30/09/2017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1,63</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10.481,31</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01/10/2017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31/10/2017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1,61</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10.697,79</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01/11/2017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30/11/2017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1,60</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10.288,40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01/12/2017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31/12/2017</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1,59</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10.564,90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01/01/2018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31/01/2018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1,58</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10.498,45</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01/02/2018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28/02/2018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28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1,60</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9.602,50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01/03/2018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31/03/2018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1,58</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10.498,45</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01/04/2018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30/04/2018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1,56</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10.031,19</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01/05/2018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31/05/2018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31</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1,56</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10.365,56</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01/06/2018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30/06/2018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30</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1,55</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9.966,89</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01/07/2018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13/07/2018</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13</w:t>
            </w:r>
          </w:p>
        </w:tc>
        <w:tc>
          <w:tcPr>
            <w:tcW w:w="0" w:type="auto"/>
            <w:shd w:val="clear" w:color="auto" w:fill="auto"/>
            <w:noWrap/>
            <w:vAlign w:val="bottom"/>
            <w:hideMark/>
          </w:tcPr>
          <w:p w:rsidR="00B66FEA" w:rsidRPr="00B66FEA" w:rsidRDefault="00B66FEA" w:rsidP="00B66FEA">
            <w:pPr>
              <w:jc w:val="center"/>
              <w:rPr>
                <w:rFonts w:asciiTheme="minorHAnsi" w:hAnsiTheme="minorHAnsi"/>
                <w:color w:val="000000"/>
                <w:sz w:val="16"/>
                <w:szCs w:val="16"/>
              </w:rPr>
            </w:pPr>
            <w:r w:rsidRPr="00B66FEA">
              <w:rPr>
                <w:rFonts w:asciiTheme="minorHAnsi" w:hAnsiTheme="minorHAnsi"/>
                <w:color w:val="000000"/>
                <w:sz w:val="16"/>
                <w:szCs w:val="16"/>
              </w:rPr>
              <w:t>1,53</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4.263,25</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p>
        </w:tc>
        <w:tc>
          <w:tcPr>
            <w:tcW w:w="0" w:type="auto"/>
            <w:shd w:val="clear" w:color="auto" w:fill="auto"/>
            <w:noWrap/>
            <w:vAlign w:val="bottom"/>
            <w:hideMark/>
          </w:tcPr>
          <w:p w:rsidR="00B66FEA" w:rsidRPr="00B66FEA" w:rsidRDefault="00B66FEA" w:rsidP="00B66FEA">
            <w:pPr>
              <w:rPr>
                <w:rFonts w:asciiTheme="minorHAnsi" w:hAnsiTheme="minorHAnsi"/>
                <w:sz w:val="16"/>
                <w:szCs w:val="16"/>
              </w:rPr>
            </w:pPr>
          </w:p>
        </w:tc>
        <w:tc>
          <w:tcPr>
            <w:tcW w:w="0" w:type="auto"/>
            <w:shd w:val="clear" w:color="auto" w:fill="auto"/>
            <w:noWrap/>
            <w:vAlign w:val="bottom"/>
            <w:hideMark/>
          </w:tcPr>
          <w:p w:rsidR="00B66FEA" w:rsidRPr="00B66FEA" w:rsidRDefault="00B66FEA" w:rsidP="00B66FEA">
            <w:pPr>
              <w:rPr>
                <w:rFonts w:asciiTheme="minorHAnsi" w:hAnsiTheme="minorHAnsi" w:cs="Arial"/>
                <w:b/>
                <w:bCs/>
                <w:sz w:val="16"/>
                <w:szCs w:val="16"/>
              </w:rPr>
            </w:pPr>
            <w:r w:rsidRPr="00B66FEA">
              <w:rPr>
                <w:rFonts w:asciiTheme="minorHAnsi" w:hAnsiTheme="minorHAnsi" w:cs="Arial"/>
                <w:b/>
                <w:bCs/>
                <w:sz w:val="16"/>
                <w:szCs w:val="16"/>
              </w:rPr>
              <w:t>Total Intereses Corrientes</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1.340.535,38</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p>
        </w:tc>
        <w:tc>
          <w:tcPr>
            <w:tcW w:w="0" w:type="auto"/>
            <w:shd w:val="clear" w:color="auto" w:fill="auto"/>
            <w:noWrap/>
            <w:vAlign w:val="bottom"/>
            <w:hideMark/>
          </w:tcPr>
          <w:p w:rsidR="00B66FEA" w:rsidRPr="00B66FEA" w:rsidRDefault="00B66FEA" w:rsidP="00B66FEA">
            <w:pPr>
              <w:rPr>
                <w:rFonts w:asciiTheme="minorHAnsi" w:hAnsiTheme="minorHAnsi"/>
                <w:sz w:val="16"/>
                <w:szCs w:val="16"/>
              </w:rPr>
            </w:pPr>
          </w:p>
        </w:tc>
        <w:tc>
          <w:tcPr>
            <w:tcW w:w="0" w:type="auto"/>
            <w:shd w:val="clear" w:color="auto" w:fill="auto"/>
            <w:noWrap/>
            <w:vAlign w:val="bottom"/>
            <w:hideMark/>
          </w:tcPr>
          <w:p w:rsidR="00B66FEA" w:rsidRPr="00B66FEA" w:rsidRDefault="00B66FEA" w:rsidP="00B66FEA">
            <w:pPr>
              <w:rPr>
                <w:rFonts w:asciiTheme="minorHAnsi" w:hAnsiTheme="minorHAnsi" w:cs="Arial"/>
                <w:b/>
                <w:bCs/>
                <w:sz w:val="16"/>
                <w:szCs w:val="16"/>
              </w:rPr>
            </w:pPr>
            <w:r w:rsidRPr="00B66FEA">
              <w:rPr>
                <w:rFonts w:asciiTheme="minorHAnsi" w:hAnsiTheme="minorHAnsi" w:cs="Arial"/>
                <w:b/>
                <w:bCs/>
                <w:sz w:val="16"/>
                <w:szCs w:val="16"/>
              </w:rPr>
              <w:t>Subtotal</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1.983.560,25</w:t>
            </w:r>
          </w:p>
        </w:tc>
      </w:tr>
      <w:tr w:rsidR="00B66FEA" w:rsidRPr="00B66FEA" w:rsidTr="00B66FEA">
        <w:trPr>
          <w:trHeight w:val="19"/>
        </w:trPr>
        <w:tc>
          <w:tcPr>
            <w:tcW w:w="0" w:type="auto"/>
            <w:gridSpan w:val="3"/>
            <w:shd w:val="clear" w:color="auto" w:fill="auto"/>
            <w:noWrap/>
            <w:vAlign w:val="bottom"/>
            <w:hideMark/>
          </w:tcPr>
          <w:p w:rsidR="00B66FEA" w:rsidRPr="00B66FEA" w:rsidRDefault="00B66FEA" w:rsidP="00B66FEA">
            <w:pPr>
              <w:rPr>
                <w:rFonts w:asciiTheme="minorHAnsi" w:hAnsiTheme="minorHAnsi" w:cs="Arial"/>
                <w:b/>
                <w:bCs/>
                <w:sz w:val="16"/>
                <w:szCs w:val="16"/>
              </w:rPr>
            </w:pPr>
            <w:r w:rsidRPr="00B66FEA">
              <w:rPr>
                <w:rFonts w:asciiTheme="minorHAnsi" w:hAnsiTheme="minorHAnsi" w:cs="Arial"/>
                <w:b/>
                <w:bCs/>
                <w:sz w:val="16"/>
                <w:szCs w:val="16"/>
              </w:rPr>
              <w:t>Intereses de Mora sobre el Capital Inicial</w:t>
            </w:r>
          </w:p>
        </w:tc>
        <w:tc>
          <w:tcPr>
            <w:tcW w:w="0" w:type="auto"/>
            <w:shd w:val="clear" w:color="auto" w:fill="auto"/>
            <w:noWrap/>
            <w:vAlign w:val="bottom"/>
            <w:hideMark/>
          </w:tcPr>
          <w:p w:rsidR="00B66FEA" w:rsidRPr="00B66FEA" w:rsidRDefault="00B66FEA" w:rsidP="00B66FEA">
            <w:pPr>
              <w:rPr>
                <w:rFonts w:asciiTheme="minorHAnsi" w:hAnsiTheme="minorHAnsi" w:cs="Arial"/>
                <w:b/>
                <w:bCs/>
                <w:sz w:val="16"/>
                <w:szCs w:val="16"/>
              </w:rPr>
            </w:pP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CAPITAL</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p>
        </w:tc>
        <w:tc>
          <w:tcPr>
            <w:tcW w:w="0" w:type="auto"/>
            <w:shd w:val="clear" w:color="auto" w:fill="auto"/>
            <w:noWrap/>
            <w:vAlign w:val="bottom"/>
            <w:hideMark/>
          </w:tcPr>
          <w:p w:rsidR="00B66FEA" w:rsidRPr="00B66FEA" w:rsidRDefault="00B66FEA" w:rsidP="00B66FEA">
            <w:pPr>
              <w:rPr>
                <w:rFonts w:asciiTheme="minorHAnsi" w:hAnsiTheme="minorHAnsi"/>
                <w:sz w:val="16"/>
                <w:szCs w:val="16"/>
              </w:rPr>
            </w:pPr>
          </w:p>
        </w:tc>
        <w:tc>
          <w:tcPr>
            <w:tcW w:w="0" w:type="auto"/>
            <w:shd w:val="clear" w:color="auto" w:fill="auto"/>
            <w:noWrap/>
            <w:vAlign w:val="bottom"/>
            <w:hideMark/>
          </w:tcPr>
          <w:p w:rsidR="00B66FEA" w:rsidRPr="00B66FEA" w:rsidRDefault="00B66FEA" w:rsidP="00B66FEA">
            <w:pPr>
              <w:rPr>
                <w:rFonts w:asciiTheme="minorHAnsi" w:hAnsiTheme="minorHAnsi"/>
                <w:sz w:val="16"/>
                <w:szCs w:val="16"/>
              </w:rPr>
            </w:pP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643.024,87</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p>
        </w:tc>
        <w:tc>
          <w:tcPr>
            <w:tcW w:w="0" w:type="auto"/>
            <w:shd w:val="clear" w:color="auto" w:fill="auto"/>
            <w:noWrap/>
            <w:vAlign w:val="bottom"/>
            <w:hideMark/>
          </w:tcPr>
          <w:p w:rsidR="00B66FEA" w:rsidRPr="00B66FEA" w:rsidRDefault="00B66FEA" w:rsidP="00B66FEA">
            <w:pPr>
              <w:rPr>
                <w:rFonts w:asciiTheme="minorHAnsi" w:hAnsiTheme="minorHAnsi"/>
                <w:sz w:val="16"/>
                <w:szCs w:val="16"/>
              </w:rPr>
            </w:pPr>
          </w:p>
        </w:tc>
        <w:tc>
          <w:tcPr>
            <w:tcW w:w="0" w:type="auto"/>
            <w:shd w:val="clear" w:color="auto" w:fill="auto"/>
            <w:noWrap/>
            <w:vAlign w:val="bottom"/>
            <w:hideMark/>
          </w:tcPr>
          <w:p w:rsidR="00B66FEA" w:rsidRPr="00B66FEA" w:rsidRDefault="00B66FEA" w:rsidP="00B66FEA">
            <w:pPr>
              <w:rPr>
                <w:rFonts w:asciiTheme="minorHAnsi" w:hAnsiTheme="minorHAnsi"/>
                <w:sz w:val="16"/>
                <w:szCs w:val="16"/>
              </w:rPr>
            </w:pP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lastRenderedPageBreak/>
              <w:t> </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p>
        </w:tc>
        <w:tc>
          <w:tcPr>
            <w:tcW w:w="0" w:type="auto"/>
            <w:shd w:val="clear" w:color="auto" w:fill="auto"/>
            <w:noWrap/>
            <w:vAlign w:val="bottom"/>
            <w:hideMark/>
          </w:tcPr>
          <w:p w:rsidR="00B66FEA" w:rsidRPr="00B66FEA" w:rsidRDefault="00B66FEA" w:rsidP="00B66FEA">
            <w:pPr>
              <w:rPr>
                <w:rFonts w:asciiTheme="minorHAnsi" w:hAnsiTheme="minorHAnsi"/>
                <w:sz w:val="16"/>
                <w:szCs w:val="16"/>
              </w:rPr>
            </w:pPr>
          </w:p>
        </w:tc>
        <w:tc>
          <w:tcPr>
            <w:tcW w:w="0" w:type="auto"/>
            <w:shd w:val="clear" w:color="auto" w:fill="auto"/>
            <w:noWrap/>
            <w:vAlign w:val="bottom"/>
            <w:hideMark/>
          </w:tcPr>
          <w:p w:rsidR="00B66FEA" w:rsidRPr="00B66FEA" w:rsidRDefault="00B66FEA" w:rsidP="00B66FEA">
            <w:pPr>
              <w:rPr>
                <w:rFonts w:asciiTheme="minorHAnsi" w:hAnsiTheme="minorHAnsi" w:cs="Arial"/>
                <w:b/>
                <w:bCs/>
                <w:sz w:val="16"/>
                <w:szCs w:val="16"/>
              </w:rPr>
            </w:pPr>
            <w:r w:rsidRPr="00B66FEA">
              <w:rPr>
                <w:rFonts w:asciiTheme="minorHAnsi" w:hAnsiTheme="minorHAnsi" w:cs="Arial"/>
                <w:b/>
                <w:bCs/>
                <w:sz w:val="16"/>
                <w:szCs w:val="16"/>
              </w:rPr>
              <w:t>Total Intereses de Mora</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0,00</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p>
        </w:tc>
        <w:tc>
          <w:tcPr>
            <w:tcW w:w="0" w:type="auto"/>
            <w:shd w:val="clear" w:color="auto" w:fill="auto"/>
            <w:noWrap/>
            <w:vAlign w:val="bottom"/>
            <w:hideMark/>
          </w:tcPr>
          <w:p w:rsidR="00B66FEA" w:rsidRPr="00B66FEA" w:rsidRDefault="00B66FEA" w:rsidP="00B66FEA">
            <w:pPr>
              <w:rPr>
                <w:rFonts w:asciiTheme="minorHAnsi" w:hAnsiTheme="minorHAnsi"/>
                <w:sz w:val="16"/>
                <w:szCs w:val="16"/>
              </w:rPr>
            </w:pPr>
          </w:p>
        </w:tc>
        <w:tc>
          <w:tcPr>
            <w:tcW w:w="0" w:type="auto"/>
            <w:shd w:val="clear" w:color="auto" w:fill="auto"/>
            <w:noWrap/>
            <w:vAlign w:val="bottom"/>
            <w:hideMark/>
          </w:tcPr>
          <w:p w:rsidR="00B66FEA" w:rsidRPr="00B66FEA" w:rsidRDefault="00B66FEA" w:rsidP="00B66FEA">
            <w:pPr>
              <w:rPr>
                <w:rFonts w:asciiTheme="minorHAnsi" w:hAnsiTheme="minorHAnsi" w:cs="Arial"/>
                <w:b/>
                <w:bCs/>
                <w:sz w:val="16"/>
                <w:szCs w:val="16"/>
              </w:rPr>
            </w:pPr>
            <w:r w:rsidRPr="00B66FEA">
              <w:rPr>
                <w:rFonts w:asciiTheme="minorHAnsi" w:hAnsiTheme="minorHAnsi" w:cs="Arial"/>
                <w:b/>
                <w:bCs/>
                <w:sz w:val="16"/>
                <w:szCs w:val="16"/>
              </w:rPr>
              <w:t>TOTAL</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1.983.560,25</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p>
        </w:tc>
        <w:tc>
          <w:tcPr>
            <w:tcW w:w="0" w:type="auto"/>
            <w:shd w:val="clear" w:color="auto" w:fill="auto"/>
            <w:noWrap/>
            <w:vAlign w:val="bottom"/>
            <w:hideMark/>
          </w:tcPr>
          <w:p w:rsidR="00B66FEA" w:rsidRPr="00B66FEA" w:rsidRDefault="00B66FEA" w:rsidP="00B66FEA">
            <w:pPr>
              <w:rPr>
                <w:rFonts w:asciiTheme="minorHAnsi" w:hAnsiTheme="minorHAnsi"/>
                <w:sz w:val="16"/>
                <w:szCs w:val="16"/>
              </w:rPr>
            </w:pPr>
          </w:p>
        </w:tc>
        <w:tc>
          <w:tcPr>
            <w:tcW w:w="0" w:type="auto"/>
            <w:shd w:val="clear" w:color="auto" w:fill="auto"/>
            <w:noWrap/>
            <w:vAlign w:val="bottom"/>
            <w:hideMark/>
          </w:tcPr>
          <w:p w:rsidR="00B66FEA" w:rsidRPr="00B66FEA" w:rsidRDefault="00B66FEA" w:rsidP="00B66FEA">
            <w:pPr>
              <w:rPr>
                <w:rFonts w:asciiTheme="minorHAnsi" w:hAnsiTheme="minorHAnsi"/>
                <w:sz w:val="16"/>
                <w:szCs w:val="16"/>
              </w:rPr>
            </w:pP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w:t>
            </w:r>
          </w:p>
        </w:tc>
        <w:tc>
          <w:tcPr>
            <w:tcW w:w="0" w:type="auto"/>
            <w:gridSpan w:val="3"/>
            <w:shd w:val="clear" w:color="auto" w:fill="auto"/>
            <w:noWrap/>
            <w:vAlign w:val="bottom"/>
            <w:hideMark/>
          </w:tcPr>
          <w:p w:rsidR="00B66FEA" w:rsidRPr="00B66FEA" w:rsidRDefault="00B66FEA" w:rsidP="00B66FEA">
            <w:pPr>
              <w:jc w:val="center"/>
              <w:rPr>
                <w:rFonts w:asciiTheme="minorHAnsi" w:hAnsiTheme="minorHAnsi" w:cs="Arial"/>
                <w:b/>
                <w:bCs/>
                <w:sz w:val="16"/>
                <w:szCs w:val="16"/>
              </w:rPr>
            </w:pPr>
            <w:r w:rsidRPr="00B66FEA">
              <w:rPr>
                <w:rFonts w:asciiTheme="minorHAnsi" w:hAnsiTheme="minorHAnsi" w:cs="Arial"/>
                <w:b/>
                <w:bCs/>
                <w:sz w:val="16"/>
                <w:szCs w:val="16"/>
              </w:rPr>
              <w:t>RESUMEN DE LA LIQUIDACIÓN DEL CRÈDITO</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p>
        </w:tc>
        <w:tc>
          <w:tcPr>
            <w:tcW w:w="0" w:type="auto"/>
            <w:shd w:val="clear" w:color="auto" w:fill="auto"/>
            <w:noWrap/>
            <w:vAlign w:val="bottom"/>
            <w:hideMark/>
          </w:tcPr>
          <w:p w:rsidR="00B66FEA" w:rsidRPr="00B66FEA" w:rsidRDefault="00B66FEA" w:rsidP="00B66FEA">
            <w:pPr>
              <w:rPr>
                <w:rFonts w:asciiTheme="minorHAnsi" w:hAnsiTheme="minorHAnsi"/>
                <w:sz w:val="16"/>
                <w:szCs w:val="16"/>
              </w:rPr>
            </w:pPr>
          </w:p>
        </w:tc>
        <w:tc>
          <w:tcPr>
            <w:tcW w:w="0" w:type="auto"/>
            <w:shd w:val="clear" w:color="auto" w:fill="auto"/>
            <w:noWrap/>
            <w:vAlign w:val="bottom"/>
            <w:hideMark/>
          </w:tcPr>
          <w:p w:rsidR="00B66FEA" w:rsidRPr="00B66FEA" w:rsidRDefault="00B66FEA" w:rsidP="00B66FEA">
            <w:pPr>
              <w:rPr>
                <w:rFonts w:asciiTheme="minorHAnsi" w:hAnsiTheme="minorHAnsi"/>
                <w:sz w:val="16"/>
                <w:szCs w:val="16"/>
              </w:rPr>
            </w:pP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w:t>
            </w:r>
          </w:p>
        </w:tc>
        <w:tc>
          <w:tcPr>
            <w:tcW w:w="0" w:type="auto"/>
            <w:gridSpan w:val="2"/>
            <w:shd w:val="clear" w:color="auto" w:fill="auto"/>
            <w:noWrap/>
            <w:vAlign w:val="bottom"/>
            <w:hideMark/>
          </w:tcPr>
          <w:p w:rsidR="00B66FEA" w:rsidRPr="00B66FEA" w:rsidRDefault="00B66FEA" w:rsidP="00B66FEA">
            <w:pPr>
              <w:jc w:val="center"/>
              <w:rPr>
                <w:rFonts w:asciiTheme="minorHAnsi" w:hAnsiTheme="minorHAnsi" w:cs="Arial"/>
                <w:b/>
                <w:bCs/>
                <w:sz w:val="16"/>
                <w:szCs w:val="16"/>
              </w:rPr>
            </w:pPr>
            <w:r w:rsidRPr="00B66FEA">
              <w:rPr>
                <w:rFonts w:asciiTheme="minorHAnsi" w:hAnsiTheme="minorHAnsi" w:cs="Arial"/>
                <w:b/>
                <w:bCs/>
                <w:sz w:val="16"/>
                <w:szCs w:val="16"/>
              </w:rPr>
              <w:t>Capital</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643.024,87</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w:t>
            </w:r>
          </w:p>
        </w:tc>
        <w:tc>
          <w:tcPr>
            <w:tcW w:w="0" w:type="auto"/>
            <w:gridSpan w:val="2"/>
            <w:shd w:val="clear" w:color="auto" w:fill="auto"/>
            <w:noWrap/>
            <w:vAlign w:val="bottom"/>
            <w:hideMark/>
          </w:tcPr>
          <w:p w:rsidR="00B66FEA" w:rsidRPr="00B66FEA" w:rsidRDefault="00B66FEA" w:rsidP="00B66FEA">
            <w:pPr>
              <w:jc w:val="center"/>
              <w:rPr>
                <w:rFonts w:asciiTheme="minorHAnsi" w:hAnsiTheme="minorHAnsi" w:cs="Arial"/>
                <w:b/>
                <w:bCs/>
                <w:sz w:val="16"/>
                <w:szCs w:val="16"/>
              </w:rPr>
            </w:pPr>
            <w:r w:rsidRPr="00B66FEA">
              <w:rPr>
                <w:rFonts w:asciiTheme="minorHAnsi" w:hAnsiTheme="minorHAnsi" w:cs="Arial"/>
                <w:b/>
                <w:bCs/>
                <w:sz w:val="16"/>
                <w:szCs w:val="16"/>
              </w:rPr>
              <w:t xml:space="preserve">Total Intereses Corrientes (+) </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1.340.535,38</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w:t>
            </w:r>
          </w:p>
        </w:tc>
      </w:tr>
      <w:tr w:rsidR="00B66FEA" w:rsidRPr="00B66FEA" w:rsidTr="00B66FEA">
        <w:trPr>
          <w:trHeight w:val="19"/>
        </w:trPr>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w:t>
            </w:r>
          </w:p>
        </w:tc>
        <w:tc>
          <w:tcPr>
            <w:tcW w:w="0" w:type="auto"/>
            <w:gridSpan w:val="2"/>
            <w:shd w:val="clear" w:color="auto" w:fill="auto"/>
            <w:noWrap/>
            <w:vAlign w:val="bottom"/>
            <w:hideMark/>
          </w:tcPr>
          <w:p w:rsidR="00B66FEA" w:rsidRPr="00B66FEA" w:rsidRDefault="00B66FEA" w:rsidP="00B66FEA">
            <w:pPr>
              <w:jc w:val="center"/>
              <w:rPr>
                <w:rFonts w:asciiTheme="minorHAnsi" w:hAnsiTheme="minorHAnsi" w:cs="Arial"/>
                <w:b/>
                <w:bCs/>
                <w:sz w:val="16"/>
                <w:szCs w:val="16"/>
              </w:rPr>
            </w:pPr>
            <w:r w:rsidRPr="00B66FEA">
              <w:rPr>
                <w:rFonts w:asciiTheme="minorHAnsi" w:hAnsiTheme="minorHAnsi" w:cs="Arial"/>
                <w:b/>
                <w:bCs/>
                <w:sz w:val="16"/>
                <w:szCs w:val="16"/>
              </w:rPr>
              <w:t>GRAN TOTAL OBLIGACIÓN</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1.983.560,25</w:t>
            </w:r>
          </w:p>
        </w:tc>
        <w:tc>
          <w:tcPr>
            <w:tcW w:w="0" w:type="auto"/>
            <w:shd w:val="clear" w:color="auto" w:fill="auto"/>
            <w:noWrap/>
            <w:vAlign w:val="bottom"/>
            <w:hideMark/>
          </w:tcPr>
          <w:p w:rsidR="00B66FEA" w:rsidRPr="00B66FEA" w:rsidRDefault="00B66FEA" w:rsidP="00B66FEA">
            <w:pPr>
              <w:rPr>
                <w:rFonts w:asciiTheme="minorHAnsi" w:hAnsiTheme="minorHAnsi"/>
                <w:color w:val="000000"/>
                <w:sz w:val="16"/>
                <w:szCs w:val="16"/>
              </w:rPr>
            </w:pPr>
            <w:r w:rsidRPr="00B66FEA">
              <w:rPr>
                <w:rFonts w:asciiTheme="minorHAnsi" w:hAnsiTheme="minorHAnsi"/>
                <w:color w:val="000000"/>
                <w:sz w:val="16"/>
                <w:szCs w:val="16"/>
              </w:rPr>
              <w:t> </w:t>
            </w:r>
          </w:p>
        </w:tc>
      </w:tr>
    </w:tbl>
    <w:p w:rsidR="00B66FEA" w:rsidRDefault="00B66FEA" w:rsidP="00B66FEA">
      <w:pPr>
        <w:widowControl w:val="0"/>
        <w:autoSpaceDE w:val="0"/>
        <w:autoSpaceDN w:val="0"/>
        <w:adjustRightInd w:val="0"/>
        <w:spacing w:line="276" w:lineRule="auto"/>
        <w:jc w:val="both"/>
        <w:rPr>
          <w:rFonts w:ascii="Tahoma" w:hAnsi="Tahoma" w:cs="Tahoma"/>
          <w:b/>
          <w:sz w:val="22"/>
          <w:szCs w:val="22"/>
        </w:rPr>
      </w:pPr>
    </w:p>
    <w:sectPr w:rsidR="00B66FEA" w:rsidSect="00B66FEA">
      <w:headerReference w:type="even" r:id="rId8"/>
      <w:headerReference w:type="default" r:id="rId9"/>
      <w:pgSz w:w="12242" w:h="18722" w:code="14"/>
      <w:pgMar w:top="1418" w:right="1134" w:bottom="1418" w:left="1701" w:header="851" w:footer="624"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A05" w:rsidRDefault="00860A05">
      <w:r>
        <w:separator/>
      </w:r>
    </w:p>
  </w:endnote>
  <w:endnote w:type="continuationSeparator" w:id="0">
    <w:p w:rsidR="00860A05" w:rsidRDefault="0086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A05" w:rsidRDefault="00860A05">
      <w:r>
        <w:separator/>
      </w:r>
    </w:p>
  </w:footnote>
  <w:footnote w:type="continuationSeparator" w:id="0">
    <w:p w:rsidR="00860A05" w:rsidRDefault="00860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AB0" w:rsidRDefault="00037AB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37AB0" w:rsidRDefault="00037A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AB0" w:rsidRDefault="00037AB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25515">
      <w:rPr>
        <w:rStyle w:val="Nmerodepgina"/>
        <w:noProof/>
      </w:rPr>
      <w:t>7</w:t>
    </w:r>
    <w:r>
      <w:rPr>
        <w:rStyle w:val="Nmerodepgina"/>
      </w:rPr>
      <w:fldChar w:fldCharType="end"/>
    </w:r>
  </w:p>
  <w:p w:rsidR="00037AB0" w:rsidRPr="005A36C8" w:rsidRDefault="00037AB0" w:rsidP="00B66FEA">
    <w:pPr>
      <w:pStyle w:val="Encabezado"/>
      <w:rPr>
        <w:rFonts w:ascii="Arial Narrow" w:hAnsi="Arial Narrow"/>
        <w:i/>
        <w:sz w:val="12"/>
        <w:szCs w:val="12"/>
      </w:rPr>
    </w:pPr>
    <w:r w:rsidRPr="005A36C8">
      <w:rPr>
        <w:rFonts w:ascii="Arial Narrow" w:hAnsi="Arial Narrow"/>
        <w:i/>
        <w:sz w:val="12"/>
        <w:szCs w:val="12"/>
      </w:rPr>
      <w:t>Radicado No. 66001-31-05-</w:t>
    </w:r>
    <w:r>
      <w:rPr>
        <w:rFonts w:ascii="Arial Narrow" w:hAnsi="Arial Narrow"/>
        <w:i/>
        <w:sz w:val="12"/>
        <w:szCs w:val="12"/>
      </w:rPr>
      <w:t>005-2014-00152-02</w:t>
    </w:r>
  </w:p>
  <w:p w:rsidR="00037AB0" w:rsidRPr="005A36C8" w:rsidRDefault="00037AB0" w:rsidP="00B66FEA">
    <w:pPr>
      <w:pStyle w:val="Encabezado"/>
      <w:rPr>
        <w:rFonts w:ascii="Arial Narrow" w:hAnsi="Arial Narrow"/>
        <w:i/>
        <w:sz w:val="12"/>
        <w:szCs w:val="12"/>
      </w:rPr>
    </w:pPr>
    <w:r w:rsidRPr="005A36C8">
      <w:rPr>
        <w:rFonts w:ascii="Arial Narrow" w:hAnsi="Arial Narrow"/>
        <w:i/>
        <w:sz w:val="12"/>
        <w:szCs w:val="12"/>
      </w:rPr>
      <w:t xml:space="preserve">Demandantes: </w:t>
    </w:r>
    <w:r>
      <w:rPr>
        <w:rFonts w:ascii="Arial Narrow" w:hAnsi="Arial Narrow"/>
        <w:i/>
        <w:sz w:val="12"/>
        <w:szCs w:val="12"/>
      </w:rPr>
      <w:t>BLANCA LUZ RAIGOZA DE LONDOÑOS</w:t>
    </w:r>
  </w:p>
  <w:p w:rsidR="00037AB0" w:rsidRPr="005A36C8" w:rsidRDefault="00037AB0" w:rsidP="00B66FEA">
    <w:pPr>
      <w:pStyle w:val="Encabezado"/>
      <w:rPr>
        <w:rFonts w:ascii="Arial Narrow" w:hAnsi="Arial Narrow"/>
        <w:i/>
        <w:sz w:val="12"/>
        <w:szCs w:val="12"/>
      </w:rPr>
    </w:pPr>
    <w:r w:rsidRPr="005A36C8">
      <w:rPr>
        <w:rFonts w:ascii="Arial Narrow" w:hAnsi="Arial Narrow"/>
        <w:i/>
        <w:sz w:val="12"/>
        <w:szCs w:val="12"/>
      </w:rPr>
      <w:t>Demandada: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2D11B8"/>
    <w:multiLevelType w:val="hybridMultilevel"/>
    <w:tmpl w:val="F9D86C26"/>
    <w:lvl w:ilvl="0" w:tplc="875AF63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0B0D05"/>
    <w:multiLevelType w:val="hybridMultilevel"/>
    <w:tmpl w:val="5EAED02C"/>
    <w:lvl w:ilvl="0" w:tplc="A9AEEDB2">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0">
    <w:nsid w:val="52E151C0"/>
    <w:multiLevelType w:val="hybridMultilevel"/>
    <w:tmpl w:val="FF82A67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nsid w:val="55D817FF"/>
    <w:multiLevelType w:val="hybridMultilevel"/>
    <w:tmpl w:val="7B3E73A4"/>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1E96F88"/>
    <w:multiLevelType w:val="hybridMultilevel"/>
    <w:tmpl w:val="62084564"/>
    <w:lvl w:ilvl="0" w:tplc="7A381A1A">
      <w:start w:val="1"/>
      <w:numFmt w:val="upperRoman"/>
      <w:lvlText w:val="%1."/>
      <w:lvlJc w:val="left"/>
      <w:pPr>
        <w:tabs>
          <w:tab w:val="num" w:pos="1080"/>
        </w:tabs>
        <w:ind w:left="1080" w:hanging="720"/>
      </w:pPr>
      <w:rPr>
        <w:rFonts w:hint="default"/>
      </w:rPr>
    </w:lvl>
    <w:lvl w:ilvl="1" w:tplc="9D76521A">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0275FAA"/>
    <w:multiLevelType w:val="hybridMultilevel"/>
    <w:tmpl w:val="7ACC403C"/>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7710CE0"/>
    <w:multiLevelType w:val="hybridMultilevel"/>
    <w:tmpl w:val="27FAF6FC"/>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nsid w:val="7EFD7B36"/>
    <w:multiLevelType w:val="hybridMultilevel"/>
    <w:tmpl w:val="50043384"/>
    <w:lvl w:ilvl="0" w:tplc="DD8026BC">
      <w:start w:val="1"/>
      <w:numFmt w:val="lowerLetter"/>
      <w:lvlText w:val="%1)"/>
      <w:lvlJc w:val="left"/>
      <w:pPr>
        <w:ind w:left="1065" w:hanging="360"/>
      </w:pPr>
      <w:rPr>
        <w:rFonts w:hint="default"/>
        <w:b/>
        <w:u w:val="single"/>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2"/>
  </w:num>
  <w:num w:numId="2">
    <w:abstractNumId w:val="7"/>
  </w:num>
  <w:num w:numId="3">
    <w:abstractNumId w:val="4"/>
  </w:num>
  <w:num w:numId="4">
    <w:abstractNumId w:val="3"/>
  </w:num>
  <w:num w:numId="5">
    <w:abstractNumId w:val="2"/>
  </w:num>
  <w:num w:numId="6">
    <w:abstractNumId w:val="1"/>
  </w:num>
  <w:num w:numId="7">
    <w:abstractNumId w:val="9"/>
  </w:num>
  <w:num w:numId="8">
    <w:abstractNumId w:val="0"/>
  </w:num>
  <w:num w:numId="9">
    <w:abstractNumId w:val="5"/>
  </w:num>
  <w:num w:numId="10">
    <w:abstractNumId w:val="15"/>
  </w:num>
  <w:num w:numId="11">
    <w:abstractNumId w:val="8"/>
  </w:num>
  <w:num w:numId="12">
    <w:abstractNumId w:val="13"/>
  </w:num>
  <w:num w:numId="13">
    <w:abstractNumId w:val="11"/>
  </w:num>
  <w:num w:numId="14">
    <w:abstractNumId w:val="6"/>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2D45"/>
    <w:rsid w:val="000030F1"/>
    <w:rsid w:val="000032D6"/>
    <w:rsid w:val="00004102"/>
    <w:rsid w:val="0000503A"/>
    <w:rsid w:val="000114CC"/>
    <w:rsid w:val="00013F08"/>
    <w:rsid w:val="000179E3"/>
    <w:rsid w:val="00023947"/>
    <w:rsid w:val="000239ED"/>
    <w:rsid w:val="00024695"/>
    <w:rsid w:val="0002731B"/>
    <w:rsid w:val="000326B7"/>
    <w:rsid w:val="00036047"/>
    <w:rsid w:val="00036B66"/>
    <w:rsid w:val="00037AB0"/>
    <w:rsid w:val="000401A3"/>
    <w:rsid w:val="000406C1"/>
    <w:rsid w:val="00040B5F"/>
    <w:rsid w:val="00041390"/>
    <w:rsid w:val="00041EDC"/>
    <w:rsid w:val="00043D77"/>
    <w:rsid w:val="00044B1D"/>
    <w:rsid w:val="00045FF9"/>
    <w:rsid w:val="00051F1C"/>
    <w:rsid w:val="00053620"/>
    <w:rsid w:val="0005497C"/>
    <w:rsid w:val="00060E57"/>
    <w:rsid w:val="000625CB"/>
    <w:rsid w:val="000637C3"/>
    <w:rsid w:val="00064356"/>
    <w:rsid w:val="000676D1"/>
    <w:rsid w:val="000679CB"/>
    <w:rsid w:val="0007044A"/>
    <w:rsid w:val="00074C56"/>
    <w:rsid w:val="00074CB2"/>
    <w:rsid w:val="0007611A"/>
    <w:rsid w:val="000810C6"/>
    <w:rsid w:val="0008307B"/>
    <w:rsid w:val="0008392D"/>
    <w:rsid w:val="00085480"/>
    <w:rsid w:val="00085891"/>
    <w:rsid w:val="00086A59"/>
    <w:rsid w:val="00093A10"/>
    <w:rsid w:val="000940AB"/>
    <w:rsid w:val="00096BF3"/>
    <w:rsid w:val="000A06D2"/>
    <w:rsid w:val="000A0BC0"/>
    <w:rsid w:val="000A2294"/>
    <w:rsid w:val="000A2D16"/>
    <w:rsid w:val="000A5ACC"/>
    <w:rsid w:val="000B16B9"/>
    <w:rsid w:val="000B33D6"/>
    <w:rsid w:val="000B34E6"/>
    <w:rsid w:val="000B528C"/>
    <w:rsid w:val="000B66D1"/>
    <w:rsid w:val="000C2DE8"/>
    <w:rsid w:val="000C324A"/>
    <w:rsid w:val="000D03E8"/>
    <w:rsid w:val="000D04E1"/>
    <w:rsid w:val="000D0F0C"/>
    <w:rsid w:val="000D1161"/>
    <w:rsid w:val="000D60A5"/>
    <w:rsid w:val="000E5530"/>
    <w:rsid w:val="000E5B32"/>
    <w:rsid w:val="000F0121"/>
    <w:rsid w:val="000F0E9B"/>
    <w:rsid w:val="000F17CF"/>
    <w:rsid w:val="000F35BF"/>
    <w:rsid w:val="000F39DC"/>
    <w:rsid w:val="000F50CF"/>
    <w:rsid w:val="000F5112"/>
    <w:rsid w:val="000F6C20"/>
    <w:rsid w:val="0010398C"/>
    <w:rsid w:val="0010649B"/>
    <w:rsid w:val="00112816"/>
    <w:rsid w:val="0011296D"/>
    <w:rsid w:val="00113859"/>
    <w:rsid w:val="00113D50"/>
    <w:rsid w:val="00114110"/>
    <w:rsid w:val="00114C98"/>
    <w:rsid w:val="00120040"/>
    <w:rsid w:val="00120781"/>
    <w:rsid w:val="00120F3B"/>
    <w:rsid w:val="00123645"/>
    <w:rsid w:val="001273CF"/>
    <w:rsid w:val="00135133"/>
    <w:rsid w:val="00137A8B"/>
    <w:rsid w:val="001416F6"/>
    <w:rsid w:val="0014311D"/>
    <w:rsid w:val="00143467"/>
    <w:rsid w:val="001438EE"/>
    <w:rsid w:val="00144AEE"/>
    <w:rsid w:val="00145295"/>
    <w:rsid w:val="00150439"/>
    <w:rsid w:val="0015185A"/>
    <w:rsid w:val="00153B85"/>
    <w:rsid w:val="001563E0"/>
    <w:rsid w:val="00156807"/>
    <w:rsid w:val="00160EE6"/>
    <w:rsid w:val="00164B87"/>
    <w:rsid w:val="00165F01"/>
    <w:rsid w:val="001669F1"/>
    <w:rsid w:val="00167549"/>
    <w:rsid w:val="00170ADE"/>
    <w:rsid w:val="00170E34"/>
    <w:rsid w:val="0017202B"/>
    <w:rsid w:val="001722DB"/>
    <w:rsid w:val="00173416"/>
    <w:rsid w:val="0017389E"/>
    <w:rsid w:val="00177192"/>
    <w:rsid w:val="00180701"/>
    <w:rsid w:val="00180AA1"/>
    <w:rsid w:val="00182A53"/>
    <w:rsid w:val="00182B8A"/>
    <w:rsid w:val="0018506B"/>
    <w:rsid w:val="001866BB"/>
    <w:rsid w:val="0018723F"/>
    <w:rsid w:val="00187FA4"/>
    <w:rsid w:val="00190095"/>
    <w:rsid w:val="001905D5"/>
    <w:rsid w:val="00195396"/>
    <w:rsid w:val="00195991"/>
    <w:rsid w:val="001A40A6"/>
    <w:rsid w:val="001B0678"/>
    <w:rsid w:val="001B1CEC"/>
    <w:rsid w:val="001B2D98"/>
    <w:rsid w:val="001B6117"/>
    <w:rsid w:val="001C19A7"/>
    <w:rsid w:val="001C3849"/>
    <w:rsid w:val="001C4199"/>
    <w:rsid w:val="001C649D"/>
    <w:rsid w:val="001D21EA"/>
    <w:rsid w:val="001D25B8"/>
    <w:rsid w:val="001D385F"/>
    <w:rsid w:val="001D59EE"/>
    <w:rsid w:val="001D6842"/>
    <w:rsid w:val="001D7243"/>
    <w:rsid w:val="001E20ED"/>
    <w:rsid w:val="001E4ABF"/>
    <w:rsid w:val="001E78D4"/>
    <w:rsid w:val="001F0587"/>
    <w:rsid w:val="001F0950"/>
    <w:rsid w:val="001F3236"/>
    <w:rsid w:val="001F4419"/>
    <w:rsid w:val="001F5F54"/>
    <w:rsid w:val="001F658A"/>
    <w:rsid w:val="001F75DB"/>
    <w:rsid w:val="0020058F"/>
    <w:rsid w:val="0020402E"/>
    <w:rsid w:val="00204993"/>
    <w:rsid w:val="0021004F"/>
    <w:rsid w:val="00214593"/>
    <w:rsid w:val="00215037"/>
    <w:rsid w:val="00216556"/>
    <w:rsid w:val="0022029F"/>
    <w:rsid w:val="00224952"/>
    <w:rsid w:val="002310E6"/>
    <w:rsid w:val="002343D3"/>
    <w:rsid w:val="002412C3"/>
    <w:rsid w:val="00241B68"/>
    <w:rsid w:val="00242965"/>
    <w:rsid w:val="0024458E"/>
    <w:rsid w:val="00245D03"/>
    <w:rsid w:val="002475D1"/>
    <w:rsid w:val="00251A6B"/>
    <w:rsid w:val="0025238E"/>
    <w:rsid w:val="002548F5"/>
    <w:rsid w:val="00255D08"/>
    <w:rsid w:val="00256850"/>
    <w:rsid w:val="00260887"/>
    <w:rsid w:val="00262CF1"/>
    <w:rsid w:val="0026331F"/>
    <w:rsid w:val="002643CE"/>
    <w:rsid w:val="00270EA9"/>
    <w:rsid w:val="00275423"/>
    <w:rsid w:val="00281825"/>
    <w:rsid w:val="00282A22"/>
    <w:rsid w:val="0028404E"/>
    <w:rsid w:val="0028499E"/>
    <w:rsid w:val="00285ED3"/>
    <w:rsid w:val="00286723"/>
    <w:rsid w:val="00287926"/>
    <w:rsid w:val="0029128F"/>
    <w:rsid w:val="00292FD7"/>
    <w:rsid w:val="00293571"/>
    <w:rsid w:val="002947C1"/>
    <w:rsid w:val="00295FD2"/>
    <w:rsid w:val="002A0211"/>
    <w:rsid w:val="002A3623"/>
    <w:rsid w:val="002A7EB8"/>
    <w:rsid w:val="002B0062"/>
    <w:rsid w:val="002B27FB"/>
    <w:rsid w:val="002B34A0"/>
    <w:rsid w:val="002B3E62"/>
    <w:rsid w:val="002B3F86"/>
    <w:rsid w:val="002B3F9A"/>
    <w:rsid w:val="002B5B84"/>
    <w:rsid w:val="002B6847"/>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62D3"/>
    <w:rsid w:val="002E6516"/>
    <w:rsid w:val="002F1E32"/>
    <w:rsid w:val="002F2298"/>
    <w:rsid w:val="002F593A"/>
    <w:rsid w:val="003045C3"/>
    <w:rsid w:val="00305B40"/>
    <w:rsid w:val="00307897"/>
    <w:rsid w:val="003111A3"/>
    <w:rsid w:val="00312A49"/>
    <w:rsid w:val="00314C72"/>
    <w:rsid w:val="003154A0"/>
    <w:rsid w:val="00321633"/>
    <w:rsid w:val="003220E3"/>
    <w:rsid w:val="003233A9"/>
    <w:rsid w:val="00327D3F"/>
    <w:rsid w:val="0033005A"/>
    <w:rsid w:val="00332B14"/>
    <w:rsid w:val="003356E7"/>
    <w:rsid w:val="00336B9B"/>
    <w:rsid w:val="00337D6F"/>
    <w:rsid w:val="00340BD8"/>
    <w:rsid w:val="003412A5"/>
    <w:rsid w:val="003452F2"/>
    <w:rsid w:val="00345387"/>
    <w:rsid w:val="00351118"/>
    <w:rsid w:val="00351F48"/>
    <w:rsid w:val="003559B2"/>
    <w:rsid w:val="00355C7A"/>
    <w:rsid w:val="00357AAD"/>
    <w:rsid w:val="0036044B"/>
    <w:rsid w:val="00360E18"/>
    <w:rsid w:val="00371DCE"/>
    <w:rsid w:val="0037283C"/>
    <w:rsid w:val="00372A2C"/>
    <w:rsid w:val="0037329B"/>
    <w:rsid w:val="00381997"/>
    <w:rsid w:val="00383814"/>
    <w:rsid w:val="003908C9"/>
    <w:rsid w:val="00390C4E"/>
    <w:rsid w:val="00397143"/>
    <w:rsid w:val="003A6EDD"/>
    <w:rsid w:val="003B1D1C"/>
    <w:rsid w:val="003B2CCF"/>
    <w:rsid w:val="003B306F"/>
    <w:rsid w:val="003B7B42"/>
    <w:rsid w:val="003B7E03"/>
    <w:rsid w:val="003C0C2E"/>
    <w:rsid w:val="003C0D9D"/>
    <w:rsid w:val="003C5AC3"/>
    <w:rsid w:val="003C6BF3"/>
    <w:rsid w:val="003D46AC"/>
    <w:rsid w:val="003D5078"/>
    <w:rsid w:val="003D5D7B"/>
    <w:rsid w:val="003D7842"/>
    <w:rsid w:val="003E7D06"/>
    <w:rsid w:val="003F2590"/>
    <w:rsid w:val="003F297E"/>
    <w:rsid w:val="003F4BCE"/>
    <w:rsid w:val="0040109B"/>
    <w:rsid w:val="00401240"/>
    <w:rsid w:val="00402DE0"/>
    <w:rsid w:val="0040388C"/>
    <w:rsid w:val="004045F1"/>
    <w:rsid w:val="00406486"/>
    <w:rsid w:val="00406F75"/>
    <w:rsid w:val="004156B8"/>
    <w:rsid w:val="00417498"/>
    <w:rsid w:val="00417805"/>
    <w:rsid w:val="0042160C"/>
    <w:rsid w:val="00422F18"/>
    <w:rsid w:val="00424017"/>
    <w:rsid w:val="00425A71"/>
    <w:rsid w:val="0042631F"/>
    <w:rsid w:val="004312EE"/>
    <w:rsid w:val="004322A8"/>
    <w:rsid w:val="00433ECD"/>
    <w:rsid w:val="00433F2B"/>
    <w:rsid w:val="00434C73"/>
    <w:rsid w:val="0043748C"/>
    <w:rsid w:val="004403B9"/>
    <w:rsid w:val="00440C4E"/>
    <w:rsid w:val="00440E0E"/>
    <w:rsid w:val="0044115F"/>
    <w:rsid w:val="00442D39"/>
    <w:rsid w:val="00445615"/>
    <w:rsid w:val="00450985"/>
    <w:rsid w:val="00455B64"/>
    <w:rsid w:val="004575B4"/>
    <w:rsid w:val="004578C7"/>
    <w:rsid w:val="00460DA7"/>
    <w:rsid w:val="00463814"/>
    <w:rsid w:val="00464E65"/>
    <w:rsid w:val="00472724"/>
    <w:rsid w:val="00481A86"/>
    <w:rsid w:val="00487DB5"/>
    <w:rsid w:val="004905FF"/>
    <w:rsid w:val="00492014"/>
    <w:rsid w:val="0049216A"/>
    <w:rsid w:val="00492C4F"/>
    <w:rsid w:val="00495CBC"/>
    <w:rsid w:val="004978A7"/>
    <w:rsid w:val="00497DF8"/>
    <w:rsid w:val="004A1C8B"/>
    <w:rsid w:val="004A34C7"/>
    <w:rsid w:val="004A41A9"/>
    <w:rsid w:val="004A5F79"/>
    <w:rsid w:val="004A6EE6"/>
    <w:rsid w:val="004A7397"/>
    <w:rsid w:val="004B0473"/>
    <w:rsid w:val="004B0516"/>
    <w:rsid w:val="004B38BA"/>
    <w:rsid w:val="004B5374"/>
    <w:rsid w:val="004B577C"/>
    <w:rsid w:val="004C582A"/>
    <w:rsid w:val="004D1DE9"/>
    <w:rsid w:val="004D207F"/>
    <w:rsid w:val="004D31E6"/>
    <w:rsid w:val="004D329E"/>
    <w:rsid w:val="004E0CB5"/>
    <w:rsid w:val="004E2638"/>
    <w:rsid w:val="004E268D"/>
    <w:rsid w:val="004E5F49"/>
    <w:rsid w:val="004F70D2"/>
    <w:rsid w:val="004F768E"/>
    <w:rsid w:val="0050377F"/>
    <w:rsid w:val="0051666B"/>
    <w:rsid w:val="00517B79"/>
    <w:rsid w:val="0052075D"/>
    <w:rsid w:val="00520BA6"/>
    <w:rsid w:val="005211D0"/>
    <w:rsid w:val="00522BDD"/>
    <w:rsid w:val="00524273"/>
    <w:rsid w:val="00525888"/>
    <w:rsid w:val="00527338"/>
    <w:rsid w:val="00527D7F"/>
    <w:rsid w:val="005303D0"/>
    <w:rsid w:val="0053305F"/>
    <w:rsid w:val="005352C6"/>
    <w:rsid w:val="00541741"/>
    <w:rsid w:val="00543420"/>
    <w:rsid w:val="005459E8"/>
    <w:rsid w:val="005465BD"/>
    <w:rsid w:val="00550084"/>
    <w:rsid w:val="0055036C"/>
    <w:rsid w:val="0055094C"/>
    <w:rsid w:val="00552611"/>
    <w:rsid w:val="00552824"/>
    <w:rsid w:val="00555394"/>
    <w:rsid w:val="00560618"/>
    <w:rsid w:val="00563016"/>
    <w:rsid w:val="00564046"/>
    <w:rsid w:val="0056495D"/>
    <w:rsid w:val="00572517"/>
    <w:rsid w:val="005743F2"/>
    <w:rsid w:val="00575E70"/>
    <w:rsid w:val="005826BE"/>
    <w:rsid w:val="005827AE"/>
    <w:rsid w:val="00582A39"/>
    <w:rsid w:val="0058455A"/>
    <w:rsid w:val="005848B2"/>
    <w:rsid w:val="0059189F"/>
    <w:rsid w:val="0059197E"/>
    <w:rsid w:val="00595E53"/>
    <w:rsid w:val="00596E39"/>
    <w:rsid w:val="005A1ADB"/>
    <w:rsid w:val="005A36C8"/>
    <w:rsid w:val="005A4516"/>
    <w:rsid w:val="005A594F"/>
    <w:rsid w:val="005A7934"/>
    <w:rsid w:val="005A7C19"/>
    <w:rsid w:val="005B0230"/>
    <w:rsid w:val="005B229D"/>
    <w:rsid w:val="005B46E6"/>
    <w:rsid w:val="005B6C2E"/>
    <w:rsid w:val="005C0D5C"/>
    <w:rsid w:val="005C5EAE"/>
    <w:rsid w:val="005C7D31"/>
    <w:rsid w:val="005C7F80"/>
    <w:rsid w:val="005D0402"/>
    <w:rsid w:val="005D34A6"/>
    <w:rsid w:val="005D5285"/>
    <w:rsid w:val="005D7348"/>
    <w:rsid w:val="005E2BE1"/>
    <w:rsid w:val="005F02A7"/>
    <w:rsid w:val="005F052C"/>
    <w:rsid w:val="005F0E26"/>
    <w:rsid w:val="005F2E44"/>
    <w:rsid w:val="00604E80"/>
    <w:rsid w:val="00605A9B"/>
    <w:rsid w:val="00606C7B"/>
    <w:rsid w:val="006071B2"/>
    <w:rsid w:val="00615DCB"/>
    <w:rsid w:val="00617180"/>
    <w:rsid w:val="00621A86"/>
    <w:rsid w:val="00621B26"/>
    <w:rsid w:val="006249DD"/>
    <w:rsid w:val="00626FAE"/>
    <w:rsid w:val="00627A56"/>
    <w:rsid w:val="00636087"/>
    <w:rsid w:val="006369D3"/>
    <w:rsid w:val="00647843"/>
    <w:rsid w:val="00651197"/>
    <w:rsid w:val="00652107"/>
    <w:rsid w:val="00655F64"/>
    <w:rsid w:val="0065601B"/>
    <w:rsid w:val="006561BB"/>
    <w:rsid w:val="00656DCE"/>
    <w:rsid w:val="00657961"/>
    <w:rsid w:val="00662C67"/>
    <w:rsid w:val="00664826"/>
    <w:rsid w:val="006651ED"/>
    <w:rsid w:val="00665209"/>
    <w:rsid w:val="0066586A"/>
    <w:rsid w:val="006666CA"/>
    <w:rsid w:val="00667701"/>
    <w:rsid w:val="00667D7E"/>
    <w:rsid w:val="00671001"/>
    <w:rsid w:val="00671E77"/>
    <w:rsid w:val="006728E8"/>
    <w:rsid w:val="00672A8F"/>
    <w:rsid w:val="0067640D"/>
    <w:rsid w:val="0067684C"/>
    <w:rsid w:val="00683B34"/>
    <w:rsid w:val="0068479C"/>
    <w:rsid w:val="00684F62"/>
    <w:rsid w:val="00685E2A"/>
    <w:rsid w:val="0068659B"/>
    <w:rsid w:val="0069065B"/>
    <w:rsid w:val="00690B5B"/>
    <w:rsid w:val="006921D7"/>
    <w:rsid w:val="006930F7"/>
    <w:rsid w:val="00693732"/>
    <w:rsid w:val="00693C38"/>
    <w:rsid w:val="00696AEF"/>
    <w:rsid w:val="006A17E2"/>
    <w:rsid w:val="006A1C66"/>
    <w:rsid w:val="006A565A"/>
    <w:rsid w:val="006A5DCB"/>
    <w:rsid w:val="006A5FB2"/>
    <w:rsid w:val="006B02DA"/>
    <w:rsid w:val="006B030A"/>
    <w:rsid w:val="006B0A44"/>
    <w:rsid w:val="006B23E4"/>
    <w:rsid w:val="006B387F"/>
    <w:rsid w:val="006C0845"/>
    <w:rsid w:val="006C21B7"/>
    <w:rsid w:val="006C534D"/>
    <w:rsid w:val="006C64B9"/>
    <w:rsid w:val="006C709B"/>
    <w:rsid w:val="006D2944"/>
    <w:rsid w:val="006D52FA"/>
    <w:rsid w:val="006D7FA5"/>
    <w:rsid w:val="006E0347"/>
    <w:rsid w:val="006E204E"/>
    <w:rsid w:val="006E6624"/>
    <w:rsid w:val="006E776A"/>
    <w:rsid w:val="006F0627"/>
    <w:rsid w:val="006F0ABB"/>
    <w:rsid w:val="006F7C57"/>
    <w:rsid w:val="006F7D8B"/>
    <w:rsid w:val="00700F8C"/>
    <w:rsid w:val="0070197E"/>
    <w:rsid w:val="007021AA"/>
    <w:rsid w:val="007023EC"/>
    <w:rsid w:val="00702460"/>
    <w:rsid w:val="00704305"/>
    <w:rsid w:val="0070659B"/>
    <w:rsid w:val="00711984"/>
    <w:rsid w:val="00711D63"/>
    <w:rsid w:val="00712ACE"/>
    <w:rsid w:val="007145F5"/>
    <w:rsid w:val="00715C75"/>
    <w:rsid w:val="00716C45"/>
    <w:rsid w:val="00720D2F"/>
    <w:rsid w:val="00724A1C"/>
    <w:rsid w:val="00725470"/>
    <w:rsid w:val="00725AF0"/>
    <w:rsid w:val="0072708A"/>
    <w:rsid w:val="007328E5"/>
    <w:rsid w:val="00734BD7"/>
    <w:rsid w:val="0073590F"/>
    <w:rsid w:val="007406EB"/>
    <w:rsid w:val="00741F9E"/>
    <w:rsid w:val="007432B1"/>
    <w:rsid w:val="00744EA3"/>
    <w:rsid w:val="00746AC9"/>
    <w:rsid w:val="00746DDC"/>
    <w:rsid w:val="00752095"/>
    <w:rsid w:val="007564D7"/>
    <w:rsid w:val="00760011"/>
    <w:rsid w:val="007626E8"/>
    <w:rsid w:val="0076525C"/>
    <w:rsid w:val="00767EAD"/>
    <w:rsid w:val="0077047A"/>
    <w:rsid w:val="00774143"/>
    <w:rsid w:val="007764DE"/>
    <w:rsid w:val="00783CEF"/>
    <w:rsid w:val="00792CBB"/>
    <w:rsid w:val="00792E9F"/>
    <w:rsid w:val="00796FD8"/>
    <w:rsid w:val="007978DA"/>
    <w:rsid w:val="00797D49"/>
    <w:rsid w:val="007A0E5F"/>
    <w:rsid w:val="007A3913"/>
    <w:rsid w:val="007B0E4C"/>
    <w:rsid w:val="007B1781"/>
    <w:rsid w:val="007B2400"/>
    <w:rsid w:val="007B48AC"/>
    <w:rsid w:val="007C032D"/>
    <w:rsid w:val="007C303B"/>
    <w:rsid w:val="007C4541"/>
    <w:rsid w:val="007D4D1B"/>
    <w:rsid w:val="007D5E36"/>
    <w:rsid w:val="007E02E3"/>
    <w:rsid w:val="007E305B"/>
    <w:rsid w:val="007E3FB8"/>
    <w:rsid w:val="007E5C10"/>
    <w:rsid w:val="007F078C"/>
    <w:rsid w:val="007F1A20"/>
    <w:rsid w:val="007F26BC"/>
    <w:rsid w:val="007F29CF"/>
    <w:rsid w:val="007F3A97"/>
    <w:rsid w:val="007F4FE9"/>
    <w:rsid w:val="007F75BD"/>
    <w:rsid w:val="007F7949"/>
    <w:rsid w:val="007F7A39"/>
    <w:rsid w:val="0080200E"/>
    <w:rsid w:val="00803187"/>
    <w:rsid w:val="0080487B"/>
    <w:rsid w:val="00805442"/>
    <w:rsid w:val="00805A6B"/>
    <w:rsid w:val="00805B99"/>
    <w:rsid w:val="00810EE4"/>
    <w:rsid w:val="00811ED6"/>
    <w:rsid w:val="00812C71"/>
    <w:rsid w:val="0081301B"/>
    <w:rsid w:val="00815CF0"/>
    <w:rsid w:val="0081692D"/>
    <w:rsid w:val="00817230"/>
    <w:rsid w:val="0081733C"/>
    <w:rsid w:val="00824488"/>
    <w:rsid w:val="0082538D"/>
    <w:rsid w:val="00825AC7"/>
    <w:rsid w:val="008303B6"/>
    <w:rsid w:val="00830CED"/>
    <w:rsid w:val="00834461"/>
    <w:rsid w:val="00834745"/>
    <w:rsid w:val="0083611E"/>
    <w:rsid w:val="00836372"/>
    <w:rsid w:val="00850A32"/>
    <w:rsid w:val="00851806"/>
    <w:rsid w:val="00853D9C"/>
    <w:rsid w:val="00854673"/>
    <w:rsid w:val="00854CFD"/>
    <w:rsid w:val="00856406"/>
    <w:rsid w:val="00857358"/>
    <w:rsid w:val="0085791F"/>
    <w:rsid w:val="00860A05"/>
    <w:rsid w:val="00861A12"/>
    <w:rsid w:val="00865230"/>
    <w:rsid w:val="008714DD"/>
    <w:rsid w:val="00872A6E"/>
    <w:rsid w:val="00873EA9"/>
    <w:rsid w:val="00874A27"/>
    <w:rsid w:val="00875E61"/>
    <w:rsid w:val="0088338B"/>
    <w:rsid w:val="00890D2D"/>
    <w:rsid w:val="00891235"/>
    <w:rsid w:val="00895A46"/>
    <w:rsid w:val="008A0B12"/>
    <w:rsid w:val="008A1EA2"/>
    <w:rsid w:val="008A1F25"/>
    <w:rsid w:val="008A46FC"/>
    <w:rsid w:val="008A5C50"/>
    <w:rsid w:val="008B04BB"/>
    <w:rsid w:val="008B27B1"/>
    <w:rsid w:val="008B56FA"/>
    <w:rsid w:val="008B6AA5"/>
    <w:rsid w:val="008D249C"/>
    <w:rsid w:val="008D32CC"/>
    <w:rsid w:val="008D4015"/>
    <w:rsid w:val="008D4EC8"/>
    <w:rsid w:val="008D7B4D"/>
    <w:rsid w:val="008E3047"/>
    <w:rsid w:val="008E3468"/>
    <w:rsid w:val="008E7B7C"/>
    <w:rsid w:val="008F0041"/>
    <w:rsid w:val="008F0EB2"/>
    <w:rsid w:val="008F2D42"/>
    <w:rsid w:val="008F330E"/>
    <w:rsid w:val="00900BC9"/>
    <w:rsid w:val="00904FC9"/>
    <w:rsid w:val="009057C3"/>
    <w:rsid w:val="00905BD3"/>
    <w:rsid w:val="0090667B"/>
    <w:rsid w:val="00912FCF"/>
    <w:rsid w:val="0091742D"/>
    <w:rsid w:val="00923C31"/>
    <w:rsid w:val="00926CAC"/>
    <w:rsid w:val="0093203A"/>
    <w:rsid w:val="00933D88"/>
    <w:rsid w:val="00936282"/>
    <w:rsid w:val="00937D00"/>
    <w:rsid w:val="00941349"/>
    <w:rsid w:val="00941D71"/>
    <w:rsid w:val="00941F15"/>
    <w:rsid w:val="009441CD"/>
    <w:rsid w:val="00945486"/>
    <w:rsid w:val="00946719"/>
    <w:rsid w:val="009479E2"/>
    <w:rsid w:val="0095096D"/>
    <w:rsid w:val="009522B6"/>
    <w:rsid w:val="00954925"/>
    <w:rsid w:val="00956A80"/>
    <w:rsid w:val="009577C8"/>
    <w:rsid w:val="009618BB"/>
    <w:rsid w:val="00963879"/>
    <w:rsid w:val="00963B40"/>
    <w:rsid w:val="00963CF8"/>
    <w:rsid w:val="009653D4"/>
    <w:rsid w:val="00970D35"/>
    <w:rsid w:val="00970F26"/>
    <w:rsid w:val="009714B0"/>
    <w:rsid w:val="009805B3"/>
    <w:rsid w:val="00985A9A"/>
    <w:rsid w:val="00991850"/>
    <w:rsid w:val="00996F4A"/>
    <w:rsid w:val="009A116D"/>
    <w:rsid w:val="009A2C52"/>
    <w:rsid w:val="009A46B4"/>
    <w:rsid w:val="009B026D"/>
    <w:rsid w:val="009B0ED6"/>
    <w:rsid w:val="009B1DFE"/>
    <w:rsid w:val="009B3B1E"/>
    <w:rsid w:val="009B4A4E"/>
    <w:rsid w:val="009B598C"/>
    <w:rsid w:val="009C2AD1"/>
    <w:rsid w:val="009C3FC8"/>
    <w:rsid w:val="009C57B6"/>
    <w:rsid w:val="009D0A19"/>
    <w:rsid w:val="009D444D"/>
    <w:rsid w:val="009D6531"/>
    <w:rsid w:val="009E2FBC"/>
    <w:rsid w:val="009E734E"/>
    <w:rsid w:val="009E76F2"/>
    <w:rsid w:val="009F132C"/>
    <w:rsid w:val="009F3B23"/>
    <w:rsid w:val="00A01A02"/>
    <w:rsid w:val="00A025AC"/>
    <w:rsid w:val="00A04DF8"/>
    <w:rsid w:val="00A12FAC"/>
    <w:rsid w:val="00A162D8"/>
    <w:rsid w:val="00A16F4D"/>
    <w:rsid w:val="00A2005B"/>
    <w:rsid w:val="00A21457"/>
    <w:rsid w:val="00A22B70"/>
    <w:rsid w:val="00A2305D"/>
    <w:rsid w:val="00A23245"/>
    <w:rsid w:val="00A25DB9"/>
    <w:rsid w:val="00A323F9"/>
    <w:rsid w:val="00A34921"/>
    <w:rsid w:val="00A36BF6"/>
    <w:rsid w:val="00A37A7E"/>
    <w:rsid w:val="00A37EA7"/>
    <w:rsid w:val="00A41195"/>
    <w:rsid w:val="00A437AD"/>
    <w:rsid w:val="00A43E00"/>
    <w:rsid w:val="00A46497"/>
    <w:rsid w:val="00A4758D"/>
    <w:rsid w:val="00A523C2"/>
    <w:rsid w:val="00A53F45"/>
    <w:rsid w:val="00A53FEE"/>
    <w:rsid w:val="00A5794B"/>
    <w:rsid w:val="00A61E91"/>
    <w:rsid w:val="00A66640"/>
    <w:rsid w:val="00A66E3A"/>
    <w:rsid w:val="00A66E50"/>
    <w:rsid w:val="00A712FD"/>
    <w:rsid w:val="00A716C1"/>
    <w:rsid w:val="00A723EE"/>
    <w:rsid w:val="00A776CD"/>
    <w:rsid w:val="00A77D19"/>
    <w:rsid w:val="00A805C7"/>
    <w:rsid w:val="00A80AD4"/>
    <w:rsid w:val="00A8222A"/>
    <w:rsid w:val="00A82AA3"/>
    <w:rsid w:val="00A90F5C"/>
    <w:rsid w:val="00A91565"/>
    <w:rsid w:val="00A91F08"/>
    <w:rsid w:val="00A935EA"/>
    <w:rsid w:val="00A94F97"/>
    <w:rsid w:val="00AA4699"/>
    <w:rsid w:val="00AA5B4C"/>
    <w:rsid w:val="00AB23A2"/>
    <w:rsid w:val="00AB491A"/>
    <w:rsid w:val="00AB4DDE"/>
    <w:rsid w:val="00AB6112"/>
    <w:rsid w:val="00AB6D65"/>
    <w:rsid w:val="00AD1F6F"/>
    <w:rsid w:val="00AD2AFA"/>
    <w:rsid w:val="00AD4DF3"/>
    <w:rsid w:val="00AD4FF8"/>
    <w:rsid w:val="00AE1C53"/>
    <w:rsid w:val="00AE7443"/>
    <w:rsid w:val="00AE75FB"/>
    <w:rsid w:val="00AE7933"/>
    <w:rsid w:val="00AF01EE"/>
    <w:rsid w:val="00AF1C0A"/>
    <w:rsid w:val="00AF50EA"/>
    <w:rsid w:val="00AF6FF2"/>
    <w:rsid w:val="00AF76F5"/>
    <w:rsid w:val="00B01B8C"/>
    <w:rsid w:val="00B0378C"/>
    <w:rsid w:val="00B10EE6"/>
    <w:rsid w:val="00B13882"/>
    <w:rsid w:val="00B1445F"/>
    <w:rsid w:val="00B1505F"/>
    <w:rsid w:val="00B15202"/>
    <w:rsid w:val="00B153F2"/>
    <w:rsid w:val="00B17115"/>
    <w:rsid w:val="00B17DC3"/>
    <w:rsid w:val="00B20184"/>
    <w:rsid w:val="00B21FE8"/>
    <w:rsid w:val="00B220CD"/>
    <w:rsid w:val="00B23190"/>
    <w:rsid w:val="00B36691"/>
    <w:rsid w:val="00B41E4B"/>
    <w:rsid w:val="00B462CD"/>
    <w:rsid w:val="00B46E73"/>
    <w:rsid w:val="00B51920"/>
    <w:rsid w:val="00B5267E"/>
    <w:rsid w:val="00B5500C"/>
    <w:rsid w:val="00B55487"/>
    <w:rsid w:val="00B6050A"/>
    <w:rsid w:val="00B63755"/>
    <w:rsid w:val="00B657FB"/>
    <w:rsid w:val="00B65C30"/>
    <w:rsid w:val="00B66FEA"/>
    <w:rsid w:val="00B70E62"/>
    <w:rsid w:val="00B76AB2"/>
    <w:rsid w:val="00B76F17"/>
    <w:rsid w:val="00B8263B"/>
    <w:rsid w:val="00B86FD4"/>
    <w:rsid w:val="00B903F7"/>
    <w:rsid w:val="00B907F3"/>
    <w:rsid w:val="00B964FF"/>
    <w:rsid w:val="00BA536A"/>
    <w:rsid w:val="00BA5789"/>
    <w:rsid w:val="00BA5A54"/>
    <w:rsid w:val="00BA5DCE"/>
    <w:rsid w:val="00BA711B"/>
    <w:rsid w:val="00BB0E5E"/>
    <w:rsid w:val="00BB250D"/>
    <w:rsid w:val="00BB337E"/>
    <w:rsid w:val="00BB3F60"/>
    <w:rsid w:val="00BB718A"/>
    <w:rsid w:val="00BC30CC"/>
    <w:rsid w:val="00BC44E6"/>
    <w:rsid w:val="00BC6EBB"/>
    <w:rsid w:val="00BD0A60"/>
    <w:rsid w:val="00BD1CD4"/>
    <w:rsid w:val="00BD494D"/>
    <w:rsid w:val="00BD652A"/>
    <w:rsid w:val="00BD6531"/>
    <w:rsid w:val="00BE3E74"/>
    <w:rsid w:val="00BE4092"/>
    <w:rsid w:val="00BE7EEC"/>
    <w:rsid w:val="00BF06A7"/>
    <w:rsid w:val="00BF0942"/>
    <w:rsid w:val="00BF0F50"/>
    <w:rsid w:val="00BF15D7"/>
    <w:rsid w:val="00BF5D74"/>
    <w:rsid w:val="00BF5E0B"/>
    <w:rsid w:val="00BF6E92"/>
    <w:rsid w:val="00C03D50"/>
    <w:rsid w:val="00C0544C"/>
    <w:rsid w:val="00C05D42"/>
    <w:rsid w:val="00C06FA9"/>
    <w:rsid w:val="00C07316"/>
    <w:rsid w:val="00C15AB8"/>
    <w:rsid w:val="00C22C85"/>
    <w:rsid w:val="00C23207"/>
    <w:rsid w:val="00C30402"/>
    <w:rsid w:val="00C33DFD"/>
    <w:rsid w:val="00C40D5D"/>
    <w:rsid w:val="00C4158D"/>
    <w:rsid w:val="00C417B3"/>
    <w:rsid w:val="00C4205E"/>
    <w:rsid w:val="00C423A9"/>
    <w:rsid w:val="00C44797"/>
    <w:rsid w:val="00C4742A"/>
    <w:rsid w:val="00C543D2"/>
    <w:rsid w:val="00C54DFF"/>
    <w:rsid w:val="00C54E5D"/>
    <w:rsid w:val="00C55F33"/>
    <w:rsid w:val="00C56D5E"/>
    <w:rsid w:val="00C57114"/>
    <w:rsid w:val="00C57D7A"/>
    <w:rsid w:val="00C61DD9"/>
    <w:rsid w:val="00C640B7"/>
    <w:rsid w:val="00C65296"/>
    <w:rsid w:val="00C709D8"/>
    <w:rsid w:val="00C721CC"/>
    <w:rsid w:val="00C73024"/>
    <w:rsid w:val="00C74F6C"/>
    <w:rsid w:val="00C82E78"/>
    <w:rsid w:val="00C83004"/>
    <w:rsid w:val="00C8339E"/>
    <w:rsid w:val="00C83CE7"/>
    <w:rsid w:val="00C90A12"/>
    <w:rsid w:val="00C96A67"/>
    <w:rsid w:val="00CA0A42"/>
    <w:rsid w:val="00CA266A"/>
    <w:rsid w:val="00CA3A0F"/>
    <w:rsid w:val="00CA3C98"/>
    <w:rsid w:val="00CA3CF4"/>
    <w:rsid w:val="00CA3DC4"/>
    <w:rsid w:val="00CA42D7"/>
    <w:rsid w:val="00CA7B8A"/>
    <w:rsid w:val="00CB3933"/>
    <w:rsid w:val="00CB43EB"/>
    <w:rsid w:val="00CB5EE6"/>
    <w:rsid w:val="00CB633C"/>
    <w:rsid w:val="00CB7166"/>
    <w:rsid w:val="00CB71E8"/>
    <w:rsid w:val="00CC0235"/>
    <w:rsid w:val="00CC03FA"/>
    <w:rsid w:val="00CC10B3"/>
    <w:rsid w:val="00CC26B7"/>
    <w:rsid w:val="00CC366D"/>
    <w:rsid w:val="00CC502B"/>
    <w:rsid w:val="00CC5309"/>
    <w:rsid w:val="00CC6C30"/>
    <w:rsid w:val="00CC755E"/>
    <w:rsid w:val="00CC7D03"/>
    <w:rsid w:val="00CD0A72"/>
    <w:rsid w:val="00CD4EB3"/>
    <w:rsid w:val="00CD5D3D"/>
    <w:rsid w:val="00CE3B50"/>
    <w:rsid w:val="00CE4F13"/>
    <w:rsid w:val="00CE7223"/>
    <w:rsid w:val="00CF1C7B"/>
    <w:rsid w:val="00CF212E"/>
    <w:rsid w:val="00CF715F"/>
    <w:rsid w:val="00D016BA"/>
    <w:rsid w:val="00D10141"/>
    <w:rsid w:val="00D1103C"/>
    <w:rsid w:val="00D112B3"/>
    <w:rsid w:val="00D20D67"/>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505B6"/>
    <w:rsid w:val="00D53727"/>
    <w:rsid w:val="00D53BED"/>
    <w:rsid w:val="00D5511B"/>
    <w:rsid w:val="00D56A9F"/>
    <w:rsid w:val="00D57060"/>
    <w:rsid w:val="00D628A4"/>
    <w:rsid w:val="00D756B3"/>
    <w:rsid w:val="00D75FAC"/>
    <w:rsid w:val="00D76E9B"/>
    <w:rsid w:val="00D77A95"/>
    <w:rsid w:val="00D803AD"/>
    <w:rsid w:val="00D8225A"/>
    <w:rsid w:val="00D83B9E"/>
    <w:rsid w:val="00D83CF7"/>
    <w:rsid w:val="00D85098"/>
    <w:rsid w:val="00D86D02"/>
    <w:rsid w:val="00D932B0"/>
    <w:rsid w:val="00D933F6"/>
    <w:rsid w:val="00D94AFB"/>
    <w:rsid w:val="00D96759"/>
    <w:rsid w:val="00DA27ED"/>
    <w:rsid w:val="00DA2975"/>
    <w:rsid w:val="00DA3D9A"/>
    <w:rsid w:val="00DA4603"/>
    <w:rsid w:val="00DA645C"/>
    <w:rsid w:val="00DC0008"/>
    <w:rsid w:val="00DC0C6D"/>
    <w:rsid w:val="00DC0E0D"/>
    <w:rsid w:val="00DC168B"/>
    <w:rsid w:val="00DC2A48"/>
    <w:rsid w:val="00DC301A"/>
    <w:rsid w:val="00DC387E"/>
    <w:rsid w:val="00DC4A0D"/>
    <w:rsid w:val="00DC5111"/>
    <w:rsid w:val="00DC6DB4"/>
    <w:rsid w:val="00DC72F1"/>
    <w:rsid w:val="00DD1F8F"/>
    <w:rsid w:val="00DD3480"/>
    <w:rsid w:val="00DE126F"/>
    <w:rsid w:val="00DE12B0"/>
    <w:rsid w:val="00DE21D9"/>
    <w:rsid w:val="00DE29FC"/>
    <w:rsid w:val="00DF0E18"/>
    <w:rsid w:val="00DF2FF5"/>
    <w:rsid w:val="00DF3263"/>
    <w:rsid w:val="00DF5CAE"/>
    <w:rsid w:val="00DF66F1"/>
    <w:rsid w:val="00DF6B95"/>
    <w:rsid w:val="00E0074B"/>
    <w:rsid w:val="00E02E47"/>
    <w:rsid w:val="00E0457B"/>
    <w:rsid w:val="00E04CBC"/>
    <w:rsid w:val="00E053D4"/>
    <w:rsid w:val="00E0540B"/>
    <w:rsid w:val="00E05934"/>
    <w:rsid w:val="00E05AE9"/>
    <w:rsid w:val="00E06246"/>
    <w:rsid w:val="00E123EF"/>
    <w:rsid w:val="00E124EE"/>
    <w:rsid w:val="00E14925"/>
    <w:rsid w:val="00E15500"/>
    <w:rsid w:val="00E15A64"/>
    <w:rsid w:val="00E17D36"/>
    <w:rsid w:val="00E17DDF"/>
    <w:rsid w:val="00E20E85"/>
    <w:rsid w:val="00E2355D"/>
    <w:rsid w:val="00E24B96"/>
    <w:rsid w:val="00E24FAC"/>
    <w:rsid w:val="00E26303"/>
    <w:rsid w:val="00E26D8D"/>
    <w:rsid w:val="00E30C2A"/>
    <w:rsid w:val="00E334D1"/>
    <w:rsid w:val="00E34C8A"/>
    <w:rsid w:val="00E350AC"/>
    <w:rsid w:val="00E3728E"/>
    <w:rsid w:val="00E37D67"/>
    <w:rsid w:val="00E411C7"/>
    <w:rsid w:val="00E42CF8"/>
    <w:rsid w:val="00E43F6C"/>
    <w:rsid w:val="00E44962"/>
    <w:rsid w:val="00E4570D"/>
    <w:rsid w:val="00E47540"/>
    <w:rsid w:val="00E51A44"/>
    <w:rsid w:val="00E51D32"/>
    <w:rsid w:val="00E53111"/>
    <w:rsid w:val="00E565CC"/>
    <w:rsid w:val="00E606A9"/>
    <w:rsid w:val="00E61142"/>
    <w:rsid w:val="00E6496A"/>
    <w:rsid w:val="00E706AC"/>
    <w:rsid w:val="00E71077"/>
    <w:rsid w:val="00E73E18"/>
    <w:rsid w:val="00E764EB"/>
    <w:rsid w:val="00E80B52"/>
    <w:rsid w:val="00E81AFE"/>
    <w:rsid w:val="00E908B8"/>
    <w:rsid w:val="00E90EA9"/>
    <w:rsid w:val="00E9253C"/>
    <w:rsid w:val="00E9428E"/>
    <w:rsid w:val="00E951AA"/>
    <w:rsid w:val="00EA2018"/>
    <w:rsid w:val="00EA35F7"/>
    <w:rsid w:val="00EA580C"/>
    <w:rsid w:val="00EB6616"/>
    <w:rsid w:val="00EB7D57"/>
    <w:rsid w:val="00EC2F8F"/>
    <w:rsid w:val="00EC456F"/>
    <w:rsid w:val="00ED061D"/>
    <w:rsid w:val="00ED084A"/>
    <w:rsid w:val="00ED6EA3"/>
    <w:rsid w:val="00EE0BFD"/>
    <w:rsid w:val="00EE0D49"/>
    <w:rsid w:val="00EE1546"/>
    <w:rsid w:val="00EE1AB3"/>
    <w:rsid w:val="00EE2371"/>
    <w:rsid w:val="00EE2442"/>
    <w:rsid w:val="00EE2535"/>
    <w:rsid w:val="00EE6742"/>
    <w:rsid w:val="00EF112C"/>
    <w:rsid w:val="00EF1965"/>
    <w:rsid w:val="00EF2E32"/>
    <w:rsid w:val="00EF65BF"/>
    <w:rsid w:val="00F06A96"/>
    <w:rsid w:val="00F076AC"/>
    <w:rsid w:val="00F1112A"/>
    <w:rsid w:val="00F11FFF"/>
    <w:rsid w:val="00F1335D"/>
    <w:rsid w:val="00F14EFA"/>
    <w:rsid w:val="00F22561"/>
    <w:rsid w:val="00F23F3F"/>
    <w:rsid w:val="00F25515"/>
    <w:rsid w:val="00F33605"/>
    <w:rsid w:val="00F36995"/>
    <w:rsid w:val="00F37868"/>
    <w:rsid w:val="00F47C8F"/>
    <w:rsid w:val="00F502CC"/>
    <w:rsid w:val="00F51E9B"/>
    <w:rsid w:val="00F534DC"/>
    <w:rsid w:val="00F5661E"/>
    <w:rsid w:val="00F6011D"/>
    <w:rsid w:val="00F64927"/>
    <w:rsid w:val="00F65DBA"/>
    <w:rsid w:val="00F67DAA"/>
    <w:rsid w:val="00F71E97"/>
    <w:rsid w:val="00F732FD"/>
    <w:rsid w:val="00F7771E"/>
    <w:rsid w:val="00F77FBC"/>
    <w:rsid w:val="00F80C78"/>
    <w:rsid w:val="00F8158D"/>
    <w:rsid w:val="00F81D58"/>
    <w:rsid w:val="00F85F64"/>
    <w:rsid w:val="00F86058"/>
    <w:rsid w:val="00F872C9"/>
    <w:rsid w:val="00F91850"/>
    <w:rsid w:val="00F9780F"/>
    <w:rsid w:val="00FA130E"/>
    <w:rsid w:val="00FA1771"/>
    <w:rsid w:val="00FA19E2"/>
    <w:rsid w:val="00FA28B8"/>
    <w:rsid w:val="00FA56F5"/>
    <w:rsid w:val="00FA5D14"/>
    <w:rsid w:val="00FA7E59"/>
    <w:rsid w:val="00FA7F4E"/>
    <w:rsid w:val="00FB2D4B"/>
    <w:rsid w:val="00FB31A2"/>
    <w:rsid w:val="00FB497C"/>
    <w:rsid w:val="00FB627A"/>
    <w:rsid w:val="00FC14DD"/>
    <w:rsid w:val="00FD0349"/>
    <w:rsid w:val="00FD6F15"/>
    <w:rsid w:val="00FD7CF3"/>
    <w:rsid w:val="00FE1301"/>
    <w:rsid w:val="00FE1822"/>
    <w:rsid w:val="00FE1DC7"/>
    <w:rsid w:val="00FE41F1"/>
    <w:rsid w:val="00FF2761"/>
    <w:rsid w:val="00FF440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7AFABB-7703-45B4-BBD2-A82EFAD5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uiPriority w:val="99"/>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uiPriority w:val="99"/>
    <w:rsid w:val="00460DA7"/>
    <w:rPr>
      <w:color w:val="0000FF"/>
      <w:u w:val="single"/>
    </w:rPr>
  </w:style>
  <w:style w:type="character" w:customStyle="1" w:styleId="apple-converted-space">
    <w:name w:val="apple-converted-space"/>
    <w:basedOn w:val="Fuentedeprrafopredeter"/>
    <w:rsid w:val="00941D71"/>
  </w:style>
  <w:style w:type="character" w:customStyle="1" w:styleId="letra14pt">
    <w:name w:val="letra14pt"/>
    <w:basedOn w:val="Fuentedeprrafopredeter"/>
    <w:rsid w:val="00941D71"/>
  </w:style>
  <w:style w:type="paragraph" w:customStyle="1" w:styleId="Sangradetindependiente">
    <w:name w:val="Sangría de t. independiente"/>
    <w:basedOn w:val="Normal"/>
    <w:uiPriority w:val="99"/>
    <w:rsid w:val="00724A1C"/>
    <w:pPr>
      <w:autoSpaceDE w:val="0"/>
      <w:autoSpaceDN w:val="0"/>
      <w:ind w:right="17"/>
      <w:jc w:val="both"/>
    </w:pPr>
    <w:rPr>
      <w:sz w:val="28"/>
      <w:szCs w:val="28"/>
      <w:lang w:val="es-ES_tradnl"/>
    </w:rPr>
  </w:style>
  <w:style w:type="character" w:customStyle="1" w:styleId="Ttulo4Car">
    <w:name w:val="Título 4 Car"/>
    <w:basedOn w:val="Fuentedeprrafopredeter"/>
    <w:link w:val="Ttulo4"/>
    <w:rsid w:val="0070659B"/>
    <w:rPr>
      <w:b/>
      <w:sz w:val="24"/>
    </w:rPr>
  </w:style>
  <w:style w:type="character" w:styleId="Hipervnculovisitado">
    <w:name w:val="FollowedHyperlink"/>
    <w:basedOn w:val="Fuentedeprrafopredeter"/>
    <w:uiPriority w:val="99"/>
    <w:semiHidden/>
    <w:unhideWhenUsed/>
    <w:rsid w:val="00B66FEA"/>
    <w:rPr>
      <w:color w:val="954F72"/>
      <w:u w:val="single"/>
    </w:rPr>
  </w:style>
  <w:style w:type="paragraph" w:customStyle="1" w:styleId="xl63">
    <w:name w:val="xl63"/>
    <w:basedOn w:val="Normal"/>
    <w:rsid w:val="00B66FEA"/>
    <w:pPr>
      <w:pBdr>
        <w:top w:val="single" w:sz="8" w:space="0" w:color="auto"/>
        <w:left w:val="single" w:sz="8" w:space="0" w:color="auto"/>
      </w:pBdr>
      <w:spacing w:before="100" w:beforeAutospacing="1" w:after="100" w:afterAutospacing="1"/>
    </w:pPr>
    <w:rPr>
      <w:rFonts w:ascii="Arial" w:hAnsi="Arial" w:cs="Arial"/>
      <w:b/>
      <w:bCs/>
      <w:sz w:val="20"/>
      <w:szCs w:val="20"/>
    </w:rPr>
  </w:style>
  <w:style w:type="paragraph" w:customStyle="1" w:styleId="xl64">
    <w:name w:val="xl64"/>
    <w:basedOn w:val="Normal"/>
    <w:rsid w:val="00B66FEA"/>
    <w:pPr>
      <w:pBdr>
        <w:top w:val="single" w:sz="8" w:space="0" w:color="auto"/>
      </w:pBdr>
      <w:spacing w:before="100" w:beforeAutospacing="1" w:after="100" w:afterAutospacing="1"/>
    </w:pPr>
  </w:style>
  <w:style w:type="paragraph" w:customStyle="1" w:styleId="xl65">
    <w:name w:val="xl65"/>
    <w:basedOn w:val="Normal"/>
    <w:rsid w:val="00B66FEA"/>
    <w:pPr>
      <w:pBdr>
        <w:top w:val="single" w:sz="8" w:space="0" w:color="auto"/>
        <w:right w:val="single" w:sz="8" w:space="0" w:color="auto"/>
      </w:pBdr>
      <w:spacing w:before="100" w:beforeAutospacing="1" w:after="100" w:afterAutospacing="1"/>
    </w:pPr>
  </w:style>
  <w:style w:type="paragraph" w:customStyle="1" w:styleId="xl66">
    <w:name w:val="xl66"/>
    <w:basedOn w:val="Normal"/>
    <w:rsid w:val="00B66FEA"/>
    <w:pPr>
      <w:pBdr>
        <w:left w:val="single" w:sz="8" w:space="0" w:color="auto"/>
      </w:pBdr>
      <w:spacing w:before="100" w:beforeAutospacing="1" w:after="100" w:afterAutospacing="1"/>
    </w:pPr>
  </w:style>
  <w:style w:type="paragraph" w:customStyle="1" w:styleId="xl67">
    <w:name w:val="xl67"/>
    <w:basedOn w:val="Normal"/>
    <w:rsid w:val="00B66FEA"/>
    <w:pPr>
      <w:pBdr>
        <w:right w:val="single" w:sz="8" w:space="0" w:color="auto"/>
      </w:pBdr>
      <w:spacing w:before="100" w:beforeAutospacing="1" w:after="100" w:afterAutospacing="1"/>
    </w:pPr>
  </w:style>
  <w:style w:type="paragraph" w:customStyle="1" w:styleId="xl68">
    <w:name w:val="xl68"/>
    <w:basedOn w:val="Normal"/>
    <w:rsid w:val="00B66FEA"/>
    <w:pPr>
      <w:pBdr>
        <w:right w:val="single" w:sz="8" w:space="0" w:color="auto"/>
      </w:pBdr>
      <w:spacing w:before="100" w:beforeAutospacing="1" w:after="100" w:afterAutospacing="1"/>
    </w:pPr>
  </w:style>
  <w:style w:type="paragraph" w:customStyle="1" w:styleId="xl69">
    <w:name w:val="xl69"/>
    <w:basedOn w:val="Normal"/>
    <w:rsid w:val="00B66FEA"/>
    <w:pPr>
      <w:pBdr>
        <w:left w:val="single" w:sz="8" w:space="0" w:color="auto"/>
      </w:pBdr>
      <w:spacing w:before="100" w:beforeAutospacing="1" w:after="100" w:afterAutospacing="1"/>
      <w:jc w:val="center"/>
    </w:pPr>
    <w:rPr>
      <w:rFonts w:ascii="Arial" w:hAnsi="Arial" w:cs="Arial"/>
      <w:b/>
      <w:bCs/>
      <w:sz w:val="20"/>
      <w:szCs w:val="20"/>
    </w:rPr>
  </w:style>
  <w:style w:type="paragraph" w:customStyle="1" w:styleId="xl70">
    <w:name w:val="xl70"/>
    <w:basedOn w:val="Normal"/>
    <w:rsid w:val="00B66FEA"/>
    <w:pPr>
      <w:spacing w:before="100" w:beforeAutospacing="1" w:after="100" w:afterAutospacing="1"/>
      <w:jc w:val="center"/>
    </w:pPr>
    <w:rPr>
      <w:rFonts w:ascii="Arial" w:hAnsi="Arial" w:cs="Arial"/>
      <w:b/>
      <w:bCs/>
      <w:sz w:val="20"/>
      <w:szCs w:val="20"/>
    </w:rPr>
  </w:style>
  <w:style w:type="paragraph" w:customStyle="1" w:styleId="xl71">
    <w:name w:val="xl71"/>
    <w:basedOn w:val="Normal"/>
    <w:rsid w:val="00B66FEA"/>
    <w:pPr>
      <w:pBdr>
        <w:left w:val="single" w:sz="8" w:space="0" w:color="auto"/>
      </w:pBdr>
      <w:spacing w:before="100" w:beforeAutospacing="1" w:after="100" w:afterAutospacing="1"/>
      <w:jc w:val="center"/>
    </w:pPr>
  </w:style>
  <w:style w:type="paragraph" w:customStyle="1" w:styleId="xl72">
    <w:name w:val="xl72"/>
    <w:basedOn w:val="Normal"/>
    <w:rsid w:val="00B66FEA"/>
    <w:pPr>
      <w:spacing w:before="100" w:beforeAutospacing="1" w:after="100" w:afterAutospacing="1"/>
      <w:jc w:val="center"/>
    </w:pPr>
  </w:style>
  <w:style w:type="paragraph" w:customStyle="1" w:styleId="xl73">
    <w:name w:val="xl73"/>
    <w:basedOn w:val="Normal"/>
    <w:rsid w:val="00B66FEA"/>
    <w:pPr>
      <w:spacing w:before="100" w:beforeAutospacing="1" w:after="100" w:afterAutospacing="1"/>
      <w:jc w:val="center"/>
    </w:pPr>
  </w:style>
  <w:style w:type="paragraph" w:customStyle="1" w:styleId="xl74">
    <w:name w:val="xl74"/>
    <w:basedOn w:val="Normal"/>
    <w:rsid w:val="00B66FEA"/>
    <w:pPr>
      <w:spacing w:before="100" w:beforeAutospacing="1" w:after="100" w:afterAutospacing="1"/>
      <w:jc w:val="center"/>
    </w:pPr>
  </w:style>
  <w:style w:type="paragraph" w:customStyle="1" w:styleId="xl75">
    <w:name w:val="xl75"/>
    <w:basedOn w:val="Normal"/>
    <w:rsid w:val="00B66FEA"/>
    <w:pPr>
      <w:spacing w:before="100" w:beforeAutospacing="1" w:after="100" w:afterAutospacing="1"/>
    </w:pPr>
    <w:rPr>
      <w:rFonts w:ascii="Arial" w:hAnsi="Arial" w:cs="Arial"/>
      <w:b/>
      <w:bCs/>
      <w:sz w:val="20"/>
      <w:szCs w:val="20"/>
    </w:rPr>
  </w:style>
  <w:style w:type="paragraph" w:customStyle="1" w:styleId="xl76">
    <w:name w:val="xl76"/>
    <w:basedOn w:val="Normal"/>
    <w:rsid w:val="00B66FEA"/>
    <w:pPr>
      <w:pBdr>
        <w:left w:val="single" w:sz="8" w:space="0" w:color="auto"/>
      </w:pBdr>
      <w:spacing w:before="100" w:beforeAutospacing="1" w:after="100" w:afterAutospacing="1"/>
    </w:pPr>
    <w:rPr>
      <w:rFonts w:ascii="Arial" w:hAnsi="Arial" w:cs="Arial"/>
      <w:b/>
      <w:bCs/>
      <w:sz w:val="20"/>
      <w:szCs w:val="20"/>
    </w:rPr>
  </w:style>
  <w:style w:type="paragraph" w:customStyle="1" w:styleId="xl78">
    <w:name w:val="xl78"/>
    <w:basedOn w:val="Normal"/>
    <w:rsid w:val="00B66FEA"/>
    <w:pPr>
      <w:pBdr>
        <w:left w:val="single" w:sz="8" w:space="0" w:color="auto"/>
        <w:bottom w:val="single" w:sz="8" w:space="0" w:color="auto"/>
      </w:pBdr>
      <w:spacing w:before="100" w:beforeAutospacing="1" w:after="100" w:afterAutospacing="1"/>
    </w:pPr>
  </w:style>
  <w:style w:type="paragraph" w:customStyle="1" w:styleId="xl79">
    <w:name w:val="xl79"/>
    <w:basedOn w:val="Normal"/>
    <w:rsid w:val="00B66FEA"/>
    <w:pPr>
      <w:pBdr>
        <w:bottom w:val="single" w:sz="8" w:space="0" w:color="auto"/>
      </w:pBdr>
      <w:spacing w:before="100" w:beforeAutospacing="1" w:after="100" w:afterAutospacing="1"/>
    </w:pPr>
  </w:style>
  <w:style w:type="paragraph" w:customStyle="1" w:styleId="xl80">
    <w:name w:val="xl80"/>
    <w:basedOn w:val="Normal"/>
    <w:rsid w:val="00B66FEA"/>
    <w:pPr>
      <w:pBdr>
        <w:bottom w:val="single" w:sz="8" w:space="0" w:color="auto"/>
        <w:right w:val="single" w:sz="8" w:space="0" w:color="auto"/>
      </w:pBdr>
      <w:spacing w:before="100" w:beforeAutospacing="1" w:after="100" w:afterAutospacing="1"/>
    </w:pPr>
  </w:style>
  <w:style w:type="paragraph" w:customStyle="1" w:styleId="xl81">
    <w:name w:val="xl81"/>
    <w:basedOn w:val="Normal"/>
    <w:rsid w:val="00B66FEA"/>
    <w:pPr>
      <w:pBdr>
        <w:top w:val="single" w:sz="8" w:space="0" w:color="auto"/>
        <w:left w:val="single" w:sz="8" w:space="0" w:color="auto"/>
      </w:pBdr>
      <w:spacing w:before="100" w:beforeAutospacing="1" w:after="100" w:afterAutospacing="1"/>
    </w:pPr>
  </w:style>
  <w:style w:type="paragraph" w:customStyle="1" w:styleId="xl82">
    <w:name w:val="xl82"/>
    <w:basedOn w:val="Normal"/>
    <w:rsid w:val="00B66FEA"/>
    <w:pPr>
      <w:pBdr>
        <w:top w:val="single" w:sz="8" w:space="0" w:color="auto"/>
      </w:pBdr>
      <w:spacing w:before="100" w:beforeAutospacing="1" w:after="100" w:afterAutospacing="1"/>
      <w:jc w:val="center"/>
    </w:pPr>
    <w:rPr>
      <w:rFonts w:ascii="Arial" w:hAnsi="Arial" w:cs="Arial"/>
      <w:b/>
      <w:bCs/>
      <w:sz w:val="20"/>
      <w:szCs w:val="20"/>
    </w:rPr>
  </w:style>
  <w:style w:type="paragraph" w:customStyle="1" w:styleId="xl83">
    <w:name w:val="xl83"/>
    <w:basedOn w:val="Normal"/>
    <w:rsid w:val="00B66FEA"/>
    <w:pPr>
      <w:pBdr>
        <w:top w:val="single" w:sz="8" w:space="0" w:color="auto"/>
      </w:pBdr>
      <w:spacing w:before="100" w:beforeAutospacing="1" w:after="100" w:afterAutospacing="1"/>
      <w:jc w:val="center"/>
    </w:pPr>
  </w:style>
  <w:style w:type="paragraph" w:customStyle="1" w:styleId="xl84">
    <w:name w:val="xl84"/>
    <w:basedOn w:val="Normal"/>
    <w:rsid w:val="00B66FEA"/>
    <w:pPr>
      <w:pBdr>
        <w:bottom w:val="single" w:sz="8" w:space="0" w:color="auto"/>
      </w:pBdr>
      <w:spacing w:before="100" w:beforeAutospacing="1" w:after="100" w:afterAutospacing="1"/>
      <w:jc w:val="center"/>
    </w:pPr>
    <w:rPr>
      <w:rFonts w:ascii="Arial" w:hAnsi="Arial" w:cs="Arial"/>
      <w:b/>
      <w:bCs/>
      <w:sz w:val="20"/>
      <w:szCs w:val="20"/>
    </w:rPr>
  </w:style>
  <w:style w:type="paragraph" w:customStyle="1" w:styleId="xl85">
    <w:name w:val="xl85"/>
    <w:basedOn w:val="Normal"/>
    <w:rsid w:val="00B66FEA"/>
    <w:pPr>
      <w:pBdr>
        <w:bottom w:val="single" w:sz="8" w:space="0" w:color="auto"/>
      </w:pBdr>
      <w:spacing w:before="100" w:beforeAutospacing="1" w:after="100" w:afterAutospacing="1"/>
      <w:jc w:val="center"/>
    </w:pPr>
  </w:style>
  <w:style w:type="paragraph" w:styleId="Sinespaciado">
    <w:name w:val="No Spacing"/>
    <w:uiPriority w:val="1"/>
    <w:qFormat/>
    <w:rsid w:val="00F255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5127">
      <w:bodyDiv w:val="1"/>
      <w:marLeft w:val="0"/>
      <w:marRight w:val="0"/>
      <w:marTop w:val="0"/>
      <w:marBottom w:val="0"/>
      <w:divBdr>
        <w:top w:val="none" w:sz="0" w:space="0" w:color="auto"/>
        <w:left w:val="none" w:sz="0" w:space="0" w:color="auto"/>
        <w:bottom w:val="none" w:sz="0" w:space="0" w:color="auto"/>
        <w:right w:val="none" w:sz="0" w:space="0" w:color="auto"/>
      </w:divBdr>
    </w:div>
    <w:div w:id="15608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EEA6A-A5F9-4A8D-B72C-22CDC058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3142</Words>
  <Characters>17287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20389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creator>JAVIER ANDRES</dc:creator>
  <cp:lastModifiedBy>Henry Lora Rodriguez</cp:lastModifiedBy>
  <cp:revision>9</cp:revision>
  <cp:lastPrinted>2018-07-11T16:26:00Z</cp:lastPrinted>
  <dcterms:created xsi:type="dcterms:W3CDTF">2018-07-06T14:39:00Z</dcterms:created>
  <dcterms:modified xsi:type="dcterms:W3CDTF">2018-08-21T15:13:00Z</dcterms:modified>
</cp:coreProperties>
</file>