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FA0" w:rsidRPr="00EA3EFB" w:rsidRDefault="00AB3FA0" w:rsidP="00AB3FA0">
      <w:pPr>
        <w:pStyle w:val="Puesto"/>
        <w:pBdr>
          <w:top w:val="single" w:sz="4" w:space="1" w:color="auto"/>
          <w:left w:val="single" w:sz="4" w:space="4" w:color="auto"/>
          <w:bottom w:val="single" w:sz="4" w:space="1" w:color="auto"/>
          <w:right w:val="single" w:sz="4" w:space="4" w:color="auto"/>
        </w:pBdr>
        <w:spacing w:line="240" w:lineRule="auto"/>
        <w:rPr>
          <w:rFonts w:ascii="Arial Narrow" w:hAnsi="Arial Narrow" w:cs="Tahoma"/>
          <w:b w:val="0"/>
          <w:sz w:val="18"/>
          <w:szCs w:val="18"/>
        </w:rPr>
      </w:pPr>
      <w:r w:rsidRPr="00EA3EFB">
        <w:rPr>
          <w:rFonts w:ascii="Arial Narrow" w:hAnsi="Arial Narrow" w:cs="Tahoma"/>
          <w:b w:val="0"/>
          <w:sz w:val="18"/>
          <w:szCs w:val="18"/>
        </w:rPr>
        <w:t>El contenido total y fiel de la decisión debe ser verificado en el audio que reposa en la secretaría</w:t>
      </w:r>
      <w:r>
        <w:rPr>
          <w:rFonts w:ascii="Arial Narrow" w:hAnsi="Arial Narrow" w:cs="Tahoma"/>
          <w:b w:val="0"/>
          <w:sz w:val="18"/>
          <w:szCs w:val="18"/>
        </w:rPr>
        <w:t xml:space="preserve"> de esta Corporación</w:t>
      </w:r>
      <w:r w:rsidRPr="00EA3EFB">
        <w:rPr>
          <w:rFonts w:ascii="Arial Narrow" w:hAnsi="Arial Narrow" w:cs="Tahoma"/>
          <w:b w:val="0"/>
          <w:sz w:val="18"/>
          <w:szCs w:val="18"/>
        </w:rPr>
        <w:t>.</w:t>
      </w:r>
    </w:p>
    <w:p w:rsidR="00AB3FA0" w:rsidRPr="006950C0" w:rsidRDefault="00AB3FA0" w:rsidP="00AB3FA0">
      <w:pPr>
        <w:pStyle w:val="Puesto"/>
        <w:spacing w:line="240" w:lineRule="auto"/>
        <w:jc w:val="both"/>
        <w:rPr>
          <w:rFonts w:ascii="Tahoma" w:hAnsi="Tahoma" w:cs="Tahoma"/>
          <w:sz w:val="14"/>
          <w:szCs w:val="14"/>
        </w:rPr>
      </w:pPr>
    </w:p>
    <w:p w:rsidR="00AB3FA0" w:rsidRPr="00AB3FA0" w:rsidRDefault="00AB3FA0" w:rsidP="00AB3FA0">
      <w:pPr>
        <w:pStyle w:val="Sinespaciado"/>
        <w:jc w:val="both"/>
        <w:rPr>
          <w:rFonts w:ascii="Arial" w:hAnsi="Arial" w:cs="Arial"/>
          <w:sz w:val="18"/>
        </w:rPr>
      </w:pPr>
      <w:r w:rsidRPr="00AB3FA0">
        <w:rPr>
          <w:rFonts w:ascii="Arial" w:hAnsi="Arial" w:cs="Arial"/>
          <w:sz w:val="18"/>
        </w:rPr>
        <w:t>Providencia</w:t>
      </w:r>
      <w:r w:rsidRPr="00AB3FA0">
        <w:rPr>
          <w:rFonts w:ascii="Arial" w:hAnsi="Arial" w:cs="Arial"/>
          <w:sz w:val="18"/>
        </w:rPr>
        <w:tab/>
        <w:t xml:space="preserve">: </w:t>
      </w:r>
      <w:r>
        <w:rPr>
          <w:rFonts w:ascii="Arial" w:hAnsi="Arial" w:cs="Arial"/>
          <w:sz w:val="18"/>
        </w:rPr>
        <w:tab/>
      </w:r>
      <w:r w:rsidRPr="00AB3FA0">
        <w:rPr>
          <w:rFonts w:ascii="Arial" w:hAnsi="Arial" w:cs="Arial"/>
          <w:sz w:val="18"/>
        </w:rPr>
        <w:t>Auto del 6 de julio de 2018</w:t>
      </w:r>
    </w:p>
    <w:p w:rsidR="00AB3FA0" w:rsidRPr="00AB3FA0" w:rsidRDefault="00AB3FA0" w:rsidP="00AB3FA0">
      <w:pPr>
        <w:pStyle w:val="Sinespaciado"/>
        <w:jc w:val="both"/>
        <w:rPr>
          <w:rFonts w:ascii="Arial" w:hAnsi="Arial" w:cs="Arial"/>
          <w:sz w:val="18"/>
        </w:rPr>
      </w:pPr>
      <w:r w:rsidRPr="00AB3FA0">
        <w:rPr>
          <w:rFonts w:ascii="Arial" w:hAnsi="Arial" w:cs="Arial"/>
          <w:sz w:val="18"/>
        </w:rPr>
        <w:t xml:space="preserve">Radicación No. </w:t>
      </w:r>
      <w:r w:rsidRPr="00AB3FA0">
        <w:rPr>
          <w:rFonts w:ascii="Arial" w:hAnsi="Arial" w:cs="Arial"/>
          <w:sz w:val="18"/>
        </w:rPr>
        <w:tab/>
        <w:t xml:space="preserve">: </w:t>
      </w:r>
      <w:r>
        <w:rPr>
          <w:rFonts w:ascii="Arial" w:hAnsi="Arial" w:cs="Arial"/>
          <w:sz w:val="18"/>
        </w:rPr>
        <w:tab/>
      </w:r>
      <w:r w:rsidRPr="00AB3FA0">
        <w:rPr>
          <w:rFonts w:ascii="Arial" w:hAnsi="Arial" w:cs="Arial"/>
          <w:sz w:val="18"/>
        </w:rPr>
        <w:t>66001-31-05-004-2017-00186-01</w:t>
      </w:r>
    </w:p>
    <w:p w:rsidR="00AB3FA0" w:rsidRPr="00AB3FA0" w:rsidRDefault="00AB3FA0" w:rsidP="00AB3FA0">
      <w:pPr>
        <w:pStyle w:val="Sinespaciado"/>
        <w:jc w:val="both"/>
        <w:rPr>
          <w:rFonts w:ascii="Arial" w:hAnsi="Arial" w:cs="Arial"/>
          <w:sz w:val="18"/>
        </w:rPr>
      </w:pPr>
      <w:r w:rsidRPr="00AB3FA0">
        <w:rPr>
          <w:rFonts w:ascii="Arial" w:hAnsi="Arial" w:cs="Arial"/>
          <w:sz w:val="18"/>
        </w:rPr>
        <w:t>Proceso</w:t>
      </w:r>
      <w:r w:rsidRPr="00AB3FA0">
        <w:rPr>
          <w:rFonts w:ascii="Arial" w:hAnsi="Arial" w:cs="Arial"/>
          <w:sz w:val="18"/>
        </w:rPr>
        <w:tab/>
      </w:r>
      <w:r w:rsidRPr="00AB3FA0">
        <w:rPr>
          <w:rFonts w:ascii="Arial" w:hAnsi="Arial" w:cs="Arial"/>
          <w:sz w:val="18"/>
        </w:rPr>
        <w:tab/>
        <w:t xml:space="preserve">: </w:t>
      </w:r>
      <w:r>
        <w:rPr>
          <w:rFonts w:ascii="Arial" w:hAnsi="Arial" w:cs="Arial"/>
          <w:sz w:val="18"/>
        </w:rPr>
        <w:tab/>
      </w:r>
      <w:r w:rsidRPr="00AB3FA0">
        <w:rPr>
          <w:rFonts w:ascii="Arial" w:hAnsi="Arial" w:cs="Arial"/>
          <w:sz w:val="18"/>
        </w:rPr>
        <w:t xml:space="preserve">ORDINARIO LABORAL </w:t>
      </w:r>
    </w:p>
    <w:p w:rsidR="00AB3FA0" w:rsidRPr="00AB3FA0" w:rsidRDefault="00AB3FA0" w:rsidP="00AB3FA0">
      <w:pPr>
        <w:pStyle w:val="Sinespaciado"/>
        <w:jc w:val="both"/>
        <w:rPr>
          <w:rFonts w:ascii="Arial" w:hAnsi="Arial" w:cs="Arial"/>
          <w:sz w:val="18"/>
        </w:rPr>
      </w:pPr>
      <w:r w:rsidRPr="00AB3FA0">
        <w:rPr>
          <w:rFonts w:ascii="Arial" w:hAnsi="Arial" w:cs="Arial"/>
          <w:sz w:val="18"/>
        </w:rPr>
        <w:t>Demandante</w:t>
      </w:r>
      <w:r w:rsidRPr="00AB3FA0">
        <w:rPr>
          <w:rFonts w:ascii="Arial" w:hAnsi="Arial" w:cs="Arial"/>
          <w:sz w:val="18"/>
        </w:rPr>
        <w:tab/>
        <w:t xml:space="preserve">: </w:t>
      </w:r>
      <w:r>
        <w:rPr>
          <w:rFonts w:ascii="Arial" w:hAnsi="Arial" w:cs="Arial"/>
          <w:sz w:val="18"/>
        </w:rPr>
        <w:tab/>
      </w:r>
      <w:r w:rsidRPr="00AB3FA0">
        <w:rPr>
          <w:rFonts w:ascii="Arial" w:hAnsi="Arial" w:cs="Arial"/>
          <w:sz w:val="18"/>
        </w:rPr>
        <w:t xml:space="preserve">ALICIA ACUÑA ARANGO </w:t>
      </w:r>
    </w:p>
    <w:p w:rsidR="00AB3FA0" w:rsidRPr="00AB3FA0" w:rsidRDefault="00AB3FA0" w:rsidP="00AB3FA0">
      <w:pPr>
        <w:pStyle w:val="Sinespaciado"/>
        <w:jc w:val="both"/>
        <w:rPr>
          <w:rFonts w:ascii="Arial" w:hAnsi="Arial" w:cs="Arial"/>
          <w:sz w:val="18"/>
        </w:rPr>
      </w:pPr>
      <w:r w:rsidRPr="00AB3FA0">
        <w:rPr>
          <w:rFonts w:ascii="Arial" w:hAnsi="Arial" w:cs="Arial"/>
          <w:sz w:val="18"/>
        </w:rPr>
        <w:t>Demandado</w:t>
      </w:r>
      <w:r w:rsidRPr="00AB3FA0">
        <w:rPr>
          <w:rFonts w:ascii="Arial" w:hAnsi="Arial" w:cs="Arial"/>
          <w:sz w:val="18"/>
        </w:rPr>
        <w:tab/>
        <w:t xml:space="preserve">: </w:t>
      </w:r>
      <w:r>
        <w:rPr>
          <w:rFonts w:ascii="Arial" w:hAnsi="Arial" w:cs="Arial"/>
          <w:sz w:val="18"/>
        </w:rPr>
        <w:tab/>
      </w:r>
      <w:r w:rsidRPr="00AB3FA0">
        <w:rPr>
          <w:rFonts w:ascii="Arial" w:hAnsi="Arial" w:cs="Arial"/>
          <w:sz w:val="18"/>
        </w:rPr>
        <w:t>PROTECCIÓN S.A. Y COLPENSIONES</w:t>
      </w:r>
    </w:p>
    <w:p w:rsidR="00AB3FA0" w:rsidRPr="00F25515" w:rsidRDefault="00AB3FA0" w:rsidP="00AB3FA0">
      <w:pPr>
        <w:pStyle w:val="Sinespaciado"/>
        <w:jc w:val="both"/>
        <w:rPr>
          <w:rFonts w:ascii="Arial" w:hAnsi="Arial" w:cs="Arial"/>
          <w:b/>
          <w:sz w:val="18"/>
        </w:rPr>
      </w:pPr>
      <w:r w:rsidRPr="00AB3FA0">
        <w:rPr>
          <w:rFonts w:ascii="Arial" w:hAnsi="Arial" w:cs="Arial"/>
          <w:sz w:val="18"/>
        </w:rPr>
        <w:t>Juzgado</w:t>
      </w:r>
      <w:r w:rsidRPr="00AB3FA0">
        <w:rPr>
          <w:rFonts w:ascii="Arial" w:hAnsi="Arial" w:cs="Arial"/>
          <w:sz w:val="18"/>
        </w:rPr>
        <w:tab/>
      </w:r>
      <w:r w:rsidRPr="00AB3FA0">
        <w:rPr>
          <w:rFonts w:ascii="Arial" w:hAnsi="Arial" w:cs="Arial"/>
          <w:sz w:val="18"/>
        </w:rPr>
        <w:tab/>
        <w:t xml:space="preserve">: </w:t>
      </w:r>
      <w:r>
        <w:rPr>
          <w:rFonts w:ascii="Arial" w:hAnsi="Arial" w:cs="Arial"/>
          <w:sz w:val="18"/>
        </w:rPr>
        <w:tab/>
      </w:r>
      <w:r w:rsidRPr="00AB3FA0">
        <w:rPr>
          <w:rFonts w:ascii="Arial" w:hAnsi="Arial" w:cs="Arial"/>
          <w:sz w:val="18"/>
        </w:rPr>
        <w:t>Juzgado Cuarto Laboral del Circuito de Pereira</w:t>
      </w:r>
    </w:p>
    <w:p w:rsidR="00AB3FA0" w:rsidRPr="00F25515" w:rsidRDefault="00AB3FA0" w:rsidP="00AB3FA0">
      <w:pPr>
        <w:pStyle w:val="Sinespaciado"/>
        <w:jc w:val="both"/>
        <w:rPr>
          <w:rFonts w:ascii="Arial" w:hAnsi="Arial" w:cs="Arial"/>
          <w:b/>
          <w:sz w:val="18"/>
        </w:rPr>
      </w:pPr>
      <w:r>
        <w:rPr>
          <w:rFonts w:ascii="Arial" w:hAnsi="Arial" w:cs="Arial"/>
          <w:sz w:val="18"/>
        </w:rPr>
        <w:t>Magistrada ponente:</w:t>
      </w:r>
      <w:r>
        <w:rPr>
          <w:rFonts w:ascii="Arial" w:hAnsi="Arial" w:cs="Arial"/>
          <w:sz w:val="18"/>
        </w:rPr>
        <w:tab/>
      </w:r>
      <w:r w:rsidRPr="00F25515">
        <w:rPr>
          <w:rFonts w:ascii="Arial" w:hAnsi="Arial" w:cs="Arial"/>
          <w:sz w:val="18"/>
        </w:rPr>
        <w:t>Dra. Ana Lucía Caicedo Calderón</w:t>
      </w:r>
    </w:p>
    <w:p w:rsidR="00AB3FA0" w:rsidRDefault="00AB3FA0" w:rsidP="00AB3FA0">
      <w:pPr>
        <w:pStyle w:val="Sinespaciado"/>
        <w:jc w:val="both"/>
        <w:rPr>
          <w:rFonts w:ascii="Arial" w:hAnsi="Arial" w:cs="Arial"/>
          <w:sz w:val="18"/>
        </w:rPr>
      </w:pPr>
    </w:p>
    <w:p w:rsidR="00AB3FA0" w:rsidRDefault="00AB3FA0" w:rsidP="00AB3FA0">
      <w:pPr>
        <w:pStyle w:val="Sinespaciado"/>
        <w:jc w:val="both"/>
        <w:rPr>
          <w:rFonts w:ascii="Arial" w:hAnsi="Arial" w:cs="Arial"/>
          <w:sz w:val="18"/>
        </w:rPr>
      </w:pPr>
    </w:p>
    <w:p w:rsidR="00AB3FA0" w:rsidRDefault="00AB3FA0" w:rsidP="00AB3FA0">
      <w:pPr>
        <w:pStyle w:val="Sinespaciado"/>
        <w:jc w:val="both"/>
        <w:rPr>
          <w:rFonts w:ascii="Arial" w:hAnsi="Arial" w:cs="Arial"/>
          <w:b/>
          <w:sz w:val="18"/>
        </w:rPr>
      </w:pPr>
      <w:r w:rsidRPr="00F25515">
        <w:rPr>
          <w:rFonts w:ascii="Arial" w:hAnsi="Arial" w:cs="Arial"/>
          <w:b/>
          <w:sz w:val="18"/>
        </w:rPr>
        <w:t xml:space="preserve">Temas: </w:t>
      </w:r>
      <w:r w:rsidRPr="00F25515">
        <w:rPr>
          <w:rFonts w:ascii="Arial" w:hAnsi="Arial" w:cs="Arial"/>
          <w:b/>
          <w:sz w:val="18"/>
        </w:rPr>
        <w:tab/>
      </w:r>
      <w:r w:rsidRPr="00F25515">
        <w:rPr>
          <w:rFonts w:ascii="Arial" w:hAnsi="Arial" w:cs="Arial"/>
          <w:b/>
          <w:sz w:val="18"/>
        </w:rPr>
        <w:tab/>
      </w:r>
      <w:r>
        <w:rPr>
          <w:rFonts w:ascii="Arial" w:hAnsi="Arial" w:cs="Arial"/>
          <w:b/>
          <w:sz w:val="18"/>
        </w:rPr>
        <w:t>NULIDAD Y/O INEFICACIA DE TRASLADO</w:t>
      </w:r>
      <w:r>
        <w:rPr>
          <w:rFonts w:ascii="Arial" w:hAnsi="Arial" w:cs="Arial"/>
          <w:b/>
          <w:sz w:val="18"/>
        </w:rPr>
        <w:t xml:space="preserve"> / </w:t>
      </w:r>
      <w:bookmarkStart w:id="0" w:name="_GoBack"/>
      <w:bookmarkEnd w:id="0"/>
      <w:r>
        <w:rPr>
          <w:rFonts w:ascii="Arial" w:hAnsi="Arial" w:cs="Arial"/>
          <w:b/>
          <w:sz w:val="18"/>
        </w:rPr>
        <w:t>FALTA DE INTEGRACIÓN DE LITISCONSORCIO NECESARIO / TRASLADO DE RÉGIMEN / NO REQUIERE VINCULARSE A LOS FONDOS DE PENSIONES A LOS CUALES ESTUVO AFILIADO EL DEMANDANTE DESPUÉS DE OCURRIDO EL CAMBIO DE RÉGIMEN / CONFIRMA / EXCEPCIÓN NO PROBADA</w:t>
      </w:r>
    </w:p>
    <w:p w:rsidR="00AB3FA0" w:rsidRPr="00F25515" w:rsidRDefault="00AB3FA0" w:rsidP="00AB3FA0">
      <w:pPr>
        <w:pStyle w:val="Sinespaciado"/>
        <w:jc w:val="both"/>
        <w:rPr>
          <w:rFonts w:ascii="Arial" w:hAnsi="Arial" w:cs="Arial"/>
          <w:b/>
          <w:sz w:val="18"/>
        </w:rPr>
      </w:pPr>
    </w:p>
    <w:p w:rsidR="00AB3FA0" w:rsidRPr="00AB3FA0" w:rsidRDefault="00AB3FA0" w:rsidP="00AB3FA0">
      <w:pPr>
        <w:pStyle w:val="Sinespaciado"/>
        <w:jc w:val="both"/>
        <w:rPr>
          <w:rFonts w:ascii="Arial" w:hAnsi="Arial" w:cs="Arial"/>
          <w:sz w:val="18"/>
          <w:lang w:val="es-CO"/>
        </w:rPr>
      </w:pPr>
      <w:r w:rsidRPr="00AB3FA0">
        <w:rPr>
          <w:rFonts w:ascii="Arial" w:hAnsi="Arial" w:cs="Arial"/>
          <w:sz w:val="18"/>
          <w:lang w:val="es-CO"/>
        </w:rPr>
        <w:t>En la sentencia hito de la Sala de Casación Laboral de la Corte Suprema de Justicia, calendada el 9 de Septiembre de 2008, radicado 31989, con ponencia del Magistrado Eduardo López Villegas, que abordó el tema de la nulidad de los traslados del régimen de prima media al régimen de ahorro individual, también se acometió el tema referente a las diferentes afiliaciones que una persona realice con los fondos de pensiones privados dentro del régimen de ahorro individual, así:</w:t>
      </w:r>
    </w:p>
    <w:p w:rsidR="00AB3FA0" w:rsidRPr="00AB3FA0" w:rsidRDefault="00AB3FA0" w:rsidP="00AB3FA0">
      <w:pPr>
        <w:pStyle w:val="Sinespaciado"/>
        <w:jc w:val="both"/>
        <w:rPr>
          <w:rFonts w:ascii="Arial" w:hAnsi="Arial" w:cs="Arial"/>
          <w:sz w:val="18"/>
          <w:lang w:val="es-CO"/>
        </w:rPr>
      </w:pPr>
    </w:p>
    <w:p w:rsidR="00AB3FA0" w:rsidRPr="00AB3FA0" w:rsidRDefault="00AB3FA0" w:rsidP="00AB3FA0">
      <w:pPr>
        <w:pStyle w:val="Sinespaciado"/>
        <w:ind w:left="426" w:right="334"/>
        <w:jc w:val="both"/>
        <w:rPr>
          <w:rFonts w:ascii="Arial" w:hAnsi="Arial" w:cs="Arial"/>
          <w:i/>
          <w:sz w:val="18"/>
          <w:lang w:val="es-CO"/>
        </w:rPr>
      </w:pPr>
      <w:r w:rsidRPr="00AB3FA0">
        <w:rPr>
          <w:rFonts w:ascii="Arial" w:hAnsi="Arial" w:cs="Arial"/>
          <w:i/>
          <w:sz w:val="18"/>
          <w:lang w:val="es-CO"/>
        </w:rPr>
        <w:t>“Se ha de señalar que la actuación viciada de traslado del régimen de prima media con prestación definida al de ahorro individual, no se convalida por los traslados de administradoras dentro de este último régimen; ciertamente, la decisión de escoger entre una y otra administradora de ahorro individual, no implica la ratificación de la decisión de cambio de régimen que conlleva modificar sensiblemente el contenido de los derechos prestacionales.</w:t>
      </w:r>
    </w:p>
    <w:p w:rsidR="00AB3FA0" w:rsidRPr="00AB3FA0" w:rsidRDefault="00AB3FA0" w:rsidP="00AB3FA0">
      <w:pPr>
        <w:pStyle w:val="Sinespaciado"/>
        <w:ind w:left="426" w:right="334"/>
        <w:jc w:val="both"/>
        <w:rPr>
          <w:rFonts w:ascii="Arial" w:hAnsi="Arial" w:cs="Arial"/>
          <w:i/>
          <w:sz w:val="18"/>
          <w:lang w:val="es-CO"/>
        </w:rPr>
      </w:pPr>
      <w:r w:rsidRPr="00AB3FA0">
        <w:rPr>
          <w:rFonts w:ascii="Arial" w:hAnsi="Arial" w:cs="Arial"/>
          <w:i/>
          <w:sz w:val="18"/>
          <w:lang w:val="es-CO"/>
        </w:rPr>
        <w:t>(…)</w:t>
      </w:r>
    </w:p>
    <w:p w:rsidR="00AB3FA0" w:rsidRPr="00AB3FA0" w:rsidRDefault="00AB3FA0" w:rsidP="00AB3FA0">
      <w:pPr>
        <w:pStyle w:val="Sinespaciado"/>
        <w:ind w:left="426" w:right="334"/>
        <w:jc w:val="both"/>
        <w:rPr>
          <w:rFonts w:ascii="Arial" w:hAnsi="Arial" w:cs="Arial"/>
          <w:i/>
          <w:sz w:val="18"/>
          <w:lang w:val="es-CO"/>
        </w:rPr>
      </w:pPr>
      <w:r w:rsidRPr="00AB3FA0">
        <w:rPr>
          <w:rFonts w:ascii="Arial" w:hAnsi="Arial" w:cs="Arial"/>
          <w:i/>
          <w:sz w:val="18"/>
          <w:lang w:val="es-CO"/>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rsidR="00AB3FA0" w:rsidRPr="00AB3FA0" w:rsidRDefault="00AB3FA0" w:rsidP="00AB3FA0">
      <w:pPr>
        <w:pStyle w:val="Sinespaciado"/>
        <w:jc w:val="both"/>
        <w:rPr>
          <w:rFonts w:ascii="Arial" w:hAnsi="Arial" w:cs="Arial"/>
          <w:sz w:val="18"/>
          <w:lang w:val="es-CO"/>
        </w:rPr>
      </w:pPr>
    </w:p>
    <w:p w:rsidR="00AB3FA0" w:rsidRDefault="00AB3FA0" w:rsidP="00AB3FA0">
      <w:pPr>
        <w:pStyle w:val="Sinespaciado"/>
        <w:jc w:val="both"/>
        <w:rPr>
          <w:rFonts w:ascii="Arial" w:hAnsi="Arial" w:cs="Arial"/>
          <w:sz w:val="18"/>
        </w:rPr>
      </w:pPr>
      <w:r w:rsidRPr="00AB3FA0">
        <w:rPr>
          <w:rFonts w:ascii="Arial" w:hAnsi="Arial" w:cs="Arial"/>
          <w:sz w:val="18"/>
          <w:lang w:val="es-CO"/>
        </w:rPr>
        <w:t>Cómo puede verse, de acuerdo a la jurisprudencia en cita, el traslado del régimen de prima media al régimen de ahorro individual es uno solo y no tantos cuantas afiliaciones hubiere hecho la persona a los diferentes fondos de pensiones privados, de modo que si resultare nula o ineficaz la primera afiliación, que fue la que marcó el traslado de un régimen a otro, las afiliaciones posteriores no convalidan la actuación viciada, ni tampoco ratifican el cambio de régimen que ocurrió por el engaño y la desinformación. Dicho en otras palabras, las afiliaciones posteriores quedan sin ningún valor por cuenta, precisamente de los efectos de la declaratoria de la nulidad y/o ineficacia, tal como lo ha sostenido esta Sala siguiendo esa línea jurisprudencial.</w:t>
      </w:r>
    </w:p>
    <w:p w:rsidR="00AB3FA0" w:rsidRDefault="00AB3FA0" w:rsidP="009B4A96">
      <w:pPr>
        <w:pStyle w:val="NormalWeb"/>
        <w:spacing w:before="0" w:beforeAutospacing="0" w:after="0" w:afterAutospacing="0" w:line="276" w:lineRule="auto"/>
        <w:jc w:val="both"/>
        <w:rPr>
          <w:rFonts w:ascii="Tahoma" w:hAnsi="Tahoma" w:cs="Tahoma"/>
          <w:sz w:val="18"/>
          <w:szCs w:val="18"/>
        </w:rPr>
      </w:pPr>
    </w:p>
    <w:p w:rsidR="00D044A2" w:rsidRDefault="00D044A2" w:rsidP="004B23BA">
      <w:pPr>
        <w:spacing w:line="276" w:lineRule="auto"/>
        <w:ind w:left="1418" w:right="51" w:hanging="1418"/>
        <w:jc w:val="both"/>
        <w:rPr>
          <w:rFonts w:ascii="Tahoma" w:hAnsi="Tahoma" w:cs="Tahoma"/>
          <w:sz w:val="18"/>
          <w:szCs w:val="18"/>
          <w:shd w:val="clear" w:color="auto" w:fill="FFFFFF"/>
        </w:rPr>
      </w:pPr>
    </w:p>
    <w:p w:rsidR="00AB3FA0" w:rsidRDefault="00AB3FA0" w:rsidP="004B23BA">
      <w:pPr>
        <w:spacing w:line="276" w:lineRule="auto"/>
        <w:ind w:left="1418" w:right="51" w:hanging="1418"/>
        <w:jc w:val="both"/>
        <w:rPr>
          <w:rFonts w:ascii="Tahoma" w:hAnsi="Tahoma" w:cs="Tahoma"/>
          <w:sz w:val="18"/>
          <w:szCs w:val="18"/>
          <w:shd w:val="clear" w:color="auto" w:fill="FFFFFF"/>
        </w:rPr>
      </w:pPr>
    </w:p>
    <w:p w:rsidR="00AB3FA0" w:rsidRPr="004B23BA" w:rsidRDefault="00AB3FA0" w:rsidP="004B23BA">
      <w:pPr>
        <w:spacing w:line="276" w:lineRule="auto"/>
        <w:ind w:left="1418" w:right="51" w:hanging="1418"/>
        <w:jc w:val="both"/>
        <w:rPr>
          <w:rFonts w:ascii="Tahoma" w:hAnsi="Tahoma" w:cs="Tahoma"/>
          <w:sz w:val="18"/>
          <w:szCs w:val="18"/>
          <w:shd w:val="clear" w:color="auto" w:fill="FFFFFF"/>
        </w:rPr>
      </w:pPr>
    </w:p>
    <w:p w:rsidR="009B4A96" w:rsidRPr="001B6A95" w:rsidRDefault="009B4A96" w:rsidP="009B4A96">
      <w:pPr>
        <w:spacing w:line="276" w:lineRule="auto"/>
        <w:ind w:left="1418" w:right="51" w:hanging="1418"/>
        <w:jc w:val="both"/>
        <w:rPr>
          <w:rFonts w:ascii="Tahoma" w:hAnsi="Tahoma" w:cs="Tahoma"/>
          <w:sz w:val="18"/>
          <w:szCs w:val="18"/>
        </w:rPr>
      </w:pPr>
    </w:p>
    <w:p w:rsidR="009B4A96" w:rsidRPr="00C6522A" w:rsidRDefault="009B4A96" w:rsidP="009B4A96">
      <w:pPr>
        <w:shd w:val="clear" w:color="auto" w:fill="FFFFFF"/>
        <w:spacing w:line="276" w:lineRule="auto"/>
        <w:jc w:val="both"/>
        <w:textAlignment w:val="baseline"/>
        <w:rPr>
          <w:rFonts w:ascii="Tahoma" w:eastAsia="Times New Roman" w:hAnsi="Tahoma" w:cs="Tahoma"/>
          <w:sz w:val="18"/>
          <w:szCs w:val="18"/>
          <w:bdr w:val="none" w:sz="0" w:space="0" w:color="auto" w:frame="1"/>
        </w:rPr>
      </w:pPr>
    </w:p>
    <w:p w:rsidR="009B4A96" w:rsidRPr="0085757C" w:rsidRDefault="009B4A96" w:rsidP="009B4A96">
      <w:pPr>
        <w:pStyle w:val="Ttulo4"/>
        <w:widowControl w:val="0"/>
        <w:tabs>
          <w:tab w:val="left" w:pos="708"/>
        </w:tabs>
        <w:spacing w:before="0"/>
        <w:jc w:val="center"/>
        <w:rPr>
          <w:rFonts w:ascii="Tahoma" w:hAnsi="Tahoma" w:cs="Tahoma"/>
          <w:b/>
          <w:bCs/>
          <w:i w:val="0"/>
          <w:color w:val="auto"/>
          <w:lang w:eastAsia="es-MX"/>
        </w:rPr>
      </w:pPr>
      <w:r w:rsidRPr="0085757C">
        <w:rPr>
          <w:rFonts w:ascii="Tahoma" w:hAnsi="Tahoma" w:cs="Tahoma"/>
          <w:b/>
          <w:bCs/>
          <w:i w:val="0"/>
          <w:color w:val="auto"/>
          <w:lang w:eastAsia="es-MX"/>
        </w:rPr>
        <w:t>TRIBUNAL SUPERIOR DEL DISTRITO JUDICIAL DE PEREIRA</w:t>
      </w:r>
    </w:p>
    <w:p w:rsidR="009B4A96" w:rsidRPr="0085757C" w:rsidRDefault="009B4A96" w:rsidP="009B4A96">
      <w:pPr>
        <w:pStyle w:val="Ttulo4"/>
        <w:widowControl w:val="0"/>
        <w:tabs>
          <w:tab w:val="left" w:pos="708"/>
        </w:tabs>
        <w:spacing w:before="0"/>
        <w:jc w:val="center"/>
        <w:rPr>
          <w:rFonts w:ascii="Tahoma" w:hAnsi="Tahoma" w:cs="Tahoma"/>
          <w:b/>
          <w:bCs/>
          <w:i w:val="0"/>
          <w:color w:val="auto"/>
          <w:lang w:eastAsia="es-MX"/>
        </w:rPr>
      </w:pPr>
      <w:r w:rsidRPr="0085757C">
        <w:rPr>
          <w:rFonts w:ascii="Tahoma" w:hAnsi="Tahoma" w:cs="Tahoma"/>
          <w:b/>
          <w:bCs/>
          <w:i w:val="0"/>
          <w:color w:val="auto"/>
          <w:lang w:eastAsia="es-MX"/>
        </w:rPr>
        <w:t>SALA LABORAL</w:t>
      </w:r>
    </w:p>
    <w:p w:rsidR="009B4A96" w:rsidRPr="0085757C" w:rsidRDefault="009B4A96" w:rsidP="009B4A96">
      <w:pPr>
        <w:spacing w:line="240" w:lineRule="auto"/>
        <w:rPr>
          <w:lang w:eastAsia="es-MX"/>
        </w:rPr>
      </w:pPr>
    </w:p>
    <w:p w:rsidR="009B4A96" w:rsidRPr="0085757C" w:rsidRDefault="009B4A96" w:rsidP="009B4A96">
      <w:pPr>
        <w:spacing w:line="276" w:lineRule="auto"/>
        <w:jc w:val="center"/>
        <w:rPr>
          <w:rFonts w:ascii="Tahoma" w:hAnsi="Tahoma" w:cs="Tahoma"/>
          <w:b/>
          <w:bCs/>
        </w:rPr>
      </w:pPr>
      <w:r w:rsidRPr="0085757C">
        <w:rPr>
          <w:rFonts w:ascii="Tahoma" w:hAnsi="Tahoma" w:cs="Tahoma"/>
          <w:bCs/>
        </w:rPr>
        <w:t>Magistrada Ponente:</w:t>
      </w:r>
      <w:r w:rsidRPr="0085757C">
        <w:rPr>
          <w:rFonts w:ascii="Tahoma" w:hAnsi="Tahoma" w:cs="Tahoma"/>
          <w:b/>
          <w:bCs/>
        </w:rPr>
        <w:t xml:space="preserve"> ANA LUCÍA CAICEDO CALDERÓN</w:t>
      </w:r>
    </w:p>
    <w:p w:rsidR="009B4A96" w:rsidRPr="0085757C" w:rsidRDefault="009B4A96" w:rsidP="009B4A96">
      <w:pPr>
        <w:spacing w:line="240" w:lineRule="auto"/>
        <w:jc w:val="center"/>
        <w:rPr>
          <w:rFonts w:ascii="Tahoma" w:hAnsi="Tahoma" w:cs="Tahoma"/>
          <w:b/>
        </w:rPr>
      </w:pPr>
    </w:p>
    <w:p w:rsidR="009B4A96" w:rsidRPr="0085757C" w:rsidRDefault="009B4A96" w:rsidP="009B4A96">
      <w:pPr>
        <w:spacing w:line="276" w:lineRule="auto"/>
        <w:jc w:val="center"/>
        <w:rPr>
          <w:rFonts w:ascii="Tahoma" w:hAnsi="Tahoma" w:cs="Tahoma"/>
          <w:b/>
        </w:rPr>
      </w:pPr>
      <w:r w:rsidRPr="0085757C">
        <w:rPr>
          <w:rFonts w:ascii="Tahoma" w:hAnsi="Tahoma" w:cs="Tahoma"/>
          <w:b/>
        </w:rPr>
        <w:t>ACTA No. ______</w:t>
      </w:r>
    </w:p>
    <w:p w:rsidR="009B4A96" w:rsidRPr="0085757C" w:rsidRDefault="009B4A96" w:rsidP="009B4A96">
      <w:pPr>
        <w:spacing w:line="276" w:lineRule="auto"/>
        <w:jc w:val="center"/>
        <w:rPr>
          <w:rFonts w:ascii="Tahoma" w:hAnsi="Tahoma" w:cs="Tahoma"/>
          <w:b/>
        </w:rPr>
      </w:pPr>
      <w:r w:rsidRPr="0085757C">
        <w:rPr>
          <w:rFonts w:ascii="Tahoma" w:hAnsi="Tahoma" w:cs="Tahoma"/>
          <w:b/>
        </w:rPr>
        <w:t>(</w:t>
      </w:r>
      <w:r w:rsidR="00ED20B0" w:rsidRPr="0085757C">
        <w:rPr>
          <w:rFonts w:ascii="Tahoma" w:hAnsi="Tahoma" w:cs="Tahoma"/>
          <w:b/>
        </w:rPr>
        <w:t>6 de julio</w:t>
      </w:r>
      <w:r w:rsidRPr="0085757C">
        <w:rPr>
          <w:rFonts w:ascii="Tahoma" w:hAnsi="Tahoma" w:cs="Tahoma"/>
          <w:b/>
        </w:rPr>
        <w:t xml:space="preserve"> de 2018)</w:t>
      </w:r>
    </w:p>
    <w:p w:rsidR="009B4A96" w:rsidRPr="0085757C" w:rsidRDefault="009B4A96" w:rsidP="009B4A96">
      <w:pPr>
        <w:spacing w:line="276" w:lineRule="auto"/>
        <w:jc w:val="both"/>
        <w:rPr>
          <w:rFonts w:ascii="Tahoma" w:hAnsi="Tahoma" w:cs="Tahoma"/>
          <w:b/>
        </w:rPr>
      </w:pPr>
      <w:r w:rsidRPr="0085757C">
        <w:rPr>
          <w:rFonts w:ascii="Tahoma" w:hAnsi="Tahoma" w:cs="Tahoma"/>
          <w:b/>
        </w:rPr>
        <w:tab/>
      </w:r>
    </w:p>
    <w:p w:rsidR="0085757C" w:rsidRPr="0085757C" w:rsidRDefault="0085757C" w:rsidP="0085757C">
      <w:pPr>
        <w:pStyle w:val="Ttulo5"/>
        <w:spacing w:line="240" w:lineRule="auto"/>
        <w:jc w:val="center"/>
        <w:rPr>
          <w:rFonts w:ascii="Tahoma" w:hAnsi="Tahoma" w:cs="Tahoma"/>
          <w:b/>
          <w:color w:val="auto"/>
        </w:rPr>
      </w:pPr>
      <w:r w:rsidRPr="0085757C">
        <w:rPr>
          <w:rFonts w:ascii="Tahoma" w:hAnsi="Tahoma" w:cs="Tahoma"/>
          <w:b/>
          <w:color w:val="auto"/>
        </w:rPr>
        <w:t>Sistema oral - Audiencia para decidir un auto interlocutorio</w:t>
      </w:r>
    </w:p>
    <w:p w:rsidR="0085757C" w:rsidRPr="00A7597E" w:rsidRDefault="0085757C" w:rsidP="0085757C">
      <w:pPr>
        <w:jc w:val="both"/>
        <w:rPr>
          <w:rFonts w:ascii="Tahoma" w:hAnsi="Tahoma" w:cs="Tahoma"/>
          <w:lang w:val="es-ES_tradnl"/>
        </w:rPr>
      </w:pPr>
      <w:r w:rsidRPr="00A7597E">
        <w:rPr>
          <w:rFonts w:ascii="Tahoma" w:hAnsi="Tahoma" w:cs="Tahoma"/>
          <w:b/>
        </w:rPr>
        <w:tab/>
      </w:r>
    </w:p>
    <w:p w:rsidR="0085757C" w:rsidRPr="00A7597E" w:rsidRDefault="0085757C" w:rsidP="00E2526F">
      <w:pPr>
        <w:pStyle w:val="NormalWeb"/>
        <w:spacing w:before="0" w:beforeAutospacing="0" w:after="0" w:afterAutospacing="0" w:line="276" w:lineRule="auto"/>
        <w:jc w:val="both"/>
        <w:rPr>
          <w:rFonts w:ascii="Tahoma" w:hAnsi="Tahoma" w:cs="Tahoma"/>
          <w:sz w:val="22"/>
          <w:szCs w:val="22"/>
        </w:rPr>
      </w:pPr>
      <w:r w:rsidRPr="00A7597E">
        <w:rPr>
          <w:rFonts w:ascii="Tahoma" w:hAnsi="Tahoma" w:cs="Tahoma"/>
          <w:sz w:val="22"/>
          <w:szCs w:val="22"/>
          <w:lang w:val="es-ES_tradnl"/>
        </w:rPr>
        <w:t xml:space="preserve">Siendo las </w:t>
      </w:r>
      <w:r w:rsidR="00A00409">
        <w:rPr>
          <w:rFonts w:ascii="Tahoma" w:hAnsi="Tahoma" w:cs="Tahoma"/>
          <w:sz w:val="22"/>
          <w:szCs w:val="22"/>
          <w:lang w:val="es-ES_tradnl"/>
        </w:rPr>
        <w:t xml:space="preserve">9:40 </w:t>
      </w:r>
      <w:r w:rsidRPr="00A7597E">
        <w:rPr>
          <w:rFonts w:ascii="Tahoma" w:hAnsi="Tahoma" w:cs="Tahoma"/>
          <w:sz w:val="22"/>
          <w:szCs w:val="22"/>
          <w:lang w:val="es-ES_tradnl"/>
        </w:rPr>
        <w:t xml:space="preserve">a.m. de hoy, </w:t>
      </w:r>
      <w:r>
        <w:rPr>
          <w:rFonts w:ascii="Tahoma" w:hAnsi="Tahoma" w:cs="Tahoma"/>
          <w:sz w:val="22"/>
          <w:szCs w:val="22"/>
          <w:lang w:val="es-ES_tradnl"/>
        </w:rPr>
        <w:t>6 de ju</w:t>
      </w:r>
      <w:r>
        <w:rPr>
          <w:rFonts w:ascii="Tahoma" w:hAnsi="Tahoma" w:cs="Tahoma"/>
          <w:lang w:val="es-ES_tradnl"/>
        </w:rPr>
        <w:t>lio de 2018,</w:t>
      </w:r>
      <w:r w:rsidRPr="00A7597E">
        <w:rPr>
          <w:rFonts w:ascii="Tahoma" w:hAnsi="Tahoma" w:cs="Tahoma"/>
          <w:sz w:val="22"/>
          <w:szCs w:val="22"/>
          <w:lang w:val="es-ES_tradnl"/>
        </w:rPr>
        <w:t xml:space="preserve"> la Sala de Decisión Laboral No. 1 del Tribunal Superior de Pereira se constituye en audiencia pública en el proce</w:t>
      </w:r>
      <w:r>
        <w:rPr>
          <w:rFonts w:ascii="Tahoma" w:hAnsi="Tahoma" w:cs="Tahoma"/>
          <w:sz w:val="22"/>
          <w:szCs w:val="22"/>
          <w:lang w:val="es-ES_tradnl"/>
        </w:rPr>
        <w:t>so ordinario laboral instaurado</w:t>
      </w:r>
      <w:r w:rsidR="001B1AC3">
        <w:rPr>
          <w:rFonts w:ascii="Tahoma" w:hAnsi="Tahoma" w:cs="Tahoma"/>
          <w:sz w:val="22"/>
          <w:szCs w:val="22"/>
          <w:lang w:val="es-ES_tradnl"/>
        </w:rPr>
        <w:t xml:space="preserve"> </w:t>
      </w:r>
      <w:proofErr w:type="gramStart"/>
      <w:r w:rsidRPr="00A7597E">
        <w:rPr>
          <w:rFonts w:ascii="Tahoma" w:hAnsi="Tahoma" w:cs="Tahoma"/>
          <w:sz w:val="22"/>
          <w:szCs w:val="22"/>
          <w:lang w:val="es-ES_tradnl"/>
        </w:rPr>
        <w:t>por</w:t>
      </w:r>
      <w:proofErr w:type="gramEnd"/>
      <w:r w:rsidRPr="00A7597E">
        <w:rPr>
          <w:rFonts w:ascii="Tahoma" w:hAnsi="Tahoma" w:cs="Tahoma"/>
          <w:sz w:val="22"/>
          <w:szCs w:val="22"/>
          <w:lang w:val="es-ES_tradnl"/>
        </w:rPr>
        <w:t xml:space="preserve"> </w:t>
      </w:r>
      <w:r w:rsidRPr="0085757C">
        <w:rPr>
          <w:rFonts w:ascii="Tahoma" w:hAnsi="Tahoma" w:cs="Tahoma"/>
          <w:b/>
          <w:sz w:val="22"/>
          <w:szCs w:val="22"/>
        </w:rPr>
        <w:t>ALICIA ACUÑA ARANGO</w:t>
      </w:r>
      <w:r>
        <w:rPr>
          <w:rFonts w:ascii="Tahoma" w:hAnsi="Tahoma" w:cs="Tahoma"/>
          <w:b/>
          <w:sz w:val="22"/>
          <w:szCs w:val="22"/>
        </w:rPr>
        <w:t xml:space="preserve"> </w:t>
      </w:r>
      <w:r>
        <w:rPr>
          <w:rFonts w:ascii="Tahoma" w:hAnsi="Tahoma" w:cs="Tahoma"/>
          <w:sz w:val="22"/>
          <w:szCs w:val="22"/>
        </w:rPr>
        <w:t xml:space="preserve">en contra del </w:t>
      </w:r>
      <w:r w:rsidRPr="00E2526F">
        <w:rPr>
          <w:rFonts w:ascii="Tahoma" w:hAnsi="Tahoma" w:cs="Tahoma"/>
          <w:b/>
          <w:sz w:val="22"/>
          <w:szCs w:val="22"/>
        </w:rPr>
        <w:t>Fondo de Pen</w:t>
      </w:r>
      <w:r w:rsidR="00E2526F" w:rsidRPr="00E2526F">
        <w:rPr>
          <w:rFonts w:ascii="Tahoma" w:hAnsi="Tahoma" w:cs="Tahoma"/>
          <w:b/>
          <w:sz w:val="22"/>
          <w:szCs w:val="22"/>
        </w:rPr>
        <w:t>siones y Cesantías</w:t>
      </w:r>
      <w:r w:rsidR="00E2526F">
        <w:rPr>
          <w:rFonts w:ascii="Tahoma" w:hAnsi="Tahoma" w:cs="Tahoma"/>
          <w:sz w:val="22"/>
          <w:szCs w:val="22"/>
        </w:rPr>
        <w:t xml:space="preserve"> </w:t>
      </w:r>
      <w:r w:rsidR="00E2526F">
        <w:rPr>
          <w:rFonts w:ascii="Tahoma" w:hAnsi="Tahoma" w:cs="Tahoma"/>
          <w:b/>
          <w:sz w:val="22"/>
          <w:szCs w:val="22"/>
        </w:rPr>
        <w:t xml:space="preserve">PROTECCIÓN S.A. </w:t>
      </w:r>
      <w:r w:rsidR="00E2526F">
        <w:rPr>
          <w:rFonts w:ascii="Tahoma" w:hAnsi="Tahoma" w:cs="Tahoma"/>
          <w:sz w:val="22"/>
          <w:szCs w:val="22"/>
        </w:rPr>
        <w:t xml:space="preserve">y la </w:t>
      </w:r>
      <w:r w:rsidRPr="00A7597E">
        <w:rPr>
          <w:rFonts w:ascii="Tahoma" w:hAnsi="Tahoma" w:cs="Tahoma"/>
          <w:b/>
          <w:sz w:val="22"/>
          <w:szCs w:val="22"/>
          <w:lang w:val="es-ES_tradnl"/>
        </w:rPr>
        <w:t>Administradora Colombiana de Pensiones – Colpensiones.</w:t>
      </w:r>
    </w:p>
    <w:p w:rsidR="0085757C" w:rsidRPr="00480896" w:rsidRDefault="0085757C" w:rsidP="0085757C">
      <w:pPr>
        <w:ind w:firstLine="708"/>
        <w:jc w:val="both"/>
        <w:rPr>
          <w:rFonts w:ascii="Tahoma" w:hAnsi="Tahoma" w:cs="Tahoma"/>
        </w:rPr>
      </w:pPr>
    </w:p>
    <w:p w:rsidR="0085757C" w:rsidRPr="007834F9" w:rsidRDefault="0085757C" w:rsidP="0085757C">
      <w:pPr>
        <w:spacing w:line="276" w:lineRule="auto"/>
        <w:ind w:firstLine="708"/>
        <w:jc w:val="both"/>
        <w:rPr>
          <w:rFonts w:ascii="Tahoma" w:hAnsi="Tahoma" w:cs="Tahoma"/>
          <w:lang w:val="es-ES_tradnl"/>
        </w:rPr>
      </w:pPr>
      <w:r w:rsidRPr="007834F9">
        <w:rPr>
          <w:rFonts w:ascii="Tahoma" w:hAnsi="Tahoma" w:cs="Tahoma"/>
          <w:lang w:val="es-ES_tradnl"/>
        </w:rPr>
        <w:t>Para el efecto, se verifica la asistencia de las partes a la presente diligencia: Por la parte demandante… Por la demandada…</w:t>
      </w:r>
    </w:p>
    <w:p w:rsidR="0085757C" w:rsidRPr="00C75CBF" w:rsidRDefault="0085757C" w:rsidP="0085757C">
      <w:pPr>
        <w:ind w:firstLine="1122"/>
        <w:jc w:val="both"/>
        <w:rPr>
          <w:rFonts w:ascii="Tahoma" w:hAnsi="Tahoma" w:cs="Tahoma"/>
          <w:caps/>
          <w:lang w:val="es-ES_tradnl"/>
        </w:rPr>
      </w:pPr>
    </w:p>
    <w:p w:rsidR="0085757C" w:rsidRPr="00C75CBF" w:rsidRDefault="0085757C" w:rsidP="0085757C">
      <w:pPr>
        <w:widowControl w:val="0"/>
        <w:autoSpaceDE w:val="0"/>
        <w:autoSpaceDN w:val="0"/>
        <w:adjustRightInd w:val="0"/>
        <w:spacing w:line="276" w:lineRule="auto"/>
        <w:jc w:val="center"/>
        <w:rPr>
          <w:rFonts w:ascii="Tahoma" w:hAnsi="Tahoma" w:cs="Tahoma"/>
          <w:b/>
          <w:caps/>
        </w:rPr>
      </w:pPr>
      <w:r w:rsidRPr="00C75CBF">
        <w:rPr>
          <w:rFonts w:ascii="Tahoma" w:hAnsi="Tahoma" w:cs="Tahoma"/>
          <w:b/>
        </w:rPr>
        <w:t>Alegatos de conclusión</w:t>
      </w:r>
    </w:p>
    <w:p w:rsidR="0085757C" w:rsidRPr="007834F9" w:rsidRDefault="0085757C" w:rsidP="0085757C">
      <w:pPr>
        <w:widowControl w:val="0"/>
        <w:autoSpaceDE w:val="0"/>
        <w:autoSpaceDN w:val="0"/>
        <w:adjustRightInd w:val="0"/>
        <w:jc w:val="both"/>
        <w:rPr>
          <w:rFonts w:ascii="Tahoma" w:hAnsi="Tahoma" w:cs="Tahoma"/>
        </w:rPr>
      </w:pPr>
    </w:p>
    <w:p w:rsidR="0085757C" w:rsidRPr="007834F9" w:rsidRDefault="0085757C" w:rsidP="0085757C">
      <w:pPr>
        <w:spacing w:line="276" w:lineRule="auto"/>
        <w:ind w:firstLine="708"/>
        <w:jc w:val="both"/>
        <w:rPr>
          <w:rFonts w:ascii="Tahoma" w:hAnsi="Tahoma" w:cs="Tahoma"/>
          <w:lang w:val="es-ES_tradnl"/>
        </w:rPr>
      </w:pPr>
      <w:r w:rsidRPr="007834F9">
        <w:rPr>
          <w:rFonts w:ascii="Tahoma" w:hAnsi="Tahoma" w:cs="Tahoma"/>
          <w:lang w:val="es-ES_tradnl"/>
        </w:rPr>
        <w:t xml:space="preserve">De conformidad con el artículo 82 del </w:t>
      </w:r>
      <w:proofErr w:type="spellStart"/>
      <w:r w:rsidRPr="007834F9">
        <w:rPr>
          <w:rFonts w:ascii="Tahoma" w:hAnsi="Tahoma" w:cs="Tahoma"/>
          <w:lang w:val="es-ES_tradnl"/>
        </w:rPr>
        <w:t>C.P.T</w:t>
      </w:r>
      <w:proofErr w:type="spellEnd"/>
      <w:r w:rsidRPr="007834F9">
        <w:rPr>
          <w:rFonts w:ascii="Tahoma" w:hAnsi="Tahoma" w:cs="Tahoma"/>
          <w:lang w:val="es-ES_tradnl"/>
        </w:rPr>
        <w:t xml:space="preserve"> y de la s.s., modificado por el artículo 13 de la Ley 1149 de 2007, se concede el uso de la palabra a las partes para que presenten sus alegatos de conclusión. Por la parte demandante… Por la parte demandada…</w:t>
      </w:r>
    </w:p>
    <w:p w:rsidR="0085757C" w:rsidRPr="007834F9" w:rsidRDefault="0085757C" w:rsidP="0085757C">
      <w:pPr>
        <w:ind w:firstLine="708"/>
        <w:jc w:val="both"/>
        <w:rPr>
          <w:rFonts w:ascii="Tahoma" w:hAnsi="Tahoma" w:cs="Tahoma"/>
          <w:lang w:val="es-ES_tradnl"/>
        </w:rPr>
      </w:pPr>
    </w:p>
    <w:p w:rsidR="0085757C" w:rsidRPr="007834F9" w:rsidRDefault="00E2526F" w:rsidP="0085757C">
      <w:pPr>
        <w:widowControl w:val="0"/>
        <w:autoSpaceDE w:val="0"/>
        <w:autoSpaceDN w:val="0"/>
        <w:adjustRightInd w:val="0"/>
        <w:spacing w:line="276" w:lineRule="auto"/>
        <w:jc w:val="center"/>
        <w:rPr>
          <w:rFonts w:ascii="Tahoma" w:hAnsi="Tahoma" w:cs="Tahoma"/>
          <w:b/>
        </w:rPr>
      </w:pPr>
      <w:r>
        <w:rPr>
          <w:rFonts w:ascii="Tahoma" w:hAnsi="Tahoma" w:cs="Tahoma"/>
          <w:b/>
        </w:rPr>
        <w:t>AUTO INTERLOCUTORIO</w:t>
      </w:r>
    </w:p>
    <w:p w:rsidR="0085757C" w:rsidRPr="007834F9" w:rsidRDefault="0085757C" w:rsidP="0085757C">
      <w:pPr>
        <w:widowControl w:val="0"/>
        <w:autoSpaceDE w:val="0"/>
        <w:autoSpaceDN w:val="0"/>
        <w:adjustRightInd w:val="0"/>
        <w:jc w:val="center"/>
        <w:rPr>
          <w:rFonts w:ascii="Tahoma" w:hAnsi="Tahoma" w:cs="Tahoma"/>
          <w:b/>
        </w:rPr>
      </w:pPr>
    </w:p>
    <w:p w:rsidR="0085757C" w:rsidRDefault="0085757C" w:rsidP="0085757C">
      <w:pPr>
        <w:widowControl w:val="0"/>
        <w:autoSpaceDE w:val="0"/>
        <w:autoSpaceDN w:val="0"/>
        <w:adjustRightInd w:val="0"/>
        <w:spacing w:line="276" w:lineRule="auto"/>
        <w:ind w:firstLine="708"/>
        <w:jc w:val="both"/>
        <w:rPr>
          <w:rFonts w:ascii="Tahoma" w:hAnsi="Tahoma" w:cs="Tahoma"/>
        </w:rPr>
      </w:pPr>
      <w:r w:rsidRPr="007834F9">
        <w:rPr>
          <w:rFonts w:ascii="Tahoma" w:hAnsi="Tahoma" w:cs="Tahoma"/>
        </w:rPr>
        <w:t>Como quiera que los argumentos expuestos en las alegaciones fueron tenidos en cuenta en la discu</w:t>
      </w:r>
      <w:r w:rsidRPr="00B56BEF">
        <w:rPr>
          <w:rFonts w:ascii="Tahoma" w:hAnsi="Tahoma" w:cs="Tahoma"/>
        </w:rPr>
        <w:t xml:space="preserve">sión del proyecto, procede la Sala a resolver </w:t>
      </w:r>
      <w:r w:rsidR="00E2526F">
        <w:rPr>
          <w:rFonts w:ascii="Tahoma" w:hAnsi="Tahoma" w:cs="Tahoma"/>
        </w:rPr>
        <w:t xml:space="preserve">la apelación interpuesta por la codemandada PROTECCIÓN S.A. en contra del auto que declaró no probada la excepción previa de </w:t>
      </w:r>
      <w:r w:rsidR="00E2526F">
        <w:rPr>
          <w:rFonts w:ascii="Tahoma" w:hAnsi="Tahoma" w:cs="Tahoma"/>
          <w:i/>
        </w:rPr>
        <w:t xml:space="preserve">“Falta de integración del Litis consorcio necesario” </w:t>
      </w:r>
      <w:r w:rsidRPr="007834F9">
        <w:rPr>
          <w:rFonts w:ascii="Tahoma" w:hAnsi="Tahoma" w:cs="Tahoma"/>
        </w:rPr>
        <w:t>emitid</w:t>
      </w:r>
      <w:r w:rsidR="00E2526F">
        <w:rPr>
          <w:rFonts w:ascii="Tahoma" w:hAnsi="Tahoma" w:cs="Tahoma"/>
        </w:rPr>
        <w:t>o</w:t>
      </w:r>
      <w:r w:rsidRPr="007834F9">
        <w:rPr>
          <w:rFonts w:ascii="Tahoma" w:hAnsi="Tahoma" w:cs="Tahoma"/>
        </w:rPr>
        <w:t xml:space="preserve"> por el Juzgado </w:t>
      </w:r>
      <w:r w:rsidR="00E2526F">
        <w:rPr>
          <w:rFonts w:ascii="Tahoma" w:hAnsi="Tahoma" w:cs="Tahoma"/>
        </w:rPr>
        <w:t>Cuarto</w:t>
      </w:r>
      <w:r>
        <w:rPr>
          <w:rFonts w:ascii="Tahoma" w:hAnsi="Tahoma" w:cs="Tahoma"/>
        </w:rPr>
        <w:t xml:space="preserve"> </w:t>
      </w:r>
      <w:r w:rsidRPr="007834F9">
        <w:rPr>
          <w:rFonts w:ascii="Tahoma" w:hAnsi="Tahoma" w:cs="Tahoma"/>
        </w:rPr>
        <w:t xml:space="preserve">Laboral del Circuito de Pereira el </w:t>
      </w:r>
      <w:r>
        <w:rPr>
          <w:rFonts w:ascii="Tahoma" w:hAnsi="Tahoma" w:cs="Tahoma"/>
        </w:rPr>
        <w:t>14</w:t>
      </w:r>
      <w:r w:rsidRPr="007834F9">
        <w:rPr>
          <w:rFonts w:ascii="Tahoma" w:hAnsi="Tahoma" w:cs="Tahoma"/>
        </w:rPr>
        <w:t xml:space="preserve"> de </w:t>
      </w:r>
      <w:r w:rsidR="00E2526F">
        <w:rPr>
          <w:rFonts w:ascii="Tahoma" w:hAnsi="Tahoma" w:cs="Tahoma"/>
        </w:rPr>
        <w:t xml:space="preserve">noviembre de 2017 </w:t>
      </w:r>
      <w:r w:rsidRPr="007834F9">
        <w:rPr>
          <w:rFonts w:ascii="Tahoma" w:hAnsi="Tahoma" w:cs="Tahoma"/>
        </w:rPr>
        <w:t xml:space="preserve">dentro del proceso ordinario laboral reseñado con anterioridad. </w:t>
      </w:r>
    </w:p>
    <w:p w:rsidR="0085757C" w:rsidRDefault="0085757C" w:rsidP="0085757C">
      <w:pPr>
        <w:widowControl w:val="0"/>
        <w:autoSpaceDE w:val="0"/>
        <w:autoSpaceDN w:val="0"/>
        <w:adjustRightInd w:val="0"/>
        <w:spacing w:line="276" w:lineRule="auto"/>
        <w:ind w:firstLine="708"/>
        <w:jc w:val="both"/>
        <w:rPr>
          <w:rFonts w:ascii="Tahoma" w:hAnsi="Tahoma" w:cs="Tahoma"/>
          <w:caps/>
        </w:rPr>
      </w:pPr>
    </w:p>
    <w:p w:rsidR="00E2526F" w:rsidRPr="00C75CBF" w:rsidRDefault="00E2526F" w:rsidP="0085757C">
      <w:pPr>
        <w:widowControl w:val="0"/>
        <w:autoSpaceDE w:val="0"/>
        <w:autoSpaceDN w:val="0"/>
        <w:adjustRightInd w:val="0"/>
        <w:spacing w:line="276" w:lineRule="auto"/>
        <w:ind w:firstLine="708"/>
        <w:jc w:val="both"/>
        <w:rPr>
          <w:rFonts w:ascii="Tahoma" w:hAnsi="Tahoma" w:cs="Tahoma"/>
          <w:caps/>
        </w:rPr>
      </w:pPr>
    </w:p>
    <w:p w:rsidR="0085757C" w:rsidRPr="00C75CBF" w:rsidRDefault="0085757C" w:rsidP="0085757C">
      <w:pPr>
        <w:widowControl w:val="0"/>
        <w:autoSpaceDE w:val="0"/>
        <w:autoSpaceDN w:val="0"/>
        <w:adjustRightInd w:val="0"/>
        <w:spacing w:line="276" w:lineRule="auto"/>
        <w:jc w:val="center"/>
        <w:rPr>
          <w:rFonts w:ascii="Tahoma" w:hAnsi="Tahoma" w:cs="Tahoma"/>
          <w:b/>
          <w:bCs/>
          <w:caps/>
        </w:rPr>
      </w:pPr>
      <w:r w:rsidRPr="00C75CBF">
        <w:rPr>
          <w:rFonts w:ascii="Tahoma" w:hAnsi="Tahoma" w:cs="Tahoma"/>
          <w:b/>
          <w:bCs/>
        </w:rPr>
        <w:t>Problema jurídico por resolver</w:t>
      </w:r>
    </w:p>
    <w:p w:rsidR="0085757C" w:rsidRPr="007834F9" w:rsidRDefault="0085757C" w:rsidP="0085757C">
      <w:pPr>
        <w:widowControl w:val="0"/>
        <w:tabs>
          <w:tab w:val="left" w:pos="748"/>
        </w:tabs>
        <w:autoSpaceDE w:val="0"/>
        <w:autoSpaceDN w:val="0"/>
        <w:adjustRightInd w:val="0"/>
        <w:ind w:left="748"/>
        <w:jc w:val="center"/>
        <w:rPr>
          <w:rFonts w:ascii="Tahoma" w:hAnsi="Tahoma" w:cs="Tahoma"/>
          <w:b/>
          <w:bCs/>
        </w:rPr>
      </w:pPr>
    </w:p>
    <w:p w:rsidR="0085757C" w:rsidRDefault="0085757C" w:rsidP="0085757C">
      <w:pPr>
        <w:tabs>
          <w:tab w:val="left" w:pos="567"/>
        </w:tabs>
        <w:spacing w:line="276" w:lineRule="auto"/>
        <w:jc w:val="both"/>
        <w:rPr>
          <w:rFonts w:ascii="Tahoma" w:hAnsi="Tahoma" w:cs="Tahoma"/>
        </w:rPr>
      </w:pPr>
      <w:r w:rsidRPr="007834F9">
        <w:rPr>
          <w:rFonts w:ascii="Tahoma" w:hAnsi="Tahoma" w:cs="Tahoma"/>
        </w:rPr>
        <w:tab/>
      </w:r>
      <w:r w:rsidRPr="007834F9">
        <w:rPr>
          <w:rFonts w:ascii="Tahoma" w:hAnsi="Tahoma" w:cs="Tahoma"/>
        </w:rPr>
        <w:tab/>
        <w:t>De acuerdo a lo expuesto en la</w:t>
      </w:r>
      <w:r>
        <w:rPr>
          <w:rFonts w:ascii="Tahoma" w:hAnsi="Tahoma" w:cs="Tahoma"/>
        </w:rPr>
        <w:t xml:space="preserve"> </w:t>
      </w:r>
      <w:r w:rsidR="00E2526F">
        <w:rPr>
          <w:rFonts w:ascii="Tahoma" w:hAnsi="Tahoma" w:cs="Tahoma"/>
        </w:rPr>
        <w:t>providencia apelada</w:t>
      </w:r>
      <w:r w:rsidRPr="007834F9">
        <w:rPr>
          <w:rFonts w:ascii="Tahoma" w:hAnsi="Tahoma" w:cs="Tahoma"/>
        </w:rPr>
        <w:t xml:space="preserve">, le </w:t>
      </w:r>
      <w:r w:rsidRPr="00581FD6">
        <w:rPr>
          <w:rFonts w:ascii="Tahoma" w:hAnsi="Tahoma" w:cs="Tahoma"/>
        </w:rPr>
        <w:t>corresponde a la Sala determinar</w:t>
      </w:r>
      <w:r>
        <w:rPr>
          <w:rFonts w:ascii="Tahoma" w:hAnsi="Tahoma" w:cs="Tahoma"/>
        </w:rPr>
        <w:t xml:space="preserve"> si </w:t>
      </w:r>
      <w:r w:rsidR="00E2526F">
        <w:rPr>
          <w:rFonts w:ascii="Tahoma" w:hAnsi="Tahoma" w:cs="Tahoma"/>
        </w:rPr>
        <w:t>en los procesos en los que se solicita la ineficacia del traslado del régimen prima media al régimen de ahorro individual, es necesario vincular a todos los fondos privados en los que estuvo afiliada la parte demandante</w:t>
      </w:r>
      <w:r>
        <w:rPr>
          <w:rFonts w:ascii="Tahoma" w:hAnsi="Tahoma" w:cs="Tahoma"/>
        </w:rPr>
        <w:t>.</w:t>
      </w:r>
    </w:p>
    <w:p w:rsidR="009B4A96" w:rsidRDefault="009B4A96" w:rsidP="009B4A96">
      <w:pPr>
        <w:tabs>
          <w:tab w:val="left" w:pos="1590"/>
        </w:tabs>
        <w:spacing w:line="240" w:lineRule="auto"/>
        <w:rPr>
          <w:rFonts w:ascii="Tahoma" w:hAnsi="Tahoma" w:cs="Tahoma"/>
          <w:b/>
          <w:sz w:val="24"/>
          <w:szCs w:val="24"/>
          <w:lang w:val="es-CO"/>
        </w:rPr>
      </w:pPr>
    </w:p>
    <w:p w:rsidR="00E2526F" w:rsidRPr="00FC31D3" w:rsidRDefault="00E2526F" w:rsidP="009B4A96">
      <w:pPr>
        <w:tabs>
          <w:tab w:val="left" w:pos="1590"/>
        </w:tabs>
        <w:spacing w:line="240" w:lineRule="auto"/>
        <w:rPr>
          <w:rFonts w:ascii="Tahoma" w:hAnsi="Tahoma" w:cs="Tahoma"/>
          <w:b/>
          <w:lang w:val="es-CO"/>
        </w:rPr>
      </w:pPr>
    </w:p>
    <w:p w:rsidR="009B4A96" w:rsidRPr="00FC31D3" w:rsidRDefault="009B4A96" w:rsidP="009B4A96">
      <w:pPr>
        <w:pStyle w:val="Prrafodelista"/>
        <w:numPr>
          <w:ilvl w:val="0"/>
          <w:numId w:val="2"/>
        </w:numPr>
        <w:spacing w:line="276" w:lineRule="auto"/>
        <w:ind w:left="0" w:firstLine="0"/>
        <w:jc w:val="center"/>
        <w:rPr>
          <w:rFonts w:ascii="Tahoma" w:hAnsi="Tahoma" w:cs="Tahoma"/>
          <w:b/>
          <w:lang w:val="es-CO"/>
        </w:rPr>
      </w:pPr>
      <w:r w:rsidRPr="00FC31D3">
        <w:rPr>
          <w:rFonts w:ascii="Tahoma" w:hAnsi="Tahoma" w:cs="Tahoma"/>
          <w:b/>
          <w:lang w:val="es-CO"/>
        </w:rPr>
        <w:t>ANTECEDENTES PROCESALES</w:t>
      </w:r>
    </w:p>
    <w:p w:rsidR="009B4A96" w:rsidRPr="00FC31D3" w:rsidRDefault="009B4A96" w:rsidP="009B4A96">
      <w:pPr>
        <w:spacing w:line="240" w:lineRule="auto"/>
        <w:jc w:val="both"/>
        <w:rPr>
          <w:lang w:val="es-CO"/>
        </w:rPr>
      </w:pPr>
    </w:p>
    <w:p w:rsidR="002F53D8" w:rsidRPr="002F53D8" w:rsidRDefault="009B4A96" w:rsidP="002F53D8">
      <w:pPr>
        <w:spacing w:line="276" w:lineRule="auto"/>
        <w:jc w:val="both"/>
        <w:rPr>
          <w:rFonts w:ascii="Tahoma" w:hAnsi="Tahoma" w:cs="Tahoma"/>
        </w:rPr>
      </w:pPr>
      <w:r w:rsidRPr="00FC31D3">
        <w:rPr>
          <w:rFonts w:ascii="Tahoma" w:hAnsi="Tahoma" w:cs="Tahoma"/>
          <w:lang w:val="es-CO"/>
        </w:rPr>
        <w:tab/>
      </w:r>
      <w:r w:rsidR="002F53D8">
        <w:rPr>
          <w:rFonts w:ascii="Tahoma" w:hAnsi="Tahoma" w:cs="Tahoma"/>
          <w:lang w:val="es-CO"/>
        </w:rPr>
        <w:t xml:space="preserve">Para lo que interesa al recurso de apelación conviene advertir que el presente asunto tiene como objeto </w:t>
      </w:r>
      <w:r w:rsidR="002F53D8" w:rsidRPr="002F53D8">
        <w:rPr>
          <w:rFonts w:ascii="Tahoma" w:hAnsi="Tahoma" w:cs="Tahoma"/>
        </w:rPr>
        <w:t xml:space="preserve">se declare nulo </w:t>
      </w:r>
      <w:r w:rsidR="002F53D8">
        <w:rPr>
          <w:rFonts w:ascii="Tahoma" w:hAnsi="Tahoma" w:cs="Tahoma"/>
        </w:rPr>
        <w:t xml:space="preserve">y/o </w:t>
      </w:r>
      <w:r w:rsidR="002F53D8" w:rsidRPr="002F53D8">
        <w:rPr>
          <w:rFonts w:ascii="Tahoma" w:hAnsi="Tahoma" w:cs="Tahoma"/>
        </w:rPr>
        <w:t xml:space="preserve">ineficaz el traslado que del régimen de prima media al régimen de ahorro individual con solidaridad efectuó </w:t>
      </w:r>
      <w:r w:rsidR="002F53D8">
        <w:rPr>
          <w:rFonts w:ascii="Tahoma" w:hAnsi="Tahoma" w:cs="Tahoma"/>
        </w:rPr>
        <w:t>la parte demandante el 22 de septiembre de 1994</w:t>
      </w:r>
      <w:r w:rsidR="002F53D8" w:rsidRPr="002F53D8">
        <w:rPr>
          <w:rFonts w:ascii="Tahoma" w:hAnsi="Tahoma" w:cs="Tahoma"/>
        </w:rPr>
        <w:t xml:space="preserve"> y como consecuencia se autorice su retorno a Colpensiones, ordenando a Protección S.A. el traslado de la totalidad de los aportes realizados a su nombre.  </w:t>
      </w:r>
    </w:p>
    <w:p w:rsidR="002F53D8" w:rsidRPr="002F53D8" w:rsidRDefault="002F53D8" w:rsidP="002F53D8">
      <w:pPr>
        <w:spacing w:line="276" w:lineRule="auto"/>
        <w:ind w:right="51"/>
        <w:jc w:val="both"/>
        <w:rPr>
          <w:rFonts w:ascii="Tahoma" w:hAnsi="Tahoma" w:cs="Tahoma"/>
        </w:rPr>
      </w:pPr>
    </w:p>
    <w:p w:rsidR="00F86281" w:rsidRDefault="002F53D8" w:rsidP="00F249BD">
      <w:pPr>
        <w:spacing w:line="276" w:lineRule="auto"/>
        <w:ind w:right="51" w:firstLine="708"/>
        <w:jc w:val="both"/>
        <w:rPr>
          <w:rFonts w:ascii="Tahoma" w:hAnsi="Tahoma" w:cs="Tahoma"/>
        </w:rPr>
      </w:pPr>
      <w:r w:rsidRPr="002F53D8">
        <w:rPr>
          <w:rFonts w:ascii="Tahoma" w:hAnsi="Tahoma" w:cs="Tahoma"/>
        </w:rPr>
        <w:t xml:space="preserve">Como fundamento de sus pretensiones </w:t>
      </w:r>
      <w:r w:rsidR="00F249BD">
        <w:rPr>
          <w:rFonts w:ascii="Tahoma" w:hAnsi="Tahoma" w:cs="Tahoma"/>
        </w:rPr>
        <w:t xml:space="preserve">manifiesta que el 1º de junio de 1985 se vinculó al </w:t>
      </w:r>
      <w:r w:rsidR="001B1AC3">
        <w:rPr>
          <w:rFonts w:ascii="Tahoma" w:hAnsi="Tahoma" w:cs="Tahoma"/>
        </w:rPr>
        <w:t>Instituto</w:t>
      </w:r>
      <w:r w:rsidR="00F249BD">
        <w:rPr>
          <w:rFonts w:ascii="Tahoma" w:hAnsi="Tahoma" w:cs="Tahoma"/>
        </w:rPr>
        <w:t xml:space="preserve"> de Seguros Sociales, trasladándose posteriormente a la Caja de Previsión Social del Municipio de Pereira el 11 de julio de 1.988. Años después,</w:t>
      </w:r>
      <w:r w:rsidR="00F86281">
        <w:rPr>
          <w:rFonts w:ascii="Tahoma" w:hAnsi="Tahoma" w:cs="Tahoma"/>
        </w:rPr>
        <w:t xml:space="preserve"> el 22 de septiembre de 1994, signó formulario de afiliación con CESANTÍAS Y PENSIONES COLMENA, mediante el cual se trasladó del régimen de prima media al régimen de ahorro individual. </w:t>
      </w:r>
    </w:p>
    <w:p w:rsidR="00F86281" w:rsidRDefault="00F86281" w:rsidP="00F249BD">
      <w:pPr>
        <w:spacing w:line="276" w:lineRule="auto"/>
        <w:ind w:right="51" w:firstLine="708"/>
        <w:jc w:val="both"/>
        <w:rPr>
          <w:rFonts w:ascii="Tahoma" w:hAnsi="Tahoma" w:cs="Tahoma"/>
        </w:rPr>
      </w:pPr>
    </w:p>
    <w:p w:rsidR="002F53D8" w:rsidRPr="002F53D8" w:rsidRDefault="00F86281" w:rsidP="00F249BD">
      <w:pPr>
        <w:spacing w:line="276" w:lineRule="auto"/>
        <w:ind w:right="51" w:firstLine="708"/>
        <w:jc w:val="both"/>
        <w:rPr>
          <w:rFonts w:ascii="Tahoma" w:hAnsi="Tahoma" w:cs="Tahoma"/>
        </w:rPr>
      </w:pPr>
      <w:r>
        <w:rPr>
          <w:rFonts w:ascii="Tahoma" w:hAnsi="Tahoma" w:cs="Tahoma"/>
        </w:rPr>
        <w:t xml:space="preserve">Relata que en el año 1999, el Grupo Santander </w:t>
      </w:r>
      <w:r w:rsidR="001B1AC3">
        <w:rPr>
          <w:rFonts w:ascii="Tahoma" w:hAnsi="Tahoma" w:cs="Tahoma"/>
        </w:rPr>
        <w:t>adquirió</w:t>
      </w:r>
      <w:r>
        <w:rPr>
          <w:rFonts w:ascii="Tahoma" w:hAnsi="Tahoma" w:cs="Tahoma"/>
        </w:rPr>
        <w:t xml:space="preserve"> a </w:t>
      </w:r>
      <w:proofErr w:type="spellStart"/>
      <w:r>
        <w:rPr>
          <w:rFonts w:ascii="Tahoma" w:hAnsi="Tahoma" w:cs="Tahoma"/>
        </w:rPr>
        <w:t>DAVIVIR</w:t>
      </w:r>
      <w:proofErr w:type="spellEnd"/>
      <w:r>
        <w:rPr>
          <w:rFonts w:ascii="Tahoma" w:hAnsi="Tahoma" w:cs="Tahoma"/>
        </w:rPr>
        <w:t xml:space="preserve"> Y COLMENA para conformar la </w:t>
      </w:r>
      <w:r w:rsidR="001B1AC3">
        <w:rPr>
          <w:rFonts w:ascii="Tahoma" w:hAnsi="Tahoma" w:cs="Tahoma"/>
        </w:rPr>
        <w:t>Administradora</w:t>
      </w:r>
      <w:r>
        <w:rPr>
          <w:rFonts w:ascii="Tahoma" w:hAnsi="Tahoma" w:cs="Tahoma"/>
        </w:rPr>
        <w:t xml:space="preserve"> de Fondos de Pensiones y Cesantías Santander que operó hasta el año 2007, cuando fue vendida al grupo ING PENSIONES Y CESANTÍAS la cual, </w:t>
      </w:r>
      <w:r w:rsidR="001B1AC3">
        <w:rPr>
          <w:rFonts w:ascii="Tahoma" w:hAnsi="Tahoma" w:cs="Tahoma"/>
        </w:rPr>
        <w:t>posteriormente</w:t>
      </w:r>
      <w:r>
        <w:rPr>
          <w:rFonts w:ascii="Tahoma" w:hAnsi="Tahoma" w:cs="Tahoma"/>
        </w:rPr>
        <w:t xml:space="preserve">, fue absorbida por la ADMINISTRADORA DE FONDOS DE PENSIONES Y CESANTÍAS PROTECCIÓN S.A. </w:t>
      </w:r>
    </w:p>
    <w:p w:rsidR="002F53D8" w:rsidRPr="002F53D8" w:rsidRDefault="002F53D8" w:rsidP="002F53D8">
      <w:pPr>
        <w:spacing w:line="276" w:lineRule="auto"/>
        <w:ind w:right="51"/>
        <w:jc w:val="both"/>
        <w:rPr>
          <w:rFonts w:ascii="Tahoma" w:hAnsi="Tahoma" w:cs="Tahoma"/>
        </w:rPr>
      </w:pPr>
    </w:p>
    <w:p w:rsidR="00EB7FC1" w:rsidRDefault="002F53D8" w:rsidP="00EB1C56">
      <w:pPr>
        <w:spacing w:line="276" w:lineRule="auto"/>
        <w:ind w:right="51" w:firstLine="708"/>
        <w:jc w:val="both"/>
        <w:rPr>
          <w:rFonts w:ascii="Tahoma" w:hAnsi="Tahoma" w:cs="Tahoma"/>
        </w:rPr>
      </w:pPr>
      <w:r w:rsidRPr="002F53D8">
        <w:rPr>
          <w:rFonts w:ascii="Tahoma" w:hAnsi="Tahoma" w:cs="Tahoma"/>
        </w:rPr>
        <w:t xml:space="preserve">Al dar respuesta a la demanda, Protección S.A. </w:t>
      </w:r>
      <w:r w:rsidR="00EB1C56">
        <w:rPr>
          <w:rFonts w:ascii="Tahoma" w:hAnsi="Tahoma" w:cs="Tahoma"/>
        </w:rPr>
        <w:t xml:space="preserve">propuso la excepción previa de </w:t>
      </w:r>
      <w:r w:rsidR="00EB1C56">
        <w:rPr>
          <w:rFonts w:ascii="Tahoma" w:hAnsi="Tahoma" w:cs="Tahoma"/>
          <w:i/>
        </w:rPr>
        <w:t xml:space="preserve">Falta de integración del Litis consorcio necesario </w:t>
      </w:r>
      <w:r w:rsidR="00EB7FC1">
        <w:rPr>
          <w:rFonts w:ascii="Tahoma" w:hAnsi="Tahoma" w:cs="Tahoma"/>
        </w:rPr>
        <w:t xml:space="preserve">argumentando que la nulidad o ineficacia de la selección del régimen de ahorro individual, exige que se finiquite cada uno de los vínculos que la demandante tuvo con las administradoras de fondos de pensiones con las que estuvo, las cuales deben resolverse de manera uniforme, pues si sólo se declara la </w:t>
      </w:r>
      <w:r w:rsidR="001B1AC3">
        <w:rPr>
          <w:rFonts w:ascii="Tahoma" w:hAnsi="Tahoma" w:cs="Tahoma"/>
        </w:rPr>
        <w:t>ineficacia</w:t>
      </w:r>
      <w:r w:rsidR="00EB7FC1">
        <w:rPr>
          <w:rFonts w:ascii="Tahoma" w:hAnsi="Tahoma" w:cs="Tahoma"/>
        </w:rPr>
        <w:t xml:space="preserve"> o la nulidad del vínculo respecto de COLMENA, hoy PROTECCIÓN S.A., queda vigente la de PROVENIR S.A. </w:t>
      </w:r>
      <w:r w:rsidR="00A91E22">
        <w:rPr>
          <w:rFonts w:ascii="Tahoma" w:hAnsi="Tahoma" w:cs="Tahoma"/>
        </w:rPr>
        <w:t xml:space="preserve">En consecuencia </w:t>
      </w:r>
      <w:r w:rsidR="00EB7FC1">
        <w:rPr>
          <w:rFonts w:ascii="Tahoma" w:hAnsi="Tahoma" w:cs="Tahoma"/>
        </w:rPr>
        <w:t>afirma que resulta necesario que la demanda también se hubiera dirigido contra PORVENIR S.A.</w:t>
      </w:r>
    </w:p>
    <w:p w:rsidR="00EB7FC1" w:rsidRDefault="00EB7FC1" w:rsidP="00EB1C56">
      <w:pPr>
        <w:spacing w:line="276" w:lineRule="auto"/>
        <w:ind w:right="51" w:firstLine="708"/>
        <w:jc w:val="both"/>
        <w:rPr>
          <w:rFonts w:ascii="Tahoma" w:hAnsi="Tahoma" w:cs="Tahoma"/>
        </w:rPr>
      </w:pPr>
    </w:p>
    <w:p w:rsidR="002F53D8" w:rsidRPr="002F53D8" w:rsidRDefault="002F53D8" w:rsidP="002F53D8">
      <w:pPr>
        <w:spacing w:line="276" w:lineRule="auto"/>
        <w:ind w:right="51"/>
        <w:jc w:val="both"/>
        <w:rPr>
          <w:rFonts w:ascii="Tahoma" w:hAnsi="Tahoma" w:cs="Tahoma"/>
        </w:rPr>
      </w:pPr>
    </w:p>
    <w:p w:rsidR="00DB6EBA" w:rsidRPr="00FC31D3" w:rsidRDefault="00DB6EBA" w:rsidP="00DB6EBA">
      <w:pPr>
        <w:pStyle w:val="Prrafodelista"/>
        <w:numPr>
          <w:ilvl w:val="0"/>
          <w:numId w:val="2"/>
        </w:numPr>
        <w:spacing w:line="276" w:lineRule="auto"/>
        <w:ind w:left="0" w:firstLine="0"/>
        <w:jc w:val="center"/>
        <w:rPr>
          <w:rFonts w:ascii="Tahoma" w:hAnsi="Tahoma" w:cs="Tahoma"/>
          <w:b/>
          <w:lang w:val="es-CO"/>
        </w:rPr>
      </w:pPr>
      <w:r w:rsidRPr="00FC31D3">
        <w:rPr>
          <w:rFonts w:ascii="Tahoma" w:hAnsi="Tahoma" w:cs="Tahoma"/>
          <w:b/>
          <w:lang w:val="es-CO"/>
        </w:rPr>
        <w:t>AUTO OBJETO DEL RECURSO DE APELACIÓN</w:t>
      </w:r>
    </w:p>
    <w:p w:rsidR="00DB6EBA" w:rsidRPr="00FC31D3" w:rsidRDefault="00DB6EBA" w:rsidP="00794294">
      <w:pPr>
        <w:pStyle w:val="Prrafodelista"/>
        <w:spacing w:line="276" w:lineRule="auto"/>
        <w:ind w:left="0"/>
        <w:jc w:val="both"/>
        <w:rPr>
          <w:rFonts w:ascii="Tahoma" w:hAnsi="Tahoma" w:cs="Tahoma"/>
          <w:lang w:val="es-CO"/>
        </w:rPr>
      </w:pPr>
    </w:p>
    <w:p w:rsidR="00EB7FC1" w:rsidRDefault="00D51E9D" w:rsidP="006B7860">
      <w:pPr>
        <w:pStyle w:val="Prrafodelista"/>
        <w:spacing w:line="276" w:lineRule="auto"/>
        <w:ind w:left="0"/>
        <w:jc w:val="both"/>
        <w:rPr>
          <w:rFonts w:ascii="Tahoma" w:hAnsi="Tahoma" w:cs="Tahoma"/>
          <w:lang w:val="es-CO"/>
        </w:rPr>
      </w:pPr>
      <w:r w:rsidRPr="00FC31D3">
        <w:rPr>
          <w:rFonts w:ascii="Tahoma" w:hAnsi="Tahoma" w:cs="Tahoma"/>
          <w:lang w:val="es-CO"/>
        </w:rPr>
        <w:tab/>
      </w:r>
    </w:p>
    <w:p w:rsidR="006834E7" w:rsidRPr="00E71518" w:rsidRDefault="00EB7FC1" w:rsidP="00AC3FC6">
      <w:pPr>
        <w:spacing w:line="276" w:lineRule="auto"/>
        <w:ind w:left="360" w:firstLine="348"/>
        <w:jc w:val="both"/>
        <w:rPr>
          <w:rFonts w:ascii="Tahoma" w:hAnsi="Tahoma" w:cs="Tahoma"/>
        </w:rPr>
      </w:pPr>
      <w:r w:rsidRPr="00E71518">
        <w:rPr>
          <w:rFonts w:ascii="Tahoma" w:hAnsi="Tahoma" w:cs="Tahoma"/>
        </w:rPr>
        <w:t xml:space="preserve">En la audiencia del artículo 77 del C. </w:t>
      </w:r>
      <w:proofErr w:type="spellStart"/>
      <w:r w:rsidRPr="00E71518">
        <w:rPr>
          <w:rFonts w:ascii="Tahoma" w:hAnsi="Tahoma" w:cs="Tahoma"/>
        </w:rPr>
        <w:t>P.L</w:t>
      </w:r>
      <w:proofErr w:type="spellEnd"/>
      <w:r w:rsidRPr="00E71518">
        <w:rPr>
          <w:rFonts w:ascii="Tahoma" w:hAnsi="Tahoma" w:cs="Tahoma"/>
        </w:rPr>
        <w:t>. celebrada el 14 de noviembre de 2017</w:t>
      </w:r>
      <w:r w:rsidR="00820F68" w:rsidRPr="00E71518">
        <w:rPr>
          <w:rFonts w:ascii="Tahoma" w:hAnsi="Tahoma" w:cs="Tahoma"/>
        </w:rPr>
        <w:t>, la jueza declaró no probada la mentada excepción, argumentando</w:t>
      </w:r>
      <w:r w:rsidR="00E71518">
        <w:rPr>
          <w:rFonts w:ascii="Tahoma" w:hAnsi="Tahoma" w:cs="Tahoma"/>
        </w:rPr>
        <w:t xml:space="preserve">, en síntesis, lo siguiente: </w:t>
      </w:r>
      <w:r w:rsidR="00E71518">
        <w:rPr>
          <w:rFonts w:ascii="Tahoma" w:hAnsi="Tahoma" w:cs="Tahoma"/>
          <w:i/>
        </w:rPr>
        <w:t xml:space="preserve">i) </w:t>
      </w:r>
      <w:r w:rsidR="00E71518">
        <w:rPr>
          <w:rFonts w:ascii="Tahoma" w:hAnsi="Tahoma" w:cs="Tahoma"/>
        </w:rPr>
        <w:t xml:space="preserve">Que </w:t>
      </w:r>
      <w:r w:rsidR="006834E7" w:rsidRPr="00E71518">
        <w:rPr>
          <w:rFonts w:ascii="Tahoma" w:hAnsi="Tahoma" w:cs="Tahoma"/>
        </w:rPr>
        <w:t xml:space="preserve">cuando se trata de solicitudes </w:t>
      </w:r>
      <w:r w:rsidR="00AC3FC6">
        <w:rPr>
          <w:rFonts w:ascii="Tahoma" w:hAnsi="Tahoma" w:cs="Tahoma"/>
        </w:rPr>
        <w:t xml:space="preserve">de </w:t>
      </w:r>
      <w:r w:rsidR="006834E7" w:rsidRPr="00E71518">
        <w:rPr>
          <w:rFonts w:ascii="Tahoma" w:hAnsi="Tahoma" w:cs="Tahoma"/>
        </w:rPr>
        <w:t>ineficacia o nulidad del traslado, el Tribunal Superior</w:t>
      </w:r>
      <w:r w:rsidR="00E71518">
        <w:rPr>
          <w:rFonts w:ascii="Tahoma" w:hAnsi="Tahoma" w:cs="Tahoma"/>
        </w:rPr>
        <w:t xml:space="preserve"> ha </w:t>
      </w:r>
      <w:r w:rsidR="006834E7" w:rsidRPr="00E71518">
        <w:rPr>
          <w:rFonts w:ascii="Tahoma" w:hAnsi="Tahoma" w:cs="Tahoma"/>
        </w:rPr>
        <w:t xml:space="preserve">indicado </w:t>
      </w:r>
      <w:r w:rsidR="00E71518">
        <w:rPr>
          <w:rFonts w:ascii="Tahoma" w:hAnsi="Tahoma" w:cs="Tahoma"/>
        </w:rPr>
        <w:t xml:space="preserve">que sólo es necesaria la </w:t>
      </w:r>
      <w:r w:rsidR="00AC3FC6">
        <w:rPr>
          <w:rFonts w:ascii="Tahoma" w:hAnsi="Tahoma" w:cs="Tahoma"/>
        </w:rPr>
        <w:t>vinculación</w:t>
      </w:r>
      <w:r w:rsidR="00E71518">
        <w:rPr>
          <w:rFonts w:ascii="Tahoma" w:hAnsi="Tahoma" w:cs="Tahoma"/>
        </w:rPr>
        <w:t xml:space="preserve"> al proceso del primer fondo de pensiones de quien se alega la falta de información pero no de los fondos posteriores, </w:t>
      </w:r>
      <w:r w:rsidR="00020BF1">
        <w:rPr>
          <w:rFonts w:ascii="Tahoma" w:hAnsi="Tahoma" w:cs="Tahoma"/>
        </w:rPr>
        <w:t xml:space="preserve">salvo el último, </w:t>
      </w:r>
      <w:r w:rsidR="006834E7" w:rsidRPr="00E71518">
        <w:rPr>
          <w:rFonts w:ascii="Tahoma" w:hAnsi="Tahoma" w:cs="Tahoma"/>
        </w:rPr>
        <w:t>situación que en este caso no se presenta.</w:t>
      </w:r>
      <w:r w:rsidR="00E71518">
        <w:rPr>
          <w:rFonts w:ascii="Tahoma" w:hAnsi="Tahoma" w:cs="Tahoma"/>
        </w:rPr>
        <w:t xml:space="preserve"> </w:t>
      </w:r>
      <w:r w:rsidR="00E71518">
        <w:rPr>
          <w:rFonts w:ascii="Tahoma" w:hAnsi="Tahoma" w:cs="Tahoma"/>
          <w:i/>
        </w:rPr>
        <w:t xml:space="preserve">ii) </w:t>
      </w:r>
      <w:r w:rsidR="00E71518">
        <w:rPr>
          <w:rFonts w:ascii="Tahoma" w:hAnsi="Tahoma" w:cs="Tahoma"/>
        </w:rPr>
        <w:t>Que u</w:t>
      </w:r>
      <w:r w:rsidR="006834E7" w:rsidRPr="00E71518">
        <w:rPr>
          <w:rFonts w:ascii="Tahoma" w:hAnsi="Tahoma" w:cs="Tahoma"/>
        </w:rPr>
        <w:t>na vez revisada</w:t>
      </w:r>
      <w:r w:rsidR="00E71518">
        <w:rPr>
          <w:rFonts w:ascii="Tahoma" w:hAnsi="Tahoma" w:cs="Tahoma"/>
        </w:rPr>
        <w:t>s las pruebas</w:t>
      </w:r>
      <w:r w:rsidR="006834E7" w:rsidRPr="00E71518">
        <w:rPr>
          <w:rFonts w:ascii="Tahoma" w:hAnsi="Tahoma" w:cs="Tahoma"/>
        </w:rPr>
        <w:t>, se encuentra que la señora Alicia A</w:t>
      </w:r>
      <w:r w:rsidR="00E71518">
        <w:rPr>
          <w:rFonts w:ascii="Tahoma" w:hAnsi="Tahoma" w:cs="Tahoma"/>
        </w:rPr>
        <w:t>cuña Arango, en 1994 cuando tomó</w:t>
      </w:r>
      <w:r w:rsidR="006834E7" w:rsidRPr="00E71518">
        <w:rPr>
          <w:rFonts w:ascii="Tahoma" w:hAnsi="Tahoma" w:cs="Tahoma"/>
        </w:rPr>
        <w:t xml:space="preserve"> la decisión de </w:t>
      </w:r>
      <w:r w:rsidR="00AC3FC6">
        <w:rPr>
          <w:rFonts w:ascii="Tahoma" w:hAnsi="Tahoma" w:cs="Tahoma"/>
        </w:rPr>
        <w:t xml:space="preserve">trasladarse de </w:t>
      </w:r>
      <w:r w:rsidR="006834E7" w:rsidRPr="00E71518">
        <w:rPr>
          <w:rFonts w:ascii="Tahoma" w:hAnsi="Tahoma" w:cs="Tahoma"/>
        </w:rPr>
        <w:t>régimen eligió a C</w:t>
      </w:r>
      <w:r w:rsidR="00AC3FC6" w:rsidRPr="00E71518">
        <w:rPr>
          <w:rFonts w:ascii="Tahoma" w:hAnsi="Tahoma" w:cs="Tahoma"/>
        </w:rPr>
        <w:t>OLMENA</w:t>
      </w:r>
      <w:r w:rsidR="006834E7" w:rsidRPr="00E71518">
        <w:rPr>
          <w:rFonts w:ascii="Tahoma" w:hAnsi="Tahoma" w:cs="Tahoma"/>
        </w:rPr>
        <w:t>, hoy P</w:t>
      </w:r>
      <w:r w:rsidR="00AC3FC6" w:rsidRPr="00E71518">
        <w:rPr>
          <w:rFonts w:ascii="Tahoma" w:hAnsi="Tahoma" w:cs="Tahoma"/>
        </w:rPr>
        <w:t>ROTECCIÓN</w:t>
      </w:r>
      <w:r w:rsidR="006834E7" w:rsidRPr="00E71518">
        <w:rPr>
          <w:rFonts w:ascii="Tahoma" w:hAnsi="Tahoma" w:cs="Tahoma"/>
        </w:rPr>
        <w:t>; posteriormente cambió d</w:t>
      </w:r>
      <w:r w:rsidR="00AC3FC6">
        <w:rPr>
          <w:rFonts w:ascii="Tahoma" w:hAnsi="Tahoma" w:cs="Tahoma"/>
        </w:rPr>
        <w:t xml:space="preserve">e fondo pero finalmente retornó </w:t>
      </w:r>
      <w:r w:rsidR="006834E7" w:rsidRPr="00E71518">
        <w:rPr>
          <w:rFonts w:ascii="Tahoma" w:hAnsi="Tahoma" w:cs="Tahoma"/>
        </w:rPr>
        <w:t xml:space="preserve">a Protección, es decir, </w:t>
      </w:r>
      <w:r w:rsidR="00AC3FC6">
        <w:rPr>
          <w:rFonts w:ascii="Tahoma" w:hAnsi="Tahoma" w:cs="Tahoma"/>
        </w:rPr>
        <w:t xml:space="preserve">que </w:t>
      </w:r>
      <w:r w:rsidR="006834E7" w:rsidRPr="00E71518">
        <w:rPr>
          <w:rFonts w:ascii="Tahoma" w:hAnsi="Tahoma" w:cs="Tahoma"/>
        </w:rPr>
        <w:t>la entidad al cual se traslad</w:t>
      </w:r>
      <w:r w:rsidR="00AC3FC6">
        <w:rPr>
          <w:rFonts w:ascii="Tahoma" w:hAnsi="Tahoma" w:cs="Tahoma"/>
        </w:rPr>
        <w:t>ó</w:t>
      </w:r>
      <w:r w:rsidR="006834E7" w:rsidRPr="00E71518">
        <w:rPr>
          <w:rFonts w:ascii="Tahoma" w:hAnsi="Tahoma" w:cs="Tahoma"/>
        </w:rPr>
        <w:t xml:space="preserve"> en principio y a la que se encuentra afiliada en la actualidad es la misma</w:t>
      </w:r>
      <w:r w:rsidR="00AC3FC6">
        <w:rPr>
          <w:rFonts w:ascii="Tahoma" w:hAnsi="Tahoma" w:cs="Tahoma"/>
        </w:rPr>
        <w:t xml:space="preserve">. </w:t>
      </w:r>
      <w:r w:rsidR="00AC3FC6">
        <w:rPr>
          <w:rFonts w:ascii="Tahoma" w:hAnsi="Tahoma" w:cs="Tahoma"/>
          <w:i/>
        </w:rPr>
        <w:t xml:space="preserve">iii) </w:t>
      </w:r>
      <w:r w:rsidR="00AC3FC6">
        <w:rPr>
          <w:rFonts w:ascii="Tahoma" w:hAnsi="Tahoma" w:cs="Tahoma"/>
        </w:rPr>
        <w:t>Que en virtud de lo anterior no se puede decir que</w:t>
      </w:r>
      <w:r w:rsidR="006834E7" w:rsidRPr="00E71518">
        <w:rPr>
          <w:rFonts w:ascii="Tahoma" w:hAnsi="Tahoma" w:cs="Tahoma"/>
        </w:rPr>
        <w:t xml:space="preserve"> </w:t>
      </w:r>
      <w:r w:rsidR="00AC3FC6" w:rsidRPr="00E71518">
        <w:rPr>
          <w:rFonts w:ascii="Tahoma" w:hAnsi="Tahoma" w:cs="Tahoma"/>
        </w:rPr>
        <w:t>PORVENIR</w:t>
      </w:r>
      <w:r w:rsidR="006834E7" w:rsidRPr="00E71518">
        <w:rPr>
          <w:rFonts w:ascii="Tahoma" w:hAnsi="Tahoma" w:cs="Tahoma"/>
        </w:rPr>
        <w:t xml:space="preserve"> </w:t>
      </w:r>
      <w:r w:rsidR="00AC3FC6">
        <w:rPr>
          <w:rFonts w:ascii="Tahoma" w:hAnsi="Tahoma" w:cs="Tahoma"/>
        </w:rPr>
        <w:t xml:space="preserve">fue la que incurrió en el alegado </w:t>
      </w:r>
      <w:r w:rsidR="006834E7" w:rsidRPr="00E71518">
        <w:rPr>
          <w:rFonts w:ascii="Tahoma" w:hAnsi="Tahoma" w:cs="Tahoma"/>
        </w:rPr>
        <w:t>deber de información</w:t>
      </w:r>
      <w:r w:rsidR="00AC3FC6">
        <w:rPr>
          <w:rFonts w:ascii="Tahoma" w:hAnsi="Tahoma" w:cs="Tahoma"/>
        </w:rPr>
        <w:t xml:space="preserve"> y por tanto </w:t>
      </w:r>
      <w:r w:rsidR="006834E7" w:rsidRPr="00E71518">
        <w:rPr>
          <w:rFonts w:ascii="Tahoma" w:hAnsi="Tahoma" w:cs="Tahoma"/>
        </w:rPr>
        <w:t>no se le podría imponer ninguna clase de obligación a</w:t>
      </w:r>
      <w:r w:rsidR="00AC3FC6">
        <w:rPr>
          <w:rFonts w:ascii="Tahoma" w:hAnsi="Tahoma" w:cs="Tahoma"/>
        </w:rPr>
        <w:t xml:space="preserve"> dicho </w:t>
      </w:r>
      <w:r w:rsidR="006834E7" w:rsidRPr="00E71518">
        <w:rPr>
          <w:rFonts w:ascii="Tahoma" w:hAnsi="Tahoma" w:cs="Tahoma"/>
        </w:rPr>
        <w:t>Fondo</w:t>
      </w:r>
      <w:r w:rsidR="00AC3FC6">
        <w:rPr>
          <w:rFonts w:ascii="Tahoma" w:hAnsi="Tahoma" w:cs="Tahoma"/>
        </w:rPr>
        <w:t xml:space="preserve">. </w:t>
      </w:r>
      <w:r w:rsidR="00AC3FC6">
        <w:rPr>
          <w:rFonts w:ascii="Tahoma" w:hAnsi="Tahoma" w:cs="Tahoma"/>
          <w:i/>
        </w:rPr>
        <w:t xml:space="preserve">iv) </w:t>
      </w:r>
      <w:r w:rsidR="00AC3FC6">
        <w:rPr>
          <w:rFonts w:ascii="Tahoma" w:hAnsi="Tahoma" w:cs="Tahoma"/>
        </w:rPr>
        <w:t xml:space="preserve">Siendo así las cosas, </w:t>
      </w:r>
      <w:r w:rsidR="006834E7" w:rsidRPr="00E71518">
        <w:rPr>
          <w:rFonts w:ascii="Tahoma" w:hAnsi="Tahoma" w:cs="Tahoma"/>
        </w:rPr>
        <w:t>P</w:t>
      </w:r>
      <w:r w:rsidR="00AC3FC6" w:rsidRPr="00E71518">
        <w:rPr>
          <w:rFonts w:ascii="Tahoma" w:hAnsi="Tahoma" w:cs="Tahoma"/>
        </w:rPr>
        <w:t>ORVENIR</w:t>
      </w:r>
      <w:r w:rsidR="00AC3FC6">
        <w:rPr>
          <w:rFonts w:ascii="Tahoma" w:hAnsi="Tahoma" w:cs="Tahoma"/>
        </w:rPr>
        <w:t xml:space="preserve"> no tiene la calidad de </w:t>
      </w:r>
      <w:r w:rsidR="006834E7" w:rsidRPr="00E71518">
        <w:rPr>
          <w:rFonts w:ascii="Tahoma" w:hAnsi="Tahoma" w:cs="Tahoma"/>
        </w:rPr>
        <w:t xml:space="preserve">Litis consorte necesario, </w:t>
      </w:r>
      <w:r w:rsidR="00AC3FC6">
        <w:rPr>
          <w:rFonts w:ascii="Tahoma" w:hAnsi="Tahoma" w:cs="Tahoma"/>
        </w:rPr>
        <w:t>p</w:t>
      </w:r>
      <w:r w:rsidR="006834E7" w:rsidRPr="00E71518">
        <w:rPr>
          <w:rFonts w:ascii="Tahoma" w:hAnsi="Tahoma" w:cs="Tahoma"/>
        </w:rPr>
        <w:t xml:space="preserve">ues </w:t>
      </w:r>
      <w:r w:rsidR="00AC3FC6">
        <w:rPr>
          <w:rFonts w:ascii="Tahoma" w:hAnsi="Tahoma" w:cs="Tahoma"/>
        </w:rPr>
        <w:t xml:space="preserve">en caso de </w:t>
      </w:r>
      <w:r w:rsidR="006834E7" w:rsidRPr="00E71518">
        <w:rPr>
          <w:rFonts w:ascii="Tahoma" w:hAnsi="Tahoma" w:cs="Tahoma"/>
        </w:rPr>
        <w:t xml:space="preserve">determinarse la nulidad o ineficacia, </w:t>
      </w:r>
      <w:r w:rsidR="00AC3FC6">
        <w:rPr>
          <w:rFonts w:ascii="Tahoma" w:hAnsi="Tahoma" w:cs="Tahoma"/>
        </w:rPr>
        <w:t xml:space="preserve">a quien se le ordenaría que retorne el saldo individual es a PROTECCIÓN, </w:t>
      </w:r>
      <w:r w:rsidR="006834E7" w:rsidRPr="00E71518">
        <w:rPr>
          <w:rFonts w:ascii="Tahoma" w:hAnsi="Tahoma" w:cs="Tahoma"/>
        </w:rPr>
        <w:t>entidad a la cual se encuentra afiliada la actora</w:t>
      </w:r>
      <w:r w:rsidR="00AC3FC6">
        <w:rPr>
          <w:rFonts w:ascii="Tahoma" w:hAnsi="Tahoma" w:cs="Tahoma"/>
        </w:rPr>
        <w:t>,</w:t>
      </w:r>
      <w:r w:rsidR="006834E7" w:rsidRPr="00E71518">
        <w:rPr>
          <w:rFonts w:ascii="Tahoma" w:hAnsi="Tahoma" w:cs="Tahoma"/>
        </w:rPr>
        <w:t xml:space="preserve"> y </w:t>
      </w:r>
      <w:r w:rsidR="00AC3FC6">
        <w:rPr>
          <w:rFonts w:ascii="Tahoma" w:hAnsi="Tahoma" w:cs="Tahoma"/>
        </w:rPr>
        <w:t xml:space="preserve">no a PORVENIR. </w:t>
      </w:r>
    </w:p>
    <w:p w:rsidR="00EB7FC1" w:rsidRPr="00E71518" w:rsidRDefault="00EB7FC1" w:rsidP="00E71518">
      <w:pPr>
        <w:spacing w:line="276" w:lineRule="auto"/>
        <w:ind w:right="51"/>
        <w:jc w:val="both"/>
        <w:rPr>
          <w:rFonts w:ascii="Tahoma" w:hAnsi="Tahoma" w:cs="Tahoma"/>
        </w:rPr>
      </w:pPr>
    </w:p>
    <w:p w:rsidR="006B7860" w:rsidRPr="00E71518" w:rsidRDefault="006B7860" w:rsidP="006B7860">
      <w:pPr>
        <w:pStyle w:val="Prrafodelista"/>
        <w:numPr>
          <w:ilvl w:val="0"/>
          <w:numId w:val="2"/>
        </w:numPr>
        <w:spacing w:line="276" w:lineRule="auto"/>
        <w:ind w:left="0" w:firstLine="0"/>
        <w:jc w:val="center"/>
        <w:rPr>
          <w:rFonts w:ascii="Tahoma" w:hAnsi="Tahoma" w:cs="Tahoma"/>
          <w:b/>
          <w:lang w:val="es-CO"/>
        </w:rPr>
      </w:pPr>
      <w:r w:rsidRPr="00E71518">
        <w:rPr>
          <w:rFonts w:ascii="Tahoma" w:hAnsi="Tahoma" w:cs="Tahoma"/>
          <w:b/>
          <w:lang w:val="es-CO"/>
        </w:rPr>
        <w:t>RECURSO DE APELACIÓN</w:t>
      </w:r>
    </w:p>
    <w:p w:rsidR="00783126" w:rsidRPr="00E71518" w:rsidRDefault="00783126" w:rsidP="00783126">
      <w:pPr>
        <w:pStyle w:val="Prrafodelista"/>
        <w:spacing w:line="276" w:lineRule="auto"/>
        <w:ind w:left="0"/>
        <w:jc w:val="center"/>
        <w:rPr>
          <w:rFonts w:ascii="Tahoma" w:hAnsi="Tahoma" w:cs="Tahoma"/>
          <w:b/>
          <w:lang w:val="es-CO"/>
        </w:rPr>
      </w:pPr>
    </w:p>
    <w:p w:rsidR="006834E7" w:rsidRPr="00E71518" w:rsidRDefault="006B7860" w:rsidP="006834E7">
      <w:pPr>
        <w:spacing w:line="276" w:lineRule="auto"/>
        <w:ind w:right="51"/>
        <w:jc w:val="both"/>
        <w:rPr>
          <w:rFonts w:ascii="Tahoma" w:hAnsi="Tahoma" w:cs="Tahoma"/>
        </w:rPr>
      </w:pPr>
      <w:r w:rsidRPr="00E71518">
        <w:rPr>
          <w:rFonts w:ascii="Tahoma" w:hAnsi="Tahoma" w:cs="Tahoma"/>
          <w:lang w:val="es-CO"/>
        </w:rPr>
        <w:tab/>
      </w:r>
      <w:r w:rsidR="00820F68" w:rsidRPr="00E71518">
        <w:rPr>
          <w:rFonts w:ascii="Tahoma" w:hAnsi="Tahoma" w:cs="Tahoma"/>
        </w:rPr>
        <w:t>Inconforme con la decisión</w:t>
      </w:r>
      <w:r w:rsidR="00BA3EA2">
        <w:rPr>
          <w:rFonts w:ascii="Tahoma" w:hAnsi="Tahoma" w:cs="Tahoma"/>
        </w:rPr>
        <w:t xml:space="preserve">, </w:t>
      </w:r>
      <w:r w:rsidR="00820F68" w:rsidRPr="00E71518">
        <w:rPr>
          <w:rFonts w:ascii="Tahoma" w:hAnsi="Tahoma" w:cs="Tahoma"/>
        </w:rPr>
        <w:t xml:space="preserve"> Protección S.A. la impugnó </w:t>
      </w:r>
      <w:r w:rsidR="00BA3EA2">
        <w:rPr>
          <w:rFonts w:ascii="Tahoma" w:hAnsi="Tahoma" w:cs="Tahoma"/>
        </w:rPr>
        <w:t xml:space="preserve">insistiendo que existe </w:t>
      </w:r>
      <w:r w:rsidR="006834E7" w:rsidRPr="00E71518">
        <w:rPr>
          <w:rFonts w:ascii="Tahoma" w:hAnsi="Tahoma" w:cs="Tahoma"/>
        </w:rPr>
        <w:t xml:space="preserve">Litis consorcio necesario, </w:t>
      </w:r>
      <w:r w:rsidR="00BA3EA2">
        <w:rPr>
          <w:rFonts w:ascii="Tahoma" w:hAnsi="Tahoma" w:cs="Tahoma"/>
        </w:rPr>
        <w:t xml:space="preserve">porque a pesar de </w:t>
      </w:r>
      <w:r w:rsidR="006834E7" w:rsidRPr="00E71518">
        <w:rPr>
          <w:rFonts w:ascii="Tahoma" w:hAnsi="Tahoma" w:cs="Tahoma"/>
        </w:rPr>
        <w:t>que las AFP con las que estuvo afiliada la actora</w:t>
      </w:r>
      <w:r w:rsidR="00BA3EA2">
        <w:rPr>
          <w:rFonts w:ascii="Tahoma" w:hAnsi="Tahoma" w:cs="Tahoma"/>
        </w:rPr>
        <w:t xml:space="preserve"> </w:t>
      </w:r>
      <w:r w:rsidR="00BA3EA2" w:rsidRPr="00BA3EA2">
        <w:rPr>
          <w:rFonts w:ascii="Tahoma" w:hAnsi="Tahoma" w:cs="Tahoma"/>
          <w:i/>
        </w:rPr>
        <w:t>-</w:t>
      </w:r>
      <w:r w:rsidR="006834E7" w:rsidRPr="00BA3EA2">
        <w:rPr>
          <w:rFonts w:ascii="Tahoma" w:hAnsi="Tahoma" w:cs="Tahoma"/>
          <w:i/>
        </w:rPr>
        <w:t xml:space="preserve">que fueron Colpatria, Horizonte y Porvenir </w:t>
      </w:r>
      <w:proofErr w:type="spellStart"/>
      <w:r w:rsidR="006834E7" w:rsidRPr="00BA3EA2">
        <w:rPr>
          <w:rFonts w:ascii="Tahoma" w:hAnsi="Tahoma" w:cs="Tahoma"/>
          <w:i/>
        </w:rPr>
        <w:t>S.A</w:t>
      </w:r>
      <w:proofErr w:type="spellEnd"/>
      <w:r w:rsidR="006834E7" w:rsidRPr="00BA3EA2">
        <w:rPr>
          <w:rFonts w:ascii="Tahoma" w:hAnsi="Tahoma" w:cs="Tahoma"/>
          <w:i/>
        </w:rPr>
        <w:t xml:space="preserve">, </w:t>
      </w:r>
      <w:r w:rsidR="00BA3EA2">
        <w:rPr>
          <w:rFonts w:ascii="Tahoma" w:hAnsi="Tahoma" w:cs="Tahoma"/>
          <w:i/>
        </w:rPr>
        <w:t xml:space="preserve">las </w:t>
      </w:r>
      <w:r w:rsidR="006834E7" w:rsidRPr="00BA3EA2">
        <w:rPr>
          <w:rFonts w:ascii="Tahoma" w:hAnsi="Tahoma" w:cs="Tahoma"/>
          <w:i/>
        </w:rPr>
        <w:t xml:space="preserve">dos anteriores absorbidas por Porvenir </w:t>
      </w:r>
      <w:proofErr w:type="spellStart"/>
      <w:r w:rsidR="006834E7" w:rsidRPr="00BA3EA2">
        <w:rPr>
          <w:rFonts w:ascii="Tahoma" w:hAnsi="Tahoma" w:cs="Tahoma"/>
          <w:i/>
        </w:rPr>
        <w:t>S.A</w:t>
      </w:r>
      <w:proofErr w:type="spellEnd"/>
      <w:r w:rsidR="00BA3EA2" w:rsidRPr="00BA3EA2">
        <w:rPr>
          <w:rFonts w:ascii="Tahoma" w:hAnsi="Tahoma" w:cs="Tahoma"/>
          <w:i/>
        </w:rPr>
        <w:t>-</w:t>
      </w:r>
      <w:r w:rsidR="006834E7" w:rsidRPr="00E71518">
        <w:rPr>
          <w:rFonts w:ascii="Tahoma" w:hAnsi="Tahoma" w:cs="Tahoma"/>
        </w:rPr>
        <w:t xml:space="preserve"> no fueron con las que efectuó el traslado de régimen</w:t>
      </w:r>
      <w:r w:rsidR="00BA3EA2">
        <w:rPr>
          <w:rFonts w:ascii="Tahoma" w:hAnsi="Tahoma" w:cs="Tahoma"/>
        </w:rPr>
        <w:t>, sino con COLMENA</w:t>
      </w:r>
      <w:r w:rsidR="006834E7" w:rsidRPr="00E71518">
        <w:rPr>
          <w:rFonts w:ascii="Tahoma" w:hAnsi="Tahoma" w:cs="Tahoma"/>
        </w:rPr>
        <w:t xml:space="preserve">, ella posteriormente realizó </w:t>
      </w:r>
      <w:r w:rsidR="00BA3EA2">
        <w:rPr>
          <w:rFonts w:ascii="Tahoma" w:hAnsi="Tahoma" w:cs="Tahoma"/>
        </w:rPr>
        <w:t>las otras afiliaciones</w:t>
      </w:r>
      <w:r w:rsidR="006834E7" w:rsidRPr="00E71518">
        <w:rPr>
          <w:rFonts w:ascii="Tahoma" w:hAnsi="Tahoma" w:cs="Tahoma"/>
        </w:rPr>
        <w:t>.</w:t>
      </w:r>
      <w:r w:rsidR="00BA3EA2">
        <w:rPr>
          <w:rFonts w:ascii="Tahoma" w:hAnsi="Tahoma" w:cs="Tahoma"/>
        </w:rPr>
        <w:t xml:space="preserve"> En ese sentido, explica que s</w:t>
      </w:r>
      <w:r w:rsidR="006834E7" w:rsidRPr="00E71518">
        <w:rPr>
          <w:rFonts w:ascii="Tahoma" w:hAnsi="Tahoma" w:cs="Tahoma"/>
        </w:rPr>
        <w:t xml:space="preserve">i el Juzgado declara la ineficacia frente al vínculo que se tuvo con Colmena, hoy Protección </w:t>
      </w:r>
      <w:proofErr w:type="spellStart"/>
      <w:r w:rsidR="006834E7" w:rsidRPr="00E71518">
        <w:rPr>
          <w:rFonts w:ascii="Tahoma" w:hAnsi="Tahoma" w:cs="Tahoma"/>
        </w:rPr>
        <w:t>S.A</w:t>
      </w:r>
      <w:proofErr w:type="spellEnd"/>
      <w:r w:rsidR="006834E7" w:rsidRPr="00E71518">
        <w:rPr>
          <w:rFonts w:ascii="Tahoma" w:hAnsi="Tahoma" w:cs="Tahoma"/>
        </w:rPr>
        <w:t>, no puede decirse que los restantes vínculos también son nulos o ineficaces, pues cada vinculación es un acto o negocio jurídico independiente</w:t>
      </w:r>
      <w:r w:rsidR="004A3558">
        <w:rPr>
          <w:rFonts w:ascii="Tahoma" w:hAnsi="Tahoma" w:cs="Tahoma"/>
        </w:rPr>
        <w:t xml:space="preserve">. </w:t>
      </w:r>
    </w:p>
    <w:p w:rsidR="004A3558" w:rsidRDefault="006834E7" w:rsidP="006834E7">
      <w:pPr>
        <w:spacing w:line="276" w:lineRule="auto"/>
        <w:ind w:right="51"/>
        <w:jc w:val="both"/>
        <w:rPr>
          <w:rFonts w:ascii="Tahoma" w:hAnsi="Tahoma" w:cs="Tahoma"/>
        </w:rPr>
      </w:pPr>
      <w:r w:rsidRPr="00E71518">
        <w:rPr>
          <w:rFonts w:ascii="Tahoma" w:hAnsi="Tahoma" w:cs="Tahoma"/>
        </w:rPr>
        <w:tab/>
      </w:r>
    </w:p>
    <w:p w:rsidR="006834E7" w:rsidRDefault="006834E7" w:rsidP="004A3558">
      <w:pPr>
        <w:spacing w:line="276" w:lineRule="auto"/>
        <w:ind w:right="51"/>
        <w:jc w:val="both"/>
        <w:rPr>
          <w:rFonts w:ascii="Tahoma" w:hAnsi="Tahoma" w:cs="Tahoma"/>
        </w:rPr>
      </w:pPr>
      <w:r w:rsidRPr="00E71518">
        <w:rPr>
          <w:rFonts w:ascii="Tahoma" w:hAnsi="Tahoma" w:cs="Tahoma"/>
        </w:rPr>
        <w:tab/>
      </w:r>
      <w:r w:rsidR="004A3558">
        <w:rPr>
          <w:rFonts w:ascii="Tahoma" w:hAnsi="Tahoma" w:cs="Tahoma"/>
        </w:rPr>
        <w:t>Agrega que p</w:t>
      </w:r>
      <w:r w:rsidRPr="00E71518">
        <w:rPr>
          <w:rFonts w:ascii="Tahoma" w:hAnsi="Tahoma" w:cs="Tahoma"/>
        </w:rPr>
        <w:t xml:space="preserve">ara declarar que la actora no conserva ningún </w:t>
      </w:r>
      <w:proofErr w:type="spellStart"/>
      <w:proofErr w:type="gramStart"/>
      <w:r w:rsidRPr="00E71518">
        <w:rPr>
          <w:rFonts w:ascii="Tahoma" w:hAnsi="Tahoma" w:cs="Tahoma"/>
        </w:rPr>
        <w:t>vinculo</w:t>
      </w:r>
      <w:proofErr w:type="spellEnd"/>
      <w:proofErr w:type="gramEnd"/>
      <w:r w:rsidRPr="00E71518">
        <w:rPr>
          <w:rFonts w:ascii="Tahoma" w:hAnsi="Tahoma" w:cs="Tahoma"/>
        </w:rPr>
        <w:t xml:space="preserve"> con el régimen de ahorro indi</w:t>
      </w:r>
      <w:r w:rsidR="004A3558">
        <w:rPr>
          <w:rFonts w:ascii="Tahoma" w:hAnsi="Tahoma" w:cs="Tahoma"/>
        </w:rPr>
        <w:t xml:space="preserve">vidual, </w:t>
      </w:r>
      <w:r w:rsidRPr="00E71518">
        <w:rPr>
          <w:rFonts w:ascii="Tahoma" w:hAnsi="Tahoma" w:cs="Tahoma"/>
        </w:rPr>
        <w:t xml:space="preserve">es necesario finiquitar cada una de </w:t>
      </w:r>
      <w:r w:rsidR="004A3558">
        <w:rPr>
          <w:rFonts w:ascii="Tahoma" w:hAnsi="Tahoma" w:cs="Tahoma"/>
        </w:rPr>
        <w:t xml:space="preserve">las </w:t>
      </w:r>
      <w:r w:rsidRPr="00E71518">
        <w:rPr>
          <w:rFonts w:ascii="Tahoma" w:hAnsi="Tahoma" w:cs="Tahoma"/>
        </w:rPr>
        <w:t>afiliaci</w:t>
      </w:r>
      <w:r w:rsidR="004A3558">
        <w:rPr>
          <w:rFonts w:ascii="Tahoma" w:hAnsi="Tahoma" w:cs="Tahoma"/>
        </w:rPr>
        <w:t>ones</w:t>
      </w:r>
      <w:r w:rsidRPr="00E71518">
        <w:rPr>
          <w:rFonts w:ascii="Tahoma" w:hAnsi="Tahoma" w:cs="Tahoma"/>
        </w:rPr>
        <w:t xml:space="preserve"> que ella tuvo con las distintas AFP</w:t>
      </w:r>
      <w:r w:rsidR="004A3558">
        <w:rPr>
          <w:rFonts w:ascii="Tahoma" w:hAnsi="Tahoma" w:cs="Tahoma"/>
        </w:rPr>
        <w:t xml:space="preserve"> las cuales surtieron sus efectos en su momento.</w:t>
      </w:r>
    </w:p>
    <w:p w:rsidR="004A3558" w:rsidRPr="00E71518" w:rsidRDefault="004A3558" w:rsidP="004A3558">
      <w:pPr>
        <w:spacing w:line="276" w:lineRule="auto"/>
        <w:ind w:right="51"/>
        <w:jc w:val="both"/>
        <w:rPr>
          <w:rFonts w:ascii="Tahoma" w:hAnsi="Tahoma" w:cs="Tahoma"/>
        </w:rPr>
      </w:pPr>
    </w:p>
    <w:p w:rsidR="006834E7" w:rsidRPr="006E2E29" w:rsidRDefault="006834E7" w:rsidP="004A3558">
      <w:pPr>
        <w:spacing w:line="276" w:lineRule="auto"/>
        <w:ind w:right="51"/>
        <w:jc w:val="both"/>
        <w:rPr>
          <w:rFonts w:ascii="Tahoma" w:hAnsi="Tahoma" w:cs="Tahoma"/>
          <w:color w:val="FF0000"/>
        </w:rPr>
      </w:pPr>
      <w:r w:rsidRPr="00E71518">
        <w:rPr>
          <w:rFonts w:ascii="Tahoma" w:hAnsi="Tahoma" w:cs="Tahoma"/>
        </w:rPr>
        <w:tab/>
        <w:t>Por lo expuesto</w:t>
      </w:r>
      <w:r w:rsidR="004A3558">
        <w:rPr>
          <w:rFonts w:ascii="Tahoma" w:hAnsi="Tahoma" w:cs="Tahoma"/>
        </w:rPr>
        <w:t xml:space="preserve">, </w:t>
      </w:r>
      <w:r w:rsidRPr="00E71518">
        <w:rPr>
          <w:rFonts w:ascii="Tahoma" w:hAnsi="Tahoma" w:cs="Tahoma"/>
        </w:rPr>
        <w:t xml:space="preserve">solicita que se revoque la decisión </w:t>
      </w:r>
      <w:r w:rsidR="004A3558">
        <w:rPr>
          <w:rFonts w:ascii="Tahoma" w:hAnsi="Tahoma" w:cs="Tahoma"/>
        </w:rPr>
        <w:t>apelada</w:t>
      </w:r>
      <w:r w:rsidRPr="00E71518">
        <w:rPr>
          <w:rFonts w:ascii="Tahoma" w:hAnsi="Tahoma" w:cs="Tahoma"/>
        </w:rPr>
        <w:t xml:space="preserve"> y en su lugar se ordene </w:t>
      </w:r>
      <w:r w:rsidR="004A3558">
        <w:rPr>
          <w:rFonts w:ascii="Tahoma" w:hAnsi="Tahoma" w:cs="Tahoma"/>
        </w:rPr>
        <w:t xml:space="preserve"> la </w:t>
      </w:r>
      <w:r w:rsidRPr="00E71518">
        <w:rPr>
          <w:rFonts w:ascii="Tahoma" w:hAnsi="Tahoma" w:cs="Tahoma"/>
        </w:rPr>
        <w:t>integra</w:t>
      </w:r>
      <w:r w:rsidR="004A3558">
        <w:rPr>
          <w:rFonts w:ascii="Tahoma" w:hAnsi="Tahoma" w:cs="Tahoma"/>
        </w:rPr>
        <w:t xml:space="preserve">ción de Porvenir S.A. </w:t>
      </w:r>
      <w:r w:rsidRPr="00E71518">
        <w:rPr>
          <w:rFonts w:ascii="Tahoma" w:hAnsi="Tahoma" w:cs="Tahoma"/>
        </w:rPr>
        <w:t xml:space="preserve">a la Litis a Porvenir </w:t>
      </w:r>
      <w:proofErr w:type="spellStart"/>
      <w:r w:rsidRPr="00E71518">
        <w:rPr>
          <w:rFonts w:ascii="Tahoma" w:hAnsi="Tahoma" w:cs="Tahoma"/>
        </w:rPr>
        <w:t>S.A</w:t>
      </w:r>
      <w:proofErr w:type="spellEnd"/>
      <w:r w:rsidRPr="00E71518">
        <w:rPr>
          <w:rFonts w:ascii="Tahoma" w:hAnsi="Tahoma" w:cs="Tahoma"/>
        </w:rPr>
        <w:t xml:space="preserve"> como cesionaria de Horizonte </w:t>
      </w:r>
      <w:proofErr w:type="spellStart"/>
      <w:r w:rsidRPr="00E71518">
        <w:rPr>
          <w:rFonts w:ascii="Tahoma" w:hAnsi="Tahoma" w:cs="Tahoma"/>
        </w:rPr>
        <w:t>S.A</w:t>
      </w:r>
      <w:proofErr w:type="spellEnd"/>
      <w:r w:rsidRPr="00E71518">
        <w:rPr>
          <w:rFonts w:ascii="Tahoma" w:hAnsi="Tahoma" w:cs="Tahoma"/>
        </w:rPr>
        <w:t xml:space="preserve">, antes </w:t>
      </w:r>
      <w:r w:rsidRPr="004A3558">
        <w:rPr>
          <w:rFonts w:ascii="Tahoma" w:hAnsi="Tahoma" w:cs="Tahoma"/>
        </w:rPr>
        <w:t>Colpatria.</w:t>
      </w:r>
    </w:p>
    <w:p w:rsidR="00820F68" w:rsidRDefault="00820F68" w:rsidP="00820F68">
      <w:pPr>
        <w:pStyle w:val="Prrafodelista"/>
        <w:spacing w:line="276" w:lineRule="auto"/>
        <w:ind w:left="708"/>
        <w:jc w:val="both"/>
        <w:rPr>
          <w:rFonts w:ascii="Tahoma" w:hAnsi="Tahoma" w:cs="Tahoma"/>
          <w:lang w:val="es-CO"/>
        </w:rPr>
      </w:pPr>
    </w:p>
    <w:p w:rsidR="00783126" w:rsidRPr="00FC31D3" w:rsidRDefault="00783126" w:rsidP="00FB7576">
      <w:pPr>
        <w:pStyle w:val="Prrafodelista"/>
        <w:spacing w:line="240" w:lineRule="auto"/>
        <w:ind w:left="1065"/>
        <w:jc w:val="both"/>
        <w:rPr>
          <w:rFonts w:ascii="Tahoma" w:hAnsi="Tahoma" w:cs="Tahoma"/>
          <w:lang w:val="es-CO"/>
        </w:rPr>
      </w:pPr>
    </w:p>
    <w:p w:rsidR="00766D38" w:rsidRPr="00FC31D3" w:rsidRDefault="00783126" w:rsidP="00783126">
      <w:pPr>
        <w:pStyle w:val="Prrafodelista"/>
        <w:numPr>
          <w:ilvl w:val="0"/>
          <w:numId w:val="2"/>
        </w:numPr>
        <w:spacing w:line="276" w:lineRule="auto"/>
        <w:ind w:left="0" w:firstLine="0"/>
        <w:jc w:val="center"/>
        <w:rPr>
          <w:rFonts w:ascii="Tahoma" w:hAnsi="Tahoma" w:cs="Tahoma"/>
          <w:b/>
          <w:lang w:val="es-CO"/>
        </w:rPr>
      </w:pPr>
      <w:r w:rsidRPr="00FC31D3">
        <w:rPr>
          <w:rFonts w:ascii="Tahoma" w:hAnsi="Tahoma" w:cs="Tahoma"/>
          <w:b/>
          <w:lang w:val="es-CO"/>
        </w:rPr>
        <w:t>CONSIDERACIONES</w:t>
      </w:r>
    </w:p>
    <w:p w:rsidR="006C2900" w:rsidRPr="00FC31D3" w:rsidRDefault="006C2900" w:rsidP="00FB7576">
      <w:pPr>
        <w:pStyle w:val="Prrafodelista"/>
        <w:spacing w:line="240" w:lineRule="auto"/>
        <w:ind w:left="0"/>
        <w:jc w:val="both"/>
        <w:rPr>
          <w:rFonts w:ascii="Tahoma" w:hAnsi="Tahoma" w:cs="Tahoma"/>
          <w:lang w:val="es-CO"/>
        </w:rPr>
      </w:pPr>
    </w:p>
    <w:p w:rsidR="002172CB" w:rsidRPr="00FC31D3" w:rsidRDefault="002172CB" w:rsidP="0076119F">
      <w:pPr>
        <w:pStyle w:val="Prrafodelista"/>
        <w:spacing w:line="276" w:lineRule="auto"/>
        <w:ind w:left="0"/>
        <w:jc w:val="both"/>
        <w:rPr>
          <w:rFonts w:ascii="Tahoma" w:hAnsi="Tahoma" w:cs="Tahoma"/>
          <w:lang w:val="es-CO"/>
        </w:rPr>
      </w:pPr>
      <w:r w:rsidRPr="00FC31D3">
        <w:rPr>
          <w:rFonts w:ascii="Tahoma" w:hAnsi="Tahoma" w:cs="Tahoma"/>
          <w:lang w:val="es-CO"/>
        </w:rPr>
        <w:tab/>
      </w:r>
    </w:p>
    <w:p w:rsidR="00C1682C" w:rsidRPr="00820F68" w:rsidRDefault="00820F68" w:rsidP="00E946EA">
      <w:pPr>
        <w:pStyle w:val="Prrafodelista"/>
        <w:numPr>
          <w:ilvl w:val="1"/>
          <w:numId w:val="2"/>
        </w:numPr>
        <w:spacing w:line="240" w:lineRule="auto"/>
        <w:ind w:left="0" w:firstLine="0"/>
        <w:jc w:val="both"/>
        <w:rPr>
          <w:rFonts w:ascii="Tahoma" w:hAnsi="Tahoma" w:cs="Tahoma"/>
          <w:lang w:val="es-CO"/>
        </w:rPr>
      </w:pPr>
      <w:r w:rsidRPr="00820F68">
        <w:rPr>
          <w:rFonts w:ascii="Tahoma" w:hAnsi="Tahoma" w:cs="Tahoma"/>
          <w:b/>
          <w:lang w:val="es-CO"/>
        </w:rPr>
        <w:t xml:space="preserve">PRECEDENTE DE LA CORTE SUPREMA DE JUSTICIA RESPECTO AL PUNTO OBJETO DE APELACIÓN: </w:t>
      </w:r>
    </w:p>
    <w:p w:rsidR="00820F68" w:rsidRDefault="00820F68" w:rsidP="00820F68">
      <w:pPr>
        <w:pStyle w:val="Prrafodelista"/>
        <w:spacing w:line="240" w:lineRule="auto"/>
        <w:ind w:left="0"/>
        <w:jc w:val="both"/>
        <w:rPr>
          <w:rFonts w:ascii="Tahoma" w:hAnsi="Tahoma" w:cs="Tahoma"/>
          <w:b/>
          <w:lang w:val="es-CO"/>
        </w:rPr>
      </w:pPr>
    </w:p>
    <w:p w:rsidR="00820F68" w:rsidRPr="003122EE" w:rsidRDefault="00820F68" w:rsidP="003122EE">
      <w:pPr>
        <w:pStyle w:val="Prrafodelista"/>
        <w:spacing w:line="276" w:lineRule="auto"/>
        <w:ind w:left="0"/>
        <w:jc w:val="both"/>
        <w:rPr>
          <w:rFonts w:ascii="Tahoma" w:hAnsi="Tahoma" w:cs="Tahoma"/>
          <w:lang w:val="es-CO"/>
        </w:rPr>
      </w:pPr>
    </w:p>
    <w:p w:rsidR="003122EE" w:rsidRPr="003122EE" w:rsidRDefault="003122EE" w:rsidP="003122EE">
      <w:pPr>
        <w:spacing w:line="276" w:lineRule="auto"/>
        <w:ind w:right="51" w:firstLine="426"/>
        <w:jc w:val="both"/>
        <w:rPr>
          <w:rFonts w:ascii="Tahoma" w:hAnsi="Tahoma" w:cs="Tahoma"/>
          <w:iCs/>
        </w:rPr>
      </w:pPr>
      <w:r>
        <w:rPr>
          <w:rFonts w:ascii="Tahoma" w:hAnsi="Tahoma" w:cs="Tahoma"/>
          <w:iCs/>
        </w:rPr>
        <w:t xml:space="preserve">En la sentencia hito de la Sala de Casación Laboral de la Corte Suprema de Justicia, </w:t>
      </w:r>
      <w:r w:rsidR="001B1AC3">
        <w:rPr>
          <w:rFonts w:ascii="Tahoma" w:hAnsi="Tahoma" w:cs="Tahoma"/>
          <w:iCs/>
        </w:rPr>
        <w:t>calendada</w:t>
      </w:r>
      <w:r w:rsidR="003A40C8">
        <w:rPr>
          <w:rFonts w:ascii="Tahoma" w:hAnsi="Tahoma" w:cs="Tahoma"/>
          <w:iCs/>
        </w:rPr>
        <w:t xml:space="preserve"> el</w:t>
      </w:r>
      <w:r w:rsidRPr="003122EE">
        <w:rPr>
          <w:rFonts w:ascii="Tahoma" w:hAnsi="Tahoma" w:cs="Tahoma"/>
          <w:iCs/>
        </w:rPr>
        <w:t xml:space="preserve"> 9 de Septiembre de 2008, radicado 31989, con ponencia del Magistrado Eduardo López Villegas</w:t>
      </w:r>
      <w:r w:rsidR="003A40C8">
        <w:rPr>
          <w:rFonts w:ascii="Tahoma" w:hAnsi="Tahoma" w:cs="Tahoma"/>
          <w:iCs/>
        </w:rPr>
        <w:t>,</w:t>
      </w:r>
      <w:r>
        <w:rPr>
          <w:rFonts w:ascii="Tahoma" w:hAnsi="Tahoma" w:cs="Tahoma"/>
          <w:iCs/>
        </w:rPr>
        <w:t xml:space="preserve"> que abordó el tema de la nulidad de los traslados del régimen de prima media </w:t>
      </w:r>
      <w:r>
        <w:rPr>
          <w:rFonts w:ascii="Tahoma" w:hAnsi="Tahoma" w:cs="Tahoma"/>
          <w:iCs/>
        </w:rPr>
        <w:lastRenderedPageBreak/>
        <w:t xml:space="preserve">al régimen de ahorro individual, </w:t>
      </w:r>
      <w:r w:rsidR="003A40C8">
        <w:rPr>
          <w:rFonts w:ascii="Tahoma" w:hAnsi="Tahoma" w:cs="Tahoma"/>
          <w:iCs/>
        </w:rPr>
        <w:t xml:space="preserve">también </w:t>
      </w:r>
      <w:r>
        <w:rPr>
          <w:rFonts w:ascii="Tahoma" w:hAnsi="Tahoma" w:cs="Tahoma"/>
          <w:iCs/>
        </w:rPr>
        <w:t xml:space="preserve">se </w:t>
      </w:r>
      <w:r w:rsidR="003A40C8">
        <w:rPr>
          <w:rFonts w:ascii="Tahoma" w:hAnsi="Tahoma" w:cs="Tahoma"/>
          <w:iCs/>
        </w:rPr>
        <w:t xml:space="preserve">acometió </w:t>
      </w:r>
      <w:r>
        <w:rPr>
          <w:rFonts w:ascii="Tahoma" w:hAnsi="Tahoma" w:cs="Tahoma"/>
          <w:iCs/>
        </w:rPr>
        <w:t>el tema referente a las diferentes afiliaciones que una persona realice con los fondos de pensiones privados dentro del régimen de ah</w:t>
      </w:r>
      <w:r w:rsidR="003A40C8">
        <w:rPr>
          <w:rFonts w:ascii="Tahoma" w:hAnsi="Tahoma" w:cs="Tahoma"/>
          <w:iCs/>
        </w:rPr>
        <w:t>orro individual, así</w:t>
      </w:r>
      <w:r w:rsidRPr="003122EE">
        <w:rPr>
          <w:rFonts w:ascii="Tahoma" w:hAnsi="Tahoma" w:cs="Tahoma"/>
          <w:iCs/>
        </w:rPr>
        <w:t>:</w:t>
      </w:r>
    </w:p>
    <w:p w:rsidR="003122EE" w:rsidRPr="003122EE" w:rsidRDefault="003122EE" w:rsidP="003122EE">
      <w:pPr>
        <w:spacing w:line="276" w:lineRule="auto"/>
        <w:ind w:right="51"/>
        <w:jc w:val="both"/>
        <w:rPr>
          <w:rFonts w:ascii="Tahoma" w:hAnsi="Tahoma" w:cs="Tahoma"/>
          <w:iCs/>
        </w:rPr>
      </w:pPr>
    </w:p>
    <w:p w:rsidR="003122EE" w:rsidRPr="003122EE" w:rsidRDefault="003122EE" w:rsidP="003122EE">
      <w:pPr>
        <w:spacing w:line="276" w:lineRule="auto"/>
        <w:ind w:left="426" w:right="447"/>
        <w:jc w:val="both"/>
        <w:rPr>
          <w:rFonts w:ascii="Tahoma" w:eastAsia="Calibri" w:hAnsi="Tahoma" w:cs="Tahoma"/>
          <w:i/>
        </w:rPr>
      </w:pPr>
      <w:r w:rsidRPr="003122EE">
        <w:rPr>
          <w:rFonts w:ascii="Tahoma" w:eastAsia="Calibri" w:hAnsi="Tahoma" w:cs="Tahoma"/>
          <w:i/>
        </w:rPr>
        <w:t>“Se ha de señalar que la actuación viciada de traslado del régimen de prima media con prestación definida al de ahorro individual, no se convalida por los traslados de administradoras dentro de este último régimen; ciertamente, la decisión de escoger entre una y otra administradora de ahorro individual, no implica la ratificación de la decisión de cambio de régimen que conlleva modificar sensiblemente el contenido de los derechos prestacionales.</w:t>
      </w:r>
    </w:p>
    <w:p w:rsidR="003122EE" w:rsidRPr="003122EE" w:rsidRDefault="003122EE" w:rsidP="003122EE">
      <w:pPr>
        <w:spacing w:line="276" w:lineRule="auto"/>
        <w:ind w:left="426" w:right="447"/>
        <w:jc w:val="both"/>
        <w:rPr>
          <w:rFonts w:ascii="Tahoma" w:eastAsia="Calibri" w:hAnsi="Tahoma" w:cs="Tahoma"/>
          <w:i/>
        </w:rPr>
      </w:pPr>
    </w:p>
    <w:p w:rsidR="003122EE" w:rsidRPr="003122EE" w:rsidRDefault="003122EE" w:rsidP="003122EE">
      <w:pPr>
        <w:spacing w:line="276" w:lineRule="auto"/>
        <w:ind w:left="426" w:right="447"/>
        <w:jc w:val="both"/>
        <w:rPr>
          <w:rFonts w:ascii="Tahoma" w:hAnsi="Tahoma" w:cs="Tahoma"/>
          <w:i/>
        </w:rPr>
      </w:pPr>
      <w:r w:rsidRPr="003122EE">
        <w:rPr>
          <w:rFonts w:ascii="Tahoma" w:hAnsi="Tahoma" w:cs="Tahoma"/>
          <w:i/>
        </w:rPr>
        <w:t>(…)</w:t>
      </w:r>
    </w:p>
    <w:p w:rsidR="003122EE" w:rsidRPr="003122EE" w:rsidRDefault="003122EE" w:rsidP="003122EE">
      <w:pPr>
        <w:spacing w:line="276" w:lineRule="auto"/>
        <w:ind w:left="426" w:right="447" w:firstLine="708"/>
        <w:jc w:val="both"/>
        <w:rPr>
          <w:rFonts w:ascii="Tahoma" w:hAnsi="Tahoma" w:cs="Tahoma"/>
          <w:i/>
        </w:rPr>
      </w:pPr>
    </w:p>
    <w:p w:rsidR="003122EE" w:rsidRPr="003122EE" w:rsidRDefault="003122EE" w:rsidP="003122EE">
      <w:pPr>
        <w:spacing w:line="276" w:lineRule="auto"/>
        <w:ind w:left="426" w:right="447"/>
        <w:jc w:val="both"/>
        <w:rPr>
          <w:rFonts w:ascii="Tahoma" w:hAnsi="Tahoma" w:cs="Tahoma"/>
          <w:lang w:val="es-MX"/>
        </w:rPr>
      </w:pPr>
      <w:r w:rsidRPr="003122EE">
        <w:rPr>
          <w:rFonts w:ascii="Tahoma" w:hAnsi="Tahoma" w:cs="Tahoma"/>
          <w:i/>
          <w:lang w:val="es-MX"/>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r w:rsidRPr="003122EE">
        <w:rPr>
          <w:rFonts w:ascii="Tahoma" w:hAnsi="Tahoma" w:cs="Tahoma"/>
          <w:lang w:val="es-MX"/>
        </w:rPr>
        <w:t>”</w:t>
      </w:r>
    </w:p>
    <w:p w:rsidR="003122EE" w:rsidRDefault="003122EE" w:rsidP="00820F68">
      <w:pPr>
        <w:pStyle w:val="Prrafodelista"/>
        <w:spacing w:line="240" w:lineRule="auto"/>
        <w:ind w:left="0"/>
        <w:jc w:val="both"/>
        <w:rPr>
          <w:rFonts w:ascii="Tahoma" w:hAnsi="Tahoma" w:cs="Tahoma"/>
          <w:lang w:val="es-CO"/>
        </w:rPr>
      </w:pPr>
    </w:p>
    <w:p w:rsidR="00E5723E" w:rsidRPr="006D3B5E" w:rsidRDefault="00FC65EB" w:rsidP="00E5723E">
      <w:pPr>
        <w:spacing w:line="276" w:lineRule="auto"/>
        <w:ind w:firstLine="708"/>
        <w:jc w:val="both"/>
        <w:rPr>
          <w:rFonts w:ascii="Tahoma" w:hAnsi="Tahoma" w:cs="Tahoma"/>
        </w:rPr>
      </w:pPr>
      <w:r w:rsidRPr="00FC31D3">
        <w:rPr>
          <w:rFonts w:ascii="Tahoma" w:hAnsi="Tahoma" w:cs="Tahoma"/>
          <w:color w:val="2D2D2D"/>
          <w:shd w:val="clear" w:color="auto" w:fill="FFFFFF"/>
        </w:rPr>
        <w:tab/>
      </w:r>
      <w:r w:rsidR="00321CDA">
        <w:rPr>
          <w:rFonts w:ascii="Tahoma" w:hAnsi="Tahoma" w:cs="Tahoma"/>
        </w:rPr>
        <w:t>Cómo puede verse, d</w:t>
      </w:r>
      <w:r w:rsidR="00321CDA" w:rsidRPr="00920712">
        <w:rPr>
          <w:rFonts w:ascii="Tahoma" w:hAnsi="Tahoma" w:cs="Tahoma"/>
        </w:rPr>
        <w:t xml:space="preserve">e acuerdo </w:t>
      </w:r>
      <w:r w:rsidR="00321CDA">
        <w:rPr>
          <w:rFonts w:ascii="Tahoma" w:hAnsi="Tahoma" w:cs="Tahoma"/>
        </w:rPr>
        <w:t>a</w:t>
      </w:r>
      <w:r w:rsidR="00321CDA" w:rsidRPr="00920712">
        <w:rPr>
          <w:rFonts w:ascii="Tahoma" w:hAnsi="Tahoma" w:cs="Tahoma"/>
        </w:rPr>
        <w:t xml:space="preserve"> la jurisprudencia en cita, el traslado del régimen</w:t>
      </w:r>
      <w:r w:rsidR="00321CDA">
        <w:rPr>
          <w:rFonts w:ascii="Tahoma" w:hAnsi="Tahoma" w:cs="Tahoma"/>
        </w:rPr>
        <w:t xml:space="preserve"> de prima media al régimen de ahorro individual</w:t>
      </w:r>
      <w:r w:rsidR="00321CDA" w:rsidRPr="00920712">
        <w:rPr>
          <w:rFonts w:ascii="Tahoma" w:hAnsi="Tahoma" w:cs="Tahoma"/>
        </w:rPr>
        <w:t xml:space="preserve"> es un</w:t>
      </w:r>
      <w:r w:rsidR="00321CDA">
        <w:rPr>
          <w:rFonts w:ascii="Tahoma" w:hAnsi="Tahoma" w:cs="Tahoma"/>
        </w:rPr>
        <w:t>o</w:t>
      </w:r>
      <w:r w:rsidR="00321CDA" w:rsidRPr="00920712">
        <w:rPr>
          <w:rFonts w:ascii="Tahoma" w:hAnsi="Tahoma" w:cs="Tahoma"/>
        </w:rPr>
        <w:t xml:space="preserve"> solo y </w:t>
      </w:r>
      <w:r w:rsidR="00321CDA">
        <w:rPr>
          <w:rFonts w:ascii="Tahoma" w:hAnsi="Tahoma" w:cs="Tahoma"/>
        </w:rPr>
        <w:t>no tantos cuantas afiliaciones hubiere hecho la persona a los diferentes fondos de pensiones privados, de modo que si resultare nul</w:t>
      </w:r>
      <w:r w:rsidR="00D044A2">
        <w:rPr>
          <w:rFonts w:ascii="Tahoma" w:hAnsi="Tahoma" w:cs="Tahoma"/>
        </w:rPr>
        <w:t>a</w:t>
      </w:r>
      <w:r w:rsidR="00321CDA">
        <w:rPr>
          <w:rFonts w:ascii="Tahoma" w:hAnsi="Tahoma" w:cs="Tahoma"/>
        </w:rPr>
        <w:t xml:space="preserve"> o ineficaz la primera afiliación, que fue la que marcó el traslado de un régimen a otro, </w:t>
      </w:r>
      <w:r w:rsidR="00AB2ED9">
        <w:rPr>
          <w:rFonts w:ascii="Tahoma" w:hAnsi="Tahoma" w:cs="Tahoma"/>
        </w:rPr>
        <w:t xml:space="preserve">las afiliaciones posteriores no convalidan </w:t>
      </w:r>
      <w:r w:rsidR="00AB2ED9" w:rsidRPr="006D3B5E">
        <w:rPr>
          <w:rFonts w:ascii="Tahoma" w:hAnsi="Tahoma" w:cs="Tahoma"/>
        </w:rPr>
        <w:t xml:space="preserve">la actuación viciada, </w:t>
      </w:r>
      <w:r w:rsidR="00AB2ED9">
        <w:rPr>
          <w:rFonts w:ascii="Tahoma" w:hAnsi="Tahoma" w:cs="Tahoma"/>
        </w:rPr>
        <w:t xml:space="preserve">ni </w:t>
      </w:r>
      <w:r w:rsidR="00AB2ED9" w:rsidRPr="006D3B5E">
        <w:rPr>
          <w:rFonts w:ascii="Tahoma" w:hAnsi="Tahoma" w:cs="Tahoma"/>
        </w:rPr>
        <w:t>tampoco ratifican el cambio de régimen que ocurrió por el engaño y la desinformación.</w:t>
      </w:r>
      <w:r w:rsidR="00AB2ED9">
        <w:rPr>
          <w:rFonts w:ascii="Tahoma" w:hAnsi="Tahoma" w:cs="Tahoma"/>
        </w:rPr>
        <w:t xml:space="preserve"> Dicho en otras palabras, las afiliaciones posteriores </w:t>
      </w:r>
      <w:r w:rsidR="00321CDA">
        <w:rPr>
          <w:rFonts w:ascii="Tahoma" w:hAnsi="Tahoma" w:cs="Tahoma"/>
        </w:rPr>
        <w:t>quedan sin ningún valor por cuenta, precisamente de los efectos de la declaratoria de la nulidad y/o ineficacia</w:t>
      </w:r>
      <w:r w:rsidR="00AB2ED9">
        <w:rPr>
          <w:rFonts w:ascii="Tahoma" w:hAnsi="Tahoma" w:cs="Tahoma"/>
        </w:rPr>
        <w:t>, tal como lo ha sostenido esta Sala siguiendo esa</w:t>
      </w:r>
      <w:r w:rsidR="00E5723E">
        <w:rPr>
          <w:rFonts w:ascii="Tahoma" w:hAnsi="Tahoma" w:cs="Tahoma"/>
        </w:rPr>
        <w:t xml:space="preserve"> línea </w:t>
      </w:r>
      <w:r w:rsidR="00AB2ED9">
        <w:rPr>
          <w:rFonts w:ascii="Tahoma" w:hAnsi="Tahoma" w:cs="Tahoma"/>
        </w:rPr>
        <w:t>jurisprudencial</w:t>
      </w:r>
      <w:r w:rsidR="00E5723E">
        <w:rPr>
          <w:rFonts w:ascii="Tahoma" w:hAnsi="Tahoma" w:cs="Tahoma"/>
        </w:rPr>
        <w:t xml:space="preserve">. </w:t>
      </w:r>
    </w:p>
    <w:p w:rsidR="00321CDA" w:rsidRDefault="00321CDA" w:rsidP="00321CDA">
      <w:pPr>
        <w:spacing w:line="276" w:lineRule="auto"/>
        <w:ind w:firstLine="426"/>
        <w:jc w:val="both"/>
        <w:rPr>
          <w:rFonts w:ascii="Tahoma" w:hAnsi="Tahoma" w:cs="Tahoma"/>
        </w:rPr>
      </w:pPr>
    </w:p>
    <w:p w:rsidR="008A6BC7" w:rsidRDefault="008A6BC7" w:rsidP="00321CDA">
      <w:pPr>
        <w:spacing w:line="276" w:lineRule="auto"/>
        <w:ind w:firstLine="426"/>
        <w:jc w:val="both"/>
        <w:rPr>
          <w:rFonts w:ascii="Tahoma" w:hAnsi="Tahoma" w:cs="Tahoma"/>
        </w:rPr>
      </w:pPr>
    </w:p>
    <w:p w:rsidR="00321CDA" w:rsidRDefault="00321CDA" w:rsidP="00321CDA">
      <w:pPr>
        <w:pStyle w:val="Prrafodelista"/>
        <w:numPr>
          <w:ilvl w:val="1"/>
          <w:numId w:val="2"/>
        </w:numPr>
        <w:spacing w:line="240" w:lineRule="auto"/>
        <w:ind w:left="0" w:firstLine="0"/>
        <w:jc w:val="both"/>
        <w:rPr>
          <w:rFonts w:ascii="Tahoma" w:hAnsi="Tahoma" w:cs="Tahoma"/>
          <w:color w:val="2D2D2D"/>
          <w:shd w:val="clear" w:color="auto" w:fill="FFFFFF"/>
        </w:rPr>
      </w:pPr>
      <w:r>
        <w:rPr>
          <w:rFonts w:ascii="Tahoma" w:hAnsi="Tahoma" w:cs="Tahoma"/>
          <w:b/>
          <w:color w:val="2D2D2D"/>
          <w:shd w:val="clear" w:color="auto" w:fill="FFFFFF"/>
        </w:rPr>
        <w:t>CASO CONCRETO:</w:t>
      </w:r>
    </w:p>
    <w:p w:rsidR="00321CDA" w:rsidRDefault="00321CDA" w:rsidP="00321CDA">
      <w:pPr>
        <w:spacing w:line="276" w:lineRule="auto"/>
        <w:ind w:firstLine="426"/>
        <w:jc w:val="both"/>
        <w:rPr>
          <w:rFonts w:ascii="Tahoma" w:hAnsi="Tahoma" w:cs="Tahoma"/>
          <w:color w:val="2D2D2D"/>
          <w:shd w:val="clear" w:color="auto" w:fill="FFFFFF"/>
        </w:rPr>
      </w:pPr>
      <w:r>
        <w:rPr>
          <w:rFonts w:ascii="Tahoma" w:hAnsi="Tahoma" w:cs="Tahoma"/>
          <w:color w:val="2D2D2D"/>
          <w:shd w:val="clear" w:color="auto" w:fill="FFFFFF"/>
        </w:rPr>
        <w:tab/>
      </w:r>
    </w:p>
    <w:p w:rsidR="006D3B5E" w:rsidRPr="006D3B5E" w:rsidRDefault="006D3B5E" w:rsidP="006D3B5E">
      <w:pPr>
        <w:spacing w:line="276" w:lineRule="auto"/>
        <w:ind w:firstLine="708"/>
        <w:jc w:val="both"/>
        <w:rPr>
          <w:rFonts w:ascii="Tahoma" w:hAnsi="Tahoma" w:cs="Tahoma"/>
        </w:rPr>
      </w:pPr>
      <w:r>
        <w:rPr>
          <w:rFonts w:ascii="Tahoma" w:hAnsi="Tahoma" w:cs="Tahoma"/>
          <w:shd w:val="clear" w:color="auto" w:fill="FFFFFF"/>
        </w:rPr>
        <w:t>L</w:t>
      </w:r>
      <w:r w:rsidR="00321CDA">
        <w:rPr>
          <w:rFonts w:ascii="Tahoma" w:hAnsi="Tahoma" w:cs="Tahoma"/>
          <w:shd w:val="clear" w:color="auto" w:fill="FFFFFF"/>
        </w:rPr>
        <w:t xml:space="preserve">a Sala encuentra acertada la decisión de primera instancia, toda vez que en el presente caso, la primera afiliación que implicó el cambio del régimen de prima media al régimen de ahorro individual, </w:t>
      </w:r>
      <w:r w:rsidR="00ED1A4E">
        <w:rPr>
          <w:rFonts w:ascii="Tahoma" w:hAnsi="Tahoma" w:cs="Tahoma"/>
          <w:shd w:val="clear" w:color="auto" w:fill="FFFFFF"/>
        </w:rPr>
        <w:t>la realizó la parte demandante precisamente ante COLMENA, hoy PROTECCIÓN S.A., en</w:t>
      </w:r>
      <w:r>
        <w:rPr>
          <w:rFonts w:ascii="Tahoma" w:hAnsi="Tahoma" w:cs="Tahoma"/>
          <w:shd w:val="clear" w:color="auto" w:fill="FFFFFF"/>
        </w:rPr>
        <w:t xml:space="preserve">tidad demandada en este proceso, </w:t>
      </w:r>
      <w:r w:rsidR="00ED1A4E">
        <w:rPr>
          <w:rFonts w:ascii="Tahoma" w:hAnsi="Tahoma" w:cs="Tahoma"/>
          <w:shd w:val="clear" w:color="auto" w:fill="FFFFFF"/>
        </w:rPr>
        <w:t>de suerte que</w:t>
      </w:r>
      <w:r>
        <w:rPr>
          <w:rFonts w:ascii="Tahoma" w:hAnsi="Tahoma" w:cs="Tahoma"/>
          <w:shd w:val="clear" w:color="auto" w:fill="FFFFFF"/>
        </w:rPr>
        <w:t xml:space="preserve"> </w:t>
      </w:r>
      <w:r w:rsidRPr="006D3B5E">
        <w:rPr>
          <w:rFonts w:ascii="Tahoma" w:hAnsi="Tahoma" w:cs="Tahoma"/>
        </w:rPr>
        <w:t xml:space="preserve">la declaratoria de ineficacia que se haga del </w:t>
      </w:r>
      <w:r>
        <w:rPr>
          <w:rFonts w:ascii="Tahoma" w:hAnsi="Tahoma" w:cs="Tahoma"/>
        </w:rPr>
        <w:t>traslado</w:t>
      </w:r>
      <w:r w:rsidRPr="006D3B5E">
        <w:rPr>
          <w:rFonts w:ascii="Tahoma" w:hAnsi="Tahoma" w:cs="Tahoma"/>
        </w:rPr>
        <w:t>, tiene la capacidad de dejar sin efecto las afiliaciones posteriores, ya que éstas, en los términos de la Sala de Casación Laboral no convalidan la actuación viciada, como tampoco</w:t>
      </w:r>
      <w:r w:rsidR="00A52E0A">
        <w:rPr>
          <w:rFonts w:ascii="Tahoma" w:hAnsi="Tahoma" w:cs="Tahoma"/>
        </w:rPr>
        <w:t xml:space="preserve"> ratifican el cambio de régimen.</w:t>
      </w:r>
    </w:p>
    <w:p w:rsidR="006D3B5E" w:rsidRPr="006D3B5E" w:rsidRDefault="006D3B5E" w:rsidP="006D3B5E">
      <w:pPr>
        <w:spacing w:line="276" w:lineRule="auto"/>
        <w:jc w:val="both"/>
        <w:rPr>
          <w:rFonts w:ascii="Tahoma" w:hAnsi="Tahoma" w:cs="Tahoma"/>
        </w:rPr>
      </w:pPr>
    </w:p>
    <w:p w:rsidR="006D3B5E" w:rsidRPr="006D3B5E" w:rsidRDefault="006D3B5E" w:rsidP="006D3B5E">
      <w:pPr>
        <w:spacing w:line="276" w:lineRule="auto"/>
        <w:ind w:firstLine="708"/>
        <w:jc w:val="both"/>
        <w:rPr>
          <w:rFonts w:ascii="Tahoma" w:hAnsi="Tahoma" w:cs="Tahoma"/>
        </w:rPr>
      </w:pPr>
      <w:r w:rsidRPr="006D3B5E">
        <w:rPr>
          <w:rFonts w:ascii="Tahoma" w:hAnsi="Tahoma" w:cs="Tahoma"/>
        </w:rPr>
        <w:t xml:space="preserve">En ese </w:t>
      </w:r>
      <w:r>
        <w:rPr>
          <w:rFonts w:ascii="Tahoma" w:hAnsi="Tahoma" w:cs="Tahoma"/>
        </w:rPr>
        <w:t xml:space="preserve">orden de ideas, </w:t>
      </w:r>
      <w:r w:rsidRPr="006D3B5E">
        <w:rPr>
          <w:rFonts w:ascii="Tahoma" w:hAnsi="Tahoma" w:cs="Tahoma"/>
        </w:rPr>
        <w:t xml:space="preserve">para la definición del asunto, no se requiere la presencia de Porvenir S.A. máxime cuando el saldo de la cuenta individual de la </w:t>
      </w:r>
      <w:r>
        <w:rPr>
          <w:rFonts w:ascii="Tahoma" w:hAnsi="Tahoma" w:cs="Tahoma"/>
        </w:rPr>
        <w:t>demandante está en cabeza de PROTECCIÓN S.A., de  modo que n</w:t>
      </w:r>
      <w:r w:rsidRPr="006D3B5E">
        <w:rPr>
          <w:rFonts w:ascii="Tahoma" w:hAnsi="Tahoma" w:cs="Tahoma"/>
        </w:rPr>
        <w:t>inguna consecuencia acarrea para Porvenir S.A., la decisión final que se tome respecto a la validez del traslado de régimen</w:t>
      </w:r>
      <w:r>
        <w:rPr>
          <w:rFonts w:ascii="Tahoma" w:hAnsi="Tahoma" w:cs="Tahoma"/>
        </w:rPr>
        <w:t xml:space="preserve">, objeto de este proceso. </w:t>
      </w:r>
    </w:p>
    <w:p w:rsidR="006D3B5E" w:rsidRPr="00FC31D3" w:rsidRDefault="006D3B5E" w:rsidP="00ED440F">
      <w:pPr>
        <w:spacing w:line="276" w:lineRule="auto"/>
        <w:jc w:val="both"/>
        <w:rPr>
          <w:rFonts w:ascii="Tahoma" w:hAnsi="Tahoma" w:cs="Tahoma"/>
          <w:shd w:val="clear" w:color="auto" w:fill="FFFFFF"/>
        </w:rPr>
      </w:pPr>
    </w:p>
    <w:p w:rsidR="007A38CE" w:rsidRPr="00FC31D3" w:rsidRDefault="00A52E0A" w:rsidP="00297C76">
      <w:pPr>
        <w:spacing w:line="276" w:lineRule="auto"/>
        <w:ind w:firstLine="708"/>
        <w:jc w:val="both"/>
        <w:rPr>
          <w:rFonts w:ascii="Tahoma" w:hAnsi="Tahoma" w:cs="Tahoma"/>
          <w:shd w:val="clear" w:color="auto" w:fill="FFFFFF"/>
        </w:rPr>
      </w:pPr>
      <w:r>
        <w:rPr>
          <w:rFonts w:ascii="Tahoma" w:hAnsi="Tahoma" w:cs="Tahoma"/>
          <w:shd w:val="clear" w:color="auto" w:fill="FFFFFF"/>
        </w:rPr>
        <w:t xml:space="preserve">Así las cosas, se confirmará el auto apelado y se condenará en costas a PROTECCIÓN S.A. en favor de la parte demandante por no salir avante su recurso. </w:t>
      </w:r>
    </w:p>
    <w:p w:rsidR="007A38CE" w:rsidRPr="00FC31D3" w:rsidRDefault="007A38CE" w:rsidP="00297C76">
      <w:pPr>
        <w:spacing w:line="276" w:lineRule="auto"/>
        <w:ind w:firstLine="708"/>
        <w:jc w:val="both"/>
        <w:rPr>
          <w:rFonts w:ascii="Tahoma" w:hAnsi="Tahoma" w:cs="Tahoma"/>
          <w:shd w:val="clear" w:color="auto" w:fill="FFFFFF"/>
        </w:rPr>
      </w:pPr>
    </w:p>
    <w:p w:rsidR="006E1FE5" w:rsidRPr="00FC31D3" w:rsidRDefault="006E1FE5" w:rsidP="009506D2">
      <w:pPr>
        <w:spacing w:line="240" w:lineRule="auto"/>
        <w:jc w:val="both"/>
        <w:rPr>
          <w:rFonts w:ascii="Tahoma" w:hAnsi="Tahoma" w:cs="Tahoma"/>
          <w:shd w:val="clear" w:color="auto" w:fill="FFFFFF"/>
        </w:rPr>
      </w:pPr>
    </w:p>
    <w:p w:rsidR="001B6A95" w:rsidRPr="00FC31D3" w:rsidRDefault="001B6A95" w:rsidP="001B6A95">
      <w:pPr>
        <w:widowControl w:val="0"/>
        <w:autoSpaceDE w:val="0"/>
        <w:autoSpaceDN w:val="0"/>
        <w:adjustRightInd w:val="0"/>
        <w:spacing w:line="276" w:lineRule="auto"/>
        <w:ind w:firstLine="708"/>
        <w:jc w:val="both"/>
        <w:rPr>
          <w:rFonts w:ascii="Tahoma" w:hAnsi="Tahoma" w:cs="Tahoma"/>
        </w:rPr>
      </w:pPr>
      <w:r w:rsidRPr="00FC31D3">
        <w:rPr>
          <w:rFonts w:ascii="Tahoma" w:hAnsi="Tahoma" w:cs="Tahoma"/>
        </w:rPr>
        <w:t xml:space="preserve">En mérito de  lo expuesto, el </w:t>
      </w:r>
      <w:r w:rsidRPr="00FC31D3">
        <w:rPr>
          <w:rFonts w:ascii="Tahoma" w:hAnsi="Tahoma" w:cs="Tahoma"/>
          <w:b/>
        </w:rPr>
        <w:t>TRIBUNAL SUPERIOR DEL DISTRITO JUDICIAL DE PEREIRA (RISARALDA)</w:t>
      </w:r>
      <w:r w:rsidRPr="00FC31D3">
        <w:rPr>
          <w:rFonts w:ascii="Tahoma" w:hAnsi="Tahoma" w:cs="Tahoma"/>
        </w:rPr>
        <w:t xml:space="preserve">, </w:t>
      </w:r>
      <w:r w:rsidRPr="00FC31D3">
        <w:rPr>
          <w:rFonts w:ascii="Tahoma" w:hAnsi="Tahoma" w:cs="Tahoma"/>
          <w:b/>
        </w:rPr>
        <w:t xml:space="preserve">SALA </w:t>
      </w:r>
      <w:r w:rsidR="00CF574A" w:rsidRPr="00FC31D3">
        <w:rPr>
          <w:rFonts w:ascii="Tahoma" w:hAnsi="Tahoma" w:cs="Tahoma"/>
          <w:b/>
        </w:rPr>
        <w:t>DE DECISIÓN LABORAL No. 1</w:t>
      </w:r>
      <w:r w:rsidRPr="00FC31D3">
        <w:rPr>
          <w:rFonts w:ascii="Tahoma" w:hAnsi="Tahoma" w:cs="Tahoma"/>
        </w:rPr>
        <w:t xml:space="preserve">, </w:t>
      </w:r>
    </w:p>
    <w:p w:rsidR="001B6A95" w:rsidRPr="00FC31D3" w:rsidRDefault="001B6A95" w:rsidP="00B504AA">
      <w:pPr>
        <w:widowControl w:val="0"/>
        <w:autoSpaceDE w:val="0"/>
        <w:autoSpaceDN w:val="0"/>
        <w:adjustRightInd w:val="0"/>
        <w:spacing w:line="240" w:lineRule="auto"/>
        <w:jc w:val="both"/>
        <w:rPr>
          <w:rFonts w:ascii="Tahoma" w:hAnsi="Tahoma" w:cs="Tahoma"/>
          <w:b/>
        </w:rPr>
      </w:pPr>
    </w:p>
    <w:p w:rsidR="0076119F" w:rsidRPr="00FC31D3" w:rsidRDefault="0076119F" w:rsidP="00B504AA">
      <w:pPr>
        <w:widowControl w:val="0"/>
        <w:autoSpaceDE w:val="0"/>
        <w:autoSpaceDN w:val="0"/>
        <w:adjustRightInd w:val="0"/>
        <w:spacing w:line="240" w:lineRule="auto"/>
        <w:jc w:val="both"/>
        <w:rPr>
          <w:rFonts w:ascii="Tahoma" w:hAnsi="Tahoma" w:cs="Tahoma"/>
          <w:b/>
        </w:rPr>
      </w:pPr>
    </w:p>
    <w:p w:rsidR="001B6A95" w:rsidRPr="00FC31D3" w:rsidRDefault="001B6A95" w:rsidP="001B6A95">
      <w:pPr>
        <w:widowControl w:val="0"/>
        <w:autoSpaceDE w:val="0"/>
        <w:autoSpaceDN w:val="0"/>
        <w:adjustRightInd w:val="0"/>
        <w:spacing w:line="276" w:lineRule="auto"/>
        <w:jc w:val="center"/>
        <w:rPr>
          <w:rFonts w:ascii="Tahoma" w:hAnsi="Tahoma" w:cs="Tahoma"/>
          <w:b/>
        </w:rPr>
      </w:pPr>
      <w:r w:rsidRPr="00FC31D3">
        <w:rPr>
          <w:rFonts w:ascii="Tahoma" w:hAnsi="Tahoma" w:cs="Tahoma"/>
          <w:b/>
        </w:rPr>
        <w:lastRenderedPageBreak/>
        <w:t>R E S U E L V E:</w:t>
      </w:r>
    </w:p>
    <w:p w:rsidR="001B6A95" w:rsidRPr="00FC31D3" w:rsidRDefault="001B6A95" w:rsidP="00B504AA">
      <w:pPr>
        <w:widowControl w:val="0"/>
        <w:autoSpaceDE w:val="0"/>
        <w:autoSpaceDN w:val="0"/>
        <w:adjustRightInd w:val="0"/>
        <w:spacing w:line="240" w:lineRule="auto"/>
        <w:jc w:val="both"/>
        <w:rPr>
          <w:rFonts w:ascii="Tahoma" w:hAnsi="Tahoma" w:cs="Tahoma"/>
        </w:rPr>
      </w:pPr>
    </w:p>
    <w:p w:rsidR="002345BC" w:rsidRPr="00FC31D3" w:rsidRDefault="001B6A95" w:rsidP="002345BC">
      <w:pPr>
        <w:spacing w:line="276" w:lineRule="auto"/>
        <w:ind w:firstLine="708"/>
        <w:jc w:val="both"/>
        <w:rPr>
          <w:rFonts w:ascii="Tahoma" w:hAnsi="Tahoma" w:cs="Tahoma"/>
        </w:rPr>
      </w:pPr>
      <w:r w:rsidRPr="00FC31D3">
        <w:rPr>
          <w:rFonts w:ascii="Tahoma" w:hAnsi="Tahoma" w:cs="Tahoma"/>
          <w:b/>
          <w:u w:val="single"/>
        </w:rPr>
        <w:t>PRIMERO</w:t>
      </w:r>
      <w:r w:rsidRPr="00FC31D3">
        <w:rPr>
          <w:rFonts w:ascii="Tahoma" w:hAnsi="Tahoma" w:cs="Tahoma"/>
        </w:rPr>
        <w:t xml:space="preserve">.- </w:t>
      </w:r>
      <w:r w:rsidR="00A52E0A">
        <w:rPr>
          <w:rFonts w:ascii="Tahoma" w:hAnsi="Tahoma" w:cs="Tahoma"/>
          <w:b/>
        </w:rPr>
        <w:t>CONFIRM</w:t>
      </w:r>
      <w:r w:rsidR="00FB7576" w:rsidRPr="00FC31D3">
        <w:rPr>
          <w:rFonts w:ascii="Tahoma" w:hAnsi="Tahoma" w:cs="Tahoma"/>
          <w:b/>
        </w:rPr>
        <w:t xml:space="preserve">AR </w:t>
      </w:r>
      <w:r w:rsidR="00FB7576" w:rsidRPr="00FC31D3">
        <w:rPr>
          <w:rFonts w:ascii="Tahoma" w:hAnsi="Tahoma" w:cs="Tahoma"/>
        </w:rPr>
        <w:t xml:space="preserve">el auto </w:t>
      </w:r>
      <w:r w:rsidR="00A52E0A">
        <w:rPr>
          <w:rFonts w:ascii="Tahoma" w:hAnsi="Tahoma" w:cs="Tahoma"/>
        </w:rPr>
        <w:t>objeto de apelación</w:t>
      </w:r>
      <w:r w:rsidR="00FB7576" w:rsidRPr="00FC31D3">
        <w:rPr>
          <w:rFonts w:ascii="Tahoma" w:hAnsi="Tahoma" w:cs="Tahoma"/>
        </w:rPr>
        <w:t xml:space="preserve">, </w:t>
      </w:r>
      <w:r w:rsidR="00CF574A" w:rsidRPr="00FC31D3">
        <w:rPr>
          <w:rFonts w:ascii="Tahoma" w:hAnsi="Tahoma" w:cs="Tahoma"/>
        </w:rPr>
        <w:t xml:space="preserve">por las razones expuestas en la parte motiva de esta providencia. </w:t>
      </w:r>
    </w:p>
    <w:p w:rsidR="00CF574A" w:rsidRPr="00FC31D3" w:rsidRDefault="00CF574A" w:rsidP="002345BC">
      <w:pPr>
        <w:spacing w:line="276" w:lineRule="auto"/>
        <w:ind w:firstLine="708"/>
        <w:jc w:val="both"/>
        <w:rPr>
          <w:rFonts w:ascii="Tahoma" w:hAnsi="Tahoma" w:cs="Tahoma"/>
        </w:rPr>
      </w:pPr>
    </w:p>
    <w:p w:rsidR="00A52E0A" w:rsidRPr="00FC31D3" w:rsidRDefault="00CF574A" w:rsidP="00A52E0A">
      <w:pPr>
        <w:spacing w:line="276" w:lineRule="auto"/>
        <w:ind w:firstLine="708"/>
        <w:jc w:val="both"/>
        <w:rPr>
          <w:rFonts w:ascii="Tahoma" w:hAnsi="Tahoma" w:cs="Tahoma"/>
          <w:shd w:val="clear" w:color="auto" w:fill="FFFFFF"/>
        </w:rPr>
      </w:pPr>
      <w:r w:rsidRPr="00FC31D3">
        <w:rPr>
          <w:rFonts w:ascii="Tahoma" w:hAnsi="Tahoma" w:cs="Tahoma"/>
          <w:b/>
          <w:u w:val="single"/>
        </w:rPr>
        <w:t>SEGUNDO</w:t>
      </w:r>
      <w:r w:rsidRPr="00FC31D3">
        <w:rPr>
          <w:rFonts w:ascii="Tahoma" w:hAnsi="Tahoma" w:cs="Tahoma"/>
          <w:b/>
        </w:rPr>
        <w:t xml:space="preserve">.- </w:t>
      </w:r>
      <w:r w:rsidR="00A52E0A">
        <w:rPr>
          <w:rFonts w:ascii="Tahoma" w:hAnsi="Tahoma" w:cs="Tahoma"/>
        </w:rPr>
        <w:t>C</w:t>
      </w:r>
      <w:r w:rsidR="00FB7576" w:rsidRPr="00FC31D3">
        <w:rPr>
          <w:rFonts w:ascii="Tahoma" w:hAnsi="Tahoma" w:cs="Tahoma"/>
          <w:shd w:val="clear" w:color="auto" w:fill="FFFFFF"/>
        </w:rPr>
        <w:t>ostas en esta instancia</w:t>
      </w:r>
      <w:r w:rsidR="00A52E0A">
        <w:rPr>
          <w:rFonts w:ascii="Tahoma" w:hAnsi="Tahoma" w:cs="Tahoma"/>
          <w:shd w:val="clear" w:color="auto" w:fill="FFFFFF"/>
        </w:rPr>
        <w:t xml:space="preserve"> a cargo de PROTECCIÓN S.A. y en favor de la parte demandante, las cuales se liquidarán por el juzgado de origen. </w:t>
      </w:r>
    </w:p>
    <w:p w:rsidR="00FB7576" w:rsidRDefault="00FB7576" w:rsidP="00FB7576">
      <w:pPr>
        <w:spacing w:line="276" w:lineRule="auto"/>
        <w:ind w:firstLine="708"/>
        <w:jc w:val="both"/>
        <w:rPr>
          <w:rFonts w:ascii="Tahoma" w:hAnsi="Tahoma" w:cs="Tahoma"/>
          <w:shd w:val="clear" w:color="auto" w:fill="FFFFFF"/>
        </w:rPr>
      </w:pPr>
    </w:p>
    <w:p w:rsidR="00A52E0A" w:rsidRDefault="00A52E0A" w:rsidP="00FB7576">
      <w:pPr>
        <w:spacing w:line="276" w:lineRule="auto"/>
        <w:ind w:firstLine="708"/>
        <w:jc w:val="both"/>
        <w:rPr>
          <w:rFonts w:ascii="Tahoma" w:hAnsi="Tahoma" w:cs="Tahoma"/>
          <w:shd w:val="clear" w:color="auto" w:fill="FFFFFF"/>
        </w:rPr>
      </w:pPr>
    </w:p>
    <w:p w:rsidR="00A52E0A" w:rsidRDefault="00A52E0A" w:rsidP="00FB7576">
      <w:pPr>
        <w:spacing w:line="276" w:lineRule="auto"/>
        <w:ind w:firstLine="708"/>
        <w:jc w:val="both"/>
        <w:rPr>
          <w:rFonts w:ascii="Tahoma" w:hAnsi="Tahoma" w:cs="Tahoma"/>
          <w:shd w:val="clear" w:color="auto" w:fill="FFFFFF"/>
        </w:rPr>
      </w:pPr>
      <w:r>
        <w:rPr>
          <w:rFonts w:ascii="Tahoma" w:hAnsi="Tahoma" w:cs="Tahoma"/>
          <w:shd w:val="clear" w:color="auto" w:fill="FFFFFF"/>
        </w:rPr>
        <w:t xml:space="preserve">La presente decisión queda notificada en ESTRADOS. </w:t>
      </w:r>
    </w:p>
    <w:p w:rsidR="00A52E0A" w:rsidRDefault="00A52E0A" w:rsidP="00FB7576">
      <w:pPr>
        <w:spacing w:line="276" w:lineRule="auto"/>
        <w:ind w:firstLine="708"/>
        <w:jc w:val="both"/>
        <w:rPr>
          <w:rFonts w:ascii="Tahoma" w:hAnsi="Tahoma" w:cs="Tahoma"/>
          <w:shd w:val="clear" w:color="auto" w:fill="FFFFFF"/>
        </w:rPr>
      </w:pPr>
    </w:p>
    <w:p w:rsidR="008A6BC7" w:rsidRDefault="008A6BC7" w:rsidP="00FB7576">
      <w:pPr>
        <w:spacing w:line="276" w:lineRule="auto"/>
        <w:ind w:firstLine="708"/>
        <w:jc w:val="both"/>
        <w:rPr>
          <w:rFonts w:ascii="Tahoma" w:hAnsi="Tahoma" w:cs="Tahoma"/>
          <w:shd w:val="clear" w:color="auto" w:fill="FFFFFF"/>
        </w:rPr>
      </w:pPr>
    </w:p>
    <w:p w:rsidR="00A52E0A" w:rsidRPr="00FC31D3" w:rsidRDefault="00A52E0A" w:rsidP="00FB7576">
      <w:pPr>
        <w:spacing w:line="276" w:lineRule="auto"/>
        <w:ind w:firstLine="708"/>
        <w:jc w:val="both"/>
        <w:rPr>
          <w:rFonts w:ascii="Tahoma" w:hAnsi="Tahoma" w:cs="Tahoma"/>
          <w:shd w:val="clear" w:color="auto" w:fill="FFFFFF"/>
        </w:rPr>
      </w:pPr>
      <w:r>
        <w:rPr>
          <w:rFonts w:ascii="Tahoma" w:hAnsi="Tahoma" w:cs="Tahoma"/>
          <w:shd w:val="clear" w:color="auto" w:fill="FFFFFF"/>
        </w:rPr>
        <w:t xml:space="preserve">La Magistrada Ponente, </w:t>
      </w:r>
    </w:p>
    <w:p w:rsidR="001B6A95" w:rsidRPr="00FC31D3" w:rsidRDefault="00FB7576" w:rsidP="00A52E0A">
      <w:pPr>
        <w:spacing w:line="276" w:lineRule="auto"/>
        <w:ind w:firstLine="708"/>
        <w:jc w:val="both"/>
        <w:rPr>
          <w:rFonts w:ascii="Tahoma" w:hAnsi="Tahoma" w:cs="Tahoma"/>
        </w:rPr>
      </w:pPr>
      <w:r w:rsidRPr="00FC31D3">
        <w:rPr>
          <w:rFonts w:ascii="Tahoma" w:hAnsi="Tahoma" w:cs="Tahoma"/>
        </w:rPr>
        <w:t xml:space="preserve"> </w:t>
      </w:r>
    </w:p>
    <w:p w:rsidR="00D044A2" w:rsidRDefault="00D044A2" w:rsidP="001B6A95">
      <w:pPr>
        <w:widowControl w:val="0"/>
        <w:autoSpaceDE w:val="0"/>
        <w:autoSpaceDN w:val="0"/>
        <w:adjustRightInd w:val="0"/>
        <w:spacing w:line="276" w:lineRule="auto"/>
        <w:jc w:val="both"/>
        <w:rPr>
          <w:rFonts w:ascii="Tahoma" w:hAnsi="Tahoma" w:cs="Tahoma"/>
        </w:rPr>
      </w:pPr>
    </w:p>
    <w:p w:rsidR="008A6BC7" w:rsidRPr="00FC31D3" w:rsidRDefault="008A6BC7" w:rsidP="001B6A95">
      <w:pPr>
        <w:widowControl w:val="0"/>
        <w:autoSpaceDE w:val="0"/>
        <w:autoSpaceDN w:val="0"/>
        <w:adjustRightInd w:val="0"/>
        <w:spacing w:line="276" w:lineRule="auto"/>
        <w:jc w:val="both"/>
        <w:rPr>
          <w:rFonts w:ascii="Tahoma" w:hAnsi="Tahoma" w:cs="Tahoma"/>
        </w:rPr>
      </w:pPr>
    </w:p>
    <w:p w:rsidR="001B6A95" w:rsidRPr="00FC31D3" w:rsidRDefault="001B6A95" w:rsidP="001B6A95">
      <w:pPr>
        <w:widowControl w:val="0"/>
        <w:autoSpaceDE w:val="0"/>
        <w:autoSpaceDN w:val="0"/>
        <w:adjustRightInd w:val="0"/>
        <w:spacing w:line="276" w:lineRule="auto"/>
        <w:jc w:val="center"/>
        <w:rPr>
          <w:rFonts w:ascii="Tahoma" w:hAnsi="Tahoma" w:cs="Tahoma"/>
          <w:b/>
        </w:rPr>
      </w:pPr>
      <w:r w:rsidRPr="00FC31D3">
        <w:rPr>
          <w:rFonts w:ascii="Tahoma" w:hAnsi="Tahoma" w:cs="Tahoma"/>
          <w:b/>
        </w:rPr>
        <w:t>ANA LUCÍA CAICEDO CALDERÓN</w:t>
      </w:r>
    </w:p>
    <w:p w:rsidR="001B6A95" w:rsidRPr="00FC31D3" w:rsidRDefault="001B6A95" w:rsidP="00FB7576">
      <w:pPr>
        <w:widowControl w:val="0"/>
        <w:autoSpaceDE w:val="0"/>
        <w:autoSpaceDN w:val="0"/>
        <w:adjustRightInd w:val="0"/>
        <w:spacing w:line="240" w:lineRule="auto"/>
        <w:rPr>
          <w:rFonts w:ascii="Tahoma" w:hAnsi="Tahoma" w:cs="Tahoma"/>
        </w:rPr>
      </w:pPr>
    </w:p>
    <w:p w:rsidR="008A6BC7" w:rsidRDefault="008A6BC7" w:rsidP="001B6A95">
      <w:pPr>
        <w:widowControl w:val="0"/>
        <w:autoSpaceDE w:val="0"/>
        <w:autoSpaceDN w:val="0"/>
        <w:adjustRightInd w:val="0"/>
        <w:spacing w:line="276" w:lineRule="auto"/>
        <w:rPr>
          <w:rFonts w:ascii="Tahoma" w:hAnsi="Tahoma" w:cs="Tahoma"/>
        </w:rPr>
      </w:pPr>
    </w:p>
    <w:p w:rsidR="001B6A95" w:rsidRPr="00FC31D3" w:rsidRDefault="007A38CE" w:rsidP="001B6A95">
      <w:pPr>
        <w:widowControl w:val="0"/>
        <w:autoSpaceDE w:val="0"/>
        <w:autoSpaceDN w:val="0"/>
        <w:adjustRightInd w:val="0"/>
        <w:spacing w:line="276" w:lineRule="auto"/>
        <w:rPr>
          <w:rFonts w:ascii="Tahoma" w:hAnsi="Tahoma" w:cs="Tahoma"/>
        </w:rPr>
      </w:pPr>
      <w:r w:rsidRPr="00FC31D3">
        <w:rPr>
          <w:rFonts w:ascii="Tahoma" w:hAnsi="Tahoma" w:cs="Tahoma"/>
        </w:rPr>
        <w:t>La Magistrada y el Magistrado</w:t>
      </w:r>
      <w:r w:rsidR="001B6A95" w:rsidRPr="00FC31D3">
        <w:rPr>
          <w:rFonts w:ascii="Tahoma" w:hAnsi="Tahoma" w:cs="Tahoma"/>
        </w:rPr>
        <w:t>,</w:t>
      </w:r>
    </w:p>
    <w:p w:rsidR="001B6A95" w:rsidRPr="00FC31D3" w:rsidRDefault="001B6A95" w:rsidP="001B6A95">
      <w:pPr>
        <w:widowControl w:val="0"/>
        <w:autoSpaceDE w:val="0"/>
        <w:autoSpaceDN w:val="0"/>
        <w:adjustRightInd w:val="0"/>
        <w:spacing w:line="276" w:lineRule="auto"/>
        <w:jc w:val="both"/>
        <w:rPr>
          <w:rFonts w:ascii="Tahoma" w:hAnsi="Tahoma" w:cs="Tahoma"/>
          <w:b/>
        </w:rPr>
      </w:pPr>
    </w:p>
    <w:p w:rsidR="0039238A" w:rsidRDefault="0039238A" w:rsidP="001B6A95">
      <w:pPr>
        <w:widowControl w:val="0"/>
        <w:autoSpaceDE w:val="0"/>
        <w:autoSpaceDN w:val="0"/>
        <w:adjustRightInd w:val="0"/>
        <w:spacing w:line="276" w:lineRule="auto"/>
        <w:jc w:val="both"/>
        <w:rPr>
          <w:rFonts w:ascii="Tahoma" w:hAnsi="Tahoma" w:cs="Tahoma"/>
          <w:b/>
        </w:rPr>
      </w:pPr>
    </w:p>
    <w:p w:rsidR="008A6BC7" w:rsidRPr="00FC31D3" w:rsidRDefault="008A6BC7" w:rsidP="001B6A95">
      <w:pPr>
        <w:widowControl w:val="0"/>
        <w:autoSpaceDE w:val="0"/>
        <w:autoSpaceDN w:val="0"/>
        <w:adjustRightInd w:val="0"/>
        <w:spacing w:line="276" w:lineRule="auto"/>
        <w:jc w:val="both"/>
        <w:rPr>
          <w:rFonts w:ascii="Tahoma" w:hAnsi="Tahoma" w:cs="Tahoma"/>
          <w:b/>
        </w:rPr>
      </w:pPr>
    </w:p>
    <w:p w:rsidR="0075720B" w:rsidRPr="00FC31D3" w:rsidRDefault="0075720B" w:rsidP="001B6A95">
      <w:pPr>
        <w:widowControl w:val="0"/>
        <w:autoSpaceDE w:val="0"/>
        <w:autoSpaceDN w:val="0"/>
        <w:adjustRightInd w:val="0"/>
        <w:spacing w:line="276" w:lineRule="auto"/>
        <w:jc w:val="both"/>
        <w:rPr>
          <w:rFonts w:ascii="Tahoma" w:hAnsi="Tahoma" w:cs="Tahoma"/>
          <w:b/>
        </w:rPr>
      </w:pPr>
    </w:p>
    <w:p w:rsidR="0075720B" w:rsidRPr="00FC31D3" w:rsidRDefault="0075720B" w:rsidP="001B6A95">
      <w:pPr>
        <w:widowControl w:val="0"/>
        <w:autoSpaceDE w:val="0"/>
        <w:autoSpaceDN w:val="0"/>
        <w:adjustRightInd w:val="0"/>
        <w:spacing w:line="276" w:lineRule="auto"/>
        <w:jc w:val="both"/>
        <w:rPr>
          <w:rFonts w:ascii="Tahoma" w:hAnsi="Tahoma" w:cs="Tahoma"/>
          <w:b/>
        </w:rPr>
      </w:pPr>
    </w:p>
    <w:p w:rsidR="001B6A95" w:rsidRPr="00FC31D3" w:rsidRDefault="001B6A95" w:rsidP="00FB7576">
      <w:pPr>
        <w:widowControl w:val="0"/>
        <w:autoSpaceDE w:val="0"/>
        <w:autoSpaceDN w:val="0"/>
        <w:adjustRightInd w:val="0"/>
        <w:spacing w:line="240" w:lineRule="auto"/>
        <w:jc w:val="both"/>
        <w:rPr>
          <w:rFonts w:ascii="Tahoma" w:hAnsi="Tahoma" w:cs="Tahoma"/>
          <w:b/>
        </w:rPr>
      </w:pPr>
    </w:p>
    <w:p w:rsidR="001B6A95" w:rsidRPr="00FC31D3" w:rsidRDefault="007A38CE" w:rsidP="0076119F">
      <w:pPr>
        <w:widowControl w:val="0"/>
        <w:autoSpaceDE w:val="0"/>
        <w:autoSpaceDN w:val="0"/>
        <w:adjustRightInd w:val="0"/>
        <w:spacing w:line="276" w:lineRule="auto"/>
        <w:jc w:val="both"/>
        <w:rPr>
          <w:rFonts w:ascii="Tahoma" w:hAnsi="Tahoma" w:cs="Tahoma"/>
          <w:b/>
          <w:bCs/>
          <w:spacing w:val="2"/>
        </w:rPr>
      </w:pPr>
      <w:r w:rsidRPr="00FC31D3">
        <w:rPr>
          <w:rFonts w:ascii="Tahoma" w:hAnsi="Tahoma" w:cs="Tahoma"/>
          <w:b/>
        </w:rPr>
        <w:t xml:space="preserve">OLGA LUCÍA HOYOS </w:t>
      </w:r>
      <w:proofErr w:type="spellStart"/>
      <w:r w:rsidRPr="00FC31D3">
        <w:rPr>
          <w:rFonts w:ascii="Tahoma" w:hAnsi="Tahoma" w:cs="Tahoma"/>
          <w:b/>
        </w:rPr>
        <w:t>SEPUVEDA</w:t>
      </w:r>
      <w:proofErr w:type="spellEnd"/>
      <w:r w:rsidRPr="00FC31D3">
        <w:rPr>
          <w:rFonts w:ascii="Tahoma" w:hAnsi="Tahoma" w:cs="Tahoma"/>
          <w:b/>
        </w:rPr>
        <w:t xml:space="preserve"> </w:t>
      </w:r>
      <w:r w:rsidRPr="00FC31D3">
        <w:rPr>
          <w:rFonts w:ascii="Tahoma" w:hAnsi="Tahoma" w:cs="Tahoma"/>
          <w:b/>
        </w:rPr>
        <w:tab/>
      </w:r>
      <w:r w:rsidRPr="00FC31D3">
        <w:rPr>
          <w:rFonts w:ascii="Tahoma" w:hAnsi="Tahoma" w:cs="Tahoma"/>
          <w:b/>
        </w:rPr>
        <w:tab/>
      </w:r>
      <w:r w:rsidR="00D044A2">
        <w:rPr>
          <w:rFonts w:ascii="Tahoma" w:hAnsi="Tahoma" w:cs="Tahoma"/>
          <w:b/>
        </w:rPr>
        <w:tab/>
      </w:r>
      <w:r w:rsidR="00D044A2">
        <w:rPr>
          <w:rFonts w:ascii="Tahoma" w:hAnsi="Tahoma" w:cs="Tahoma"/>
          <w:b/>
        </w:rPr>
        <w:tab/>
      </w:r>
      <w:r w:rsidR="001B6A95" w:rsidRPr="00FC31D3">
        <w:rPr>
          <w:rFonts w:ascii="Tahoma" w:hAnsi="Tahoma" w:cs="Tahoma"/>
          <w:b/>
        </w:rPr>
        <w:t>JULIO CÉSAR SALAZAR MUÑOZ</w:t>
      </w:r>
      <w:r w:rsidR="0039238A" w:rsidRPr="00FC31D3">
        <w:rPr>
          <w:rFonts w:ascii="Tahoma" w:hAnsi="Tahoma" w:cs="Tahoma"/>
          <w:b/>
          <w:bCs/>
          <w:spacing w:val="2"/>
        </w:rPr>
        <w:t xml:space="preserve"> </w:t>
      </w:r>
    </w:p>
    <w:p w:rsidR="00FB7576" w:rsidRPr="00FC31D3" w:rsidRDefault="00FB7576" w:rsidP="00FB7576">
      <w:pPr>
        <w:spacing w:line="240" w:lineRule="auto"/>
        <w:rPr>
          <w:rFonts w:ascii="Tahoma" w:hAnsi="Tahoma" w:cs="Tahoma"/>
          <w:b/>
          <w:bCs/>
          <w:spacing w:val="2"/>
        </w:rPr>
      </w:pPr>
    </w:p>
    <w:sectPr w:rsidR="00FB7576" w:rsidRPr="00FC31D3" w:rsidSect="00AC032F">
      <w:headerReference w:type="default" r:id="rId8"/>
      <w:footerReference w:type="default" r:id="rId9"/>
      <w:pgSz w:w="12242" w:h="18722" w:code="14"/>
      <w:pgMar w:top="1418" w:right="1418" w:bottom="130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361" w:rsidRDefault="00D05361" w:rsidP="00C92F21">
      <w:pPr>
        <w:spacing w:line="240" w:lineRule="auto"/>
      </w:pPr>
      <w:r>
        <w:separator/>
      </w:r>
    </w:p>
  </w:endnote>
  <w:endnote w:type="continuationSeparator" w:id="0">
    <w:p w:rsidR="00D05361" w:rsidRDefault="00D05361" w:rsidP="00C92F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556833"/>
      <w:docPartObj>
        <w:docPartGallery w:val="Page Numbers (Bottom of Page)"/>
        <w:docPartUnique/>
      </w:docPartObj>
    </w:sdtPr>
    <w:sdtEndPr/>
    <w:sdtContent>
      <w:p w:rsidR="00EE799B" w:rsidRDefault="00EE799B">
        <w:pPr>
          <w:pStyle w:val="Piedepgina"/>
          <w:jc w:val="right"/>
        </w:pPr>
        <w:r>
          <w:fldChar w:fldCharType="begin"/>
        </w:r>
        <w:r>
          <w:instrText>PAGE   \* MERGEFORMAT</w:instrText>
        </w:r>
        <w:r>
          <w:fldChar w:fldCharType="separate"/>
        </w:r>
        <w:r w:rsidR="00AB3FA0">
          <w:rPr>
            <w:noProof/>
          </w:rPr>
          <w:t>2</w:t>
        </w:r>
        <w:r>
          <w:fldChar w:fldCharType="end"/>
        </w:r>
      </w:p>
    </w:sdtContent>
  </w:sdt>
  <w:p w:rsidR="00EE799B" w:rsidRDefault="00EE79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361" w:rsidRDefault="00D05361" w:rsidP="00C92F21">
      <w:pPr>
        <w:spacing w:line="240" w:lineRule="auto"/>
      </w:pPr>
      <w:r>
        <w:separator/>
      </w:r>
    </w:p>
  </w:footnote>
  <w:footnote w:type="continuationSeparator" w:id="0">
    <w:p w:rsidR="00D05361" w:rsidRDefault="00D05361" w:rsidP="00C92F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99B" w:rsidRPr="00C92F21" w:rsidRDefault="00EE799B">
    <w:pPr>
      <w:pStyle w:val="Encabezado"/>
      <w:rPr>
        <w:rFonts w:ascii="Candara" w:hAnsi="Candara" w:cs="Tahoma"/>
        <w:i/>
        <w:sz w:val="16"/>
        <w:szCs w:val="16"/>
        <w:lang w:val="es-CO"/>
      </w:rPr>
    </w:pPr>
    <w:r w:rsidRPr="00C92F21">
      <w:rPr>
        <w:rFonts w:ascii="Candara" w:hAnsi="Candara" w:cs="Tahoma"/>
        <w:i/>
        <w:sz w:val="16"/>
        <w:szCs w:val="16"/>
        <w:lang w:val="es-CO"/>
      </w:rPr>
      <w:t xml:space="preserve">Demandante: </w:t>
    </w:r>
    <w:r w:rsidR="00ED20B0">
      <w:rPr>
        <w:rFonts w:ascii="Candara" w:hAnsi="Candara" w:cs="Tahoma"/>
        <w:i/>
        <w:sz w:val="16"/>
        <w:szCs w:val="16"/>
        <w:lang w:val="es-CO"/>
      </w:rPr>
      <w:t>ALICIA ACUÑA ARANGO</w:t>
    </w:r>
  </w:p>
  <w:p w:rsidR="00EE799B" w:rsidRPr="00C92F21" w:rsidRDefault="00EE799B">
    <w:pPr>
      <w:pStyle w:val="Encabezado"/>
      <w:rPr>
        <w:rFonts w:ascii="Candara" w:hAnsi="Candara" w:cs="Tahoma"/>
        <w:i/>
        <w:sz w:val="16"/>
        <w:szCs w:val="16"/>
        <w:lang w:val="es-CO"/>
      </w:rPr>
    </w:pPr>
    <w:r w:rsidRPr="00C92F21">
      <w:rPr>
        <w:rFonts w:ascii="Candara" w:hAnsi="Candara" w:cs="Tahoma"/>
        <w:i/>
        <w:sz w:val="16"/>
        <w:szCs w:val="16"/>
        <w:lang w:val="es-CO"/>
      </w:rPr>
      <w:t xml:space="preserve">Demandado: </w:t>
    </w:r>
    <w:r w:rsidR="007A38CE">
      <w:rPr>
        <w:rFonts w:ascii="Candara" w:hAnsi="Candara" w:cs="Tahoma"/>
        <w:i/>
        <w:sz w:val="16"/>
        <w:szCs w:val="16"/>
        <w:lang w:val="es-CO"/>
      </w:rPr>
      <w:t xml:space="preserve">PROTECCIÓN S.A. Y </w:t>
    </w:r>
    <w:r w:rsidR="00ED20B0">
      <w:rPr>
        <w:rFonts w:ascii="Candara" w:hAnsi="Candara" w:cs="Tahoma"/>
        <w:i/>
        <w:sz w:val="16"/>
        <w:szCs w:val="16"/>
        <w:lang w:val="es-CO"/>
      </w:rPr>
      <w:t>COLPENSIONES</w:t>
    </w:r>
    <w:r w:rsidRPr="00C92F21">
      <w:rPr>
        <w:rFonts w:ascii="Candara" w:hAnsi="Candara" w:cs="Tahoma"/>
        <w:i/>
        <w:sz w:val="16"/>
        <w:szCs w:val="16"/>
        <w:lang w:val="es-CO"/>
      </w:rPr>
      <w:t>.</w:t>
    </w:r>
  </w:p>
  <w:p w:rsidR="00EE799B" w:rsidRPr="00C92F21" w:rsidRDefault="00EE799B" w:rsidP="00C92F21">
    <w:pPr>
      <w:pStyle w:val="Encabezado"/>
      <w:rPr>
        <w:rFonts w:ascii="Candara" w:hAnsi="Candara" w:cs="Tahoma"/>
        <w:i/>
        <w:sz w:val="16"/>
        <w:szCs w:val="16"/>
        <w:lang w:val="es-CO"/>
      </w:rPr>
    </w:pPr>
    <w:r w:rsidRPr="00C92F21">
      <w:rPr>
        <w:rFonts w:ascii="Candara" w:hAnsi="Candara" w:cs="Tahoma"/>
        <w:i/>
        <w:sz w:val="16"/>
        <w:szCs w:val="16"/>
        <w:lang w:val="es-CO"/>
      </w:rPr>
      <w:t xml:space="preserve">Rad.: </w:t>
    </w:r>
    <w:r w:rsidR="00ED20B0">
      <w:rPr>
        <w:rFonts w:ascii="Candara" w:hAnsi="Candara" w:cs="Tahoma"/>
        <w:i/>
        <w:sz w:val="16"/>
        <w:szCs w:val="16"/>
        <w:lang w:val="es-CO"/>
      </w:rPr>
      <w:t>004-2017-00186</w:t>
    </w:r>
    <w:r>
      <w:rPr>
        <w:rFonts w:ascii="Candara" w:hAnsi="Candara" w:cs="Tahoma"/>
        <w:i/>
        <w:sz w:val="16"/>
        <w:szCs w:val="16"/>
        <w:lang w:val="es-CO"/>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64ED2"/>
    <w:multiLevelType w:val="hybridMultilevel"/>
    <w:tmpl w:val="D80285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E3356B"/>
    <w:multiLevelType w:val="hybridMultilevel"/>
    <w:tmpl w:val="C0C286B6"/>
    <w:lvl w:ilvl="0" w:tplc="6228F7AE">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nsid w:val="429802A1"/>
    <w:multiLevelType w:val="hybridMultilevel"/>
    <w:tmpl w:val="FD487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E041471"/>
    <w:multiLevelType w:val="hybridMultilevel"/>
    <w:tmpl w:val="B3AC3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D4A6DEA"/>
    <w:multiLevelType w:val="multilevel"/>
    <w:tmpl w:val="0E403000"/>
    <w:lvl w:ilvl="0">
      <w:start w:val="1"/>
      <w:numFmt w:val="upperRoman"/>
      <w:lvlText w:val="%1."/>
      <w:lvlJc w:val="left"/>
      <w:pPr>
        <w:ind w:left="1425" w:hanging="720"/>
      </w:pPr>
      <w:rPr>
        <w:rFonts w:ascii="Tahoma" w:hAnsi="Tahoma" w:cs="Tahoma" w:hint="default"/>
        <w:b/>
        <w:sz w:val="24"/>
        <w:szCs w:val="24"/>
      </w:rPr>
    </w:lvl>
    <w:lvl w:ilvl="1">
      <w:start w:val="1"/>
      <w:numFmt w:val="decimal"/>
      <w:isLgl/>
      <w:lvlText w:val="%1.%2."/>
      <w:lvlJc w:val="left"/>
      <w:pPr>
        <w:ind w:left="1425" w:hanging="720"/>
      </w:pPr>
      <w:rPr>
        <w:rFonts w:hint="default"/>
        <w:b/>
      </w:rPr>
    </w:lvl>
    <w:lvl w:ilvl="2">
      <w:start w:val="1"/>
      <w:numFmt w:val="decimal"/>
      <w:isLgl/>
      <w:lvlText w:val="%1.%2.%3."/>
      <w:lvlJc w:val="left"/>
      <w:pPr>
        <w:ind w:left="1785" w:hanging="108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3225" w:hanging="252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21"/>
    <w:rsid w:val="00000D29"/>
    <w:rsid w:val="00020BF1"/>
    <w:rsid w:val="00063E6A"/>
    <w:rsid w:val="0006566C"/>
    <w:rsid w:val="000710A0"/>
    <w:rsid w:val="00091499"/>
    <w:rsid w:val="000B6B76"/>
    <w:rsid w:val="000C5DFB"/>
    <w:rsid w:val="000D7162"/>
    <w:rsid w:val="000E3B26"/>
    <w:rsid w:val="00171F14"/>
    <w:rsid w:val="001B022D"/>
    <w:rsid w:val="001B1AC3"/>
    <w:rsid w:val="001B41A7"/>
    <w:rsid w:val="001B6A95"/>
    <w:rsid w:val="001D5C82"/>
    <w:rsid w:val="002172CB"/>
    <w:rsid w:val="002345BC"/>
    <w:rsid w:val="00241504"/>
    <w:rsid w:val="00241742"/>
    <w:rsid w:val="00261D39"/>
    <w:rsid w:val="002653FE"/>
    <w:rsid w:val="00274255"/>
    <w:rsid w:val="00281726"/>
    <w:rsid w:val="00297C76"/>
    <w:rsid w:val="002C71C8"/>
    <w:rsid w:val="002D2511"/>
    <w:rsid w:val="002F53D8"/>
    <w:rsid w:val="003122EE"/>
    <w:rsid w:val="00321CDA"/>
    <w:rsid w:val="0036574D"/>
    <w:rsid w:val="00371E19"/>
    <w:rsid w:val="0038774A"/>
    <w:rsid w:val="00390D0F"/>
    <w:rsid w:val="00391F9B"/>
    <w:rsid w:val="0039238A"/>
    <w:rsid w:val="003A40C8"/>
    <w:rsid w:val="003D277E"/>
    <w:rsid w:val="003E070E"/>
    <w:rsid w:val="003F130D"/>
    <w:rsid w:val="003F7752"/>
    <w:rsid w:val="00410E45"/>
    <w:rsid w:val="00440430"/>
    <w:rsid w:val="004447B1"/>
    <w:rsid w:val="00450CCF"/>
    <w:rsid w:val="004562C4"/>
    <w:rsid w:val="004824A7"/>
    <w:rsid w:val="004A3558"/>
    <w:rsid w:val="004B23BA"/>
    <w:rsid w:val="004D007A"/>
    <w:rsid w:val="00545E00"/>
    <w:rsid w:val="00560533"/>
    <w:rsid w:val="005A32E9"/>
    <w:rsid w:val="005D62ED"/>
    <w:rsid w:val="005E708C"/>
    <w:rsid w:val="00603901"/>
    <w:rsid w:val="0062435E"/>
    <w:rsid w:val="00630C56"/>
    <w:rsid w:val="00642611"/>
    <w:rsid w:val="00642624"/>
    <w:rsid w:val="006834E7"/>
    <w:rsid w:val="0068480F"/>
    <w:rsid w:val="00696479"/>
    <w:rsid w:val="006B7860"/>
    <w:rsid w:val="006C2900"/>
    <w:rsid w:val="006C3C91"/>
    <w:rsid w:val="006D3B5E"/>
    <w:rsid w:val="006E1FE5"/>
    <w:rsid w:val="0070163F"/>
    <w:rsid w:val="00731DC5"/>
    <w:rsid w:val="007562C7"/>
    <w:rsid w:val="0075720B"/>
    <w:rsid w:val="0076119F"/>
    <w:rsid w:val="00766D38"/>
    <w:rsid w:val="00777765"/>
    <w:rsid w:val="00783126"/>
    <w:rsid w:val="00794294"/>
    <w:rsid w:val="007A05A4"/>
    <w:rsid w:val="007A38CE"/>
    <w:rsid w:val="007B3A94"/>
    <w:rsid w:val="007C0EB0"/>
    <w:rsid w:val="007E3B44"/>
    <w:rsid w:val="00806BD1"/>
    <w:rsid w:val="00807F7C"/>
    <w:rsid w:val="00820F68"/>
    <w:rsid w:val="00826516"/>
    <w:rsid w:val="00832409"/>
    <w:rsid w:val="00832948"/>
    <w:rsid w:val="00837961"/>
    <w:rsid w:val="00840609"/>
    <w:rsid w:val="008410B6"/>
    <w:rsid w:val="0084476B"/>
    <w:rsid w:val="00847483"/>
    <w:rsid w:val="0085757C"/>
    <w:rsid w:val="008623C4"/>
    <w:rsid w:val="00863B4F"/>
    <w:rsid w:val="00892039"/>
    <w:rsid w:val="00896E7B"/>
    <w:rsid w:val="008A1EDB"/>
    <w:rsid w:val="008A51BD"/>
    <w:rsid w:val="008A6BC7"/>
    <w:rsid w:val="008B5813"/>
    <w:rsid w:val="008C56FE"/>
    <w:rsid w:val="008E17E6"/>
    <w:rsid w:val="00903CAE"/>
    <w:rsid w:val="00903ED3"/>
    <w:rsid w:val="00913FAB"/>
    <w:rsid w:val="00933396"/>
    <w:rsid w:val="009506D2"/>
    <w:rsid w:val="0096202E"/>
    <w:rsid w:val="0099792A"/>
    <w:rsid w:val="009B4A96"/>
    <w:rsid w:val="009B5134"/>
    <w:rsid w:val="009B7EC7"/>
    <w:rsid w:val="009C7625"/>
    <w:rsid w:val="009D0CFC"/>
    <w:rsid w:val="00A00409"/>
    <w:rsid w:val="00A15972"/>
    <w:rsid w:val="00A202B9"/>
    <w:rsid w:val="00A24FDB"/>
    <w:rsid w:val="00A35852"/>
    <w:rsid w:val="00A50ECD"/>
    <w:rsid w:val="00A52E0A"/>
    <w:rsid w:val="00A91E22"/>
    <w:rsid w:val="00AB2ED9"/>
    <w:rsid w:val="00AB3FA0"/>
    <w:rsid w:val="00AC032F"/>
    <w:rsid w:val="00AC3FC6"/>
    <w:rsid w:val="00B02D88"/>
    <w:rsid w:val="00B370BF"/>
    <w:rsid w:val="00B504AA"/>
    <w:rsid w:val="00B653FC"/>
    <w:rsid w:val="00B97BDA"/>
    <w:rsid w:val="00BA3EA2"/>
    <w:rsid w:val="00C1682C"/>
    <w:rsid w:val="00C2202C"/>
    <w:rsid w:val="00C53C5C"/>
    <w:rsid w:val="00C5437F"/>
    <w:rsid w:val="00C54A48"/>
    <w:rsid w:val="00C670B2"/>
    <w:rsid w:val="00C75193"/>
    <w:rsid w:val="00C92F21"/>
    <w:rsid w:val="00C93D65"/>
    <w:rsid w:val="00CE6724"/>
    <w:rsid w:val="00CF574A"/>
    <w:rsid w:val="00D01EAC"/>
    <w:rsid w:val="00D044A2"/>
    <w:rsid w:val="00D05361"/>
    <w:rsid w:val="00D15569"/>
    <w:rsid w:val="00D33AC8"/>
    <w:rsid w:val="00D4616B"/>
    <w:rsid w:val="00D51E9D"/>
    <w:rsid w:val="00D7563A"/>
    <w:rsid w:val="00D77940"/>
    <w:rsid w:val="00D8025E"/>
    <w:rsid w:val="00D914E3"/>
    <w:rsid w:val="00DA077E"/>
    <w:rsid w:val="00DB6EBA"/>
    <w:rsid w:val="00E2526F"/>
    <w:rsid w:val="00E35219"/>
    <w:rsid w:val="00E53268"/>
    <w:rsid w:val="00E5723E"/>
    <w:rsid w:val="00E57C24"/>
    <w:rsid w:val="00E71518"/>
    <w:rsid w:val="00E84C19"/>
    <w:rsid w:val="00EA1E6E"/>
    <w:rsid w:val="00EA6D9A"/>
    <w:rsid w:val="00EB15EC"/>
    <w:rsid w:val="00EB1C56"/>
    <w:rsid w:val="00EB7FC1"/>
    <w:rsid w:val="00ED1A4E"/>
    <w:rsid w:val="00ED20B0"/>
    <w:rsid w:val="00ED440F"/>
    <w:rsid w:val="00ED4DBC"/>
    <w:rsid w:val="00EE799B"/>
    <w:rsid w:val="00EF09D1"/>
    <w:rsid w:val="00F03672"/>
    <w:rsid w:val="00F15EEE"/>
    <w:rsid w:val="00F249BD"/>
    <w:rsid w:val="00F70190"/>
    <w:rsid w:val="00F74BC2"/>
    <w:rsid w:val="00F86281"/>
    <w:rsid w:val="00FA0D01"/>
    <w:rsid w:val="00FB7576"/>
    <w:rsid w:val="00FC31D3"/>
    <w:rsid w:val="00FC65EB"/>
    <w:rsid w:val="00FE29CF"/>
    <w:rsid w:val="00FE49AC"/>
    <w:rsid w:val="00FE5695"/>
    <w:rsid w:val="00FF16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736C31-5CF3-4E60-BAAA-65594733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unhideWhenUsed/>
    <w:qFormat/>
    <w:rsid w:val="001B6A95"/>
    <w:pPr>
      <w:keepNext/>
      <w:keepLines/>
      <w:spacing w:before="40" w:line="276" w:lineRule="auto"/>
      <w:outlineLvl w:val="3"/>
    </w:pPr>
    <w:rPr>
      <w:rFonts w:asciiTheme="majorHAnsi" w:eastAsiaTheme="majorEastAsia" w:hAnsiTheme="majorHAnsi" w:cstheme="majorBidi"/>
      <w:i/>
      <w:iCs/>
      <w:color w:val="2E74B5" w:themeColor="accent1" w:themeShade="BF"/>
      <w:lang w:val="es-CO"/>
    </w:rPr>
  </w:style>
  <w:style w:type="paragraph" w:styleId="Ttulo5">
    <w:name w:val="heading 5"/>
    <w:basedOn w:val="Normal"/>
    <w:next w:val="Normal"/>
    <w:link w:val="Ttulo5Car"/>
    <w:uiPriority w:val="9"/>
    <w:semiHidden/>
    <w:unhideWhenUsed/>
    <w:qFormat/>
    <w:rsid w:val="0085757C"/>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2F2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92F21"/>
  </w:style>
  <w:style w:type="paragraph" w:styleId="Piedepgina">
    <w:name w:val="footer"/>
    <w:basedOn w:val="Normal"/>
    <w:link w:val="PiedepginaCar"/>
    <w:uiPriority w:val="99"/>
    <w:unhideWhenUsed/>
    <w:rsid w:val="00C92F2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92F21"/>
  </w:style>
  <w:style w:type="paragraph" w:styleId="Prrafodelista">
    <w:name w:val="List Paragraph"/>
    <w:basedOn w:val="Normal"/>
    <w:uiPriority w:val="34"/>
    <w:qFormat/>
    <w:rsid w:val="00F70190"/>
    <w:pPr>
      <w:ind w:left="720"/>
      <w:contextualSpacing/>
    </w:pPr>
  </w:style>
  <w:style w:type="character" w:customStyle="1" w:styleId="apple-converted-space">
    <w:name w:val="apple-converted-space"/>
    <w:basedOn w:val="Fuentedeprrafopredeter"/>
    <w:rsid w:val="00ED440F"/>
  </w:style>
  <w:style w:type="paragraph" w:styleId="Textonotapie">
    <w:name w:val="footnote text"/>
    <w:basedOn w:val="Normal"/>
    <w:link w:val="TextonotapieCar"/>
    <w:uiPriority w:val="99"/>
    <w:unhideWhenUsed/>
    <w:rsid w:val="00EB15EC"/>
    <w:pPr>
      <w:spacing w:line="240" w:lineRule="auto"/>
    </w:pPr>
    <w:rPr>
      <w:sz w:val="20"/>
      <w:szCs w:val="20"/>
    </w:rPr>
  </w:style>
  <w:style w:type="character" w:customStyle="1" w:styleId="TextonotapieCar">
    <w:name w:val="Texto nota pie Car"/>
    <w:basedOn w:val="Fuentedeprrafopredeter"/>
    <w:link w:val="Textonotapie"/>
    <w:uiPriority w:val="99"/>
    <w:rsid w:val="00EB15EC"/>
    <w:rPr>
      <w:sz w:val="20"/>
      <w:szCs w:val="20"/>
    </w:rPr>
  </w:style>
  <w:style w:type="character" w:styleId="Refdenotaalpie">
    <w:name w:val="footnote reference"/>
    <w:basedOn w:val="Fuentedeprrafopredeter"/>
    <w:uiPriority w:val="99"/>
    <w:semiHidden/>
    <w:unhideWhenUsed/>
    <w:rsid w:val="00EB15EC"/>
    <w:rPr>
      <w:vertAlign w:val="superscript"/>
    </w:rPr>
  </w:style>
  <w:style w:type="character" w:styleId="Hipervnculo">
    <w:name w:val="Hyperlink"/>
    <w:basedOn w:val="Fuentedeprrafopredeter"/>
    <w:uiPriority w:val="99"/>
    <w:semiHidden/>
    <w:unhideWhenUsed/>
    <w:rsid w:val="00EB15EC"/>
    <w:rPr>
      <w:color w:val="0000FF"/>
      <w:u w:val="single"/>
    </w:rPr>
  </w:style>
  <w:style w:type="character" w:customStyle="1" w:styleId="Ttulo4Car">
    <w:name w:val="Título 4 Car"/>
    <w:basedOn w:val="Fuentedeprrafopredeter"/>
    <w:link w:val="Ttulo4"/>
    <w:uiPriority w:val="9"/>
    <w:rsid w:val="001B6A95"/>
    <w:rPr>
      <w:rFonts w:asciiTheme="majorHAnsi" w:eastAsiaTheme="majorEastAsia" w:hAnsiTheme="majorHAnsi" w:cstheme="majorBidi"/>
      <w:i/>
      <w:iCs/>
      <w:color w:val="2E74B5" w:themeColor="accent1" w:themeShade="BF"/>
      <w:lang w:val="es-CO"/>
    </w:rPr>
  </w:style>
  <w:style w:type="paragraph" w:styleId="NormalWeb">
    <w:name w:val="Normal (Web)"/>
    <w:basedOn w:val="Normal"/>
    <w:uiPriority w:val="99"/>
    <w:unhideWhenUsed/>
    <w:rsid w:val="001B6A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B757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576"/>
    <w:rPr>
      <w:rFonts w:ascii="Segoe UI" w:hAnsi="Segoe UI" w:cs="Segoe UI"/>
      <w:sz w:val="18"/>
      <w:szCs w:val="18"/>
    </w:rPr>
  </w:style>
  <w:style w:type="paragraph" w:customStyle="1" w:styleId="Textoindependiente21">
    <w:name w:val="Texto independiente 21"/>
    <w:basedOn w:val="Normal"/>
    <w:rsid w:val="00837961"/>
    <w:pPr>
      <w:jc w:val="both"/>
    </w:pPr>
    <w:rPr>
      <w:rFonts w:ascii="Arial" w:eastAsia="Times New Roman" w:hAnsi="Arial" w:cs="Times New Roman"/>
      <w:b/>
      <w:sz w:val="28"/>
      <w:szCs w:val="20"/>
      <w:lang w:val="es-ES_tradnl" w:eastAsia="es-ES"/>
    </w:rPr>
  </w:style>
  <w:style w:type="character" w:customStyle="1" w:styleId="Ttulo5Car">
    <w:name w:val="Título 5 Car"/>
    <w:basedOn w:val="Fuentedeprrafopredeter"/>
    <w:link w:val="Ttulo5"/>
    <w:uiPriority w:val="9"/>
    <w:semiHidden/>
    <w:rsid w:val="0085757C"/>
    <w:rPr>
      <w:rFonts w:asciiTheme="majorHAnsi" w:eastAsiaTheme="majorEastAsia" w:hAnsiTheme="majorHAnsi" w:cstheme="majorBidi"/>
      <w:color w:val="2E74B5" w:themeColor="accent1" w:themeShade="BF"/>
    </w:rPr>
  </w:style>
  <w:style w:type="paragraph" w:styleId="Textoindependiente">
    <w:name w:val="Body Text"/>
    <w:basedOn w:val="Normal"/>
    <w:link w:val="TextoindependienteCar"/>
    <w:semiHidden/>
    <w:rsid w:val="002F53D8"/>
    <w:pPr>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semiHidden/>
    <w:rsid w:val="002F53D8"/>
    <w:rPr>
      <w:rFonts w:ascii="Arial" w:eastAsia="Times New Roman" w:hAnsi="Arial" w:cs="Times New Roman"/>
      <w:sz w:val="26"/>
      <w:szCs w:val="20"/>
      <w:lang w:val="es-ES_tradnl" w:eastAsia="es-ES"/>
    </w:rPr>
  </w:style>
  <w:style w:type="paragraph" w:styleId="Puesto">
    <w:name w:val="Title"/>
    <w:basedOn w:val="Normal"/>
    <w:link w:val="PuestoCar"/>
    <w:qFormat/>
    <w:rsid w:val="00AB3FA0"/>
    <w:pPr>
      <w:widowControl w:val="0"/>
      <w:autoSpaceDE w:val="0"/>
      <w:autoSpaceDN w:val="0"/>
      <w:adjustRightInd w:val="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AB3FA0"/>
    <w:rPr>
      <w:rFonts w:ascii="Arial" w:eastAsia="Times New Roman" w:hAnsi="Arial" w:cs="Arial"/>
      <w:b/>
      <w:sz w:val="24"/>
      <w:szCs w:val="24"/>
      <w:lang w:eastAsia="es-ES"/>
    </w:rPr>
  </w:style>
  <w:style w:type="paragraph" w:styleId="Sinespaciado">
    <w:name w:val="No Spacing"/>
    <w:uiPriority w:val="1"/>
    <w:qFormat/>
    <w:rsid w:val="00AB3FA0"/>
    <w:pPr>
      <w:spacing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056724">
      <w:bodyDiv w:val="1"/>
      <w:marLeft w:val="0"/>
      <w:marRight w:val="0"/>
      <w:marTop w:val="0"/>
      <w:marBottom w:val="0"/>
      <w:divBdr>
        <w:top w:val="none" w:sz="0" w:space="0" w:color="auto"/>
        <w:left w:val="none" w:sz="0" w:space="0" w:color="auto"/>
        <w:bottom w:val="none" w:sz="0" w:space="0" w:color="auto"/>
        <w:right w:val="none" w:sz="0" w:space="0" w:color="auto"/>
      </w:divBdr>
    </w:div>
    <w:div w:id="1020163858">
      <w:bodyDiv w:val="1"/>
      <w:marLeft w:val="0"/>
      <w:marRight w:val="0"/>
      <w:marTop w:val="0"/>
      <w:marBottom w:val="0"/>
      <w:divBdr>
        <w:top w:val="none" w:sz="0" w:space="0" w:color="auto"/>
        <w:left w:val="none" w:sz="0" w:space="0" w:color="auto"/>
        <w:bottom w:val="none" w:sz="0" w:space="0" w:color="auto"/>
        <w:right w:val="none" w:sz="0" w:space="0" w:color="auto"/>
      </w:divBdr>
      <w:divsChild>
        <w:div w:id="316881293">
          <w:marLeft w:val="0"/>
          <w:marRight w:val="0"/>
          <w:marTop w:val="0"/>
          <w:marBottom w:val="0"/>
          <w:divBdr>
            <w:top w:val="none" w:sz="0" w:space="0" w:color="auto"/>
            <w:left w:val="none" w:sz="0" w:space="0" w:color="auto"/>
            <w:bottom w:val="none" w:sz="0" w:space="0" w:color="auto"/>
            <w:right w:val="none" w:sz="0" w:space="0" w:color="auto"/>
          </w:divBdr>
        </w:div>
        <w:div w:id="2071004082">
          <w:marLeft w:val="0"/>
          <w:marRight w:val="0"/>
          <w:marTop w:val="0"/>
          <w:marBottom w:val="0"/>
          <w:divBdr>
            <w:top w:val="none" w:sz="0" w:space="0" w:color="auto"/>
            <w:left w:val="none" w:sz="0" w:space="0" w:color="auto"/>
            <w:bottom w:val="none" w:sz="0" w:space="0" w:color="auto"/>
            <w:right w:val="none" w:sz="0" w:space="0" w:color="auto"/>
          </w:divBdr>
        </w:div>
      </w:divsChild>
    </w:div>
    <w:div w:id="1068071891">
      <w:bodyDiv w:val="1"/>
      <w:marLeft w:val="0"/>
      <w:marRight w:val="0"/>
      <w:marTop w:val="0"/>
      <w:marBottom w:val="0"/>
      <w:divBdr>
        <w:top w:val="none" w:sz="0" w:space="0" w:color="auto"/>
        <w:left w:val="none" w:sz="0" w:space="0" w:color="auto"/>
        <w:bottom w:val="none" w:sz="0" w:space="0" w:color="auto"/>
        <w:right w:val="none" w:sz="0" w:space="0" w:color="auto"/>
      </w:divBdr>
    </w:div>
    <w:div w:id="1115751076">
      <w:bodyDiv w:val="1"/>
      <w:marLeft w:val="0"/>
      <w:marRight w:val="0"/>
      <w:marTop w:val="0"/>
      <w:marBottom w:val="0"/>
      <w:divBdr>
        <w:top w:val="none" w:sz="0" w:space="0" w:color="auto"/>
        <w:left w:val="none" w:sz="0" w:space="0" w:color="auto"/>
        <w:bottom w:val="none" w:sz="0" w:space="0" w:color="auto"/>
        <w:right w:val="none" w:sz="0" w:space="0" w:color="auto"/>
      </w:divBdr>
    </w:div>
    <w:div w:id="1334915162">
      <w:bodyDiv w:val="1"/>
      <w:marLeft w:val="0"/>
      <w:marRight w:val="0"/>
      <w:marTop w:val="0"/>
      <w:marBottom w:val="0"/>
      <w:divBdr>
        <w:top w:val="none" w:sz="0" w:space="0" w:color="auto"/>
        <w:left w:val="none" w:sz="0" w:space="0" w:color="auto"/>
        <w:bottom w:val="none" w:sz="0" w:space="0" w:color="auto"/>
        <w:right w:val="none" w:sz="0" w:space="0" w:color="auto"/>
      </w:divBdr>
    </w:div>
    <w:div w:id="20462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D88E6-8CEB-4BEB-979D-97066FF8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1980</Words>
  <Characters>10896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Henry Lora Rodriguez</cp:lastModifiedBy>
  <cp:revision>3</cp:revision>
  <cp:lastPrinted>2018-07-05T22:41:00Z</cp:lastPrinted>
  <dcterms:created xsi:type="dcterms:W3CDTF">2018-08-22T13:29:00Z</dcterms:created>
  <dcterms:modified xsi:type="dcterms:W3CDTF">2018-08-24T19:31:00Z</dcterms:modified>
</cp:coreProperties>
</file>