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62" w:rsidRPr="00ED5ED0" w:rsidRDefault="004F7362" w:rsidP="004F7362">
      <w:pPr>
        <w:pStyle w:val="Puesto"/>
        <w:pBdr>
          <w:top w:val="single" w:sz="4" w:space="1" w:color="auto"/>
          <w:left w:val="single" w:sz="4" w:space="1" w:color="auto"/>
          <w:bottom w:val="single" w:sz="4" w:space="1" w:color="auto"/>
          <w:right w:val="single" w:sz="4" w:space="4" w:color="auto"/>
        </w:pBdr>
        <w:spacing w:line="240" w:lineRule="auto"/>
        <w:rPr>
          <w:b w:val="0"/>
          <w:sz w:val="18"/>
          <w:szCs w:val="18"/>
        </w:rPr>
      </w:pPr>
      <w:r w:rsidRPr="00ED5ED0">
        <w:rPr>
          <w:b w:val="0"/>
          <w:sz w:val="18"/>
          <w:szCs w:val="18"/>
        </w:rPr>
        <w:t>El contenido total y fiel de la decisión debe ser verificado en el audio que reposa en la secretaría de esta Corporación.</w:t>
      </w:r>
    </w:p>
    <w:p w:rsidR="004F7362" w:rsidRPr="00ED5ED0" w:rsidRDefault="004F7362" w:rsidP="004F7362">
      <w:pPr>
        <w:pStyle w:val="Puesto"/>
        <w:spacing w:line="240" w:lineRule="auto"/>
        <w:jc w:val="both"/>
        <w:rPr>
          <w:sz w:val="18"/>
          <w:szCs w:val="18"/>
        </w:rPr>
      </w:pPr>
    </w:p>
    <w:p w:rsidR="004F7362" w:rsidRPr="00ED5ED0" w:rsidRDefault="004F7362" w:rsidP="004F7362">
      <w:pPr>
        <w:pStyle w:val="Puesto"/>
        <w:spacing w:line="240" w:lineRule="auto"/>
        <w:jc w:val="both"/>
        <w:rPr>
          <w:b w:val="0"/>
          <w:sz w:val="18"/>
          <w:szCs w:val="18"/>
        </w:rPr>
      </w:pPr>
      <w:r w:rsidRPr="00ED5ED0">
        <w:rPr>
          <w:sz w:val="18"/>
          <w:szCs w:val="18"/>
        </w:rPr>
        <w:t>Providencia:</w:t>
      </w:r>
      <w:r w:rsidRPr="00ED5ED0">
        <w:rPr>
          <w:b w:val="0"/>
          <w:sz w:val="18"/>
          <w:szCs w:val="18"/>
        </w:rPr>
        <w:t xml:space="preserve"> </w:t>
      </w:r>
      <w:r w:rsidRPr="00ED5ED0">
        <w:rPr>
          <w:b w:val="0"/>
          <w:sz w:val="18"/>
          <w:szCs w:val="18"/>
        </w:rPr>
        <w:tab/>
      </w:r>
      <w:r w:rsidRPr="00ED5ED0">
        <w:rPr>
          <w:b w:val="0"/>
          <w:sz w:val="18"/>
          <w:szCs w:val="18"/>
        </w:rPr>
        <w:tab/>
      </w:r>
      <w:r w:rsidRPr="00ED5ED0">
        <w:rPr>
          <w:b w:val="0"/>
          <w:bCs/>
          <w:sz w:val="18"/>
          <w:szCs w:val="18"/>
        </w:rPr>
        <w:t xml:space="preserve">Sentencia del </w:t>
      </w:r>
      <w:r w:rsidR="005569B4" w:rsidRPr="00ED5ED0">
        <w:rPr>
          <w:b w:val="0"/>
          <w:bCs/>
          <w:sz w:val="18"/>
          <w:szCs w:val="18"/>
        </w:rPr>
        <w:t>13</w:t>
      </w:r>
      <w:r w:rsidRPr="00ED5ED0">
        <w:rPr>
          <w:b w:val="0"/>
          <w:bCs/>
          <w:sz w:val="18"/>
          <w:szCs w:val="18"/>
        </w:rPr>
        <w:t xml:space="preserve"> de julio de 2018 </w:t>
      </w:r>
    </w:p>
    <w:p w:rsidR="004F7362" w:rsidRPr="00ED5ED0" w:rsidRDefault="004F7362" w:rsidP="004F7362">
      <w:pPr>
        <w:pStyle w:val="Puesto"/>
        <w:spacing w:line="240" w:lineRule="auto"/>
        <w:jc w:val="both"/>
        <w:rPr>
          <w:b w:val="0"/>
          <w:sz w:val="18"/>
          <w:szCs w:val="18"/>
        </w:rPr>
      </w:pPr>
      <w:r w:rsidRPr="00ED5ED0">
        <w:rPr>
          <w:sz w:val="18"/>
          <w:szCs w:val="18"/>
        </w:rPr>
        <w:t>Radicación No.:</w:t>
      </w:r>
      <w:r w:rsidRPr="00ED5ED0">
        <w:rPr>
          <w:b w:val="0"/>
          <w:sz w:val="18"/>
          <w:szCs w:val="18"/>
        </w:rPr>
        <w:tab/>
      </w:r>
      <w:r w:rsidRPr="00ED5ED0">
        <w:rPr>
          <w:b w:val="0"/>
          <w:sz w:val="18"/>
          <w:szCs w:val="18"/>
        </w:rPr>
        <w:tab/>
        <w:t>66001-31-05-00</w:t>
      </w:r>
      <w:r w:rsidR="005569B4" w:rsidRPr="00ED5ED0">
        <w:rPr>
          <w:b w:val="0"/>
          <w:sz w:val="18"/>
          <w:szCs w:val="18"/>
        </w:rPr>
        <w:t>5</w:t>
      </w:r>
      <w:r w:rsidRPr="00ED5ED0">
        <w:rPr>
          <w:b w:val="0"/>
          <w:sz w:val="18"/>
          <w:szCs w:val="18"/>
        </w:rPr>
        <w:t>-2016-00</w:t>
      </w:r>
      <w:r w:rsidR="005569B4" w:rsidRPr="00ED5ED0">
        <w:rPr>
          <w:b w:val="0"/>
          <w:sz w:val="18"/>
          <w:szCs w:val="18"/>
        </w:rPr>
        <w:t>454</w:t>
      </w:r>
      <w:r w:rsidRPr="00ED5ED0">
        <w:rPr>
          <w:b w:val="0"/>
          <w:sz w:val="18"/>
          <w:szCs w:val="18"/>
        </w:rPr>
        <w:t>-01</w:t>
      </w:r>
    </w:p>
    <w:p w:rsidR="004F7362" w:rsidRPr="00ED5ED0" w:rsidRDefault="004F7362" w:rsidP="004F7362">
      <w:pPr>
        <w:pStyle w:val="Puesto"/>
        <w:spacing w:line="240" w:lineRule="auto"/>
        <w:jc w:val="both"/>
        <w:rPr>
          <w:b w:val="0"/>
          <w:sz w:val="18"/>
          <w:szCs w:val="18"/>
        </w:rPr>
      </w:pPr>
      <w:r w:rsidRPr="00ED5ED0">
        <w:rPr>
          <w:sz w:val="18"/>
          <w:szCs w:val="18"/>
        </w:rPr>
        <w:t>Proceso:</w:t>
      </w:r>
      <w:r w:rsidRPr="00ED5ED0">
        <w:rPr>
          <w:b w:val="0"/>
          <w:sz w:val="18"/>
          <w:szCs w:val="18"/>
        </w:rPr>
        <w:tab/>
      </w:r>
      <w:r w:rsidRPr="00ED5ED0">
        <w:rPr>
          <w:b w:val="0"/>
          <w:sz w:val="18"/>
          <w:szCs w:val="18"/>
        </w:rPr>
        <w:tab/>
        <w:t xml:space="preserve">Ordinario laboral </w:t>
      </w:r>
    </w:p>
    <w:p w:rsidR="004F7362" w:rsidRPr="00ED5ED0" w:rsidRDefault="004F7362" w:rsidP="004F7362">
      <w:pPr>
        <w:pStyle w:val="Puesto"/>
        <w:spacing w:line="240" w:lineRule="auto"/>
        <w:jc w:val="both"/>
        <w:rPr>
          <w:b w:val="0"/>
          <w:sz w:val="18"/>
          <w:szCs w:val="18"/>
        </w:rPr>
      </w:pPr>
      <w:r w:rsidRPr="00ED5ED0">
        <w:rPr>
          <w:sz w:val="18"/>
          <w:szCs w:val="18"/>
        </w:rPr>
        <w:t>Demandante:</w:t>
      </w:r>
      <w:r w:rsidRPr="00ED5ED0">
        <w:rPr>
          <w:b w:val="0"/>
          <w:sz w:val="18"/>
          <w:szCs w:val="18"/>
        </w:rPr>
        <w:tab/>
      </w:r>
      <w:r w:rsidRPr="00ED5ED0">
        <w:rPr>
          <w:b w:val="0"/>
          <w:sz w:val="18"/>
          <w:szCs w:val="18"/>
        </w:rPr>
        <w:tab/>
      </w:r>
      <w:r w:rsidR="005569B4" w:rsidRPr="00ED5ED0">
        <w:rPr>
          <w:b w:val="0"/>
          <w:sz w:val="18"/>
          <w:szCs w:val="18"/>
        </w:rPr>
        <w:t xml:space="preserve">Hernán Salcedo Cabal </w:t>
      </w:r>
      <w:r w:rsidR="00BC6A82" w:rsidRPr="00ED5ED0">
        <w:rPr>
          <w:b w:val="0"/>
          <w:sz w:val="18"/>
          <w:szCs w:val="18"/>
        </w:rPr>
        <w:t xml:space="preserve"> </w:t>
      </w:r>
      <w:r w:rsidRPr="00ED5ED0">
        <w:rPr>
          <w:b w:val="0"/>
          <w:sz w:val="18"/>
          <w:szCs w:val="18"/>
        </w:rPr>
        <w:t xml:space="preserve"> </w:t>
      </w:r>
    </w:p>
    <w:p w:rsidR="004F7362" w:rsidRPr="00ED5ED0" w:rsidRDefault="004F7362" w:rsidP="004F7362">
      <w:pPr>
        <w:pStyle w:val="Puesto"/>
        <w:spacing w:line="240" w:lineRule="auto"/>
        <w:ind w:left="708" w:hanging="708"/>
        <w:jc w:val="both"/>
        <w:rPr>
          <w:b w:val="0"/>
          <w:sz w:val="18"/>
          <w:szCs w:val="18"/>
        </w:rPr>
      </w:pPr>
      <w:r w:rsidRPr="00ED5ED0">
        <w:rPr>
          <w:sz w:val="18"/>
          <w:szCs w:val="18"/>
        </w:rPr>
        <w:t>Demandado:</w:t>
      </w:r>
      <w:r w:rsidRPr="00ED5ED0">
        <w:rPr>
          <w:b w:val="0"/>
          <w:sz w:val="18"/>
          <w:szCs w:val="18"/>
        </w:rPr>
        <w:tab/>
      </w:r>
      <w:r w:rsidRPr="00ED5ED0">
        <w:rPr>
          <w:b w:val="0"/>
          <w:sz w:val="18"/>
          <w:szCs w:val="18"/>
        </w:rPr>
        <w:tab/>
        <w:t xml:space="preserve">Colpensiones </w:t>
      </w:r>
    </w:p>
    <w:p w:rsidR="004F7362" w:rsidRPr="00ED5ED0" w:rsidRDefault="004F7362" w:rsidP="004F7362">
      <w:pPr>
        <w:pStyle w:val="Puesto"/>
        <w:spacing w:line="240" w:lineRule="auto"/>
        <w:jc w:val="both"/>
        <w:rPr>
          <w:b w:val="0"/>
          <w:sz w:val="18"/>
          <w:szCs w:val="18"/>
        </w:rPr>
      </w:pPr>
      <w:r w:rsidRPr="00ED5ED0">
        <w:rPr>
          <w:sz w:val="18"/>
          <w:szCs w:val="18"/>
        </w:rPr>
        <w:t>Juzgado de origen:</w:t>
      </w:r>
      <w:r w:rsidRPr="00ED5ED0">
        <w:rPr>
          <w:b w:val="0"/>
          <w:sz w:val="18"/>
          <w:szCs w:val="18"/>
        </w:rPr>
        <w:t xml:space="preserve"> </w:t>
      </w:r>
      <w:r w:rsidRPr="00ED5ED0">
        <w:rPr>
          <w:b w:val="0"/>
          <w:sz w:val="18"/>
          <w:szCs w:val="18"/>
        </w:rPr>
        <w:tab/>
      </w:r>
      <w:r w:rsidR="005569B4" w:rsidRPr="00ED5ED0">
        <w:rPr>
          <w:b w:val="0"/>
          <w:sz w:val="18"/>
          <w:szCs w:val="18"/>
        </w:rPr>
        <w:t>Quinto</w:t>
      </w:r>
      <w:r w:rsidR="00BC6A82" w:rsidRPr="00ED5ED0">
        <w:rPr>
          <w:b w:val="0"/>
          <w:sz w:val="18"/>
          <w:szCs w:val="18"/>
        </w:rPr>
        <w:t xml:space="preserve"> </w:t>
      </w:r>
      <w:r w:rsidRPr="00ED5ED0">
        <w:rPr>
          <w:b w:val="0"/>
          <w:sz w:val="18"/>
          <w:szCs w:val="18"/>
        </w:rPr>
        <w:t xml:space="preserve">Laboral del Circuito de Pereira </w:t>
      </w:r>
    </w:p>
    <w:p w:rsidR="004F7362" w:rsidRPr="00ED5ED0" w:rsidRDefault="004F7362" w:rsidP="004F7362">
      <w:pPr>
        <w:pStyle w:val="Puesto"/>
        <w:spacing w:line="240" w:lineRule="auto"/>
        <w:jc w:val="both"/>
        <w:rPr>
          <w:b w:val="0"/>
          <w:sz w:val="18"/>
          <w:szCs w:val="18"/>
        </w:rPr>
      </w:pPr>
      <w:r w:rsidRPr="00ED5ED0">
        <w:rPr>
          <w:sz w:val="18"/>
          <w:szCs w:val="18"/>
        </w:rPr>
        <w:t>Magistrada ponente:</w:t>
      </w:r>
      <w:r w:rsidRPr="00ED5ED0">
        <w:rPr>
          <w:b w:val="0"/>
          <w:sz w:val="18"/>
          <w:szCs w:val="18"/>
        </w:rPr>
        <w:tab/>
        <w:t>Dra. Ana Lucía Caicedo Calderón</w:t>
      </w:r>
    </w:p>
    <w:p w:rsidR="00ED5ED0" w:rsidRDefault="00ED5ED0" w:rsidP="004F7362">
      <w:pPr>
        <w:pStyle w:val="Puesto"/>
        <w:spacing w:line="240" w:lineRule="auto"/>
        <w:ind w:left="2124" w:hanging="2124"/>
        <w:jc w:val="both"/>
        <w:rPr>
          <w:sz w:val="18"/>
          <w:szCs w:val="18"/>
        </w:rPr>
      </w:pPr>
    </w:p>
    <w:p w:rsidR="00ED5ED0" w:rsidRDefault="00ED5ED0" w:rsidP="004F7362">
      <w:pPr>
        <w:pStyle w:val="Puesto"/>
        <w:spacing w:line="240" w:lineRule="auto"/>
        <w:ind w:left="2124" w:hanging="2124"/>
        <w:jc w:val="both"/>
        <w:rPr>
          <w:sz w:val="18"/>
          <w:szCs w:val="18"/>
        </w:rPr>
      </w:pPr>
    </w:p>
    <w:p w:rsidR="00ED5ED0" w:rsidRDefault="00ED5ED0" w:rsidP="004F7362">
      <w:pPr>
        <w:pStyle w:val="Puesto"/>
        <w:spacing w:line="240" w:lineRule="auto"/>
        <w:ind w:left="2124" w:hanging="2124"/>
        <w:jc w:val="both"/>
        <w:rPr>
          <w:sz w:val="18"/>
          <w:szCs w:val="18"/>
        </w:rPr>
      </w:pPr>
    </w:p>
    <w:p w:rsidR="004F7362" w:rsidRDefault="00ED5ED0" w:rsidP="00ED5ED0">
      <w:pPr>
        <w:pStyle w:val="Puesto"/>
        <w:spacing w:line="240" w:lineRule="auto"/>
        <w:jc w:val="both"/>
        <w:rPr>
          <w:sz w:val="18"/>
          <w:szCs w:val="18"/>
        </w:rPr>
      </w:pPr>
      <w:r>
        <w:rPr>
          <w:sz w:val="18"/>
          <w:szCs w:val="18"/>
        </w:rPr>
        <w:t>Tema:</w:t>
      </w:r>
      <w:r>
        <w:rPr>
          <w:sz w:val="18"/>
          <w:szCs w:val="18"/>
        </w:rPr>
        <w:tab/>
      </w:r>
      <w:r>
        <w:rPr>
          <w:sz w:val="18"/>
          <w:szCs w:val="18"/>
        </w:rPr>
        <w:tab/>
        <w:t>PENSIÓN DE VEJEZ / INTERESES MORATORIOS- Naturaleza / TARDANZA EN EL RECONOCIMIENTO PENSIONAL / LA ENTIDAD CONTABA CON 4 MESES PARA RESOLVER LA PETICIÓN PENSIONAL / CONFIRMA</w:t>
      </w:r>
      <w:bookmarkStart w:id="0" w:name="_GoBack"/>
      <w:bookmarkEnd w:id="0"/>
    </w:p>
    <w:p w:rsidR="00ED5ED0" w:rsidRDefault="00ED5ED0" w:rsidP="00ED5ED0">
      <w:pPr>
        <w:pStyle w:val="Puesto"/>
        <w:spacing w:line="240" w:lineRule="auto"/>
        <w:ind w:left="2124" w:hanging="2124"/>
        <w:jc w:val="both"/>
        <w:rPr>
          <w:sz w:val="18"/>
          <w:szCs w:val="18"/>
        </w:rPr>
      </w:pPr>
    </w:p>
    <w:p w:rsidR="00ED5ED0" w:rsidRDefault="00ED5ED0" w:rsidP="00ED5ED0">
      <w:pPr>
        <w:pStyle w:val="Sinespaciado"/>
        <w:jc w:val="both"/>
        <w:rPr>
          <w:rFonts w:ascii="Arial" w:hAnsi="Arial" w:cs="Arial"/>
          <w:sz w:val="18"/>
          <w:szCs w:val="18"/>
        </w:rPr>
      </w:pPr>
      <w:r w:rsidRPr="00ED5ED0">
        <w:rPr>
          <w:rFonts w:ascii="Arial" w:hAnsi="Arial" w:cs="Arial"/>
          <w:sz w:val="18"/>
          <w:szCs w:val="18"/>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rsidR="00ED5ED0" w:rsidRDefault="00ED5ED0" w:rsidP="00ED5ED0">
      <w:pPr>
        <w:pStyle w:val="Sinespaciado"/>
        <w:jc w:val="both"/>
        <w:rPr>
          <w:rFonts w:ascii="Arial" w:hAnsi="Arial" w:cs="Arial"/>
          <w:sz w:val="18"/>
          <w:szCs w:val="18"/>
        </w:rPr>
      </w:pPr>
      <w:r>
        <w:rPr>
          <w:rFonts w:ascii="Arial" w:hAnsi="Arial" w:cs="Arial"/>
          <w:sz w:val="18"/>
          <w:szCs w:val="18"/>
        </w:rPr>
        <w:t>(…)</w:t>
      </w:r>
    </w:p>
    <w:p w:rsidR="00ED5ED0" w:rsidRPr="00ED5ED0" w:rsidRDefault="00ED5ED0" w:rsidP="00ED5ED0">
      <w:pPr>
        <w:pStyle w:val="Sinespaciado"/>
        <w:jc w:val="both"/>
        <w:rPr>
          <w:rFonts w:ascii="Arial" w:hAnsi="Arial" w:cs="Arial"/>
          <w:sz w:val="18"/>
          <w:szCs w:val="18"/>
        </w:rPr>
      </w:pPr>
      <w:r w:rsidRPr="00ED5ED0">
        <w:rPr>
          <w:rFonts w:ascii="Arial" w:hAnsi="Arial" w:cs="Arial"/>
          <w:sz w:val="18"/>
          <w:szCs w:val="18"/>
        </w:rPr>
        <w:t xml:space="preserve">Conforme al anterior recuento histórico es dable concluir que la determinación de la Jueza de primera instancia fue atinada, pues fue la misma entidad demandada la que el 17 de octubre de 2014 reconoció expresamente el derecho que le asistía al señor Hernán Salcedo de percibir la pensión de vejez desde el 1º de septiembre de 2011; es decir, aceptó que aquella reclamación que aquel introdujo el 2 de septiembre de 2011 era fundada, sin embargo, nunca la contestó, induciéndolo  -con su tardanza - a que presentara una nueva solicitud el 25 de noviembre de 2013, que derivó en el reconocimiento de la pensión pero sólo a partir del 1º de mayo de 2014, situación que obligó al promotor del litigio a interponer recurso de reposición para que se le reconociera la gracia pensional retroactivamente y con los intereses moratorios derivados de la demora en el pago de las mesadas pensionales, a lo que, en efecto, accedió la administradora del régimen de pensiones a través de la Resolución </w:t>
      </w:r>
      <w:proofErr w:type="spellStart"/>
      <w:r w:rsidRPr="00ED5ED0">
        <w:rPr>
          <w:rFonts w:ascii="Arial" w:hAnsi="Arial" w:cs="Arial"/>
          <w:sz w:val="18"/>
          <w:szCs w:val="18"/>
        </w:rPr>
        <w:t>GNR</w:t>
      </w:r>
      <w:proofErr w:type="spellEnd"/>
      <w:r w:rsidRPr="00ED5ED0">
        <w:rPr>
          <w:rFonts w:ascii="Arial" w:hAnsi="Arial" w:cs="Arial"/>
          <w:sz w:val="18"/>
          <w:szCs w:val="18"/>
        </w:rPr>
        <w:t xml:space="preserve"> 372363 del de 2014, ordenando la inclusión del retroactivo en la nómina del mes de noviembre de dicha anualidad.</w:t>
      </w:r>
    </w:p>
    <w:p w:rsidR="00ED5ED0" w:rsidRPr="00ED5ED0" w:rsidRDefault="00ED5ED0" w:rsidP="00ED5ED0">
      <w:pPr>
        <w:pStyle w:val="Sinespaciado"/>
        <w:jc w:val="both"/>
        <w:rPr>
          <w:rFonts w:ascii="Arial" w:hAnsi="Arial" w:cs="Arial"/>
          <w:sz w:val="18"/>
          <w:szCs w:val="18"/>
        </w:rPr>
      </w:pPr>
    </w:p>
    <w:p w:rsidR="00ED5ED0" w:rsidRPr="00ED5ED0" w:rsidRDefault="00ED5ED0" w:rsidP="00ED5ED0">
      <w:pPr>
        <w:pStyle w:val="Sinespaciado"/>
        <w:jc w:val="both"/>
        <w:rPr>
          <w:rFonts w:ascii="Arial" w:hAnsi="Arial" w:cs="Arial"/>
          <w:sz w:val="18"/>
          <w:szCs w:val="18"/>
        </w:rPr>
      </w:pPr>
      <w:r w:rsidRPr="00ED5ED0">
        <w:rPr>
          <w:rFonts w:ascii="Arial" w:hAnsi="Arial" w:cs="Arial"/>
          <w:sz w:val="18"/>
          <w:szCs w:val="18"/>
        </w:rPr>
        <w:t xml:space="preserve">De lo anterior emerge un hecho objetivo, cual es la tardanza en el reconocimiento de la pensión desde el momento en que correspondía, sin que puedan atenderse situaciones distintas para efectos de su contabilización, tal como lo resaltó la Jueza de instancia, pues si bien se adelantó una investigación administrativa para efectos de esclarecer la razón en el cambio de salario, ello no era óbice para que se cancelara la prestación oportunamente y desde la fecha que correspondía, no obstante, se introdujo al actor en un periplo administrativo que, al final, tres años después, terminó reconociéndole el derecho tal como él lo había procurado; por lo que no existe hesitación respecto a que los intereses moratorios pretendidos se causaron a favor del señor Salcedo Cabal una vez venció el término legal con el que contaba la demandada para conceder la pensión.  </w:t>
      </w:r>
    </w:p>
    <w:p w:rsidR="00ED5ED0" w:rsidRPr="00ED5ED0" w:rsidRDefault="00ED5ED0" w:rsidP="00ED5ED0">
      <w:pPr>
        <w:pStyle w:val="Sinespaciado"/>
        <w:jc w:val="both"/>
        <w:rPr>
          <w:rFonts w:ascii="Arial" w:hAnsi="Arial" w:cs="Arial"/>
          <w:sz w:val="18"/>
          <w:szCs w:val="18"/>
        </w:rPr>
      </w:pPr>
    </w:p>
    <w:p w:rsidR="00ED5ED0" w:rsidRPr="00ED5ED0" w:rsidRDefault="00ED5ED0" w:rsidP="00ED5ED0">
      <w:pPr>
        <w:pStyle w:val="Sinespaciado"/>
        <w:jc w:val="both"/>
        <w:rPr>
          <w:rFonts w:ascii="Arial" w:hAnsi="Arial" w:cs="Arial"/>
          <w:sz w:val="18"/>
          <w:szCs w:val="18"/>
        </w:rPr>
      </w:pPr>
      <w:r w:rsidRPr="00ED5ED0">
        <w:rPr>
          <w:rFonts w:ascii="Arial" w:hAnsi="Arial" w:cs="Arial"/>
          <w:sz w:val="18"/>
          <w:szCs w:val="18"/>
        </w:rPr>
        <w:t xml:space="preserve">En cuanto a la fecha de causación de los rubros en cuestión, debe indicarse que se contabilizan desde el 3 de enero de 2012, pues los 4 meses con los que contaba la demandada para reconocer la prestación vencieron el día anterior, es decir el 2 de enero de 2012; por lo que son 1018 días en mora los transcurridos hasta el 31 de octubre de 2014 y no 1020 como lo determinó la operadora jurídica de instancia. </w:t>
      </w:r>
      <w:r w:rsidRPr="00ED5ED0">
        <w:rPr>
          <w:rFonts w:ascii="Arial" w:hAnsi="Arial" w:cs="Arial"/>
          <w:sz w:val="18"/>
          <w:szCs w:val="18"/>
        </w:rPr>
        <w:t xml:space="preserve">  </w:t>
      </w:r>
    </w:p>
    <w:p w:rsidR="004F7362" w:rsidRPr="00ED5ED0" w:rsidRDefault="004F7362" w:rsidP="004F7362">
      <w:pPr>
        <w:pStyle w:val="Puesto"/>
        <w:spacing w:line="240" w:lineRule="auto"/>
        <w:ind w:left="2124"/>
        <w:jc w:val="both"/>
        <w:rPr>
          <w:b w:val="0"/>
          <w:sz w:val="18"/>
          <w:szCs w:val="18"/>
        </w:rPr>
      </w:pPr>
    </w:p>
    <w:p w:rsidR="004F7362" w:rsidRDefault="004F7362" w:rsidP="004F7362">
      <w:pPr>
        <w:pStyle w:val="Ttulo4"/>
        <w:widowControl w:val="0"/>
        <w:tabs>
          <w:tab w:val="clear" w:pos="0"/>
        </w:tabs>
        <w:rPr>
          <w:rFonts w:ascii="Tahoma" w:hAnsi="Tahoma" w:cs="Tahoma"/>
          <w:bCs/>
          <w:szCs w:val="24"/>
          <w:lang w:eastAsia="es-MX"/>
        </w:rPr>
      </w:pPr>
    </w:p>
    <w:p w:rsidR="00DC39FE" w:rsidRPr="00DC39FE" w:rsidRDefault="00DC39FE" w:rsidP="00DC39FE">
      <w:pPr>
        <w:rPr>
          <w:lang w:eastAsia="es-MX"/>
        </w:rPr>
      </w:pPr>
    </w:p>
    <w:p w:rsidR="004F7362" w:rsidRPr="00EA3EFB" w:rsidRDefault="004F7362" w:rsidP="004F736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4F7362" w:rsidRPr="00EA3EFB" w:rsidRDefault="004F7362" w:rsidP="004F736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4F7362" w:rsidRPr="00EA3EFB" w:rsidRDefault="004F7362" w:rsidP="00C376E7">
      <w:pPr>
        <w:jc w:val="center"/>
        <w:rPr>
          <w:rFonts w:ascii="Tahoma" w:hAnsi="Tahoma" w:cs="Tahoma"/>
          <w:bCs/>
        </w:rPr>
      </w:pPr>
    </w:p>
    <w:p w:rsidR="004F7362" w:rsidRPr="00EA3EFB" w:rsidRDefault="004F7362" w:rsidP="004F736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4F7362" w:rsidRPr="00EA3EFB" w:rsidRDefault="004F7362" w:rsidP="004F7362">
      <w:pPr>
        <w:jc w:val="center"/>
        <w:rPr>
          <w:rFonts w:ascii="Tahoma" w:hAnsi="Tahoma" w:cs="Tahoma"/>
          <w:b/>
          <w:sz w:val="22"/>
          <w:szCs w:val="22"/>
        </w:rPr>
      </w:pPr>
    </w:p>
    <w:p w:rsidR="004F7362" w:rsidRPr="00EA3EFB" w:rsidRDefault="004F7362" w:rsidP="004F7362">
      <w:pPr>
        <w:jc w:val="center"/>
        <w:rPr>
          <w:rFonts w:ascii="Tahoma" w:hAnsi="Tahoma" w:cs="Tahoma"/>
          <w:b/>
          <w:sz w:val="22"/>
          <w:szCs w:val="22"/>
        </w:rPr>
      </w:pPr>
      <w:r w:rsidRPr="00EA3EFB">
        <w:rPr>
          <w:rFonts w:ascii="Tahoma" w:hAnsi="Tahoma" w:cs="Tahoma"/>
          <w:b/>
          <w:sz w:val="22"/>
          <w:szCs w:val="22"/>
        </w:rPr>
        <w:t>Acta No. ____</w:t>
      </w:r>
    </w:p>
    <w:p w:rsidR="004F7362" w:rsidRPr="00EA3EFB" w:rsidRDefault="004F7362" w:rsidP="004F7362">
      <w:pPr>
        <w:pStyle w:val="Sinespaciado"/>
        <w:rPr>
          <w:sz w:val="22"/>
          <w:szCs w:val="22"/>
        </w:rPr>
      </w:pPr>
    </w:p>
    <w:p w:rsidR="004F7362" w:rsidRPr="00EA3EFB" w:rsidRDefault="004F7362" w:rsidP="004F736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4F7362" w:rsidRPr="00EA3EFB" w:rsidRDefault="004F7362" w:rsidP="004F7362">
      <w:pPr>
        <w:pStyle w:val="Sinespaciado"/>
        <w:rPr>
          <w:sz w:val="22"/>
          <w:szCs w:val="22"/>
        </w:rPr>
      </w:pPr>
      <w:r w:rsidRPr="00EA3EFB">
        <w:rPr>
          <w:sz w:val="22"/>
          <w:szCs w:val="22"/>
        </w:rPr>
        <w:tab/>
        <w:t xml:space="preserve"> </w:t>
      </w:r>
    </w:p>
    <w:p w:rsidR="004F7362" w:rsidRPr="00EA3EFB" w:rsidRDefault="004F7362" w:rsidP="004F736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5569B4">
        <w:rPr>
          <w:rFonts w:ascii="Tahoma" w:hAnsi="Tahoma" w:cs="Tahoma"/>
          <w:sz w:val="22"/>
          <w:szCs w:val="22"/>
          <w:lang w:val="es-ES_tradnl"/>
        </w:rPr>
        <w:t>8</w:t>
      </w:r>
      <w:r w:rsidR="00BC6A82">
        <w:rPr>
          <w:rFonts w:ascii="Tahoma" w:hAnsi="Tahoma" w:cs="Tahoma"/>
          <w:sz w:val="22"/>
          <w:szCs w:val="22"/>
          <w:lang w:val="es-ES_tradnl"/>
        </w:rPr>
        <w:t>:</w:t>
      </w:r>
      <w:r w:rsidR="005569B4">
        <w:rPr>
          <w:rFonts w:ascii="Tahoma" w:hAnsi="Tahoma" w:cs="Tahoma"/>
          <w:sz w:val="22"/>
          <w:szCs w:val="22"/>
          <w:lang w:val="es-ES_tradnl"/>
        </w:rPr>
        <w:t>15</w:t>
      </w:r>
      <w:r w:rsidRPr="00EA3EFB">
        <w:rPr>
          <w:rFonts w:ascii="Tahoma" w:hAnsi="Tahoma" w:cs="Tahoma"/>
          <w:sz w:val="22"/>
          <w:szCs w:val="22"/>
          <w:lang w:val="es-ES_tradnl"/>
        </w:rPr>
        <w:t xml:space="preserve"> a.m. de hoy, </w:t>
      </w:r>
      <w:r>
        <w:rPr>
          <w:rFonts w:ascii="Tahoma" w:hAnsi="Tahoma" w:cs="Tahoma"/>
          <w:sz w:val="22"/>
          <w:szCs w:val="22"/>
          <w:lang w:val="es-ES_tradnl"/>
        </w:rPr>
        <w:t xml:space="preserve">viernes </w:t>
      </w:r>
      <w:r w:rsidR="005569B4">
        <w:rPr>
          <w:rFonts w:ascii="Tahoma" w:hAnsi="Tahoma" w:cs="Tahoma"/>
          <w:sz w:val="22"/>
          <w:szCs w:val="22"/>
          <w:lang w:val="es-ES_tradnl"/>
        </w:rPr>
        <w:t xml:space="preserve">13 </w:t>
      </w:r>
      <w:r>
        <w:rPr>
          <w:rFonts w:ascii="Tahoma" w:hAnsi="Tahoma" w:cs="Tahoma"/>
          <w:sz w:val="22"/>
          <w:szCs w:val="22"/>
          <w:lang w:val="es-ES_tradnl"/>
        </w:rPr>
        <w:t>de ju</w:t>
      </w:r>
      <w:r w:rsidR="00BC6A82">
        <w:rPr>
          <w:rFonts w:ascii="Tahoma" w:hAnsi="Tahoma" w:cs="Tahoma"/>
          <w:sz w:val="22"/>
          <w:szCs w:val="22"/>
          <w:lang w:val="es-ES_tradnl"/>
        </w:rPr>
        <w:t>l</w:t>
      </w:r>
      <w:r>
        <w:rPr>
          <w:rFonts w:ascii="Tahoma" w:hAnsi="Tahoma" w:cs="Tahoma"/>
          <w:sz w:val="22"/>
          <w:szCs w:val="22"/>
          <w:lang w:val="es-ES_tradnl"/>
        </w:rPr>
        <w:t xml:space="preserve">io </w:t>
      </w:r>
      <w:r w:rsidRPr="00EA3EFB">
        <w:rPr>
          <w:rFonts w:ascii="Tahoma" w:hAnsi="Tahoma" w:cs="Tahoma"/>
          <w:sz w:val="22"/>
          <w:szCs w:val="22"/>
          <w:lang w:val="es-ES_tradnl"/>
        </w:rPr>
        <w:t>de 201</w:t>
      </w:r>
      <w:r>
        <w:rPr>
          <w:rFonts w:ascii="Tahoma" w:hAnsi="Tahoma" w:cs="Tahoma"/>
          <w:sz w:val="22"/>
          <w:szCs w:val="22"/>
          <w:lang w:val="es-ES_tradnl"/>
        </w:rPr>
        <w:t>8</w:t>
      </w:r>
      <w:r w:rsidRPr="00EA3EFB">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5569B4">
        <w:rPr>
          <w:rFonts w:ascii="Tahoma" w:hAnsi="Tahoma" w:cs="Tahoma"/>
          <w:b/>
          <w:sz w:val="22"/>
          <w:szCs w:val="22"/>
          <w:lang w:val="es-ES_tradnl"/>
        </w:rPr>
        <w:t xml:space="preserve">Hernán Salcedo Cabal </w:t>
      </w:r>
      <w:r w:rsidRPr="00EA3EFB">
        <w:rPr>
          <w:rFonts w:ascii="Tahoma" w:hAnsi="Tahoma" w:cs="Tahoma"/>
          <w:sz w:val="22"/>
          <w:szCs w:val="22"/>
          <w:lang w:val="es-ES_tradnl"/>
        </w:rPr>
        <w:t xml:space="preserve">en contra de la </w:t>
      </w:r>
      <w:r w:rsidRPr="00243E9F">
        <w:rPr>
          <w:rFonts w:ascii="Tahoma" w:hAnsi="Tahoma" w:cs="Tahoma"/>
          <w:b/>
          <w:sz w:val="22"/>
          <w:szCs w:val="22"/>
          <w:lang w:val="es-ES_tradnl"/>
        </w:rPr>
        <w:t>Administradora Colombi</w:t>
      </w:r>
      <w:r>
        <w:rPr>
          <w:rFonts w:ascii="Tahoma" w:hAnsi="Tahoma" w:cs="Tahoma"/>
          <w:b/>
          <w:sz w:val="22"/>
          <w:szCs w:val="22"/>
          <w:lang w:val="es-ES_tradnl"/>
        </w:rPr>
        <w:t>ana de Pensiones – Colpensiones</w:t>
      </w:r>
      <w:r w:rsidRPr="00DA7C2A">
        <w:rPr>
          <w:rFonts w:ascii="Tahoma" w:hAnsi="Tahoma" w:cs="Tahoma"/>
          <w:sz w:val="22"/>
          <w:szCs w:val="22"/>
          <w:lang w:val="es-ES_tradnl"/>
        </w:rPr>
        <w:t>.</w:t>
      </w:r>
    </w:p>
    <w:p w:rsidR="004F7362" w:rsidRPr="00EA3EFB" w:rsidRDefault="004F7362" w:rsidP="00C376E7">
      <w:pPr>
        <w:pStyle w:val="Sinespaciado"/>
        <w:rPr>
          <w:sz w:val="22"/>
          <w:szCs w:val="22"/>
          <w:lang w:val="es-ES_tradnl"/>
        </w:rPr>
      </w:pPr>
    </w:p>
    <w:p w:rsidR="004F7362" w:rsidRDefault="004F7362" w:rsidP="004F736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F7362" w:rsidRPr="00444B07" w:rsidRDefault="004F7362" w:rsidP="00C376E7">
      <w:pPr>
        <w:ind w:firstLine="709"/>
        <w:jc w:val="both"/>
        <w:rPr>
          <w:rFonts w:ascii="Tahoma" w:hAnsi="Tahoma" w:cs="Tahoma"/>
          <w:sz w:val="20"/>
          <w:szCs w:val="20"/>
          <w:lang w:val="es-ES_tradnl"/>
        </w:rPr>
      </w:pPr>
    </w:p>
    <w:p w:rsidR="004F7362" w:rsidRPr="00EA3EFB" w:rsidRDefault="004F7362" w:rsidP="004F736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4F7362" w:rsidRPr="00EA3EFB" w:rsidRDefault="004F7362" w:rsidP="004F7362">
      <w:pPr>
        <w:pStyle w:val="Sinespaciado"/>
        <w:rPr>
          <w:sz w:val="22"/>
          <w:szCs w:val="22"/>
        </w:rPr>
      </w:pPr>
    </w:p>
    <w:p w:rsidR="004F7362" w:rsidRPr="00EA3EFB" w:rsidRDefault="004F7362" w:rsidP="004F736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4F7362" w:rsidRPr="00EA3EFB" w:rsidRDefault="004F7362" w:rsidP="004F7362">
      <w:pPr>
        <w:pStyle w:val="Sinespaciado"/>
        <w:rPr>
          <w:sz w:val="22"/>
          <w:szCs w:val="22"/>
        </w:rPr>
      </w:pPr>
    </w:p>
    <w:p w:rsidR="004F7362" w:rsidRPr="00EA3EFB" w:rsidRDefault="004F7362" w:rsidP="004F736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lastRenderedPageBreak/>
        <w:t>S E N T E N C I A</w:t>
      </w:r>
    </w:p>
    <w:p w:rsidR="004F7362" w:rsidRPr="00EA3EFB" w:rsidRDefault="004F7362" w:rsidP="004F7362">
      <w:pPr>
        <w:pStyle w:val="Sinespaciado"/>
        <w:rPr>
          <w:sz w:val="22"/>
          <w:szCs w:val="22"/>
        </w:rPr>
      </w:pPr>
    </w:p>
    <w:p w:rsidR="004F7362" w:rsidRDefault="004F7362" w:rsidP="004F736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en las alegaciones fueron tenidos en cuenta en la discusión del proyecto, procede la Sala a </w:t>
      </w:r>
      <w:r>
        <w:rPr>
          <w:rFonts w:ascii="Tahoma" w:hAnsi="Tahoma" w:cs="Tahoma"/>
          <w:sz w:val="22"/>
          <w:szCs w:val="22"/>
        </w:rPr>
        <w:t>re</w:t>
      </w:r>
      <w:r w:rsidR="005569B4">
        <w:rPr>
          <w:rFonts w:ascii="Tahoma" w:hAnsi="Tahoma" w:cs="Tahoma"/>
          <w:sz w:val="22"/>
          <w:szCs w:val="22"/>
        </w:rPr>
        <w:t xml:space="preserve">visar en sede de consulta </w:t>
      </w:r>
      <w:r>
        <w:rPr>
          <w:rFonts w:ascii="Tahoma" w:hAnsi="Tahoma" w:cs="Tahoma"/>
          <w:sz w:val="22"/>
          <w:szCs w:val="22"/>
        </w:rPr>
        <w:t xml:space="preserve">la </w:t>
      </w:r>
      <w:r w:rsidRPr="00EA3EFB">
        <w:rPr>
          <w:rFonts w:ascii="Tahoma" w:hAnsi="Tahoma" w:cs="Tahoma"/>
          <w:sz w:val="22"/>
          <w:szCs w:val="22"/>
        </w:rPr>
        <w:t xml:space="preserve">sentencia emitida por el Juzgado </w:t>
      </w:r>
      <w:r w:rsidR="005569B4">
        <w:rPr>
          <w:rFonts w:ascii="Tahoma" w:hAnsi="Tahoma" w:cs="Tahoma"/>
          <w:sz w:val="22"/>
          <w:szCs w:val="22"/>
        </w:rPr>
        <w:t xml:space="preserve">Quinto </w:t>
      </w:r>
      <w:r>
        <w:rPr>
          <w:rFonts w:ascii="Tahoma" w:hAnsi="Tahoma" w:cs="Tahoma"/>
          <w:sz w:val="22"/>
          <w:szCs w:val="22"/>
        </w:rPr>
        <w:t xml:space="preserve">Laboral del Circuito de Pereira el </w:t>
      </w:r>
      <w:r w:rsidR="005569B4">
        <w:rPr>
          <w:rFonts w:ascii="Tahoma" w:hAnsi="Tahoma" w:cs="Tahoma"/>
          <w:sz w:val="22"/>
          <w:szCs w:val="22"/>
        </w:rPr>
        <w:t xml:space="preserve">26 de septiembre </w:t>
      </w:r>
      <w:r>
        <w:rPr>
          <w:rFonts w:ascii="Tahoma" w:hAnsi="Tahoma" w:cs="Tahoma"/>
          <w:sz w:val="22"/>
          <w:szCs w:val="22"/>
        </w:rPr>
        <w:t>de 2017</w:t>
      </w:r>
      <w:r w:rsidRPr="00EA3EFB">
        <w:rPr>
          <w:rFonts w:ascii="Tahoma" w:hAnsi="Tahoma" w:cs="Tahoma"/>
          <w:sz w:val="22"/>
          <w:szCs w:val="22"/>
        </w:rPr>
        <w:t>, dentro del proceso ordinario laboral reseñado con anterioridad.</w:t>
      </w:r>
    </w:p>
    <w:p w:rsidR="004F7362" w:rsidRPr="00EA3EFB" w:rsidRDefault="004F7362" w:rsidP="004F7362">
      <w:pPr>
        <w:widowControl w:val="0"/>
        <w:autoSpaceDE w:val="0"/>
        <w:autoSpaceDN w:val="0"/>
        <w:adjustRightInd w:val="0"/>
        <w:spacing w:line="276" w:lineRule="auto"/>
        <w:ind w:firstLine="708"/>
        <w:jc w:val="both"/>
        <w:rPr>
          <w:rFonts w:ascii="Tahoma" w:hAnsi="Tahoma" w:cs="Tahoma"/>
          <w:sz w:val="22"/>
          <w:szCs w:val="22"/>
        </w:rPr>
      </w:pPr>
    </w:p>
    <w:p w:rsidR="004F7362" w:rsidRPr="00EA3EFB" w:rsidRDefault="004F7362" w:rsidP="004F736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4F7362" w:rsidRPr="00EA3EFB" w:rsidRDefault="004F7362" w:rsidP="004F7362">
      <w:pPr>
        <w:pStyle w:val="Sinespaciado"/>
        <w:spacing w:line="276" w:lineRule="auto"/>
        <w:rPr>
          <w:sz w:val="22"/>
          <w:szCs w:val="22"/>
        </w:rPr>
      </w:pPr>
    </w:p>
    <w:p w:rsidR="005569B4" w:rsidRDefault="004F7362" w:rsidP="004F7362">
      <w:pPr>
        <w:tabs>
          <w:tab w:val="left" w:pos="567"/>
        </w:tabs>
        <w:spacing w:line="276" w:lineRule="auto"/>
        <w:jc w:val="both"/>
        <w:rPr>
          <w:rFonts w:ascii="Tahoma" w:hAnsi="Tahoma" w:cs="Tahoma"/>
          <w:sz w:val="22"/>
          <w:szCs w:val="22"/>
        </w:rPr>
      </w:pPr>
      <w:r w:rsidRPr="0011248A">
        <w:rPr>
          <w:rFonts w:ascii="Tahoma" w:hAnsi="Tahoma" w:cs="Tahoma"/>
          <w:sz w:val="22"/>
          <w:szCs w:val="22"/>
        </w:rPr>
        <w:tab/>
        <w:t>De conformidad con los fundamentos de la sentencia de primera instancia le corresponde a la Sala determinar</w:t>
      </w:r>
      <w:r>
        <w:rPr>
          <w:rFonts w:ascii="Tahoma" w:hAnsi="Tahoma" w:cs="Tahoma"/>
          <w:sz w:val="22"/>
          <w:szCs w:val="22"/>
        </w:rPr>
        <w:t xml:space="preserve"> si </w:t>
      </w:r>
      <w:r w:rsidR="005569B4">
        <w:rPr>
          <w:rFonts w:ascii="Tahoma" w:hAnsi="Tahoma" w:cs="Tahoma"/>
          <w:sz w:val="22"/>
          <w:szCs w:val="22"/>
        </w:rPr>
        <w:t>al demandante le asiste derecho a percibir los intereses moratorios consagrados en el artículo 141 de la Ley 100 de 1993 y, en caso afirmativo, a partir de cuándo se deben reconocer los mismos.</w:t>
      </w:r>
    </w:p>
    <w:p w:rsidR="005569B4" w:rsidRDefault="005569B4" w:rsidP="00C376E7">
      <w:pPr>
        <w:tabs>
          <w:tab w:val="left" w:pos="567"/>
        </w:tabs>
        <w:jc w:val="both"/>
        <w:rPr>
          <w:rFonts w:ascii="Tahoma" w:hAnsi="Tahoma" w:cs="Tahoma"/>
          <w:sz w:val="22"/>
          <w:szCs w:val="22"/>
        </w:rPr>
      </w:pPr>
    </w:p>
    <w:p w:rsidR="004F7362" w:rsidRPr="00EA3EFB" w:rsidRDefault="004F7362" w:rsidP="004F7362">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F7362" w:rsidRDefault="004F7362" w:rsidP="004F7362">
      <w:pPr>
        <w:widowControl w:val="0"/>
        <w:autoSpaceDE w:val="0"/>
        <w:autoSpaceDN w:val="0"/>
        <w:adjustRightInd w:val="0"/>
        <w:ind w:firstLine="708"/>
        <w:jc w:val="both"/>
        <w:rPr>
          <w:rFonts w:ascii="Tahoma" w:hAnsi="Tahoma" w:cs="Tahoma"/>
          <w:sz w:val="22"/>
          <w:szCs w:val="22"/>
        </w:rPr>
      </w:pPr>
    </w:p>
    <w:p w:rsidR="00D9387C" w:rsidRDefault="004F7362" w:rsidP="004F7362">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Solicita </w:t>
      </w:r>
      <w:r w:rsidR="00D9387C">
        <w:rPr>
          <w:rFonts w:ascii="Tahoma" w:hAnsi="Tahoma" w:cs="Tahoma"/>
          <w:sz w:val="22"/>
          <w:szCs w:val="22"/>
        </w:rPr>
        <w:t>el</w:t>
      </w:r>
      <w:r>
        <w:rPr>
          <w:rFonts w:ascii="Tahoma" w:hAnsi="Tahoma" w:cs="Tahoma"/>
          <w:sz w:val="22"/>
          <w:szCs w:val="22"/>
        </w:rPr>
        <w:t xml:space="preserve"> demandante </w:t>
      </w:r>
      <w:r w:rsidRPr="00AE7E51">
        <w:rPr>
          <w:rFonts w:ascii="Tahoma" w:hAnsi="Tahoma" w:cs="Tahoma"/>
          <w:sz w:val="22"/>
          <w:szCs w:val="22"/>
        </w:rPr>
        <w:t xml:space="preserve">que se </w:t>
      </w:r>
      <w:r>
        <w:rPr>
          <w:rFonts w:ascii="Tahoma" w:hAnsi="Tahoma" w:cs="Tahoma"/>
          <w:sz w:val="22"/>
          <w:szCs w:val="22"/>
        </w:rPr>
        <w:t xml:space="preserve">condene a Colpensiones, previa declaración del derecho, a que le reconozca y pague </w:t>
      </w:r>
      <w:r w:rsidR="0015344C">
        <w:rPr>
          <w:rFonts w:ascii="Tahoma" w:hAnsi="Tahoma" w:cs="Tahoma"/>
          <w:sz w:val="22"/>
          <w:szCs w:val="22"/>
        </w:rPr>
        <w:t>l</w:t>
      </w:r>
      <w:r w:rsidR="005569B4">
        <w:rPr>
          <w:rFonts w:ascii="Tahoma" w:hAnsi="Tahoma" w:cs="Tahoma"/>
          <w:sz w:val="22"/>
          <w:szCs w:val="22"/>
        </w:rPr>
        <w:t>os intereses moratorios de que trata el artículo 141 de la Ley 100 de 1993</w:t>
      </w:r>
      <w:r w:rsidR="00D9387C">
        <w:rPr>
          <w:rFonts w:ascii="Tahoma" w:hAnsi="Tahoma" w:cs="Tahoma"/>
          <w:sz w:val="22"/>
          <w:szCs w:val="22"/>
        </w:rPr>
        <w:t xml:space="preserve">, causados desde el 3 de enero de 2012 </w:t>
      </w:r>
      <w:r w:rsidR="002D0A94">
        <w:rPr>
          <w:rFonts w:ascii="Tahoma" w:hAnsi="Tahoma" w:cs="Tahoma"/>
          <w:sz w:val="22"/>
          <w:szCs w:val="22"/>
        </w:rPr>
        <w:t>hasta</w:t>
      </w:r>
      <w:r w:rsidR="00D9387C">
        <w:rPr>
          <w:rFonts w:ascii="Tahoma" w:hAnsi="Tahoma" w:cs="Tahoma"/>
          <w:sz w:val="22"/>
          <w:szCs w:val="22"/>
        </w:rPr>
        <w:t xml:space="preserve"> el 1º de diciembre de 2014, los cuales ascienden a la suma de $133.180.000. Asimismo, pide que se condene a la demandada al pago de la indexación y las costas procesales.</w:t>
      </w:r>
    </w:p>
    <w:p w:rsidR="005569B4" w:rsidRDefault="005569B4" w:rsidP="00C376E7">
      <w:pPr>
        <w:widowControl w:val="0"/>
        <w:autoSpaceDE w:val="0"/>
        <w:autoSpaceDN w:val="0"/>
        <w:adjustRightInd w:val="0"/>
        <w:ind w:firstLine="708"/>
        <w:jc w:val="both"/>
        <w:rPr>
          <w:rFonts w:ascii="Tahoma" w:hAnsi="Tahoma" w:cs="Tahoma"/>
          <w:sz w:val="22"/>
          <w:szCs w:val="22"/>
        </w:rPr>
      </w:pPr>
    </w:p>
    <w:p w:rsidR="00331017" w:rsidRDefault="004F7362" w:rsidP="00E1733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Sustenta su pedido</w:t>
      </w:r>
      <w:r w:rsidR="000951AF">
        <w:rPr>
          <w:rFonts w:ascii="Tahoma" w:hAnsi="Tahoma" w:cs="Tahoma"/>
          <w:sz w:val="22"/>
          <w:szCs w:val="22"/>
        </w:rPr>
        <w:t xml:space="preserve"> aduciendo que </w:t>
      </w:r>
      <w:r w:rsidR="00331017">
        <w:rPr>
          <w:rFonts w:ascii="Tahoma" w:hAnsi="Tahoma" w:cs="Tahoma"/>
          <w:sz w:val="22"/>
          <w:szCs w:val="22"/>
        </w:rPr>
        <w:t>el 2 de septiembre de 2011 solicitó ante el I.S.S. el reconocimiento de su pensión de vejez, petición que nunca fue resuelta. Agrega</w:t>
      </w:r>
      <w:r w:rsidR="00E17333">
        <w:rPr>
          <w:rFonts w:ascii="Tahoma" w:hAnsi="Tahoma" w:cs="Tahoma"/>
          <w:sz w:val="22"/>
          <w:szCs w:val="22"/>
        </w:rPr>
        <w:t xml:space="preserve"> que el 25 de noviembre de 2013 reclamó nuevamente la prestación</w:t>
      </w:r>
      <w:r w:rsidR="00740DD0">
        <w:rPr>
          <w:rFonts w:ascii="Tahoma" w:hAnsi="Tahoma" w:cs="Tahoma"/>
          <w:sz w:val="22"/>
          <w:szCs w:val="22"/>
        </w:rPr>
        <w:t xml:space="preserve"> en mención</w:t>
      </w:r>
      <w:r w:rsidR="00E17333">
        <w:rPr>
          <w:rFonts w:ascii="Tahoma" w:hAnsi="Tahoma" w:cs="Tahoma"/>
          <w:sz w:val="22"/>
          <w:szCs w:val="22"/>
        </w:rPr>
        <w:t>, la cual fue concedida mediante la Resolución GNR 145248 del 28 de abril de 2014</w:t>
      </w:r>
      <w:r w:rsidR="00A06604">
        <w:rPr>
          <w:rFonts w:ascii="Tahoma" w:hAnsi="Tahoma" w:cs="Tahoma"/>
          <w:sz w:val="22"/>
          <w:szCs w:val="22"/>
        </w:rPr>
        <w:t>, a partir del 1º de mayo de esa anualidad, en cuantía de $7.133.295</w:t>
      </w:r>
      <w:r w:rsidR="00740DD0">
        <w:rPr>
          <w:rFonts w:ascii="Tahoma" w:hAnsi="Tahoma" w:cs="Tahoma"/>
          <w:sz w:val="22"/>
          <w:szCs w:val="22"/>
        </w:rPr>
        <w:t xml:space="preserve"> y sin retroactivo alguno.</w:t>
      </w:r>
    </w:p>
    <w:p w:rsidR="00740DD0" w:rsidRDefault="00740DD0" w:rsidP="00C376E7">
      <w:pPr>
        <w:widowControl w:val="0"/>
        <w:autoSpaceDE w:val="0"/>
        <w:autoSpaceDN w:val="0"/>
        <w:adjustRightInd w:val="0"/>
        <w:ind w:firstLine="708"/>
        <w:jc w:val="both"/>
        <w:rPr>
          <w:rFonts w:ascii="Tahoma" w:hAnsi="Tahoma" w:cs="Tahoma"/>
          <w:sz w:val="22"/>
          <w:szCs w:val="22"/>
        </w:rPr>
      </w:pPr>
    </w:p>
    <w:p w:rsidR="0044504E" w:rsidRDefault="00740DD0" w:rsidP="00E1733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w:t>
      </w:r>
      <w:r w:rsidR="00BC1B7A">
        <w:rPr>
          <w:rFonts w:ascii="Tahoma" w:hAnsi="Tahoma" w:cs="Tahoma"/>
          <w:sz w:val="22"/>
          <w:szCs w:val="22"/>
        </w:rPr>
        <w:t>a través de la Resolución GNR 372363 del 17 de octubre de 2014 se modificó el aludido acto, concediéndose la pensión desde el 1º de septiembre de 2011, en cuantía mensual de $6.873.481</w:t>
      </w:r>
      <w:r w:rsidR="0044504E">
        <w:rPr>
          <w:rFonts w:ascii="Tahoma" w:hAnsi="Tahoma" w:cs="Tahoma"/>
          <w:sz w:val="22"/>
          <w:szCs w:val="22"/>
        </w:rPr>
        <w:t xml:space="preserve">, con un retroactivo de $213.879.090, incluido en la nómina del mes de noviembre de 2014. </w:t>
      </w:r>
    </w:p>
    <w:p w:rsidR="00B067C3" w:rsidRDefault="00B067C3" w:rsidP="00C376E7">
      <w:pPr>
        <w:widowControl w:val="0"/>
        <w:autoSpaceDE w:val="0"/>
        <w:autoSpaceDN w:val="0"/>
        <w:adjustRightInd w:val="0"/>
        <w:ind w:firstLine="708"/>
        <w:jc w:val="both"/>
        <w:rPr>
          <w:rFonts w:ascii="Tahoma" w:hAnsi="Tahoma" w:cs="Tahoma"/>
          <w:sz w:val="22"/>
          <w:szCs w:val="22"/>
        </w:rPr>
      </w:pPr>
    </w:p>
    <w:p w:rsidR="00BC1B7A" w:rsidRDefault="0044504E" w:rsidP="00E1733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Manifiesta que Colpensiones pagó en diciembre de 2014 la suma de $251.470.663</w:t>
      </w:r>
      <w:r w:rsidR="005D0A21">
        <w:rPr>
          <w:rFonts w:ascii="Tahoma" w:hAnsi="Tahoma" w:cs="Tahoma"/>
          <w:sz w:val="22"/>
          <w:szCs w:val="22"/>
        </w:rPr>
        <w:t>,</w:t>
      </w:r>
      <w:r w:rsidR="004176AE">
        <w:rPr>
          <w:rFonts w:ascii="Tahoma" w:hAnsi="Tahoma" w:cs="Tahoma"/>
          <w:sz w:val="22"/>
          <w:szCs w:val="22"/>
        </w:rPr>
        <w:t xml:space="preserve"> y que el 18 de noviembre de 2015 </w:t>
      </w:r>
      <w:r w:rsidR="005D0A21">
        <w:rPr>
          <w:rFonts w:ascii="Tahoma" w:hAnsi="Tahoma" w:cs="Tahoma"/>
          <w:sz w:val="22"/>
          <w:szCs w:val="22"/>
        </w:rPr>
        <w:t xml:space="preserve">él </w:t>
      </w:r>
      <w:r w:rsidR="004176AE">
        <w:rPr>
          <w:rFonts w:ascii="Tahoma" w:hAnsi="Tahoma" w:cs="Tahoma"/>
          <w:sz w:val="22"/>
          <w:szCs w:val="22"/>
        </w:rPr>
        <w:t xml:space="preserve">presentó reclamación administrativa </w:t>
      </w:r>
      <w:r w:rsidR="00483781">
        <w:rPr>
          <w:rFonts w:ascii="Tahoma" w:hAnsi="Tahoma" w:cs="Tahoma"/>
          <w:sz w:val="22"/>
          <w:szCs w:val="22"/>
        </w:rPr>
        <w:t xml:space="preserve">ante esa entidad </w:t>
      </w:r>
      <w:r w:rsidR="004176AE">
        <w:rPr>
          <w:rFonts w:ascii="Tahoma" w:hAnsi="Tahoma" w:cs="Tahoma"/>
          <w:sz w:val="22"/>
          <w:szCs w:val="22"/>
        </w:rPr>
        <w:t>a efectos de que le reconociera los intereses de mora</w:t>
      </w:r>
      <w:r w:rsidR="00483781">
        <w:rPr>
          <w:rFonts w:ascii="Tahoma" w:hAnsi="Tahoma" w:cs="Tahoma"/>
          <w:sz w:val="22"/>
          <w:szCs w:val="22"/>
        </w:rPr>
        <w:t>; frente a lo cual, mediante oficio del mismo día se le informó que no había lugar dichos emolumentos por cuanto sus mesadas pensionales se ha</w:t>
      </w:r>
      <w:r w:rsidR="005D0A21">
        <w:rPr>
          <w:rFonts w:ascii="Tahoma" w:hAnsi="Tahoma" w:cs="Tahoma"/>
          <w:sz w:val="22"/>
          <w:szCs w:val="22"/>
        </w:rPr>
        <w:t>bía</w:t>
      </w:r>
      <w:r w:rsidR="00483781">
        <w:rPr>
          <w:rFonts w:ascii="Tahoma" w:hAnsi="Tahoma" w:cs="Tahoma"/>
          <w:sz w:val="22"/>
          <w:szCs w:val="22"/>
        </w:rPr>
        <w:t xml:space="preserve">n pagado </w:t>
      </w:r>
      <w:r w:rsidR="005D0A21">
        <w:rPr>
          <w:rFonts w:ascii="Tahoma" w:hAnsi="Tahoma" w:cs="Tahoma"/>
          <w:sz w:val="22"/>
          <w:szCs w:val="22"/>
        </w:rPr>
        <w:t>oportunamente.</w:t>
      </w:r>
    </w:p>
    <w:p w:rsidR="004F7362" w:rsidRDefault="004F7362" w:rsidP="00C376E7">
      <w:pPr>
        <w:widowControl w:val="0"/>
        <w:autoSpaceDE w:val="0"/>
        <w:autoSpaceDN w:val="0"/>
        <w:adjustRightInd w:val="0"/>
        <w:ind w:firstLine="708"/>
        <w:jc w:val="both"/>
        <w:rPr>
          <w:rFonts w:ascii="Tahoma" w:hAnsi="Tahoma" w:cs="Tahoma"/>
          <w:sz w:val="22"/>
          <w:szCs w:val="22"/>
        </w:rPr>
      </w:pPr>
    </w:p>
    <w:p w:rsidR="00B067C3" w:rsidRDefault="004F7362" w:rsidP="004F7362">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Colpensiones</w:t>
      </w:r>
      <w:r w:rsidR="007F04A0">
        <w:rPr>
          <w:rFonts w:ascii="Tahoma" w:hAnsi="Tahoma" w:cs="Tahoma"/>
          <w:sz w:val="22"/>
          <w:szCs w:val="22"/>
        </w:rPr>
        <w:t xml:space="preserve"> contestó la demanda manifestando que la solicitud presentada por el actor el 2 de septiembre de 2011 fue contestada el 28 de febrero de 2012, requiriéndolo para que se presentara ante el Departamento de Atención al Pensionado</w:t>
      </w:r>
      <w:r w:rsidR="00B067C3">
        <w:rPr>
          <w:rFonts w:ascii="Tahoma" w:hAnsi="Tahoma" w:cs="Tahoma"/>
          <w:sz w:val="22"/>
          <w:szCs w:val="22"/>
        </w:rPr>
        <w:t xml:space="preserve">, ya que se había iniciado investigación administrativa con ocasión de unos saltos de salario; </w:t>
      </w:r>
      <w:r w:rsidR="001D421D">
        <w:rPr>
          <w:rFonts w:ascii="Tahoma" w:hAnsi="Tahoma" w:cs="Tahoma"/>
          <w:sz w:val="22"/>
          <w:szCs w:val="22"/>
        </w:rPr>
        <w:t>agregó qu</w:t>
      </w:r>
      <w:r w:rsidR="00B067C3">
        <w:rPr>
          <w:rFonts w:ascii="Tahoma" w:hAnsi="Tahoma" w:cs="Tahoma"/>
          <w:sz w:val="22"/>
          <w:szCs w:val="22"/>
        </w:rPr>
        <w:t xml:space="preserve">e no le constaba que se hubiera cancelado al actor la suma de </w:t>
      </w:r>
      <w:r w:rsidR="001D421D">
        <w:rPr>
          <w:rFonts w:ascii="Tahoma" w:hAnsi="Tahoma" w:cs="Tahoma"/>
          <w:sz w:val="22"/>
          <w:szCs w:val="22"/>
        </w:rPr>
        <w:t>$251.470.663 y que en el oficio que dio respuesta a la reclamación presentada el 18 de noviembre de 2015 se expusieron más razones de las</w:t>
      </w:r>
      <w:r w:rsidR="002D0A94">
        <w:rPr>
          <w:rFonts w:ascii="Tahoma" w:hAnsi="Tahoma" w:cs="Tahoma"/>
          <w:sz w:val="22"/>
          <w:szCs w:val="22"/>
        </w:rPr>
        <w:t xml:space="preserve"> señaladas</w:t>
      </w:r>
      <w:r w:rsidR="001D421D">
        <w:rPr>
          <w:rFonts w:ascii="Tahoma" w:hAnsi="Tahoma" w:cs="Tahoma"/>
          <w:sz w:val="22"/>
          <w:szCs w:val="22"/>
        </w:rPr>
        <w:t xml:space="preserve"> en la demanda. Frente a los demás hechos manifestó que eran ciertos.</w:t>
      </w:r>
    </w:p>
    <w:p w:rsidR="001D421D" w:rsidRDefault="001D421D" w:rsidP="00C376E7">
      <w:pPr>
        <w:widowControl w:val="0"/>
        <w:autoSpaceDE w:val="0"/>
        <w:autoSpaceDN w:val="0"/>
        <w:adjustRightInd w:val="0"/>
        <w:ind w:firstLine="708"/>
        <w:jc w:val="both"/>
        <w:rPr>
          <w:rFonts w:ascii="Tahoma" w:hAnsi="Tahoma" w:cs="Tahoma"/>
          <w:sz w:val="22"/>
          <w:szCs w:val="22"/>
        </w:rPr>
      </w:pPr>
    </w:p>
    <w:p w:rsidR="001D421D" w:rsidRDefault="001D421D" w:rsidP="004F736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w:t>
      </w:r>
      <w:r w:rsidR="00BD14B9">
        <w:rPr>
          <w:rFonts w:ascii="Tahoma" w:hAnsi="Tahoma" w:cs="Tahoma"/>
          <w:sz w:val="22"/>
          <w:szCs w:val="22"/>
        </w:rPr>
        <w:t>opuso a la totalidad de las pretensiones de la demanda y propuso las excepciones de mérito que denominó “Inexistencia del derecho”</w:t>
      </w:r>
      <w:r w:rsidR="00742D3B">
        <w:rPr>
          <w:rFonts w:ascii="Tahoma" w:hAnsi="Tahoma" w:cs="Tahoma"/>
          <w:sz w:val="22"/>
          <w:szCs w:val="22"/>
        </w:rPr>
        <w:t>;</w:t>
      </w:r>
      <w:r w:rsidR="00BD14B9">
        <w:rPr>
          <w:rFonts w:ascii="Tahoma" w:hAnsi="Tahoma" w:cs="Tahoma"/>
          <w:sz w:val="22"/>
          <w:szCs w:val="22"/>
        </w:rPr>
        <w:t xml:space="preserve"> “Cobro de lo no debido”</w:t>
      </w:r>
      <w:r w:rsidR="00742D3B">
        <w:rPr>
          <w:rFonts w:ascii="Tahoma" w:hAnsi="Tahoma" w:cs="Tahoma"/>
          <w:sz w:val="22"/>
          <w:szCs w:val="22"/>
        </w:rPr>
        <w:t>;</w:t>
      </w:r>
      <w:r w:rsidR="00BD14B9">
        <w:rPr>
          <w:rFonts w:ascii="Tahoma" w:hAnsi="Tahoma" w:cs="Tahoma"/>
          <w:sz w:val="22"/>
          <w:szCs w:val="22"/>
        </w:rPr>
        <w:t xml:space="preserve"> “Buena fe”</w:t>
      </w:r>
      <w:r w:rsidR="00742D3B">
        <w:rPr>
          <w:rFonts w:ascii="Tahoma" w:hAnsi="Tahoma" w:cs="Tahoma"/>
          <w:sz w:val="22"/>
          <w:szCs w:val="22"/>
        </w:rPr>
        <w:t>; “Prescripción” y la “Innominada”.</w:t>
      </w:r>
    </w:p>
    <w:p w:rsidR="00B067C3" w:rsidRDefault="00B067C3" w:rsidP="00C376E7">
      <w:pPr>
        <w:widowControl w:val="0"/>
        <w:autoSpaceDE w:val="0"/>
        <w:autoSpaceDN w:val="0"/>
        <w:adjustRightInd w:val="0"/>
        <w:ind w:firstLine="708"/>
        <w:jc w:val="both"/>
        <w:rPr>
          <w:rFonts w:ascii="Tahoma" w:hAnsi="Tahoma" w:cs="Tahoma"/>
          <w:sz w:val="22"/>
          <w:szCs w:val="22"/>
        </w:rPr>
      </w:pPr>
    </w:p>
    <w:p w:rsidR="004F7362" w:rsidRPr="00EA3EFB" w:rsidRDefault="004F7362" w:rsidP="004F7362">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4F7362" w:rsidRPr="00EA3EFB" w:rsidRDefault="004F7362" w:rsidP="00C376E7">
      <w:pPr>
        <w:pStyle w:val="Sinespaciado"/>
        <w:rPr>
          <w:sz w:val="22"/>
          <w:szCs w:val="22"/>
        </w:rPr>
      </w:pPr>
    </w:p>
    <w:p w:rsidR="00C8399D" w:rsidRDefault="004F7362" w:rsidP="007970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 declaró</w:t>
      </w:r>
      <w:r w:rsidR="00C8399D">
        <w:rPr>
          <w:rFonts w:ascii="Tahoma" w:hAnsi="Tahoma" w:cs="Tahoma"/>
          <w:sz w:val="22"/>
          <w:szCs w:val="22"/>
        </w:rPr>
        <w:t xml:space="preserve"> no </w:t>
      </w:r>
      <w:r>
        <w:rPr>
          <w:rFonts w:ascii="Tahoma" w:hAnsi="Tahoma" w:cs="Tahoma"/>
          <w:sz w:val="22"/>
          <w:szCs w:val="22"/>
        </w:rPr>
        <w:t>probada</w:t>
      </w:r>
      <w:r w:rsidR="00C8399D">
        <w:rPr>
          <w:rFonts w:ascii="Tahoma" w:hAnsi="Tahoma" w:cs="Tahoma"/>
          <w:sz w:val="22"/>
          <w:szCs w:val="22"/>
        </w:rPr>
        <w:t>s</w:t>
      </w:r>
      <w:r>
        <w:rPr>
          <w:rFonts w:ascii="Tahoma" w:hAnsi="Tahoma" w:cs="Tahoma"/>
          <w:sz w:val="22"/>
          <w:szCs w:val="22"/>
        </w:rPr>
        <w:t xml:space="preserve"> la</w:t>
      </w:r>
      <w:r w:rsidR="00C8399D">
        <w:rPr>
          <w:rFonts w:ascii="Tahoma" w:hAnsi="Tahoma" w:cs="Tahoma"/>
          <w:sz w:val="22"/>
          <w:szCs w:val="22"/>
        </w:rPr>
        <w:t>s</w:t>
      </w:r>
      <w:r>
        <w:rPr>
          <w:rFonts w:ascii="Tahoma" w:hAnsi="Tahoma" w:cs="Tahoma"/>
          <w:sz w:val="22"/>
          <w:szCs w:val="22"/>
        </w:rPr>
        <w:t xml:space="preserve"> excepci</w:t>
      </w:r>
      <w:r w:rsidR="00C8399D">
        <w:rPr>
          <w:rFonts w:ascii="Tahoma" w:hAnsi="Tahoma" w:cs="Tahoma"/>
          <w:sz w:val="22"/>
          <w:szCs w:val="22"/>
        </w:rPr>
        <w:t>ones propuestas por</w:t>
      </w:r>
      <w:r w:rsidR="009E698C">
        <w:rPr>
          <w:rFonts w:ascii="Tahoma" w:hAnsi="Tahoma" w:cs="Tahoma"/>
          <w:sz w:val="22"/>
          <w:szCs w:val="22"/>
        </w:rPr>
        <w:t xml:space="preserve"> Colpensiones y, en consecuencia, condenó a dicha entidad a reconocer y pagar al actor la suma de $146.780.396 por </w:t>
      </w:r>
      <w:r w:rsidR="009E698C">
        <w:rPr>
          <w:rFonts w:ascii="Tahoma" w:hAnsi="Tahoma" w:cs="Tahoma"/>
          <w:sz w:val="22"/>
          <w:szCs w:val="22"/>
        </w:rPr>
        <w:lastRenderedPageBreak/>
        <w:t xml:space="preserve">concepto de intereses moratorios </w:t>
      </w:r>
      <w:r w:rsidR="008C7670">
        <w:rPr>
          <w:rFonts w:ascii="Tahoma" w:hAnsi="Tahoma" w:cs="Tahoma"/>
          <w:sz w:val="22"/>
          <w:szCs w:val="22"/>
        </w:rPr>
        <w:t>causados entre el 2 de enero de 2012 y el 31 de octubre de 2014</w:t>
      </w:r>
      <w:r w:rsidR="005529A8">
        <w:rPr>
          <w:rFonts w:ascii="Tahoma" w:hAnsi="Tahoma" w:cs="Tahoma"/>
          <w:sz w:val="22"/>
          <w:szCs w:val="22"/>
        </w:rPr>
        <w:t xml:space="preserve">,  </w:t>
      </w:r>
      <w:r w:rsidR="00E97265">
        <w:rPr>
          <w:rFonts w:ascii="Tahoma" w:hAnsi="Tahoma" w:cs="Tahoma"/>
          <w:sz w:val="22"/>
          <w:szCs w:val="22"/>
        </w:rPr>
        <w:t>sobre las mesadas</w:t>
      </w:r>
      <w:r w:rsidR="005529A8">
        <w:rPr>
          <w:rFonts w:ascii="Tahoma" w:hAnsi="Tahoma" w:cs="Tahoma"/>
          <w:sz w:val="22"/>
          <w:szCs w:val="22"/>
        </w:rPr>
        <w:t xml:space="preserve"> pensionales caus</w:t>
      </w:r>
      <w:r w:rsidR="00E97265">
        <w:rPr>
          <w:rFonts w:ascii="Tahoma" w:hAnsi="Tahoma" w:cs="Tahoma"/>
          <w:sz w:val="22"/>
          <w:szCs w:val="22"/>
        </w:rPr>
        <w:t xml:space="preserve">adas entre el 1º de septiembre de 2011 y el </w:t>
      </w:r>
      <w:r w:rsidR="008C7670">
        <w:rPr>
          <w:rFonts w:ascii="Tahoma" w:hAnsi="Tahoma" w:cs="Tahoma"/>
          <w:sz w:val="22"/>
          <w:szCs w:val="22"/>
        </w:rPr>
        <w:t>30 de abril de 2014</w:t>
      </w:r>
      <w:r w:rsidR="005529A8">
        <w:rPr>
          <w:rFonts w:ascii="Tahoma" w:hAnsi="Tahoma" w:cs="Tahoma"/>
          <w:sz w:val="22"/>
          <w:szCs w:val="22"/>
        </w:rPr>
        <w:t>.</w:t>
      </w:r>
    </w:p>
    <w:p w:rsidR="005529A8" w:rsidRDefault="005529A8" w:rsidP="00C376E7">
      <w:pPr>
        <w:widowControl w:val="0"/>
        <w:autoSpaceDE w:val="0"/>
        <w:autoSpaceDN w:val="0"/>
        <w:adjustRightInd w:val="0"/>
        <w:ind w:firstLine="708"/>
        <w:jc w:val="both"/>
        <w:rPr>
          <w:rFonts w:ascii="Tahoma" w:hAnsi="Tahoma" w:cs="Tahoma"/>
          <w:sz w:val="22"/>
          <w:szCs w:val="22"/>
        </w:rPr>
      </w:pPr>
    </w:p>
    <w:p w:rsidR="005529A8" w:rsidRDefault="00BD01F2" w:rsidP="007970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w:t>
      </w:r>
      <w:r w:rsidR="009728BB">
        <w:rPr>
          <w:rFonts w:ascii="Tahoma" w:hAnsi="Tahoma" w:cs="Tahoma"/>
          <w:sz w:val="22"/>
          <w:szCs w:val="22"/>
        </w:rPr>
        <w:t xml:space="preserve">parte, condenó a la entidad accionada al pago de las costas procesales en un 90% y </w:t>
      </w:r>
      <w:r>
        <w:rPr>
          <w:rFonts w:ascii="Tahoma" w:hAnsi="Tahoma" w:cs="Tahoma"/>
          <w:sz w:val="22"/>
          <w:szCs w:val="22"/>
        </w:rPr>
        <w:t>negó las demás pretensiones de la demanda.</w:t>
      </w:r>
    </w:p>
    <w:p w:rsidR="00BD01F2" w:rsidRDefault="00BD01F2" w:rsidP="00C376E7">
      <w:pPr>
        <w:widowControl w:val="0"/>
        <w:autoSpaceDE w:val="0"/>
        <w:autoSpaceDN w:val="0"/>
        <w:adjustRightInd w:val="0"/>
        <w:ind w:firstLine="708"/>
        <w:jc w:val="both"/>
        <w:rPr>
          <w:rFonts w:ascii="Tahoma" w:hAnsi="Tahoma" w:cs="Tahoma"/>
          <w:sz w:val="22"/>
          <w:szCs w:val="22"/>
        </w:rPr>
      </w:pPr>
    </w:p>
    <w:p w:rsidR="00B861BF" w:rsidRDefault="0060586D" w:rsidP="007970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en síntesis, que al existir constancia </w:t>
      </w:r>
      <w:r w:rsidR="00311CC2">
        <w:rPr>
          <w:rFonts w:ascii="Tahoma" w:hAnsi="Tahoma" w:cs="Tahoma"/>
          <w:sz w:val="22"/>
          <w:szCs w:val="22"/>
        </w:rPr>
        <w:t xml:space="preserve">de que el demandante reclamó por primera vez la pensión de vejez el 2 de septiembre de 2011, </w:t>
      </w:r>
      <w:r w:rsidR="009728BB">
        <w:rPr>
          <w:rFonts w:ascii="Tahoma" w:hAnsi="Tahoma" w:cs="Tahoma"/>
          <w:sz w:val="22"/>
          <w:szCs w:val="22"/>
        </w:rPr>
        <w:t xml:space="preserve">cuando cumplía la totalidad de los requisitos para acceder a la misma, </w:t>
      </w:r>
      <w:r w:rsidR="00031BE7">
        <w:rPr>
          <w:rFonts w:ascii="Tahoma" w:hAnsi="Tahoma" w:cs="Tahoma"/>
          <w:sz w:val="22"/>
          <w:szCs w:val="22"/>
        </w:rPr>
        <w:t xml:space="preserve">tenía derecho a que dicha prestación le fuera reconocida en los 4 meses siguientes, de conformidad con </w:t>
      </w:r>
      <w:r w:rsidR="00B861BF">
        <w:rPr>
          <w:rFonts w:ascii="Tahoma" w:hAnsi="Tahoma" w:cs="Tahoma"/>
          <w:sz w:val="22"/>
          <w:szCs w:val="22"/>
        </w:rPr>
        <w:t xml:space="preserve">el cambio de precedente sentado por este </w:t>
      </w:r>
      <w:r w:rsidR="00031BE7">
        <w:rPr>
          <w:rFonts w:ascii="Tahoma" w:hAnsi="Tahoma" w:cs="Tahoma"/>
          <w:sz w:val="22"/>
          <w:szCs w:val="22"/>
        </w:rPr>
        <w:t>este Tribunal</w:t>
      </w:r>
      <w:r w:rsidR="00B861BF">
        <w:rPr>
          <w:rFonts w:ascii="Tahoma" w:hAnsi="Tahoma" w:cs="Tahoma"/>
          <w:sz w:val="22"/>
          <w:szCs w:val="22"/>
        </w:rPr>
        <w:t>;</w:t>
      </w:r>
      <w:r w:rsidR="00031BE7">
        <w:rPr>
          <w:rFonts w:ascii="Tahoma" w:hAnsi="Tahoma" w:cs="Tahoma"/>
          <w:sz w:val="22"/>
          <w:szCs w:val="22"/>
        </w:rPr>
        <w:t xml:space="preserve"> </w:t>
      </w:r>
      <w:r w:rsidR="00535205">
        <w:rPr>
          <w:rFonts w:ascii="Tahoma" w:hAnsi="Tahoma" w:cs="Tahoma"/>
          <w:sz w:val="22"/>
          <w:szCs w:val="22"/>
        </w:rPr>
        <w:t xml:space="preserve">por lo que al no haber </w:t>
      </w:r>
      <w:r w:rsidR="00B861BF">
        <w:rPr>
          <w:rFonts w:ascii="Tahoma" w:hAnsi="Tahoma" w:cs="Tahoma"/>
          <w:sz w:val="22"/>
          <w:szCs w:val="22"/>
        </w:rPr>
        <w:t>sido concedida oportunamente</w:t>
      </w:r>
      <w:r w:rsidR="00535205">
        <w:rPr>
          <w:rFonts w:ascii="Tahoma" w:hAnsi="Tahoma" w:cs="Tahoma"/>
          <w:sz w:val="22"/>
          <w:szCs w:val="22"/>
        </w:rPr>
        <w:t xml:space="preserve">, los intereses moratorios establecidos en el artículo 141 de la Ley 100 de 1993 empezaron a correr desde el 2 de enero de 2012 y se causaron hasta el 31 de octubre de 2014, </w:t>
      </w:r>
      <w:r w:rsidR="00565003">
        <w:rPr>
          <w:rFonts w:ascii="Tahoma" w:hAnsi="Tahoma" w:cs="Tahoma"/>
          <w:sz w:val="22"/>
          <w:szCs w:val="22"/>
        </w:rPr>
        <w:t xml:space="preserve">día anterior a aquel en que </w:t>
      </w:r>
      <w:r w:rsidR="005508A4">
        <w:rPr>
          <w:rFonts w:ascii="Tahoma" w:hAnsi="Tahoma" w:cs="Tahoma"/>
          <w:sz w:val="22"/>
          <w:szCs w:val="22"/>
        </w:rPr>
        <w:t xml:space="preserve">fue incluido en nómina </w:t>
      </w:r>
      <w:r w:rsidR="00B861BF">
        <w:rPr>
          <w:rFonts w:ascii="Tahoma" w:hAnsi="Tahoma" w:cs="Tahoma"/>
          <w:sz w:val="22"/>
          <w:szCs w:val="22"/>
        </w:rPr>
        <w:t>e</w:t>
      </w:r>
      <w:r w:rsidR="00565003">
        <w:rPr>
          <w:rFonts w:ascii="Tahoma" w:hAnsi="Tahoma" w:cs="Tahoma"/>
          <w:sz w:val="22"/>
          <w:szCs w:val="22"/>
        </w:rPr>
        <w:t xml:space="preserve">l </w:t>
      </w:r>
      <w:r w:rsidR="00B861BF">
        <w:rPr>
          <w:rFonts w:ascii="Tahoma" w:hAnsi="Tahoma" w:cs="Tahoma"/>
          <w:sz w:val="22"/>
          <w:szCs w:val="22"/>
        </w:rPr>
        <w:t>retroactivo pensional c</w:t>
      </w:r>
      <w:r w:rsidR="00FC465D">
        <w:rPr>
          <w:rFonts w:ascii="Tahoma" w:hAnsi="Tahoma" w:cs="Tahoma"/>
          <w:sz w:val="22"/>
          <w:szCs w:val="22"/>
        </w:rPr>
        <w:t xml:space="preserve">ausado </w:t>
      </w:r>
      <w:r w:rsidR="00B861BF">
        <w:rPr>
          <w:rFonts w:ascii="Tahoma" w:hAnsi="Tahoma" w:cs="Tahoma"/>
          <w:sz w:val="22"/>
          <w:szCs w:val="22"/>
        </w:rPr>
        <w:t>desde el 1º de septiembre de 2011</w:t>
      </w:r>
      <w:r w:rsidR="005508A4">
        <w:rPr>
          <w:rFonts w:ascii="Tahoma" w:hAnsi="Tahoma" w:cs="Tahoma"/>
          <w:sz w:val="22"/>
          <w:szCs w:val="22"/>
        </w:rPr>
        <w:t>.</w:t>
      </w:r>
      <w:r w:rsidR="00FC465D">
        <w:rPr>
          <w:rFonts w:ascii="Tahoma" w:hAnsi="Tahoma" w:cs="Tahoma"/>
          <w:sz w:val="22"/>
          <w:szCs w:val="22"/>
        </w:rPr>
        <w:t xml:space="preserve"> </w:t>
      </w:r>
    </w:p>
    <w:p w:rsidR="00B861BF" w:rsidRDefault="00B861BF" w:rsidP="00C376E7">
      <w:pPr>
        <w:widowControl w:val="0"/>
        <w:autoSpaceDE w:val="0"/>
        <w:autoSpaceDN w:val="0"/>
        <w:adjustRightInd w:val="0"/>
        <w:ind w:firstLine="708"/>
        <w:jc w:val="both"/>
        <w:rPr>
          <w:rFonts w:ascii="Tahoma" w:hAnsi="Tahoma" w:cs="Tahoma"/>
          <w:sz w:val="22"/>
          <w:szCs w:val="22"/>
        </w:rPr>
      </w:pPr>
    </w:p>
    <w:p w:rsidR="00565003" w:rsidRDefault="00565003" w:rsidP="007970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Precisó que los intereses se causaron respecto de las mesadas causadas entre el 1º de septiembre de 2011 </w:t>
      </w:r>
      <w:r w:rsidRPr="00C408DD">
        <w:rPr>
          <w:rFonts w:ascii="Tahoma" w:hAnsi="Tahoma" w:cs="Tahoma"/>
          <w:i/>
          <w:sz w:val="22"/>
          <w:szCs w:val="22"/>
        </w:rPr>
        <w:t>–fecha a partir de la cual se reconoció la pensión mediante la Resolución</w:t>
      </w:r>
      <w:r w:rsidR="004F4C39" w:rsidRPr="00C408DD">
        <w:rPr>
          <w:rFonts w:ascii="Tahoma" w:hAnsi="Tahoma" w:cs="Tahoma"/>
          <w:i/>
          <w:sz w:val="22"/>
          <w:szCs w:val="22"/>
        </w:rPr>
        <w:t xml:space="preserve"> GNR 372363 del </w:t>
      </w:r>
      <w:r w:rsidR="004F4C39" w:rsidRPr="002D0A94">
        <w:rPr>
          <w:rFonts w:ascii="Tahoma" w:hAnsi="Tahoma" w:cs="Tahoma"/>
          <w:b/>
          <w:i/>
          <w:sz w:val="22"/>
          <w:szCs w:val="22"/>
        </w:rPr>
        <w:t>17 de octubre de 201</w:t>
      </w:r>
      <w:r w:rsidR="00C408DD" w:rsidRPr="002D0A94">
        <w:rPr>
          <w:rFonts w:ascii="Tahoma" w:hAnsi="Tahoma" w:cs="Tahoma"/>
          <w:b/>
          <w:i/>
          <w:sz w:val="22"/>
          <w:szCs w:val="22"/>
        </w:rPr>
        <w:t>4</w:t>
      </w:r>
      <w:r w:rsidRPr="00C408DD">
        <w:rPr>
          <w:rFonts w:ascii="Tahoma" w:hAnsi="Tahoma" w:cs="Tahoma"/>
          <w:i/>
          <w:sz w:val="22"/>
          <w:szCs w:val="22"/>
        </w:rPr>
        <w:t>-</w:t>
      </w:r>
      <w:r>
        <w:rPr>
          <w:rFonts w:ascii="Tahoma" w:hAnsi="Tahoma" w:cs="Tahoma"/>
          <w:sz w:val="22"/>
          <w:szCs w:val="22"/>
        </w:rPr>
        <w:t xml:space="preserve">, y el 30 de abril de 2014 </w:t>
      </w:r>
      <w:r w:rsidRPr="00C408DD">
        <w:rPr>
          <w:rFonts w:ascii="Tahoma" w:hAnsi="Tahoma" w:cs="Tahoma"/>
          <w:i/>
          <w:sz w:val="22"/>
          <w:szCs w:val="22"/>
        </w:rPr>
        <w:t xml:space="preserve">–día anterior a aquel en el que le fue </w:t>
      </w:r>
      <w:r w:rsidR="00630A43">
        <w:rPr>
          <w:rFonts w:ascii="Tahoma" w:hAnsi="Tahoma" w:cs="Tahoma"/>
          <w:i/>
          <w:sz w:val="22"/>
          <w:szCs w:val="22"/>
        </w:rPr>
        <w:t>concedida esa prestación</w:t>
      </w:r>
      <w:r w:rsidR="00DF12D8" w:rsidRPr="005508A4">
        <w:rPr>
          <w:rFonts w:ascii="Tahoma" w:hAnsi="Tahoma" w:cs="Tahoma"/>
          <w:b/>
          <w:i/>
          <w:sz w:val="22"/>
          <w:szCs w:val="22"/>
        </w:rPr>
        <w:t>,</w:t>
      </w:r>
      <w:r w:rsidR="00630A43" w:rsidRPr="005508A4">
        <w:rPr>
          <w:rFonts w:ascii="Tahoma" w:hAnsi="Tahoma" w:cs="Tahoma"/>
          <w:b/>
          <w:i/>
          <w:sz w:val="22"/>
          <w:szCs w:val="22"/>
        </w:rPr>
        <w:t xml:space="preserve"> </w:t>
      </w:r>
      <w:r w:rsidRPr="005508A4">
        <w:rPr>
          <w:rFonts w:ascii="Tahoma" w:hAnsi="Tahoma" w:cs="Tahoma"/>
          <w:b/>
          <w:i/>
          <w:sz w:val="22"/>
          <w:szCs w:val="22"/>
        </w:rPr>
        <w:t>inicialmente</w:t>
      </w:r>
      <w:r w:rsidR="00C408DD" w:rsidRPr="005508A4">
        <w:rPr>
          <w:rFonts w:ascii="Tahoma" w:hAnsi="Tahoma" w:cs="Tahoma"/>
          <w:b/>
          <w:i/>
          <w:sz w:val="22"/>
          <w:szCs w:val="22"/>
        </w:rPr>
        <w:t>,</w:t>
      </w:r>
      <w:r w:rsidR="00C408DD" w:rsidRPr="00C408DD">
        <w:rPr>
          <w:rFonts w:ascii="Tahoma" w:hAnsi="Tahoma" w:cs="Tahoma"/>
          <w:i/>
          <w:sz w:val="22"/>
          <w:szCs w:val="22"/>
        </w:rPr>
        <w:t xml:space="preserve"> por medio de la Resolución GNR 145248 del 28 de abril de 2014-</w:t>
      </w:r>
      <w:r w:rsidR="002D0A94" w:rsidRPr="002D0A94">
        <w:rPr>
          <w:rFonts w:ascii="Tahoma" w:hAnsi="Tahoma" w:cs="Tahoma"/>
          <w:sz w:val="22"/>
          <w:szCs w:val="22"/>
        </w:rPr>
        <w:t>;</w:t>
      </w:r>
      <w:r w:rsidR="005508A4">
        <w:rPr>
          <w:rFonts w:ascii="Tahoma" w:hAnsi="Tahoma" w:cs="Tahoma"/>
          <w:sz w:val="22"/>
          <w:szCs w:val="22"/>
        </w:rPr>
        <w:t xml:space="preserve"> y aclaró </w:t>
      </w:r>
      <w:r w:rsidR="00F62D85">
        <w:rPr>
          <w:rFonts w:ascii="Tahoma" w:hAnsi="Tahoma" w:cs="Tahoma"/>
          <w:sz w:val="22"/>
          <w:szCs w:val="22"/>
        </w:rPr>
        <w:t xml:space="preserve">que </w:t>
      </w:r>
      <w:r w:rsidR="002D0A94">
        <w:rPr>
          <w:rFonts w:ascii="Tahoma" w:hAnsi="Tahoma" w:cs="Tahoma"/>
          <w:sz w:val="22"/>
          <w:szCs w:val="22"/>
        </w:rPr>
        <w:t xml:space="preserve">los intereses del afiliado no podían afectarse por el hecho </w:t>
      </w:r>
      <w:r w:rsidR="005508A4">
        <w:rPr>
          <w:rFonts w:ascii="Tahoma" w:hAnsi="Tahoma" w:cs="Tahoma"/>
          <w:sz w:val="22"/>
          <w:szCs w:val="22"/>
        </w:rPr>
        <w:t xml:space="preserve">de que después de la reclamación presentada el 2 de septiembre de 2011 se haya iniciado </w:t>
      </w:r>
      <w:r w:rsidR="00985A5C">
        <w:rPr>
          <w:rFonts w:ascii="Tahoma" w:hAnsi="Tahoma" w:cs="Tahoma"/>
          <w:sz w:val="22"/>
          <w:szCs w:val="22"/>
        </w:rPr>
        <w:t>una investigación administrativa por parte de la demandada</w:t>
      </w:r>
      <w:r w:rsidR="00D468FD">
        <w:rPr>
          <w:rFonts w:ascii="Tahoma" w:hAnsi="Tahoma" w:cs="Tahoma"/>
          <w:sz w:val="22"/>
          <w:szCs w:val="22"/>
        </w:rPr>
        <w:t xml:space="preserve">, pues se trataba de una obligación de </w:t>
      </w:r>
      <w:r w:rsidR="002D0A94">
        <w:rPr>
          <w:rFonts w:ascii="Tahoma" w:hAnsi="Tahoma" w:cs="Tahoma"/>
          <w:sz w:val="22"/>
          <w:szCs w:val="22"/>
        </w:rPr>
        <w:t>esta última q</w:t>
      </w:r>
      <w:r w:rsidR="00D468FD">
        <w:rPr>
          <w:rFonts w:ascii="Tahoma" w:hAnsi="Tahoma" w:cs="Tahoma"/>
          <w:sz w:val="22"/>
          <w:szCs w:val="22"/>
        </w:rPr>
        <w:t>ue</w:t>
      </w:r>
      <w:r w:rsidR="00023DD5">
        <w:rPr>
          <w:rFonts w:ascii="Tahoma" w:hAnsi="Tahoma" w:cs="Tahoma"/>
          <w:sz w:val="22"/>
          <w:szCs w:val="22"/>
        </w:rPr>
        <w:t>, además, s</w:t>
      </w:r>
      <w:r w:rsidR="00D468FD">
        <w:rPr>
          <w:rFonts w:ascii="Tahoma" w:hAnsi="Tahoma" w:cs="Tahoma"/>
          <w:sz w:val="22"/>
          <w:szCs w:val="22"/>
        </w:rPr>
        <w:t>e llevó a cabo más de un año después</w:t>
      </w:r>
      <w:r w:rsidR="00023DD5">
        <w:rPr>
          <w:rFonts w:ascii="Tahoma" w:hAnsi="Tahoma" w:cs="Tahoma"/>
          <w:sz w:val="22"/>
          <w:szCs w:val="22"/>
        </w:rPr>
        <w:t xml:space="preserve"> de la solicitud pensional</w:t>
      </w:r>
      <w:r w:rsidR="00D468FD">
        <w:rPr>
          <w:rFonts w:ascii="Tahoma" w:hAnsi="Tahoma" w:cs="Tahoma"/>
          <w:sz w:val="22"/>
          <w:szCs w:val="22"/>
        </w:rPr>
        <w:t>.</w:t>
      </w:r>
    </w:p>
    <w:p w:rsidR="00565003" w:rsidRDefault="00565003" w:rsidP="00C376E7">
      <w:pPr>
        <w:widowControl w:val="0"/>
        <w:autoSpaceDE w:val="0"/>
        <w:autoSpaceDN w:val="0"/>
        <w:adjustRightInd w:val="0"/>
        <w:ind w:firstLine="708"/>
        <w:jc w:val="both"/>
        <w:rPr>
          <w:rFonts w:ascii="Tahoma" w:hAnsi="Tahoma" w:cs="Tahoma"/>
          <w:sz w:val="22"/>
          <w:szCs w:val="22"/>
        </w:rPr>
      </w:pPr>
    </w:p>
    <w:p w:rsidR="005529A8" w:rsidRDefault="007139A2" w:rsidP="007970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Agregó </w:t>
      </w:r>
      <w:r w:rsidR="00023DD5">
        <w:rPr>
          <w:rFonts w:ascii="Tahoma" w:hAnsi="Tahoma" w:cs="Tahoma"/>
          <w:sz w:val="22"/>
          <w:szCs w:val="22"/>
        </w:rPr>
        <w:t xml:space="preserve">que </w:t>
      </w:r>
      <w:r w:rsidR="004C53F0">
        <w:rPr>
          <w:rFonts w:ascii="Tahoma" w:hAnsi="Tahoma" w:cs="Tahoma"/>
          <w:sz w:val="22"/>
          <w:szCs w:val="22"/>
        </w:rPr>
        <w:t>no habían prescrito los emolumentos reclamados por cuanto entre la reclamación de los mismos y la presentación de la demanda no habían transcurrido más de 3 años</w:t>
      </w:r>
      <w:r>
        <w:rPr>
          <w:rFonts w:ascii="Tahoma" w:hAnsi="Tahoma" w:cs="Tahoma"/>
          <w:sz w:val="22"/>
          <w:szCs w:val="22"/>
        </w:rPr>
        <w:t xml:space="preserve"> y, finalmente, estimó que el monto a cancelar por 1020 días en mora ascendía a $146.780.396</w:t>
      </w:r>
      <w:r w:rsidR="004C53F0">
        <w:rPr>
          <w:rFonts w:ascii="Tahoma" w:hAnsi="Tahoma" w:cs="Tahoma"/>
          <w:sz w:val="22"/>
          <w:szCs w:val="22"/>
        </w:rPr>
        <w:t>.</w:t>
      </w:r>
    </w:p>
    <w:p w:rsidR="004C53F0" w:rsidRPr="00921216" w:rsidRDefault="004C53F0" w:rsidP="004F7362">
      <w:pPr>
        <w:widowControl w:val="0"/>
        <w:autoSpaceDE w:val="0"/>
        <w:autoSpaceDN w:val="0"/>
        <w:adjustRightInd w:val="0"/>
        <w:jc w:val="both"/>
        <w:rPr>
          <w:rFonts w:ascii="Tahoma" w:hAnsi="Tahoma" w:cs="Tahoma"/>
          <w:sz w:val="22"/>
          <w:szCs w:val="22"/>
        </w:rPr>
      </w:pPr>
    </w:p>
    <w:p w:rsidR="004F7362" w:rsidRPr="004E50C1" w:rsidRDefault="00DF12D8" w:rsidP="004F7362">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4F7362" w:rsidRDefault="004F7362" w:rsidP="004F7362">
      <w:pPr>
        <w:widowControl w:val="0"/>
        <w:autoSpaceDE w:val="0"/>
        <w:autoSpaceDN w:val="0"/>
        <w:adjustRightInd w:val="0"/>
        <w:spacing w:line="276" w:lineRule="auto"/>
        <w:rPr>
          <w:rFonts w:ascii="Tahoma" w:hAnsi="Tahoma" w:cs="Tahoma"/>
          <w:sz w:val="22"/>
          <w:szCs w:val="22"/>
        </w:rPr>
      </w:pPr>
    </w:p>
    <w:p w:rsidR="00F4402B" w:rsidRDefault="00DF12D8" w:rsidP="004F7362">
      <w:pPr>
        <w:spacing w:line="276" w:lineRule="auto"/>
        <w:ind w:firstLine="708"/>
        <w:jc w:val="both"/>
        <w:rPr>
          <w:rFonts w:ascii="Tahoma" w:hAnsi="Tahoma" w:cs="Tahoma"/>
          <w:sz w:val="22"/>
          <w:szCs w:val="22"/>
        </w:rPr>
      </w:pPr>
      <w:r>
        <w:rPr>
          <w:rFonts w:ascii="Tahoma" w:hAnsi="Tahoma" w:cs="Tahoma"/>
          <w:sz w:val="22"/>
          <w:szCs w:val="22"/>
        </w:rPr>
        <w:t>Como quiera que la decisión de primera instancia fue desfavorable para los intereses de Colpensiones, se dispuso el grado jurisdiccional de consulta.</w:t>
      </w:r>
    </w:p>
    <w:p w:rsidR="004F7362" w:rsidRDefault="004F7362" w:rsidP="004F7362">
      <w:pPr>
        <w:ind w:firstLine="708"/>
        <w:jc w:val="both"/>
        <w:rPr>
          <w:rFonts w:ascii="Tahoma" w:hAnsi="Tahoma" w:cs="Tahoma"/>
          <w:sz w:val="22"/>
          <w:szCs w:val="22"/>
        </w:rPr>
      </w:pPr>
    </w:p>
    <w:p w:rsidR="004F7362" w:rsidRDefault="004F7362" w:rsidP="004F7362">
      <w:pPr>
        <w:widowControl w:val="0"/>
        <w:numPr>
          <w:ilvl w:val="0"/>
          <w:numId w:val="1"/>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AD1DB9" w:rsidRDefault="00AD1DB9" w:rsidP="00AD1DB9">
      <w:pPr>
        <w:widowControl w:val="0"/>
        <w:autoSpaceDE w:val="0"/>
        <w:autoSpaceDN w:val="0"/>
        <w:adjustRightInd w:val="0"/>
        <w:spacing w:line="276" w:lineRule="auto"/>
        <w:ind w:left="1080"/>
        <w:rPr>
          <w:rFonts w:ascii="Tahoma" w:hAnsi="Tahoma" w:cs="Tahoma"/>
          <w:b/>
          <w:sz w:val="22"/>
          <w:szCs w:val="22"/>
        </w:rPr>
      </w:pPr>
    </w:p>
    <w:p w:rsidR="00AD1DB9" w:rsidRPr="00753A95" w:rsidRDefault="00AD1DB9" w:rsidP="00AD1DB9">
      <w:pPr>
        <w:pStyle w:val="Textoindependiente"/>
        <w:numPr>
          <w:ilvl w:val="1"/>
          <w:numId w:val="1"/>
        </w:numPr>
        <w:spacing w:after="0" w:line="276" w:lineRule="auto"/>
        <w:ind w:right="51" w:hanging="371"/>
        <w:jc w:val="both"/>
        <w:rPr>
          <w:rFonts w:ascii="Tahoma" w:hAnsi="Tahoma" w:cs="Tahoma"/>
          <w:b/>
          <w:sz w:val="22"/>
          <w:szCs w:val="22"/>
        </w:rPr>
      </w:pPr>
      <w:r w:rsidRPr="00753A95">
        <w:rPr>
          <w:rFonts w:ascii="Tahoma" w:hAnsi="Tahoma" w:cs="Tahoma"/>
          <w:b/>
          <w:sz w:val="22"/>
          <w:szCs w:val="22"/>
        </w:rPr>
        <w:t>De la naturaleza jurídica de los intereses moratorios previstos en el artículo 141 de la Ley 100 de 1993</w:t>
      </w:r>
    </w:p>
    <w:p w:rsidR="00AD1DB9" w:rsidRPr="00753A95" w:rsidRDefault="00AD1DB9" w:rsidP="00AD1DB9">
      <w:pPr>
        <w:pStyle w:val="Sinespaciado"/>
        <w:rPr>
          <w:sz w:val="22"/>
          <w:szCs w:val="22"/>
        </w:rPr>
      </w:pPr>
      <w:r w:rsidRPr="00753A95">
        <w:rPr>
          <w:sz w:val="22"/>
          <w:szCs w:val="22"/>
        </w:rPr>
        <w:t xml:space="preserve"> </w:t>
      </w:r>
    </w:p>
    <w:p w:rsidR="00AD1DB9" w:rsidRDefault="00AD1DB9" w:rsidP="00AD1DB9">
      <w:pPr>
        <w:pStyle w:val="Textoindependien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rsidR="00AD1DB9" w:rsidRPr="00753A95" w:rsidRDefault="00AD1DB9" w:rsidP="00AD1DB9">
      <w:pPr>
        <w:pStyle w:val="Textoindependiente"/>
        <w:spacing w:after="0"/>
        <w:ind w:right="51" w:firstLine="708"/>
        <w:jc w:val="both"/>
        <w:rPr>
          <w:rFonts w:ascii="Tahoma" w:hAnsi="Tahoma" w:cs="Tahoma"/>
          <w:sz w:val="22"/>
          <w:szCs w:val="22"/>
        </w:rPr>
      </w:pPr>
    </w:p>
    <w:p w:rsidR="00AD1DB9" w:rsidRDefault="00AD1DB9" w:rsidP="00AD1DB9">
      <w:pPr>
        <w:pStyle w:val="Sinespaciado"/>
        <w:spacing w:line="276" w:lineRule="auto"/>
        <w:jc w:val="both"/>
        <w:rPr>
          <w:rFonts w:ascii="Tahoma" w:hAnsi="Tahoma" w:cs="Tahoma"/>
          <w:sz w:val="22"/>
          <w:szCs w:val="22"/>
        </w:rPr>
      </w:pPr>
      <w:r w:rsidRPr="00753A95">
        <w:rPr>
          <w:sz w:val="22"/>
          <w:szCs w:val="22"/>
        </w:rPr>
        <w:t xml:space="preserve"> </w:t>
      </w:r>
      <w:r>
        <w:rPr>
          <w:sz w:val="22"/>
          <w:szCs w:val="22"/>
        </w:rPr>
        <w:tab/>
      </w:r>
      <w:r w:rsidRPr="00753A95">
        <w:rPr>
          <w:rFonts w:ascii="Tahoma" w:hAnsi="Tahoma" w:cs="Tahoma"/>
          <w:sz w:val="22"/>
          <w:szCs w:val="22"/>
        </w:rPr>
        <w:t>Teniendo los intereses moratorios un carácter particularmente resarcitorio, clasifican dentro del universo de las obligaciones de naturaleza objetiva. La norma en comento no se detiene en miramientos particulares o subjetivos, pues s</w:t>
      </w:r>
      <w:r>
        <w:rPr>
          <w:rFonts w:ascii="Tahoma" w:hAnsi="Tahoma" w:cs="Tahoma"/>
          <w:sz w:val="22"/>
          <w:szCs w:val="22"/>
        </w:rPr>
        <w:t>ó</w:t>
      </w:r>
      <w:r w:rsidRPr="00753A95">
        <w:rPr>
          <w:rFonts w:ascii="Tahoma" w:hAnsi="Tahoma" w:cs="Tahoma"/>
          <w:sz w:val="22"/>
          <w:szCs w:val="22"/>
        </w:rPr>
        <w:t xml:space="preserve">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w:t>
      </w:r>
      <w:r w:rsidR="00054469" w:rsidRPr="00753A95">
        <w:rPr>
          <w:rFonts w:ascii="Tahoma" w:hAnsi="Tahoma" w:cs="Tahoma"/>
          <w:sz w:val="22"/>
          <w:szCs w:val="22"/>
        </w:rPr>
        <w:t xml:space="preserve">Ley </w:t>
      </w:r>
      <w:r w:rsidRPr="00753A95">
        <w:rPr>
          <w:rFonts w:ascii="Tahoma" w:hAnsi="Tahoma" w:cs="Tahoma"/>
          <w:sz w:val="22"/>
          <w:szCs w:val="22"/>
        </w:rPr>
        <w:t xml:space="preserve">100 de 1993. </w:t>
      </w:r>
    </w:p>
    <w:p w:rsidR="004F7362" w:rsidRPr="00AC6C9A" w:rsidRDefault="004F7362" w:rsidP="004F7362">
      <w:pPr>
        <w:ind w:firstLine="708"/>
        <w:jc w:val="both"/>
        <w:rPr>
          <w:rFonts w:ascii="Tahoma" w:hAnsi="Tahoma" w:cs="Tahoma"/>
          <w:b/>
          <w:sz w:val="22"/>
          <w:szCs w:val="22"/>
        </w:rPr>
      </w:pPr>
    </w:p>
    <w:p w:rsidR="00AD1DB9" w:rsidRPr="00753A95" w:rsidRDefault="00AD1DB9" w:rsidP="00AD1DB9">
      <w:pPr>
        <w:pStyle w:val="Textoindependiente"/>
        <w:numPr>
          <w:ilvl w:val="1"/>
          <w:numId w:val="1"/>
        </w:numPr>
        <w:spacing w:after="0" w:line="276" w:lineRule="auto"/>
        <w:ind w:left="1276" w:right="51" w:hanging="567"/>
        <w:jc w:val="both"/>
        <w:rPr>
          <w:rFonts w:ascii="Tahoma" w:hAnsi="Tahoma" w:cs="Tahoma"/>
          <w:b/>
          <w:sz w:val="22"/>
          <w:szCs w:val="22"/>
        </w:rPr>
      </w:pPr>
      <w:r w:rsidRPr="00753A95">
        <w:rPr>
          <w:rFonts w:ascii="Tahoma" w:hAnsi="Tahoma" w:cs="Tahoma"/>
          <w:b/>
          <w:sz w:val="22"/>
          <w:szCs w:val="22"/>
        </w:rPr>
        <w:lastRenderedPageBreak/>
        <w:t>Supuestos fácticos probados</w:t>
      </w:r>
    </w:p>
    <w:p w:rsidR="004F7362" w:rsidRPr="000B5FE8" w:rsidRDefault="004F7362" w:rsidP="004F7362">
      <w:pPr>
        <w:pStyle w:val="Sinespaciado"/>
        <w:spacing w:line="276" w:lineRule="auto"/>
        <w:rPr>
          <w:rFonts w:ascii="Tahoma" w:hAnsi="Tahoma" w:cs="Tahoma"/>
          <w:sz w:val="22"/>
          <w:szCs w:val="22"/>
        </w:rPr>
      </w:pPr>
    </w:p>
    <w:p w:rsidR="004F12E1" w:rsidRDefault="004F12E1" w:rsidP="004F7362">
      <w:pPr>
        <w:pStyle w:val="Sinespaciado"/>
        <w:spacing w:line="276" w:lineRule="auto"/>
        <w:ind w:firstLine="709"/>
        <w:jc w:val="both"/>
        <w:rPr>
          <w:rFonts w:ascii="Tahoma" w:hAnsi="Tahoma" w:cs="Tahoma"/>
          <w:sz w:val="22"/>
          <w:szCs w:val="22"/>
        </w:rPr>
      </w:pPr>
      <w:r>
        <w:rPr>
          <w:rFonts w:ascii="Tahoma" w:hAnsi="Tahoma" w:cs="Tahoma"/>
          <w:sz w:val="22"/>
          <w:szCs w:val="22"/>
        </w:rPr>
        <w:t>Son hechos que se encuentran por fuera de discusión los siguientes:</w:t>
      </w:r>
    </w:p>
    <w:p w:rsidR="004F12E1" w:rsidRDefault="004F12E1" w:rsidP="004F7362">
      <w:pPr>
        <w:pStyle w:val="Sinespaciado"/>
        <w:spacing w:line="276" w:lineRule="auto"/>
        <w:ind w:firstLine="709"/>
        <w:jc w:val="both"/>
        <w:rPr>
          <w:rFonts w:ascii="Tahoma" w:hAnsi="Tahoma" w:cs="Tahoma"/>
          <w:sz w:val="22"/>
          <w:szCs w:val="22"/>
        </w:rPr>
      </w:pPr>
    </w:p>
    <w:p w:rsidR="004F12E1" w:rsidRDefault="004F12E1" w:rsidP="00D906C7">
      <w:pPr>
        <w:pStyle w:val="Sinespaciado"/>
        <w:numPr>
          <w:ilvl w:val="0"/>
          <w:numId w:val="4"/>
        </w:numPr>
        <w:tabs>
          <w:tab w:val="left" w:pos="993"/>
        </w:tabs>
        <w:spacing w:line="276" w:lineRule="auto"/>
        <w:ind w:left="0" w:firstLine="709"/>
        <w:jc w:val="both"/>
        <w:rPr>
          <w:rFonts w:ascii="Tahoma" w:hAnsi="Tahoma" w:cs="Tahoma"/>
          <w:sz w:val="22"/>
          <w:szCs w:val="22"/>
        </w:rPr>
      </w:pPr>
      <w:r>
        <w:rPr>
          <w:rFonts w:ascii="Tahoma" w:hAnsi="Tahoma" w:cs="Tahoma"/>
          <w:sz w:val="22"/>
          <w:szCs w:val="22"/>
        </w:rPr>
        <w:t>Que el demandante nació el 15 de agosto de 1951 y, por lo tanto, cumplió los 60 años de edad el mismo día y mes del año 2011 (</w:t>
      </w:r>
      <w:proofErr w:type="spellStart"/>
      <w:r>
        <w:rPr>
          <w:rFonts w:ascii="Tahoma" w:hAnsi="Tahoma" w:cs="Tahoma"/>
          <w:sz w:val="22"/>
          <w:szCs w:val="22"/>
        </w:rPr>
        <w:t>fl</w:t>
      </w:r>
      <w:proofErr w:type="spellEnd"/>
      <w:r>
        <w:rPr>
          <w:rFonts w:ascii="Tahoma" w:hAnsi="Tahoma" w:cs="Tahoma"/>
          <w:sz w:val="22"/>
          <w:szCs w:val="22"/>
        </w:rPr>
        <w:t>. 15).</w:t>
      </w:r>
    </w:p>
    <w:p w:rsidR="004F12E1" w:rsidRDefault="004F12E1" w:rsidP="00D906C7">
      <w:pPr>
        <w:pStyle w:val="Sinespaciado"/>
        <w:tabs>
          <w:tab w:val="left" w:pos="993"/>
        </w:tabs>
        <w:spacing w:line="276" w:lineRule="auto"/>
        <w:ind w:left="1425"/>
        <w:jc w:val="both"/>
        <w:rPr>
          <w:rFonts w:ascii="Tahoma" w:hAnsi="Tahoma" w:cs="Tahoma"/>
          <w:sz w:val="22"/>
          <w:szCs w:val="22"/>
        </w:rPr>
      </w:pPr>
    </w:p>
    <w:p w:rsidR="004F12E1" w:rsidRDefault="004F12E1" w:rsidP="00D906C7">
      <w:pPr>
        <w:pStyle w:val="Sinespaciado"/>
        <w:numPr>
          <w:ilvl w:val="0"/>
          <w:numId w:val="4"/>
        </w:numPr>
        <w:tabs>
          <w:tab w:val="left" w:pos="993"/>
        </w:tabs>
        <w:spacing w:line="276" w:lineRule="auto"/>
        <w:ind w:left="0" w:firstLine="709"/>
        <w:jc w:val="both"/>
        <w:rPr>
          <w:rFonts w:ascii="Tahoma" w:hAnsi="Tahoma" w:cs="Tahoma"/>
          <w:sz w:val="22"/>
          <w:szCs w:val="22"/>
        </w:rPr>
      </w:pPr>
      <w:r>
        <w:rPr>
          <w:rFonts w:ascii="Tahoma" w:hAnsi="Tahoma" w:cs="Tahoma"/>
          <w:sz w:val="22"/>
          <w:szCs w:val="22"/>
        </w:rPr>
        <w:t>Que cotizó un total de 1780,27 semanas al régimen de prima media administrado por el entonces I.S.S.</w:t>
      </w:r>
      <w:r w:rsidR="00467429">
        <w:rPr>
          <w:rFonts w:ascii="Tahoma" w:hAnsi="Tahoma" w:cs="Tahoma"/>
          <w:sz w:val="22"/>
          <w:szCs w:val="22"/>
        </w:rPr>
        <w:t xml:space="preserve"> hasta el 31 de agosto de 2011</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77)</w:t>
      </w:r>
      <w:r w:rsidR="00467429">
        <w:rPr>
          <w:rFonts w:ascii="Tahoma" w:hAnsi="Tahoma" w:cs="Tahoma"/>
          <w:sz w:val="22"/>
          <w:szCs w:val="22"/>
        </w:rPr>
        <w:t>.</w:t>
      </w:r>
    </w:p>
    <w:p w:rsidR="00467429" w:rsidRDefault="00467429" w:rsidP="00D906C7">
      <w:pPr>
        <w:pStyle w:val="Prrafodelista"/>
        <w:tabs>
          <w:tab w:val="left" w:pos="993"/>
        </w:tabs>
        <w:rPr>
          <w:rFonts w:ascii="Tahoma" w:hAnsi="Tahoma" w:cs="Tahoma"/>
          <w:sz w:val="22"/>
          <w:szCs w:val="22"/>
        </w:rPr>
      </w:pPr>
    </w:p>
    <w:p w:rsidR="00453061" w:rsidRDefault="00467429" w:rsidP="00D906C7">
      <w:pPr>
        <w:pStyle w:val="Sinespaciado"/>
        <w:numPr>
          <w:ilvl w:val="0"/>
          <w:numId w:val="4"/>
        </w:numPr>
        <w:tabs>
          <w:tab w:val="left" w:pos="993"/>
        </w:tabs>
        <w:spacing w:line="276" w:lineRule="auto"/>
        <w:ind w:left="0" w:firstLine="709"/>
        <w:jc w:val="both"/>
        <w:rPr>
          <w:rFonts w:ascii="Tahoma" w:hAnsi="Tahoma" w:cs="Tahoma"/>
          <w:sz w:val="22"/>
          <w:szCs w:val="22"/>
        </w:rPr>
      </w:pPr>
      <w:r>
        <w:rPr>
          <w:rFonts w:ascii="Tahoma" w:hAnsi="Tahoma" w:cs="Tahoma"/>
          <w:sz w:val="22"/>
          <w:szCs w:val="22"/>
        </w:rPr>
        <w:t>Que además de mediar la novedad de retiro de su último empleador</w:t>
      </w:r>
      <w:r w:rsidR="00453061">
        <w:rPr>
          <w:rFonts w:ascii="Tahoma" w:hAnsi="Tahoma" w:cs="Tahoma"/>
          <w:sz w:val="22"/>
          <w:szCs w:val="22"/>
        </w:rPr>
        <w:t xml:space="preserve"> al 31 de agosto de 2011</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83), el</w:t>
      </w:r>
      <w:r w:rsidR="00551C31">
        <w:rPr>
          <w:rFonts w:ascii="Tahoma" w:hAnsi="Tahoma" w:cs="Tahoma"/>
          <w:sz w:val="22"/>
          <w:szCs w:val="22"/>
        </w:rPr>
        <w:t xml:space="preserve"> demandante solicitó </w:t>
      </w:r>
      <w:r w:rsidR="00453061">
        <w:rPr>
          <w:rFonts w:ascii="Tahoma" w:hAnsi="Tahoma" w:cs="Tahoma"/>
          <w:sz w:val="22"/>
          <w:szCs w:val="22"/>
        </w:rPr>
        <w:t>el reconocimiento de la pensión de vejez el 2 de septiembre de ese año (</w:t>
      </w:r>
      <w:proofErr w:type="spellStart"/>
      <w:r w:rsidR="00453061">
        <w:rPr>
          <w:rFonts w:ascii="Tahoma" w:hAnsi="Tahoma" w:cs="Tahoma"/>
          <w:sz w:val="22"/>
          <w:szCs w:val="22"/>
        </w:rPr>
        <w:t>fl</w:t>
      </w:r>
      <w:proofErr w:type="spellEnd"/>
      <w:r w:rsidR="00453061">
        <w:rPr>
          <w:rFonts w:ascii="Tahoma" w:hAnsi="Tahoma" w:cs="Tahoma"/>
          <w:sz w:val="22"/>
          <w:szCs w:val="22"/>
        </w:rPr>
        <w:t>. 8)</w:t>
      </w:r>
      <w:r w:rsidR="00054469">
        <w:rPr>
          <w:rFonts w:ascii="Tahoma" w:hAnsi="Tahoma" w:cs="Tahoma"/>
          <w:sz w:val="22"/>
          <w:szCs w:val="22"/>
        </w:rPr>
        <w:t>.</w:t>
      </w:r>
    </w:p>
    <w:p w:rsidR="00453061" w:rsidRDefault="00453061" w:rsidP="00D906C7">
      <w:pPr>
        <w:pStyle w:val="Prrafodelista"/>
        <w:tabs>
          <w:tab w:val="left" w:pos="993"/>
        </w:tabs>
        <w:rPr>
          <w:rFonts w:ascii="Tahoma" w:hAnsi="Tahoma" w:cs="Tahoma"/>
          <w:sz w:val="22"/>
          <w:szCs w:val="22"/>
        </w:rPr>
      </w:pPr>
    </w:p>
    <w:p w:rsidR="00467429" w:rsidRDefault="00467429" w:rsidP="00D906C7">
      <w:pPr>
        <w:pStyle w:val="Sinespaciado"/>
        <w:numPr>
          <w:ilvl w:val="0"/>
          <w:numId w:val="4"/>
        </w:numPr>
        <w:tabs>
          <w:tab w:val="left" w:pos="993"/>
        </w:tabs>
        <w:spacing w:line="276" w:lineRule="auto"/>
        <w:ind w:left="0" w:firstLine="709"/>
        <w:jc w:val="both"/>
        <w:rPr>
          <w:rFonts w:ascii="Tahoma" w:hAnsi="Tahoma" w:cs="Tahoma"/>
          <w:sz w:val="22"/>
          <w:szCs w:val="22"/>
        </w:rPr>
      </w:pPr>
      <w:r>
        <w:rPr>
          <w:rFonts w:ascii="Tahoma" w:hAnsi="Tahoma" w:cs="Tahoma"/>
          <w:sz w:val="22"/>
          <w:szCs w:val="22"/>
        </w:rPr>
        <w:t xml:space="preserve"> </w:t>
      </w:r>
      <w:r w:rsidR="00453061">
        <w:rPr>
          <w:rFonts w:ascii="Tahoma" w:hAnsi="Tahoma" w:cs="Tahoma"/>
          <w:sz w:val="22"/>
          <w:szCs w:val="22"/>
        </w:rPr>
        <w:t xml:space="preserve">Que con ocasión del anterior requerimiento, se inició investigación administrativa por salto salarial, la cual culminó con el informe proferido el 17 de septiembre de 2012, en el que se concluyó que al momento de definir la prestación económica del actor debían tenerse en cuenta los incrementos en los ingresos base de cotización </w:t>
      </w:r>
      <w:r w:rsidR="000970AA">
        <w:rPr>
          <w:rFonts w:ascii="Tahoma" w:hAnsi="Tahoma" w:cs="Tahoma"/>
          <w:sz w:val="22"/>
          <w:szCs w:val="22"/>
        </w:rPr>
        <w:t>reportados</w:t>
      </w:r>
      <w:r w:rsidR="00453061">
        <w:rPr>
          <w:rFonts w:ascii="Tahoma" w:hAnsi="Tahoma" w:cs="Tahoma"/>
          <w:sz w:val="22"/>
          <w:szCs w:val="22"/>
        </w:rPr>
        <w:t xml:space="preserve"> (</w:t>
      </w:r>
      <w:proofErr w:type="spellStart"/>
      <w:r w:rsidR="00453061">
        <w:rPr>
          <w:rFonts w:ascii="Tahoma" w:hAnsi="Tahoma" w:cs="Tahoma"/>
          <w:sz w:val="22"/>
          <w:szCs w:val="22"/>
        </w:rPr>
        <w:t>fl</w:t>
      </w:r>
      <w:proofErr w:type="spellEnd"/>
      <w:r w:rsidR="00453061">
        <w:rPr>
          <w:rFonts w:ascii="Tahoma" w:hAnsi="Tahoma" w:cs="Tahoma"/>
          <w:sz w:val="22"/>
          <w:szCs w:val="22"/>
        </w:rPr>
        <w:t>. 93 s.s.).</w:t>
      </w:r>
    </w:p>
    <w:p w:rsidR="000970AA" w:rsidRDefault="000970AA" w:rsidP="00D906C7">
      <w:pPr>
        <w:pStyle w:val="Sinespaciado"/>
        <w:numPr>
          <w:ilvl w:val="0"/>
          <w:numId w:val="4"/>
        </w:numPr>
        <w:tabs>
          <w:tab w:val="left" w:pos="993"/>
        </w:tabs>
        <w:spacing w:line="276" w:lineRule="auto"/>
        <w:ind w:left="0" w:firstLine="709"/>
        <w:jc w:val="both"/>
        <w:rPr>
          <w:rFonts w:ascii="Tahoma" w:hAnsi="Tahoma" w:cs="Tahoma"/>
          <w:sz w:val="22"/>
          <w:szCs w:val="22"/>
        </w:rPr>
      </w:pPr>
      <w:r>
        <w:rPr>
          <w:rFonts w:ascii="Tahoma" w:hAnsi="Tahoma" w:cs="Tahoma"/>
          <w:sz w:val="22"/>
          <w:szCs w:val="22"/>
        </w:rPr>
        <w:t>Que el 25 de noviembre de 2013 el promotor del litigio solicitó por segunda vez el reconocimiento de la gracia pensional (</w:t>
      </w:r>
      <w:proofErr w:type="spellStart"/>
      <w:r>
        <w:rPr>
          <w:rFonts w:ascii="Tahoma" w:hAnsi="Tahoma" w:cs="Tahoma"/>
          <w:sz w:val="22"/>
          <w:szCs w:val="22"/>
        </w:rPr>
        <w:t>fl</w:t>
      </w:r>
      <w:proofErr w:type="spellEnd"/>
      <w:r>
        <w:rPr>
          <w:rFonts w:ascii="Tahoma" w:hAnsi="Tahoma" w:cs="Tahoma"/>
          <w:sz w:val="22"/>
          <w:szCs w:val="22"/>
        </w:rPr>
        <w:t xml:space="preserve">. 9), la cual le fue concedida por Colpensiones a través de la Resolución 145248 del 28 de abril de 2014, </w:t>
      </w:r>
      <w:r w:rsidR="00211E63">
        <w:rPr>
          <w:rFonts w:ascii="Tahoma" w:hAnsi="Tahoma" w:cs="Tahoma"/>
          <w:sz w:val="22"/>
          <w:szCs w:val="22"/>
        </w:rPr>
        <w:t xml:space="preserve">con base en el Acuerdo 049 de 1990, </w:t>
      </w:r>
      <w:r>
        <w:rPr>
          <w:rFonts w:ascii="Tahoma" w:hAnsi="Tahoma" w:cs="Tahoma"/>
          <w:sz w:val="22"/>
          <w:szCs w:val="22"/>
        </w:rPr>
        <w:t>a partir del 1º de mayo de 2014 y sin retroactivo alguno</w:t>
      </w:r>
      <w:r w:rsidR="00CE3D91">
        <w:rPr>
          <w:rFonts w:ascii="Tahoma" w:hAnsi="Tahoma" w:cs="Tahoma"/>
          <w:sz w:val="22"/>
          <w:szCs w:val="22"/>
        </w:rPr>
        <w:t xml:space="preserve"> </w:t>
      </w:r>
      <w:r w:rsidR="00211E63">
        <w:rPr>
          <w:rFonts w:ascii="Tahoma" w:hAnsi="Tahoma" w:cs="Tahoma"/>
          <w:sz w:val="22"/>
          <w:szCs w:val="22"/>
        </w:rPr>
        <w:t>(</w:t>
      </w:r>
      <w:proofErr w:type="spellStart"/>
      <w:r w:rsidR="00211E63">
        <w:rPr>
          <w:rFonts w:ascii="Tahoma" w:hAnsi="Tahoma" w:cs="Tahoma"/>
          <w:sz w:val="22"/>
          <w:szCs w:val="22"/>
        </w:rPr>
        <w:t>fl</w:t>
      </w:r>
      <w:proofErr w:type="spellEnd"/>
      <w:r w:rsidR="00211E63">
        <w:rPr>
          <w:rFonts w:ascii="Tahoma" w:hAnsi="Tahoma" w:cs="Tahoma"/>
          <w:sz w:val="22"/>
          <w:szCs w:val="22"/>
        </w:rPr>
        <w:t xml:space="preserve">. 17 y s.s.) </w:t>
      </w:r>
      <w:r w:rsidR="00CE3D91">
        <w:rPr>
          <w:rFonts w:ascii="Tahoma" w:hAnsi="Tahoma" w:cs="Tahoma"/>
          <w:sz w:val="22"/>
          <w:szCs w:val="22"/>
        </w:rPr>
        <w:t xml:space="preserve">y, </w:t>
      </w:r>
    </w:p>
    <w:p w:rsidR="000970AA" w:rsidRDefault="000970AA" w:rsidP="00D906C7">
      <w:pPr>
        <w:pStyle w:val="Prrafodelista"/>
        <w:tabs>
          <w:tab w:val="left" w:pos="993"/>
        </w:tabs>
        <w:rPr>
          <w:rFonts w:ascii="Tahoma" w:hAnsi="Tahoma" w:cs="Tahoma"/>
          <w:sz w:val="22"/>
          <w:szCs w:val="22"/>
        </w:rPr>
      </w:pPr>
    </w:p>
    <w:p w:rsidR="000970AA" w:rsidRDefault="000970AA" w:rsidP="00D906C7">
      <w:pPr>
        <w:pStyle w:val="Sinespaciado"/>
        <w:numPr>
          <w:ilvl w:val="0"/>
          <w:numId w:val="4"/>
        </w:numPr>
        <w:tabs>
          <w:tab w:val="left" w:pos="993"/>
        </w:tabs>
        <w:spacing w:line="276" w:lineRule="auto"/>
        <w:ind w:left="0" w:firstLine="709"/>
        <w:jc w:val="both"/>
        <w:rPr>
          <w:rFonts w:ascii="Tahoma" w:hAnsi="Tahoma" w:cs="Tahoma"/>
          <w:sz w:val="22"/>
          <w:szCs w:val="22"/>
        </w:rPr>
      </w:pPr>
      <w:r>
        <w:rPr>
          <w:rFonts w:ascii="Tahoma" w:hAnsi="Tahoma" w:cs="Tahoma"/>
          <w:sz w:val="22"/>
          <w:szCs w:val="22"/>
        </w:rPr>
        <w:t xml:space="preserve">Que contra </w:t>
      </w:r>
      <w:r w:rsidR="005E7659">
        <w:rPr>
          <w:rFonts w:ascii="Tahoma" w:hAnsi="Tahoma" w:cs="Tahoma"/>
          <w:sz w:val="22"/>
          <w:szCs w:val="22"/>
        </w:rPr>
        <w:t xml:space="preserve">la anterior determinación </w:t>
      </w:r>
      <w:r>
        <w:rPr>
          <w:rFonts w:ascii="Tahoma" w:hAnsi="Tahoma" w:cs="Tahoma"/>
          <w:sz w:val="22"/>
          <w:szCs w:val="22"/>
        </w:rPr>
        <w:t xml:space="preserve">se interpuso recurso de reposición, el cual fue resuelto a través de la Resolución GNR 372363 del 17 de octubre de 2014, </w:t>
      </w:r>
      <w:r w:rsidR="005E7659">
        <w:rPr>
          <w:rFonts w:ascii="Tahoma" w:hAnsi="Tahoma" w:cs="Tahoma"/>
          <w:sz w:val="22"/>
          <w:szCs w:val="22"/>
        </w:rPr>
        <w:t>con la cual se modificó el acto atacado y se ordenó el reconocimiento del derecho pensional, retroactivamente, desde el 1º de septiembre de 2011</w:t>
      </w:r>
      <w:r w:rsidR="0025110C">
        <w:rPr>
          <w:rFonts w:ascii="Tahoma" w:hAnsi="Tahoma" w:cs="Tahoma"/>
          <w:sz w:val="22"/>
          <w:szCs w:val="22"/>
        </w:rPr>
        <w:t xml:space="preserve"> hasta el 30 de abril de 2014 (</w:t>
      </w:r>
      <w:proofErr w:type="spellStart"/>
      <w:r w:rsidR="0025110C">
        <w:rPr>
          <w:rFonts w:ascii="Tahoma" w:hAnsi="Tahoma" w:cs="Tahoma"/>
          <w:sz w:val="22"/>
          <w:szCs w:val="22"/>
        </w:rPr>
        <w:t>fl</w:t>
      </w:r>
      <w:proofErr w:type="spellEnd"/>
      <w:r w:rsidR="0025110C">
        <w:rPr>
          <w:rFonts w:ascii="Tahoma" w:hAnsi="Tahoma" w:cs="Tahoma"/>
          <w:sz w:val="22"/>
          <w:szCs w:val="22"/>
        </w:rPr>
        <w:t>. 24 y s.s.).</w:t>
      </w:r>
    </w:p>
    <w:p w:rsidR="0025110C" w:rsidRDefault="0025110C" w:rsidP="0025110C">
      <w:pPr>
        <w:pStyle w:val="Prrafodelista"/>
        <w:rPr>
          <w:rFonts w:ascii="Tahoma" w:hAnsi="Tahoma" w:cs="Tahoma"/>
          <w:sz w:val="22"/>
          <w:szCs w:val="22"/>
        </w:rPr>
      </w:pPr>
    </w:p>
    <w:p w:rsidR="00AD1DB9" w:rsidRPr="00114781" w:rsidRDefault="00AD1DB9" w:rsidP="00AD1DB9">
      <w:pPr>
        <w:pStyle w:val="Textoindependien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Pr="00114781">
        <w:rPr>
          <w:rFonts w:ascii="Tahoma" w:hAnsi="Tahoma" w:cs="Tahoma"/>
          <w:b/>
          <w:sz w:val="22"/>
          <w:szCs w:val="22"/>
        </w:rPr>
        <w:t>Caso concreto</w:t>
      </w:r>
    </w:p>
    <w:p w:rsidR="00AD1DB9" w:rsidRDefault="00AD1DB9" w:rsidP="0025110C">
      <w:pPr>
        <w:pStyle w:val="Prrafodelista"/>
        <w:rPr>
          <w:rFonts w:ascii="Tahoma" w:hAnsi="Tahoma" w:cs="Tahoma"/>
          <w:sz w:val="22"/>
          <w:szCs w:val="22"/>
        </w:rPr>
      </w:pPr>
    </w:p>
    <w:p w:rsidR="00C658BC" w:rsidRDefault="00B03863" w:rsidP="00B03863">
      <w:pPr>
        <w:pStyle w:val="Sinespaciado"/>
        <w:spacing w:line="276" w:lineRule="auto"/>
        <w:ind w:firstLine="709"/>
        <w:jc w:val="both"/>
        <w:rPr>
          <w:rFonts w:ascii="Tahoma" w:hAnsi="Tahoma" w:cs="Tahoma"/>
          <w:sz w:val="22"/>
          <w:szCs w:val="22"/>
        </w:rPr>
      </w:pPr>
      <w:r>
        <w:rPr>
          <w:rFonts w:ascii="Tahoma" w:hAnsi="Tahoma" w:cs="Tahoma"/>
          <w:sz w:val="22"/>
          <w:szCs w:val="22"/>
        </w:rPr>
        <w:t xml:space="preserve">Conforme al anterior recuento histórico es dable concluir que la determinación </w:t>
      </w:r>
      <w:r w:rsidR="00054469">
        <w:rPr>
          <w:rFonts w:ascii="Tahoma" w:hAnsi="Tahoma" w:cs="Tahoma"/>
          <w:sz w:val="22"/>
          <w:szCs w:val="22"/>
        </w:rPr>
        <w:t xml:space="preserve">de </w:t>
      </w:r>
      <w:r>
        <w:rPr>
          <w:rFonts w:ascii="Tahoma" w:hAnsi="Tahoma" w:cs="Tahoma"/>
          <w:sz w:val="22"/>
          <w:szCs w:val="22"/>
        </w:rPr>
        <w:t xml:space="preserve">la Jueza de primera instancia fue atinada, pues fue la misma entidad demandada la que </w:t>
      </w:r>
      <w:r w:rsidR="00C658BC">
        <w:rPr>
          <w:rFonts w:ascii="Tahoma" w:hAnsi="Tahoma" w:cs="Tahoma"/>
          <w:sz w:val="22"/>
          <w:szCs w:val="22"/>
        </w:rPr>
        <w:t xml:space="preserve">el 17 de octubre de 2014 </w:t>
      </w:r>
      <w:r>
        <w:rPr>
          <w:rFonts w:ascii="Tahoma" w:hAnsi="Tahoma" w:cs="Tahoma"/>
          <w:sz w:val="22"/>
          <w:szCs w:val="22"/>
        </w:rPr>
        <w:t xml:space="preserve">reconoció expresamente el derecho que le asistía al señor Hernán Salcedo de percibir la pensión de vejez desde el </w:t>
      </w:r>
      <w:r w:rsidRPr="00054469">
        <w:rPr>
          <w:rFonts w:ascii="Tahoma" w:hAnsi="Tahoma" w:cs="Tahoma"/>
          <w:b/>
          <w:sz w:val="22"/>
          <w:szCs w:val="22"/>
        </w:rPr>
        <w:t>1º de septiembre de 2011</w:t>
      </w:r>
      <w:r w:rsidR="00C658BC">
        <w:rPr>
          <w:rFonts w:ascii="Tahoma" w:hAnsi="Tahoma" w:cs="Tahoma"/>
          <w:sz w:val="22"/>
          <w:szCs w:val="22"/>
        </w:rPr>
        <w:t>;</w:t>
      </w:r>
      <w:r>
        <w:rPr>
          <w:rFonts w:ascii="Tahoma" w:hAnsi="Tahoma" w:cs="Tahoma"/>
          <w:sz w:val="22"/>
          <w:szCs w:val="22"/>
        </w:rPr>
        <w:t xml:space="preserve"> es decir, aceptó que aquella reclamación que aquel introdujo el 2 de septiembre </w:t>
      </w:r>
      <w:r w:rsidR="006A5E66">
        <w:rPr>
          <w:rFonts w:ascii="Tahoma" w:hAnsi="Tahoma" w:cs="Tahoma"/>
          <w:sz w:val="22"/>
          <w:szCs w:val="22"/>
        </w:rPr>
        <w:t>de 2011</w:t>
      </w:r>
      <w:r>
        <w:rPr>
          <w:rFonts w:ascii="Tahoma" w:hAnsi="Tahoma" w:cs="Tahoma"/>
          <w:sz w:val="22"/>
          <w:szCs w:val="22"/>
        </w:rPr>
        <w:t xml:space="preserve"> era fundada</w:t>
      </w:r>
      <w:r w:rsidR="00054469">
        <w:rPr>
          <w:rFonts w:ascii="Tahoma" w:hAnsi="Tahoma" w:cs="Tahoma"/>
          <w:sz w:val="22"/>
          <w:szCs w:val="22"/>
        </w:rPr>
        <w:t>,</w:t>
      </w:r>
      <w:r w:rsidR="006511ED">
        <w:rPr>
          <w:rFonts w:ascii="Tahoma" w:hAnsi="Tahoma" w:cs="Tahoma"/>
          <w:sz w:val="22"/>
          <w:szCs w:val="22"/>
        </w:rPr>
        <w:t xml:space="preserve"> sin embargo</w:t>
      </w:r>
      <w:r w:rsidR="00054469">
        <w:rPr>
          <w:rFonts w:ascii="Tahoma" w:hAnsi="Tahoma" w:cs="Tahoma"/>
          <w:sz w:val="22"/>
          <w:szCs w:val="22"/>
        </w:rPr>
        <w:t>,</w:t>
      </w:r>
      <w:r w:rsidR="006511ED">
        <w:rPr>
          <w:rFonts w:ascii="Tahoma" w:hAnsi="Tahoma" w:cs="Tahoma"/>
          <w:sz w:val="22"/>
          <w:szCs w:val="22"/>
        </w:rPr>
        <w:t xml:space="preserve"> nunca </w:t>
      </w:r>
      <w:r w:rsidR="00C658BC">
        <w:rPr>
          <w:rFonts w:ascii="Tahoma" w:hAnsi="Tahoma" w:cs="Tahoma"/>
          <w:sz w:val="22"/>
          <w:szCs w:val="22"/>
        </w:rPr>
        <w:t xml:space="preserve">la contestó, </w:t>
      </w:r>
      <w:r w:rsidR="001021FD">
        <w:rPr>
          <w:rFonts w:ascii="Tahoma" w:hAnsi="Tahoma" w:cs="Tahoma"/>
          <w:sz w:val="22"/>
          <w:szCs w:val="22"/>
        </w:rPr>
        <w:t xml:space="preserve">induciéndolo </w:t>
      </w:r>
      <w:r w:rsidR="00C658BC">
        <w:rPr>
          <w:rFonts w:ascii="Tahoma" w:hAnsi="Tahoma" w:cs="Tahoma"/>
          <w:sz w:val="22"/>
          <w:szCs w:val="22"/>
        </w:rPr>
        <w:t xml:space="preserve"> </w:t>
      </w:r>
      <w:r w:rsidR="006A5E66">
        <w:rPr>
          <w:rFonts w:ascii="Tahoma" w:hAnsi="Tahoma" w:cs="Tahoma"/>
          <w:sz w:val="22"/>
          <w:szCs w:val="22"/>
        </w:rPr>
        <w:t>-</w:t>
      </w:r>
      <w:r w:rsidR="00054469">
        <w:rPr>
          <w:rFonts w:ascii="Tahoma" w:hAnsi="Tahoma" w:cs="Tahoma"/>
          <w:sz w:val="22"/>
          <w:szCs w:val="22"/>
        </w:rPr>
        <w:t xml:space="preserve">con </w:t>
      </w:r>
      <w:r w:rsidR="006A5E66">
        <w:rPr>
          <w:rFonts w:ascii="Tahoma" w:hAnsi="Tahoma" w:cs="Tahoma"/>
          <w:sz w:val="22"/>
          <w:szCs w:val="22"/>
        </w:rPr>
        <w:t xml:space="preserve">su </w:t>
      </w:r>
      <w:r w:rsidR="00054469">
        <w:rPr>
          <w:rFonts w:ascii="Tahoma" w:hAnsi="Tahoma" w:cs="Tahoma"/>
          <w:sz w:val="22"/>
          <w:szCs w:val="22"/>
        </w:rPr>
        <w:t xml:space="preserve">tardanza </w:t>
      </w:r>
      <w:r w:rsidR="006A5E66">
        <w:rPr>
          <w:rFonts w:ascii="Tahoma" w:hAnsi="Tahoma" w:cs="Tahoma"/>
          <w:sz w:val="22"/>
          <w:szCs w:val="22"/>
        </w:rPr>
        <w:t xml:space="preserve">- </w:t>
      </w:r>
      <w:r w:rsidR="00C658BC">
        <w:rPr>
          <w:rFonts w:ascii="Tahoma" w:hAnsi="Tahoma" w:cs="Tahoma"/>
          <w:sz w:val="22"/>
          <w:szCs w:val="22"/>
        </w:rPr>
        <w:t xml:space="preserve">a que presentara una nueva </w:t>
      </w:r>
      <w:r w:rsidR="001021FD">
        <w:rPr>
          <w:rFonts w:ascii="Tahoma" w:hAnsi="Tahoma" w:cs="Tahoma"/>
          <w:sz w:val="22"/>
          <w:szCs w:val="22"/>
        </w:rPr>
        <w:t>solicitud el 2</w:t>
      </w:r>
      <w:r w:rsidR="00C658BC">
        <w:rPr>
          <w:rFonts w:ascii="Tahoma" w:hAnsi="Tahoma" w:cs="Tahoma"/>
          <w:sz w:val="22"/>
          <w:szCs w:val="22"/>
        </w:rPr>
        <w:t xml:space="preserve">5 de noviembre de 2013, </w:t>
      </w:r>
      <w:r w:rsidR="001021FD">
        <w:rPr>
          <w:rFonts w:ascii="Tahoma" w:hAnsi="Tahoma" w:cs="Tahoma"/>
          <w:sz w:val="22"/>
          <w:szCs w:val="22"/>
        </w:rPr>
        <w:t xml:space="preserve">que derivó en el reconocimiento de la pensión </w:t>
      </w:r>
      <w:r w:rsidR="00DD238B">
        <w:rPr>
          <w:rFonts w:ascii="Tahoma" w:hAnsi="Tahoma" w:cs="Tahoma"/>
          <w:sz w:val="22"/>
          <w:szCs w:val="22"/>
        </w:rPr>
        <w:t>pero sólo a partir del 1º de mayo de 2014</w:t>
      </w:r>
      <w:r w:rsidR="005B7C33">
        <w:rPr>
          <w:rFonts w:ascii="Tahoma" w:hAnsi="Tahoma" w:cs="Tahoma"/>
          <w:sz w:val="22"/>
          <w:szCs w:val="22"/>
        </w:rPr>
        <w:t xml:space="preserve">, situación que obligó al promotor del litigio a interponer recurso de reposición para que se le reconociera la gracia pensional retroactivamente </w:t>
      </w:r>
      <w:r w:rsidR="00054469">
        <w:rPr>
          <w:rFonts w:ascii="Tahoma" w:hAnsi="Tahoma" w:cs="Tahoma"/>
          <w:sz w:val="22"/>
          <w:szCs w:val="22"/>
        </w:rPr>
        <w:t xml:space="preserve">y </w:t>
      </w:r>
      <w:r w:rsidR="006A5E66">
        <w:rPr>
          <w:rFonts w:ascii="Tahoma" w:hAnsi="Tahoma" w:cs="Tahoma"/>
          <w:sz w:val="22"/>
          <w:szCs w:val="22"/>
        </w:rPr>
        <w:t xml:space="preserve">con los intereses moratorios derivados de </w:t>
      </w:r>
      <w:r w:rsidR="005B7C33">
        <w:rPr>
          <w:rFonts w:ascii="Tahoma" w:hAnsi="Tahoma" w:cs="Tahoma"/>
          <w:sz w:val="22"/>
          <w:szCs w:val="22"/>
        </w:rPr>
        <w:t xml:space="preserve">la </w:t>
      </w:r>
      <w:r w:rsidR="00054469">
        <w:rPr>
          <w:rFonts w:ascii="Tahoma" w:hAnsi="Tahoma" w:cs="Tahoma"/>
          <w:sz w:val="22"/>
          <w:szCs w:val="22"/>
        </w:rPr>
        <w:t xml:space="preserve">demora </w:t>
      </w:r>
      <w:r w:rsidR="005B7C33">
        <w:rPr>
          <w:rFonts w:ascii="Tahoma" w:hAnsi="Tahoma" w:cs="Tahoma"/>
          <w:sz w:val="22"/>
          <w:szCs w:val="22"/>
        </w:rPr>
        <w:t xml:space="preserve">en el pago de las mesadas </w:t>
      </w:r>
      <w:r w:rsidR="006A5E66">
        <w:rPr>
          <w:rFonts w:ascii="Tahoma" w:hAnsi="Tahoma" w:cs="Tahoma"/>
          <w:sz w:val="22"/>
          <w:szCs w:val="22"/>
        </w:rPr>
        <w:t>pensionales</w:t>
      </w:r>
      <w:r w:rsidR="005B7C33">
        <w:rPr>
          <w:rFonts w:ascii="Tahoma" w:hAnsi="Tahoma" w:cs="Tahoma"/>
          <w:sz w:val="22"/>
          <w:szCs w:val="22"/>
        </w:rPr>
        <w:t>, a lo que, en efecto, accedió la administradora del régimen de pensiones a través de la Resolución GNR 372363 del de 2014</w:t>
      </w:r>
      <w:r w:rsidR="006A5E66">
        <w:rPr>
          <w:rFonts w:ascii="Tahoma" w:hAnsi="Tahoma" w:cs="Tahoma"/>
          <w:sz w:val="22"/>
          <w:szCs w:val="22"/>
        </w:rPr>
        <w:t>, ordenando la inclusión del retroactivo en la nómina del mes de noviembre de dicha anualidad</w:t>
      </w:r>
      <w:r w:rsidR="005B7C33">
        <w:rPr>
          <w:rFonts w:ascii="Tahoma" w:hAnsi="Tahoma" w:cs="Tahoma"/>
          <w:sz w:val="22"/>
          <w:szCs w:val="22"/>
        </w:rPr>
        <w:t>.</w:t>
      </w:r>
    </w:p>
    <w:p w:rsidR="006A5E66" w:rsidRDefault="006A5E66" w:rsidP="00B03863">
      <w:pPr>
        <w:pStyle w:val="Sinespaciado"/>
        <w:spacing w:line="276" w:lineRule="auto"/>
        <w:ind w:firstLine="709"/>
        <w:jc w:val="both"/>
        <w:rPr>
          <w:rFonts w:ascii="Tahoma" w:hAnsi="Tahoma" w:cs="Tahoma"/>
          <w:sz w:val="22"/>
          <w:szCs w:val="22"/>
        </w:rPr>
      </w:pPr>
    </w:p>
    <w:p w:rsidR="006A5E66" w:rsidRPr="00B779DF" w:rsidRDefault="006A5E66" w:rsidP="00B779DF">
      <w:pPr>
        <w:pStyle w:val="Sinespaciado"/>
        <w:spacing w:line="276" w:lineRule="auto"/>
        <w:ind w:firstLine="709"/>
        <w:jc w:val="both"/>
        <w:rPr>
          <w:rFonts w:ascii="Tahoma" w:hAnsi="Tahoma" w:cs="Tahoma"/>
          <w:sz w:val="22"/>
          <w:szCs w:val="22"/>
        </w:rPr>
      </w:pPr>
      <w:r>
        <w:rPr>
          <w:rFonts w:ascii="Tahoma" w:hAnsi="Tahoma" w:cs="Tahoma"/>
          <w:sz w:val="22"/>
          <w:szCs w:val="22"/>
        </w:rPr>
        <w:t>De lo anterior emerge un hecho objetivo, cual es la tardanza en el reconocimiento de la pensión desde el momento en que correspondía, sin que puedan atenderse situaciones distintas para efectos de su contabilización, tal como lo resaltó la Jueza de instancia, pues si bien se adelantó una investigación administrativa para efe</w:t>
      </w:r>
      <w:r w:rsidR="00965D59">
        <w:rPr>
          <w:rFonts w:ascii="Tahoma" w:hAnsi="Tahoma" w:cs="Tahoma"/>
          <w:sz w:val="22"/>
          <w:szCs w:val="22"/>
        </w:rPr>
        <w:t xml:space="preserve">ctos de esclarecer la razón en el cambio de salario, ello no era óbice para que se </w:t>
      </w:r>
      <w:r w:rsidR="00054469">
        <w:rPr>
          <w:rFonts w:ascii="Tahoma" w:hAnsi="Tahoma" w:cs="Tahoma"/>
          <w:sz w:val="22"/>
          <w:szCs w:val="22"/>
        </w:rPr>
        <w:t xml:space="preserve">cancelara </w:t>
      </w:r>
      <w:r w:rsidR="00965D59">
        <w:rPr>
          <w:rFonts w:ascii="Tahoma" w:hAnsi="Tahoma" w:cs="Tahoma"/>
          <w:sz w:val="22"/>
          <w:szCs w:val="22"/>
        </w:rPr>
        <w:t>la prestación oportunamente</w:t>
      </w:r>
      <w:r w:rsidR="008849DC">
        <w:rPr>
          <w:rFonts w:ascii="Tahoma" w:hAnsi="Tahoma" w:cs="Tahoma"/>
          <w:sz w:val="22"/>
          <w:szCs w:val="22"/>
        </w:rPr>
        <w:t xml:space="preserve"> y desde la fecha que correspondía</w:t>
      </w:r>
      <w:r w:rsidR="00965D59">
        <w:rPr>
          <w:rFonts w:ascii="Tahoma" w:hAnsi="Tahoma" w:cs="Tahoma"/>
          <w:sz w:val="22"/>
          <w:szCs w:val="22"/>
        </w:rPr>
        <w:t>, no obstante, se in</w:t>
      </w:r>
      <w:r w:rsidR="00D906C7">
        <w:rPr>
          <w:rFonts w:ascii="Tahoma" w:hAnsi="Tahoma" w:cs="Tahoma"/>
          <w:sz w:val="22"/>
          <w:szCs w:val="22"/>
        </w:rPr>
        <w:t xml:space="preserve">trodujo al actor en un </w:t>
      </w:r>
      <w:r w:rsidR="00965D59">
        <w:rPr>
          <w:rFonts w:ascii="Tahoma" w:hAnsi="Tahoma" w:cs="Tahoma"/>
          <w:sz w:val="22"/>
          <w:szCs w:val="22"/>
        </w:rPr>
        <w:t>periplo</w:t>
      </w:r>
      <w:r w:rsidR="00D906C7">
        <w:rPr>
          <w:rFonts w:ascii="Tahoma" w:hAnsi="Tahoma" w:cs="Tahoma"/>
          <w:sz w:val="22"/>
          <w:szCs w:val="22"/>
        </w:rPr>
        <w:t xml:space="preserve"> administrativo que, al final, tres años después, terminó reconociéndole el derecho</w:t>
      </w:r>
      <w:r w:rsidR="008849DC">
        <w:rPr>
          <w:rFonts w:ascii="Tahoma" w:hAnsi="Tahoma" w:cs="Tahoma"/>
          <w:sz w:val="22"/>
          <w:szCs w:val="22"/>
        </w:rPr>
        <w:t xml:space="preserve"> tal como él lo había procurado;</w:t>
      </w:r>
      <w:r w:rsidR="00D906C7">
        <w:rPr>
          <w:rFonts w:ascii="Tahoma" w:hAnsi="Tahoma" w:cs="Tahoma"/>
          <w:sz w:val="22"/>
          <w:szCs w:val="22"/>
        </w:rPr>
        <w:t xml:space="preserve"> por lo que </w:t>
      </w:r>
      <w:r w:rsidR="00054469">
        <w:rPr>
          <w:rFonts w:ascii="Tahoma" w:hAnsi="Tahoma" w:cs="Tahoma"/>
          <w:sz w:val="22"/>
          <w:szCs w:val="22"/>
        </w:rPr>
        <w:t xml:space="preserve">no existe hesitación respecto a que </w:t>
      </w:r>
      <w:r w:rsidR="00D906C7">
        <w:rPr>
          <w:rFonts w:ascii="Tahoma" w:hAnsi="Tahoma" w:cs="Tahoma"/>
          <w:sz w:val="22"/>
          <w:szCs w:val="22"/>
        </w:rPr>
        <w:t xml:space="preserve">los intereses moratorios </w:t>
      </w:r>
      <w:r w:rsidR="00054469">
        <w:rPr>
          <w:rFonts w:ascii="Tahoma" w:hAnsi="Tahoma" w:cs="Tahoma"/>
          <w:sz w:val="22"/>
          <w:szCs w:val="22"/>
        </w:rPr>
        <w:t xml:space="preserve">pretendidos </w:t>
      </w:r>
      <w:r w:rsidR="00D906C7" w:rsidRPr="00B779DF">
        <w:rPr>
          <w:rFonts w:ascii="Tahoma" w:hAnsi="Tahoma" w:cs="Tahoma"/>
          <w:sz w:val="22"/>
          <w:szCs w:val="22"/>
        </w:rPr>
        <w:t>se causaron a favor del señor Salcedo Cabal</w:t>
      </w:r>
      <w:r w:rsidR="00054469">
        <w:rPr>
          <w:rFonts w:ascii="Tahoma" w:hAnsi="Tahoma" w:cs="Tahoma"/>
          <w:sz w:val="22"/>
          <w:szCs w:val="22"/>
        </w:rPr>
        <w:t xml:space="preserve"> una vez venció el t</w:t>
      </w:r>
      <w:r w:rsidR="008849DC">
        <w:rPr>
          <w:rFonts w:ascii="Tahoma" w:hAnsi="Tahoma" w:cs="Tahoma"/>
          <w:sz w:val="22"/>
          <w:szCs w:val="22"/>
        </w:rPr>
        <w:t>érmino legal con el que contaba la demandada para conceder la pensión.</w:t>
      </w:r>
      <w:r w:rsidR="00965D59" w:rsidRPr="00B779DF">
        <w:rPr>
          <w:rFonts w:ascii="Tahoma" w:hAnsi="Tahoma" w:cs="Tahoma"/>
          <w:sz w:val="22"/>
          <w:szCs w:val="22"/>
        </w:rPr>
        <w:t xml:space="preserve"> </w:t>
      </w:r>
      <w:r w:rsidRPr="00B779DF">
        <w:rPr>
          <w:rFonts w:ascii="Tahoma" w:hAnsi="Tahoma" w:cs="Tahoma"/>
          <w:sz w:val="22"/>
          <w:szCs w:val="22"/>
        </w:rPr>
        <w:t xml:space="preserve"> </w:t>
      </w:r>
    </w:p>
    <w:p w:rsidR="006A5E66" w:rsidRPr="00B779DF" w:rsidRDefault="006A5E66" w:rsidP="00B779DF">
      <w:pPr>
        <w:pStyle w:val="Sinespaciado"/>
        <w:spacing w:line="276" w:lineRule="auto"/>
        <w:ind w:firstLine="709"/>
        <w:jc w:val="both"/>
        <w:rPr>
          <w:rFonts w:ascii="Tahoma" w:hAnsi="Tahoma" w:cs="Tahoma"/>
          <w:sz w:val="22"/>
          <w:szCs w:val="22"/>
        </w:rPr>
      </w:pPr>
    </w:p>
    <w:p w:rsidR="007E1963" w:rsidRPr="00D140A7" w:rsidRDefault="006A5E66" w:rsidP="007E1963">
      <w:pPr>
        <w:spacing w:line="276" w:lineRule="auto"/>
        <w:ind w:firstLine="708"/>
        <w:jc w:val="both"/>
        <w:rPr>
          <w:rFonts w:ascii="Tahoma" w:hAnsi="Tahoma" w:cs="Tahoma"/>
          <w:sz w:val="22"/>
          <w:szCs w:val="22"/>
        </w:rPr>
      </w:pPr>
      <w:r w:rsidRPr="00B779DF">
        <w:rPr>
          <w:rFonts w:ascii="Tahoma" w:hAnsi="Tahoma" w:cs="Tahoma"/>
          <w:sz w:val="22"/>
          <w:szCs w:val="22"/>
        </w:rPr>
        <w:lastRenderedPageBreak/>
        <w:t xml:space="preserve">En cuanto a la fecha de causación de </w:t>
      </w:r>
      <w:r w:rsidR="00D906C7" w:rsidRPr="00B779DF">
        <w:rPr>
          <w:rFonts w:ascii="Tahoma" w:hAnsi="Tahoma" w:cs="Tahoma"/>
          <w:sz w:val="22"/>
          <w:szCs w:val="22"/>
        </w:rPr>
        <w:t xml:space="preserve">los </w:t>
      </w:r>
      <w:r w:rsidRPr="00B779DF">
        <w:rPr>
          <w:rFonts w:ascii="Tahoma" w:hAnsi="Tahoma" w:cs="Tahoma"/>
          <w:sz w:val="22"/>
          <w:szCs w:val="22"/>
        </w:rPr>
        <w:t xml:space="preserve">rubros en cuestión, debe indicarse que </w:t>
      </w:r>
      <w:r w:rsidR="00D906C7" w:rsidRPr="00B779DF">
        <w:rPr>
          <w:rFonts w:ascii="Tahoma" w:hAnsi="Tahoma" w:cs="Tahoma"/>
          <w:sz w:val="22"/>
          <w:szCs w:val="22"/>
        </w:rPr>
        <w:t xml:space="preserve">se contabilizan desde el 3 de enero </w:t>
      </w:r>
      <w:r w:rsidR="00FE1D5A" w:rsidRPr="00B779DF">
        <w:rPr>
          <w:rFonts w:ascii="Tahoma" w:hAnsi="Tahoma" w:cs="Tahoma"/>
          <w:sz w:val="22"/>
          <w:szCs w:val="22"/>
        </w:rPr>
        <w:t>de 2012, pues los 4 meses con los que contaba la demandada para reconocer la prestación vencieron el día anterior, es decir el 2 de enero de 2012; por lo que son 1</w:t>
      </w:r>
      <w:r w:rsidR="00AB2CC4" w:rsidRPr="00B779DF">
        <w:rPr>
          <w:rFonts w:ascii="Tahoma" w:hAnsi="Tahoma" w:cs="Tahoma"/>
          <w:sz w:val="22"/>
          <w:szCs w:val="22"/>
        </w:rPr>
        <w:t>0</w:t>
      </w:r>
      <w:r w:rsidR="00B94819" w:rsidRPr="00B779DF">
        <w:rPr>
          <w:rFonts w:ascii="Tahoma" w:hAnsi="Tahoma" w:cs="Tahoma"/>
          <w:sz w:val="22"/>
          <w:szCs w:val="22"/>
        </w:rPr>
        <w:t>1</w:t>
      </w:r>
      <w:r w:rsidR="00AB2CC4" w:rsidRPr="00B779DF">
        <w:rPr>
          <w:rFonts w:ascii="Tahoma" w:hAnsi="Tahoma" w:cs="Tahoma"/>
          <w:sz w:val="22"/>
          <w:szCs w:val="22"/>
        </w:rPr>
        <w:t>8</w:t>
      </w:r>
      <w:r w:rsidR="00FE1D5A" w:rsidRPr="00B779DF">
        <w:rPr>
          <w:rFonts w:ascii="Tahoma" w:hAnsi="Tahoma" w:cs="Tahoma"/>
          <w:sz w:val="22"/>
          <w:szCs w:val="22"/>
        </w:rPr>
        <w:t xml:space="preserve"> días en </w:t>
      </w:r>
      <w:r w:rsidR="00332D5F" w:rsidRPr="00B779DF">
        <w:rPr>
          <w:rFonts w:ascii="Tahoma" w:hAnsi="Tahoma" w:cs="Tahoma"/>
          <w:sz w:val="22"/>
          <w:szCs w:val="22"/>
        </w:rPr>
        <w:t>mora los transcurridos hasta el 31 de octubre de 2014</w:t>
      </w:r>
      <w:r w:rsidR="00B94819" w:rsidRPr="00B779DF">
        <w:rPr>
          <w:rFonts w:ascii="Tahoma" w:hAnsi="Tahoma" w:cs="Tahoma"/>
          <w:sz w:val="22"/>
          <w:szCs w:val="22"/>
        </w:rPr>
        <w:t xml:space="preserve"> y no 1020 como lo determinó la operadora jurídica de instancia. Por otra parte, no es correcta la tasa de interés que se tomó para </w:t>
      </w:r>
      <w:r w:rsidR="00F72550" w:rsidRPr="00B779DF">
        <w:rPr>
          <w:rFonts w:ascii="Tahoma" w:hAnsi="Tahoma" w:cs="Tahoma"/>
          <w:sz w:val="22"/>
          <w:szCs w:val="22"/>
        </w:rPr>
        <w:t xml:space="preserve">calcular los </w:t>
      </w:r>
      <w:r w:rsidR="008849DC">
        <w:rPr>
          <w:rFonts w:ascii="Tahoma" w:hAnsi="Tahoma" w:cs="Tahoma"/>
          <w:sz w:val="22"/>
          <w:szCs w:val="22"/>
        </w:rPr>
        <w:t xml:space="preserve">valores </w:t>
      </w:r>
      <w:r w:rsidR="00F72550" w:rsidRPr="00B779DF">
        <w:rPr>
          <w:rFonts w:ascii="Tahoma" w:hAnsi="Tahoma" w:cs="Tahoma"/>
          <w:sz w:val="22"/>
          <w:szCs w:val="22"/>
        </w:rPr>
        <w:t xml:space="preserve"> adeudados, </w:t>
      </w:r>
      <w:r w:rsidR="00AD3F03" w:rsidRPr="00B779DF">
        <w:rPr>
          <w:rFonts w:ascii="Tahoma" w:hAnsi="Tahoma" w:cs="Tahoma"/>
          <w:sz w:val="22"/>
          <w:szCs w:val="22"/>
        </w:rPr>
        <w:t>pues la misma obedece a la del trimestre de octubre a diciembre de 2013</w:t>
      </w:r>
      <w:r w:rsidR="00B779DF" w:rsidRPr="00B779DF">
        <w:rPr>
          <w:rFonts w:ascii="Tahoma" w:hAnsi="Tahoma" w:cs="Tahoma"/>
          <w:sz w:val="22"/>
          <w:szCs w:val="22"/>
        </w:rPr>
        <w:t xml:space="preserve"> (29,78%) y no al del año 2014, que realmente corresponde a 28,76% mensual o 0,06930%</w:t>
      </w:r>
      <w:r w:rsidR="00B779DF" w:rsidRPr="007E1963">
        <w:rPr>
          <w:rFonts w:ascii="Tahoma" w:hAnsi="Tahoma" w:cs="Tahoma"/>
          <w:sz w:val="22"/>
          <w:szCs w:val="22"/>
        </w:rPr>
        <w:t xml:space="preserve"> diario</w:t>
      </w:r>
      <w:r w:rsidR="008849DC">
        <w:rPr>
          <w:rFonts w:ascii="Tahoma" w:hAnsi="Tahoma" w:cs="Tahoma"/>
          <w:sz w:val="22"/>
          <w:szCs w:val="22"/>
        </w:rPr>
        <w:t>;</w:t>
      </w:r>
      <w:r w:rsidR="00B779DF" w:rsidRPr="007E1963">
        <w:rPr>
          <w:rFonts w:ascii="Tahoma" w:hAnsi="Tahoma" w:cs="Tahoma"/>
          <w:sz w:val="22"/>
          <w:szCs w:val="22"/>
        </w:rPr>
        <w:t xml:space="preserve"> por lo que la cantidad adeudada ascien</w:t>
      </w:r>
      <w:r w:rsidR="007E1963" w:rsidRPr="007E1963">
        <w:rPr>
          <w:rFonts w:ascii="Tahoma" w:hAnsi="Tahoma" w:cs="Tahoma"/>
          <w:sz w:val="22"/>
          <w:szCs w:val="22"/>
        </w:rPr>
        <w:t>d</w:t>
      </w:r>
      <w:r w:rsidR="00B779DF" w:rsidRPr="007E1963">
        <w:rPr>
          <w:rFonts w:ascii="Tahoma" w:hAnsi="Tahoma" w:cs="Tahoma"/>
          <w:sz w:val="22"/>
          <w:szCs w:val="22"/>
        </w:rPr>
        <w:t>e</w:t>
      </w:r>
      <w:r w:rsidR="007E1963" w:rsidRPr="007E1963">
        <w:rPr>
          <w:rFonts w:ascii="Tahoma" w:hAnsi="Tahoma" w:cs="Tahoma"/>
          <w:sz w:val="22"/>
          <w:szCs w:val="22"/>
        </w:rPr>
        <w:t xml:space="preserve"> a $106.842.691</w:t>
      </w:r>
      <w:r w:rsidR="007E1963" w:rsidRPr="007E1963">
        <w:rPr>
          <w:rFonts w:ascii="Tahoma" w:hAnsi="Tahoma" w:cs="Tahoma"/>
          <w:sz w:val="18"/>
          <w:szCs w:val="18"/>
        </w:rPr>
        <w:t>,14</w:t>
      </w:r>
      <w:r w:rsidR="00AD1DB9">
        <w:rPr>
          <w:rFonts w:ascii="Tahoma" w:hAnsi="Tahoma" w:cs="Tahoma"/>
          <w:sz w:val="22"/>
          <w:szCs w:val="22"/>
        </w:rPr>
        <w:t xml:space="preserve">, tal como se observa en la liquidación que se pone de presente </w:t>
      </w:r>
      <w:r w:rsidR="00AD1DB9" w:rsidRPr="00D140A7">
        <w:rPr>
          <w:rFonts w:ascii="Tahoma" w:hAnsi="Tahoma" w:cs="Tahoma"/>
          <w:sz w:val="22"/>
          <w:szCs w:val="22"/>
        </w:rPr>
        <w:t>a los asistentes y que hará parte del acta que se levante con ocasión de la presente diligencia.</w:t>
      </w:r>
    </w:p>
    <w:p w:rsidR="007E1963" w:rsidRPr="00D140A7" w:rsidRDefault="007E1963" w:rsidP="00950F37">
      <w:pPr>
        <w:spacing w:line="276" w:lineRule="auto"/>
        <w:ind w:firstLine="708"/>
        <w:jc w:val="both"/>
        <w:rPr>
          <w:rFonts w:ascii="Tahoma" w:hAnsi="Tahoma" w:cs="Tahoma"/>
          <w:sz w:val="22"/>
          <w:szCs w:val="22"/>
        </w:rPr>
      </w:pPr>
    </w:p>
    <w:p w:rsidR="00C376E7" w:rsidRPr="00D140A7" w:rsidRDefault="007E1963" w:rsidP="007E1963">
      <w:pPr>
        <w:spacing w:line="276" w:lineRule="auto"/>
        <w:ind w:firstLine="708"/>
        <w:jc w:val="both"/>
        <w:rPr>
          <w:rFonts w:ascii="Tahoma" w:hAnsi="Tahoma" w:cs="Tahoma"/>
          <w:sz w:val="22"/>
          <w:szCs w:val="22"/>
        </w:rPr>
      </w:pPr>
      <w:r w:rsidRPr="00D140A7">
        <w:rPr>
          <w:rFonts w:ascii="Tahoma" w:hAnsi="Tahoma" w:cs="Tahoma"/>
          <w:sz w:val="22"/>
          <w:szCs w:val="22"/>
        </w:rPr>
        <w:t>E</w:t>
      </w:r>
      <w:r w:rsidR="008849DC" w:rsidRPr="00D140A7">
        <w:rPr>
          <w:rFonts w:ascii="Tahoma" w:hAnsi="Tahoma" w:cs="Tahoma"/>
          <w:sz w:val="22"/>
          <w:szCs w:val="22"/>
        </w:rPr>
        <w:t>n este punto e</w:t>
      </w:r>
      <w:r w:rsidRPr="00D140A7">
        <w:rPr>
          <w:rFonts w:ascii="Tahoma" w:hAnsi="Tahoma" w:cs="Tahoma"/>
          <w:sz w:val="22"/>
          <w:szCs w:val="22"/>
        </w:rPr>
        <w:t>s</w:t>
      </w:r>
      <w:r w:rsidR="00D140A7" w:rsidRPr="00D140A7">
        <w:rPr>
          <w:rFonts w:ascii="Tahoma" w:hAnsi="Tahoma" w:cs="Tahoma"/>
          <w:sz w:val="22"/>
          <w:szCs w:val="22"/>
        </w:rPr>
        <w:t xml:space="preserve"> </w:t>
      </w:r>
      <w:r w:rsidR="00C87455">
        <w:rPr>
          <w:rFonts w:ascii="Tahoma" w:hAnsi="Tahoma" w:cs="Tahoma"/>
          <w:sz w:val="22"/>
          <w:szCs w:val="22"/>
        </w:rPr>
        <w:t>del</w:t>
      </w:r>
      <w:r w:rsidR="00950F37" w:rsidRPr="00D140A7">
        <w:rPr>
          <w:rFonts w:ascii="Tahoma" w:hAnsi="Tahoma" w:cs="Tahoma"/>
          <w:sz w:val="22"/>
          <w:szCs w:val="22"/>
        </w:rPr>
        <w:t xml:space="preserve"> </w:t>
      </w:r>
      <w:r w:rsidRPr="00D140A7">
        <w:rPr>
          <w:rFonts w:ascii="Tahoma" w:hAnsi="Tahoma" w:cs="Tahoma"/>
          <w:sz w:val="22"/>
          <w:szCs w:val="22"/>
        </w:rPr>
        <w:t>caso</w:t>
      </w:r>
      <w:r w:rsidR="00D925F1" w:rsidRPr="00D140A7">
        <w:rPr>
          <w:rFonts w:ascii="Tahoma" w:hAnsi="Tahoma" w:cs="Tahoma"/>
          <w:sz w:val="22"/>
          <w:szCs w:val="22"/>
        </w:rPr>
        <w:t xml:space="preserve"> </w:t>
      </w:r>
      <w:r w:rsidR="00D140A7">
        <w:rPr>
          <w:rFonts w:ascii="Tahoma" w:hAnsi="Tahoma" w:cs="Tahoma"/>
          <w:sz w:val="22"/>
          <w:szCs w:val="22"/>
        </w:rPr>
        <w:t>resaltar</w:t>
      </w:r>
      <w:r w:rsidR="00D925F1" w:rsidRPr="00D140A7">
        <w:rPr>
          <w:rFonts w:ascii="Tahoma" w:hAnsi="Tahoma" w:cs="Tahoma"/>
          <w:sz w:val="22"/>
          <w:szCs w:val="22"/>
        </w:rPr>
        <w:t xml:space="preserve"> </w:t>
      </w:r>
      <w:r w:rsidRPr="00D140A7">
        <w:rPr>
          <w:rFonts w:ascii="Tahoma" w:hAnsi="Tahoma" w:cs="Tahoma"/>
          <w:sz w:val="22"/>
          <w:szCs w:val="22"/>
        </w:rPr>
        <w:t xml:space="preserve">que </w:t>
      </w:r>
      <w:r w:rsidR="008849DC" w:rsidRPr="00D140A7">
        <w:rPr>
          <w:rFonts w:ascii="Tahoma" w:hAnsi="Tahoma" w:cs="Tahoma"/>
          <w:sz w:val="22"/>
          <w:szCs w:val="22"/>
        </w:rPr>
        <w:t>ninguna</w:t>
      </w:r>
      <w:r w:rsidR="00D925F1" w:rsidRPr="00D140A7">
        <w:rPr>
          <w:rFonts w:ascii="Tahoma" w:hAnsi="Tahoma" w:cs="Tahoma"/>
          <w:sz w:val="22"/>
          <w:szCs w:val="22"/>
        </w:rPr>
        <w:t xml:space="preserve"> </w:t>
      </w:r>
      <w:r w:rsidR="008849DC" w:rsidRPr="00D140A7">
        <w:rPr>
          <w:rFonts w:ascii="Tahoma" w:hAnsi="Tahoma" w:cs="Tahoma"/>
          <w:sz w:val="22"/>
          <w:szCs w:val="22"/>
        </w:rPr>
        <w:t>suma</w:t>
      </w:r>
      <w:r w:rsidR="00D925F1" w:rsidRPr="00D140A7">
        <w:rPr>
          <w:rFonts w:ascii="Tahoma" w:hAnsi="Tahoma" w:cs="Tahoma"/>
          <w:sz w:val="22"/>
          <w:szCs w:val="22"/>
        </w:rPr>
        <w:t xml:space="preserve"> </w:t>
      </w:r>
      <w:r w:rsidRPr="00D140A7">
        <w:rPr>
          <w:rFonts w:ascii="Tahoma" w:hAnsi="Tahoma" w:cs="Tahoma"/>
          <w:sz w:val="22"/>
          <w:szCs w:val="22"/>
        </w:rPr>
        <w:t>se</w:t>
      </w:r>
      <w:r w:rsidR="00D925F1" w:rsidRPr="00D140A7">
        <w:rPr>
          <w:rFonts w:ascii="Tahoma" w:hAnsi="Tahoma" w:cs="Tahoma"/>
          <w:sz w:val="22"/>
          <w:szCs w:val="22"/>
        </w:rPr>
        <w:t xml:space="preserve"> </w:t>
      </w:r>
      <w:r w:rsidR="00D140A7">
        <w:rPr>
          <w:rFonts w:ascii="Tahoma" w:hAnsi="Tahoma" w:cs="Tahoma"/>
          <w:sz w:val="22"/>
          <w:szCs w:val="22"/>
        </w:rPr>
        <w:t xml:space="preserve"> vio</w:t>
      </w:r>
      <w:r w:rsidR="00D925F1" w:rsidRPr="00D140A7">
        <w:rPr>
          <w:rFonts w:ascii="Tahoma" w:hAnsi="Tahoma" w:cs="Tahoma"/>
          <w:sz w:val="22"/>
          <w:szCs w:val="22"/>
        </w:rPr>
        <w:t xml:space="preserve"> </w:t>
      </w:r>
      <w:r w:rsidR="008849DC" w:rsidRPr="00D140A7">
        <w:rPr>
          <w:rFonts w:ascii="Tahoma" w:hAnsi="Tahoma" w:cs="Tahoma"/>
          <w:sz w:val="22"/>
          <w:szCs w:val="22"/>
        </w:rPr>
        <w:t xml:space="preserve">cobijada </w:t>
      </w:r>
      <w:r w:rsidRPr="00D140A7">
        <w:rPr>
          <w:rFonts w:ascii="Tahoma" w:hAnsi="Tahoma" w:cs="Tahoma"/>
          <w:sz w:val="22"/>
          <w:szCs w:val="22"/>
        </w:rPr>
        <w:t>por</w:t>
      </w:r>
      <w:r w:rsidR="00D925F1" w:rsidRPr="00D140A7">
        <w:rPr>
          <w:rFonts w:ascii="Tahoma" w:hAnsi="Tahoma" w:cs="Tahoma"/>
          <w:sz w:val="22"/>
          <w:szCs w:val="22"/>
        </w:rPr>
        <w:t xml:space="preserve"> </w:t>
      </w:r>
      <w:r w:rsidRPr="00D140A7">
        <w:rPr>
          <w:rFonts w:ascii="Tahoma" w:hAnsi="Tahoma" w:cs="Tahoma"/>
          <w:sz w:val="22"/>
          <w:szCs w:val="22"/>
        </w:rPr>
        <w:t>la prescripción</w:t>
      </w:r>
      <w:r w:rsidR="00D925F1" w:rsidRPr="00D140A7">
        <w:rPr>
          <w:rFonts w:ascii="Tahoma" w:hAnsi="Tahoma" w:cs="Tahoma"/>
          <w:sz w:val="22"/>
          <w:szCs w:val="22"/>
        </w:rPr>
        <w:t xml:space="preserve"> </w:t>
      </w:r>
      <w:r w:rsidR="008849DC" w:rsidRPr="00D140A7">
        <w:rPr>
          <w:rFonts w:ascii="Tahoma" w:hAnsi="Tahoma" w:cs="Tahoma"/>
          <w:sz w:val="22"/>
          <w:szCs w:val="22"/>
        </w:rPr>
        <w:t>que</w:t>
      </w:r>
      <w:r w:rsidR="00D925F1" w:rsidRPr="00D140A7">
        <w:rPr>
          <w:rFonts w:ascii="Tahoma" w:hAnsi="Tahoma" w:cs="Tahoma"/>
          <w:sz w:val="22"/>
          <w:szCs w:val="22"/>
        </w:rPr>
        <w:t xml:space="preserve"> </w:t>
      </w:r>
      <w:r w:rsidR="008849DC" w:rsidRPr="00D140A7">
        <w:rPr>
          <w:rFonts w:ascii="Tahoma" w:hAnsi="Tahoma" w:cs="Tahoma"/>
          <w:sz w:val="22"/>
          <w:szCs w:val="22"/>
        </w:rPr>
        <w:t xml:space="preserve"> fuera</w:t>
      </w:r>
      <w:r w:rsidR="0024635D" w:rsidRPr="00D140A7">
        <w:rPr>
          <w:rFonts w:ascii="Tahoma" w:hAnsi="Tahoma" w:cs="Tahoma"/>
          <w:sz w:val="22"/>
          <w:szCs w:val="22"/>
        </w:rPr>
        <w:t xml:space="preserve"> </w:t>
      </w:r>
      <w:r w:rsidR="008849DC" w:rsidRPr="00D140A7">
        <w:rPr>
          <w:rFonts w:ascii="Tahoma" w:hAnsi="Tahoma" w:cs="Tahoma"/>
          <w:sz w:val="22"/>
          <w:szCs w:val="22"/>
        </w:rPr>
        <w:t>propuesta</w:t>
      </w:r>
      <w:r w:rsidR="0024635D" w:rsidRPr="00D140A7">
        <w:rPr>
          <w:rFonts w:ascii="Tahoma" w:hAnsi="Tahoma" w:cs="Tahoma"/>
          <w:sz w:val="22"/>
          <w:szCs w:val="22"/>
        </w:rPr>
        <w:t xml:space="preserve"> </w:t>
      </w:r>
      <w:r w:rsidR="008849DC" w:rsidRPr="00D140A7">
        <w:rPr>
          <w:rFonts w:ascii="Tahoma" w:hAnsi="Tahoma" w:cs="Tahoma"/>
          <w:sz w:val="22"/>
          <w:szCs w:val="22"/>
        </w:rPr>
        <w:t>por</w:t>
      </w:r>
      <w:r w:rsidR="00C87455">
        <w:rPr>
          <w:rFonts w:ascii="Tahoma" w:hAnsi="Tahoma" w:cs="Tahoma"/>
          <w:sz w:val="22"/>
          <w:szCs w:val="22"/>
        </w:rPr>
        <w:t xml:space="preserve"> la</w:t>
      </w:r>
      <w:r w:rsidR="0024635D" w:rsidRPr="00D140A7">
        <w:rPr>
          <w:rFonts w:ascii="Tahoma" w:hAnsi="Tahoma" w:cs="Tahoma"/>
          <w:sz w:val="22"/>
          <w:szCs w:val="22"/>
        </w:rPr>
        <w:t xml:space="preserve"> </w:t>
      </w:r>
      <w:r w:rsidR="008849DC" w:rsidRPr="00D140A7">
        <w:rPr>
          <w:rFonts w:ascii="Tahoma" w:hAnsi="Tahoma" w:cs="Tahoma"/>
          <w:sz w:val="22"/>
          <w:szCs w:val="22"/>
        </w:rPr>
        <w:t>parte</w:t>
      </w:r>
      <w:r w:rsidR="0024635D" w:rsidRPr="00D140A7">
        <w:rPr>
          <w:rFonts w:ascii="Tahoma" w:hAnsi="Tahoma" w:cs="Tahoma"/>
          <w:sz w:val="22"/>
          <w:szCs w:val="22"/>
        </w:rPr>
        <w:t xml:space="preserve"> </w:t>
      </w:r>
      <w:r w:rsidR="00D140A7">
        <w:rPr>
          <w:rFonts w:ascii="Tahoma" w:hAnsi="Tahoma" w:cs="Tahoma"/>
          <w:sz w:val="22"/>
          <w:szCs w:val="22"/>
        </w:rPr>
        <w:t>pasiva</w:t>
      </w:r>
      <w:r w:rsidR="00D140A7" w:rsidRPr="00D140A7">
        <w:rPr>
          <w:rFonts w:ascii="Tahoma" w:hAnsi="Tahoma" w:cs="Tahoma"/>
          <w:sz w:val="22"/>
          <w:szCs w:val="22"/>
        </w:rPr>
        <w:t xml:space="preserve"> </w:t>
      </w:r>
      <w:r w:rsidR="00D140A7">
        <w:rPr>
          <w:rFonts w:ascii="Tahoma" w:hAnsi="Tahoma" w:cs="Tahoma"/>
          <w:sz w:val="22"/>
          <w:szCs w:val="22"/>
        </w:rPr>
        <w:t>en</w:t>
      </w:r>
      <w:r w:rsidR="00D140A7" w:rsidRPr="00D140A7">
        <w:rPr>
          <w:rFonts w:ascii="Tahoma" w:hAnsi="Tahoma" w:cs="Tahoma"/>
          <w:sz w:val="22"/>
          <w:szCs w:val="22"/>
        </w:rPr>
        <w:t xml:space="preserve"> </w:t>
      </w:r>
      <w:r w:rsidR="008849DC" w:rsidRPr="00D140A7">
        <w:rPr>
          <w:rFonts w:ascii="Tahoma" w:hAnsi="Tahoma" w:cs="Tahoma"/>
          <w:sz w:val="22"/>
          <w:szCs w:val="22"/>
        </w:rPr>
        <w:t xml:space="preserve">la </w:t>
      </w:r>
      <w:r w:rsidR="00D925F1" w:rsidRPr="00D140A7">
        <w:rPr>
          <w:rFonts w:ascii="Tahoma" w:hAnsi="Tahoma" w:cs="Tahoma"/>
          <w:sz w:val="22"/>
          <w:szCs w:val="22"/>
        </w:rPr>
        <w:t xml:space="preserve"> </w:t>
      </w:r>
      <w:r w:rsidR="008849DC" w:rsidRPr="00D140A7">
        <w:rPr>
          <w:rFonts w:ascii="Tahoma" w:hAnsi="Tahoma" w:cs="Tahoma"/>
          <w:sz w:val="22"/>
          <w:szCs w:val="22"/>
        </w:rPr>
        <w:t>contestación de la demanda</w:t>
      </w:r>
      <w:r w:rsidRPr="00D140A7">
        <w:rPr>
          <w:rFonts w:ascii="Tahoma" w:hAnsi="Tahoma" w:cs="Tahoma"/>
          <w:sz w:val="22"/>
          <w:szCs w:val="22"/>
        </w:rPr>
        <w:t>, primero que</w:t>
      </w:r>
      <w:r w:rsidR="00D925F1" w:rsidRPr="00D140A7">
        <w:rPr>
          <w:rFonts w:ascii="Tahoma" w:hAnsi="Tahoma" w:cs="Tahoma"/>
          <w:sz w:val="22"/>
          <w:szCs w:val="22"/>
        </w:rPr>
        <w:t xml:space="preserve"> </w:t>
      </w:r>
      <w:r w:rsidRPr="00D140A7">
        <w:rPr>
          <w:rFonts w:ascii="Tahoma" w:hAnsi="Tahoma" w:cs="Tahoma"/>
          <w:sz w:val="22"/>
          <w:szCs w:val="22"/>
        </w:rPr>
        <w:t>todo,</w:t>
      </w:r>
      <w:r w:rsidR="00D140A7" w:rsidRPr="00D140A7">
        <w:rPr>
          <w:rFonts w:ascii="Tahoma" w:hAnsi="Tahoma" w:cs="Tahoma"/>
          <w:sz w:val="22"/>
          <w:szCs w:val="22"/>
        </w:rPr>
        <w:t xml:space="preserve"> </w:t>
      </w:r>
      <w:r w:rsidRPr="00D140A7">
        <w:rPr>
          <w:rFonts w:ascii="Tahoma" w:hAnsi="Tahoma" w:cs="Tahoma"/>
          <w:sz w:val="22"/>
          <w:szCs w:val="22"/>
        </w:rPr>
        <w:t xml:space="preserve">porque </w:t>
      </w:r>
      <w:r w:rsidR="00D925F1" w:rsidRPr="00D140A7">
        <w:rPr>
          <w:rFonts w:ascii="Tahoma" w:hAnsi="Tahoma" w:cs="Tahoma"/>
          <w:sz w:val="22"/>
          <w:szCs w:val="22"/>
        </w:rPr>
        <w:t xml:space="preserve"> </w:t>
      </w:r>
      <w:r w:rsidRPr="00D140A7">
        <w:rPr>
          <w:rFonts w:ascii="Tahoma" w:hAnsi="Tahoma" w:cs="Tahoma"/>
          <w:sz w:val="22"/>
          <w:szCs w:val="22"/>
        </w:rPr>
        <w:t>la</w:t>
      </w:r>
      <w:r w:rsidR="00D140A7" w:rsidRPr="00D140A7">
        <w:rPr>
          <w:rFonts w:ascii="Tahoma" w:hAnsi="Tahoma" w:cs="Tahoma"/>
          <w:sz w:val="22"/>
          <w:szCs w:val="22"/>
        </w:rPr>
        <w:t xml:space="preserve"> </w:t>
      </w:r>
      <w:r w:rsidRPr="00D140A7">
        <w:rPr>
          <w:rFonts w:ascii="Tahoma" w:hAnsi="Tahoma" w:cs="Tahoma"/>
          <w:sz w:val="22"/>
          <w:szCs w:val="22"/>
        </w:rPr>
        <w:t xml:space="preserve"> solicitud</w:t>
      </w:r>
      <w:r w:rsidR="00C87455">
        <w:rPr>
          <w:rFonts w:ascii="Tahoma" w:hAnsi="Tahoma" w:cs="Tahoma"/>
          <w:sz w:val="22"/>
          <w:szCs w:val="22"/>
        </w:rPr>
        <w:t xml:space="preserve"> presentada</w:t>
      </w:r>
      <w:r w:rsidR="00D140A7" w:rsidRPr="00D140A7">
        <w:rPr>
          <w:rFonts w:ascii="Tahoma" w:hAnsi="Tahoma" w:cs="Tahoma"/>
          <w:sz w:val="22"/>
          <w:szCs w:val="22"/>
        </w:rPr>
        <w:t xml:space="preserve"> </w:t>
      </w:r>
      <w:r w:rsidR="00C87455">
        <w:rPr>
          <w:rFonts w:ascii="Tahoma" w:hAnsi="Tahoma" w:cs="Tahoma"/>
          <w:sz w:val="22"/>
          <w:szCs w:val="22"/>
        </w:rPr>
        <w:t>por</w:t>
      </w:r>
      <w:r w:rsidR="00D140A7" w:rsidRPr="00D140A7">
        <w:rPr>
          <w:rFonts w:ascii="Tahoma" w:hAnsi="Tahoma" w:cs="Tahoma"/>
          <w:sz w:val="22"/>
          <w:szCs w:val="22"/>
        </w:rPr>
        <w:t xml:space="preserve"> </w:t>
      </w:r>
      <w:r w:rsidR="00C87455">
        <w:rPr>
          <w:rFonts w:ascii="Tahoma" w:hAnsi="Tahoma" w:cs="Tahoma"/>
          <w:sz w:val="22"/>
          <w:szCs w:val="22"/>
        </w:rPr>
        <w:t>el</w:t>
      </w:r>
      <w:r w:rsidR="00D140A7" w:rsidRPr="00D140A7">
        <w:rPr>
          <w:rFonts w:ascii="Tahoma" w:hAnsi="Tahoma" w:cs="Tahoma"/>
          <w:sz w:val="22"/>
          <w:szCs w:val="22"/>
        </w:rPr>
        <w:t xml:space="preserve"> </w:t>
      </w:r>
      <w:r w:rsidRPr="00D140A7">
        <w:rPr>
          <w:rFonts w:ascii="Tahoma" w:hAnsi="Tahoma" w:cs="Tahoma"/>
          <w:sz w:val="22"/>
          <w:szCs w:val="22"/>
        </w:rPr>
        <w:t xml:space="preserve">demandante </w:t>
      </w:r>
      <w:r w:rsidR="00D925F1" w:rsidRPr="00D140A7">
        <w:rPr>
          <w:rFonts w:ascii="Tahoma" w:hAnsi="Tahoma" w:cs="Tahoma"/>
          <w:sz w:val="22"/>
          <w:szCs w:val="22"/>
        </w:rPr>
        <w:t xml:space="preserve"> </w:t>
      </w:r>
      <w:r w:rsidR="00C87455">
        <w:rPr>
          <w:rFonts w:ascii="Tahoma" w:hAnsi="Tahoma" w:cs="Tahoma"/>
          <w:sz w:val="22"/>
          <w:szCs w:val="22"/>
        </w:rPr>
        <w:t>el</w:t>
      </w:r>
      <w:r w:rsidR="00D925F1" w:rsidRPr="00D140A7">
        <w:rPr>
          <w:rFonts w:ascii="Tahoma" w:hAnsi="Tahoma" w:cs="Tahoma"/>
          <w:sz w:val="22"/>
          <w:szCs w:val="22"/>
        </w:rPr>
        <w:t xml:space="preserve"> </w:t>
      </w:r>
      <w:r w:rsidRPr="00D140A7">
        <w:rPr>
          <w:rFonts w:ascii="Tahoma" w:hAnsi="Tahoma" w:cs="Tahoma"/>
          <w:sz w:val="22"/>
          <w:szCs w:val="22"/>
        </w:rPr>
        <w:t>2</w:t>
      </w:r>
      <w:r w:rsidR="00C87455">
        <w:rPr>
          <w:rFonts w:ascii="Tahoma" w:hAnsi="Tahoma" w:cs="Tahoma"/>
          <w:sz w:val="22"/>
          <w:szCs w:val="22"/>
        </w:rPr>
        <w:t xml:space="preserve"> de</w:t>
      </w:r>
      <w:r w:rsidR="00D925F1" w:rsidRPr="00D140A7">
        <w:rPr>
          <w:rFonts w:ascii="Tahoma" w:hAnsi="Tahoma" w:cs="Tahoma"/>
          <w:sz w:val="22"/>
          <w:szCs w:val="22"/>
        </w:rPr>
        <w:t xml:space="preserve"> </w:t>
      </w:r>
      <w:r w:rsidRPr="00D140A7">
        <w:rPr>
          <w:rFonts w:ascii="Tahoma" w:hAnsi="Tahoma" w:cs="Tahoma"/>
          <w:sz w:val="22"/>
          <w:szCs w:val="22"/>
        </w:rPr>
        <w:t>septiembre de</w:t>
      </w:r>
      <w:r w:rsidR="00D925F1" w:rsidRPr="00D140A7">
        <w:rPr>
          <w:rFonts w:ascii="Tahoma" w:hAnsi="Tahoma" w:cs="Tahoma"/>
          <w:sz w:val="22"/>
          <w:szCs w:val="22"/>
        </w:rPr>
        <w:t xml:space="preserve"> </w:t>
      </w:r>
      <w:r w:rsidR="00D140A7">
        <w:rPr>
          <w:rFonts w:ascii="Tahoma" w:hAnsi="Tahoma" w:cs="Tahoma"/>
          <w:sz w:val="22"/>
          <w:szCs w:val="22"/>
        </w:rPr>
        <w:t>2011</w:t>
      </w:r>
      <w:r w:rsidR="00D925F1" w:rsidRPr="00D140A7">
        <w:rPr>
          <w:rFonts w:ascii="Tahoma" w:hAnsi="Tahoma" w:cs="Tahoma"/>
          <w:sz w:val="22"/>
          <w:szCs w:val="22"/>
        </w:rPr>
        <w:t xml:space="preserve"> </w:t>
      </w:r>
      <w:r w:rsidRPr="00D140A7">
        <w:rPr>
          <w:rFonts w:ascii="Tahoma" w:hAnsi="Tahoma" w:cs="Tahoma"/>
          <w:sz w:val="22"/>
          <w:szCs w:val="22"/>
        </w:rPr>
        <w:t>no</w:t>
      </w:r>
      <w:r w:rsidR="00D925F1" w:rsidRPr="00D140A7">
        <w:rPr>
          <w:rFonts w:ascii="Tahoma" w:hAnsi="Tahoma" w:cs="Tahoma"/>
          <w:sz w:val="22"/>
          <w:szCs w:val="22"/>
        </w:rPr>
        <w:t xml:space="preserve"> </w:t>
      </w:r>
      <w:r w:rsidRPr="00D140A7">
        <w:rPr>
          <w:rFonts w:ascii="Tahoma" w:hAnsi="Tahoma" w:cs="Tahoma"/>
          <w:sz w:val="22"/>
          <w:szCs w:val="22"/>
        </w:rPr>
        <w:t xml:space="preserve"> fue</w:t>
      </w:r>
      <w:r w:rsidR="00D140A7" w:rsidRPr="00D140A7">
        <w:rPr>
          <w:rFonts w:ascii="Tahoma" w:hAnsi="Tahoma" w:cs="Tahoma"/>
          <w:sz w:val="22"/>
          <w:szCs w:val="22"/>
        </w:rPr>
        <w:t xml:space="preserve"> </w:t>
      </w:r>
      <w:r w:rsidR="00D140A7">
        <w:rPr>
          <w:rFonts w:ascii="Tahoma" w:hAnsi="Tahoma" w:cs="Tahoma"/>
          <w:sz w:val="22"/>
          <w:szCs w:val="22"/>
        </w:rPr>
        <w:t>resuelta</w:t>
      </w:r>
      <w:r w:rsidR="00D140A7" w:rsidRPr="00D140A7">
        <w:rPr>
          <w:rFonts w:ascii="Tahoma" w:hAnsi="Tahoma" w:cs="Tahoma"/>
          <w:sz w:val="22"/>
          <w:szCs w:val="22"/>
        </w:rPr>
        <w:t xml:space="preserve"> </w:t>
      </w:r>
      <w:r w:rsidRPr="00D140A7">
        <w:rPr>
          <w:rFonts w:ascii="Tahoma" w:hAnsi="Tahoma" w:cs="Tahoma"/>
          <w:sz w:val="22"/>
          <w:szCs w:val="22"/>
        </w:rPr>
        <w:t>de</w:t>
      </w:r>
      <w:r w:rsidR="00950F37" w:rsidRPr="00D140A7">
        <w:rPr>
          <w:rFonts w:ascii="Tahoma" w:hAnsi="Tahoma" w:cs="Tahoma"/>
          <w:sz w:val="22"/>
          <w:szCs w:val="22"/>
        </w:rPr>
        <w:t xml:space="preserve"> </w:t>
      </w:r>
      <w:r w:rsidRPr="00D140A7">
        <w:rPr>
          <w:rFonts w:ascii="Tahoma" w:hAnsi="Tahoma" w:cs="Tahoma"/>
          <w:sz w:val="22"/>
          <w:szCs w:val="22"/>
        </w:rPr>
        <w:t>fondo en</w:t>
      </w:r>
      <w:r w:rsidR="00D140A7" w:rsidRPr="00D140A7">
        <w:rPr>
          <w:rFonts w:ascii="Tahoma" w:hAnsi="Tahoma" w:cs="Tahoma"/>
          <w:sz w:val="22"/>
          <w:szCs w:val="22"/>
        </w:rPr>
        <w:t xml:space="preserve"> </w:t>
      </w:r>
      <w:r w:rsidRPr="00D140A7">
        <w:rPr>
          <w:rFonts w:ascii="Tahoma" w:hAnsi="Tahoma" w:cs="Tahoma"/>
          <w:sz w:val="22"/>
          <w:szCs w:val="22"/>
        </w:rPr>
        <w:t xml:space="preserve">momento alguno, </w:t>
      </w:r>
      <w:r w:rsidRPr="00D140A7">
        <w:rPr>
          <w:rFonts w:ascii="Tahoma" w:hAnsi="Tahoma" w:cs="Tahoma"/>
          <w:b/>
          <w:sz w:val="22"/>
          <w:szCs w:val="22"/>
          <w:u w:val="single"/>
        </w:rPr>
        <w:t>por</w:t>
      </w:r>
      <w:r w:rsidR="0024635D" w:rsidRPr="00D140A7">
        <w:rPr>
          <w:rFonts w:ascii="Tahoma" w:hAnsi="Tahoma" w:cs="Tahoma"/>
          <w:b/>
          <w:sz w:val="22"/>
          <w:szCs w:val="22"/>
          <w:u w:val="single"/>
        </w:rPr>
        <w:t xml:space="preserve"> </w:t>
      </w:r>
      <w:r w:rsidRPr="00D140A7">
        <w:rPr>
          <w:rFonts w:ascii="Tahoma" w:hAnsi="Tahoma" w:cs="Tahoma"/>
          <w:b/>
          <w:sz w:val="22"/>
          <w:szCs w:val="22"/>
          <w:u w:val="single"/>
        </w:rPr>
        <w:t>lo</w:t>
      </w:r>
      <w:r w:rsidR="00D140A7" w:rsidRPr="00D140A7">
        <w:rPr>
          <w:rFonts w:ascii="Tahoma" w:hAnsi="Tahoma" w:cs="Tahoma"/>
          <w:b/>
          <w:sz w:val="22"/>
          <w:szCs w:val="22"/>
          <w:u w:val="single"/>
        </w:rPr>
        <w:t xml:space="preserve"> </w:t>
      </w:r>
      <w:r w:rsidRPr="00D140A7">
        <w:rPr>
          <w:rFonts w:ascii="Tahoma" w:hAnsi="Tahoma" w:cs="Tahoma"/>
          <w:b/>
          <w:sz w:val="22"/>
          <w:szCs w:val="22"/>
          <w:u w:val="single"/>
        </w:rPr>
        <w:t>que</w:t>
      </w:r>
      <w:r w:rsidR="00D925F1" w:rsidRPr="00D140A7">
        <w:rPr>
          <w:rFonts w:ascii="Tahoma" w:hAnsi="Tahoma" w:cs="Tahoma"/>
          <w:b/>
          <w:sz w:val="22"/>
          <w:szCs w:val="22"/>
          <w:u w:val="single"/>
        </w:rPr>
        <w:t xml:space="preserve"> </w:t>
      </w:r>
      <w:r w:rsidR="00C87455">
        <w:rPr>
          <w:rFonts w:ascii="Tahoma" w:hAnsi="Tahoma" w:cs="Tahoma"/>
          <w:b/>
          <w:sz w:val="22"/>
          <w:szCs w:val="22"/>
          <w:u w:val="single"/>
        </w:rPr>
        <w:t>se</w:t>
      </w:r>
      <w:r w:rsidR="00D925F1" w:rsidRPr="00D140A7">
        <w:rPr>
          <w:rFonts w:ascii="Tahoma" w:hAnsi="Tahoma" w:cs="Tahoma"/>
          <w:b/>
          <w:sz w:val="22"/>
          <w:szCs w:val="22"/>
          <w:u w:val="single"/>
        </w:rPr>
        <w:t xml:space="preserve"> </w:t>
      </w:r>
      <w:r w:rsidR="00C87455">
        <w:rPr>
          <w:rFonts w:ascii="Tahoma" w:hAnsi="Tahoma" w:cs="Tahoma"/>
          <w:b/>
          <w:sz w:val="22"/>
          <w:szCs w:val="22"/>
          <w:u w:val="single"/>
        </w:rPr>
        <w:t>encontraba suspendido</w:t>
      </w:r>
      <w:r w:rsidR="00D925F1" w:rsidRPr="00D140A7">
        <w:rPr>
          <w:rFonts w:ascii="Tahoma" w:hAnsi="Tahoma" w:cs="Tahoma"/>
          <w:b/>
          <w:sz w:val="22"/>
          <w:szCs w:val="22"/>
          <w:u w:val="single"/>
        </w:rPr>
        <w:t xml:space="preserve"> el</w:t>
      </w:r>
      <w:r w:rsidR="00D140A7" w:rsidRPr="00D140A7">
        <w:rPr>
          <w:rFonts w:ascii="Tahoma" w:hAnsi="Tahoma" w:cs="Tahoma"/>
          <w:b/>
          <w:sz w:val="22"/>
          <w:szCs w:val="22"/>
          <w:u w:val="single"/>
        </w:rPr>
        <w:t xml:space="preserve"> </w:t>
      </w:r>
      <w:r w:rsidR="00D925F1" w:rsidRPr="00D140A7">
        <w:rPr>
          <w:rFonts w:ascii="Tahoma" w:hAnsi="Tahoma" w:cs="Tahoma"/>
          <w:b/>
          <w:sz w:val="22"/>
          <w:szCs w:val="22"/>
          <w:u w:val="single"/>
        </w:rPr>
        <w:t xml:space="preserve">término de prescripción al estar </w:t>
      </w:r>
      <w:r w:rsidR="00D140A7">
        <w:rPr>
          <w:rFonts w:ascii="Tahoma" w:hAnsi="Tahoma" w:cs="Tahoma"/>
          <w:b/>
          <w:sz w:val="22"/>
          <w:szCs w:val="22"/>
          <w:u w:val="single"/>
        </w:rPr>
        <w:t>pendiente</w:t>
      </w:r>
      <w:r w:rsidR="00D925F1" w:rsidRPr="00D140A7">
        <w:rPr>
          <w:rFonts w:ascii="Tahoma" w:hAnsi="Tahoma" w:cs="Tahoma"/>
          <w:b/>
          <w:sz w:val="22"/>
          <w:szCs w:val="22"/>
          <w:u w:val="single"/>
        </w:rPr>
        <w:t xml:space="preserve"> el agotamiento de la reclamaci</w:t>
      </w:r>
      <w:r w:rsidR="00D140A7" w:rsidRPr="00D140A7">
        <w:rPr>
          <w:rFonts w:ascii="Tahoma" w:hAnsi="Tahoma" w:cs="Tahoma"/>
          <w:b/>
          <w:sz w:val="22"/>
          <w:szCs w:val="22"/>
          <w:u w:val="single"/>
        </w:rPr>
        <w:t>ón</w:t>
      </w:r>
      <w:r w:rsidR="0024635D" w:rsidRPr="00D140A7">
        <w:rPr>
          <w:rFonts w:ascii="Tahoma" w:hAnsi="Tahoma" w:cs="Tahoma"/>
          <w:b/>
          <w:sz w:val="22"/>
          <w:szCs w:val="22"/>
          <w:u w:val="single"/>
        </w:rPr>
        <w:t xml:space="preserve"> </w:t>
      </w:r>
      <w:r w:rsidR="00D925F1" w:rsidRPr="00D140A7">
        <w:rPr>
          <w:rFonts w:ascii="Tahoma" w:hAnsi="Tahoma" w:cs="Tahoma"/>
          <w:b/>
          <w:sz w:val="22"/>
          <w:szCs w:val="22"/>
          <w:u w:val="single"/>
        </w:rPr>
        <w:t>administrativa</w:t>
      </w:r>
      <w:r w:rsidR="0024635D" w:rsidRPr="00D140A7">
        <w:rPr>
          <w:rFonts w:ascii="Tahoma" w:hAnsi="Tahoma" w:cs="Tahoma"/>
          <w:b/>
          <w:sz w:val="22"/>
          <w:szCs w:val="22"/>
          <w:u w:val="single"/>
        </w:rPr>
        <w:t xml:space="preserve"> y no haberse incoado la </w:t>
      </w:r>
      <w:r w:rsidR="00C87455">
        <w:rPr>
          <w:rFonts w:ascii="Tahoma" w:hAnsi="Tahoma" w:cs="Tahoma"/>
          <w:b/>
          <w:sz w:val="22"/>
          <w:szCs w:val="22"/>
          <w:u w:val="single"/>
        </w:rPr>
        <w:t>respectiva</w:t>
      </w:r>
      <w:r w:rsidR="0024635D" w:rsidRPr="00D140A7">
        <w:rPr>
          <w:rFonts w:ascii="Tahoma" w:hAnsi="Tahoma" w:cs="Tahoma"/>
          <w:b/>
          <w:sz w:val="22"/>
          <w:szCs w:val="22"/>
          <w:u w:val="single"/>
        </w:rPr>
        <w:t xml:space="preserve"> demanda</w:t>
      </w:r>
      <w:r w:rsidR="00D925F1" w:rsidRPr="00D140A7">
        <w:rPr>
          <w:rFonts w:ascii="Tahoma" w:hAnsi="Tahoma" w:cs="Tahoma"/>
          <w:sz w:val="22"/>
          <w:szCs w:val="22"/>
        </w:rPr>
        <w:t xml:space="preserve">, </w:t>
      </w:r>
      <w:r w:rsidR="00D140A7" w:rsidRPr="00D140A7">
        <w:rPr>
          <w:rFonts w:ascii="Tahoma" w:hAnsi="Tahoma" w:cs="Tahoma"/>
          <w:sz w:val="22"/>
          <w:szCs w:val="22"/>
        </w:rPr>
        <w:t xml:space="preserve"> </w:t>
      </w:r>
      <w:r w:rsidR="00D140A7">
        <w:rPr>
          <w:rFonts w:ascii="Tahoma" w:hAnsi="Tahoma" w:cs="Tahoma"/>
          <w:sz w:val="22"/>
          <w:szCs w:val="22"/>
        </w:rPr>
        <w:t>de</w:t>
      </w:r>
      <w:r w:rsidR="00D925F1" w:rsidRPr="00D140A7">
        <w:rPr>
          <w:rFonts w:ascii="Tahoma" w:hAnsi="Tahoma" w:cs="Tahoma"/>
          <w:sz w:val="22"/>
          <w:szCs w:val="22"/>
        </w:rPr>
        <w:t xml:space="preserve"> </w:t>
      </w:r>
      <w:r w:rsidR="007F3D3D" w:rsidRPr="00D140A7">
        <w:rPr>
          <w:rFonts w:ascii="Tahoma" w:hAnsi="Tahoma" w:cs="Tahoma"/>
          <w:sz w:val="22"/>
          <w:szCs w:val="22"/>
        </w:rPr>
        <w:t>conformidad</w:t>
      </w:r>
      <w:r w:rsidR="00D140A7" w:rsidRPr="00D140A7">
        <w:rPr>
          <w:rFonts w:ascii="Tahoma" w:hAnsi="Tahoma" w:cs="Tahoma"/>
          <w:sz w:val="22"/>
          <w:szCs w:val="22"/>
        </w:rPr>
        <w:t xml:space="preserve"> </w:t>
      </w:r>
      <w:r w:rsidR="007F3D3D" w:rsidRPr="00D140A7">
        <w:rPr>
          <w:rFonts w:ascii="Tahoma" w:hAnsi="Tahoma" w:cs="Tahoma"/>
          <w:sz w:val="22"/>
          <w:szCs w:val="22"/>
        </w:rPr>
        <w:t>con lo</w:t>
      </w:r>
      <w:r w:rsidR="00D925F1" w:rsidRPr="00D140A7">
        <w:rPr>
          <w:rFonts w:ascii="Tahoma" w:hAnsi="Tahoma" w:cs="Tahoma"/>
          <w:sz w:val="22"/>
          <w:szCs w:val="22"/>
        </w:rPr>
        <w:t xml:space="preserve"> </w:t>
      </w:r>
      <w:r w:rsidR="007F3D3D" w:rsidRPr="00D140A7">
        <w:rPr>
          <w:rFonts w:ascii="Tahoma" w:hAnsi="Tahoma" w:cs="Tahoma"/>
          <w:sz w:val="22"/>
          <w:szCs w:val="22"/>
        </w:rPr>
        <w:t>dispuesto</w:t>
      </w:r>
      <w:r w:rsidR="00950F37" w:rsidRPr="00D140A7">
        <w:rPr>
          <w:rFonts w:ascii="Tahoma" w:hAnsi="Tahoma" w:cs="Tahoma"/>
          <w:sz w:val="22"/>
          <w:szCs w:val="22"/>
        </w:rPr>
        <w:t xml:space="preserve"> </w:t>
      </w:r>
      <w:r w:rsidR="007F3D3D" w:rsidRPr="00D140A7">
        <w:rPr>
          <w:rFonts w:ascii="Tahoma" w:hAnsi="Tahoma" w:cs="Tahoma"/>
          <w:sz w:val="22"/>
          <w:szCs w:val="22"/>
        </w:rPr>
        <w:t>en</w:t>
      </w:r>
      <w:r w:rsidR="00950F37" w:rsidRPr="00D140A7">
        <w:rPr>
          <w:rFonts w:ascii="Tahoma" w:hAnsi="Tahoma" w:cs="Tahoma"/>
          <w:sz w:val="22"/>
          <w:szCs w:val="22"/>
        </w:rPr>
        <w:t xml:space="preserve"> </w:t>
      </w:r>
      <w:r w:rsidR="007F3D3D" w:rsidRPr="00D140A7">
        <w:rPr>
          <w:rFonts w:ascii="Tahoma" w:hAnsi="Tahoma" w:cs="Tahoma"/>
          <w:sz w:val="22"/>
          <w:szCs w:val="22"/>
        </w:rPr>
        <w:t>el</w:t>
      </w:r>
      <w:r w:rsidR="00950F37" w:rsidRPr="00D140A7">
        <w:rPr>
          <w:rFonts w:ascii="Tahoma" w:hAnsi="Tahoma" w:cs="Tahoma"/>
          <w:sz w:val="22"/>
          <w:szCs w:val="22"/>
        </w:rPr>
        <w:t xml:space="preserve"> </w:t>
      </w:r>
      <w:r w:rsidR="007F3D3D" w:rsidRPr="00D140A7">
        <w:rPr>
          <w:rFonts w:ascii="Tahoma" w:hAnsi="Tahoma" w:cs="Tahoma"/>
          <w:sz w:val="22"/>
          <w:szCs w:val="22"/>
        </w:rPr>
        <w:t>segundo inciso</w:t>
      </w:r>
      <w:r w:rsidR="00950F37" w:rsidRPr="00D140A7">
        <w:rPr>
          <w:rFonts w:ascii="Tahoma" w:hAnsi="Tahoma" w:cs="Tahoma"/>
          <w:sz w:val="22"/>
          <w:szCs w:val="22"/>
        </w:rPr>
        <w:t xml:space="preserve"> </w:t>
      </w:r>
      <w:r w:rsidR="007F3D3D" w:rsidRPr="00D140A7">
        <w:rPr>
          <w:rFonts w:ascii="Tahoma" w:hAnsi="Tahoma" w:cs="Tahoma"/>
          <w:sz w:val="22"/>
          <w:szCs w:val="22"/>
        </w:rPr>
        <w:t xml:space="preserve"> del </w:t>
      </w:r>
      <w:r w:rsidR="00950F37" w:rsidRPr="00D140A7">
        <w:rPr>
          <w:rFonts w:ascii="Tahoma" w:hAnsi="Tahoma" w:cs="Tahoma"/>
          <w:sz w:val="22"/>
          <w:szCs w:val="22"/>
        </w:rPr>
        <w:t xml:space="preserve"> </w:t>
      </w:r>
      <w:r w:rsidR="007F3D3D" w:rsidRPr="00D140A7">
        <w:rPr>
          <w:rFonts w:ascii="Tahoma" w:hAnsi="Tahoma" w:cs="Tahoma"/>
          <w:sz w:val="22"/>
          <w:szCs w:val="22"/>
        </w:rPr>
        <w:t>art</w:t>
      </w:r>
      <w:r w:rsidR="00D140A7">
        <w:rPr>
          <w:rFonts w:ascii="Tahoma" w:hAnsi="Tahoma" w:cs="Tahoma"/>
          <w:sz w:val="22"/>
          <w:szCs w:val="22"/>
        </w:rPr>
        <w:t>ículo</w:t>
      </w:r>
      <w:r w:rsidR="00D140A7" w:rsidRPr="00D140A7">
        <w:rPr>
          <w:rFonts w:ascii="Tahoma" w:hAnsi="Tahoma" w:cs="Tahoma"/>
          <w:sz w:val="22"/>
          <w:szCs w:val="22"/>
        </w:rPr>
        <w:t xml:space="preserve"> </w:t>
      </w:r>
      <w:r w:rsidR="007F3D3D" w:rsidRPr="00D140A7">
        <w:rPr>
          <w:rFonts w:ascii="Tahoma" w:hAnsi="Tahoma" w:cs="Tahoma"/>
          <w:sz w:val="22"/>
          <w:szCs w:val="22"/>
        </w:rPr>
        <w:t>6º</w:t>
      </w:r>
      <w:r w:rsidR="00D140A7" w:rsidRPr="00D140A7">
        <w:rPr>
          <w:rFonts w:ascii="Tahoma" w:hAnsi="Tahoma" w:cs="Tahoma"/>
          <w:sz w:val="22"/>
          <w:szCs w:val="22"/>
        </w:rPr>
        <w:t xml:space="preserve"> </w:t>
      </w:r>
      <w:r w:rsidR="007F3D3D" w:rsidRPr="00D140A7">
        <w:rPr>
          <w:rFonts w:ascii="Tahoma" w:hAnsi="Tahoma" w:cs="Tahoma"/>
          <w:sz w:val="22"/>
          <w:szCs w:val="22"/>
        </w:rPr>
        <w:t>del Código Procesal del Trabajo y la sentencia C-792 del 20 de septiembre de 2006</w:t>
      </w:r>
      <w:r w:rsidR="007F3D3D" w:rsidRPr="00D140A7">
        <w:rPr>
          <w:rStyle w:val="Refdenotaalpie"/>
          <w:rFonts w:ascii="Tahoma" w:hAnsi="Tahoma" w:cs="Tahoma"/>
          <w:sz w:val="22"/>
          <w:szCs w:val="22"/>
        </w:rPr>
        <w:footnoteReference w:id="1"/>
      </w:r>
      <w:r w:rsidR="007F3D3D" w:rsidRPr="00D140A7">
        <w:rPr>
          <w:rFonts w:ascii="Tahoma" w:hAnsi="Tahoma" w:cs="Tahoma"/>
          <w:sz w:val="22"/>
          <w:szCs w:val="22"/>
        </w:rPr>
        <w:t>.</w:t>
      </w:r>
      <w:r w:rsidRPr="00D140A7">
        <w:rPr>
          <w:rFonts w:ascii="Tahoma" w:hAnsi="Tahoma" w:cs="Tahoma"/>
          <w:sz w:val="22"/>
          <w:szCs w:val="22"/>
        </w:rPr>
        <w:t xml:space="preserve"> </w:t>
      </w:r>
      <w:r w:rsidR="00233132">
        <w:rPr>
          <w:rFonts w:ascii="Tahoma" w:hAnsi="Tahoma" w:cs="Tahoma"/>
          <w:sz w:val="22"/>
          <w:szCs w:val="22"/>
        </w:rPr>
        <w:t>Pero a</w:t>
      </w:r>
      <w:r w:rsidR="00E64246" w:rsidRPr="00D140A7">
        <w:rPr>
          <w:rFonts w:ascii="Tahoma" w:hAnsi="Tahoma" w:cs="Tahoma"/>
          <w:sz w:val="22"/>
          <w:szCs w:val="22"/>
        </w:rPr>
        <w:t>demás de lo anterior,</w:t>
      </w:r>
      <w:r w:rsidRPr="00D140A7">
        <w:rPr>
          <w:rFonts w:ascii="Tahoma" w:hAnsi="Tahoma" w:cs="Tahoma"/>
          <w:sz w:val="22"/>
          <w:szCs w:val="22"/>
        </w:rPr>
        <w:t xml:space="preserve"> </w:t>
      </w:r>
      <w:r w:rsidR="00D140A7" w:rsidRPr="00D140A7">
        <w:rPr>
          <w:rFonts w:ascii="Tahoma" w:hAnsi="Tahoma" w:cs="Tahoma"/>
          <w:sz w:val="22"/>
          <w:szCs w:val="22"/>
        </w:rPr>
        <w:t xml:space="preserve">no puede perderse de vista que antes de la demanda hubo una </w:t>
      </w:r>
      <w:r w:rsidR="00DC39FE" w:rsidRPr="00D140A7">
        <w:rPr>
          <w:rFonts w:ascii="Tahoma" w:hAnsi="Tahoma" w:cs="Tahoma"/>
          <w:b/>
          <w:sz w:val="22"/>
          <w:szCs w:val="22"/>
        </w:rPr>
        <w:t xml:space="preserve">segunda reclamación pensional </w:t>
      </w:r>
      <w:r w:rsidR="00D140A7" w:rsidRPr="00D140A7">
        <w:rPr>
          <w:rFonts w:ascii="Tahoma" w:hAnsi="Tahoma" w:cs="Tahoma"/>
          <w:b/>
          <w:sz w:val="22"/>
          <w:szCs w:val="22"/>
        </w:rPr>
        <w:t xml:space="preserve">que </w:t>
      </w:r>
      <w:r w:rsidR="00DC39FE" w:rsidRPr="00D140A7">
        <w:rPr>
          <w:rFonts w:ascii="Tahoma" w:hAnsi="Tahoma" w:cs="Tahoma"/>
          <w:b/>
          <w:sz w:val="22"/>
          <w:szCs w:val="22"/>
        </w:rPr>
        <w:t>se presentó el 25 de noviembre de 2013</w:t>
      </w:r>
      <w:r w:rsidR="00DC39FE" w:rsidRPr="00D140A7">
        <w:rPr>
          <w:rFonts w:ascii="Tahoma" w:hAnsi="Tahoma" w:cs="Tahoma"/>
          <w:sz w:val="22"/>
          <w:szCs w:val="22"/>
        </w:rPr>
        <w:t xml:space="preserve"> y </w:t>
      </w:r>
      <w:r w:rsidR="00C87455">
        <w:rPr>
          <w:rFonts w:ascii="Tahoma" w:hAnsi="Tahoma" w:cs="Tahoma"/>
          <w:sz w:val="22"/>
          <w:szCs w:val="22"/>
        </w:rPr>
        <w:t xml:space="preserve">que </w:t>
      </w:r>
      <w:r w:rsidR="00DC39FE" w:rsidRPr="00D140A7">
        <w:rPr>
          <w:rFonts w:ascii="Tahoma" w:hAnsi="Tahoma" w:cs="Tahoma"/>
          <w:sz w:val="22"/>
          <w:szCs w:val="22"/>
        </w:rPr>
        <w:t xml:space="preserve">la resolución que </w:t>
      </w:r>
      <w:r w:rsidR="00C87455">
        <w:rPr>
          <w:rFonts w:ascii="Tahoma" w:hAnsi="Tahoma" w:cs="Tahoma"/>
          <w:sz w:val="22"/>
          <w:szCs w:val="22"/>
        </w:rPr>
        <w:t xml:space="preserve">la </w:t>
      </w:r>
      <w:r w:rsidR="00DC39FE" w:rsidRPr="00D140A7">
        <w:rPr>
          <w:rFonts w:ascii="Tahoma" w:hAnsi="Tahoma" w:cs="Tahoma"/>
          <w:sz w:val="22"/>
          <w:szCs w:val="22"/>
        </w:rPr>
        <w:t xml:space="preserve">resolvió de fondo y de manera definitiva tiene fecha del </w:t>
      </w:r>
      <w:r w:rsidR="00DC39FE" w:rsidRPr="00C87455">
        <w:rPr>
          <w:rFonts w:ascii="Tahoma" w:hAnsi="Tahoma" w:cs="Tahoma"/>
          <w:b/>
          <w:sz w:val="22"/>
          <w:szCs w:val="22"/>
        </w:rPr>
        <w:t>17 de octubre de 2014</w:t>
      </w:r>
      <w:r w:rsidR="00AD1DB9" w:rsidRPr="00D140A7">
        <w:rPr>
          <w:rFonts w:ascii="Tahoma" w:hAnsi="Tahoma" w:cs="Tahoma"/>
          <w:sz w:val="22"/>
          <w:szCs w:val="22"/>
        </w:rPr>
        <w:t xml:space="preserve">, por lo que la demanda, presentada </w:t>
      </w:r>
      <w:r w:rsidR="00AD1DB9" w:rsidRPr="00D140A7">
        <w:rPr>
          <w:rFonts w:ascii="Tahoma" w:hAnsi="Tahoma" w:cs="Tahoma"/>
          <w:b/>
          <w:sz w:val="22"/>
          <w:szCs w:val="22"/>
        </w:rPr>
        <w:t xml:space="preserve">el </w:t>
      </w:r>
      <w:r w:rsidR="00C376E7" w:rsidRPr="00D140A7">
        <w:rPr>
          <w:rFonts w:ascii="Tahoma" w:hAnsi="Tahoma" w:cs="Tahoma"/>
          <w:b/>
          <w:sz w:val="22"/>
          <w:szCs w:val="22"/>
        </w:rPr>
        <w:t>23 de mayo de 2016</w:t>
      </w:r>
      <w:r w:rsidR="00C376E7" w:rsidRPr="00D140A7">
        <w:rPr>
          <w:rFonts w:ascii="Tahoma" w:hAnsi="Tahoma" w:cs="Tahoma"/>
          <w:sz w:val="22"/>
          <w:szCs w:val="22"/>
        </w:rPr>
        <w:t>, interrumpió los efectos extintivos de la prescripción.</w:t>
      </w:r>
      <w:r w:rsidR="00604EC4" w:rsidRPr="00D140A7">
        <w:rPr>
          <w:rFonts w:ascii="Tahoma" w:hAnsi="Tahoma" w:cs="Tahoma"/>
          <w:sz w:val="22"/>
          <w:szCs w:val="22"/>
        </w:rPr>
        <w:t xml:space="preserve"> </w:t>
      </w:r>
      <w:r w:rsidR="00C376E7" w:rsidRPr="00D140A7">
        <w:rPr>
          <w:rFonts w:ascii="Tahoma" w:hAnsi="Tahoma" w:cs="Tahoma"/>
          <w:sz w:val="22"/>
          <w:szCs w:val="22"/>
        </w:rPr>
        <w:t xml:space="preserve">Por lo anterior, se modificará </w:t>
      </w:r>
      <w:r w:rsidR="00D925F1" w:rsidRPr="00D140A7">
        <w:rPr>
          <w:rFonts w:ascii="Tahoma" w:hAnsi="Tahoma" w:cs="Tahoma"/>
          <w:sz w:val="22"/>
          <w:szCs w:val="22"/>
        </w:rPr>
        <w:t xml:space="preserve">únicamente </w:t>
      </w:r>
      <w:r w:rsidR="00C376E7" w:rsidRPr="00D140A7">
        <w:rPr>
          <w:rFonts w:ascii="Tahoma" w:hAnsi="Tahoma" w:cs="Tahoma"/>
          <w:sz w:val="22"/>
          <w:szCs w:val="22"/>
        </w:rPr>
        <w:t xml:space="preserve">el ordinal segundo de la sentencia de primer grado. </w:t>
      </w:r>
    </w:p>
    <w:p w:rsidR="00C376E7" w:rsidRDefault="00C376E7" w:rsidP="007E1963">
      <w:pPr>
        <w:spacing w:line="276" w:lineRule="auto"/>
        <w:ind w:firstLine="708"/>
        <w:jc w:val="both"/>
        <w:rPr>
          <w:rFonts w:ascii="Tahoma" w:hAnsi="Tahoma" w:cs="Tahoma"/>
          <w:sz w:val="22"/>
          <w:szCs w:val="22"/>
        </w:rPr>
      </w:pPr>
    </w:p>
    <w:p w:rsidR="00C376E7" w:rsidRDefault="00AD1DB9" w:rsidP="007E1963">
      <w:pPr>
        <w:spacing w:line="276" w:lineRule="auto"/>
        <w:ind w:firstLine="708"/>
        <w:jc w:val="both"/>
        <w:rPr>
          <w:rFonts w:ascii="Tahoma" w:hAnsi="Tahoma" w:cs="Tahoma"/>
          <w:sz w:val="22"/>
          <w:szCs w:val="22"/>
        </w:rPr>
      </w:pPr>
      <w:r>
        <w:rPr>
          <w:rFonts w:ascii="Tahoma" w:hAnsi="Tahoma" w:cs="Tahoma"/>
          <w:sz w:val="22"/>
          <w:szCs w:val="22"/>
        </w:rPr>
        <w:t>Finalmente, se dirá que por conocerse el presente asunto en virtud del grado jurisdiccional de consulta a favor de Colpension</w:t>
      </w:r>
      <w:r w:rsidR="00850DBF">
        <w:rPr>
          <w:rFonts w:ascii="Tahoma" w:hAnsi="Tahoma" w:cs="Tahoma"/>
          <w:sz w:val="22"/>
          <w:szCs w:val="22"/>
        </w:rPr>
        <w:t>e</w:t>
      </w:r>
      <w:r w:rsidR="00604EC4">
        <w:rPr>
          <w:rFonts w:ascii="Tahoma" w:hAnsi="Tahoma" w:cs="Tahoma"/>
          <w:sz w:val="22"/>
          <w:szCs w:val="22"/>
        </w:rPr>
        <w:t>s</w:t>
      </w:r>
      <w:r w:rsidR="00C376E7">
        <w:rPr>
          <w:rFonts w:ascii="Tahoma" w:hAnsi="Tahoma" w:cs="Tahoma"/>
          <w:sz w:val="22"/>
          <w:szCs w:val="22"/>
        </w:rPr>
        <w:t xml:space="preserve"> la Sala se abstendrá de estudiar las pretensiones negadas a la parte actora</w:t>
      </w:r>
      <w:r w:rsidR="00604EC4">
        <w:rPr>
          <w:rFonts w:ascii="Tahoma" w:hAnsi="Tahoma" w:cs="Tahoma"/>
          <w:sz w:val="22"/>
          <w:szCs w:val="22"/>
        </w:rPr>
        <w:t>, como fue la de la indexación de las condenas a partir de la ejecutoria de la sentencia.</w:t>
      </w:r>
    </w:p>
    <w:p w:rsidR="00C376E7" w:rsidRDefault="00C376E7" w:rsidP="007E1963">
      <w:pPr>
        <w:spacing w:line="276" w:lineRule="auto"/>
        <w:ind w:firstLine="708"/>
        <w:jc w:val="both"/>
        <w:rPr>
          <w:rFonts w:ascii="Tahoma" w:hAnsi="Tahoma" w:cs="Tahoma"/>
          <w:sz w:val="22"/>
          <w:szCs w:val="22"/>
        </w:rPr>
      </w:pPr>
    </w:p>
    <w:p w:rsidR="007E1963" w:rsidRPr="007E1963" w:rsidRDefault="00C376E7" w:rsidP="007E1963">
      <w:pPr>
        <w:spacing w:line="276" w:lineRule="auto"/>
        <w:ind w:firstLine="708"/>
        <w:jc w:val="both"/>
        <w:rPr>
          <w:rFonts w:ascii="Arial" w:hAnsi="Arial" w:cs="Arial"/>
          <w:b/>
          <w:bCs/>
          <w:color w:val="000000"/>
          <w:sz w:val="20"/>
          <w:szCs w:val="20"/>
        </w:rPr>
      </w:pPr>
      <w:r>
        <w:rPr>
          <w:rFonts w:ascii="Tahoma" w:hAnsi="Tahoma" w:cs="Tahoma"/>
          <w:sz w:val="22"/>
          <w:szCs w:val="22"/>
        </w:rPr>
        <w:t xml:space="preserve">Las costas de primer grado se mantendrán, en este grado jurisdiccional no se causaron. </w:t>
      </w:r>
      <w:r w:rsidR="00AD1DB9">
        <w:rPr>
          <w:rFonts w:ascii="Tahoma" w:hAnsi="Tahoma" w:cs="Tahoma"/>
          <w:sz w:val="22"/>
          <w:szCs w:val="22"/>
        </w:rPr>
        <w:t xml:space="preserve"> </w:t>
      </w:r>
      <w:r w:rsidR="00DC39FE">
        <w:rPr>
          <w:rFonts w:ascii="Tahoma" w:hAnsi="Tahoma" w:cs="Tahoma"/>
          <w:sz w:val="22"/>
          <w:szCs w:val="22"/>
        </w:rPr>
        <w:t xml:space="preserve"> </w:t>
      </w:r>
      <w:r w:rsidR="007E1963">
        <w:rPr>
          <w:rFonts w:ascii="Tahoma" w:hAnsi="Tahoma" w:cs="Tahoma"/>
          <w:sz w:val="22"/>
          <w:szCs w:val="22"/>
        </w:rPr>
        <w:t xml:space="preserve"> </w:t>
      </w:r>
    </w:p>
    <w:p w:rsidR="005603BD" w:rsidRPr="00AC6C9A" w:rsidRDefault="005603BD" w:rsidP="004F7362">
      <w:pPr>
        <w:tabs>
          <w:tab w:val="left" w:pos="748"/>
        </w:tabs>
        <w:spacing w:line="276" w:lineRule="auto"/>
        <w:jc w:val="both"/>
        <w:rPr>
          <w:rFonts w:ascii="Tahoma" w:hAnsi="Tahoma" w:cs="Tahoma"/>
          <w:sz w:val="22"/>
          <w:szCs w:val="22"/>
          <w:lang w:val="es-CO"/>
        </w:rPr>
      </w:pPr>
    </w:p>
    <w:p w:rsidR="004F7362" w:rsidRDefault="004F7362" w:rsidP="004F7362">
      <w:pPr>
        <w:tabs>
          <w:tab w:val="left" w:pos="748"/>
        </w:tabs>
        <w:spacing w:line="276" w:lineRule="auto"/>
        <w:jc w:val="both"/>
        <w:rPr>
          <w:rFonts w:ascii="Tahoma" w:hAnsi="Tahoma" w:cs="Tahoma"/>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5603BD" w:rsidRPr="00AC6C9A" w:rsidRDefault="005603BD" w:rsidP="004F7362">
      <w:pPr>
        <w:tabs>
          <w:tab w:val="left" w:pos="748"/>
        </w:tabs>
        <w:spacing w:line="276" w:lineRule="auto"/>
        <w:jc w:val="both"/>
        <w:rPr>
          <w:rFonts w:ascii="Tahoma" w:hAnsi="Tahoma" w:cs="Tahoma"/>
          <w:iCs/>
          <w:sz w:val="22"/>
          <w:szCs w:val="22"/>
        </w:rPr>
      </w:pPr>
    </w:p>
    <w:p w:rsidR="004F7362" w:rsidRPr="00AC6C9A" w:rsidRDefault="004F7362" w:rsidP="004F7362">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4F7362" w:rsidRPr="00AC6C9A" w:rsidRDefault="004F7362" w:rsidP="004F7362">
      <w:pPr>
        <w:widowControl w:val="0"/>
        <w:autoSpaceDE w:val="0"/>
        <w:autoSpaceDN w:val="0"/>
        <w:adjustRightInd w:val="0"/>
        <w:spacing w:line="276" w:lineRule="auto"/>
        <w:jc w:val="center"/>
        <w:rPr>
          <w:rFonts w:ascii="Tahoma" w:hAnsi="Tahoma" w:cs="Tahoma"/>
          <w:b/>
          <w:sz w:val="22"/>
          <w:szCs w:val="22"/>
        </w:rPr>
      </w:pPr>
    </w:p>
    <w:p w:rsidR="004F7362" w:rsidRPr="00AC6C9A" w:rsidRDefault="004F7362" w:rsidP="004F7362">
      <w:pPr>
        <w:spacing w:line="276" w:lineRule="auto"/>
        <w:ind w:firstLine="708"/>
        <w:jc w:val="both"/>
        <w:rPr>
          <w:rFonts w:ascii="Tahoma" w:hAnsi="Tahoma" w:cs="Tahoma"/>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00C376E7" w:rsidRPr="00C376E7">
        <w:rPr>
          <w:rFonts w:ascii="Tahoma" w:hAnsi="Tahoma" w:cs="Tahoma"/>
          <w:b/>
          <w:sz w:val="22"/>
          <w:szCs w:val="22"/>
        </w:rPr>
        <w:t>MODIFICAR</w:t>
      </w:r>
      <w:r w:rsidR="00233132">
        <w:rPr>
          <w:rFonts w:ascii="Tahoma" w:hAnsi="Tahoma" w:cs="Tahoma"/>
          <w:b/>
          <w:sz w:val="22"/>
          <w:szCs w:val="22"/>
        </w:rPr>
        <w:t xml:space="preserve"> </w:t>
      </w:r>
      <w:r w:rsidR="00233132" w:rsidRPr="00233132">
        <w:rPr>
          <w:rFonts w:ascii="Tahoma" w:hAnsi="Tahoma" w:cs="Tahoma"/>
          <w:sz w:val="22"/>
          <w:szCs w:val="22"/>
        </w:rPr>
        <w:t>el</w:t>
      </w:r>
      <w:r w:rsidR="00233132">
        <w:rPr>
          <w:rFonts w:ascii="Tahoma" w:hAnsi="Tahoma" w:cs="Tahoma"/>
          <w:b/>
          <w:sz w:val="22"/>
          <w:szCs w:val="22"/>
        </w:rPr>
        <w:t xml:space="preserve"> </w:t>
      </w:r>
      <w:r w:rsidR="00233132" w:rsidRPr="00233132">
        <w:rPr>
          <w:rFonts w:ascii="Tahoma" w:hAnsi="Tahoma" w:cs="Tahoma"/>
          <w:sz w:val="22"/>
          <w:szCs w:val="22"/>
        </w:rPr>
        <w:t>ordinal</w:t>
      </w:r>
      <w:r>
        <w:rPr>
          <w:rFonts w:ascii="Tahoma" w:hAnsi="Tahoma" w:cs="Tahoma"/>
          <w:sz w:val="22"/>
          <w:szCs w:val="22"/>
        </w:rPr>
        <w:t xml:space="preserve"> </w:t>
      </w:r>
      <w:r w:rsidRPr="00AC6C9A">
        <w:rPr>
          <w:rFonts w:ascii="Tahoma" w:hAnsi="Tahoma" w:cs="Tahoma"/>
          <w:sz w:val="22"/>
          <w:szCs w:val="22"/>
        </w:rPr>
        <w:t xml:space="preserve">la sentencia dictada por el Juzgado </w:t>
      </w:r>
      <w:r w:rsidR="00C376E7">
        <w:rPr>
          <w:rFonts w:ascii="Tahoma" w:hAnsi="Tahoma" w:cs="Tahoma"/>
          <w:sz w:val="22"/>
          <w:szCs w:val="22"/>
        </w:rPr>
        <w:t xml:space="preserve">Quinto </w:t>
      </w:r>
      <w:r w:rsidRPr="00AC6C9A">
        <w:rPr>
          <w:rFonts w:ascii="Tahoma" w:hAnsi="Tahoma" w:cs="Tahoma"/>
          <w:sz w:val="22"/>
          <w:szCs w:val="22"/>
        </w:rPr>
        <w:t xml:space="preserve">Laboral del Circuito de Pereira dentro del proceso iniciado por </w:t>
      </w:r>
      <w:r w:rsidR="001F01C5">
        <w:rPr>
          <w:rFonts w:ascii="Tahoma" w:hAnsi="Tahoma" w:cs="Tahoma"/>
          <w:b/>
          <w:sz w:val="22"/>
          <w:szCs w:val="22"/>
        </w:rPr>
        <w:t xml:space="preserve">Hernán Salcedo Cabal </w:t>
      </w:r>
      <w:r w:rsidRPr="00AC6C9A">
        <w:rPr>
          <w:rFonts w:ascii="Tahoma" w:hAnsi="Tahoma" w:cs="Tahoma"/>
          <w:sz w:val="22"/>
          <w:szCs w:val="22"/>
          <w:lang w:val="es-ES_tradnl"/>
        </w:rPr>
        <w:t xml:space="preserve">en contra de la </w:t>
      </w:r>
      <w:r w:rsidRPr="00AC6C9A">
        <w:rPr>
          <w:rFonts w:ascii="Tahoma" w:hAnsi="Tahoma" w:cs="Tahoma"/>
          <w:b/>
          <w:sz w:val="22"/>
          <w:szCs w:val="22"/>
          <w:lang w:val="es-ES_tradnl"/>
        </w:rPr>
        <w:t>Administradora Colombiana de Pensiones –</w:t>
      </w:r>
      <w:r w:rsidR="001F01C5">
        <w:rPr>
          <w:rFonts w:ascii="Tahoma" w:hAnsi="Tahoma" w:cs="Tahoma"/>
          <w:b/>
          <w:sz w:val="22"/>
          <w:szCs w:val="22"/>
          <w:lang w:val="es-ES_tradnl"/>
        </w:rPr>
        <w:t xml:space="preserve"> C</w:t>
      </w:r>
      <w:r w:rsidRPr="00AC6C9A">
        <w:rPr>
          <w:rFonts w:ascii="Tahoma" w:hAnsi="Tahoma" w:cs="Tahoma"/>
          <w:b/>
          <w:sz w:val="22"/>
          <w:szCs w:val="22"/>
          <w:lang w:val="es-ES_tradnl"/>
        </w:rPr>
        <w:t>olpensiones</w:t>
      </w:r>
      <w:r w:rsidR="001F01C5">
        <w:rPr>
          <w:rFonts w:ascii="Tahoma" w:hAnsi="Tahoma" w:cs="Tahoma"/>
          <w:sz w:val="22"/>
          <w:szCs w:val="22"/>
          <w:lang w:val="es-ES_tradnl"/>
        </w:rPr>
        <w:t xml:space="preserve">, en el sentido de que los intereses moratorios causados entre el </w:t>
      </w:r>
      <w:r w:rsidR="001F01C5" w:rsidRPr="001F01C5">
        <w:rPr>
          <w:rFonts w:ascii="Tahoma" w:hAnsi="Tahoma" w:cs="Tahoma"/>
          <w:b/>
          <w:sz w:val="22"/>
          <w:szCs w:val="22"/>
          <w:u w:val="single"/>
          <w:lang w:val="es-ES_tradnl"/>
        </w:rPr>
        <w:t>3 de enero de 2012</w:t>
      </w:r>
      <w:r w:rsidR="001F01C5">
        <w:rPr>
          <w:rFonts w:ascii="Tahoma" w:hAnsi="Tahoma" w:cs="Tahoma"/>
          <w:sz w:val="22"/>
          <w:szCs w:val="22"/>
          <w:lang w:val="es-ES_tradnl"/>
        </w:rPr>
        <w:t xml:space="preserve"> y el 31 de octubre de 2014 ascienden a la suma de $</w:t>
      </w:r>
      <w:r w:rsidR="001F01C5" w:rsidRPr="007E1963">
        <w:rPr>
          <w:rFonts w:ascii="Tahoma" w:hAnsi="Tahoma" w:cs="Tahoma"/>
          <w:sz w:val="22"/>
          <w:szCs w:val="22"/>
        </w:rPr>
        <w:t>106.842.691</w:t>
      </w:r>
      <w:r w:rsidR="001F01C5" w:rsidRPr="007E1963">
        <w:rPr>
          <w:rFonts w:ascii="Tahoma" w:hAnsi="Tahoma" w:cs="Tahoma"/>
          <w:sz w:val="18"/>
          <w:szCs w:val="18"/>
        </w:rPr>
        <w:t>,14</w:t>
      </w:r>
      <w:r w:rsidR="001F01C5" w:rsidRPr="001F01C5">
        <w:rPr>
          <w:rFonts w:ascii="Tahoma" w:hAnsi="Tahoma" w:cs="Tahoma"/>
          <w:sz w:val="22"/>
          <w:szCs w:val="22"/>
        </w:rPr>
        <w:t>.</w:t>
      </w:r>
    </w:p>
    <w:p w:rsidR="001F01C5" w:rsidRDefault="001F01C5" w:rsidP="004F7362">
      <w:pPr>
        <w:spacing w:line="276" w:lineRule="auto"/>
        <w:ind w:firstLine="709"/>
        <w:jc w:val="both"/>
        <w:rPr>
          <w:rFonts w:ascii="Tahoma" w:hAnsi="Tahoma" w:cs="Tahoma"/>
          <w:b/>
          <w:sz w:val="22"/>
          <w:szCs w:val="22"/>
          <w:u w:val="single"/>
        </w:rPr>
      </w:pPr>
    </w:p>
    <w:p w:rsidR="004F7362" w:rsidRDefault="004F7362" w:rsidP="004F7362">
      <w:pPr>
        <w:spacing w:line="276" w:lineRule="auto"/>
        <w:ind w:firstLine="709"/>
        <w:jc w:val="both"/>
        <w:rPr>
          <w:rFonts w:ascii="Tahoma" w:hAnsi="Tahoma" w:cs="Tahoma"/>
          <w:sz w:val="22"/>
          <w:szCs w:val="22"/>
        </w:rPr>
      </w:pPr>
      <w:r w:rsidRPr="000E3A01">
        <w:rPr>
          <w:rFonts w:ascii="Tahoma" w:hAnsi="Tahoma" w:cs="Tahoma"/>
          <w:b/>
          <w:sz w:val="22"/>
          <w:szCs w:val="22"/>
          <w:u w:val="single"/>
        </w:rPr>
        <w:t>SEGUNDO</w:t>
      </w:r>
      <w:r>
        <w:rPr>
          <w:rFonts w:ascii="Tahoma" w:hAnsi="Tahoma" w:cs="Tahoma"/>
          <w:b/>
          <w:sz w:val="22"/>
          <w:szCs w:val="22"/>
          <w:u w:val="single"/>
        </w:rPr>
        <w:t>.</w:t>
      </w:r>
      <w:r w:rsidRPr="00AC6C9A">
        <w:rPr>
          <w:rFonts w:ascii="Tahoma" w:hAnsi="Tahoma" w:cs="Tahoma"/>
          <w:sz w:val="22"/>
          <w:szCs w:val="22"/>
        </w:rPr>
        <w:t xml:space="preserve">: </w:t>
      </w:r>
      <w:r w:rsidR="001F01C5">
        <w:rPr>
          <w:rFonts w:ascii="Tahoma" w:hAnsi="Tahoma" w:cs="Tahoma"/>
          <w:b/>
          <w:sz w:val="22"/>
          <w:szCs w:val="22"/>
        </w:rPr>
        <w:t xml:space="preserve">CONFIRMAR </w:t>
      </w:r>
      <w:r w:rsidR="001F01C5" w:rsidRPr="001F01C5">
        <w:rPr>
          <w:rFonts w:ascii="Tahoma" w:hAnsi="Tahoma" w:cs="Tahoma"/>
          <w:sz w:val="22"/>
          <w:szCs w:val="22"/>
        </w:rPr>
        <w:t>en todo lo demás la decisión de primer grado.</w:t>
      </w:r>
    </w:p>
    <w:p w:rsidR="004F7362" w:rsidRDefault="004F7362" w:rsidP="004F7362">
      <w:pPr>
        <w:spacing w:line="276" w:lineRule="auto"/>
        <w:ind w:firstLine="709"/>
        <w:jc w:val="both"/>
        <w:rPr>
          <w:rFonts w:ascii="Tahoma" w:hAnsi="Tahoma" w:cs="Tahoma"/>
          <w:sz w:val="22"/>
          <w:szCs w:val="22"/>
        </w:rPr>
      </w:pPr>
    </w:p>
    <w:p w:rsidR="004F7362" w:rsidRDefault="004F7362" w:rsidP="001F01C5">
      <w:pPr>
        <w:spacing w:line="276" w:lineRule="auto"/>
        <w:ind w:firstLine="709"/>
        <w:jc w:val="both"/>
        <w:rPr>
          <w:rFonts w:ascii="Tahoma" w:hAnsi="Tahoma" w:cs="Tahoma"/>
          <w:sz w:val="22"/>
          <w:szCs w:val="22"/>
          <w:lang w:val="es-CO"/>
        </w:rPr>
      </w:pPr>
      <w:r w:rsidRPr="00DF557D">
        <w:rPr>
          <w:rFonts w:ascii="Tahoma" w:hAnsi="Tahoma" w:cs="Tahoma"/>
          <w:b/>
          <w:sz w:val="22"/>
          <w:szCs w:val="22"/>
          <w:u w:val="single"/>
        </w:rPr>
        <w:t>TERCERO</w:t>
      </w:r>
      <w:r w:rsidRPr="00DF557D">
        <w:rPr>
          <w:rFonts w:ascii="Tahoma" w:hAnsi="Tahoma" w:cs="Tahoma"/>
          <w:b/>
          <w:sz w:val="22"/>
          <w:szCs w:val="22"/>
        </w:rPr>
        <w:t>.-</w:t>
      </w:r>
      <w:r>
        <w:rPr>
          <w:rFonts w:ascii="Tahoma" w:hAnsi="Tahoma" w:cs="Tahoma"/>
          <w:b/>
          <w:sz w:val="22"/>
          <w:szCs w:val="22"/>
        </w:rPr>
        <w:t xml:space="preserve"> </w:t>
      </w:r>
      <w:r w:rsidR="001F01C5" w:rsidRPr="001F01C5">
        <w:rPr>
          <w:rFonts w:ascii="Tahoma" w:hAnsi="Tahoma" w:cs="Tahoma"/>
          <w:sz w:val="22"/>
          <w:szCs w:val="22"/>
        </w:rPr>
        <w:t>Sin costas en este grado jurisdiccional.</w:t>
      </w:r>
    </w:p>
    <w:p w:rsidR="004F7362" w:rsidRPr="00AC6C9A" w:rsidRDefault="004F7362" w:rsidP="004F7362">
      <w:pPr>
        <w:spacing w:line="276" w:lineRule="auto"/>
        <w:ind w:firstLine="709"/>
        <w:jc w:val="both"/>
        <w:rPr>
          <w:rFonts w:ascii="Tahoma" w:hAnsi="Tahoma" w:cs="Tahoma"/>
          <w:sz w:val="22"/>
          <w:szCs w:val="22"/>
        </w:rPr>
      </w:pPr>
    </w:p>
    <w:p w:rsidR="004F7362" w:rsidRPr="00AC6C9A" w:rsidRDefault="004F7362" w:rsidP="004F7362">
      <w:pPr>
        <w:widowControl w:val="0"/>
        <w:autoSpaceDE w:val="0"/>
        <w:autoSpaceDN w:val="0"/>
        <w:adjustRightInd w:val="0"/>
        <w:spacing w:line="276" w:lineRule="auto"/>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4F7362" w:rsidRPr="00AC6C9A" w:rsidRDefault="004F7362" w:rsidP="004F7362">
      <w:pPr>
        <w:spacing w:line="276" w:lineRule="auto"/>
        <w:jc w:val="both"/>
        <w:rPr>
          <w:rFonts w:ascii="Tahoma" w:hAnsi="Tahoma" w:cs="Tahoma"/>
          <w:sz w:val="22"/>
          <w:szCs w:val="22"/>
        </w:rPr>
      </w:pPr>
      <w:r w:rsidRPr="00AC6C9A">
        <w:rPr>
          <w:rFonts w:ascii="Tahoma" w:hAnsi="Tahoma" w:cs="Tahoma"/>
          <w:sz w:val="22"/>
          <w:szCs w:val="22"/>
        </w:rPr>
        <w:t xml:space="preserve"> </w:t>
      </w:r>
    </w:p>
    <w:p w:rsidR="004F7362" w:rsidRPr="00AC6C9A" w:rsidRDefault="004F7362" w:rsidP="004F7362">
      <w:pPr>
        <w:spacing w:line="276" w:lineRule="auto"/>
        <w:ind w:firstLine="708"/>
        <w:jc w:val="both"/>
        <w:rPr>
          <w:rFonts w:ascii="Tahoma" w:hAnsi="Tahoma" w:cs="Tahoma"/>
          <w:sz w:val="22"/>
          <w:szCs w:val="22"/>
        </w:rPr>
      </w:pPr>
      <w:r w:rsidRPr="00AC6C9A">
        <w:rPr>
          <w:rFonts w:ascii="Tahoma" w:hAnsi="Tahoma" w:cs="Tahoma"/>
          <w:sz w:val="22"/>
          <w:szCs w:val="22"/>
        </w:rPr>
        <w:t>La Magistrada</w:t>
      </w:r>
      <w:r>
        <w:rPr>
          <w:rFonts w:ascii="Tahoma" w:hAnsi="Tahoma" w:cs="Tahoma"/>
          <w:sz w:val="22"/>
          <w:szCs w:val="22"/>
        </w:rPr>
        <w:t xml:space="preserve"> ponente,</w:t>
      </w:r>
    </w:p>
    <w:p w:rsidR="004F7362" w:rsidRDefault="004F7362" w:rsidP="004F7362">
      <w:pPr>
        <w:rPr>
          <w:rFonts w:ascii="Tahoma" w:hAnsi="Tahoma" w:cs="Tahoma"/>
          <w:sz w:val="22"/>
          <w:szCs w:val="22"/>
        </w:rPr>
      </w:pPr>
    </w:p>
    <w:p w:rsidR="004F7362" w:rsidRDefault="004F7362" w:rsidP="004F7362">
      <w:pPr>
        <w:rPr>
          <w:rFonts w:ascii="Tahoma" w:hAnsi="Tahoma" w:cs="Tahoma"/>
          <w:sz w:val="22"/>
          <w:szCs w:val="22"/>
        </w:rPr>
      </w:pPr>
    </w:p>
    <w:p w:rsidR="00F62D85" w:rsidRDefault="00F62D85" w:rsidP="004F7362">
      <w:pPr>
        <w:rPr>
          <w:rFonts w:ascii="Tahoma" w:hAnsi="Tahoma" w:cs="Tahoma"/>
          <w:sz w:val="22"/>
          <w:szCs w:val="22"/>
        </w:rPr>
      </w:pPr>
    </w:p>
    <w:p w:rsidR="00F62D85" w:rsidRDefault="00F62D85" w:rsidP="004F7362">
      <w:pPr>
        <w:rPr>
          <w:rFonts w:ascii="Tahoma" w:hAnsi="Tahoma" w:cs="Tahoma"/>
          <w:sz w:val="22"/>
          <w:szCs w:val="22"/>
        </w:rPr>
      </w:pPr>
    </w:p>
    <w:p w:rsidR="00F62D85" w:rsidRDefault="00F62D85" w:rsidP="004F7362">
      <w:pPr>
        <w:rPr>
          <w:rFonts w:ascii="Tahoma" w:hAnsi="Tahoma" w:cs="Tahoma"/>
          <w:sz w:val="22"/>
          <w:szCs w:val="22"/>
        </w:rPr>
      </w:pPr>
    </w:p>
    <w:p w:rsidR="00F62D85" w:rsidRPr="00AC6C9A" w:rsidRDefault="00F62D85" w:rsidP="004F7362">
      <w:pPr>
        <w:rPr>
          <w:rFonts w:ascii="Tahoma" w:hAnsi="Tahoma" w:cs="Tahoma"/>
          <w:sz w:val="22"/>
          <w:szCs w:val="22"/>
        </w:rPr>
      </w:pPr>
    </w:p>
    <w:p w:rsidR="004F7362" w:rsidRPr="00AC6C9A" w:rsidRDefault="004F7362" w:rsidP="004F7362">
      <w:pPr>
        <w:rPr>
          <w:rFonts w:ascii="Tahoma" w:hAnsi="Tahoma" w:cs="Tahoma"/>
          <w:sz w:val="22"/>
          <w:szCs w:val="22"/>
        </w:rPr>
      </w:pPr>
    </w:p>
    <w:p w:rsidR="004F7362" w:rsidRPr="00AC6C9A" w:rsidRDefault="004F7362" w:rsidP="004F7362">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4F7362" w:rsidRDefault="004F7362" w:rsidP="004F7362">
      <w:pPr>
        <w:rPr>
          <w:rFonts w:ascii="Tahoma" w:hAnsi="Tahoma" w:cs="Tahoma"/>
          <w:b/>
          <w:sz w:val="22"/>
          <w:szCs w:val="22"/>
        </w:rPr>
      </w:pPr>
    </w:p>
    <w:p w:rsidR="004F7362" w:rsidRPr="00AC6C9A" w:rsidRDefault="004F7362" w:rsidP="004F7362">
      <w:pPr>
        <w:rPr>
          <w:rFonts w:ascii="Tahoma" w:hAnsi="Tahoma" w:cs="Tahoma"/>
          <w:b/>
          <w:sz w:val="22"/>
          <w:szCs w:val="22"/>
        </w:rPr>
      </w:pPr>
    </w:p>
    <w:p w:rsidR="004F7362" w:rsidRDefault="004F7362" w:rsidP="004F7362">
      <w:pPr>
        <w:rPr>
          <w:rFonts w:ascii="Tahoma" w:hAnsi="Tahoma" w:cs="Tahoma"/>
          <w:b/>
          <w:sz w:val="22"/>
          <w:szCs w:val="22"/>
        </w:rPr>
      </w:pPr>
    </w:p>
    <w:p w:rsidR="00F62D85" w:rsidRDefault="00F62D85" w:rsidP="004F7362">
      <w:pPr>
        <w:rPr>
          <w:rFonts w:ascii="Tahoma" w:hAnsi="Tahoma" w:cs="Tahoma"/>
          <w:b/>
          <w:sz w:val="22"/>
          <w:szCs w:val="22"/>
        </w:rPr>
      </w:pPr>
    </w:p>
    <w:p w:rsidR="00F62D85" w:rsidRDefault="00F62D85" w:rsidP="004F7362">
      <w:pPr>
        <w:rPr>
          <w:rFonts w:ascii="Tahoma" w:hAnsi="Tahoma" w:cs="Tahoma"/>
          <w:b/>
          <w:sz w:val="22"/>
          <w:szCs w:val="22"/>
        </w:rPr>
      </w:pPr>
    </w:p>
    <w:p w:rsidR="00F62D85" w:rsidRPr="00AC6C9A" w:rsidRDefault="00F62D85" w:rsidP="004F7362">
      <w:pPr>
        <w:rPr>
          <w:rFonts w:ascii="Tahoma" w:hAnsi="Tahoma" w:cs="Tahoma"/>
          <w:b/>
          <w:sz w:val="22"/>
          <w:szCs w:val="22"/>
        </w:rPr>
      </w:pPr>
    </w:p>
    <w:p w:rsidR="004F7362" w:rsidRPr="00AC6C9A" w:rsidRDefault="004F7362" w:rsidP="004F7362">
      <w:pPr>
        <w:rPr>
          <w:rFonts w:ascii="Tahoma" w:hAnsi="Tahoma" w:cs="Tahoma"/>
          <w:b/>
          <w:sz w:val="22"/>
          <w:szCs w:val="22"/>
        </w:rPr>
      </w:pPr>
      <w:r>
        <w:rPr>
          <w:rFonts w:ascii="Tahoma" w:hAnsi="Tahoma" w:cs="Tahoma"/>
          <w:b/>
          <w:sz w:val="22"/>
          <w:szCs w:val="22"/>
        </w:rPr>
        <w:t xml:space="preserve">OLGA LUCÍA HOYOS SEPULVEDA                                             </w:t>
      </w:r>
      <w:r w:rsidRPr="00AC6C9A">
        <w:rPr>
          <w:rFonts w:ascii="Tahoma" w:hAnsi="Tahoma" w:cs="Tahoma"/>
          <w:b/>
          <w:sz w:val="22"/>
          <w:szCs w:val="22"/>
        </w:rPr>
        <w:t xml:space="preserve">JULIO CÉSAR SALAZAR MUÑOZ                                  </w:t>
      </w:r>
    </w:p>
    <w:p w:rsidR="004F7362" w:rsidRDefault="004F7362" w:rsidP="004F7362">
      <w:pPr>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Pr="00AC6C9A">
        <w:rPr>
          <w:rFonts w:ascii="Tahoma" w:hAnsi="Tahoma" w:cs="Tahoma"/>
          <w:sz w:val="22"/>
          <w:szCs w:val="22"/>
        </w:rPr>
        <w:t>Magistrados</w:t>
      </w:r>
    </w:p>
    <w:p w:rsidR="004F7362" w:rsidRDefault="004F7362" w:rsidP="004F7362">
      <w:pPr>
        <w:ind w:firstLine="708"/>
        <w:rPr>
          <w:rFonts w:ascii="Tahoma" w:hAnsi="Tahoma" w:cs="Tahoma"/>
          <w:sz w:val="22"/>
          <w:szCs w:val="22"/>
        </w:rPr>
      </w:pPr>
    </w:p>
    <w:p w:rsidR="00604EC4" w:rsidRDefault="00604EC4" w:rsidP="004F7362">
      <w:pPr>
        <w:ind w:firstLine="708"/>
        <w:rPr>
          <w:rFonts w:ascii="Tahoma" w:hAnsi="Tahoma" w:cs="Tahoma"/>
          <w:sz w:val="22"/>
          <w:szCs w:val="22"/>
        </w:rPr>
      </w:pPr>
    </w:p>
    <w:p w:rsidR="00604EC4" w:rsidRDefault="00604EC4" w:rsidP="004F7362">
      <w:pPr>
        <w:ind w:firstLine="708"/>
        <w:rPr>
          <w:rFonts w:ascii="Tahoma" w:hAnsi="Tahoma" w:cs="Tahoma"/>
          <w:sz w:val="22"/>
          <w:szCs w:val="22"/>
        </w:rPr>
      </w:pPr>
    </w:p>
    <w:p w:rsidR="00604EC4" w:rsidRDefault="00604EC4" w:rsidP="004F7362">
      <w:pPr>
        <w:ind w:firstLine="708"/>
        <w:rPr>
          <w:rFonts w:ascii="Tahoma" w:hAnsi="Tahoma" w:cs="Tahoma"/>
          <w:sz w:val="22"/>
          <w:szCs w:val="22"/>
        </w:rPr>
      </w:pPr>
    </w:p>
    <w:p w:rsidR="00604EC4" w:rsidRDefault="00604EC4" w:rsidP="004F7362">
      <w:pPr>
        <w:ind w:firstLine="708"/>
        <w:rPr>
          <w:rFonts w:ascii="Tahoma" w:hAnsi="Tahoma" w:cs="Tahoma"/>
          <w:sz w:val="22"/>
          <w:szCs w:val="22"/>
        </w:rPr>
      </w:pPr>
    </w:p>
    <w:tbl>
      <w:tblPr>
        <w:tblW w:w="9697" w:type="dxa"/>
        <w:tblLayout w:type="fixed"/>
        <w:tblCellMar>
          <w:left w:w="70" w:type="dxa"/>
          <w:right w:w="70" w:type="dxa"/>
        </w:tblCellMar>
        <w:tblLook w:val="04A0" w:firstRow="1" w:lastRow="0" w:firstColumn="1" w:lastColumn="0" w:noHBand="0" w:noVBand="1"/>
      </w:tblPr>
      <w:tblGrid>
        <w:gridCol w:w="171"/>
        <w:gridCol w:w="172"/>
        <w:gridCol w:w="933"/>
        <w:gridCol w:w="796"/>
        <w:gridCol w:w="977"/>
        <w:gridCol w:w="859"/>
        <w:gridCol w:w="585"/>
        <w:gridCol w:w="1177"/>
        <w:gridCol w:w="160"/>
        <w:gridCol w:w="832"/>
        <w:gridCol w:w="851"/>
        <w:gridCol w:w="850"/>
        <w:gridCol w:w="851"/>
        <w:gridCol w:w="483"/>
      </w:tblGrid>
      <w:tr w:rsidR="001F01C5" w:rsidRPr="001F01C5" w:rsidTr="002D0A94">
        <w:trPr>
          <w:trHeight w:val="38"/>
        </w:trPr>
        <w:tc>
          <w:tcPr>
            <w:tcW w:w="17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17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933" w:type="dxa"/>
            <w:tcBorders>
              <w:top w:val="nil"/>
              <w:left w:val="nil"/>
              <w:bottom w:val="nil"/>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C5" w:rsidRPr="001F01C5" w:rsidRDefault="001F01C5" w:rsidP="001F01C5">
            <w:pPr>
              <w:jc w:val="both"/>
              <w:rPr>
                <w:rFonts w:ascii="Arial Narrow" w:hAnsi="Arial Narrow" w:cs="Arial"/>
                <w:i/>
                <w:iCs/>
                <w:color w:val="000000"/>
                <w:sz w:val="14"/>
                <w:szCs w:val="14"/>
              </w:rPr>
            </w:pPr>
            <w:r w:rsidRPr="001F01C5">
              <w:rPr>
                <w:rFonts w:ascii="Arial Narrow" w:hAnsi="Arial Narrow" w:cs="Arial"/>
                <w:i/>
                <w:iCs/>
                <w:color w:val="000000"/>
                <w:sz w:val="14"/>
                <w:szCs w:val="14"/>
              </w:rPr>
              <w:t xml:space="preserve">Radicación: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both"/>
              <w:rPr>
                <w:rFonts w:ascii="Arial Narrow" w:hAnsi="Arial Narrow" w:cs="Arial"/>
                <w:i/>
                <w:iCs/>
                <w:color w:val="000000"/>
                <w:sz w:val="14"/>
                <w:szCs w:val="14"/>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160" w:type="dxa"/>
            <w:tcBorders>
              <w:top w:val="nil"/>
              <w:left w:val="single" w:sz="4" w:space="0" w:color="auto"/>
              <w:bottom w:val="nil"/>
              <w:right w:val="nil"/>
            </w:tcBorders>
            <w:shd w:val="clear" w:color="auto" w:fill="auto"/>
            <w:noWrap/>
            <w:vAlign w:val="center"/>
            <w:hideMark/>
          </w:tcPr>
          <w:p w:rsidR="001F01C5" w:rsidRPr="001F01C5" w:rsidRDefault="001F01C5" w:rsidP="001F01C5">
            <w:pPr>
              <w:rPr>
                <w:rFonts w:ascii="Arial Narrow" w:hAnsi="Arial Narrow"/>
                <w:sz w:val="14"/>
                <w:szCs w:val="14"/>
              </w:rPr>
            </w:pPr>
          </w:p>
        </w:tc>
        <w:tc>
          <w:tcPr>
            <w:tcW w:w="83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0"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483"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r>
      <w:tr w:rsidR="001F01C5" w:rsidRPr="001F01C5" w:rsidTr="002D0A94">
        <w:trPr>
          <w:trHeight w:val="38"/>
        </w:trPr>
        <w:tc>
          <w:tcPr>
            <w:tcW w:w="17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17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933" w:type="dxa"/>
            <w:tcBorders>
              <w:top w:val="nil"/>
              <w:left w:val="nil"/>
              <w:bottom w:val="nil"/>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C5" w:rsidRPr="001F01C5" w:rsidRDefault="001F01C5" w:rsidP="001F01C5">
            <w:pPr>
              <w:jc w:val="both"/>
              <w:rPr>
                <w:rFonts w:ascii="Arial Narrow" w:hAnsi="Arial Narrow" w:cs="Arial"/>
                <w:i/>
                <w:iCs/>
                <w:color w:val="000000"/>
                <w:sz w:val="14"/>
                <w:szCs w:val="14"/>
              </w:rPr>
            </w:pPr>
            <w:r w:rsidRPr="001F01C5">
              <w:rPr>
                <w:rFonts w:ascii="Arial Narrow" w:hAnsi="Arial Narrow" w:cs="Arial"/>
                <w:i/>
                <w:iCs/>
                <w:color w:val="000000"/>
                <w:sz w:val="14"/>
                <w:szCs w:val="14"/>
              </w:rPr>
              <w:t xml:space="preserve">Proceso: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both"/>
              <w:rPr>
                <w:rFonts w:ascii="Arial Narrow" w:hAnsi="Arial Narrow" w:cs="Arial"/>
                <w:i/>
                <w:iCs/>
                <w:color w:val="000000"/>
                <w:sz w:val="14"/>
                <w:szCs w:val="14"/>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bCs/>
                <w:color w:val="000000"/>
                <w:sz w:val="14"/>
                <w:szCs w:val="14"/>
              </w:rPr>
            </w:pPr>
            <w:r w:rsidRPr="001F01C5">
              <w:rPr>
                <w:rFonts w:ascii="Arial Narrow" w:hAnsi="Arial Narrow"/>
                <w:bCs/>
                <w:color w:val="000000"/>
                <w:sz w:val="14"/>
                <w:szCs w:val="14"/>
              </w:rPr>
              <w:t>03/01/2012</w:t>
            </w:r>
          </w:p>
        </w:tc>
        <w:tc>
          <w:tcPr>
            <w:tcW w:w="160" w:type="dxa"/>
            <w:tcBorders>
              <w:top w:val="nil"/>
              <w:left w:val="single" w:sz="4" w:space="0" w:color="auto"/>
              <w:bottom w:val="nil"/>
              <w:right w:val="nil"/>
            </w:tcBorders>
            <w:shd w:val="clear" w:color="auto" w:fill="auto"/>
            <w:noWrap/>
            <w:vAlign w:val="center"/>
            <w:hideMark/>
          </w:tcPr>
          <w:p w:rsidR="001F01C5" w:rsidRPr="001F01C5" w:rsidRDefault="001F01C5" w:rsidP="001F01C5">
            <w:pPr>
              <w:jc w:val="right"/>
              <w:rPr>
                <w:rFonts w:ascii="Arial Narrow" w:hAnsi="Arial Narrow"/>
                <w:bCs/>
                <w:color w:val="000000"/>
                <w:sz w:val="14"/>
                <w:szCs w:val="14"/>
              </w:rPr>
            </w:pPr>
          </w:p>
        </w:tc>
        <w:tc>
          <w:tcPr>
            <w:tcW w:w="83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0"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483"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r>
      <w:tr w:rsidR="001F01C5" w:rsidRPr="001F01C5" w:rsidTr="002D0A94">
        <w:trPr>
          <w:trHeight w:val="38"/>
        </w:trPr>
        <w:tc>
          <w:tcPr>
            <w:tcW w:w="17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17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933" w:type="dxa"/>
            <w:tcBorders>
              <w:top w:val="nil"/>
              <w:left w:val="nil"/>
              <w:bottom w:val="nil"/>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C5" w:rsidRPr="001F01C5" w:rsidRDefault="001F01C5" w:rsidP="001F01C5">
            <w:pPr>
              <w:jc w:val="both"/>
              <w:rPr>
                <w:rFonts w:ascii="Arial Narrow" w:hAnsi="Arial Narrow" w:cs="Arial"/>
                <w:i/>
                <w:iCs/>
                <w:color w:val="000000"/>
                <w:sz w:val="14"/>
                <w:szCs w:val="14"/>
              </w:rPr>
            </w:pPr>
            <w:r w:rsidRPr="001F01C5">
              <w:rPr>
                <w:rFonts w:ascii="Arial Narrow" w:hAnsi="Arial Narrow" w:cs="Arial"/>
                <w:i/>
                <w:iCs/>
                <w:color w:val="000000"/>
                <w:sz w:val="14"/>
                <w:szCs w:val="14"/>
              </w:rPr>
              <w:t>Accionante:</w:t>
            </w:r>
          </w:p>
        </w:tc>
        <w:tc>
          <w:tcPr>
            <w:tcW w:w="24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rPr>
                <w:rFonts w:ascii="Arial Narrow" w:hAnsi="Arial Narrow" w:cs="Arial"/>
                <w:color w:val="000000"/>
                <w:sz w:val="14"/>
                <w:szCs w:val="14"/>
              </w:rPr>
            </w:pPr>
            <w:r w:rsidRPr="001F01C5">
              <w:rPr>
                <w:rFonts w:ascii="Arial Narrow" w:hAnsi="Arial Narrow" w:cs="Arial"/>
                <w:color w:val="000000"/>
                <w:sz w:val="14"/>
                <w:szCs w:val="14"/>
              </w:rPr>
              <w:t xml:space="preserve"> HERNAN SALCEDO CABAL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bCs/>
                <w:color w:val="000000"/>
                <w:sz w:val="14"/>
                <w:szCs w:val="14"/>
              </w:rPr>
            </w:pPr>
            <w:r w:rsidRPr="001F01C5">
              <w:rPr>
                <w:rFonts w:ascii="Arial Narrow" w:hAnsi="Arial Narrow"/>
                <w:bCs/>
                <w:color w:val="000000"/>
                <w:sz w:val="14"/>
                <w:szCs w:val="14"/>
              </w:rPr>
              <w:t>31/10/2014</w:t>
            </w:r>
          </w:p>
        </w:tc>
        <w:tc>
          <w:tcPr>
            <w:tcW w:w="160" w:type="dxa"/>
            <w:tcBorders>
              <w:top w:val="nil"/>
              <w:left w:val="single" w:sz="4" w:space="0" w:color="auto"/>
              <w:bottom w:val="nil"/>
              <w:right w:val="nil"/>
            </w:tcBorders>
            <w:shd w:val="clear" w:color="auto" w:fill="auto"/>
            <w:noWrap/>
            <w:hideMark/>
          </w:tcPr>
          <w:p w:rsidR="001F01C5" w:rsidRPr="001F01C5" w:rsidRDefault="001F01C5" w:rsidP="001F01C5">
            <w:pPr>
              <w:jc w:val="right"/>
              <w:rPr>
                <w:rFonts w:ascii="Arial Narrow" w:hAnsi="Arial Narrow"/>
                <w:bCs/>
                <w:color w:val="000000"/>
                <w:sz w:val="14"/>
                <w:szCs w:val="14"/>
              </w:rPr>
            </w:pPr>
          </w:p>
        </w:tc>
        <w:tc>
          <w:tcPr>
            <w:tcW w:w="83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0"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483"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r>
      <w:tr w:rsidR="001F01C5" w:rsidRPr="001F01C5" w:rsidTr="002D0A94">
        <w:trPr>
          <w:trHeight w:val="38"/>
        </w:trPr>
        <w:tc>
          <w:tcPr>
            <w:tcW w:w="17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17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933" w:type="dxa"/>
            <w:tcBorders>
              <w:top w:val="nil"/>
              <w:left w:val="nil"/>
              <w:bottom w:val="nil"/>
              <w:right w:val="single" w:sz="4" w:space="0" w:color="auto"/>
            </w:tcBorders>
            <w:shd w:val="clear" w:color="auto" w:fill="auto"/>
            <w:noWrap/>
            <w:vAlign w:val="bottom"/>
            <w:hideMark/>
          </w:tcPr>
          <w:p w:rsidR="001F01C5" w:rsidRPr="001F01C5" w:rsidRDefault="001F01C5" w:rsidP="001F01C5">
            <w:pPr>
              <w:rPr>
                <w:rFonts w:ascii="Arial Narrow" w:hAnsi="Arial Narrow"/>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C5" w:rsidRPr="001F01C5" w:rsidRDefault="001F01C5" w:rsidP="001F01C5">
            <w:pPr>
              <w:jc w:val="both"/>
              <w:rPr>
                <w:rFonts w:ascii="Arial Narrow" w:hAnsi="Arial Narrow" w:cs="Arial"/>
                <w:i/>
                <w:iCs/>
                <w:color w:val="000000"/>
                <w:sz w:val="14"/>
                <w:szCs w:val="14"/>
              </w:rPr>
            </w:pPr>
            <w:r w:rsidRPr="001F01C5">
              <w:rPr>
                <w:rFonts w:ascii="Arial Narrow" w:hAnsi="Arial Narrow" w:cs="Arial"/>
                <w:i/>
                <w:iCs/>
                <w:color w:val="000000"/>
                <w:sz w:val="14"/>
                <w:szCs w:val="14"/>
              </w:rPr>
              <w:t xml:space="preserve">Demandado:             </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rPr>
                <w:rFonts w:ascii="Arial Narrow" w:hAnsi="Arial Narrow" w:cs="Arial"/>
                <w:color w:val="000000"/>
                <w:sz w:val="14"/>
                <w:szCs w:val="14"/>
              </w:rPr>
            </w:pPr>
            <w:r w:rsidRPr="001F01C5">
              <w:rPr>
                <w:rFonts w:ascii="Arial Narrow" w:hAnsi="Arial Narrow" w:cs="Arial"/>
                <w:color w:val="000000"/>
                <w:sz w:val="14"/>
                <w:szCs w:val="14"/>
              </w:rPr>
              <w:t xml:space="preserve">COLPENSIONES </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rPr>
                <w:rFonts w:ascii="Arial Narrow" w:hAnsi="Arial Narrow"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bCs/>
                <w:color w:val="000000"/>
                <w:sz w:val="14"/>
                <w:szCs w:val="14"/>
              </w:rPr>
            </w:pPr>
            <w:r w:rsidRPr="001F01C5">
              <w:rPr>
                <w:rFonts w:ascii="Arial Narrow" w:hAnsi="Arial Narrow"/>
                <w:bCs/>
                <w:color w:val="000000"/>
                <w:sz w:val="14"/>
                <w:szCs w:val="14"/>
              </w:rPr>
              <w:t>1018</w:t>
            </w:r>
          </w:p>
        </w:tc>
        <w:tc>
          <w:tcPr>
            <w:tcW w:w="160" w:type="dxa"/>
            <w:tcBorders>
              <w:top w:val="nil"/>
              <w:left w:val="single" w:sz="4" w:space="0" w:color="auto"/>
              <w:bottom w:val="nil"/>
              <w:right w:val="nil"/>
            </w:tcBorders>
            <w:shd w:val="clear" w:color="auto" w:fill="auto"/>
            <w:noWrap/>
            <w:vAlign w:val="bottom"/>
            <w:hideMark/>
          </w:tcPr>
          <w:p w:rsidR="001F01C5" w:rsidRPr="001F01C5" w:rsidRDefault="001F01C5" w:rsidP="001F01C5">
            <w:pPr>
              <w:jc w:val="right"/>
              <w:rPr>
                <w:rFonts w:ascii="Arial Narrow" w:hAnsi="Arial Narrow"/>
                <w:bCs/>
                <w:color w:val="000000"/>
                <w:sz w:val="14"/>
                <w:szCs w:val="14"/>
              </w:rPr>
            </w:pPr>
          </w:p>
        </w:tc>
        <w:tc>
          <w:tcPr>
            <w:tcW w:w="83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0"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85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483"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r>
      <w:tr w:rsidR="001F01C5" w:rsidRPr="001F01C5" w:rsidTr="002D0A94">
        <w:trPr>
          <w:trHeight w:val="38"/>
        </w:trPr>
        <w:tc>
          <w:tcPr>
            <w:tcW w:w="171"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17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5327" w:type="dxa"/>
            <w:gridSpan w:val="6"/>
            <w:tcBorders>
              <w:top w:val="single" w:sz="8" w:space="0" w:color="auto"/>
              <w:left w:val="single" w:sz="8" w:space="0" w:color="auto"/>
              <w:bottom w:val="nil"/>
              <w:right w:val="single" w:sz="8" w:space="0" w:color="000000"/>
            </w:tcBorders>
            <w:shd w:val="clear" w:color="auto" w:fill="auto"/>
            <w:noWrap/>
            <w:vAlign w:val="bottom"/>
            <w:hideMark/>
          </w:tcPr>
          <w:p w:rsidR="001F01C5" w:rsidRPr="001F01C5" w:rsidRDefault="001F01C5" w:rsidP="001F01C5">
            <w:pPr>
              <w:jc w:val="center"/>
              <w:rPr>
                <w:rFonts w:ascii="Arial Narrow" w:hAnsi="Arial Narrow" w:cs="Arial"/>
                <w:bCs/>
                <w:sz w:val="14"/>
                <w:szCs w:val="14"/>
              </w:rPr>
            </w:pPr>
            <w:r w:rsidRPr="001F01C5">
              <w:rPr>
                <w:rFonts w:ascii="Arial Narrow" w:hAnsi="Arial Narrow" w:cs="Arial"/>
                <w:bCs/>
                <w:sz w:val="14"/>
                <w:szCs w:val="14"/>
              </w:rPr>
              <w:t>LIQUIDACION INTERESES MORATORIOS</w:t>
            </w:r>
          </w:p>
        </w:tc>
        <w:tc>
          <w:tcPr>
            <w:tcW w:w="160" w:type="dxa"/>
            <w:tcBorders>
              <w:top w:val="nil"/>
              <w:left w:val="nil"/>
              <w:bottom w:val="nil"/>
              <w:right w:val="nil"/>
            </w:tcBorders>
            <w:shd w:val="clear" w:color="auto" w:fill="auto"/>
            <w:noWrap/>
            <w:vAlign w:val="bottom"/>
            <w:hideMark/>
          </w:tcPr>
          <w:p w:rsidR="001F01C5" w:rsidRPr="001F01C5" w:rsidRDefault="001F01C5" w:rsidP="001F01C5">
            <w:pPr>
              <w:jc w:val="center"/>
              <w:rPr>
                <w:rFonts w:ascii="Arial Narrow" w:hAnsi="Arial Narrow" w:cs="Arial"/>
                <w:bCs/>
                <w:sz w:val="14"/>
                <w:szCs w:val="14"/>
              </w:rPr>
            </w:pPr>
          </w:p>
        </w:tc>
        <w:tc>
          <w:tcPr>
            <w:tcW w:w="3867" w:type="dxa"/>
            <w:gridSpan w:val="5"/>
            <w:tcBorders>
              <w:top w:val="single" w:sz="8" w:space="0" w:color="auto"/>
              <w:left w:val="single" w:sz="8" w:space="0" w:color="auto"/>
              <w:bottom w:val="nil"/>
              <w:right w:val="single" w:sz="8" w:space="0" w:color="000000"/>
            </w:tcBorders>
            <w:shd w:val="clear" w:color="auto" w:fill="auto"/>
            <w:noWrap/>
            <w:vAlign w:val="bottom"/>
            <w:hideMark/>
          </w:tcPr>
          <w:p w:rsidR="001F01C5" w:rsidRPr="001F01C5" w:rsidRDefault="001F01C5" w:rsidP="001F01C5">
            <w:pPr>
              <w:jc w:val="center"/>
              <w:rPr>
                <w:rFonts w:ascii="Arial Narrow" w:hAnsi="Arial Narrow" w:cs="Arial"/>
                <w:bCs/>
                <w:sz w:val="14"/>
                <w:szCs w:val="14"/>
              </w:rPr>
            </w:pPr>
            <w:r w:rsidRPr="001F01C5">
              <w:rPr>
                <w:rFonts w:ascii="Arial Narrow" w:hAnsi="Arial Narrow" w:cs="Arial"/>
                <w:bCs/>
                <w:sz w:val="14"/>
                <w:szCs w:val="14"/>
              </w:rPr>
              <w:t>RANGO DE FECHAS DIAS MORATORIOS</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s="Arial"/>
                <w:bCs/>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single" w:sz="4" w:space="0" w:color="auto"/>
              <w:left w:val="single" w:sz="8" w:space="0" w:color="auto"/>
              <w:bottom w:val="nil"/>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Periodo</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EXIGIBLE</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Mesada </w:t>
            </w:r>
          </w:p>
        </w:tc>
        <w:tc>
          <w:tcPr>
            <w:tcW w:w="859" w:type="dxa"/>
            <w:tcBorders>
              <w:top w:val="single" w:sz="4" w:space="0" w:color="auto"/>
              <w:left w:val="nil"/>
              <w:bottom w:val="single" w:sz="4" w:space="0" w:color="auto"/>
              <w:right w:val="single" w:sz="4" w:space="0" w:color="auto"/>
            </w:tcBorders>
            <w:shd w:val="pct50" w:color="FFFFFF" w:fill="FFFFFF"/>
            <w:vAlign w:val="center"/>
            <w:hideMark/>
          </w:tcPr>
          <w:p w:rsidR="001F01C5" w:rsidRPr="001F01C5" w:rsidRDefault="001F01C5" w:rsidP="001F01C5">
            <w:pPr>
              <w:jc w:val="center"/>
              <w:rPr>
                <w:rFonts w:ascii="Arial Narrow" w:hAnsi="Arial Narrow"/>
                <w:bCs/>
                <w:color w:val="000000"/>
                <w:sz w:val="14"/>
                <w:szCs w:val="14"/>
              </w:rPr>
            </w:pPr>
            <w:r w:rsidRPr="001F01C5">
              <w:rPr>
                <w:rFonts w:ascii="Arial Narrow" w:hAnsi="Arial Narrow"/>
                <w:bCs/>
                <w:color w:val="000000"/>
                <w:sz w:val="14"/>
                <w:szCs w:val="14"/>
              </w:rPr>
              <w:t xml:space="preserve">% </w:t>
            </w:r>
            <w:proofErr w:type="spellStart"/>
            <w:r w:rsidRPr="001F01C5">
              <w:rPr>
                <w:rFonts w:ascii="Arial Narrow" w:hAnsi="Arial Narrow"/>
                <w:bCs/>
                <w:color w:val="000000"/>
                <w:sz w:val="14"/>
                <w:szCs w:val="14"/>
              </w:rPr>
              <w:t>Interes</w:t>
            </w:r>
            <w:proofErr w:type="spellEnd"/>
            <w:r w:rsidRPr="001F01C5">
              <w:rPr>
                <w:rFonts w:ascii="Arial Narrow" w:hAnsi="Arial Narrow"/>
                <w:bCs/>
                <w:color w:val="000000"/>
                <w:sz w:val="14"/>
                <w:szCs w:val="14"/>
              </w:rPr>
              <w:t xml:space="preserve"> Diario  1 de noviembre de 2014</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No. Días</w:t>
            </w:r>
          </w:p>
        </w:tc>
        <w:tc>
          <w:tcPr>
            <w:tcW w:w="117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Valor Intereses </w:t>
            </w:r>
          </w:p>
        </w:tc>
        <w:tc>
          <w:tcPr>
            <w:tcW w:w="160"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p>
        </w:tc>
        <w:tc>
          <w:tcPr>
            <w:tcW w:w="8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DESDE</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HASTA</w:t>
            </w:r>
          </w:p>
        </w:tc>
        <w:tc>
          <w:tcPr>
            <w:tcW w:w="850" w:type="dxa"/>
            <w:tcBorders>
              <w:top w:val="single" w:sz="8" w:space="0" w:color="auto"/>
              <w:left w:val="nil"/>
              <w:bottom w:val="single" w:sz="4" w:space="0" w:color="auto"/>
              <w:right w:val="single" w:sz="4" w:space="0" w:color="auto"/>
            </w:tcBorders>
            <w:shd w:val="clear" w:color="000000" w:fill="DBDBDB"/>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EXIGIBLE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PAGO </w:t>
            </w:r>
          </w:p>
        </w:tc>
        <w:tc>
          <w:tcPr>
            <w:tcW w:w="483" w:type="dxa"/>
            <w:tcBorders>
              <w:top w:val="single" w:sz="8" w:space="0" w:color="auto"/>
              <w:left w:val="nil"/>
              <w:bottom w:val="single" w:sz="4"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DIAS MORA </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1/09/11 HASTA 31/12/11</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03/01/2012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33.131.595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1018</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 xml:space="preserve"> $           23.373.479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01/09/2011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31/12/2011</w:t>
            </w:r>
          </w:p>
        </w:tc>
        <w:tc>
          <w:tcPr>
            <w:tcW w:w="850" w:type="dxa"/>
            <w:tcBorders>
              <w:top w:val="single" w:sz="4" w:space="0" w:color="auto"/>
              <w:left w:val="nil"/>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03/01/2012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1018</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31-ene-12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01/02/2012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990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4.715.689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01/01/2012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31/01/2012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01/02/2012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990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28-feb-12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01/03/2012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960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 xml:space="preserve"> $ </w:t>
            </w:r>
            <w:r w:rsidR="002D0A94">
              <w:rPr>
                <w:rFonts w:ascii="Arial Narrow" w:hAnsi="Arial Narrow" w:cs="Arial"/>
                <w:color w:val="000000"/>
                <w:sz w:val="14"/>
                <w:szCs w:val="14"/>
              </w:rPr>
              <w:t xml:space="preserve">            </w:t>
            </w:r>
            <w:r w:rsidRPr="001F01C5">
              <w:rPr>
                <w:rFonts w:ascii="Arial Narrow" w:hAnsi="Arial Narrow" w:cs="Arial"/>
                <w:color w:val="000000"/>
                <w:sz w:val="14"/>
                <w:szCs w:val="14"/>
              </w:rPr>
              <w:t xml:space="preserve">4.572.789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01/02/2012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28/02/2012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01/03/2012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960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27-mar-12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01/04/2012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930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4.429.890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01/03/2012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27/03/2012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01/04/2012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930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30-abr-12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01/05/2012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900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4.286.990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01/04/2012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30/04/2012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01/05/2012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900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31-may-12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01/06/2012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870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4.144.090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01/05/2012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31/05/2012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01/06/2012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870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30-jun-12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01/07/2012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840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4.001.191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01/06/2012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30/06/2012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01/07/2012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840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31-jul-12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01/08/2012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810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3.858.291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01/07/2012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31/07/2012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01/08/2012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810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31-ago-12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01/09/2012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780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3.715.391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01/08/2012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31/08/2012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01/09/2012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780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30-sep-12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01/10/2012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750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3.572.492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01/09/2012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30/09/2012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01/10/2012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750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31-oct-12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01/11/2012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720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3.429.592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01/10/2012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31/10/2012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01/11/2012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720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30-nov-12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01/12/2012</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6.873.481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690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3.286.692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01/11/2012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30/11/2012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01/12/2012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690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31-dic-12</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01/01/2013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13.746.962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660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6.287.585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01/12/2012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31/12/2012</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01/01/2013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660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31-ene-13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01/02/2013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630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3.074.115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01/01/2013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31/01/2013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01/02/2013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630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28-feb-13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01/03/2013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600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2.927.728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01/02/2013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28/02/2013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01/03/2013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600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31-mar-13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01/04/2013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570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2.781.342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01/03/2013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31/03/2013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01/04/2013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570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30-abr-13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01/05/2013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540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2.634.956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01/04/2013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30/04/2013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01/05/2013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540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31-may-13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01/06/2013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510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2.488.569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01/05/2013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31/05/2013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01/06/2013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510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30-jun-13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01/07/2013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480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2.342.183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01/06/2013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30/06/2013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01/07/2013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480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31-jul-13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01/08/2013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450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2.195.796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01/07/2013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31/07/2013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01/08/2013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450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31-ago-13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01/09/2013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420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2.049.410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01/08/2013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31/08/2013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01/09/2013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420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30-sep-13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01/10/2013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390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1.903.024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01/09/2013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30/09/2013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01/10/2013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390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31-oct-13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01/11/2013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360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1.756.637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01/10/2013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31/10/2013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01/11/2013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360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30-nov-13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01/12/2013</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7.041.194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330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1.610.251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01/11/2013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30/11/2013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01/12/2013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330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31-dic-13</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01/01/2014</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14.082.388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2.927.728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01/12/2013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31/12/2013</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01/01/2014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300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31-ene-14</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01/02/2014</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7.177.793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270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1.343.037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01/01/2014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31/01/2014</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01/02/2014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270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28-feb-14</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01/03/2014</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7.177.793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240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1.193.811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01/02/2014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28/02/2014</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01/03/2014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240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31-mar-14</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01/04/2014</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7.177.793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210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1.044.584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01/03/2014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31/03/2014</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01/04/2014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210</w:t>
            </w:r>
          </w:p>
        </w:tc>
      </w:tr>
      <w:tr w:rsidR="001F01C5" w:rsidRPr="001F01C5" w:rsidTr="002D0A94">
        <w:trPr>
          <w:trHeight w:val="38"/>
        </w:trPr>
        <w:tc>
          <w:tcPr>
            <w:tcW w:w="171"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vAlign w:val="center"/>
            <w:hideMark/>
          </w:tcPr>
          <w:p w:rsidR="001F01C5" w:rsidRPr="001F01C5" w:rsidRDefault="001F01C5" w:rsidP="001F01C5">
            <w:pPr>
              <w:jc w:val="center"/>
              <w:rPr>
                <w:rFonts w:ascii="Arial Narrow" w:hAnsi="Arial Narrow"/>
                <w:sz w:val="14"/>
                <w:szCs w:val="14"/>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30-abr-14</w:t>
            </w:r>
          </w:p>
        </w:tc>
        <w:tc>
          <w:tcPr>
            <w:tcW w:w="796"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01/05/2014</w:t>
            </w:r>
          </w:p>
        </w:tc>
        <w:tc>
          <w:tcPr>
            <w:tcW w:w="977"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 xml:space="preserve"> $     7.177.793 </w:t>
            </w:r>
          </w:p>
        </w:tc>
        <w:tc>
          <w:tcPr>
            <w:tcW w:w="859" w:type="dxa"/>
            <w:tcBorders>
              <w:top w:val="nil"/>
              <w:left w:val="nil"/>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0,06930%</w:t>
            </w:r>
          </w:p>
        </w:tc>
        <w:tc>
          <w:tcPr>
            <w:tcW w:w="585" w:type="dxa"/>
            <w:tcBorders>
              <w:top w:val="nil"/>
              <w:left w:val="nil"/>
              <w:bottom w:val="single" w:sz="4" w:space="0" w:color="auto"/>
              <w:right w:val="single" w:sz="4" w:space="0" w:color="auto"/>
            </w:tcBorders>
            <w:shd w:val="clear" w:color="auto" w:fill="auto"/>
            <w:vAlign w:val="bottom"/>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180</w:t>
            </w:r>
          </w:p>
        </w:tc>
        <w:tc>
          <w:tcPr>
            <w:tcW w:w="1177" w:type="dxa"/>
            <w:tcBorders>
              <w:top w:val="nil"/>
              <w:left w:val="single" w:sz="4" w:space="0" w:color="auto"/>
              <w:bottom w:val="single" w:sz="4" w:space="0" w:color="auto"/>
              <w:right w:val="single" w:sz="8" w:space="0" w:color="auto"/>
            </w:tcBorders>
            <w:shd w:val="clear" w:color="auto" w:fill="auto"/>
            <w:noWrap/>
            <w:vAlign w:val="bottom"/>
            <w:hideMark/>
          </w:tcPr>
          <w:p w:rsidR="001F01C5" w:rsidRPr="001F01C5" w:rsidRDefault="002D0A94" w:rsidP="001F01C5">
            <w:pPr>
              <w:jc w:val="right"/>
              <w:rPr>
                <w:rFonts w:ascii="Arial Narrow" w:hAnsi="Arial Narrow" w:cs="Arial"/>
                <w:color w:val="000000"/>
                <w:sz w:val="14"/>
                <w:szCs w:val="14"/>
              </w:rPr>
            </w:pPr>
            <w:r>
              <w:rPr>
                <w:rFonts w:ascii="Arial Narrow" w:hAnsi="Arial Narrow" w:cs="Arial"/>
                <w:color w:val="000000"/>
                <w:sz w:val="14"/>
                <w:szCs w:val="14"/>
              </w:rPr>
              <w:t xml:space="preserve"> $                </w:t>
            </w:r>
            <w:r w:rsidR="001F01C5" w:rsidRPr="001F01C5">
              <w:rPr>
                <w:rFonts w:ascii="Arial Narrow" w:hAnsi="Arial Narrow" w:cs="Arial"/>
                <w:color w:val="000000"/>
                <w:sz w:val="14"/>
                <w:szCs w:val="14"/>
              </w:rPr>
              <w:t xml:space="preserve">895.358 </w:t>
            </w:r>
          </w:p>
        </w:tc>
        <w:tc>
          <w:tcPr>
            <w:tcW w:w="160" w:type="dxa"/>
            <w:tcBorders>
              <w:top w:val="nil"/>
              <w:left w:val="nil"/>
              <w:bottom w:val="nil"/>
              <w:right w:val="single" w:sz="4" w:space="0" w:color="auto"/>
            </w:tcBorders>
            <w:shd w:val="clear" w:color="auto" w:fill="auto"/>
            <w:vAlign w:val="center"/>
            <w:hideMark/>
          </w:tcPr>
          <w:p w:rsidR="001F01C5" w:rsidRPr="001F01C5" w:rsidRDefault="001F01C5" w:rsidP="001F01C5">
            <w:pPr>
              <w:jc w:val="right"/>
              <w:rPr>
                <w:rFonts w:ascii="Arial Narrow" w:hAnsi="Arial Narrow" w:cs="Arial"/>
                <w:color w:val="000000"/>
                <w:sz w:val="14"/>
                <w:szCs w:val="1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01/04/2014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1C5" w:rsidRPr="001F01C5" w:rsidRDefault="001F01C5" w:rsidP="001F01C5">
            <w:pPr>
              <w:jc w:val="center"/>
              <w:rPr>
                <w:rFonts w:ascii="Arial Narrow" w:hAnsi="Arial Narrow" w:cs="Arial"/>
                <w:bCs/>
                <w:color w:val="000000"/>
                <w:sz w:val="14"/>
                <w:szCs w:val="14"/>
              </w:rPr>
            </w:pPr>
            <w:r w:rsidRPr="001F01C5">
              <w:rPr>
                <w:rFonts w:ascii="Arial Narrow" w:hAnsi="Arial Narrow" w:cs="Arial"/>
                <w:bCs/>
                <w:color w:val="000000"/>
                <w:sz w:val="14"/>
                <w:szCs w:val="14"/>
              </w:rPr>
              <w:t>30/04/2014</w:t>
            </w:r>
          </w:p>
        </w:tc>
        <w:tc>
          <w:tcPr>
            <w:tcW w:w="85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01/05/2014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01C5" w:rsidRPr="001F01C5" w:rsidRDefault="001F01C5" w:rsidP="001F01C5">
            <w:pPr>
              <w:jc w:val="right"/>
              <w:rPr>
                <w:rFonts w:ascii="Arial Narrow" w:hAnsi="Arial Narrow" w:cs="Arial"/>
                <w:color w:val="000000"/>
                <w:sz w:val="14"/>
                <w:szCs w:val="14"/>
              </w:rPr>
            </w:pPr>
            <w:r w:rsidRPr="001F01C5">
              <w:rPr>
                <w:rFonts w:ascii="Arial Narrow" w:hAnsi="Arial Narrow" w:cs="Arial"/>
                <w:color w:val="000000"/>
                <w:sz w:val="14"/>
                <w:szCs w:val="14"/>
              </w:rPr>
              <w:t>31/10/2014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180</w:t>
            </w:r>
          </w:p>
        </w:tc>
      </w:tr>
      <w:tr w:rsidR="001F01C5" w:rsidRPr="001F01C5" w:rsidTr="002D0A94">
        <w:trPr>
          <w:trHeight w:val="38"/>
        </w:trPr>
        <w:tc>
          <w:tcPr>
            <w:tcW w:w="171" w:type="dxa"/>
            <w:tcBorders>
              <w:top w:val="nil"/>
              <w:left w:val="nil"/>
              <w:bottom w:val="nil"/>
              <w:right w:val="nil"/>
            </w:tcBorders>
            <w:shd w:val="clear" w:color="auto" w:fill="auto"/>
            <w:noWrap/>
            <w:vAlign w:val="bottom"/>
            <w:hideMark/>
          </w:tcPr>
          <w:p w:rsidR="001F01C5" w:rsidRPr="001F01C5" w:rsidRDefault="001F01C5" w:rsidP="001F01C5">
            <w:pPr>
              <w:jc w:val="center"/>
              <w:rPr>
                <w:rFonts w:ascii="Arial Narrow" w:hAnsi="Arial Narrow"/>
                <w:color w:val="000000"/>
                <w:sz w:val="14"/>
                <w:szCs w:val="14"/>
              </w:rPr>
            </w:pPr>
          </w:p>
        </w:tc>
        <w:tc>
          <w:tcPr>
            <w:tcW w:w="172"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sz w:val="14"/>
                <w:szCs w:val="14"/>
              </w:rPr>
            </w:pPr>
          </w:p>
        </w:tc>
        <w:tc>
          <w:tcPr>
            <w:tcW w:w="17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F01C5" w:rsidRPr="001F01C5" w:rsidRDefault="001F01C5" w:rsidP="001F01C5">
            <w:pPr>
              <w:jc w:val="center"/>
              <w:rPr>
                <w:rFonts w:ascii="Arial Narrow" w:hAnsi="Arial Narrow" w:cs="Arial"/>
                <w:color w:val="000000"/>
                <w:sz w:val="14"/>
                <w:szCs w:val="14"/>
              </w:rPr>
            </w:pPr>
            <w:r w:rsidRPr="001F01C5">
              <w:rPr>
                <w:rFonts w:ascii="Arial Narrow" w:hAnsi="Arial Narrow" w:cs="Arial"/>
                <w:color w:val="000000"/>
                <w:sz w:val="14"/>
                <w:szCs w:val="14"/>
              </w:rPr>
              <w:t xml:space="preserve">TOTAL MESADAS </w:t>
            </w:r>
          </w:p>
        </w:tc>
        <w:tc>
          <w:tcPr>
            <w:tcW w:w="977" w:type="dxa"/>
            <w:tcBorders>
              <w:top w:val="single" w:sz="8" w:space="0" w:color="auto"/>
              <w:left w:val="nil"/>
              <w:bottom w:val="single" w:sz="8" w:space="0" w:color="auto"/>
              <w:right w:val="single" w:sz="8" w:space="0" w:color="auto"/>
            </w:tcBorders>
            <w:shd w:val="clear" w:color="000000" w:fill="FFFFFF"/>
            <w:vAlign w:val="center"/>
            <w:hideMark/>
          </w:tcPr>
          <w:p w:rsidR="001F01C5" w:rsidRPr="001F01C5" w:rsidRDefault="001F01C5" w:rsidP="001F01C5">
            <w:pPr>
              <w:rPr>
                <w:rFonts w:ascii="Arial Narrow" w:hAnsi="Arial Narrow" w:cs="Arial"/>
                <w:color w:val="000000"/>
                <w:sz w:val="14"/>
                <w:szCs w:val="14"/>
              </w:rPr>
            </w:pPr>
            <w:r w:rsidRPr="001F01C5">
              <w:rPr>
                <w:rFonts w:ascii="Arial Narrow" w:hAnsi="Arial Narrow" w:cs="Arial"/>
                <w:color w:val="000000"/>
                <w:sz w:val="14"/>
                <w:szCs w:val="14"/>
              </w:rPr>
              <w:t xml:space="preserve"> $ 242.733.542 </w:t>
            </w:r>
          </w:p>
        </w:tc>
        <w:tc>
          <w:tcPr>
            <w:tcW w:w="1444" w:type="dxa"/>
            <w:gridSpan w:val="2"/>
            <w:tcBorders>
              <w:top w:val="single" w:sz="8" w:space="0" w:color="auto"/>
              <w:left w:val="nil"/>
              <w:bottom w:val="single" w:sz="8" w:space="0" w:color="auto"/>
              <w:right w:val="single" w:sz="8" w:space="0" w:color="000000"/>
            </w:tcBorders>
            <w:shd w:val="pct50" w:color="FFFFFF" w:fill="FFFFFF"/>
            <w:vAlign w:val="bottom"/>
            <w:hideMark/>
          </w:tcPr>
          <w:p w:rsidR="001F01C5" w:rsidRPr="001F01C5" w:rsidRDefault="001F01C5" w:rsidP="001F01C5">
            <w:pPr>
              <w:jc w:val="center"/>
              <w:rPr>
                <w:rFonts w:ascii="Arial Narrow" w:hAnsi="Arial Narrow"/>
                <w:color w:val="000000"/>
                <w:sz w:val="14"/>
                <w:szCs w:val="14"/>
              </w:rPr>
            </w:pPr>
            <w:r w:rsidRPr="001F01C5">
              <w:rPr>
                <w:rFonts w:ascii="Arial Narrow" w:hAnsi="Arial Narrow"/>
                <w:color w:val="000000"/>
                <w:sz w:val="14"/>
                <w:szCs w:val="14"/>
              </w:rPr>
              <w:t> </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rsidR="001F01C5" w:rsidRPr="001F01C5" w:rsidRDefault="001F01C5" w:rsidP="001F01C5">
            <w:pPr>
              <w:rPr>
                <w:rFonts w:ascii="Arial Narrow" w:hAnsi="Arial Narrow" w:cs="Arial"/>
                <w:bCs/>
                <w:color w:val="000000"/>
                <w:sz w:val="14"/>
                <w:szCs w:val="14"/>
              </w:rPr>
            </w:pPr>
            <w:r w:rsidRPr="001F01C5">
              <w:rPr>
                <w:rFonts w:ascii="Arial Narrow" w:hAnsi="Arial Narrow" w:cs="Arial"/>
                <w:bCs/>
                <w:color w:val="000000"/>
                <w:sz w:val="14"/>
                <w:szCs w:val="14"/>
              </w:rPr>
              <w:t xml:space="preserve"> $ 106.842.691,14 </w:t>
            </w:r>
          </w:p>
        </w:tc>
        <w:tc>
          <w:tcPr>
            <w:tcW w:w="160" w:type="dxa"/>
            <w:tcBorders>
              <w:top w:val="nil"/>
              <w:left w:val="nil"/>
              <w:bottom w:val="nil"/>
              <w:right w:val="nil"/>
            </w:tcBorders>
            <w:shd w:val="clear" w:color="auto" w:fill="auto"/>
            <w:noWrap/>
            <w:vAlign w:val="bottom"/>
            <w:hideMark/>
          </w:tcPr>
          <w:p w:rsidR="001F01C5" w:rsidRPr="001F01C5" w:rsidRDefault="001F01C5" w:rsidP="001F01C5">
            <w:pPr>
              <w:rPr>
                <w:rFonts w:ascii="Arial Narrow" w:hAnsi="Arial Narrow" w:cs="Arial"/>
                <w:bCs/>
                <w:color w:val="000000"/>
                <w:sz w:val="14"/>
                <w:szCs w:val="14"/>
              </w:rPr>
            </w:pPr>
          </w:p>
        </w:tc>
        <w:tc>
          <w:tcPr>
            <w:tcW w:w="832" w:type="dxa"/>
            <w:tcBorders>
              <w:top w:val="single" w:sz="4" w:space="0" w:color="auto"/>
              <w:left w:val="nil"/>
              <w:bottom w:val="nil"/>
              <w:right w:val="nil"/>
            </w:tcBorders>
            <w:shd w:val="clear" w:color="auto" w:fill="auto"/>
            <w:noWrap/>
            <w:vAlign w:val="bottom"/>
            <w:hideMark/>
          </w:tcPr>
          <w:p w:rsidR="001F01C5" w:rsidRPr="001F01C5" w:rsidRDefault="001F01C5" w:rsidP="001F01C5">
            <w:pPr>
              <w:jc w:val="right"/>
              <w:rPr>
                <w:rFonts w:ascii="Arial Narrow" w:hAnsi="Arial Narrow"/>
                <w:sz w:val="14"/>
                <w:szCs w:val="14"/>
              </w:rPr>
            </w:pPr>
          </w:p>
        </w:tc>
        <w:tc>
          <w:tcPr>
            <w:tcW w:w="851" w:type="dxa"/>
            <w:tcBorders>
              <w:top w:val="single" w:sz="4" w:space="0" w:color="auto"/>
              <w:left w:val="nil"/>
              <w:bottom w:val="nil"/>
              <w:right w:val="nil"/>
            </w:tcBorders>
            <w:shd w:val="clear" w:color="auto" w:fill="auto"/>
            <w:noWrap/>
            <w:vAlign w:val="bottom"/>
            <w:hideMark/>
          </w:tcPr>
          <w:p w:rsidR="001F01C5" w:rsidRPr="001F01C5" w:rsidRDefault="001F01C5" w:rsidP="001F01C5">
            <w:pPr>
              <w:jc w:val="right"/>
              <w:rPr>
                <w:rFonts w:ascii="Arial Narrow" w:hAnsi="Arial Narrow"/>
                <w:sz w:val="14"/>
                <w:szCs w:val="14"/>
              </w:rPr>
            </w:pPr>
          </w:p>
        </w:tc>
        <w:tc>
          <w:tcPr>
            <w:tcW w:w="850" w:type="dxa"/>
            <w:tcBorders>
              <w:top w:val="single" w:sz="4" w:space="0" w:color="auto"/>
              <w:left w:val="nil"/>
              <w:bottom w:val="nil"/>
              <w:right w:val="nil"/>
            </w:tcBorders>
            <w:shd w:val="clear" w:color="auto" w:fill="auto"/>
            <w:noWrap/>
            <w:vAlign w:val="bottom"/>
            <w:hideMark/>
          </w:tcPr>
          <w:p w:rsidR="001F01C5" w:rsidRPr="001F01C5" w:rsidRDefault="001F01C5" w:rsidP="001F01C5">
            <w:pPr>
              <w:jc w:val="right"/>
              <w:rPr>
                <w:rFonts w:ascii="Arial Narrow" w:hAnsi="Arial Narrow"/>
                <w:sz w:val="14"/>
                <w:szCs w:val="14"/>
              </w:rPr>
            </w:pPr>
          </w:p>
        </w:tc>
        <w:tc>
          <w:tcPr>
            <w:tcW w:w="851" w:type="dxa"/>
            <w:tcBorders>
              <w:top w:val="single" w:sz="4" w:space="0" w:color="auto"/>
              <w:left w:val="nil"/>
              <w:bottom w:val="nil"/>
              <w:right w:val="nil"/>
            </w:tcBorders>
            <w:shd w:val="clear" w:color="auto" w:fill="auto"/>
            <w:noWrap/>
            <w:vAlign w:val="bottom"/>
            <w:hideMark/>
          </w:tcPr>
          <w:p w:rsidR="001F01C5" w:rsidRPr="001F01C5" w:rsidRDefault="001F01C5" w:rsidP="001F01C5">
            <w:pPr>
              <w:jc w:val="right"/>
              <w:rPr>
                <w:rFonts w:ascii="Arial Narrow" w:hAnsi="Arial Narrow"/>
                <w:sz w:val="14"/>
                <w:szCs w:val="14"/>
              </w:rPr>
            </w:pPr>
          </w:p>
        </w:tc>
        <w:tc>
          <w:tcPr>
            <w:tcW w:w="483" w:type="dxa"/>
            <w:tcBorders>
              <w:top w:val="single" w:sz="4" w:space="0" w:color="auto"/>
              <w:left w:val="nil"/>
              <w:bottom w:val="nil"/>
              <w:right w:val="nil"/>
            </w:tcBorders>
            <w:shd w:val="clear" w:color="auto" w:fill="auto"/>
            <w:noWrap/>
            <w:vAlign w:val="bottom"/>
            <w:hideMark/>
          </w:tcPr>
          <w:p w:rsidR="001F01C5" w:rsidRPr="001F01C5" w:rsidRDefault="001F01C5" w:rsidP="001F01C5">
            <w:pPr>
              <w:jc w:val="right"/>
              <w:rPr>
                <w:rFonts w:ascii="Arial Narrow" w:hAnsi="Arial Narrow"/>
                <w:sz w:val="14"/>
                <w:szCs w:val="14"/>
              </w:rPr>
            </w:pPr>
          </w:p>
        </w:tc>
      </w:tr>
    </w:tbl>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Default="001F01C5" w:rsidP="004F7362">
      <w:pPr>
        <w:rPr>
          <w:rFonts w:ascii="Tahoma" w:hAnsi="Tahoma" w:cs="Tahoma"/>
          <w:sz w:val="22"/>
          <w:szCs w:val="22"/>
        </w:rPr>
      </w:pPr>
    </w:p>
    <w:p w:rsidR="001F01C5" w:rsidRPr="00AC6C9A" w:rsidRDefault="001F01C5" w:rsidP="004F7362">
      <w:pPr>
        <w:rPr>
          <w:rFonts w:ascii="Tahoma" w:hAnsi="Tahoma" w:cs="Tahoma"/>
          <w:sz w:val="22"/>
          <w:szCs w:val="22"/>
        </w:rPr>
      </w:pPr>
    </w:p>
    <w:p w:rsidR="004F7362" w:rsidRPr="00AC6C9A" w:rsidRDefault="004F7362" w:rsidP="004F7362">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4F7362" w:rsidRPr="00AC6C9A" w:rsidRDefault="004F7362" w:rsidP="004F7362">
      <w:pPr>
        <w:jc w:val="center"/>
        <w:rPr>
          <w:rFonts w:ascii="Tahoma" w:hAnsi="Tahoma" w:cs="Tahoma"/>
          <w:sz w:val="22"/>
          <w:szCs w:val="22"/>
        </w:rPr>
      </w:pPr>
      <w:r w:rsidRPr="00AC6C9A">
        <w:rPr>
          <w:rFonts w:ascii="Tahoma" w:hAnsi="Tahoma" w:cs="Tahoma"/>
          <w:sz w:val="22"/>
          <w:szCs w:val="22"/>
        </w:rPr>
        <w:t>Magistrada</w:t>
      </w:r>
    </w:p>
    <w:sectPr w:rsidR="004F7362" w:rsidRPr="00AC6C9A" w:rsidSect="00331017">
      <w:headerReference w:type="even" r:id="rId8"/>
      <w:headerReference w:type="default" r:id="rId9"/>
      <w:footerReference w:type="default" r:id="rId10"/>
      <w:footerReference w:type="first" r:id="rId11"/>
      <w:pgSz w:w="12242" w:h="18722" w:code="14"/>
      <w:pgMar w:top="1134" w:right="1134" w:bottom="1134" w:left="1134" w:header="720" w:footer="7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08" w:rsidRDefault="00762908" w:rsidP="007D6F84">
      <w:r>
        <w:separator/>
      </w:r>
    </w:p>
  </w:endnote>
  <w:endnote w:type="continuationSeparator" w:id="0">
    <w:p w:rsidR="00762908" w:rsidRDefault="00762908"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66" w:rsidRPr="0002458E" w:rsidRDefault="003E1F66">
    <w:pPr>
      <w:pStyle w:val="Piedepgina"/>
      <w:jc w:val="right"/>
    </w:pPr>
    <w:r w:rsidRPr="0002458E">
      <w:fldChar w:fldCharType="begin"/>
    </w:r>
    <w:r w:rsidRPr="0002458E">
      <w:instrText>PAGE   \* MERGEFORMAT</w:instrText>
    </w:r>
    <w:r w:rsidRPr="0002458E">
      <w:fldChar w:fldCharType="separate"/>
    </w:r>
    <w:r w:rsidR="00ED5ED0">
      <w:rPr>
        <w:noProof/>
      </w:rPr>
      <w:t>2</w:t>
    </w:r>
    <w:r w:rsidRPr="0002458E">
      <w:fldChar w:fldCharType="end"/>
    </w:r>
  </w:p>
  <w:p w:rsidR="003E1F66" w:rsidRDefault="003E1F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66" w:rsidRDefault="003E1F66">
    <w:pPr>
      <w:pStyle w:val="Piedepgina"/>
      <w:jc w:val="right"/>
    </w:pPr>
    <w:r>
      <w:fldChar w:fldCharType="begin"/>
    </w:r>
    <w:r>
      <w:instrText>PAGE   \* MERGEFORMAT</w:instrText>
    </w:r>
    <w:r>
      <w:fldChar w:fldCharType="separate"/>
    </w:r>
    <w:r w:rsidR="00ED5ED0">
      <w:rPr>
        <w:noProof/>
      </w:rPr>
      <w:t>1</w:t>
    </w:r>
    <w:r>
      <w:fldChar w:fldCharType="end"/>
    </w:r>
  </w:p>
  <w:p w:rsidR="003E1F66" w:rsidRDefault="003E1F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08" w:rsidRDefault="00762908" w:rsidP="007D6F84">
      <w:r>
        <w:separator/>
      </w:r>
    </w:p>
  </w:footnote>
  <w:footnote w:type="continuationSeparator" w:id="0">
    <w:p w:rsidR="00762908" w:rsidRDefault="00762908" w:rsidP="007D6F84">
      <w:r>
        <w:continuationSeparator/>
      </w:r>
    </w:p>
  </w:footnote>
  <w:footnote w:id="1">
    <w:p w:rsidR="007F3D3D" w:rsidRPr="007F3D3D" w:rsidRDefault="007F3D3D" w:rsidP="007F3D3D">
      <w:pPr>
        <w:pStyle w:val="Textonotapie"/>
        <w:jc w:val="both"/>
        <w:rPr>
          <w:lang w:val="es-CO"/>
        </w:rPr>
      </w:pPr>
      <w:r>
        <w:rPr>
          <w:rStyle w:val="Refdenotaalpie"/>
        </w:rPr>
        <w:footnoteRef/>
      </w:r>
      <w:r>
        <w:t xml:space="preserve"> </w:t>
      </w:r>
      <w:r w:rsidRPr="007F3D3D">
        <w:rPr>
          <w:sz w:val="16"/>
          <w:szCs w:val="16"/>
          <w:lang w:val="es-CO"/>
        </w:rPr>
        <w:t>Que declaró exequible condicionalmente el aparte de dicho artículo que indica “</w:t>
      </w:r>
      <w:r w:rsidRPr="007F3D3D">
        <w:rPr>
          <w:sz w:val="16"/>
          <w:szCs w:val="16"/>
          <w:u w:val="single"/>
        </w:rPr>
        <w:t>o cuando transcurrido un mes desde su presentación no ha sido resuelta”</w:t>
      </w:r>
      <w:r w:rsidRPr="007F3D3D">
        <w:rPr>
          <w:sz w:val="16"/>
          <w:szCs w:val="16"/>
        </w:rPr>
        <w:t>. 'en el entendido que el agotamiento de la reclamación administrativa por virtud del silencio administrativo negativo, es optativo del administrado, de tal manera que si decide esperar la respuesta de la Administración, la contabilización del término de prescripción sólo se hará a partir del momento en el que la respuesta efectivamente se produzca'.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66" w:rsidRDefault="003E1F6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E1F66" w:rsidRDefault="003E1F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66" w:rsidRPr="005569B4" w:rsidRDefault="003E1F66" w:rsidP="005569B4">
    <w:pPr>
      <w:pStyle w:val="Puesto"/>
      <w:spacing w:line="240" w:lineRule="auto"/>
      <w:jc w:val="both"/>
      <w:rPr>
        <w:rFonts w:ascii="Times New Roman" w:hAnsi="Times New Roman" w:cs="Times New Roman"/>
        <w:b w:val="0"/>
        <w:sz w:val="16"/>
        <w:szCs w:val="16"/>
      </w:rPr>
    </w:pPr>
    <w:r w:rsidRPr="005569B4">
      <w:rPr>
        <w:rFonts w:ascii="Times New Roman" w:hAnsi="Times New Roman" w:cs="Times New Roman"/>
        <w:b w:val="0"/>
        <w:sz w:val="16"/>
        <w:szCs w:val="16"/>
      </w:rPr>
      <w:t>Radicación No.:</w:t>
    </w:r>
    <w:r w:rsidRPr="005569B4">
      <w:rPr>
        <w:rFonts w:ascii="Times New Roman" w:hAnsi="Times New Roman" w:cs="Times New Roman"/>
        <w:b w:val="0"/>
        <w:sz w:val="16"/>
        <w:szCs w:val="16"/>
      </w:rPr>
      <w:tab/>
    </w:r>
    <w:r w:rsidRPr="005569B4">
      <w:rPr>
        <w:rFonts w:ascii="Times New Roman" w:hAnsi="Times New Roman" w:cs="Times New Roman"/>
        <w:b w:val="0"/>
        <w:sz w:val="16"/>
        <w:szCs w:val="16"/>
      </w:rPr>
      <w:tab/>
      <w:t>66001-31-05-005-2016-00454-01</w:t>
    </w:r>
  </w:p>
  <w:p w:rsidR="003E1F66" w:rsidRPr="005569B4" w:rsidRDefault="003E1F66" w:rsidP="005569B4">
    <w:pPr>
      <w:pStyle w:val="Puesto"/>
      <w:spacing w:line="240" w:lineRule="auto"/>
      <w:jc w:val="both"/>
      <w:rPr>
        <w:rFonts w:ascii="Times New Roman" w:hAnsi="Times New Roman" w:cs="Times New Roman"/>
        <w:b w:val="0"/>
        <w:sz w:val="16"/>
        <w:szCs w:val="16"/>
      </w:rPr>
    </w:pPr>
    <w:r w:rsidRPr="005569B4">
      <w:rPr>
        <w:rFonts w:ascii="Times New Roman" w:hAnsi="Times New Roman" w:cs="Times New Roman"/>
        <w:b w:val="0"/>
        <w:sz w:val="16"/>
        <w:szCs w:val="16"/>
      </w:rPr>
      <w:t>Demandante:</w:t>
    </w:r>
    <w:r w:rsidRPr="005569B4">
      <w:rPr>
        <w:rFonts w:ascii="Times New Roman" w:hAnsi="Times New Roman" w:cs="Times New Roman"/>
        <w:b w:val="0"/>
        <w:sz w:val="16"/>
        <w:szCs w:val="16"/>
      </w:rPr>
      <w:tab/>
    </w:r>
    <w:r w:rsidRPr="005569B4">
      <w:rPr>
        <w:rFonts w:ascii="Times New Roman" w:hAnsi="Times New Roman" w:cs="Times New Roman"/>
        <w:b w:val="0"/>
        <w:sz w:val="16"/>
        <w:szCs w:val="16"/>
      </w:rPr>
      <w:tab/>
      <w:t xml:space="preserve">Hernán Salcedo Cabal   </w:t>
    </w:r>
  </w:p>
  <w:p w:rsidR="003E1F66" w:rsidRDefault="003E1F66" w:rsidP="005569B4">
    <w:pPr>
      <w:pStyle w:val="Puesto"/>
      <w:spacing w:line="240" w:lineRule="auto"/>
      <w:jc w:val="both"/>
      <w:rPr>
        <w:rFonts w:ascii="Times New Roman" w:hAnsi="Times New Roman" w:cs="Times New Roman"/>
        <w:b w:val="0"/>
        <w:sz w:val="16"/>
        <w:szCs w:val="16"/>
      </w:rPr>
    </w:pPr>
    <w:r w:rsidRPr="005569B4">
      <w:rPr>
        <w:rFonts w:ascii="Times New Roman" w:hAnsi="Times New Roman" w:cs="Times New Roman"/>
        <w:b w:val="0"/>
        <w:sz w:val="16"/>
        <w:szCs w:val="16"/>
      </w:rPr>
      <w:t>Demandado:</w:t>
    </w:r>
    <w:r w:rsidRPr="005569B4">
      <w:rPr>
        <w:rFonts w:ascii="Times New Roman" w:hAnsi="Times New Roman" w:cs="Times New Roman"/>
        <w:b w:val="0"/>
        <w:sz w:val="16"/>
        <w:szCs w:val="16"/>
      </w:rPr>
      <w:tab/>
    </w:r>
    <w:r w:rsidRPr="005569B4">
      <w:rPr>
        <w:rFonts w:ascii="Times New Roman" w:hAnsi="Times New Roman" w:cs="Times New Roman"/>
        <w:b w:val="0"/>
        <w:sz w:val="16"/>
        <w:szCs w:val="16"/>
      </w:rPr>
      <w:tab/>
      <w:t xml:space="preserve">Colpensiones </w:t>
    </w:r>
  </w:p>
  <w:p w:rsidR="003E1F66" w:rsidRPr="005569B4" w:rsidRDefault="003E1F66" w:rsidP="005569B4">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252"/>
    <w:multiLevelType w:val="hybridMultilevel"/>
    <w:tmpl w:val="B00A2684"/>
    <w:lvl w:ilvl="0" w:tplc="FD125260">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2B80A0A"/>
    <w:multiLevelType w:val="hybridMultilevel"/>
    <w:tmpl w:val="CF14D332"/>
    <w:lvl w:ilvl="0" w:tplc="CB8AF0CE">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635C1C31"/>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62"/>
    <w:rsid w:val="00023DD5"/>
    <w:rsid w:val="0002440F"/>
    <w:rsid w:val="00031BE7"/>
    <w:rsid w:val="00036CE3"/>
    <w:rsid w:val="00054469"/>
    <w:rsid w:val="00056FC6"/>
    <w:rsid w:val="000951AF"/>
    <w:rsid w:val="000970AA"/>
    <w:rsid w:val="000B00DB"/>
    <w:rsid w:val="000C2813"/>
    <w:rsid w:val="000C5686"/>
    <w:rsid w:val="000D0E32"/>
    <w:rsid w:val="000F00E7"/>
    <w:rsid w:val="001021FD"/>
    <w:rsid w:val="00110D43"/>
    <w:rsid w:val="0015344C"/>
    <w:rsid w:val="00172EB4"/>
    <w:rsid w:val="001B28EA"/>
    <w:rsid w:val="001B7236"/>
    <w:rsid w:val="001C0DCC"/>
    <w:rsid w:val="001D421D"/>
    <w:rsid w:val="001D582E"/>
    <w:rsid w:val="001F01C5"/>
    <w:rsid w:val="00206F26"/>
    <w:rsid w:val="00211E63"/>
    <w:rsid w:val="00231524"/>
    <w:rsid w:val="00233132"/>
    <w:rsid w:val="0024635D"/>
    <w:rsid w:val="0025110C"/>
    <w:rsid w:val="002C36A6"/>
    <w:rsid w:val="002D0A94"/>
    <w:rsid w:val="002E6C47"/>
    <w:rsid w:val="00311CC2"/>
    <w:rsid w:val="00317B91"/>
    <w:rsid w:val="00323323"/>
    <w:rsid w:val="00331017"/>
    <w:rsid w:val="003311BE"/>
    <w:rsid w:val="00332D5F"/>
    <w:rsid w:val="003403EA"/>
    <w:rsid w:val="003E1F66"/>
    <w:rsid w:val="004176AE"/>
    <w:rsid w:val="0044504E"/>
    <w:rsid w:val="00453061"/>
    <w:rsid w:val="00467429"/>
    <w:rsid w:val="00483781"/>
    <w:rsid w:val="004B36A5"/>
    <w:rsid w:val="004C4949"/>
    <w:rsid w:val="004C53F0"/>
    <w:rsid w:val="004C7BE6"/>
    <w:rsid w:val="004F12E1"/>
    <w:rsid w:val="004F4C39"/>
    <w:rsid w:val="004F7362"/>
    <w:rsid w:val="00535205"/>
    <w:rsid w:val="005508A4"/>
    <w:rsid w:val="00551C31"/>
    <w:rsid w:val="005529A8"/>
    <w:rsid w:val="005569B4"/>
    <w:rsid w:val="005603BD"/>
    <w:rsid w:val="00565003"/>
    <w:rsid w:val="005653A9"/>
    <w:rsid w:val="0057766C"/>
    <w:rsid w:val="00586BC0"/>
    <w:rsid w:val="005B7C33"/>
    <w:rsid w:val="005D0A21"/>
    <w:rsid w:val="005E7659"/>
    <w:rsid w:val="005F53B8"/>
    <w:rsid w:val="00604EC4"/>
    <w:rsid w:val="0060586D"/>
    <w:rsid w:val="00627578"/>
    <w:rsid w:val="00630A43"/>
    <w:rsid w:val="006511ED"/>
    <w:rsid w:val="006912E8"/>
    <w:rsid w:val="006A5E66"/>
    <w:rsid w:val="006B1F2E"/>
    <w:rsid w:val="006C0461"/>
    <w:rsid w:val="006D6778"/>
    <w:rsid w:val="006E60A1"/>
    <w:rsid w:val="007139A2"/>
    <w:rsid w:val="00740DD0"/>
    <w:rsid w:val="00742D3B"/>
    <w:rsid w:val="007619E5"/>
    <w:rsid w:val="00762908"/>
    <w:rsid w:val="00797045"/>
    <w:rsid w:val="007B3FF0"/>
    <w:rsid w:val="007B7EF4"/>
    <w:rsid w:val="007C0598"/>
    <w:rsid w:val="007D68A4"/>
    <w:rsid w:val="007D6F84"/>
    <w:rsid w:val="007E1963"/>
    <w:rsid w:val="007F04A0"/>
    <w:rsid w:val="007F3D3D"/>
    <w:rsid w:val="00835233"/>
    <w:rsid w:val="00850DBF"/>
    <w:rsid w:val="008579C3"/>
    <w:rsid w:val="00862D5C"/>
    <w:rsid w:val="008849DC"/>
    <w:rsid w:val="008C7670"/>
    <w:rsid w:val="008E2A82"/>
    <w:rsid w:val="00912557"/>
    <w:rsid w:val="0092218C"/>
    <w:rsid w:val="009437E3"/>
    <w:rsid w:val="00950F37"/>
    <w:rsid w:val="0095536E"/>
    <w:rsid w:val="009571C8"/>
    <w:rsid w:val="00962566"/>
    <w:rsid w:val="00965D59"/>
    <w:rsid w:val="009728BB"/>
    <w:rsid w:val="009815D7"/>
    <w:rsid w:val="00983F09"/>
    <w:rsid w:val="00985A5C"/>
    <w:rsid w:val="009D13FE"/>
    <w:rsid w:val="009E698C"/>
    <w:rsid w:val="009F375F"/>
    <w:rsid w:val="009F69A2"/>
    <w:rsid w:val="00A0036F"/>
    <w:rsid w:val="00A06604"/>
    <w:rsid w:val="00A270C3"/>
    <w:rsid w:val="00A35ABF"/>
    <w:rsid w:val="00A61322"/>
    <w:rsid w:val="00AB2CC4"/>
    <w:rsid w:val="00AC28DD"/>
    <w:rsid w:val="00AC3374"/>
    <w:rsid w:val="00AD1DB9"/>
    <w:rsid w:val="00AD3F03"/>
    <w:rsid w:val="00B03863"/>
    <w:rsid w:val="00B067C3"/>
    <w:rsid w:val="00B15713"/>
    <w:rsid w:val="00B15C37"/>
    <w:rsid w:val="00B25C08"/>
    <w:rsid w:val="00B4162F"/>
    <w:rsid w:val="00B779DF"/>
    <w:rsid w:val="00B861BF"/>
    <w:rsid w:val="00B94819"/>
    <w:rsid w:val="00B968C9"/>
    <w:rsid w:val="00BC1B7A"/>
    <w:rsid w:val="00BC6A82"/>
    <w:rsid w:val="00BD01F2"/>
    <w:rsid w:val="00BD14B9"/>
    <w:rsid w:val="00BD68C9"/>
    <w:rsid w:val="00C3283D"/>
    <w:rsid w:val="00C376E7"/>
    <w:rsid w:val="00C401F0"/>
    <w:rsid w:val="00C408DD"/>
    <w:rsid w:val="00C63E08"/>
    <w:rsid w:val="00C658BC"/>
    <w:rsid w:val="00C7714B"/>
    <w:rsid w:val="00C8399D"/>
    <w:rsid w:val="00C87455"/>
    <w:rsid w:val="00C92391"/>
    <w:rsid w:val="00CA6482"/>
    <w:rsid w:val="00CB1860"/>
    <w:rsid w:val="00CC2134"/>
    <w:rsid w:val="00CD0F5B"/>
    <w:rsid w:val="00CE3D91"/>
    <w:rsid w:val="00CE6C97"/>
    <w:rsid w:val="00D140A7"/>
    <w:rsid w:val="00D311F3"/>
    <w:rsid w:val="00D365EB"/>
    <w:rsid w:val="00D468FD"/>
    <w:rsid w:val="00D74A20"/>
    <w:rsid w:val="00D906C7"/>
    <w:rsid w:val="00D925F1"/>
    <w:rsid w:val="00D9387C"/>
    <w:rsid w:val="00DA5DDC"/>
    <w:rsid w:val="00DC39FE"/>
    <w:rsid w:val="00DD238B"/>
    <w:rsid w:val="00DE4141"/>
    <w:rsid w:val="00DF12D8"/>
    <w:rsid w:val="00E17333"/>
    <w:rsid w:val="00E53C12"/>
    <w:rsid w:val="00E64246"/>
    <w:rsid w:val="00E77F15"/>
    <w:rsid w:val="00E97265"/>
    <w:rsid w:val="00EC4F88"/>
    <w:rsid w:val="00EC7568"/>
    <w:rsid w:val="00ED455B"/>
    <w:rsid w:val="00ED5ED0"/>
    <w:rsid w:val="00F216FA"/>
    <w:rsid w:val="00F24609"/>
    <w:rsid w:val="00F4402B"/>
    <w:rsid w:val="00F62D85"/>
    <w:rsid w:val="00F72550"/>
    <w:rsid w:val="00F918B1"/>
    <w:rsid w:val="00FC465D"/>
    <w:rsid w:val="00FD1016"/>
    <w:rsid w:val="00FE0B8E"/>
    <w:rsid w:val="00FE1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F35EB-8AF6-46D1-97B7-02890B6B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Prrafodelista">
    <w:name w:val="List Paragraph"/>
    <w:basedOn w:val="Normal"/>
    <w:uiPriority w:val="34"/>
    <w:qFormat/>
    <w:rsid w:val="00467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1223">
      <w:bodyDiv w:val="1"/>
      <w:marLeft w:val="0"/>
      <w:marRight w:val="0"/>
      <w:marTop w:val="0"/>
      <w:marBottom w:val="0"/>
      <w:divBdr>
        <w:top w:val="none" w:sz="0" w:space="0" w:color="auto"/>
        <w:left w:val="none" w:sz="0" w:space="0" w:color="auto"/>
        <w:bottom w:val="none" w:sz="0" w:space="0" w:color="auto"/>
        <w:right w:val="none" w:sz="0" w:space="0" w:color="auto"/>
      </w:divBdr>
    </w:div>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510224007">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8941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25E3-5A75-49F0-9DB5-036762B1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7</Pages>
  <Words>3501</Words>
  <Characters>19260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75</cp:revision>
  <cp:lastPrinted>2018-07-11T21:37:00Z</cp:lastPrinted>
  <dcterms:created xsi:type="dcterms:W3CDTF">2018-06-27T20:00:00Z</dcterms:created>
  <dcterms:modified xsi:type="dcterms:W3CDTF">2018-08-21T12:17:00Z</dcterms:modified>
</cp:coreProperties>
</file>