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BB" w:rsidRPr="0015019A" w:rsidRDefault="003A3BBB" w:rsidP="00B34ACF">
      <w:pPr>
        <w:pStyle w:val="Puesto"/>
        <w:pBdr>
          <w:top w:val="single" w:sz="4" w:space="1" w:color="auto"/>
          <w:left w:val="single" w:sz="4" w:space="4" w:color="auto"/>
          <w:bottom w:val="single" w:sz="4" w:space="1" w:color="auto"/>
          <w:right w:val="single" w:sz="4" w:space="4" w:color="auto"/>
        </w:pBdr>
        <w:spacing w:line="240" w:lineRule="auto"/>
        <w:jc w:val="both"/>
        <w:rPr>
          <w:b w:val="0"/>
          <w:sz w:val="18"/>
          <w:szCs w:val="18"/>
        </w:rPr>
      </w:pPr>
      <w:r w:rsidRPr="0015019A">
        <w:rPr>
          <w:b w:val="0"/>
          <w:sz w:val="18"/>
          <w:szCs w:val="18"/>
        </w:rPr>
        <w:t xml:space="preserve">El contenido total y fiel de la decisión debe ser verificado en el audio que reposa en la </w:t>
      </w:r>
      <w:r w:rsidR="00064C80" w:rsidRPr="0015019A">
        <w:rPr>
          <w:b w:val="0"/>
          <w:sz w:val="18"/>
          <w:szCs w:val="18"/>
        </w:rPr>
        <w:t>secretaría de esta Corporación</w:t>
      </w:r>
      <w:r w:rsidRPr="0015019A">
        <w:rPr>
          <w:b w:val="0"/>
          <w:sz w:val="18"/>
          <w:szCs w:val="18"/>
        </w:rPr>
        <w:t xml:space="preserve">. </w:t>
      </w:r>
    </w:p>
    <w:p w:rsidR="003A3BBB" w:rsidRPr="0015019A" w:rsidRDefault="003A3BBB" w:rsidP="00B34ACF">
      <w:pPr>
        <w:pStyle w:val="Puesto"/>
        <w:spacing w:line="240" w:lineRule="auto"/>
        <w:jc w:val="both"/>
        <w:rPr>
          <w:sz w:val="18"/>
          <w:szCs w:val="18"/>
        </w:rPr>
      </w:pPr>
    </w:p>
    <w:p w:rsidR="003A3BBB" w:rsidRPr="0015019A" w:rsidRDefault="003A3BBB" w:rsidP="0015019A">
      <w:pPr>
        <w:rPr>
          <w:rFonts w:ascii="Arial" w:hAnsi="Arial" w:cs="Arial"/>
          <w:sz w:val="18"/>
        </w:rPr>
      </w:pPr>
      <w:r w:rsidRPr="0015019A">
        <w:rPr>
          <w:rFonts w:ascii="Arial" w:hAnsi="Arial" w:cs="Arial"/>
          <w:sz w:val="18"/>
        </w:rPr>
        <w:t xml:space="preserve">Providencia: </w:t>
      </w:r>
      <w:r w:rsidRPr="0015019A">
        <w:rPr>
          <w:rFonts w:ascii="Arial" w:hAnsi="Arial" w:cs="Arial"/>
          <w:sz w:val="18"/>
        </w:rPr>
        <w:tab/>
      </w:r>
      <w:r w:rsidRPr="0015019A">
        <w:rPr>
          <w:rFonts w:ascii="Arial" w:hAnsi="Arial" w:cs="Arial"/>
          <w:sz w:val="18"/>
        </w:rPr>
        <w:tab/>
        <w:t>Sentencia del</w:t>
      </w:r>
      <w:r w:rsidR="00F56DA6" w:rsidRPr="0015019A">
        <w:rPr>
          <w:rFonts w:ascii="Arial" w:hAnsi="Arial" w:cs="Arial"/>
          <w:sz w:val="18"/>
        </w:rPr>
        <w:t xml:space="preserve"> </w:t>
      </w:r>
      <w:r w:rsidR="002362AA" w:rsidRPr="0015019A">
        <w:rPr>
          <w:rFonts w:ascii="Arial" w:hAnsi="Arial" w:cs="Arial"/>
          <w:sz w:val="18"/>
        </w:rPr>
        <w:t>27</w:t>
      </w:r>
      <w:r w:rsidR="004603F1" w:rsidRPr="0015019A">
        <w:rPr>
          <w:rFonts w:ascii="Arial" w:hAnsi="Arial" w:cs="Arial"/>
          <w:sz w:val="18"/>
        </w:rPr>
        <w:t xml:space="preserve"> </w:t>
      </w:r>
      <w:r w:rsidR="00835297" w:rsidRPr="0015019A">
        <w:rPr>
          <w:rFonts w:ascii="Arial" w:hAnsi="Arial" w:cs="Arial"/>
          <w:sz w:val="18"/>
        </w:rPr>
        <w:t xml:space="preserve">de </w:t>
      </w:r>
      <w:r w:rsidR="002362AA" w:rsidRPr="0015019A">
        <w:rPr>
          <w:rFonts w:ascii="Arial" w:hAnsi="Arial" w:cs="Arial"/>
          <w:sz w:val="18"/>
        </w:rPr>
        <w:t xml:space="preserve">julio </w:t>
      </w:r>
      <w:r w:rsidR="00926933" w:rsidRPr="0015019A">
        <w:rPr>
          <w:rFonts w:ascii="Arial" w:hAnsi="Arial" w:cs="Arial"/>
          <w:sz w:val="18"/>
        </w:rPr>
        <w:t>de 2018</w:t>
      </w:r>
      <w:r w:rsidR="002129EF" w:rsidRPr="0015019A">
        <w:rPr>
          <w:rFonts w:ascii="Arial" w:hAnsi="Arial" w:cs="Arial"/>
          <w:sz w:val="18"/>
        </w:rPr>
        <w:t xml:space="preserve"> </w:t>
      </w:r>
    </w:p>
    <w:p w:rsidR="003A3BBB" w:rsidRPr="0015019A" w:rsidRDefault="003A3BBB" w:rsidP="0015019A">
      <w:pPr>
        <w:rPr>
          <w:rFonts w:ascii="Arial" w:hAnsi="Arial" w:cs="Arial"/>
          <w:sz w:val="18"/>
        </w:rPr>
      </w:pPr>
      <w:r w:rsidRPr="0015019A">
        <w:rPr>
          <w:rFonts w:ascii="Arial" w:hAnsi="Arial" w:cs="Arial"/>
          <w:sz w:val="18"/>
        </w:rPr>
        <w:t>Radicación No.:</w:t>
      </w:r>
      <w:r w:rsidRPr="0015019A">
        <w:rPr>
          <w:rFonts w:ascii="Arial" w:hAnsi="Arial" w:cs="Arial"/>
          <w:sz w:val="18"/>
        </w:rPr>
        <w:tab/>
      </w:r>
      <w:r w:rsidRPr="0015019A">
        <w:rPr>
          <w:rFonts w:ascii="Arial" w:hAnsi="Arial" w:cs="Arial"/>
          <w:sz w:val="18"/>
        </w:rPr>
        <w:tab/>
        <w:t>66</w:t>
      </w:r>
      <w:r w:rsidR="004603F1" w:rsidRPr="0015019A">
        <w:rPr>
          <w:rFonts w:ascii="Arial" w:hAnsi="Arial" w:cs="Arial"/>
          <w:sz w:val="18"/>
        </w:rPr>
        <w:t>001</w:t>
      </w:r>
      <w:r w:rsidRPr="0015019A">
        <w:rPr>
          <w:rFonts w:ascii="Arial" w:hAnsi="Arial" w:cs="Arial"/>
          <w:sz w:val="18"/>
        </w:rPr>
        <w:t>-31-</w:t>
      </w:r>
      <w:r w:rsidR="004603F1" w:rsidRPr="0015019A">
        <w:rPr>
          <w:rFonts w:ascii="Arial" w:hAnsi="Arial" w:cs="Arial"/>
          <w:sz w:val="18"/>
        </w:rPr>
        <w:t>05</w:t>
      </w:r>
      <w:r w:rsidRPr="0015019A">
        <w:rPr>
          <w:rFonts w:ascii="Arial" w:hAnsi="Arial" w:cs="Arial"/>
          <w:sz w:val="18"/>
        </w:rPr>
        <w:t>-00</w:t>
      </w:r>
      <w:r w:rsidR="00632124" w:rsidRPr="0015019A">
        <w:rPr>
          <w:rFonts w:ascii="Arial" w:hAnsi="Arial" w:cs="Arial"/>
          <w:sz w:val="18"/>
        </w:rPr>
        <w:t>5</w:t>
      </w:r>
      <w:r w:rsidRPr="0015019A">
        <w:rPr>
          <w:rFonts w:ascii="Arial" w:hAnsi="Arial" w:cs="Arial"/>
          <w:sz w:val="18"/>
        </w:rPr>
        <w:t>-201</w:t>
      </w:r>
      <w:r w:rsidR="00257451" w:rsidRPr="0015019A">
        <w:rPr>
          <w:rFonts w:ascii="Arial" w:hAnsi="Arial" w:cs="Arial"/>
          <w:sz w:val="18"/>
        </w:rPr>
        <w:t>6</w:t>
      </w:r>
      <w:r w:rsidRPr="0015019A">
        <w:rPr>
          <w:rFonts w:ascii="Arial" w:hAnsi="Arial" w:cs="Arial"/>
          <w:sz w:val="18"/>
        </w:rPr>
        <w:t>-00</w:t>
      </w:r>
      <w:r w:rsidR="00632124" w:rsidRPr="0015019A">
        <w:rPr>
          <w:rFonts w:ascii="Arial" w:hAnsi="Arial" w:cs="Arial"/>
          <w:sz w:val="18"/>
        </w:rPr>
        <w:t>543</w:t>
      </w:r>
      <w:r w:rsidRPr="0015019A">
        <w:rPr>
          <w:rFonts w:ascii="Arial" w:hAnsi="Arial" w:cs="Arial"/>
          <w:sz w:val="18"/>
        </w:rPr>
        <w:t>-01</w:t>
      </w:r>
    </w:p>
    <w:p w:rsidR="003A3BBB" w:rsidRPr="0015019A" w:rsidRDefault="003A3BBB" w:rsidP="0015019A">
      <w:pPr>
        <w:rPr>
          <w:rFonts w:ascii="Arial" w:hAnsi="Arial" w:cs="Arial"/>
          <w:sz w:val="18"/>
        </w:rPr>
      </w:pPr>
      <w:r w:rsidRPr="0015019A">
        <w:rPr>
          <w:rFonts w:ascii="Arial" w:hAnsi="Arial" w:cs="Arial"/>
          <w:sz w:val="18"/>
        </w:rPr>
        <w:t>Proceso:</w:t>
      </w:r>
      <w:r w:rsidRPr="0015019A">
        <w:rPr>
          <w:rFonts w:ascii="Arial" w:hAnsi="Arial" w:cs="Arial"/>
          <w:sz w:val="18"/>
        </w:rPr>
        <w:tab/>
      </w:r>
      <w:r w:rsidRPr="0015019A">
        <w:rPr>
          <w:rFonts w:ascii="Arial" w:hAnsi="Arial" w:cs="Arial"/>
          <w:sz w:val="18"/>
        </w:rPr>
        <w:tab/>
        <w:t xml:space="preserve">Ordinario laboral </w:t>
      </w:r>
    </w:p>
    <w:p w:rsidR="003A3BBB" w:rsidRPr="0015019A" w:rsidRDefault="003A3BBB" w:rsidP="0015019A">
      <w:pPr>
        <w:rPr>
          <w:rFonts w:ascii="Arial" w:hAnsi="Arial" w:cs="Arial"/>
          <w:sz w:val="18"/>
        </w:rPr>
      </w:pPr>
      <w:r w:rsidRPr="0015019A">
        <w:rPr>
          <w:rFonts w:ascii="Arial" w:hAnsi="Arial" w:cs="Arial"/>
          <w:sz w:val="18"/>
        </w:rPr>
        <w:t>Demandante:</w:t>
      </w:r>
      <w:r w:rsidRPr="0015019A">
        <w:rPr>
          <w:rFonts w:ascii="Arial" w:hAnsi="Arial" w:cs="Arial"/>
          <w:sz w:val="18"/>
        </w:rPr>
        <w:tab/>
      </w:r>
      <w:r w:rsidRPr="0015019A">
        <w:rPr>
          <w:rFonts w:ascii="Arial" w:hAnsi="Arial" w:cs="Arial"/>
          <w:sz w:val="18"/>
        </w:rPr>
        <w:tab/>
      </w:r>
      <w:r w:rsidR="00632124" w:rsidRPr="0015019A">
        <w:rPr>
          <w:rFonts w:ascii="Arial" w:hAnsi="Arial" w:cs="Arial"/>
          <w:sz w:val="18"/>
        </w:rPr>
        <w:t>Sonia del Carmen Granados Jiménez</w:t>
      </w:r>
      <w:r w:rsidR="006D0517" w:rsidRPr="0015019A">
        <w:rPr>
          <w:rFonts w:ascii="Arial" w:hAnsi="Arial" w:cs="Arial"/>
          <w:sz w:val="18"/>
        </w:rPr>
        <w:t xml:space="preserve"> </w:t>
      </w:r>
    </w:p>
    <w:p w:rsidR="003A3BBB" w:rsidRPr="0015019A" w:rsidRDefault="003A3BBB" w:rsidP="0015019A">
      <w:pPr>
        <w:rPr>
          <w:rFonts w:ascii="Arial" w:hAnsi="Arial" w:cs="Arial"/>
          <w:sz w:val="18"/>
        </w:rPr>
      </w:pPr>
      <w:r w:rsidRPr="0015019A">
        <w:rPr>
          <w:rFonts w:ascii="Arial" w:hAnsi="Arial" w:cs="Arial"/>
          <w:sz w:val="18"/>
        </w:rPr>
        <w:t>Demandado:</w:t>
      </w:r>
      <w:r w:rsidRPr="0015019A">
        <w:rPr>
          <w:rFonts w:ascii="Arial" w:hAnsi="Arial" w:cs="Arial"/>
          <w:sz w:val="18"/>
        </w:rPr>
        <w:tab/>
      </w:r>
      <w:r w:rsidRPr="0015019A">
        <w:rPr>
          <w:rFonts w:ascii="Arial" w:hAnsi="Arial" w:cs="Arial"/>
          <w:sz w:val="18"/>
        </w:rPr>
        <w:tab/>
      </w:r>
      <w:r w:rsidR="00257451" w:rsidRPr="0015019A">
        <w:rPr>
          <w:rFonts w:ascii="Arial" w:hAnsi="Arial" w:cs="Arial"/>
          <w:sz w:val="18"/>
        </w:rPr>
        <w:t>Colpensiones</w:t>
      </w:r>
      <w:r w:rsidR="00243E9F" w:rsidRPr="0015019A">
        <w:rPr>
          <w:rFonts w:ascii="Arial" w:hAnsi="Arial" w:cs="Arial"/>
          <w:sz w:val="18"/>
        </w:rPr>
        <w:t xml:space="preserve"> </w:t>
      </w:r>
    </w:p>
    <w:p w:rsidR="003A3BBB" w:rsidRPr="0015019A" w:rsidRDefault="003A3BBB" w:rsidP="0015019A">
      <w:pPr>
        <w:rPr>
          <w:rFonts w:ascii="Arial" w:hAnsi="Arial" w:cs="Arial"/>
          <w:sz w:val="18"/>
        </w:rPr>
      </w:pPr>
      <w:r w:rsidRPr="0015019A">
        <w:rPr>
          <w:rFonts w:ascii="Arial" w:hAnsi="Arial" w:cs="Arial"/>
          <w:sz w:val="18"/>
        </w:rPr>
        <w:t xml:space="preserve">Juzgado de </w:t>
      </w:r>
      <w:r w:rsidR="004D3091" w:rsidRPr="0015019A">
        <w:rPr>
          <w:rFonts w:ascii="Arial" w:hAnsi="Arial" w:cs="Arial"/>
          <w:sz w:val="18"/>
        </w:rPr>
        <w:t>origen</w:t>
      </w:r>
      <w:r w:rsidRPr="0015019A">
        <w:rPr>
          <w:rFonts w:ascii="Arial" w:hAnsi="Arial" w:cs="Arial"/>
          <w:sz w:val="18"/>
        </w:rPr>
        <w:t xml:space="preserve">: </w:t>
      </w:r>
      <w:r w:rsidRPr="0015019A">
        <w:rPr>
          <w:rFonts w:ascii="Arial" w:hAnsi="Arial" w:cs="Arial"/>
          <w:sz w:val="18"/>
        </w:rPr>
        <w:tab/>
      </w:r>
      <w:r w:rsidR="00632124" w:rsidRPr="0015019A">
        <w:rPr>
          <w:rFonts w:ascii="Arial" w:hAnsi="Arial" w:cs="Arial"/>
          <w:sz w:val="18"/>
        </w:rPr>
        <w:t>Quinto</w:t>
      </w:r>
      <w:r w:rsidR="00257451" w:rsidRPr="0015019A">
        <w:rPr>
          <w:rFonts w:ascii="Arial" w:hAnsi="Arial" w:cs="Arial"/>
          <w:sz w:val="18"/>
        </w:rPr>
        <w:t xml:space="preserve"> </w:t>
      </w:r>
      <w:r w:rsidR="004603F1" w:rsidRPr="0015019A">
        <w:rPr>
          <w:rFonts w:ascii="Arial" w:hAnsi="Arial" w:cs="Arial"/>
          <w:sz w:val="18"/>
        </w:rPr>
        <w:t xml:space="preserve">Laboral </w:t>
      </w:r>
      <w:r w:rsidR="00CE5F80" w:rsidRPr="0015019A">
        <w:rPr>
          <w:rFonts w:ascii="Arial" w:hAnsi="Arial" w:cs="Arial"/>
          <w:sz w:val="18"/>
        </w:rPr>
        <w:t xml:space="preserve">del Circuito de </w:t>
      </w:r>
      <w:r w:rsidR="00107AB5" w:rsidRPr="0015019A">
        <w:rPr>
          <w:rFonts w:ascii="Arial" w:hAnsi="Arial" w:cs="Arial"/>
          <w:sz w:val="18"/>
        </w:rPr>
        <w:t>Pereira</w:t>
      </w:r>
      <w:r w:rsidR="00CE5F80" w:rsidRPr="0015019A">
        <w:rPr>
          <w:rFonts w:ascii="Arial" w:hAnsi="Arial" w:cs="Arial"/>
          <w:sz w:val="18"/>
        </w:rPr>
        <w:t xml:space="preserve"> </w:t>
      </w:r>
    </w:p>
    <w:p w:rsidR="003A3BBB" w:rsidRPr="0015019A" w:rsidRDefault="003A3BBB" w:rsidP="0015019A">
      <w:pPr>
        <w:rPr>
          <w:rFonts w:ascii="Arial" w:hAnsi="Arial" w:cs="Arial"/>
          <w:sz w:val="18"/>
        </w:rPr>
      </w:pPr>
      <w:r w:rsidRPr="0015019A">
        <w:rPr>
          <w:rFonts w:ascii="Arial" w:hAnsi="Arial" w:cs="Arial"/>
          <w:sz w:val="18"/>
        </w:rPr>
        <w:t>Magistrada ponente:</w:t>
      </w:r>
      <w:r w:rsidRPr="0015019A">
        <w:rPr>
          <w:rFonts w:ascii="Arial" w:hAnsi="Arial" w:cs="Arial"/>
          <w:sz w:val="18"/>
        </w:rPr>
        <w:tab/>
        <w:t>Dra. Ana Lucía Caicedo Calderón</w:t>
      </w:r>
    </w:p>
    <w:p w:rsidR="0015019A" w:rsidRDefault="0015019A" w:rsidP="0015019A">
      <w:pPr>
        <w:rPr>
          <w:rFonts w:ascii="Arial" w:hAnsi="Arial" w:cs="Arial"/>
          <w:sz w:val="18"/>
        </w:rPr>
      </w:pPr>
    </w:p>
    <w:p w:rsidR="0015019A" w:rsidRDefault="0015019A" w:rsidP="0015019A">
      <w:pPr>
        <w:jc w:val="both"/>
        <w:rPr>
          <w:rFonts w:ascii="Arial" w:hAnsi="Arial" w:cs="Arial"/>
          <w:b/>
          <w:bCs/>
          <w:iCs/>
          <w:sz w:val="18"/>
          <w:szCs w:val="18"/>
          <w:lang w:val="es-CO" w:eastAsia="fr-FR"/>
        </w:rPr>
      </w:pPr>
      <w:r>
        <w:rPr>
          <w:rFonts w:ascii="Arial" w:hAnsi="Arial" w:cs="Arial"/>
          <w:b/>
          <w:bCs/>
          <w:iCs/>
          <w:sz w:val="18"/>
          <w:szCs w:val="18"/>
          <w:lang w:val="es-CO" w:eastAsia="fr-FR"/>
        </w:rPr>
        <w:t xml:space="preserve">TEMA: </w:t>
      </w:r>
      <w:r>
        <w:rPr>
          <w:rFonts w:ascii="Arial" w:hAnsi="Arial" w:cs="Arial"/>
          <w:b/>
          <w:bCs/>
          <w:iCs/>
          <w:sz w:val="18"/>
          <w:szCs w:val="18"/>
          <w:lang w:val="es-CO" w:eastAsia="fr-FR"/>
        </w:rPr>
        <w:tab/>
      </w:r>
      <w:r>
        <w:rPr>
          <w:rFonts w:ascii="Arial" w:hAnsi="Arial" w:cs="Arial"/>
          <w:b/>
          <w:bCs/>
          <w:iCs/>
          <w:sz w:val="18"/>
          <w:szCs w:val="18"/>
          <w:lang w:val="es-CO" w:eastAsia="fr-FR"/>
        </w:rPr>
        <w:tab/>
      </w:r>
      <w:r w:rsidRPr="002B3947">
        <w:rPr>
          <w:rFonts w:ascii="Arial" w:hAnsi="Arial" w:cs="Arial"/>
          <w:b/>
          <w:bCs/>
          <w:iCs/>
          <w:sz w:val="18"/>
          <w:szCs w:val="18"/>
          <w:lang w:val="es-CO" w:eastAsia="fr-FR"/>
        </w:rPr>
        <w:t xml:space="preserve">PENSIÓN DE </w:t>
      </w:r>
      <w:r>
        <w:rPr>
          <w:rFonts w:ascii="Arial" w:hAnsi="Arial" w:cs="Arial"/>
          <w:b/>
          <w:bCs/>
          <w:iCs/>
          <w:sz w:val="18"/>
          <w:szCs w:val="18"/>
          <w:lang w:val="es-CO" w:eastAsia="fr-FR"/>
        </w:rPr>
        <w:t>VEJEZ</w:t>
      </w:r>
      <w:r w:rsidRPr="00821AAE">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 TRASLADO AL RÉGIMEN DE AHORRO INDIVIDUAL Y POSTERIOR REGRESO AL RÉGIMEN DE PRIMA MEDIA / GENERA PÉRDIDA DE TRANSICIÓN SI NO ACUMULABA 15 AÑOS DE SERVICIO A LA ENTRADA EN VIGENCIA DE LEY 100 / INTERPRETACIÓN VIGENTE / CONFIRMA / NIEGA  </w:t>
      </w:r>
    </w:p>
    <w:p w:rsidR="0015019A" w:rsidRDefault="0015019A" w:rsidP="0015019A">
      <w:pPr>
        <w:rPr>
          <w:rFonts w:ascii="Arial" w:hAnsi="Arial" w:cs="Arial"/>
          <w:b/>
          <w:bCs/>
          <w:iCs/>
          <w:sz w:val="18"/>
          <w:szCs w:val="18"/>
          <w:lang w:val="es-CO" w:eastAsia="fr-FR"/>
        </w:rPr>
      </w:pPr>
    </w:p>
    <w:p w:rsidR="0015019A" w:rsidRPr="0088018F" w:rsidRDefault="0015019A" w:rsidP="0015019A">
      <w:pPr>
        <w:jc w:val="both"/>
        <w:rPr>
          <w:rFonts w:ascii="Arial" w:hAnsi="Arial" w:cs="Arial"/>
          <w:bCs/>
          <w:iCs/>
          <w:sz w:val="18"/>
          <w:szCs w:val="18"/>
          <w:lang w:val="es-CO" w:eastAsia="fr-FR"/>
        </w:rPr>
      </w:pPr>
      <w:r w:rsidRPr="0088018F">
        <w:rPr>
          <w:rFonts w:ascii="Arial" w:hAnsi="Arial" w:cs="Arial"/>
          <w:bCs/>
          <w:iCs/>
          <w:sz w:val="18"/>
          <w:szCs w:val="18"/>
          <w:lang w:val="es-CO" w:eastAsia="fr-FR"/>
        </w:rPr>
        <w:t>Sea lo primero advertir al apoderado apelante que el inciso 4º del artículo 36 de la Ley 100 de 1993 establece expresamente que el régimen de transición no es aplicable a las personas que, estando en el régimen de prima media administrado por el Instituto de Seguros Sociales “voluntariamente se acojan al régimen de ahorro individual”.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rsidR="0015019A" w:rsidRPr="00AC3DBE" w:rsidRDefault="0015019A" w:rsidP="0015019A">
      <w:pPr>
        <w:jc w:val="both"/>
        <w:rPr>
          <w:rFonts w:ascii="Arial" w:hAnsi="Arial" w:cs="Arial"/>
          <w:bCs/>
          <w:iCs/>
          <w:sz w:val="18"/>
          <w:szCs w:val="18"/>
          <w:lang w:val="es-CO" w:eastAsia="fr-FR"/>
        </w:rPr>
      </w:pPr>
      <w:r w:rsidRPr="0088018F">
        <w:rPr>
          <w:rFonts w:ascii="Arial" w:hAnsi="Arial" w:cs="Arial"/>
          <w:bCs/>
          <w:iCs/>
          <w:sz w:val="18"/>
          <w:szCs w:val="18"/>
          <w:lang w:val="es-CO" w:eastAsia="fr-FR"/>
        </w:rPr>
        <w:t>En cuanto a los requisitos para retornar al régimen de prima media para quienes se trasladaron al RAIS, conservando los beneficios transicionales enmarcados en el artículo 36 de la Ley 100 de 1993, la Sala de Casación Laboral de la Corte Suprema de Justicia en la sentencia SL12447 de 2015, reiteró su jurisprudencia</w:t>
      </w:r>
      <w:r>
        <w:rPr>
          <w:rFonts w:ascii="Arial" w:hAnsi="Arial" w:cs="Arial"/>
          <w:bCs/>
          <w:iCs/>
          <w:sz w:val="18"/>
          <w:szCs w:val="18"/>
          <w:lang w:val="es-CO" w:eastAsia="fr-FR"/>
        </w:rPr>
        <w:t>…</w:t>
      </w:r>
    </w:p>
    <w:p w:rsidR="0015019A" w:rsidRDefault="0015019A" w:rsidP="0015019A">
      <w:pPr>
        <w:jc w:val="both"/>
        <w:rPr>
          <w:rFonts w:ascii="Arial" w:hAnsi="Arial" w:cs="Arial"/>
          <w:bCs/>
          <w:iCs/>
          <w:sz w:val="18"/>
          <w:szCs w:val="18"/>
          <w:lang w:val="es-CO" w:eastAsia="fr-FR"/>
        </w:rPr>
      </w:pPr>
      <w:r>
        <w:rPr>
          <w:rFonts w:ascii="Arial" w:hAnsi="Arial" w:cs="Arial"/>
          <w:bCs/>
          <w:iCs/>
          <w:sz w:val="18"/>
          <w:szCs w:val="18"/>
          <w:lang w:val="es-CO" w:eastAsia="fr-FR"/>
        </w:rPr>
        <w:t>(…)</w:t>
      </w:r>
    </w:p>
    <w:p w:rsidR="0015019A" w:rsidRPr="0015019A" w:rsidRDefault="0015019A" w:rsidP="0015019A">
      <w:pPr>
        <w:jc w:val="both"/>
        <w:rPr>
          <w:rFonts w:ascii="Arial" w:hAnsi="Arial" w:cs="Arial"/>
          <w:sz w:val="18"/>
        </w:rPr>
      </w:pPr>
      <w:r w:rsidRPr="0015019A">
        <w:rPr>
          <w:rFonts w:ascii="Arial" w:hAnsi="Arial" w:cs="Arial"/>
          <w:sz w:val="18"/>
        </w:rPr>
        <w:t>Descendiendo al caso concreto, encuentra la Sala que de acuerdo con la historia laboral obrante en el infolio (fls. 42 y s.s.), la  demandante tenía cotizadas a la entrada en v</w:t>
      </w:r>
      <w:bookmarkStart w:id="0" w:name="_GoBack"/>
      <w:bookmarkEnd w:id="0"/>
      <w:r w:rsidRPr="0015019A">
        <w:rPr>
          <w:rFonts w:ascii="Arial" w:hAnsi="Arial" w:cs="Arial"/>
          <w:sz w:val="18"/>
        </w:rPr>
        <w:t>igencia de la Ley 100 de 1993 un total de 363,42 semanas, que equivalen a 7,1 años de servicio, incumpliendo así con el requisito anotado, es decir, que al 1° de abril de 1994 tuviera 15 o más años de servicios prestados o su equivalente en semanas cotizadas. Esta postura ha sido reiterada en distintas ocasiones por esta Corporación, en primer lugar, por cuanto ella se desprende del tenor del inciso 4º del artículo 36 de la ley 100, el cual excluyó a las personas que se habían beneficiado del régimen de transición exclusivamente por edad para que retornaran al régimen de prima media con las prerrogativas transicionales y, en segundo lugar, porque esa interpretación ha sido respaldada jurisprudencialmente por los órganos de cierre de las jurisdicciones ordinaria y constitucional; de manera que no se acepta la invitación que hace el abogado que plantea la censura para que se revise nuevamente el precedente que ha desarrollado el fondo del asunto, pues, itérese, él se funda en la disposición legal que sigue estando vigente en el ordenamiento jurídico.</w:t>
      </w:r>
    </w:p>
    <w:p w:rsidR="00C123A5" w:rsidRPr="0015019A" w:rsidRDefault="00C123A5" w:rsidP="0015019A">
      <w:pPr>
        <w:jc w:val="both"/>
        <w:rPr>
          <w:rFonts w:ascii="Arial" w:hAnsi="Arial" w:cs="Arial"/>
          <w:sz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1D519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1D519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1D5192">
      <w:pPr>
        <w:jc w:val="center"/>
        <w:rPr>
          <w:rFonts w:ascii="Tahoma" w:hAnsi="Tahoma" w:cs="Tahoma"/>
          <w:bCs/>
        </w:rPr>
      </w:pPr>
    </w:p>
    <w:p w:rsidR="003A3BBB" w:rsidRPr="00EA3EFB" w:rsidRDefault="003A3BBB" w:rsidP="001D519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1D5192">
      <w:pPr>
        <w:jc w:val="center"/>
        <w:rPr>
          <w:rFonts w:ascii="Tahoma" w:hAnsi="Tahoma" w:cs="Tahoma"/>
          <w:b/>
          <w:sz w:val="22"/>
          <w:szCs w:val="22"/>
        </w:rPr>
      </w:pPr>
    </w:p>
    <w:p w:rsidR="003A3BBB" w:rsidRPr="00EA3EFB" w:rsidRDefault="003A3BBB" w:rsidP="001D519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1D5192">
      <w:pPr>
        <w:pStyle w:val="Sinespaciado"/>
        <w:rPr>
          <w:sz w:val="22"/>
          <w:szCs w:val="22"/>
        </w:rPr>
      </w:pPr>
    </w:p>
    <w:p w:rsidR="003A3BBB" w:rsidRPr="00EA3EFB" w:rsidRDefault="003A3BBB" w:rsidP="001D519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w:t>
      </w:r>
      <w:r w:rsidRPr="007E4C1B">
        <w:rPr>
          <w:rFonts w:ascii="Tahoma" w:hAnsi="Tahoma" w:cs="Tahoma"/>
          <w:sz w:val="22"/>
          <w:szCs w:val="22"/>
          <w:lang w:val="es-ES_tradnl"/>
        </w:rPr>
        <w:t xml:space="preserve">las </w:t>
      </w:r>
      <w:r w:rsidR="0022679D" w:rsidRPr="007E4C1B">
        <w:rPr>
          <w:rFonts w:ascii="Tahoma" w:hAnsi="Tahoma" w:cs="Tahoma"/>
          <w:sz w:val="22"/>
          <w:szCs w:val="22"/>
          <w:lang w:val="es-ES_tradnl"/>
        </w:rPr>
        <w:t>9</w:t>
      </w:r>
      <w:r w:rsidR="0014623C" w:rsidRPr="007E4C1B">
        <w:rPr>
          <w:rFonts w:ascii="Tahoma" w:hAnsi="Tahoma" w:cs="Tahoma"/>
          <w:sz w:val="22"/>
          <w:szCs w:val="22"/>
          <w:lang w:val="es-ES_tradnl"/>
        </w:rPr>
        <w:t>:</w:t>
      </w:r>
      <w:r w:rsidR="0022679D" w:rsidRPr="007E4C1B">
        <w:rPr>
          <w:rFonts w:ascii="Tahoma" w:hAnsi="Tahoma" w:cs="Tahoma"/>
          <w:sz w:val="22"/>
          <w:szCs w:val="22"/>
          <w:lang w:val="es-ES_tradnl"/>
        </w:rPr>
        <w:t>4</w:t>
      </w:r>
      <w:r w:rsidR="006E7C6A" w:rsidRPr="007E4C1B">
        <w:rPr>
          <w:rFonts w:ascii="Tahoma" w:hAnsi="Tahoma" w:cs="Tahoma"/>
          <w:sz w:val="22"/>
          <w:szCs w:val="22"/>
          <w:lang w:val="es-ES_tradnl"/>
        </w:rPr>
        <w:t>5</w:t>
      </w:r>
      <w:r w:rsidRPr="007E4C1B">
        <w:rPr>
          <w:rFonts w:ascii="Tahoma" w:hAnsi="Tahoma" w:cs="Tahoma"/>
          <w:sz w:val="22"/>
          <w:szCs w:val="22"/>
          <w:lang w:val="es-ES_tradnl"/>
        </w:rPr>
        <w:t xml:space="preserve"> </w:t>
      </w:r>
      <w:r w:rsidR="000108FA" w:rsidRPr="007E4C1B">
        <w:rPr>
          <w:rFonts w:ascii="Tahoma" w:hAnsi="Tahoma" w:cs="Tahoma"/>
          <w:sz w:val="22"/>
          <w:szCs w:val="22"/>
          <w:lang w:val="es-ES_tradnl"/>
        </w:rPr>
        <w:t>a</w:t>
      </w:r>
      <w:r w:rsidR="0042768E" w:rsidRPr="007E4C1B">
        <w:rPr>
          <w:rFonts w:ascii="Tahoma" w:hAnsi="Tahoma" w:cs="Tahoma"/>
          <w:sz w:val="22"/>
          <w:szCs w:val="22"/>
          <w:lang w:val="es-ES_tradnl"/>
        </w:rPr>
        <w:t>.m</w:t>
      </w:r>
      <w:r w:rsidR="0042768E" w:rsidRPr="00EA3EFB">
        <w:rPr>
          <w:rFonts w:ascii="Tahoma" w:hAnsi="Tahoma" w:cs="Tahoma"/>
          <w:sz w:val="22"/>
          <w:szCs w:val="22"/>
          <w:lang w:val="es-ES_tradnl"/>
        </w:rPr>
        <w:t>.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B84E7B">
        <w:rPr>
          <w:rFonts w:ascii="Tahoma" w:hAnsi="Tahoma" w:cs="Tahoma"/>
          <w:sz w:val="22"/>
          <w:szCs w:val="22"/>
          <w:lang w:val="es-ES_tradnl"/>
        </w:rPr>
        <w:t xml:space="preserve">27 de julio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22679D">
        <w:rPr>
          <w:rFonts w:ascii="Tahoma" w:hAnsi="Tahoma" w:cs="Tahoma"/>
          <w:b/>
          <w:sz w:val="22"/>
          <w:szCs w:val="22"/>
          <w:lang w:val="es-ES_tradnl"/>
        </w:rPr>
        <w:t xml:space="preserve">Sonia del Carmen Granados Jiménez </w:t>
      </w:r>
      <w:r w:rsidRPr="00EA3EFB">
        <w:rPr>
          <w:rFonts w:ascii="Tahoma" w:hAnsi="Tahoma" w:cs="Tahoma"/>
          <w:sz w:val="22"/>
          <w:szCs w:val="22"/>
          <w:lang w:val="es-ES_tradnl"/>
        </w:rPr>
        <w:t>en contra de</w:t>
      </w:r>
      <w:r w:rsidR="00B318C9">
        <w:rPr>
          <w:rFonts w:ascii="Tahoma" w:hAnsi="Tahoma" w:cs="Tahoma"/>
          <w:sz w:val="22"/>
          <w:szCs w:val="22"/>
          <w:lang w:val="es-ES_tradnl"/>
        </w:rPr>
        <w:t xml:space="preserve"> </w:t>
      </w:r>
      <w:r w:rsidR="00257451">
        <w:rPr>
          <w:rFonts w:ascii="Tahoma" w:hAnsi="Tahoma" w:cs="Tahoma"/>
          <w:sz w:val="22"/>
          <w:szCs w:val="22"/>
          <w:lang w:val="es-ES_tradnl"/>
        </w:rPr>
        <w:t xml:space="preserve">la </w:t>
      </w:r>
      <w:r w:rsidR="00257451" w:rsidRPr="00257451">
        <w:rPr>
          <w:rFonts w:ascii="Tahoma" w:hAnsi="Tahoma" w:cs="Tahoma"/>
          <w:b/>
          <w:sz w:val="22"/>
          <w:szCs w:val="22"/>
          <w:lang w:val="es-ES_tradnl"/>
        </w:rPr>
        <w:t>Administradora Colombiana de Pensiones - Colpensiones</w:t>
      </w:r>
    </w:p>
    <w:p w:rsidR="003A3BBB" w:rsidRPr="00EA3EFB" w:rsidRDefault="003A3BBB" w:rsidP="00B34ACF">
      <w:pPr>
        <w:pStyle w:val="Sinespaciado"/>
        <w:rPr>
          <w:sz w:val="22"/>
          <w:szCs w:val="22"/>
          <w:lang w:val="es-ES_tradnl"/>
        </w:rPr>
      </w:pPr>
    </w:p>
    <w:p w:rsidR="003A3BBB" w:rsidRPr="00A90A87"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A90A87" w:rsidRDefault="003A3BBB" w:rsidP="00B34ACF">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257451" w:rsidRDefault="00257451" w:rsidP="00257451">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s en cuenta en la discusión del proyecto, procede la Sala a re</w:t>
      </w:r>
      <w:r>
        <w:rPr>
          <w:rFonts w:ascii="Tahoma" w:hAnsi="Tahoma" w:cs="Tahoma"/>
          <w:sz w:val="22"/>
          <w:szCs w:val="22"/>
        </w:rPr>
        <w:t xml:space="preserve">visar en sede de consulta la </w:t>
      </w:r>
      <w:r w:rsidRPr="00EA3EFB">
        <w:rPr>
          <w:rFonts w:ascii="Tahoma" w:hAnsi="Tahoma" w:cs="Tahoma"/>
          <w:sz w:val="22"/>
          <w:szCs w:val="22"/>
        </w:rPr>
        <w:t xml:space="preserve">sentencia emitida por el Juzgado </w:t>
      </w:r>
      <w:r>
        <w:rPr>
          <w:rFonts w:ascii="Tahoma" w:hAnsi="Tahoma" w:cs="Tahoma"/>
          <w:sz w:val="22"/>
          <w:szCs w:val="22"/>
        </w:rPr>
        <w:t>Quinto Labor</w:t>
      </w:r>
      <w:r w:rsidR="0022679D">
        <w:rPr>
          <w:rFonts w:ascii="Tahoma" w:hAnsi="Tahoma" w:cs="Tahoma"/>
          <w:sz w:val="22"/>
          <w:szCs w:val="22"/>
        </w:rPr>
        <w:t>al del Circuito de Pereira el 01 de noviembre</w:t>
      </w:r>
      <w:r>
        <w:rPr>
          <w:rFonts w:ascii="Tahoma" w:hAnsi="Tahoma" w:cs="Tahoma"/>
          <w:sz w:val="22"/>
          <w:szCs w:val="22"/>
        </w:rPr>
        <w:t xml:space="preserve"> de 2017</w:t>
      </w:r>
      <w:r w:rsidRPr="00EA3EFB">
        <w:rPr>
          <w:rFonts w:ascii="Tahoma" w:hAnsi="Tahoma" w:cs="Tahoma"/>
          <w:sz w:val="22"/>
          <w:szCs w:val="22"/>
        </w:rPr>
        <w:t xml:space="preserve">, dentro del proceso </w:t>
      </w:r>
      <w:r w:rsidRPr="00EA3EFB">
        <w:rPr>
          <w:rFonts w:ascii="Tahoma" w:hAnsi="Tahoma" w:cs="Tahoma"/>
          <w:sz w:val="22"/>
          <w:szCs w:val="22"/>
        </w:rPr>
        <w:lastRenderedPageBreak/>
        <w:t>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1D5192" w:rsidRDefault="001D5192" w:rsidP="001D5192">
      <w:pPr>
        <w:tabs>
          <w:tab w:val="left" w:pos="567"/>
        </w:tabs>
        <w:spacing w:line="276" w:lineRule="auto"/>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Pr="00EA3EFB">
        <w:rPr>
          <w:rFonts w:ascii="Tahoma" w:hAnsi="Tahoma" w:cs="Tahoma"/>
          <w:sz w:val="22"/>
          <w:szCs w:val="22"/>
        </w:rPr>
        <w:t xml:space="preserve"> </w:t>
      </w:r>
      <w:r>
        <w:rPr>
          <w:rFonts w:ascii="Tahoma" w:hAnsi="Tahoma" w:cs="Tahoma"/>
          <w:sz w:val="22"/>
          <w:szCs w:val="22"/>
        </w:rPr>
        <w:t xml:space="preserve">si la señora Sonia del Carmen Granados Jiménez conservó los beneficios del régimen de transición </w:t>
      </w:r>
      <w:r w:rsidRPr="00655DC4">
        <w:rPr>
          <w:rFonts w:ascii="Tahoma" w:hAnsi="Tahoma" w:cs="Tahoma"/>
          <w:sz w:val="22"/>
          <w:szCs w:val="22"/>
        </w:rPr>
        <w:t>consagrado en el artículo 36 de la Ley 100 de 1993</w:t>
      </w:r>
      <w:r>
        <w:rPr>
          <w:rFonts w:ascii="Tahoma" w:hAnsi="Tahoma" w:cs="Tahoma"/>
          <w:sz w:val="22"/>
          <w:szCs w:val="22"/>
        </w:rPr>
        <w:t>, al retornar al régimen de prima media del RAIS.</w:t>
      </w:r>
    </w:p>
    <w:p w:rsidR="00E61EE4" w:rsidRPr="006102BF" w:rsidRDefault="00E61EE4" w:rsidP="00B34ACF">
      <w:pPr>
        <w:spacing w:line="276" w:lineRule="auto"/>
        <w:ind w:firstLine="708"/>
        <w:jc w:val="both"/>
        <w:rPr>
          <w:rFonts w:ascii="Tahoma" w:hAnsi="Tahoma" w:cs="Tahoma"/>
          <w:sz w:val="22"/>
          <w:szCs w:val="22"/>
        </w:rPr>
      </w:pPr>
    </w:p>
    <w:p w:rsidR="003A3BB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257451" w:rsidRDefault="00257451" w:rsidP="00257451">
      <w:pPr>
        <w:widowControl w:val="0"/>
        <w:tabs>
          <w:tab w:val="left" w:pos="374"/>
        </w:tabs>
        <w:autoSpaceDE w:val="0"/>
        <w:autoSpaceDN w:val="0"/>
        <w:adjustRightInd w:val="0"/>
        <w:spacing w:line="276" w:lineRule="auto"/>
        <w:rPr>
          <w:rFonts w:ascii="Tahoma" w:hAnsi="Tahoma" w:cs="Tahoma"/>
          <w:b/>
          <w:sz w:val="22"/>
          <w:szCs w:val="22"/>
        </w:rPr>
      </w:pPr>
    </w:p>
    <w:p w:rsidR="00257451" w:rsidRDefault="000C5F95" w:rsidP="009B345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citada</w:t>
      </w:r>
      <w:r w:rsidR="00257451" w:rsidRPr="00EA3EFB">
        <w:rPr>
          <w:rFonts w:ascii="Tahoma" w:hAnsi="Tahoma" w:cs="Tahoma"/>
          <w:sz w:val="22"/>
          <w:szCs w:val="22"/>
        </w:rPr>
        <w:t xml:space="preserve"> demandante solicita </w:t>
      </w:r>
      <w:r w:rsidR="00257451" w:rsidRPr="00E36028">
        <w:rPr>
          <w:rFonts w:ascii="Tahoma" w:hAnsi="Tahoma" w:cs="Tahoma"/>
          <w:sz w:val="22"/>
          <w:szCs w:val="22"/>
        </w:rPr>
        <w:t xml:space="preserve">que </w:t>
      </w:r>
      <w:r w:rsidR="00257451">
        <w:rPr>
          <w:rFonts w:ascii="Tahoma" w:hAnsi="Tahoma" w:cs="Tahoma"/>
          <w:sz w:val="22"/>
          <w:szCs w:val="22"/>
        </w:rPr>
        <w:t xml:space="preserve">se </w:t>
      </w:r>
      <w:r w:rsidR="009B3455">
        <w:rPr>
          <w:rFonts w:ascii="Tahoma" w:hAnsi="Tahoma" w:cs="Tahoma"/>
          <w:sz w:val="22"/>
          <w:szCs w:val="22"/>
        </w:rPr>
        <w:t>declare que es beneficiaria del régimen de transición</w:t>
      </w:r>
      <w:r w:rsidR="001D5192">
        <w:rPr>
          <w:rFonts w:ascii="Tahoma" w:hAnsi="Tahoma" w:cs="Tahoma"/>
          <w:sz w:val="22"/>
          <w:szCs w:val="22"/>
        </w:rPr>
        <w:t>,</w:t>
      </w:r>
      <w:r w:rsidR="009B3455">
        <w:rPr>
          <w:rFonts w:ascii="Tahoma" w:hAnsi="Tahoma" w:cs="Tahoma"/>
          <w:sz w:val="22"/>
          <w:szCs w:val="22"/>
        </w:rPr>
        <w:t xml:space="preserve"> y en consecuencia</w:t>
      </w:r>
      <w:r w:rsidR="001D5192">
        <w:rPr>
          <w:rFonts w:ascii="Tahoma" w:hAnsi="Tahoma" w:cs="Tahoma"/>
          <w:sz w:val="22"/>
          <w:szCs w:val="22"/>
        </w:rPr>
        <w:t>,</w:t>
      </w:r>
      <w:r w:rsidR="009B3455">
        <w:rPr>
          <w:rFonts w:ascii="Tahoma" w:hAnsi="Tahoma" w:cs="Tahoma"/>
          <w:sz w:val="22"/>
          <w:szCs w:val="22"/>
        </w:rPr>
        <w:t xml:space="preserve"> se </w:t>
      </w:r>
      <w:r w:rsidR="00257451">
        <w:rPr>
          <w:rFonts w:ascii="Tahoma" w:hAnsi="Tahoma" w:cs="Tahoma"/>
          <w:sz w:val="22"/>
          <w:szCs w:val="22"/>
        </w:rPr>
        <w:t xml:space="preserve">condene a Colpensiones  a que le reconozca y pague la pensión de </w:t>
      </w:r>
      <w:r>
        <w:rPr>
          <w:rFonts w:ascii="Tahoma" w:hAnsi="Tahoma" w:cs="Tahoma"/>
          <w:sz w:val="22"/>
          <w:szCs w:val="22"/>
        </w:rPr>
        <w:t>vejez a partir</w:t>
      </w:r>
      <w:r w:rsidR="00563F9D">
        <w:rPr>
          <w:rFonts w:ascii="Tahoma" w:hAnsi="Tahoma" w:cs="Tahoma"/>
          <w:sz w:val="22"/>
          <w:szCs w:val="22"/>
        </w:rPr>
        <w:t xml:space="preserve"> </w:t>
      </w:r>
      <w:r>
        <w:rPr>
          <w:rFonts w:ascii="Tahoma" w:hAnsi="Tahoma" w:cs="Tahoma"/>
          <w:sz w:val="22"/>
          <w:szCs w:val="22"/>
        </w:rPr>
        <w:t>de</w:t>
      </w:r>
      <w:r w:rsidR="009B3455">
        <w:rPr>
          <w:rFonts w:ascii="Tahoma" w:hAnsi="Tahoma" w:cs="Tahoma"/>
          <w:sz w:val="22"/>
          <w:szCs w:val="22"/>
        </w:rPr>
        <w:t>l 7 de</w:t>
      </w:r>
      <w:r w:rsidR="00563F9D">
        <w:rPr>
          <w:rFonts w:ascii="Tahoma" w:hAnsi="Tahoma" w:cs="Tahoma"/>
          <w:sz w:val="22"/>
          <w:szCs w:val="22"/>
        </w:rPr>
        <w:t xml:space="preserve"> </w:t>
      </w:r>
      <w:r w:rsidR="009B3455">
        <w:rPr>
          <w:rFonts w:ascii="Tahoma" w:hAnsi="Tahoma" w:cs="Tahoma"/>
          <w:sz w:val="22"/>
          <w:szCs w:val="22"/>
        </w:rPr>
        <w:t>marzo del 2012</w:t>
      </w:r>
      <w:r w:rsidR="00257451">
        <w:rPr>
          <w:rFonts w:ascii="Tahoma" w:hAnsi="Tahoma" w:cs="Tahoma"/>
          <w:sz w:val="22"/>
          <w:szCs w:val="22"/>
        </w:rPr>
        <w:t>, más</w:t>
      </w:r>
      <w:r w:rsidR="009B3455">
        <w:rPr>
          <w:rFonts w:ascii="Tahoma" w:hAnsi="Tahoma" w:cs="Tahoma"/>
          <w:sz w:val="22"/>
          <w:szCs w:val="22"/>
        </w:rPr>
        <w:t xml:space="preserve"> el retroactivo pensional,</w:t>
      </w:r>
      <w:r w:rsidR="00257451">
        <w:rPr>
          <w:rFonts w:ascii="Tahoma" w:hAnsi="Tahoma" w:cs="Tahoma"/>
          <w:sz w:val="22"/>
          <w:szCs w:val="22"/>
        </w:rPr>
        <w:t xml:space="preserve"> los intereses</w:t>
      </w:r>
      <w:r w:rsidR="009B3455">
        <w:rPr>
          <w:rFonts w:ascii="Tahoma" w:hAnsi="Tahoma" w:cs="Tahoma"/>
          <w:sz w:val="22"/>
          <w:szCs w:val="22"/>
        </w:rPr>
        <w:t xml:space="preserve"> y</w:t>
      </w:r>
      <w:r w:rsidR="00257451">
        <w:rPr>
          <w:rFonts w:ascii="Tahoma" w:hAnsi="Tahoma" w:cs="Tahoma"/>
          <w:sz w:val="22"/>
          <w:szCs w:val="22"/>
        </w:rPr>
        <w:t xml:space="preserve"> las costas procesales.</w:t>
      </w:r>
    </w:p>
    <w:p w:rsidR="0002233D" w:rsidRDefault="000277BB" w:rsidP="0002233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w:t>
      </w:r>
      <w:r w:rsidR="008F0923">
        <w:rPr>
          <w:rFonts w:ascii="Tahoma" w:hAnsi="Tahoma" w:cs="Tahoma"/>
          <w:sz w:val="22"/>
          <w:szCs w:val="22"/>
        </w:rPr>
        <w:t xml:space="preserve"> </w:t>
      </w:r>
      <w:r w:rsidR="005F6AB6">
        <w:rPr>
          <w:rFonts w:ascii="Tahoma" w:hAnsi="Tahoma" w:cs="Tahoma"/>
          <w:sz w:val="22"/>
          <w:szCs w:val="22"/>
        </w:rPr>
        <w:t>que</w:t>
      </w:r>
      <w:r w:rsidR="003B5A23">
        <w:rPr>
          <w:rFonts w:ascii="Tahoma" w:hAnsi="Tahoma" w:cs="Tahoma"/>
          <w:sz w:val="22"/>
          <w:szCs w:val="22"/>
        </w:rPr>
        <w:t xml:space="preserve"> nació el 7 de marzo de 1957</w:t>
      </w:r>
      <w:r w:rsidR="001D5192">
        <w:rPr>
          <w:rFonts w:ascii="Tahoma" w:hAnsi="Tahoma" w:cs="Tahoma"/>
          <w:sz w:val="22"/>
          <w:szCs w:val="22"/>
        </w:rPr>
        <w:t xml:space="preserve"> y </w:t>
      </w:r>
      <w:r w:rsidR="00B41CAF">
        <w:rPr>
          <w:rFonts w:ascii="Tahoma" w:hAnsi="Tahoma" w:cs="Tahoma"/>
          <w:sz w:val="22"/>
          <w:szCs w:val="22"/>
        </w:rPr>
        <w:t>que</w:t>
      </w:r>
      <w:r w:rsidR="003B5A23">
        <w:rPr>
          <w:rFonts w:ascii="Tahoma" w:hAnsi="Tahoma" w:cs="Tahoma"/>
          <w:sz w:val="22"/>
          <w:szCs w:val="22"/>
        </w:rPr>
        <w:t xml:space="preserve"> siempre estuvo afiliada al Régimen de Prima Media con Prestación Definida administrado por el ISS, hoy Colpensiones.</w:t>
      </w:r>
    </w:p>
    <w:p w:rsidR="00074152" w:rsidRDefault="00074152" w:rsidP="0002233D">
      <w:pPr>
        <w:widowControl w:val="0"/>
        <w:autoSpaceDE w:val="0"/>
        <w:autoSpaceDN w:val="0"/>
        <w:adjustRightInd w:val="0"/>
        <w:spacing w:line="276" w:lineRule="auto"/>
        <w:ind w:firstLine="708"/>
        <w:jc w:val="both"/>
        <w:rPr>
          <w:rFonts w:ascii="Tahoma" w:hAnsi="Tahoma" w:cs="Tahoma"/>
          <w:sz w:val="22"/>
          <w:szCs w:val="22"/>
        </w:rPr>
      </w:pPr>
    </w:p>
    <w:p w:rsidR="0002233D" w:rsidRDefault="0007415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que </w:t>
      </w:r>
      <w:r w:rsidR="003B5A23">
        <w:rPr>
          <w:rFonts w:ascii="Tahoma" w:hAnsi="Tahoma" w:cs="Tahoma"/>
          <w:sz w:val="22"/>
          <w:szCs w:val="22"/>
        </w:rPr>
        <w:t xml:space="preserve">el 24 de junio del 2015 solicitó </w:t>
      </w:r>
      <w:r w:rsidR="001D5192">
        <w:rPr>
          <w:rFonts w:ascii="Tahoma" w:hAnsi="Tahoma" w:cs="Tahoma"/>
          <w:sz w:val="22"/>
          <w:szCs w:val="22"/>
        </w:rPr>
        <w:t xml:space="preserve">ante Colpensiones </w:t>
      </w:r>
      <w:r w:rsidR="003B5A23">
        <w:rPr>
          <w:rFonts w:ascii="Tahoma" w:hAnsi="Tahoma" w:cs="Tahoma"/>
          <w:sz w:val="22"/>
          <w:szCs w:val="22"/>
        </w:rPr>
        <w:t xml:space="preserve">la pensión de vejez, prestación que le fue negada por medio de la </w:t>
      </w:r>
      <w:r w:rsidR="001D5192">
        <w:rPr>
          <w:rFonts w:ascii="Tahoma" w:hAnsi="Tahoma" w:cs="Tahoma"/>
          <w:sz w:val="22"/>
          <w:szCs w:val="22"/>
        </w:rPr>
        <w:t xml:space="preserve">Resolución </w:t>
      </w:r>
      <w:r w:rsidR="003B5A23">
        <w:rPr>
          <w:rFonts w:ascii="Tahoma" w:hAnsi="Tahoma" w:cs="Tahoma"/>
          <w:sz w:val="22"/>
          <w:szCs w:val="22"/>
        </w:rPr>
        <w:t>GNR 319230</w:t>
      </w:r>
      <w:r w:rsidR="001D5192">
        <w:rPr>
          <w:rFonts w:ascii="Tahoma" w:hAnsi="Tahoma" w:cs="Tahoma"/>
          <w:sz w:val="22"/>
          <w:szCs w:val="22"/>
        </w:rPr>
        <w:t xml:space="preserve"> del mismo año</w:t>
      </w:r>
      <w:r w:rsidR="003B5A23">
        <w:rPr>
          <w:rFonts w:ascii="Tahoma" w:hAnsi="Tahoma" w:cs="Tahoma"/>
          <w:sz w:val="22"/>
          <w:szCs w:val="22"/>
        </w:rPr>
        <w:t>, bajo el argumento de que no era beneficiaria del régimen de transición</w:t>
      </w:r>
      <w:r w:rsidR="001D5192">
        <w:rPr>
          <w:rFonts w:ascii="Tahoma" w:hAnsi="Tahoma" w:cs="Tahoma"/>
          <w:sz w:val="22"/>
          <w:szCs w:val="22"/>
        </w:rPr>
        <w:t>,</w:t>
      </w:r>
      <w:r w:rsidR="003B5A23">
        <w:rPr>
          <w:rFonts w:ascii="Tahoma" w:hAnsi="Tahoma" w:cs="Tahoma"/>
          <w:sz w:val="22"/>
          <w:szCs w:val="22"/>
        </w:rPr>
        <w:t xml:space="preserve"> al no acreditar 750 semanas cotizadas a la entrada en vigencia del Acto Legislativo 01 de 2005</w:t>
      </w:r>
      <w:r w:rsidR="001D5192">
        <w:rPr>
          <w:rFonts w:ascii="Tahoma" w:hAnsi="Tahoma" w:cs="Tahoma"/>
          <w:sz w:val="22"/>
          <w:szCs w:val="22"/>
        </w:rPr>
        <w:t xml:space="preserve">, ni cumplía los requisitos de </w:t>
      </w:r>
      <w:r w:rsidR="003B5A23">
        <w:rPr>
          <w:rFonts w:ascii="Tahoma" w:hAnsi="Tahoma" w:cs="Tahoma"/>
          <w:sz w:val="22"/>
          <w:szCs w:val="22"/>
        </w:rPr>
        <w:t xml:space="preserve">la Ley 797 de 2003, </w:t>
      </w:r>
      <w:r w:rsidR="001D5192">
        <w:rPr>
          <w:rFonts w:ascii="Tahoma" w:hAnsi="Tahoma" w:cs="Tahoma"/>
          <w:sz w:val="22"/>
          <w:szCs w:val="22"/>
        </w:rPr>
        <w:t xml:space="preserve">ya que contaba con </w:t>
      </w:r>
      <w:r w:rsidR="003B5A23">
        <w:rPr>
          <w:rFonts w:ascii="Tahoma" w:hAnsi="Tahoma" w:cs="Tahoma"/>
          <w:sz w:val="22"/>
          <w:szCs w:val="22"/>
        </w:rPr>
        <w:t>914 semanas cotizadas en toda su vida laboral</w:t>
      </w:r>
      <w:r w:rsidR="007E34CF">
        <w:rPr>
          <w:rFonts w:ascii="Tahoma" w:hAnsi="Tahoma" w:cs="Tahoma"/>
          <w:sz w:val="22"/>
          <w:szCs w:val="22"/>
        </w:rPr>
        <w:t>.</w:t>
      </w:r>
    </w:p>
    <w:p w:rsidR="003B5A23" w:rsidRDefault="003B5A23" w:rsidP="00B34ACF">
      <w:pPr>
        <w:widowControl w:val="0"/>
        <w:autoSpaceDE w:val="0"/>
        <w:autoSpaceDN w:val="0"/>
        <w:adjustRightInd w:val="0"/>
        <w:spacing w:line="276" w:lineRule="auto"/>
        <w:ind w:firstLine="708"/>
        <w:jc w:val="both"/>
        <w:rPr>
          <w:rFonts w:ascii="Tahoma" w:hAnsi="Tahoma" w:cs="Tahoma"/>
          <w:sz w:val="22"/>
          <w:szCs w:val="22"/>
        </w:rPr>
      </w:pPr>
    </w:p>
    <w:p w:rsidR="008F136A" w:rsidRDefault="001D5192" w:rsidP="005A6A5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Alega que </w:t>
      </w:r>
      <w:r w:rsidR="003B5A23">
        <w:rPr>
          <w:rFonts w:ascii="Tahoma" w:hAnsi="Tahoma" w:cs="Tahoma"/>
          <w:sz w:val="22"/>
          <w:szCs w:val="22"/>
        </w:rPr>
        <w:t>de esas 914 semanas, 884,71 fueron sufragada</w:t>
      </w:r>
      <w:r w:rsidR="008F136A">
        <w:rPr>
          <w:rFonts w:ascii="Tahoma" w:hAnsi="Tahoma" w:cs="Tahoma"/>
          <w:sz w:val="22"/>
          <w:szCs w:val="22"/>
        </w:rPr>
        <w:t>s antes de la entrada en vigencia del Acto Legislativo 01 de 2005 y dentro de los 20 años anteriores al cumplimiento de los 55 años</w:t>
      </w:r>
      <w:r>
        <w:rPr>
          <w:rFonts w:ascii="Tahoma" w:hAnsi="Tahoma" w:cs="Tahoma"/>
          <w:sz w:val="22"/>
          <w:szCs w:val="22"/>
        </w:rPr>
        <w:t xml:space="preserve"> y, p</w:t>
      </w:r>
      <w:r w:rsidR="008F136A">
        <w:rPr>
          <w:rFonts w:ascii="Tahoma" w:hAnsi="Tahoma" w:cs="Tahoma"/>
          <w:sz w:val="22"/>
          <w:szCs w:val="22"/>
        </w:rPr>
        <w:t xml:space="preserve">or </w:t>
      </w:r>
      <w:r w:rsidR="000F7155">
        <w:rPr>
          <w:rFonts w:ascii="Tahoma" w:hAnsi="Tahoma" w:cs="Tahoma"/>
          <w:sz w:val="22"/>
          <w:szCs w:val="22"/>
        </w:rPr>
        <w:t>último</w:t>
      </w:r>
      <w:r>
        <w:rPr>
          <w:rFonts w:ascii="Tahoma" w:hAnsi="Tahoma" w:cs="Tahoma"/>
          <w:sz w:val="22"/>
          <w:szCs w:val="22"/>
        </w:rPr>
        <w:t>,</w:t>
      </w:r>
      <w:r w:rsidR="008F136A">
        <w:rPr>
          <w:rFonts w:ascii="Tahoma" w:hAnsi="Tahoma" w:cs="Tahoma"/>
          <w:sz w:val="22"/>
          <w:szCs w:val="22"/>
        </w:rPr>
        <w:t xml:space="preserve"> </w:t>
      </w:r>
      <w:r w:rsidR="007E4C1B">
        <w:rPr>
          <w:rFonts w:ascii="Tahoma" w:hAnsi="Tahoma" w:cs="Tahoma"/>
          <w:sz w:val="22"/>
          <w:szCs w:val="22"/>
        </w:rPr>
        <w:t xml:space="preserve">refiere </w:t>
      </w:r>
      <w:r w:rsidR="008F136A">
        <w:rPr>
          <w:rFonts w:ascii="Tahoma" w:hAnsi="Tahoma" w:cs="Tahoma"/>
          <w:sz w:val="22"/>
          <w:szCs w:val="22"/>
        </w:rPr>
        <w:t xml:space="preserve">que no interpuso ningún recurso de ley </w:t>
      </w:r>
      <w:r w:rsidR="007E4C1B">
        <w:rPr>
          <w:rFonts w:ascii="Tahoma" w:hAnsi="Tahoma" w:cs="Tahoma"/>
          <w:sz w:val="22"/>
          <w:szCs w:val="22"/>
        </w:rPr>
        <w:t>contra e</w:t>
      </w:r>
      <w:r w:rsidR="008F136A">
        <w:rPr>
          <w:rFonts w:ascii="Tahoma" w:hAnsi="Tahoma" w:cs="Tahoma"/>
          <w:sz w:val="22"/>
          <w:szCs w:val="22"/>
        </w:rPr>
        <w:t xml:space="preserve">l acto administrativo </w:t>
      </w:r>
      <w:r w:rsidR="005A6A5D">
        <w:rPr>
          <w:rFonts w:ascii="Tahoma" w:hAnsi="Tahoma" w:cs="Tahoma"/>
          <w:sz w:val="22"/>
          <w:szCs w:val="22"/>
        </w:rPr>
        <w:t>que le negó</w:t>
      </w:r>
      <w:r w:rsidR="008F136A">
        <w:rPr>
          <w:rFonts w:ascii="Tahoma" w:hAnsi="Tahoma" w:cs="Tahoma"/>
          <w:sz w:val="22"/>
          <w:szCs w:val="22"/>
        </w:rPr>
        <w:t xml:space="preserve"> la pensión de vejez</w:t>
      </w:r>
      <w:r w:rsidR="00256BA1">
        <w:rPr>
          <w:rFonts w:ascii="Tahoma" w:hAnsi="Tahoma" w:cs="Tahoma"/>
          <w:sz w:val="22"/>
          <w:szCs w:val="22"/>
        </w:rPr>
        <w:t>, quedando agotada de esta manera la reclamación administrativa</w:t>
      </w:r>
      <w:r w:rsidR="008F136A">
        <w:rPr>
          <w:rFonts w:ascii="Tahoma" w:hAnsi="Tahoma" w:cs="Tahoma"/>
          <w:sz w:val="22"/>
          <w:szCs w:val="22"/>
        </w:rPr>
        <w:t>.</w:t>
      </w:r>
    </w:p>
    <w:p w:rsidR="008F136A" w:rsidRDefault="008F136A" w:rsidP="00B34ACF">
      <w:pPr>
        <w:widowControl w:val="0"/>
        <w:autoSpaceDE w:val="0"/>
        <w:autoSpaceDN w:val="0"/>
        <w:adjustRightInd w:val="0"/>
        <w:spacing w:line="276" w:lineRule="auto"/>
        <w:ind w:firstLine="708"/>
        <w:jc w:val="both"/>
        <w:rPr>
          <w:rFonts w:ascii="Tahoma" w:hAnsi="Tahoma" w:cs="Tahoma"/>
          <w:sz w:val="22"/>
          <w:szCs w:val="22"/>
        </w:rPr>
      </w:pPr>
    </w:p>
    <w:p w:rsidR="008F136A" w:rsidRPr="008F136A" w:rsidRDefault="008F136A" w:rsidP="008F136A">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Contestación de la demanda </w:t>
      </w:r>
    </w:p>
    <w:p w:rsidR="00402C0E" w:rsidRDefault="00402C0E" w:rsidP="007E34CF">
      <w:pPr>
        <w:widowControl w:val="0"/>
        <w:autoSpaceDE w:val="0"/>
        <w:autoSpaceDN w:val="0"/>
        <w:adjustRightInd w:val="0"/>
        <w:jc w:val="both"/>
        <w:rPr>
          <w:rFonts w:ascii="Tahoma" w:hAnsi="Tahoma" w:cs="Tahoma"/>
          <w:sz w:val="22"/>
          <w:szCs w:val="22"/>
        </w:rPr>
      </w:pPr>
    </w:p>
    <w:p w:rsidR="000F7155" w:rsidRDefault="007E34CF" w:rsidP="0007415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4B72C5">
        <w:rPr>
          <w:rFonts w:ascii="Tahoma" w:hAnsi="Tahoma" w:cs="Tahoma"/>
          <w:sz w:val="22"/>
          <w:szCs w:val="22"/>
        </w:rPr>
        <w:t>contestó la demanda</w:t>
      </w:r>
      <w:r w:rsidR="000F7155">
        <w:rPr>
          <w:rFonts w:ascii="Tahoma" w:hAnsi="Tahoma" w:cs="Tahoma"/>
          <w:sz w:val="22"/>
          <w:szCs w:val="22"/>
        </w:rPr>
        <w:t xml:space="preserve"> indicando que la resolución por medio de la cual se negó la pensión a la demandante es la GNR 319239 de 2015 y no la señalada en la demanda, además, indicó que no le constaba que la demandante hubiera estado afiliada siempre al régimen de prima media con prestación definida. Frente a los demás hechos indicó que eran ciertos.</w:t>
      </w:r>
    </w:p>
    <w:p w:rsidR="000F7155" w:rsidRDefault="000F7155" w:rsidP="00074152">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07415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w:t>
      </w:r>
      <w:r w:rsidR="00C1031F">
        <w:rPr>
          <w:rFonts w:ascii="Tahoma" w:hAnsi="Tahoma" w:cs="Tahoma"/>
          <w:sz w:val="22"/>
          <w:szCs w:val="22"/>
        </w:rPr>
        <w:t xml:space="preserve"> arguyendo que</w:t>
      </w:r>
      <w:r w:rsidR="0039105C">
        <w:rPr>
          <w:rFonts w:ascii="Tahoma" w:hAnsi="Tahoma" w:cs="Tahoma"/>
          <w:sz w:val="22"/>
          <w:szCs w:val="22"/>
        </w:rPr>
        <w:t xml:space="preserve"> la demandante no</w:t>
      </w:r>
      <w:r w:rsidR="005661C2">
        <w:rPr>
          <w:rFonts w:ascii="Tahoma" w:hAnsi="Tahoma" w:cs="Tahoma"/>
          <w:sz w:val="22"/>
          <w:szCs w:val="22"/>
        </w:rPr>
        <w:t xml:space="preserve"> cumple con los requisitos establecidos para que le sea aplicable el régimen de transición</w:t>
      </w:r>
      <w:r w:rsidR="00C1031F">
        <w:rPr>
          <w:rFonts w:ascii="Tahoma" w:hAnsi="Tahoma" w:cs="Tahoma"/>
          <w:sz w:val="22"/>
          <w:szCs w:val="22"/>
        </w:rPr>
        <w:t xml:space="preserve">. </w:t>
      </w:r>
      <w:r w:rsidR="005661C2">
        <w:rPr>
          <w:rFonts w:ascii="Tahoma" w:hAnsi="Tahoma" w:cs="Tahoma"/>
          <w:sz w:val="22"/>
          <w:szCs w:val="22"/>
        </w:rPr>
        <w:t xml:space="preserve">Finalmente </w:t>
      </w:r>
      <w:r>
        <w:rPr>
          <w:rFonts w:ascii="Tahoma" w:hAnsi="Tahoma" w:cs="Tahoma"/>
          <w:sz w:val="22"/>
          <w:szCs w:val="22"/>
        </w:rPr>
        <w:t>propuso las excepciones de mérito que denominó “</w:t>
      </w:r>
      <w:r w:rsidR="0039105C">
        <w:rPr>
          <w:rFonts w:ascii="Tahoma" w:hAnsi="Tahoma" w:cs="Tahoma"/>
          <w:i/>
          <w:sz w:val="22"/>
          <w:szCs w:val="22"/>
        </w:rPr>
        <w:t>Inexistencia de</w:t>
      </w:r>
      <w:r w:rsidR="005661C2">
        <w:rPr>
          <w:rFonts w:ascii="Tahoma" w:hAnsi="Tahoma" w:cs="Tahoma"/>
          <w:i/>
          <w:sz w:val="22"/>
          <w:szCs w:val="22"/>
        </w:rPr>
        <w:t>l derecho a la pensión de vejez</w:t>
      </w:r>
      <w:r>
        <w:rPr>
          <w:rFonts w:ascii="Tahoma" w:hAnsi="Tahoma" w:cs="Tahoma"/>
          <w:sz w:val="22"/>
          <w:szCs w:val="22"/>
        </w:rPr>
        <w:t>”</w:t>
      </w:r>
      <w:r w:rsidR="00636C5F">
        <w:rPr>
          <w:rFonts w:ascii="Tahoma" w:hAnsi="Tahoma" w:cs="Tahoma"/>
          <w:sz w:val="22"/>
          <w:szCs w:val="22"/>
        </w:rPr>
        <w:t>, “</w:t>
      </w:r>
      <w:r w:rsidR="005661C2">
        <w:rPr>
          <w:rFonts w:ascii="Tahoma" w:hAnsi="Tahoma" w:cs="Tahoma"/>
          <w:i/>
          <w:sz w:val="22"/>
          <w:szCs w:val="22"/>
        </w:rPr>
        <w:t>Excepción de p</w:t>
      </w:r>
      <w:r w:rsidR="0039105C">
        <w:rPr>
          <w:rFonts w:ascii="Tahoma" w:hAnsi="Tahoma" w:cs="Tahoma"/>
          <w:i/>
          <w:sz w:val="22"/>
          <w:szCs w:val="22"/>
        </w:rPr>
        <w:t>rescripción”</w:t>
      </w:r>
      <w:r w:rsidR="0039105C">
        <w:rPr>
          <w:rFonts w:ascii="Tahoma" w:hAnsi="Tahoma" w:cs="Tahoma"/>
          <w:sz w:val="22"/>
          <w:szCs w:val="22"/>
        </w:rPr>
        <w:t xml:space="preserve"> </w:t>
      </w:r>
      <w:r w:rsidR="005661C2">
        <w:rPr>
          <w:rFonts w:ascii="Tahoma" w:hAnsi="Tahoma" w:cs="Tahoma"/>
          <w:sz w:val="22"/>
          <w:szCs w:val="22"/>
        </w:rPr>
        <w:t xml:space="preserve">y </w:t>
      </w:r>
      <w:r w:rsidR="005661C2">
        <w:rPr>
          <w:rFonts w:ascii="Tahoma" w:hAnsi="Tahoma" w:cs="Tahoma"/>
          <w:i/>
          <w:sz w:val="22"/>
          <w:szCs w:val="22"/>
        </w:rPr>
        <w:t>“Genéricas</w:t>
      </w:r>
      <w:r w:rsidR="0003475E">
        <w:rPr>
          <w:rFonts w:ascii="Tahoma" w:hAnsi="Tahoma" w:cs="Tahoma"/>
          <w:sz w:val="22"/>
          <w:szCs w:val="22"/>
        </w:rPr>
        <w:t>”</w:t>
      </w:r>
      <w:r>
        <w:rPr>
          <w:rFonts w:ascii="Tahoma" w:hAnsi="Tahoma" w:cs="Tahoma"/>
          <w:sz w:val="22"/>
          <w:szCs w:val="22"/>
        </w:rPr>
        <w:t>.</w:t>
      </w:r>
    </w:p>
    <w:p w:rsidR="00644D88" w:rsidRDefault="00644D88" w:rsidP="00B34ACF">
      <w:pPr>
        <w:widowControl w:val="0"/>
        <w:autoSpaceDE w:val="0"/>
        <w:autoSpaceDN w:val="0"/>
        <w:adjustRightInd w:val="0"/>
        <w:ind w:firstLine="708"/>
        <w:jc w:val="both"/>
        <w:rPr>
          <w:rFonts w:ascii="Tahoma" w:hAnsi="Tahoma" w:cs="Tahoma"/>
          <w:sz w:val="22"/>
          <w:szCs w:val="22"/>
        </w:rPr>
      </w:pPr>
    </w:p>
    <w:p w:rsidR="008F136A" w:rsidRPr="00EA3EFB" w:rsidRDefault="008F136A" w:rsidP="008F136A">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La sentencia de primera instancia </w:t>
      </w:r>
    </w:p>
    <w:p w:rsidR="003A3BBB" w:rsidRPr="00EA3EFB" w:rsidRDefault="003A3BBB" w:rsidP="00B34ACF">
      <w:pPr>
        <w:pStyle w:val="Sinespaciado"/>
        <w:rPr>
          <w:sz w:val="22"/>
          <w:szCs w:val="22"/>
        </w:rPr>
      </w:pPr>
    </w:p>
    <w:p w:rsidR="005E1963" w:rsidRDefault="00DD1394" w:rsidP="00B34ACF">
      <w:pPr>
        <w:widowControl w:val="0"/>
        <w:autoSpaceDE w:val="0"/>
        <w:autoSpaceDN w:val="0"/>
        <w:adjustRightInd w:val="0"/>
        <w:spacing w:line="276" w:lineRule="auto"/>
        <w:ind w:firstLine="708"/>
        <w:jc w:val="both"/>
        <w:rPr>
          <w:rFonts w:ascii="Tahoma" w:hAnsi="Tahoma" w:cs="Tahoma"/>
          <w:sz w:val="22"/>
          <w:szCs w:val="22"/>
        </w:rPr>
      </w:pPr>
      <w:r w:rsidRPr="00B3559D">
        <w:rPr>
          <w:rFonts w:ascii="Tahoma" w:hAnsi="Tahoma" w:cs="Tahoma"/>
          <w:sz w:val="22"/>
          <w:szCs w:val="22"/>
        </w:rPr>
        <w:t>La Jueza de conocimiento</w:t>
      </w:r>
      <w:r w:rsidR="00533FD9" w:rsidRPr="00B3559D">
        <w:rPr>
          <w:rFonts w:ascii="Tahoma" w:hAnsi="Tahoma" w:cs="Tahoma"/>
          <w:sz w:val="22"/>
          <w:szCs w:val="22"/>
        </w:rPr>
        <w:t xml:space="preserve"> </w:t>
      </w:r>
      <w:r w:rsidR="007966A0" w:rsidRPr="00B3559D">
        <w:rPr>
          <w:rFonts w:ascii="Tahoma" w:hAnsi="Tahoma" w:cs="Tahoma"/>
          <w:sz w:val="22"/>
          <w:szCs w:val="22"/>
        </w:rPr>
        <w:t xml:space="preserve">declaró </w:t>
      </w:r>
      <w:r w:rsidR="005E1963" w:rsidRPr="00B3559D">
        <w:rPr>
          <w:rFonts w:ascii="Tahoma" w:hAnsi="Tahoma" w:cs="Tahoma"/>
          <w:sz w:val="22"/>
          <w:szCs w:val="22"/>
        </w:rPr>
        <w:t xml:space="preserve">probada la </w:t>
      </w:r>
      <w:r w:rsidR="00197974" w:rsidRPr="00B3559D">
        <w:rPr>
          <w:rFonts w:ascii="Tahoma" w:hAnsi="Tahoma" w:cs="Tahoma"/>
          <w:sz w:val="22"/>
          <w:szCs w:val="22"/>
        </w:rPr>
        <w:t>excepción</w:t>
      </w:r>
      <w:r w:rsidR="005E1963" w:rsidRPr="00B3559D">
        <w:rPr>
          <w:rFonts w:ascii="Tahoma" w:hAnsi="Tahoma" w:cs="Tahoma"/>
          <w:sz w:val="22"/>
          <w:szCs w:val="22"/>
        </w:rPr>
        <w:t xml:space="preserve"> de </w:t>
      </w:r>
      <w:r w:rsidR="00E410E1">
        <w:rPr>
          <w:rFonts w:ascii="Tahoma" w:hAnsi="Tahoma" w:cs="Tahoma"/>
          <w:sz w:val="22"/>
          <w:szCs w:val="22"/>
        </w:rPr>
        <w:t>“</w:t>
      </w:r>
      <w:r w:rsidR="00D84912">
        <w:rPr>
          <w:rFonts w:ascii="Tahoma" w:hAnsi="Tahoma" w:cs="Tahoma"/>
          <w:i/>
          <w:sz w:val="22"/>
          <w:szCs w:val="22"/>
        </w:rPr>
        <w:t>Inexistencia de la obligación</w:t>
      </w:r>
      <w:r w:rsidR="00E410E1">
        <w:rPr>
          <w:rFonts w:ascii="Tahoma" w:hAnsi="Tahoma" w:cs="Tahoma"/>
          <w:sz w:val="22"/>
          <w:szCs w:val="22"/>
        </w:rPr>
        <w:t>”</w:t>
      </w:r>
      <w:r w:rsidR="00A106AF">
        <w:rPr>
          <w:rFonts w:ascii="Tahoma" w:hAnsi="Tahoma" w:cs="Tahoma"/>
          <w:sz w:val="22"/>
          <w:szCs w:val="22"/>
        </w:rPr>
        <w:t>; así mismo</w:t>
      </w:r>
      <w:r w:rsidR="00EA10C8" w:rsidRPr="00B3559D">
        <w:rPr>
          <w:rFonts w:ascii="Tahoma" w:hAnsi="Tahoma" w:cs="Tahoma"/>
          <w:sz w:val="22"/>
          <w:szCs w:val="22"/>
        </w:rPr>
        <w:t xml:space="preserve"> </w:t>
      </w:r>
      <w:r w:rsidR="00E410E1">
        <w:rPr>
          <w:rFonts w:ascii="Tahoma" w:hAnsi="Tahoma" w:cs="Tahoma"/>
          <w:sz w:val="22"/>
          <w:szCs w:val="22"/>
        </w:rPr>
        <w:t xml:space="preserve">absolvió a </w:t>
      </w:r>
      <w:r w:rsidR="0068338E">
        <w:rPr>
          <w:rFonts w:ascii="Tahoma" w:hAnsi="Tahoma" w:cs="Tahoma"/>
          <w:sz w:val="22"/>
          <w:szCs w:val="22"/>
        </w:rPr>
        <w:t xml:space="preserve">la Administradora Colombiana de Pensiones – Colpensiones </w:t>
      </w:r>
      <w:r w:rsidR="00E410E1">
        <w:rPr>
          <w:rFonts w:ascii="Tahoma" w:hAnsi="Tahoma" w:cs="Tahoma"/>
          <w:sz w:val="22"/>
          <w:szCs w:val="22"/>
        </w:rPr>
        <w:t>de las pretensiones incoadas por la señora</w:t>
      </w:r>
      <w:r w:rsidR="00197974">
        <w:rPr>
          <w:rFonts w:ascii="Tahoma" w:hAnsi="Tahoma" w:cs="Tahoma"/>
          <w:sz w:val="22"/>
          <w:szCs w:val="22"/>
        </w:rPr>
        <w:t xml:space="preserve"> Sonia del Carmen Granados Jiménez</w:t>
      </w:r>
      <w:r w:rsidR="00A106AF">
        <w:rPr>
          <w:rFonts w:ascii="Tahoma" w:hAnsi="Tahoma" w:cs="Tahoma"/>
          <w:sz w:val="22"/>
          <w:szCs w:val="22"/>
        </w:rPr>
        <w:t xml:space="preserve">, a </w:t>
      </w:r>
      <w:r w:rsidR="00B84E7B">
        <w:rPr>
          <w:rFonts w:ascii="Tahoma" w:hAnsi="Tahoma" w:cs="Tahoma"/>
          <w:sz w:val="22"/>
          <w:szCs w:val="22"/>
        </w:rPr>
        <w:t xml:space="preserve">quien </w:t>
      </w:r>
      <w:r w:rsidR="00A106AF">
        <w:rPr>
          <w:rFonts w:ascii="Tahoma" w:hAnsi="Tahoma" w:cs="Tahoma"/>
          <w:sz w:val="22"/>
          <w:szCs w:val="22"/>
        </w:rPr>
        <w:t>conden</w:t>
      </w:r>
      <w:r w:rsidR="00B84E7B">
        <w:rPr>
          <w:rFonts w:ascii="Tahoma" w:hAnsi="Tahoma" w:cs="Tahoma"/>
          <w:sz w:val="22"/>
          <w:szCs w:val="22"/>
        </w:rPr>
        <w:t>ó</w:t>
      </w:r>
      <w:r w:rsidR="00A106AF">
        <w:rPr>
          <w:rFonts w:ascii="Tahoma" w:hAnsi="Tahoma" w:cs="Tahoma"/>
          <w:sz w:val="22"/>
          <w:szCs w:val="22"/>
        </w:rPr>
        <w:t xml:space="preserve"> al pag</w:t>
      </w:r>
      <w:r w:rsidR="00B84E7B">
        <w:rPr>
          <w:rFonts w:ascii="Tahoma" w:hAnsi="Tahoma" w:cs="Tahoma"/>
          <w:sz w:val="22"/>
          <w:szCs w:val="22"/>
        </w:rPr>
        <w:t>o</w:t>
      </w:r>
      <w:r w:rsidR="00A106AF">
        <w:rPr>
          <w:rFonts w:ascii="Tahoma" w:hAnsi="Tahoma" w:cs="Tahoma"/>
          <w:sz w:val="22"/>
          <w:szCs w:val="22"/>
        </w:rPr>
        <w:t xml:space="preserve"> de las costas procesales</w:t>
      </w:r>
      <w:r w:rsidR="00197974">
        <w:rPr>
          <w:rFonts w:ascii="Tahoma" w:hAnsi="Tahoma" w:cs="Tahoma"/>
          <w:sz w:val="22"/>
          <w:szCs w:val="22"/>
        </w:rPr>
        <w:t xml:space="preserve"> en favor de la entidad demandada en un 90%</w:t>
      </w:r>
      <w:r w:rsidR="00A106AF">
        <w:rPr>
          <w:rFonts w:ascii="Tahoma" w:hAnsi="Tahoma" w:cs="Tahoma"/>
          <w:sz w:val="22"/>
          <w:szCs w:val="22"/>
        </w:rPr>
        <w:t>.</w:t>
      </w:r>
    </w:p>
    <w:p w:rsidR="000F7155" w:rsidRDefault="000F7155" w:rsidP="00B34ACF">
      <w:pPr>
        <w:widowControl w:val="0"/>
        <w:autoSpaceDE w:val="0"/>
        <w:autoSpaceDN w:val="0"/>
        <w:adjustRightInd w:val="0"/>
        <w:spacing w:line="276" w:lineRule="auto"/>
        <w:ind w:firstLine="708"/>
        <w:jc w:val="both"/>
        <w:rPr>
          <w:rFonts w:ascii="Tahoma" w:hAnsi="Tahoma" w:cs="Tahoma"/>
          <w:sz w:val="22"/>
          <w:szCs w:val="22"/>
        </w:rPr>
      </w:pPr>
    </w:p>
    <w:p w:rsidR="000F7155" w:rsidRDefault="000F7155" w:rsidP="000F715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 quo manifestó, en síntesis, que al haberse trasladado al RAIS, la señora </w:t>
      </w:r>
      <w:r w:rsidR="00073209">
        <w:rPr>
          <w:rFonts w:ascii="Tahoma" w:hAnsi="Tahoma" w:cs="Tahoma"/>
          <w:sz w:val="22"/>
          <w:szCs w:val="22"/>
        </w:rPr>
        <w:t xml:space="preserve">Sonia del Carmen </w:t>
      </w:r>
      <w:r>
        <w:rPr>
          <w:rFonts w:ascii="Tahoma" w:hAnsi="Tahoma" w:cs="Tahoma"/>
          <w:sz w:val="22"/>
          <w:szCs w:val="22"/>
        </w:rPr>
        <w:t xml:space="preserve">debía contar con 15 años de servicios antes de la entrada en vigencia de la Ley 100 de 1993, a efectos de conservar el régimen de transición del que fue beneficiaria; no obstante, al carecer de ese requisito su pensión de vejez se regía por las disposiciones establecidas por el artículo 33 de la misma codificación, los cuales no cumplía.  </w:t>
      </w:r>
    </w:p>
    <w:p w:rsidR="006844DC" w:rsidRDefault="006844DC" w:rsidP="000F7155">
      <w:pPr>
        <w:widowControl w:val="0"/>
        <w:autoSpaceDE w:val="0"/>
        <w:autoSpaceDN w:val="0"/>
        <w:adjustRightInd w:val="0"/>
        <w:spacing w:line="276" w:lineRule="auto"/>
        <w:ind w:firstLine="708"/>
        <w:jc w:val="both"/>
        <w:rPr>
          <w:rFonts w:ascii="Tahoma" w:hAnsi="Tahoma" w:cs="Tahoma"/>
          <w:sz w:val="22"/>
          <w:szCs w:val="22"/>
        </w:rPr>
      </w:pPr>
    </w:p>
    <w:p w:rsidR="006844DC" w:rsidRPr="006844DC" w:rsidRDefault="006844DC" w:rsidP="006844DC">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844DC">
        <w:rPr>
          <w:rFonts w:ascii="Tahoma" w:hAnsi="Tahoma" w:cs="Tahoma"/>
          <w:b/>
          <w:sz w:val="22"/>
          <w:szCs w:val="22"/>
        </w:rPr>
        <w:t>Procedencia de la consulta</w:t>
      </w:r>
    </w:p>
    <w:p w:rsidR="000222F2" w:rsidRDefault="000222F2" w:rsidP="00B34ACF">
      <w:pPr>
        <w:ind w:firstLine="708"/>
        <w:jc w:val="both"/>
        <w:rPr>
          <w:rFonts w:ascii="Tahoma" w:hAnsi="Tahoma" w:cs="Tahoma"/>
          <w:sz w:val="22"/>
          <w:szCs w:val="22"/>
        </w:rPr>
      </w:pPr>
    </w:p>
    <w:p w:rsidR="006844DC" w:rsidRDefault="006844DC" w:rsidP="00B34ACF">
      <w:pPr>
        <w:ind w:firstLine="708"/>
        <w:jc w:val="both"/>
        <w:rPr>
          <w:rFonts w:ascii="Tahoma" w:hAnsi="Tahoma" w:cs="Tahoma"/>
          <w:sz w:val="22"/>
          <w:szCs w:val="22"/>
        </w:rPr>
      </w:pPr>
      <w:r>
        <w:rPr>
          <w:rFonts w:ascii="Tahoma" w:hAnsi="Tahoma" w:cs="Tahoma"/>
          <w:sz w:val="22"/>
          <w:szCs w:val="22"/>
        </w:rPr>
        <w:t>Como quiera que la sentencia de primer grado fue desfavorable para los intereses de la demandante, y no fue apelada, se dispuso el grado jurisdiccional de consulta a su favor.</w:t>
      </w:r>
    </w:p>
    <w:p w:rsidR="006844DC" w:rsidRDefault="006844DC" w:rsidP="00B34ACF">
      <w:pPr>
        <w:ind w:firstLine="708"/>
        <w:jc w:val="both"/>
        <w:rPr>
          <w:rFonts w:ascii="Tahoma" w:hAnsi="Tahoma" w:cs="Tahoma"/>
          <w:sz w:val="22"/>
          <w:szCs w:val="22"/>
        </w:rPr>
      </w:pPr>
    </w:p>
    <w:p w:rsidR="003A3BBB" w:rsidRDefault="003A3BBB" w:rsidP="00B34AC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CF2C2F" w:rsidRDefault="00CF2C2F" w:rsidP="00CF2C2F">
      <w:pPr>
        <w:widowControl w:val="0"/>
        <w:autoSpaceDE w:val="0"/>
        <w:autoSpaceDN w:val="0"/>
        <w:adjustRightInd w:val="0"/>
        <w:spacing w:line="276" w:lineRule="auto"/>
        <w:ind w:left="1080"/>
        <w:rPr>
          <w:rFonts w:ascii="Tahoma" w:hAnsi="Tahoma" w:cs="Tahoma"/>
          <w:b/>
          <w:sz w:val="22"/>
          <w:szCs w:val="22"/>
        </w:rPr>
      </w:pPr>
    </w:p>
    <w:p w:rsidR="001D5192" w:rsidRPr="00666BB2" w:rsidRDefault="001D5192" w:rsidP="001D5192">
      <w:pPr>
        <w:pStyle w:val="Prrafodelista"/>
        <w:numPr>
          <w:ilvl w:val="1"/>
          <w:numId w:val="8"/>
        </w:numPr>
        <w:tabs>
          <w:tab w:val="left" w:pos="567"/>
        </w:tabs>
        <w:spacing w:line="276" w:lineRule="auto"/>
        <w:ind w:hanging="371"/>
        <w:jc w:val="both"/>
        <w:rPr>
          <w:rFonts w:ascii="Tahoma" w:hAnsi="Tahoma" w:cs="Tahoma"/>
          <w:b/>
          <w:sz w:val="22"/>
          <w:szCs w:val="22"/>
        </w:rPr>
      </w:pPr>
      <w:r w:rsidRPr="00666BB2">
        <w:rPr>
          <w:rFonts w:ascii="Tahoma" w:hAnsi="Tahoma" w:cs="Tahoma"/>
          <w:b/>
          <w:sz w:val="22"/>
          <w:szCs w:val="22"/>
        </w:rPr>
        <w:t>Delimitación del recurso de apelación</w:t>
      </w:r>
    </w:p>
    <w:p w:rsidR="001D5192" w:rsidRPr="00666BB2" w:rsidRDefault="001D5192" w:rsidP="001D5192">
      <w:pPr>
        <w:tabs>
          <w:tab w:val="left" w:pos="567"/>
        </w:tabs>
        <w:ind w:firstLine="708"/>
        <w:jc w:val="both"/>
        <w:rPr>
          <w:rFonts w:ascii="Tahoma" w:hAnsi="Tahoma" w:cs="Tahoma"/>
          <w:sz w:val="22"/>
          <w:szCs w:val="22"/>
        </w:rPr>
      </w:pPr>
    </w:p>
    <w:p w:rsidR="001D5192" w:rsidRDefault="001D5192" w:rsidP="001D5192">
      <w:pPr>
        <w:widowControl w:val="0"/>
        <w:autoSpaceDE w:val="0"/>
        <w:autoSpaceDN w:val="0"/>
        <w:adjustRightInd w:val="0"/>
        <w:spacing w:line="276" w:lineRule="auto"/>
        <w:ind w:firstLine="708"/>
        <w:jc w:val="both"/>
        <w:rPr>
          <w:rFonts w:ascii="Tahoma" w:hAnsi="Tahoma" w:cs="Tahoma"/>
          <w:iCs/>
          <w:sz w:val="22"/>
          <w:szCs w:val="22"/>
        </w:rPr>
      </w:pPr>
      <w:r w:rsidRPr="00666BB2">
        <w:rPr>
          <w:rFonts w:ascii="Tahoma" w:hAnsi="Tahoma" w:cs="Tahoma"/>
          <w:sz w:val="22"/>
          <w:szCs w:val="22"/>
        </w:rPr>
        <w:t xml:space="preserve">No existe discusión alguna en el presente asunto respecto a que </w:t>
      </w:r>
      <w:r>
        <w:rPr>
          <w:rFonts w:ascii="Tahoma" w:hAnsi="Tahoma" w:cs="Tahoma"/>
          <w:sz w:val="22"/>
          <w:szCs w:val="22"/>
        </w:rPr>
        <w:t xml:space="preserve">la señora </w:t>
      </w:r>
      <w:r w:rsidR="00F64BBB">
        <w:rPr>
          <w:rFonts w:ascii="Tahoma" w:hAnsi="Tahoma" w:cs="Tahoma"/>
          <w:sz w:val="22"/>
          <w:szCs w:val="22"/>
        </w:rPr>
        <w:t xml:space="preserve">Granados Jiménez </w:t>
      </w:r>
      <w:r w:rsidRPr="00666BB2">
        <w:rPr>
          <w:rFonts w:ascii="Tahoma" w:hAnsi="Tahoma" w:cs="Tahoma"/>
          <w:sz w:val="22"/>
          <w:szCs w:val="22"/>
        </w:rPr>
        <w:t xml:space="preserve">nació el </w:t>
      </w:r>
      <w:r w:rsidR="00F64BBB">
        <w:rPr>
          <w:rFonts w:ascii="Tahoma" w:hAnsi="Tahoma" w:cs="Tahoma"/>
          <w:sz w:val="22"/>
          <w:szCs w:val="22"/>
        </w:rPr>
        <w:t>7</w:t>
      </w:r>
      <w:r w:rsidRPr="00666BB2">
        <w:rPr>
          <w:rFonts w:ascii="Tahoma" w:hAnsi="Tahoma" w:cs="Tahoma"/>
          <w:sz w:val="22"/>
          <w:szCs w:val="22"/>
        </w:rPr>
        <w:t xml:space="preserve"> de </w:t>
      </w:r>
      <w:r w:rsidR="00F64BBB">
        <w:rPr>
          <w:rFonts w:ascii="Tahoma" w:hAnsi="Tahoma" w:cs="Tahoma"/>
          <w:sz w:val="22"/>
          <w:szCs w:val="22"/>
        </w:rPr>
        <w:t xml:space="preserve">marzo </w:t>
      </w:r>
      <w:r>
        <w:rPr>
          <w:rFonts w:ascii="Tahoma" w:hAnsi="Tahoma" w:cs="Tahoma"/>
          <w:sz w:val="22"/>
          <w:szCs w:val="22"/>
        </w:rPr>
        <w:t>de 195</w:t>
      </w:r>
      <w:r w:rsidR="00F64BBB">
        <w:rPr>
          <w:rFonts w:ascii="Tahoma" w:hAnsi="Tahoma" w:cs="Tahoma"/>
          <w:sz w:val="22"/>
          <w:szCs w:val="22"/>
        </w:rPr>
        <w:t>7</w:t>
      </w:r>
      <w:r w:rsidRPr="00666BB2">
        <w:rPr>
          <w:rFonts w:ascii="Tahoma" w:hAnsi="Tahoma" w:cs="Tahoma"/>
          <w:sz w:val="22"/>
          <w:szCs w:val="22"/>
        </w:rPr>
        <w:t>, de conformidad con la copia del</w:t>
      </w:r>
      <w:r>
        <w:rPr>
          <w:rFonts w:ascii="Tahoma" w:hAnsi="Tahoma" w:cs="Tahoma"/>
          <w:sz w:val="22"/>
          <w:szCs w:val="22"/>
        </w:rPr>
        <w:t xml:space="preserve"> registro civil de nacimiento </w:t>
      </w:r>
      <w:r w:rsidRPr="00666BB2">
        <w:rPr>
          <w:rFonts w:ascii="Tahoma" w:hAnsi="Tahoma" w:cs="Tahoma"/>
          <w:sz w:val="22"/>
          <w:szCs w:val="22"/>
        </w:rPr>
        <w:t xml:space="preserve">(fl. </w:t>
      </w:r>
      <w:r w:rsidR="00F64BBB">
        <w:rPr>
          <w:rFonts w:ascii="Tahoma" w:hAnsi="Tahoma" w:cs="Tahoma"/>
          <w:sz w:val="22"/>
          <w:szCs w:val="22"/>
        </w:rPr>
        <w:t>12</w:t>
      </w:r>
      <w:r w:rsidRPr="00666BB2">
        <w:rPr>
          <w:rFonts w:ascii="Tahoma" w:hAnsi="Tahoma" w:cs="Tahoma"/>
          <w:sz w:val="22"/>
          <w:szCs w:val="22"/>
        </w:rPr>
        <w:t xml:space="preserve">), por lo que, en principio, es beneficiario del régimen de transición consagrado en el artículo 36 de la Ley 100 de 1993, por contar con más de </w:t>
      </w:r>
      <w:r>
        <w:rPr>
          <w:rFonts w:ascii="Tahoma" w:hAnsi="Tahoma" w:cs="Tahoma"/>
          <w:sz w:val="22"/>
          <w:szCs w:val="22"/>
        </w:rPr>
        <w:t>35</w:t>
      </w:r>
      <w:r w:rsidRPr="00666BB2">
        <w:rPr>
          <w:rFonts w:ascii="Tahoma" w:hAnsi="Tahoma" w:cs="Tahoma"/>
          <w:sz w:val="22"/>
          <w:szCs w:val="22"/>
        </w:rPr>
        <w:t xml:space="preserve"> años de edad al 1º de abril de 1994, cuando entró en vigencia el nuevo régimen de seguridad social en pensiones.</w:t>
      </w:r>
      <w:r w:rsidR="00F64BBB">
        <w:rPr>
          <w:rFonts w:ascii="Tahoma" w:hAnsi="Tahoma" w:cs="Tahoma"/>
          <w:sz w:val="22"/>
          <w:szCs w:val="22"/>
        </w:rPr>
        <w:t xml:space="preserve"> </w:t>
      </w:r>
      <w:r w:rsidRPr="00666BB2">
        <w:rPr>
          <w:rFonts w:ascii="Tahoma" w:hAnsi="Tahoma" w:cs="Tahoma"/>
          <w:iCs/>
          <w:sz w:val="22"/>
          <w:szCs w:val="22"/>
        </w:rPr>
        <w:t xml:space="preserve">Sin embargo, </w:t>
      </w:r>
      <w:r w:rsidR="00F64BBB">
        <w:rPr>
          <w:rFonts w:ascii="Tahoma" w:hAnsi="Tahoma" w:cs="Tahoma"/>
          <w:iCs/>
          <w:sz w:val="22"/>
          <w:szCs w:val="22"/>
        </w:rPr>
        <w:t>de</w:t>
      </w:r>
      <w:r>
        <w:rPr>
          <w:rFonts w:ascii="Tahoma" w:hAnsi="Tahoma" w:cs="Tahoma"/>
          <w:iCs/>
          <w:sz w:val="22"/>
          <w:szCs w:val="22"/>
        </w:rPr>
        <w:t>l</w:t>
      </w:r>
      <w:r w:rsidR="00F64BBB">
        <w:rPr>
          <w:rFonts w:ascii="Tahoma" w:hAnsi="Tahoma" w:cs="Tahoma"/>
          <w:iCs/>
          <w:sz w:val="22"/>
          <w:szCs w:val="22"/>
        </w:rPr>
        <w:t xml:space="preserve"> reporte de semanas cotizadas </w:t>
      </w:r>
      <w:r>
        <w:rPr>
          <w:rFonts w:ascii="Tahoma" w:hAnsi="Tahoma" w:cs="Tahoma"/>
          <w:iCs/>
          <w:sz w:val="22"/>
          <w:szCs w:val="22"/>
        </w:rPr>
        <w:t xml:space="preserve">obrante en el plenario se puede advertir sin mayor dificultad que </w:t>
      </w:r>
      <w:r w:rsidR="00F64BBB">
        <w:rPr>
          <w:rFonts w:ascii="Tahoma" w:hAnsi="Tahoma" w:cs="Tahoma"/>
          <w:iCs/>
          <w:sz w:val="22"/>
          <w:szCs w:val="22"/>
        </w:rPr>
        <w:t>aquella</w:t>
      </w:r>
      <w:r>
        <w:rPr>
          <w:rFonts w:ascii="Tahoma" w:hAnsi="Tahoma" w:cs="Tahoma"/>
          <w:iCs/>
          <w:sz w:val="22"/>
          <w:szCs w:val="22"/>
        </w:rPr>
        <w:t xml:space="preserve"> se trasladó </w:t>
      </w:r>
      <w:r w:rsidRPr="00666BB2">
        <w:rPr>
          <w:rFonts w:ascii="Tahoma" w:hAnsi="Tahoma" w:cs="Tahoma"/>
          <w:sz w:val="22"/>
          <w:szCs w:val="22"/>
        </w:rPr>
        <w:t>del régimen de prima media administrado por el</w:t>
      </w:r>
      <w:r>
        <w:rPr>
          <w:rFonts w:ascii="Tahoma" w:hAnsi="Tahoma" w:cs="Tahoma"/>
          <w:sz w:val="22"/>
          <w:szCs w:val="22"/>
        </w:rPr>
        <w:t xml:space="preserve"> entonces</w:t>
      </w:r>
      <w:r w:rsidRPr="00666BB2">
        <w:rPr>
          <w:rFonts w:ascii="Tahoma" w:hAnsi="Tahoma" w:cs="Tahoma"/>
          <w:sz w:val="22"/>
          <w:szCs w:val="22"/>
        </w:rPr>
        <w:t xml:space="preserve"> I</w:t>
      </w:r>
      <w:r>
        <w:rPr>
          <w:rFonts w:ascii="Tahoma" w:hAnsi="Tahoma" w:cs="Tahoma"/>
          <w:sz w:val="22"/>
          <w:szCs w:val="22"/>
        </w:rPr>
        <w:t>.S.S.</w:t>
      </w:r>
      <w:r w:rsidRPr="00666BB2">
        <w:rPr>
          <w:rFonts w:ascii="Tahoma" w:hAnsi="Tahoma" w:cs="Tahoma"/>
          <w:sz w:val="22"/>
          <w:szCs w:val="22"/>
        </w:rPr>
        <w:t xml:space="preserve"> al de ah</w:t>
      </w:r>
      <w:r>
        <w:rPr>
          <w:rFonts w:ascii="Tahoma" w:hAnsi="Tahoma" w:cs="Tahoma"/>
          <w:sz w:val="22"/>
          <w:szCs w:val="22"/>
        </w:rPr>
        <w:t xml:space="preserve">orro individual con solidaridad, retornando con posterioridad </w:t>
      </w:r>
      <w:r w:rsidRPr="00666BB2">
        <w:rPr>
          <w:rFonts w:ascii="Tahoma" w:hAnsi="Tahoma" w:cs="Tahoma"/>
          <w:sz w:val="22"/>
          <w:szCs w:val="22"/>
        </w:rPr>
        <w:t>al primero</w:t>
      </w:r>
      <w:r>
        <w:rPr>
          <w:rFonts w:ascii="Tahoma" w:hAnsi="Tahoma" w:cs="Tahoma"/>
          <w:sz w:val="22"/>
          <w:szCs w:val="22"/>
        </w:rPr>
        <w:t>.</w:t>
      </w:r>
      <w:r>
        <w:rPr>
          <w:rFonts w:ascii="Tahoma" w:hAnsi="Tahoma" w:cs="Tahoma"/>
          <w:iCs/>
          <w:sz w:val="22"/>
          <w:szCs w:val="22"/>
        </w:rPr>
        <w:t xml:space="preserve"> </w:t>
      </w:r>
    </w:p>
    <w:p w:rsidR="001D5192" w:rsidRPr="00666BB2" w:rsidRDefault="001D5192" w:rsidP="001D5192">
      <w:pPr>
        <w:widowControl w:val="0"/>
        <w:autoSpaceDE w:val="0"/>
        <w:autoSpaceDN w:val="0"/>
        <w:adjustRightInd w:val="0"/>
        <w:spacing w:line="276" w:lineRule="auto"/>
        <w:ind w:firstLine="708"/>
        <w:jc w:val="both"/>
        <w:rPr>
          <w:rFonts w:ascii="Tahoma" w:hAnsi="Tahoma" w:cs="Tahoma"/>
          <w:sz w:val="22"/>
          <w:szCs w:val="22"/>
        </w:rPr>
      </w:pPr>
    </w:p>
    <w:p w:rsidR="001D5192" w:rsidRPr="00666BB2" w:rsidRDefault="001D5192" w:rsidP="001D5192">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Por lo tanto, corresponde a esta Corporación determinar si dicho traslado, como lo </w:t>
      </w:r>
      <w:r>
        <w:rPr>
          <w:rFonts w:ascii="Tahoma" w:hAnsi="Tahoma" w:cs="Tahoma"/>
          <w:sz w:val="22"/>
          <w:szCs w:val="22"/>
        </w:rPr>
        <w:t>determinó la Jueza de instancia</w:t>
      </w:r>
      <w:r w:rsidRPr="00666BB2">
        <w:rPr>
          <w:rFonts w:ascii="Tahoma" w:hAnsi="Tahoma" w:cs="Tahoma"/>
          <w:sz w:val="22"/>
          <w:szCs w:val="22"/>
        </w:rPr>
        <w:t>, implic</w:t>
      </w:r>
      <w:r>
        <w:rPr>
          <w:rFonts w:ascii="Tahoma" w:hAnsi="Tahoma" w:cs="Tahoma"/>
          <w:sz w:val="22"/>
          <w:szCs w:val="22"/>
        </w:rPr>
        <w:t xml:space="preserve">ó la pérdida de </w:t>
      </w:r>
      <w:r w:rsidRPr="00666BB2">
        <w:rPr>
          <w:rFonts w:ascii="Tahoma" w:hAnsi="Tahoma" w:cs="Tahoma"/>
          <w:sz w:val="22"/>
          <w:szCs w:val="22"/>
        </w:rPr>
        <w:t>los beneficios del régimen de transición</w:t>
      </w:r>
      <w:r>
        <w:rPr>
          <w:rFonts w:ascii="Tahoma" w:hAnsi="Tahoma" w:cs="Tahoma"/>
          <w:sz w:val="22"/>
          <w:szCs w:val="22"/>
        </w:rPr>
        <w:t xml:space="preserve"> de la demandante</w:t>
      </w:r>
      <w:r w:rsidRPr="00666BB2">
        <w:rPr>
          <w:rFonts w:ascii="Tahoma" w:hAnsi="Tahoma" w:cs="Tahoma"/>
          <w:sz w:val="22"/>
          <w:szCs w:val="22"/>
        </w:rPr>
        <w:t>, o si por el contrario, su pensión debe ser reconocida con fundamento en el Acuerdo 049 de 1990, como lo reclama el demandante.</w:t>
      </w:r>
    </w:p>
    <w:p w:rsidR="001D5192" w:rsidRPr="00666BB2" w:rsidRDefault="001D5192" w:rsidP="001D5192">
      <w:pPr>
        <w:widowControl w:val="0"/>
        <w:autoSpaceDE w:val="0"/>
        <w:autoSpaceDN w:val="0"/>
        <w:adjustRightInd w:val="0"/>
        <w:spacing w:line="276" w:lineRule="auto"/>
        <w:ind w:firstLine="708"/>
        <w:jc w:val="both"/>
        <w:rPr>
          <w:rFonts w:ascii="Tahoma" w:hAnsi="Tahoma" w:cs="Tahoma"/>
          <w:sz w:val="22"/>
          <w:szCs w:val="22"/>
        </w:rPr>
      </w:pPr>
    </w:p>
    <w:p w:rsidR="001D5192" w:rsidRPr="00633247" w:rsidRDefault="001D5192" w:rsidP="001D5192">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Pr="00633247">
        <w:rPr>
          <w:rFonts w:ascii="Tahoma" w:hAnsi="Tahoma" w:cs="Tahoma"/>
          <w:b/>
          <w:sz w:val="22"/>
          <w:szCs w:val="22"/>
        </w:rPr>
        <w:t>Del traslado de régimen y la recuperación de los beneficios del régimen de transición</w:t>
      </w:r>
    </w:p>
    <w:p w:rsidR="001D5192" w:rsidRPr="00666BB2" w:rsidRDefault="001D5192" w:rsidP="001D5192">
      <w:pPr>
        <w:tabs>
          <w:tab w:val="left" w:pos="567"/>
        </w:tabs>
        <w:spacing w:line="276" w:lineRule="auto"/>
        <w:ind w:firstLine="708"/>
        <w:jc w:val="both"/>
        <w:rPr>
          <w:rFonts w:ascii="Tahoma" w:hAnsi="Tahoma" w:cs="Tahoma"/>
          <w:sz w:val="22"/>
          <w:szCs w:val="22"/>
        </w:rPr>
      </w:pPr>
    </w:p>
    <w:p w:rsidR="001D5192" w:rsidRPr="00666BB2" w:rsidRDefault="001D5192" w:rsidP="001D5192">
      <w:pPr>
        <w:spacing w:line="276" w:lineRule="auto"/>
        <w:ind w:right="3" w:firstLine="708"/>
        <w:jc w:val="both"/>
        <w:rPr>
          <w:rFonts w:ascii="Tahoma" w:hAnsi="Tahoma" w:cs="Tahoma"/>
          <w:sz w:val="22"/>
          <w:szCs w:val="22"/>
        </w:rPr>
      </w:pPr>
      <w:r>
        <w:rPr>
          <w:rFonts w:ascii="Tahoma" w:hAnsi="Tahoma" w:cs="Tahoma"/>
          <w:sz w:val="22"/>
          <w:szCs w:val="22"/>
        </w:rPr>
        <w:t>Sea lo primero advertir al apoderado apelante que e</w:t>
      </w:r>
      <w:r w:rsidRPr="00666BB2">
        <w:rPr>
          <w:rFonts w:ascii="Tahoma" w:hAnsi="Tahoma" w:cs="Tahoma"/>
          <w:sz w:val="22"/>
          <w:szCs w:val="22"/>
        </w:rPr>
        <w:t>l inciso 4º del artículo 36 de la Ley 100 de 1993 establece expresamente que el régimen de transición no es aplicable a las personas que</w:t>
      </w:r>
      <w:r>
        <w:rPr>
          <w:rFonts w:ascii="Tahoma" w:hAnsi="Tahoma" w:cs="Tahoma"/>
          <w:sz w:val="22"/>
          <w:szCs w:val="22"/>
        </w:rPr>
        <w:t>,</w:t>
      </w:r>
      <w:r w:rsidRPr="00666BB2">
        <w:rPr>
          <w:rFonts w:ascii="Tahoma" w:hAnsi="Tahoma" w:cs="Tahoma"/>
          <w:sz w:val="22"/>
          <w:szCs w:val="22"/>
        </w:rPr>
        <w:t xml:space="preserve"> estando en el régimen de prima media administrado por el Instituto de Seguros Sociales </w:t>
      </w:r>
      <w:r w:rsidRPr="00666BB2">
        <w:rPr>
          <w:rFonts w:ascii="Tahoma" w:hAnsi="Tahoma" w:cs="Tahoma"/>
          <w:i/>
          <w:sz w:val="22"/>
          <w:szCs w:val="22"/>
        </w:rPr>
        <w:t>“voluntariamente se acojan al régimen de ahorro individual”</w:t>
      </w:r>
      <w:r>
        <w:rPr>
          <w:rFonts w:ascii="Tahoma" w:hAnsi="Tahoma" w:cs="Tahoma"/>
          <w:i/>
          <w:sz w:val="22"/>
          <w:szCs w:val="22"/>
        </w:rPr>
        <w:t>.</w:t>
      </w:r>
      <w:r w:rsidRPr="00666BB2">
        <w:rPr>
          <w:rFonts w:ascii="Tahoma" w:hAnsi="Tahoma" w:cs="Tahoma"/>
          <w:sz w:val="22"/>
          <w:szCs w:val="22"/>
        </w:rPr>
        <w:t xml:space="preserve">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rsidR="001D5192" w:rsidRDefault="001D5192" w:rsidP="001D5192">
      <w:pPr>
        <w:spacing w:line="276" w:lineRule="auto"/>
        <w:ind w:right="3" w:firstLine="708"/>
        <w:jc w:val="both"/>
        <w:rPr>
          <w:rFonts w:ascii="Tahoma" w:hAnsi="Tahoma" w:cs="Tahoma"/>
          <w:sz w:val="22"/>
          <w:szCs w:val="22"/>
        </w:rPr>
      </w:pPr>
    </w:p>
    <w:p w:rsidR="001D5192" w:rsidRPr="00C457DF" w:rsidRDefault="001D5192" w:rsidP="001D5192">
      <w:pPr>
        <w:pStyle w:val="Textoindependiente"/>
        <w:spacing w:after="0" w:line="276" w:lineRule="auto"/>
        <w:ind w:right="51" w:firstLine="708"/>
        <w:jc w:val="both"/>
        <w:rPr>
          <w:rFonts w:ascii="Tahoma" w:hAnsi="Tahoma" w:cs="Tahoma"/>
          <w:sz w:val="22"/>
          <w:szCs w:val="22"/>
        </w:rPr>
      </w:pPr>
      <w:r w:rsidRPr="00C457DF">
        <w:rPr>
          <w:rFonts w:ascii="Tahoma" w:hAnsi="Tahoma" w:cs="Tahoma"/>
          <w:sz w:val="22"/>
          <w:szCs w:val="22"/>
        </w:rPr>
        <w:t>En cuanto a los requisitos para retornar al régimen de prima</w:t>
      </w:r>
      <w:r>
        <w:rPr>
          <w:rFonts w:ascii="Tahoma" w:hAnsi="Tahoma" w:cs="Tahoma"/>
          <w:sz w:val="22"/>
          <w:szCs w:val="22"/>
        </w:rPr>
        <w:t xml:space="preserve"> media </w:t>
      </w:r>
      <w:r w:rsidRPr="00C457DF">
        <w:rPr>
          <w:rFonts w:ascii="Tahoma" w:hAnsi="Tahoma" w:cs="Tahoma"/>
          <w:sz w:val="22"/>
          <w:szCs w:val="22"/>
        </w:rPr>
        <w:t>para quienes se trasladaron al RAIS, conservando los beneficios transicionales enmarcados en el artículo 36 de la Ley 100 de 1993, la Sala de Casación Laboral de la Corte Suprema de Justicia en la sentencia SL12447 de 2015, reiteró su jurisprudencia indicando:</w:t>
      </w:r>
    </w:p>
    <w:p w:rsidR="001D5192" w:rsidRPr="00C457DF" w:rsidRDefault="001D5192" w:rsidP="001D5192">
      <w:pPr>
        <w:pStyle w:val="Textoindependiente"/>
        <w:spacing w:after="0" w:line="276" w:lineRule="auto"/>
        <w:ind w:right="51" w:firstLine="708"/>
        <w:jc w:val="both"/>
        <w:rPr>
          <w:rFonts w:ascii="Tahoma" w:hAnsi="Tahoma" w:cs="Tahoma"/>
          <w:sz w:val="22"/>
          <w:szCs w:val="22"/>
        </w:rPr>
      </w:pPr>
    </w:p>
    <w:p w:rsidR="001D5192" w:rsidRPr="00C457DF" w:rsidRDefault="001D5192" w:rsidP="001D5192">
      <w:pPr>
        <w:ind w:left="709" w:right="334"/>
        <w:jc w:val="both"/>
        <w:rPr>
          <w:rFonts w:ascii="Tahoma" w:hAnsi="Tahoma" w:cs="Tahoma"/>
          <w:i/>
          <w:iCs/>
          <w:sz w:val="22"/>
          <w:szCs w:val="22"/>
        </w:rPr>
      </w:pPr>
      <w:r w:rsidRPr="00C457DF">
        <w:rPr>
          <w:rFonts w:ascii="Arial Narrow" w:hAnsi="Arial Narrow" w:cs="Arial"/>
          <w:sz w:val="22"/>
          <w:szCs w:val="22"/>
        </w:rPr>
        <w:t>“Sobre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transición, es que el afiliado cuente con al menos 15 años de servicios, al momento de la entrada en vigencia de la Ley 100 de 1993, por lo que no le asiste razón a la censura en ninguno de sus dos planteamientos del ataque.”</w:t>
      </w:r>
    </w:p>
    <w:p w:rsidR="001D5192" w:rsidRPr="00666BB2" w:rsidRDefault="001D5192" w:rsidP="001D5192">
      <w:pPr>
        <w:spacing w:line="276" w:lineRule="auto"/>
        <w:ind w:right="3" w:firstLine="708"/>
        <w:jc w:val="both"/>
        <w:rPr>
          <w:rFonts w:ascii="Tahoma" w:hAnsi="Tahoma" w:cs="Tahoma"/>
          <w:sz w:val="22"/>
          <w:szCs w:val="22"/>
        </w:rPr>
      </w:pPr>
    </w:p>
    <w:p w:rsidR="001D5192" w:rsidRPr="00721557" w:rsidRDefault="001D5192" w:rsidP="001D5192">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Pr="00721557">
        <w:rPr>
          <w:rFonts w:ascii="Tahoma" w:hAnsi="Tahoma" w:cs="Tahoma"/>
          <w:b/>
          <w:sz w:val="22"/>
          <w:szCs w:val="22"/>
        </w:rPr>
        <w:t>Del caso concreto</w:t>
      </w:r>
    </w:p>
    <w:p w:rsidR="001D5192" w:rsidRPr="00666BB2" w:rsidRDefault="001D5192" w:rsidP="001D5192">
      <w:pPr>
        <w:tabs>
          <w:tab w:val="left" w:pos="567"/>
        </w:tabs>
        <w:spacing w:line="276" w:lineRule="auto"/>
        <w:ind w:firstLine="708"/>
        <w:jc w:val="both"/>
        <w:rPr>
          <w:rFonts w:ascii="Tahoma" w:hAnsi="Tahoma" w:cs="Tahoma"/>
          <w:sz w:val="22"/>
          <w:szCs w:val="22"/>
        </w:rPr>
      </w:pPr>
    </w:p>
    <w:p w:rsidR="001D5192" w:rsidRDefault="001D5192" w:rsidP="001D5192">
      <w:pPr>
        <w:spacing w:line="276" w:lineRule="auto"/>
        <w:ind w:right="3" w:firstLine="708"/>
        <w:jc w:val="both"/>
        <w:rPr>
          <w:rFonts w:ascii="Tahoma" w:hAnsi="Tahoma" w:cs="Tahoma"/>
          <w:iCs/>
          <w:sz w:val="22"/>
          <w:szCs w:val="22"/>
        </w:rPr>
      </w:pPr>
      <w:r w:rsidRPr="00666BB2">
        <w:rPr>
          <w:rFonts w:ascii="Tahoma" w:hAnsi="Tahoma" w:cs="Tahoma"/>
          <w:iCs/>
          <w:sz w:val="22"/>
          <w:szCs w:val="22"/>
        </w:rPr>
        <w:t xml:space="preserve">Descendiendo </w:t>
      </w:r>
      <w:r>
        <w:rPr>
          <w:rFonts w:ascii="Tahoma" w:hAnsi="Tahoma" w:cs="Tahoma"/>
          <w:iCs/>
          <w:sz w:val="22"/>
          <w:szCs w:val="22"/>
        </w:rPr>
        <w:t>a</w:t>
      </w:r>
      <w:r w:rsidRPr="00666BB2">
        <w:rPr>
          <w:rFonts w:ascii="Tahoma" w:hAnsi="Tahoma" w:cs="Tahoma"/>
          <w:iCs/>
          <w:sz w:val="22"/>
          <w:szCs w:val="22"/>
        </w:rPr>
        <w:t>l caso concreto, enc</w:t>
      </w:r>
      <w:r>
        <w:rPr>
          <w:rFonts w:ascii="Tahoma" w:hAnsi="Tahoma" w:cs="Tahoma"/>
          <w:iCs/>
          <w:sz w:val="22"/>
          <w:szCs w:val="22"/>
        </w:rPr>
        <w:t xml:space="preserve">uentra la Sala </w:t>
      </w:r>
      <w:r w:rsidRPr="00666BB2">
        <w:rPr>
          <w:rFonts w:ascii="Tahoma" w:hAnsi="Tahoma" w:cs="Tahoma"/>
          <w:iCs/>
          <w:sz w:val="22"/>
          <w:szCs w:val="22"/>
        </w:rPr>
        <w:t>que de acuerdo con la historia laboral</w:t>
      </w:r>
      <w:r w:rsidR="00F64BBB">
        <w:rPr>
          <w:rFonts w:ascii="Tahoma" w:hAnsi="Tahoma" w:cs="Tahoma"/>
          <w:iCs/>
          <w:sz w:val="22"/>
          <w:szCs w:val="22"/>
        </w:rPr>
        <w:t xml:space="preserve"> obrante</w:t>
      </w:r>
      <w:r>
        <w:rPr>
          <w:rFonts w:ascii="Tahoma" w:hAnsi="Tahoma" w:cs="Tahoma"/>
          <w:iCs/>
          <w:sz w:val="22"/>
          <w:szCs w:val="22"/>
        </w:rPr>
        <w:t xml:space="preserve"> en el infolio </w:t>
      </w:r>
      <w:r w:rsidRPr="00666BB2">
        <w:rPr>
          <w:rFonts w:ascii="Tahoma" w:hAnsi="Tahoma" w:cs="Tahoma"/>
          <w:iCs/>
          <w:sz w:val="22"/>
          <w:szCs w:val="22"/>
        </w:rPr>
        <w:t>(fl</w:t>
      </w:r>
      <w:r>
        <w:rPr>
          <w:rFonts w:ascii="Tahoma" w:hAnsi="Tahoma" w:cs="Tahoma"/>
          <w:iCs/>
          <w:sz w:val="22"/>
          <w:szCs w:val="22"/>
        </w:rPr>
        <w:t>s</w:t>
      </w:r>
      <w:r w:rsidRPr="00666BB2">
        <w:rPr>
          <w:rFonts w:ascii="Tahoma" w:hAnsi="Tahoma" w:cs="Tahoma"/>
          <w:iCs/>
          <w:sz w:val="22"/>
          <w:szCs w:val="22"/>
        </w:rPr>
        <w:t xml:space="preserve">. </w:t>
      </w:r>
      <w:r w:rsidR="00F64BBB">
        <w:rPr>
          <w:rFonts w:ascii="Tahoma" w:hAnsi="Tahoma" w:cs="Tahoma"/>
          <w:iCs/>
          <w:sz w:val="22"/>
          <w:szCs w:val="22"/>
        </w:rPr>
        <w:t>42 y s.s.</w:t>
      </w:r>
      <w:r w:rsidRPr="00666BB2">
        <w:rPr>
          <w:rFonts w:ascii="Tahoma" w:hAnsi="Tahoma" w:cs="Tahoma"/>
          <w:iCs/>
          <w:sz w:val="22"/>
          <w:szCs w:val="22"/>
        </w:rPr>
        <w:t xml:space="preserve">), </w:t>
      </w:r>
      <w:r>
        <w:rPr>
          <w:rFonts w:ascii="Tahoma" w:hAnsi="Tahoma" w:cs="Tahoma"/>
          <w:iCs/>
          <w:sz w:val="22"/>
          <w:szCs w:val="22"/>
        </w:rPr>
        <w:t xml:space="preserve">la </w:t>
      </w:r>
      <w:r w:rsidRPr="00666BB2">
        <w:rPr>
          <w:rFonts w:ascii="Tahoma" w:hAnsi="Tahoma" w:cs="Tahoma"/>
          <w:iCs/>
          <w:sz w:val="22"/>
          <w:szCs w:val="22"/>
        </w:rPr>
        <w:t xml:space="preserve"> demandante tenía cotizadas a la entrada en vigencia de la Ley </w:t>
      </w:r>
      <w:r w:rsidRPr="00666BB2">
        <w:rPr>
          <w:rFonts w:ascii="Tahoma" w:hAnsi="Tahoma" w:cs="Tahoma"/>
          <w:iCs/>
          <w:sz w:val="22"/>
          <w:szCs w:val="22"/>
        </w:rPr>
        <w:lastRenderedPageBreak/>
        <w:t xml:space="preserve">100 de 1993 un total de </w:t>
      </w:r>
      <w:r w:rsidR="00256BA1">
        <w:rPr>
          <w:rFonts w:ascii="Tahoma" w:hAnsi="Tahoma" w:cs="Tahoma"/>
          <w:iCs/>
          <w:sz w:val="22"/>
          <w:szCs w:val="22"/>
        </w:rPr>
        <w:t>363,42</w:t>
      </w:r>
      <w:r w:rsidRPr="00666BB2">
        <w:rPr>
          <w:rFonts w:ascii="Tahoma" w:hAnsi="Tahoma" w:cs="Tahoma"/>
          <w:iCs/>
          <w:sz w:val="22"/>
          <w:szCs w:val="22"/>
        </w:rPr>
        <w:t xml:space="preserve"> semanas, que equivalen a </w:t>
      </w:r>
      <w:r w:rsidR="00256BA1">
        <w:rPr>
          <w:rFonts w:ascii="Tahoma" w:hAnsi="Tahoma" w:cs="Tahoma"/>
          <w:iCs/>
          <w:sz w:val="22"/>
          <w:szCs w:val="22"/>
        </w:rPr>
        <w:t>7</w:t>
      </w:r>
      <w:r>
        <w:rPr>
          <w:rFonts w:ascii="Tahoma" w:hAnsi="Tahoma" w:cs="Tahoma"/>
          <w:iCs/>
          <w:sz w:val="22"/>
          <w:szCs w:val="22"/>
        </w:rPr>
        <w:t>,</w:t>
      </w:r>
      <w:r w:rsidR="00256BA1">
        <w:rPr>
          <w:rFonts w:ascii="Tahoma" w:hAnsi="Tahoma" w:cs="Tahoma"/>
          <w:iCs/>
          <w:sz w:val="22"/>
          <w:szCs w:val="22"/>
        </w:rPr>
        <w:t>1</w:t>
      </w:r>
      <w:r>
        <w:rPr>
          <w:rFonts w:ascii="Tahoma" w:hAnsi="Tahoma" w:cs="Tahoma"/>
          <w:iCs/>
          <w:sz w:val="22"/>
          <w:szCs w:val="22"/>
        </w:rPr>
        <w:t xml:space="preserve"> </w:t>
      </w:r>
      <w:r w:rsidRPr="00666BB2">
        <w:rPr>
          <w:rFonts w:ascii="Tahoma" w:hAnsi="Tahoma" w:cs="Tahoma"/>
          <w:iCs/>
          <w:sz w:val="22"/>
          <w:szCs w:val="22"/>
        </w:rPr>
        <w:t>años de servicio, incumpliendo así con el requisito anotado, es decir, que al 1° de abril de 1994 tuviera 15 o más años de servicios prestados o su e</w:t>
      </w:r>
      <w:r>
        <w:rPr>
          <w:rFonts w:ascii="Tahoma" w:hAnsi="Tahoma" w:cs="Tahoma"/>
          <w:iCs/>
          <w:sz w:val="22"/>
          <w:szCs w:val="22"/>
        </w:rPr>
        <w:t>quivalente en semanas cotizadas. Esta postura ha sido reiterada en distintas ocasiones por esta Corporación, en primer lugar, por cuanto ella se desprende del tenor del inciso 4º del artículo 36 de la ley 100, el cual excluyó a las personas que se habían beneficiado del régimen de transición exclusivamente por edad para que retornaran al régimen de prima media con las prerrogativas transicionales y, en segundo lugar, porque esa interpretación ha sido respaldada jurisprudencialmente por los órganos de cierre de las jurisdicciones ordinaria y constitucional; de manera que no se acepta la invitación que hace el abogado que plantea la censura para que se revise nuevamente el precedente que ha desarrollado el fondo del asunto, pues, itérese, él se funda en la disposición legal que sigue estando vigente en el ordenamiento jurídico.</w:t>
      </w:r>
    </w:p>
    <w:p w:rsidR="001D5192" w:rsidRPr="00666BB2" w:rsidRDefault="001D5192" w:rsidP="001D5192">
      <w:pPr>
        <w:spacing w:line="276" w:lineRule="auto"/>
        <w:ind w:right="3" w:firstLine="708"/>
        <w:jc w:val="both"/>
        <w:rPr>
          <w:rFonts w:ascii="Tahoma" w:hAnsi="Tahoma" w:cs="Tahoma"/>
          <w:iCs/>
          <w:sz w:val="22"/>
          <w:szCs w:val="22"/>
        </w:rPr>
      </w:pPr>
    </w:p>
    <w:p w:rsidR="001D5192" w:rsidRPr="00666BB2" w:rsidRDefault="001D5192" w:rsidP="001D519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resulta palmario que la</w:t>
      </w:r>
      <w:r w:rsidRPr="00666BB2">
        <w:rPr>
          <w:rFonts w:ascii="Tahoma" w:hAnsi="Tahoma" w:cs="Tahoma"/>
          <w:sz w:val="22"/>
          <w:szCs w:val="22"/>
        </w:rPr>
        <w:t xml:space="preserve"> demandante perdió los beneficios del régimen transicional y, por tanto, </w:t>
      </w:r>
      <w:r>
        <w:rPr>
          <w:rFonts w:ascii="Tahoma" w:hAnsi="Tahoma" w:cs="Tahoma"/>
          <w:sz w:val="22"/>
          <w:szCs w:val="22"/>
        </w:rPr>
        <w:t xml:space="preserve">la prestación reclamada </w:t>
      </w:r>
      <w:r w:rsidRPr="00666BB2">
        <w:rPr>
          <w:rFonts w:ascii="Tahoma" w:hAnsi="Tahoma" w:cs="Tahoma"/>
          <w:sz w:val="22"/>
          <w:szCs w:val="22"/>
        </w:rPr>
        <w:t>deb</w:t>
      </w:r>
      <w:r>
        <w:rPr>
          <w:rFonts w:ascii="Tahoma" w:hAnsi="Tahoma" w:cs="Tahoma"/>
          <w:sz w:val="22"/>
          <w:szCs w:val="22"/>
        </w:rPr>
        <w:t xml:space="preserve">ía </w:t>
      </w:r>
      <w:r w:rsidRPr="00666BB2">
        <w:rPr>
          <w:rFonts w:ascii="Tahoma" w:hAnsi="Tahoma" w:cs="Tahoma"/>
          <w:sz w:val="22"/>
          <w:szCs w:val="22"/>
        </w:rPr>
        <w:t>ser estudiada de conformidad con los requisitos de la Ley 100 de 1993, la cual, en su artículo 33</w:t>
      </w:r>
      <w:r>
        <w:rPr>
          <w:rFonts w:ascii="Tahoma" w:hAnsi="Tahoma" w:cs="Tahoma"/>
          <w:sz w:val="22"/>
          <w:szCs w:val="22"/>
        </w:rPr>
        <w:t>,</w:t>
      </w:r>
      <w:r w:rsidRPr="00666BB2">
        <w:rPr>
          <w:rFonts w:ascii="Tahoma" w:hAnsi="Tahoma" w:cs="Tahoma"/>
          <w:sz w:val="22"/>
          <w:szCs w:val="22"/>
        </w:rPr>
        <w:t xml:space="preserve"> exige </w:t>
      </w:r>
      <w:r>
        <w:rPr>
          <w:rFonts w:ascii="Tahoma" w:hAnsi="Tahoma" w:cs="Tahoma"/>
          <w:sz w:val="22"/>
          <w:szCs w:val="22"/>
        </w:rPr>
        <w:t>55</w:t>
      </w:r>
      <w:r w:rsidRPr="00666BB2">
        <w:rPr>
          <w:rFonts w:ascii="Tahoma" w:hAnsi="Tahoma" w:cs="Tahoma"/>
          <w:sz w:val="22"/>
          <w:szCs w:val="22"/>
        </w:rPr>
        <w:t xml:space="preserve"> años de edad y 1000 semanas de cotización en cualquier tiempo, incrementándose a 1050 en el 2005 y en 25 semanas a partir del 1º de enero de 2006 hasta llegar a las 1300 en el año 2015.</w:t>
      </w:r>
    </w:p>
    <w:p w:rsidR="001D5192" w:rsidRPr="00666BB2" w:rsidRDefault="001D5192" w:rsidP="001D5192">
      <w:pPr>
        <w:widowControl w:val="0"/>
        <w:autoSpaceDE w:val="0"/>
        <w:autoSpaceDN w:val="0"/>
        <w:adjustRightInd w:val="0"/>
        <w:spacing w:line="276" w:lineRule="auto"/>
        <w:ind w:firstLine="708"/>
        <w:jc w:val="both"/>
        <w:rPr>
          <w:rFonts w:ascii="Tahoma" w:hAnsi="Tahoma" w:cs="Tahoma"/>
          <w:sz w:val="22"/>
          <w:szCs w:val="22"/>
        </w:rPr>
      </w:pPr>
    </w:p>
    <w:p w:rsidR="001D5192" w:rsidRDefault="001D5192" w:rsidP="001D5192">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En cuanto al primer requisito </w:t>
      </w:r>
      <w:r>
        <w:rPr>
          <w:rFonts w:ascii="Tahoma" w:hAnsi="Tahoma" w:cs="Tahoma"/>
          <w:sz w:val="22"/>
          <w:szCs w:val="22"/>
        </w:rPr>
        <w:t>se</w:t>
      </w:r>
      <w:r w:rsidRPr="00666BB2">
        <w:rPr>
          <w:rFonts w:ascii="Tahoma" w:hAnsi="Tahoma" w:cs="Tahoma"/>
          <w:sz w:val="22"/>
          <w:szCs w:val="22"/>
        </w:rPr>
        <w:t xml:space="preserve"> </w:t>
      </w:r>
      <w:r>
        <w:rPr>
          <w:rFonts w:ascii="Tahoma" w:hAnsi="Tahoma" w:cs="Tahoma"/>
          <w:sz w:val="22"/>
          <w:szCs w:val="22"/>
        </w:rPr>
        <w:t xml:space="preserve">observa que el mismo se </w:t>
      </w:r>
      <w:r w:rsidRPr="00666BB2">
        <w:rPr>
          <w:rFonts w:ascii="Tahoma" w:hAnsi="Tahoma" w:cs="Tahoma"/>
          <w:sz w:val="22"/>
          <w:szCs w:val="22"/>
        </w:rPr>
        <w:t>cumple a cabalidad</w:t>
      </w:r>
      <w:r>
        <w:rPr>
          <w:rFonts w:ascii="Tahoma" w:hAnsi="Tahoma" w:cs="Tahoma"/>
          <w:sz w:val="22"/>
          <w:szCs w:val="22"/>
        </w:rPr>
        <w:t>,</w:t>
      </w:r>
      <w:r w:rsidRPr="00666BB2">
        <w:rPr>
          <w:rFonts w:ascii="Tahoma" w:hAnsi="Tahoma" w:cs="Tahoma"/>
          <w:sz w:val="22"/>
          <w:szCs w:val="22"/>
        </w:rPr>
        <w:t xml:space="preserve"> como quiera que </w:t>
      </w:r>
      <w:r>
        <w:rPr>
          <w:rFonts w:ascii="Tahoma" w:hAnsi="Tahoma" w:cs="Tahoma"/>
          <w:sz w:val="22"/>
          <w:szCs w:val="22"/>
        </w:rPr>
        <w:t xml:space="preserve">la señora </w:t>
      </w:r>
      <w:r w:rsidR="00256BA1">
        <w:rPr>
          <w:rFonts w:ascii="Tahoma" w:hAnsi="Tahoma" w:cs="Tahoma"/>
          <w:sz w:val="22"/>
          <w:szCs w:val="22"/>
        </w:rPr>
        <w:t xml:space="preserve">Granados Jiménez </w:t>
      </w:r>
      <w:r w:rsidRPr="00666BB2">
        <w:rPr>
          <w:rFonts w:ascii="Tahoma" w:hAnsi="Tahoma" w:cs="Tahoma"/>
          <w:sz w:val="22"/>
          <w:szCs w:val="22"/>
        </w:rPr>
        <w:t xml:space="preserve">cumplió </w:t>
      </w:r>
      <w:r>
        <w:rPr>
          <w:rFonts w:ascii="Tahoma" w:hAnsi="Tahoma" w:cs="Tahoma"/>
          <w:sz w:val="22"/>
          <w:szCs w:val="22"/>
        </w:rPr>
        <w:t>55</w:t>
      </w:r>
      <w:r w:rsidRPr="00666BB2">
        <w:rPr>
          <w:rFonts w:ascii="Tahoma" w:hAnsi="Tahoma" w:cs="Tahoma"/>
          <w:sz w:val="22"/>
          <w:szCs w:val="22"/>
        </w:rPr>
        <w:t xml:space="preserve"> años el 2</w:t>
      </w:r>
      <w:r>
        <w:rPr>
          <w:rFonts w:ascii="Tahoma" w:hAnsi="Tahoma" w:cs="Tahoma"/>
          <w:sz w:val="22"/>
          <w:szCs w:val="22"/>
        </w:rPr>
        <w:t>1</w:t>
      </w:r>
      <w:r w:rsidRPr="00666BB2">
        <w:rPr>
          <w:rFonts w:ascii="Tahoma" w:hAnsi="Tahoma" w:cs="Tahoma"/>
          <w:sz w:val="22"/>
          <w:szCs w:val="22"/>
        </w:rPr>
        <w:t xml:space="preserve"> de </w:t>
      </w:r>
      <w:r>
        <w:rPr>
          <w:rFonts w:ascii="Tahoma" w:hAnsi="Tahoma" w:cs="Tahoma"/>
          <w:sz w:val="22"/>
          <w:szCs w:val="22"/>
        </w:rPr>
        <w:t>agosto de 20</w:t>
      </w:r>
      <w:r w:rsidR="00256BA1">
        <w:rPr>
          <w:rFonts w:ascii="Tahoma" w:hAnsi="Tahoma" w:cs="Tahoma"/>
          <w:sz w:val="22"/>
          <w:szCs w:val="22"/>
        </w:rPr>
        <w:t>12</w:t>
      </w:r>
      <w:r w:rsidRPr="00666BB2">
        <w:rPr>
          <w:rFonts w:ascii="Tahoma" w:hAnsi="Tahoma" w:cs="Tahoma"/>
          <w:sz w:val="22"/>
          <w:szCs w:val="22"/>
        </w:rPr>
        <w:t xml:space="preserve">, </w:t>
      </w:r>
      <w:r>
        <w:rPr>
          <w:rFonts w:ascii="Tahoma" w:hAnsi="Tahoma" w:cs="Tahoma"/>
          <w:sz w:val="22"/>
          <w:szCs w:val="22"/>
        </w:rPr>
        <w:t>no obstante, de acuerdo a</w:t>
      </w:r>
      <w:r w:rsidR="00256BA1">
        <w:rPr>
          <w:rFonts w:ascii="Tahoma" w:hAnsi="Tahoma" w:cs="Tahoma"/>
          <w:sz w:val="22"/>
          <w:szCs w:val="22"/>
        </w:rPr>
        <w:t>l documento</w:t>
      </w:r>
      <w:r>
        <w:rPr>
          <w:rFonts w:ascii="Tahoma" w:hAnsi="Tahoma" w:cs="Tahoma"/>
          <w:sz w:val="22"/>
          <w:szCs w:val="22"/>
        </w:rPr>
        <w:t xml:space="preserve"> a que se hizo referencia previamente, al 3</w:t>
      </w:r>
      <w:r w:rsidR="00256BA1">
        <w:rPr>
          <w:rFonts w:ascii="Tahoma" w:hAnsi="Tahoma" w:cs="Tahoma"/>
          <w:sz w:val="22"/>
          <w:szCs w:val="22"/>
        </w:rPr>
        <w:t>1 de mayo de 2016</w:t>
      </w:r>
      <w:r>
        <w:rPr>
          <w:rFonts w:ascii="Tahoma" w:hAnsi="Tahoma" w:cs="Tahoma"/>
          <w:sz w:val="22"/>
          <w:szCs w:val="22"/>
        </w:rPr>
        <w:t>, fecha de la última cotización, ella contaba con un total de 9</w:t>
      </w:r>
      <w:r w:rsidR="00256BA1">
        <w:rPr>
          <w:rFonts w:ascii="Tahoma" w:hAnsi="Tahoma" w:cs="Tahoma"/>
          <w:sz w:val="22"/>
          <w:szCs w:val="22"/>
        </w:rPr>
        <w:t>52</w:t>
      </w:r>
      <w:r>
        <w:rPr>
          <w:rFonts w:ascii="Tahoma" w:hAnsi="Tahoma" w:cs="Tahoma"/>
          <w:sz w:val="22"/>
          <w:szCs w:val="22"/>
        </w:rPr>
        <w:t>,8</w:t>
      </w:r>
      <w:r w:rsidR="00256BA1">
        <w:rPr>
          <w:rFonts w:ascii="Tahoma" w:hAnsi="Tahoma" w:cs="Tahoma"/>
          <w:sz w:val="22"/>
          <w:szCs w:val="22"/>
        </w:rPr>
        <w:t>1 semanas</w:t>
      </w:r>
      <w:r>
        <w:rPr>
          <w:rFonts w:ascii="Tahoma" w:hAnsi="Tahoma" w:cs="Tahoma"/>
          <w:sz w:val="22"/>
          <w:szCs w:val="22"/>
        </w:rPr>
        <w:t xml:space="preserve"> cotizadas, las cuales son insuficientes para dar vida a la prestación.</w:t>
      </w:r>
    </w:p>
    <w:p w:rsidR="001D5192" w:rsidRDefault="001D5192" w:rsidP="001D5192">
      <w:pPr>
        <w:widowControl w:val="0"/>
        <w:autoSpaceDE w:val="0"/>
        <w:autoSpaceDN w:val="0"/>
        <w:adjustRightInd w:val="0"/>
        <w:spacing w:line="276" w:lineRule="auto"/>
        <w:ind w:firstLine="708"/>
        <w:jc w:val="both"/>
        <w:rPr>
          <w:rFonts w:ascii="Tahoma" w:hAnsi="Tahoma" w:cs="Tahoma"/>
          <w:sz w:val="22"/>
          <w:szCs w:val="22"/>
        </w:rPr>
      </w:pPr>
    </w:p>
    <w:p w:rsidR="001D5192" w:rsidRDefault="001D5192" w:rsidP="001D519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666BB2">
        <w:rPr>
          <w:rFonts w:ascii="Tahoma" w:hAnsi="Tahoma" w:cs="Tahoma"/>
          <w:sz w:val="22"/>
          <w:szCs w:val="22"/>
        </w:rPr>
        <w:t xml:space="preserve">En consecuencia, como quiera que </w:t>
      </w:r>
      <w:r>
        <w:rPr>
          <w:rFonts w:ascii="Tahoma" w:hAnsi="Tahoma" w:cs="Tahoma"/>
          <w:sz w:val="22"/>
          <w:szCs w:val="22"/>
        </w:rPr>
        <w:t>la</w:t>
      </w:r>
      <w:r w:rsidRPr="00666BB2">
        <w:rPr>
          <w:rFonts w:ascii="Tahoma" w:hAnsi="Tahoma" w:cs="Tahoma"/>
          <w:sz w:val="22"/>
          <w:szCs w:val="22"/>
        </w:rPr>
        <w:t xml:space="preserve"> </w:t>
      </w:r>
      <w:r>
        <w:rPr>
          <w:rFonts w:ascii="Tahoma" w:hAnsi="Tahoma" w:cs="Tahoma"/>
          <w:sz w:val="22"/>
          <w:szCs w:val="22"/>
        </w:rPr>
        <w:t xml:space="preserve">promotora del litigio no conservó </w:t>
      </w:r>
      <w:r w:rsidRPr="00666BB2">
        <w:rPr>
          <w:rFonts w:ascii="Tahoma" w:hAnsi="Tahoma" w:cs="Tahoma"/>
          <w:sz w:val="22"/>
          <w:szCs w:val="22"/>
        </w:rPr>
        <w:t>el régimen de transición</w:t>
      </w:r>
      <w:r>
        <w:rPr>
          <w:rFonts w:ascii="Tahoma" w:hAnsi="Tahoma" w:cs="Tahoma"/>
          <w:sz w:val="22"/>
          <w:szCs w:val="22"/>
        </w:rPr>
        <w:t xml:space="preserve"> del que fue beneficiaria</w:t>
      </w:r>
      <w:r w:rsidRPr="00666BB2">
        <w:rPr>
          <w:rFonts w:ascii="Tahoma" w:hAnsi="Tahoma" w:cs="Tahoma"/>
          <w:sz w:val="22"/>
          <w:szCs w:val="22"/>
        </w:rPr>
        <w:t>, n</w:t>
      </w:r>
      <w:r>
        <w:rPr>
          <w:rFonts w:ascii="Tahoma" w:hAnsi="Tahoma" w:cs="Tahoma"/>
          <w:sz w:val="22"/>
          <w:szCs w:val="22"/>
        </w:rPr>
        <w:t>i</w:t>
      </w:r>
      <w:r w:rsidRPr="00666BB2">
        <w:rPr>
          <w:rFonts w:ascii="Tahoma" w:hAnsi="Tahoma" w:cs="Tahoma"/>
          <w:sz w:val="22"/>
          <w:szCs w:val="22"/>
        </w:rPr>
        <w:t xml:space="preserve"> cumple con los requisitos del artículo 33 de la Ley 100 para acceder a la pensión de vejez, deb</w:t>
      </w:r>
      <w:r>
        <w:rPr>
          <w:rFonts w:ascii="Tahoma" w:hAnsi="Tahoma" w:cs="Tahoma"/>
          <w:sz w:val="22"/>
          <w:szCs w:val="22"/>
        </w:rPr>
        <w:t xml:space="preserve">ían </w:t>
      </w:r>
      <w:r w:rsidRPr="00666BB2">
        <w:rPr>
          <w:rFonts w:ascii="Tahoma" w:hAnsi="Tahoma" w:cs="Tahoma"/>
          <w:sz w:val="22"/>
          <w:szCs w:val="22"/>
        </w:rPr>
        <w:t xml:space="preserve">despacharse desfavorablemente </w:t>
      </w:r>
      <w:r>
        <w:rPr>
          <w:rFonts w:ascii="Tahoma" w:hAnsi="Tahoma" w:cs="Tahoma"/>
          <w:sz w:val="22"/>
          <w:szCs w:val="22"/>
        </w:rPr>
        <w:t>las</w:t>
      </w:r>
      <w:r w:rsidRPr="00666BB2">
        <w:rPr>
          <w:rFonts w:ascii="Tahoma" w:hAnsi="Tahoma" w:cs="Tahoma"/>
          <w:sz w:val="22"/>
          <w:szCs w:val="22"/>
        </w:rPr>
        <w:t xml:space="preserve"> pretensiones,</w:t>
      </w:r>
      <w:r>
        <w:rPr>
          <w:rFonts w:ascii="Tahoma" w:hAnsi="Tahoma" w:cs="Tahoma"/>
          <w:sz w:val="22"/>
          <w:szCs w:val="22"/>
        </w:rPr>
        <w:t xml:space="preserve"> siendo del caso </w:t>
      </w:r>
      <w:r w:rsidRPr="00666BB2">
        <w:rPr>
          <w:rFonts w:ascii="Tahoma" w:hAnsi="Tahoma" w:cs="Tahoma"/>
          <w:sz w:val="22"/>
          <w:szCs w:val="22"/>
        </w:rPr>
        <w:t xml:space="preserve"> con</w:t>
      </w:r>
      <w:r>
        <w:rPr>
          <w:rFonts w:ascii="Tahoma" w:hAnsi="Tahoma" w:cs="Tahoma"/>
          <w:sz w:val="22"/>
          <w:szCs w:val="22"/>
        </w:rPr>
        <w:t>firmar la sentencia objeto de censura</w:t>
      </w:r>
    </w:p>
    <w:p w:rsidR="001D5192" w:rsidRDefault="001D5192" w:rsidP="001D5192">
      <w:pPr>
        <w:widowControl w:val="0"/>
        <w:autoSpaceDE w:val="0"/>
        <w:autoSpaceDN w:val="0"/>
        <w:adjustRightInd w:val="0"/>
        <w:spacing w:line="276" w:lineRule="auto"/>
        <w:ind w:firstLine="708"/>
        <w:jc w:val="both"/>
        <w:rPr>
          <w:rFonts w:ascii="Tahoma" w:hAnsi="Tahoma" w:cs="Tahoma"/>
          <w:sz w:val="22"/>
          <w:szCs w:val="22"/>
        </w:rPr>
      </w:pPr>
    </w:p>
    <w:p w:rsidR="001D5192" w:rsidRPr="00666BB2" w:rsidRDefault="00D07307" w:rsidP="001D5192">
      <w:pPr>
        <w:pStyle w:val="Prrafodelista"/>
        <w:spacing w:line="276" w:lineRule="auto"/>
        <w:ind w:left="0" w:firstLine="708"/>
        <w:jc w:val="both"/>
        <w:rPr>
          <w:rFonts w:ascii="Tahoma" w:hAnsi="Tahoma" w:cs="Tahoma"/>
          <w:sz w:val="22"/>
          <w:szCs w:val="22"/>
        </w:rPr>
      </w:pPr>
      <w:r>
        <w:rPr>
          <w:rFonts w:ascii="Tahoma" w:hAnsi="Tahoma" w:cs="Tahoma"/>
          <w:sz w:val="22"/>
          <w:szCs w:val="22"/>
        </w:rPr>
        <w:t>Sin costas en este grado jurisdiccional.</w:t>
      </w:r>
    </w:p>
    <w:p w:rsidR="001D5192" w:rsidRDefault="001D5192" w:rsidP="001D5192">
      <w:pPr>
        <w:pStyle w:val="Textoindependiente"/>
        <w:spacing w:after="0"/>
        <w:ind w:right="51"/>
        <w:jc w:val="both"/>
        <w:rPr>
          <w:rFonts w:ascii="Tahoma" w:hAnsi="Tahoma" w:cs="Tahoma"/>
          <w:sz w:val="22"/>
          <w:szCs w:val="22"/>
        </w:rPr>
      </w:pPr>
    </w:p>
    <w:p w:rsidR="001D5192" w:rsidRDefault="001D5192" w:rsidP="001D5192">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1D5192" w:rsidRDefault="001D5192" w:rsidP="001D5192">
      <w:pPr>
        <w:pStyle w:val="Sangradetextonormal"/>
        <w:spacing w:line="276" w:lineRule="auto"/>
        <w:rPr>
          <w:sz w:val="22"/>
          <w:szCs w:val="22"/>
        </w:rPr>
      </w:pPr>
    </w:p>
    <w:p w:rsidR="001D5192" w:rsidRPr="005E04A9" w:rsidRDefault="001D5192" w:rsidP="001D5192">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1D5192" w:rsidRPr="005E04A9" w:rsidRDefault="001D5192" w:rsidP="001D5192">
      <w:pPr>
        <w:pStyle w:val="Prrafodelista"/>
        <w:widowControl w:val="0"/>
        <w:autoSpaceDE w:val="0"/>
        <w:autoSpaceDN w:val="0"/>
        <w:adjustRightInd w:val="0"/>
        <w:ind w:left="1080"/>
        <w:jc w:val="both"/>
        <w:rPr>
          <w:rFonts w:ascii="Tahoma" w:hAnsi="Tahoma" w:cs="Tahoma"/>
          <w:sz w:val="22"/>
          <w:szCs w:val="22"/>
        </w:rPr>
      </w:pPr>
    </w:p>
    <w:p w:rsidR="001D5192" w:rsidRPr="00DF2B71" w:rsidRDefault="001D5192" w:rsidP="001D5192">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256BA1" w:rsidRPr="00EF4380">
        <w:rPr>
          <w:rFonts w:ascii="Tahoma" w:hAnsi="Tahoma" w:cs="Tahoma"/>
          <w:b/>
          <w:sz w:val="22"/>
          <w:szCs w:val="22"/>
        </w:rPr>
        <w:t>CONF</w:t>
      </w:r>
      <w:r w:rsidR="00256BA1">
        <w:rPr>
          <w:rFonts w:ascii="Tahoma" w:hAnsi="Tahoma" w:cs="Tahoma"/>
          <w:b/>
          <w:sz w:val="22"/>
          <w:szCs w:val="22"/>
        </w:rPr>
        <w:t>IRMAR</w:t>
      </w:r>
      <w:r w:rsidR="00256BA1" w:rsidRPr="00B70BF5">
        <w:rPr>
          <w:rFonts w:ascii="Tahoma" w:hAnsi="Tahoma" w:cs="Tahoma"/>
          <w:sz w:val="22"/>
          <w:szCs w:val="22"/>
        </w:rPr>
        <w:t xml:space="preserve"> la sentencia proferida por el J</w:t>
      </w:r>
      <w:r w:rsidR="00256BA1" w:rsidRPr="005E04A9">
        <w:rPr>
          <w:rFonts w:ascii="Tahoma" w:hAnsi="Tahoma" w:cs="Tahoma"/>
          <w:sz w:val="22"/>
          <w:szCs w:val="22"/>
        </w:rPr>
        <w:t xml:space="preserve">uzgado </w:t>
      </w:r>
      <w:r w:rsidR="00256BA1">
        <w:rPr>
          <w:rFonts w:ascii="Tahoma" w:hAnsi="Tahoma" w:cs="Tahoma"/>
          <w:sz w:val="22"/>
          <w:szCs w:val="22"/>
        </w:rPr>
        <w:t xml:space="preserve">Quinto </w:t>
      </w:r>
      <w:r w:rsidR="00256BA1" w:rsidRPr="005E04A9">
        <w:rPr>
          <w:rFonts w:ascii="Tahoma" w:hAnsi="Tahoma" w:cs="Tahoma"/>
          <w:sz w:val="22"/>
          <w:szCs w:val="22"/>
        </w:rPr>
        <w:t xml:space="preserve">Laboral del Circuito de Pereira, dentro del proceso iniciado por </w:t>
      </w:r>
      <w:r w:rsidR="00256BA1">
        <w:rPr>
          <w:rFonts w:ascii="Tahoma" w:hAnsi="Tahoma" w:cs="Tahoma"/>
          <w:b/>
          <w:sz w:val="22"/>
          <w:szCs w:val="22"/>
        </w:rPr>
        <w:t xml:space="preserve">Sonia del Carmen Granados Jiménez </w:t>
      </w:r>
      <w:r w:rsidR="00256BA1" w:rsidRPr="005E04A9">
        <w:rPr>
          <w:rFonts w:ascii="Tahoma" w:hAnsi="Tahoma" w:cs="Tahoma"/>
          <w:sz w:val="22"/>
          <w:szCs w:val="22"/>
          <w:lang w:val="es-ES_tradnl"/>
        </w:rPr>
        <w:t xml:space="preserve">en contra de la </w:t>
      </w:r>
      <w:r w:rsidR="00256BA1" w:rsidRPr="005E04A9">
        <w:rPr>
          <w:rFonts w:ascii="Tahoma" w:hAnsi="Tahoma" w:cs="Tahoma"/>
          <w:b/>
          <w:sz w:val="22"/>
          <w:szCs w:val="22"/>
          <w:lang w:val="es-ES_tradnl"/>
        </w:rPr>
        <w:t>Administradora Colombiana de Pensiones – Colpensiones</w:t>
      </w:r>
      <w:r w:rsidR="00256BA1">
        <w:rPr>
          <w:rFonts w:ascii="Tahoma" w:hAnsi="Tahoma" w:cs="Tahoma"/>
          <w:b/>
          <w:sz w:val="22"/>
          <w:szCs w:val="22"/>
          <w:lang w:val="es-ES_tradnl"/>
        </w:rPr>
        <w:t>.</w:t>
      </w:r>
    </w:p>
    <w:p w:rsidR="001D5192" w:rsidRPr="005E04A9" w:rsidRDefault="001D5192" w:rsidP="001D5192">
      <w:pPr>
        <w:pStyle w:val="Prrafodelista"/>
        <w:ind w:left="0" w:firstLine="709"/>
        <w:jc w:val="both"/>
        <w:rPr>
          <w:rFonts w:ascii="Tahoma" w:hAnsi="Tahoma" w:cs="Tahoma"/>
          <w:sz w:val="22"/>
          <w:szCs w:val="22"/>
        </w:rPr>
      </w:pPr>
    </w:p>
    <w:p w:rsidR="001D5192" w:rsidRDefault="001D5192" w:rsidP="001D5192">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D07307">
        <w:rPr>
          <w:rFonts w:ascii="Tahoma" w:hAnsi="Tahoma" w:cs="Tahoma"/>
          <w:sz w:val="22"/>
          <w:szCs w:val="22"/>
        </w:rPr>
        <w:t>Sin costas en este grado jurisdiccional.</w:t>
      </w:r>
    </w:p>
    <w:p w:rsidR="001D5192" w:rsidRPr="005E04A9" w:rsidRDefault="001D5192" w:rsidP="001D5192">
      <w:pPr>
        <w:pStyle w:val="Prrafodelista"/>
        <w:spacing w:line="276" w:lineRule="auto"/>
        <w:ind w:left="0" w:firstLine="709"/>
        <w:jc w:val="both"/>
        <w:rPr>
          <w:rFonts w:ascii="Tahoma" w:hAnsi="Tahoma" w:cs="Tahoma"/>
          <w:sz w:val="22"/>
          <w:szCs w:val="22"/>
        </w:rPr>
      </w:pPr>
    </w:p>
    <w:p w:rsidR="001D5192" w:rsidRPr="005E04A9" w:rsidRDefault="001D5192" w:rsidP="001D5192">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1D5192" w:rsidRPr="005E04A9" w:rsidRDefault="001D5192" w:rsidP="001D5192">
      <w:pPr>
        <w:pStyle w:val="Prrafodelista"/>
        <w:widowControl w:val="0"/>
        <w:autoSpaceDE w:val="0"/>
        <w:autoSpaceDN w:val="0"/>
        <w:adjustRightInd w:val="0"/>
        <w:ind w:left="0" w:firstLine="709"/>
        <w:jc w:val="both"/>
        <w:rPr>
          <w:rFonts w:ascii="Tahoma" w:hAnsi="Tahoma" w:cs="Tahoma"/>
          <w:b/>
          <w:bCs/>
          <w:sz w:val="22"/>
          <w:szCs w:val="22"/>
        </w:rPr>
      </w:pPr>
    </w:p>
    <w:p w:rsidR="001D5192" w:rsidRDefault="001D5192" w:rsidP="001D5192">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D07307" w:rsidRPr="005E04A9" w:rsidRDefault="00D07307" w:rsidP="001D5192">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1D5192" w:rsidRPr="007834F9" w:rsidRDefault="001D5192" w:rsidP="001D5192">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1D5192" w:rsidRDefault="001D5192" w:rsidP="001D5192">
      <w:pPr>
        <w:rPr>
          <w:rFonts w:ascii="Tahoma" w:hAnsi="Tahoma" w:cs="Tahoma"/>
          <w:sz w:val="22"/>
          <w:szCs w:val="22"/>
        </w:rPr>
      </w:pPr>
    </w:p>
    <w:p w:rsidR="001D5192" w:rsidRDefault="001D5192" w:rsidP="001D5192">
      <w:pPr>
        <w:rPr>
          <w:rFonts w:ascii="Tahoma" w:hAnsi="Tahoma" w:cs="Tahoma"/>
          <w:sz w:val="22"/>
          <w:szCs w:val="22"/>
        </w:rPr>
      </w:pPr>
    </w:p>
    <w:p w:rsidR="001D5192" w:rsidRDefault="001D5192" w:rsidP="001D5192">
      <w:pPr>
        <w:rPr>
          <w:rFonts w:ascii="Tahoma" w:hAnsi="Tahoma" w:cs="Tahoma"/>
          <w:sz w:val="22"/>
          <w:szCs w:val="22"/>
        </w:rPr>
      </w:pPr>
    </w:p>
    <w:p w:rsidR="001D5192" w:rsidRDefault="001D5192" w:rsidP="001D5192">
      <w:pPr>
        <w:rPr>
          <w:rFonts w:ascii="Tahoma" w:hAnsi="Tahoma" w:cs="Tahoma"/>
          <w:sz w:val="22"/>
          <w:szCs w:val="22"/>
        </w:rPr>
      </w:pPr>
    </w:p>
    <w:p w:rsidR="001D5192" w:rsidRDefault="001D5192" w:rsidP="001D5192">
      <w:pPr>
        <w:rPr>
          <w:rFonts w:ascii="Tahoma" w:hAnsi="Tahoma" w:cs="Tahoma"/>
          <w:sz w:val="22"/>
          <w:szCs w:val="22"/>
        </w:rPr>
      </w:pPr>
    </w:p>
    <w:p w:rsidR="001D5192" w:rsidRPr="007834F9" w:rsidRDefault="001D5192" w:rsidP="001D5192">
      <w:pPr>
        <w:pStyle w:val="Ttulo3"/>
        <w:spacing w:before="0" w:after="0"/>
        <w:jc w:val="center"/>
        <w:rPr>
          <w:rFonts w:ascii="Tahoma" w:hAnsi="Tahoma" w:cs="Tahoma"/>
          <w:bCs w:val="0"/>
          <w:sz w:val="22"/>
          <w:szCs w:val="22"/>
        </w:rPr>
      </w:pPr>
      <w:r w:rsidRPr="007834F9">
        <w:rPr>
          <w:rFonts w:ascii="Tahoma" w:hAnsi="Tahoma" w:cs="Tahoma"/>
          <w:bCs w:val="0"/>
          <w:sz w:val="22"/>
          <w:szCs w:val="22"/>
        </w:rPr>
        <w:lastRenderedPageBreak/>
        <w:t>ANA LUCÍA CAICEDO CALDERÓN</w:t>
      </w:r>
    </w:p>
    <w:p w:rsidR="001D5192" w:rsidRDefault="001D5192" w:rsidP="001D5192">
      <w:pPr>
        <w:rPr>
          <w:rFonts w:ascii="Tahoma" w:hAnsi="Tahoma" w:cs="Tahoma"/>
          <w:b/>
          <w:sz w:val="22"/>
          <w:szCs w:val="22"/>
        </w:rPr>
      </w:pPr>
    </w:p>
    <w:p w:rsidR="001D5192" w:rsidRDefault="001D5192" w:rsidP="001D5192">
      <w:pPr>
        <w:rPr>
          <w:rFonts w:ascii="Tahoma" w:hAnsi="Tahoma" w:cs="Tahoma"/>
          <w:b/>
          <w:sz w:val="22"/>
          <w:szCs w:val="22"/>
        </w:rPr>
      </w:pPr>
    </w:p>
    <w:p w:rsidR="001D5192" w:rsidRDefault="001D5192" w:rsidP="001D5192">
      <w:pPr>
        <w:rPr>
          <w:rFonts w:ascii="Tahoma" w:hAnsi="Tahoma" w:cs="Tahoma"/>
          <w:b/>
          <w:sz w:val="22"/>
          <w:szCs w:val="22"/>
        </w:rPr>
      </w:pPr>
    </w:p>
    <w:p w:rsidR="001D5192" w:rsidRDefault="001D5192" w:rsidP="001D5192">
      <w:pPr>
        <w:rPr>
          <w:rFonts w:ascii="Tahoma" w:hAnsi="Tahoma" w:cs="Tahoma"/>
          <w:b/>
          <w:sz w:val="22"/>
          <w:szCs w:val="22"/>
        </w:rPr>
      </w:pPr>
    </w:p>
    <w:p w:rsidR="001D5192" w:rsidRPr="007834F9" w:rsidRDefault="001D5192" w:rsidP="001D5192">
      <w:pPr>
        <w:rPr>
          <w:rFonts w:ascii="Tahoma" w:hAnsi="Tahoma" w:cs="Tahoma"/>
          <w:b/>
          <w:sz w:val="22"/>
          <w:szCs w:val="22"/>
        </w:rPr>
      </w:pPr>
    </w:p>
    <w:p w:rsidR="001D5192" w:rsidRPr="007834F9" w:rsidRDefault="001D5192" w:rsidP="001D5192">
      <w:pPr>
        <w:rPr>
          <w:rFonts w:ascii="Tahoma" w:hAnsi="Tahoma" w:cs="Tahoma"/>
          <w:b/>
          <w:sz w:val="22"/>
          <w:szCs w:val="22"/>
        </w:rPr>
      </w:pPr>
    </w:p>
    <w:p w:rsidR="001D5192" w:rsidRPr="007834F9" w:rsidRDefault="001D5192" w:rsidP="001D5192">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1D5192" w:rsidRDefault="001D5192" w:rsidP="001D519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B0EE8" w:rsidRPr="006102BF" w:rsidRDefault="006B0EE8" w:rsidP="00B34ACF">
      <w:pPr>
        <w:ind w:firstLine="708"/>
        <w:jc w:val="both"/>
        <w:rPr>
          <w:rFonts w:ascii="Tahoma" w:hAnsi="Tahoma" w:cs="Tahoma"/>
          <w:sz w:val="22"/>
          <w:szCs w:val="22"/>
        </w:rPr>
      </w:pPr>
    </w:p>
    <w:p w:rsidR="008E5CE2" w:rsidRDefault="008E5CE2" w:rsidP="00B34ACF">
      <w:pPr>
        <w:widowControl w:val="0"/>
        <w:autoSpaceDE w:val="0"/>
        <w:autoSpaceDN w:val="0"/>
        <w:adjustRightInd w:val="0"/>
        <w:spacing w:line="276" w:lineRule="auto"/>
        <w:jc w:val="center"/>
        <w:rPr>
          <w:rFonts w:ascii="Tahoma" w:hAnsi="Tahoma" w:cs="Tahoma"/>
          <w:sz w:val="22"/>
          <w:szCs w:val="22"/>
        </w:rPr>
      </w:pPr>
    </w:p>
    <w:sectPr w:rsidR="008E5CE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AB" w:rsidRDefault="00EE08AB">
      <w:r>
        <w:separator/>
      </w:r>
    </w:p>
  </w:endnote>
  <w:endnote w:type="continuationSeparator" w:id="0">
    <w:p w:rsidR="00EE08AB" w:rsidRDefault="00E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A3" w:rsidRPr="0002458E" w:rsidRDefault="00187DA3">
    <w:pPr>
      <w:pStyle w:val="Piedepgina"/>
      <w:jc w:val="right"/>
    </w:pPr>
    <w:r w:rsidRPr="0002458E">
      <w:fldChar w:fldCharType="begin"/>
    </w:r>
    <w:r w:rsidRPr="0002458E">
      <w:instrText>PAGE   \* MERGEFORMAT</w:instrText>
    </w:r>
    <w:r w:rsidRPr="0002458E">
      <w:fldChar w:fldCharType="separate"/>
    </w:r>
    <w:r w:rsidR="0015019A">
      <w:rPr>
        <w:noProof/>
      </w:rPr>
      <w:t>3</w:t>
    </w:r>
    <w:r w:rsidRPr="0002458E">
      <w:fldChar w:fldCharType="end"/>
    </w:r>
  </w:p>
  <w:p w:rsidR="00187DA3" w:rsidRDefault="00187D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A3" w:rsidRDefault="00187DA3">
    <w:pPr>
      <w:pStyle w:val="Piedepgina"/>
      <w:jc w:val="right"/>
    </w:pPr>
    <w:r>
      <w:fldChar w:fldCharType="begin"/>
    </w:r>
    <w:r>
      <w:instrText>PAGE   \* MERGEFORMAT</w:instrText>
    </w:r>
    <w:r>
      <w:fldChar w:fldCharType="separate"/>
    </w:r>
    <w:r w:rsidR="0015019A">
      <w:rPr>
        <w:noProof/>
      </w:rPr>
      <w:t>1</w:t>
    </w:r>
    <w:r>
      <w:fldChar w:fldCharType="end"/>
    </w:r>
  </w:p>
  <w:p w:rsidR="00187DA3" w:rsidRDefault="00187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AB" w:rsidRDefault="00EE08AB">
      <w:r>
        <w:separator/>
      </w:r>
    </w:p>
  </w:footnote>
  <w:footnote w:type="continuationSeparator" w:id="0">
    <w:p w:rsidR="00EE08AB" w:rsidRDefault="00EE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A3" w:rsidRDefault="00187DA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DA3" w:rsidRDefault="00187D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A3" w:rsidRDefault="00187DA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66001-31-05-005-2016-00543</w:t>
    </w:r>
    <w:r w:rsidRPr="00C1698B">
      <w:rPr>
        <w:rFonts w:ascii="Times New Roman" w:hAnsi="Times New Roman" w:cs="Times New Roman"/>
        <w:b w:val="0"/>
        <w:sz w:val="16"/>
        <w:szCs w:val="16"/>
      </w:rPr>
      <w:t>-01</w:t>
    </w:r>
  </w:p>
  <w:p w:rsidR="00187DA3" w:rsidRDefault="00187DA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Sonia del Carmen Granados Jiménez </w:t>
    </w:r>
  </w:p>
  <w:p w:rsidR="00187DA3" w:rsidRPr="00C1698B" w:rsidRDefault="00187DA3"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Colpensiones</w:t>
    </w:r>
  </w:p>
  <w:p w:rsidR="00187DA3" w:rsidRDefault="00187DA3"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33D"/>
    <w:rsid w:val="000228BF"/>
    <w:rsid w:val="00022A5C"/>
    <w:rsid w:val="0002387D"/>
    <w:rsid w:val="0002448C"/>
    <w:rsid w:val="0002458E"/>
    <w:rsid w:val="00025895"/>
    <w:rsid w:val="00026905"/>
    <w:rsid w:val="000269CA"/>
    <w:rsid w:val="000271CA"/>
    <w:rsid w:val="000277BB"/>
    <w:rsid w:val="00027E37"/>
    <w:rsid w:val="0003475E"/>
    <w:rsid w:val="000355F6"/>
    <w:rsid w:val="00035929"/>
    <w:rsid w:val="00035BF4"/>
    <w:rsid w:val="00035D3A"/>
    <w:rsid w:val="000360E7"/>
    <w:rsid w:val="00036C06"/>
    <w:rsid w:val="00036EDF"/>
    <w:rsid w:val="00037530"/>
    <w:rsid w:val="00037AF3"/>
    <w:rsid w:val="00037FB7"/>
    <w:rsid w:val="000400DC"/>
    <w:rsid w:val="00041158"/>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40C"/>
    <w:rsid w:val="000516FA"/>
    <w:rsid w:val="0005299F"/>
    <w:rsid w:val="00053767"/>
    <w:rsid w:val="000539D9"/>
    <w:rsid w:val="00053BBC"/>
    <w:rsid w:val="00054180"/>
    <w:rsid w:val="00056F1F"/>
    <w:rsid w:val="00057644"/>
    <w:rsid w:val="00057E02"/>
    <w:rsid w:val="00060CFA"/>
    <w:rsid w:val="0006298A"/>
    <w:rsid w:val="000634C3"/>
    <w:rsid w:val="00063FBC"/>
    <w:rsid w:val="00064C80"/>
    <w:rsid w:val="00065677"/>
    <w:rsid w:val="00065765"/>
    <w:rsid w:val="00065E53"/>
    <w:rsid w:val="00066665"/>
    <w:rsid w:val="00067227"/>
    <w:rsid w:val="0007089E"/>
    <w:rsid w:val="00071C2C"/>
    <w:rsid w:val="00071FE7"/>
    <w:rsid w:val="00073209"/>
    <w:rsid w:val="00073CDD"/>
    <w:rsid w:val="00074152"/>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69F9"/>
    <w:rsid w:val="000B7C76"/>
    <w:rsid w:val="000B7F7C"/>
    <w:rsid w:val="000C0CA5"/>
    <w:rsid w:val="000C1504"/>
    <w:rsid w:val="000C1551"/>
    <w:rsid w:val="000C1808"/>
    <w:rsid w:val="000C2226"/>
    <w:rsid w:val="000C2C37"/>
    <w:rsid w:val="000C49FA"/>
    <w:rsid w:val="000C4CB0"/>
    <w:rsid w:val="000C5830"/>
    <w:rsid w:val="000C5F95"/>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3E81"/>
    <w:rsid w:val="000E46A6"/>
    <w:rsid w:val="000E4A05"/>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55"/>
    <w:rsid w:val="000F7199"/>
    <w:rsid w:val="000F719F"/>
    <w:rsid w:val="001001C8"/>
    <w:rsid w:val="00100D4D"/>
    <w:rsid w:val="001015B5"/>
    <w:rsid w:val="00102482"/>
    <w:rsid w:val="00102835"/>
    <w:rsid w:val="001045F3"/>
    <w:rsid w:val="00104A14"/>
    <w:rsid w:val="0010539E"/>
    <w:rsid w:val="00106650"/>
    <w:rsid w:val="001070DD"/>
    <w:rsid w:val="00107553"/>
    <w:rsid w:val="00107712"/>
    <w:rsid w:val="0010779E"/>
    <w:rsid w:val="00107AB5"/>
    <w:rsid w:val="001102C3"/>
    <w:rsid w:val="00110367"/>
    <w:rsid w:val="001103AC"/>
    <w:rsid w:val="00111B38"/>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46D"/>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19A"/>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4AE"/>
    <w:rsid w:val="00184CF8"/>
    <w:rsid w:val="00185349"/>
    <w:rsid w:val="001867EA"/>
    <w:rsid w:val="00186AF7"/>
    <w:rsid w:val="00186CAE"/>
    <w:rsid w:val="00186CDF"/>
    <w:rsid w:val="00187DA3"/>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974"/>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2C"/>
    <w:rsid w:val="001A74B7"/>
    <w:rsid w:val="001A762A"/>
    <w:rsid w:val="001A7850"/>
    <w:rsid w:val="001A7FD7"/>
    <w:rsid w:val="001B03FF"/>
    <w:rsid w:val="001B07DE"/>
    <w:rsid w:val="001B0A01"/>
    <w:rsid w:val="001B0B83"/>
    <w:rsid w:val="001B1178"/>
    <w:rsid w:val="001B237E"/>
    <w:rsid w:val="001B26BD"/>
    <w:rsid w:val="001B3CDE"/>
    <w:rsid w:val="001B3E4E"/>
    <w:rsid w:val="001B428A"/>
    <w:rsid w:val="001B5C27"/>
    <w:rsid w:val="001B5F3A"/>
    <w:rsid w:val="001B6E90"/>
    <w:rsid w:val="001B76BD"/>
    <w:rsid w:val="001C03A9"/>
    <w:rsid w:val="001C14EA"/>
    <w:rsid w:val="001C1CDC"/>
    <w:rsid w:val="001C2DB5"/>
    <w:rsid w:val="001C4178"/>
    <w:rsid w:val="001C4293"/>
    <w:rsid w:val="001C46CD"/>
    <w:rsid w:val="001C4780"/>
    <w:rsid w:val="001C512A"/>
    <w:rsid w:val="001C5B1C"/>
    <w:rsid w:val="001C689D"/>
    <w:rsid w:val="001C6B4E"/>
    <w:rsid w:val="001C7F1D"/>
    <w:rsid w:val="001D153F"/>
    <w:rsid w:val="001D2276"/>
    <w:rsid w:val="001D305C"/>
    <w:rsid w:val="001D3995"/>
    <w:rsid w:val="001D3A97"/>
    <w:rsid w:val="001D3DC4"/>
    <w:rsid w:val="001D5192"/>
    <w:rsid w:val="001D5B31"/>
    <w:rsid w:val="001E0812"/>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49"/>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27C0"/>
    <w:rsid w:val="00203502"/>
    <w:rsid w:val="00203629"/>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3C6D"/>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679D"/>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2AA"/>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56BA1"/>
    <w:rsid w:val="00257451"/>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17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385B"/>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9C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103"/>
    <w:rsid w:val="00324166"/>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69"/>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678C3"/>
    <w:rsid w:val="00371191"/>
    <w:rsid w:val="003720D7"/>
    <w:rsid w:val="003725CC"/>
    <w:rsid w:val="00372E1F"/>
    <w:rsid w:val="0037454D"/>
    <w:rsid w:val="003750A1"/>
    <w:rsid w:val="0037582F"/>
    <w:rsid w:val="00375CF8"/>
    <w:rsid w:val="0037720D"/>
    <w:rsid w:val="00380ED1"/>
    <w:rsid w:val="00381284"/>
    <w:rsid w:val="00381782"/>
    <w:rsid w:val="00381B9E"/>
    <w:rsid w:val="003821B0"/>
    <w:rsid w:val="003822EF"/>
    <w:rsid w:val="003837C8"/>
    <w:rsid w:val="00384432"/>
    <w:rsid w:val="00385042"/>
    <w:rsid w:val="0038616C"/>
    <w:rsid w:val="00386E56"/>
    <w:rsid w:val="00386EC9"/>
    <w:rsid w:val="003870B2"/>
    <w:rsid w:val="00387D04"/>
    <w:rsid w:val="00387EB2"/>
    <w:rsid w:val="0039105C"/>
    <w:rsid w:val="003913BF"/>
    <w:rsid w:val="00391F0D"/>
    <w:rsid w:val="003921C9"/>
    <w:rsid w:val="003935DC"/>
    <w:rsid w:val="00394320"/>
    <w:rsid w:val="0039489B"/>
    <w:rsid w:val="00395136"/>
    <w:rsid w:val="003951A5"/>
    <w:rsid w:val="0039610D"/>
    <w:rsid w:val="0039694A"/>
    <w:rsid w:val="003976FC"/>
    <w:rsid w:val="003A0848"/>
    <w:rsid w:val="003A1011"/>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A23"/>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569"/>
    <w:rsid w:val="003E1938"/>
    <w:rsid w:val="003E1BB2"/>
    <w:rsid w:val="003E1D76"/>
    <w:rsid w:val="003E21D9"/>
    <w:rsid w:val="003E2409"/>
    <w:rsid w:val="003E3A8B"/>
    <w:rsid w:val="003E41A1"/>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0FB7"/>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14B"/>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27"/>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27C"/>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242"/>
    <w:rsid w:val="00513B9C"/>
    <w:rsid w:val="00513D07"/>
    <w:rsid w:val="00514368"/>
    <w:rsid w:val="00514BB4"/>
    <w:rsid w:val="00514F16"/>
    <w:rsid w:val="00514F3F"/>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F84"/>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6F15"/>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9D"/>
    <w:rsid w:val="00563FC0"/>
    <w:rsid w:val="005649CC"/>
    <w:rsid w:val="005651AD"/>
    <w:rsid w:val="005658AD"/>
    <w:rsid w:val="00565E02"/>
    <w:rsid w:val="005661C2"/>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47D6"/>
    <w:rsid w:val="005948C1"/>
    <w:rsid w:val="005950FF"/>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9CF"/>
    <w:rsid w:val="005A5E6A"/>
    <w:rsid w:val="005A67F3"/>
    <w:rsid w:val="005A6A5D"/>
    <w:rsid w:val="005A6E74"/>
    <w:rsid w:val="005A716C"/>
    <w:rsid w:val="005A75BA"/>
    <w:rsid w:val="005A7AE9"/>
    <w:rsid w:val="005B0811"/>
    <w:rsid w:val="005B1010"/>
    <w:rsid w:val="005B1169"/>
    <w:rsid w:val="005B1BA2"/>
    <w:rsid w:val="005B1C48"/>
    <w:rsid w:val="005B1F8E"/>
    <w:rsid w:val="005B20D0"/>
    <w:rsid w:val="005B2EFE"/>
    <w:rsid w:val="005B302E"/>
    <w:rsid w:val="005B33CE"/>
    <w:rsid w:val="005B37F1"/>
    <w:rsid w:val="005B4056"/>
    <w:rsid w:val="005B6523"/>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17E4D"/>
    <w:rsid w:val="006206DD"/>
    <w:rsid w:val="00620DA9"/>
    <w:rsid w:val="00621A38"/>
    <w:rsid w:val="00622F78"/>
    <w:rsid w:val="0062311A"/>
    <w:rsid w:val="00623155"/>
    <w:rsid w:val="00624A9F"/>
    <w:rsid w:val="00625073"/>
    <w:rsid w:val="00625736"/>
    <w:rsid w:val="006258DC"/>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124"/>
    <w:rsid w:val="00632C4D"/>
    <w:rsid w:val="0063348A"/>
    <w:rsid w:val="00633727"/>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38E"/>
    <w:rsid w:val="006834F0"/>
    <w:rsid w:val="0068387E"/>
    <w:rsid w:val="006838B6"/>
    <w:rsid w:val="00683904"/>
    <w:rsid w:val="006840BA"/>
    <w:rsid w:val="006844DC"/>
    <w:rsid w:val="006846CE"/>
    <w:rsid w:val="00684985"/>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30D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154D"/>
    <w:rsid w:val="00711583"/>
    <w:rsid w:val="00711B3E"/>
    <w:rsid w:val="007122E4"/>
    <w:rsid w:val="007125FE"/>
    <w:rsid w:val="0071390C"/>
    <w:rsid w:val="00713DAF"/>
    <w:rsid w:val="00714338"/>
    <w:rsid w:val="00714870"/>
    <w:rsid w:val="00714B35"/>
    <w:rsid w:val="0071543A"/>
    <w:rsid w:val="00715566"/>
    <w:rsid w:val="00715E20"/>
    <w:rsid w:val="00716C54"/>
    <w:rsid w:val="00717064"/>
    <w:rsid w:val="0071752E"/>
    <w:rsid w:val="0071796D"/>
    <w:rsid w:val="007204A6"/>
    <w:rsid w:val="007209F3"/>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0960"/>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0D9E"/>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A65"/>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4CF"/>
    <w:rsid w:val="007E3EE7"/>
    <w:rsid w:val="007E4040"/>
    <w:rsid w:val="007E4194"/>
    <w:rsid w:val="007E425F"/>
    <w:rsid w:val="007E4570"/>
    <w:rsid w:val="007E488B"/>
    <w:rsid w:val="007E4903"/>
    <w:rsid w:val="007E4B08"/>
    <w:rsid w:val="007E4C1B"/>
    <w:rsid w:val="007E5CD6"/>
    <w:rsid w:val="007E646E"/>
    <w:rsid w:val="007E69CD"/>
    <w:rsid w:val="007E6A0B"/>
    <w:rsid w:val="007E783F"/>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517"/>
    <w:rsid w:val="00844688"/>
    <w:rsid w:val="00844840"/>
    <w:rsid w:val="0084491B"/>
    <w:rsid w:val="00844E2A"/>
    <w:rsid w:val="00844EF0"/>
    <w:rsid w:val="00845A71"/>
    <w:rsid w:val="00845AE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0E75"/>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0923"/>
    <w:rsid w:val="008F136A"/>
    <w:rsid w:val="008F1C52"/>
    <w:rsid w:val="008F236D"/>
    <w:rsid w:val="008F3386"/>
    <w:rsid w:val="008F43E6"/>
    <w:rsid w:val="008F468C"/>
    <w:rsid w:val="008F4DC3"/>
    <w:rsid w:val="008F4FE1"/>
    <w:rsid w:val="008F5A3A"/>
    <w:rsid w:val="008F5C9C"/>
    <w:rsid w:val="008F5F6E"/>
    <w:rsid w:val="008F6075"/>
    <w:rsid w:val="008F6407"/>
    <w:rsid w:val="008F6664"/>
    <w:rsid w:val="008F7591"/>
    <w:rsid w:val="00900280"/>
    <w:rsid w:val="0090154D"/>
    <w:rsid w:val="00901EFB"/>
    <w:rsid w:val="009024E9"/>
    <w:rsid w:val="00902A37"/>
    <w:rsid w:val="009035E7"/>
    <w:rsid w:val="00903B7E"/>
    <w:rsid w:val="00903C8D"/>
    <w:rsid w:val="009043A9"/>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6933"/>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0F13"/>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063"/>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455"/>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3BA3"/>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5D9D"/>
    <w:rsid w:val="00A36576"/>
    <w:rsid w:val="00A36C44"/>
    <w:rsid w:val="00A37CF9"/>
    <w:rsid w:val="00A37F81"/>
    <w:rsid w:val="00A414EA"/>
    <w:rsid w:val="00A419DD"/>
    <w:rsid w:val="00A41ACF"/>
    <w:rsid w:val="00A41D55"/>
    <w:rsid w:val="00A43BB8"/>
    <w:rsid w:val="00A43E43"/>
    <w:rsid w:val="00A443BC"/>
    <w:rsid w:val="00A44DE9"/>
    <w:rsid w:val="00A45733"/>
    <w:rsid w:val="00A457C8"/>
    <w:rsid w:val="00A4627C"/>
    <w:rsid w:val="00A46822"/>
    <w:rsid w:val="00A4726D"/>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B1B"/>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0A2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06E"/>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8C9"/>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5A20"/>
    <w:rsid w:val="00B604FB"/>
    <w:rsid w:val="00B60EFB"/>
    <w:rsid w:val="00B613C3"/>
    <w:rsid w:val="00B61FEC"/>
    <w:rsid w:val="00B62E5F"/>
    <w:rsid w:val="00B63393"/>
    <w:rsid w:val="00B63C91"/>
    <w:rsid w:val="00B6406C"/>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4E7B"/>
    <w:rsid w:val="00B866C3"/>
    <w:rsid w:val="00B875BD"/>
    <w:rsid w:val="00B90285"/>
    <w:rsid w:val="00B90554"/>
    <w:rsid w:val="00B91C1C"/>
    <w:rsid w:val="00B929BA"/>
    <w:rsid w:val="00B931B7"/>
    <w:rsid w:val="00B9358A"/>
    <w:rsid w:val="00B937D1"/>
    <w:rsid w:val="00B943B5"/>
    <w:rsid w:val="00B9486D"/>
    <w:rsid w:val="00B94B44"/>
    <w:rsid w:val="00B94E3E"/>
    <w:rsid w:val="00B95B18"/>
    <w:rsid w:val="00B9647A"/>
    <w:rsid w:val="00B96777"/>
    <w:rsid w:val="00B968E5"/>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4EC9"/>
    <w:rsid w:val="00BC52FE"/>
    <w:rsid w:val="00BC6080"/>
    <w:rsid w:val="00BC73DE"/>
    <w:rsid w:val="00BC74E0"/>
    <w:rsid w:val="00BC765E"/>
    <w:rsid w:val="00BC7DEB"/>
    <w:rsid w:val="00BD1142"/>
    <w:rsid w:val="00BD36E0"/>
    <w:rsid w:val="00BD3750"/>
    <w:rsid w:val="00BD3899"/>
    <w:rsid w:val="00BD3F2E"/>
    <w:rsid w:val="00BD4A6A"/>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31F"/>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120"/>
    <w:rsid w:val="00C2275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556"/>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3E5"/>
    <w:rsid w:val="00C97B5F"/>
    <w:rsid w:val="00C97B82"/>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6F7D"/>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49E"/>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2F"/>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6F71"/>
    <w:rsid w:val="00D07307"/>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68C1"/>
    <w:rsid w:val="00D2780D"/>
    <w:rsid w:val="00D300B3"/>
    <w:rsid w:val="00D30E7A"/>
    <w:rsid w:val="00D31332"/>
    <w:rsid w:val="00D314AE"/>
    <w:rsid w:val="00D31730"/>
    <w:rsid w:val="00D31CA4"/>
    <w:rsid w:val="00D31EBF"/>
    <w:rsid w:val="00D32457"/>
    <w:rsid w:val="00D32CB1"/>
    <w:rsid w:val="00D33969"/>
    <w:rsid w:val="00D33E68"/>
    <w:rsid w:val="00D33E8F"/>
    <w:rsid w:val="00D3403A"/>
    <w:rsid w:val="00D3431C"/>
    <w:rsid w:val="00D351F2"/>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CF2"/>
    <w:rsid w:val="00D81E4D"/>
    <w:rsid w:val="00D82587"/>
    <w:rsid w:val="00D82B3F"/>
    <w:rsid w:val="00D82F65"/>
    <w:rsid w:val="00D83C73"/>
    <w:rsid w:val="00D84912"/>
    <w:rsid w:val="00D84924"/>
    <w:rsid w:val="00D84DEB"/>
    <w:rsid w:val="00D84EAE"/>
    <w:rsid w:val="00D8578D"/>
    <w:rsid w:val="00D85FFD"/>
    <w:rsid w:val="00D863E5"/>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2DB"/>
    <w:rsid w:val="00DB5589"/>
    <w:rsid w:val="00DB5BA9"/>
    <w:rsid w:val="00DB62EF"/>
    <w:rsid w:val="00DB7018"/>
    <w:rsid w:val="00DB75CA"/>
    <w:rsid w:val="00DB7953"/>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AA6"/>
    <w:rsid w:val="00DD3315"/>
    <w:rsid w:val="00DD40EE"/>
    <w:rsid w:val="00DD47D5"/>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A65"/>
    <w:rsid w:val="00E40FBC"/>
    <w:rsid w:val="00E410E1"/>
    <w:rsid w:val="00E41882"/>
    <w:rsid w:val="00E41F7B"/>
    <w:rsid w:val="00E42FC3"/>
    <w:rsid w:val="00E43CD2"/>
    <w:rsid w:val="00E4453A"/>
    <w:rsid w:val="00E4641F"/>
    <w:rsid w:val="00E46424"/>
    <w:rsid w:val="00E4696E"/>
    <w:rsid w:val="00E46C5B"/>
    <w:rsid w:val="00E46DD5"/>
    <w:rsid w:val="00E47542"/>
    <w:rsid w:val="00E51A58"/>
    <w:rsid w:val="00E51FC6"/>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294"/>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6BA"/>
    <w:rsid w:val="00ED2D67"/>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8AB"/>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1E9E"/>
    <w:rsid w:val="00F22898"/>
    <w:rsid w:val="00F2349A"/>
    <w:rsid w:val="00F23581"/>
    <w:rsid w:val="00F23B68"/>
    <w:rsid w:val="00F240D0"/>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2D3"/>
    <w:rsid w:val="00F4167E"/>
    <w:rsid w:val="00F416FA"/>
    <w:rsid w:val="00F422CF"/>
    <w:rsid w:val="00F4314A"/>
    <w:rsid w:val="00F43433"/>
    <w:rsid w:val="00F43450"/>
    <w:rsid w:val="00F445A7"/>
    <w:rsid w:val="00F44BE8"/>
    <w:rsid w:val="00F44C0F"/>
    <w:rsid w:val="00F45BA6"/>
    <w:rsid w:val="00F470A4"/>
    <w:rsid w:val="00F479F8"/>
    <w:rsid w:val="00F50A32"/>
    <w:rsid w:val="00F50B68"/>
    <w:rsid w:val="00F50FFA"/>
    <w:rsid w:val="00F516D6"/>
    <w:rsid w:val="00F51D3D"/>
    <w:rsid w:val="00F5262C"/>
    <w:rsid w:val="00F527D2"/>
    <w:rsid w:val="00F52F30"/>
    <w:rsid w:val="00F5558B"/>
    <w:rsid w:val="00F55ED9"/>
    <w:rsid w:val="00F56DA6"/>
    <w:rsid w:val="00F56FE4"/>
    <w:rsid w:val="00F570B1"/>
    <w:rsid w:val="00F6026C"/>
    <w:rsid w:val="00F6224D"/>
    <w:rsid w:val="00F62AFD"/>
    <w:rsid w:val="00F6310D"/>
    <w:rsid w:val="00F64BBB"/>
    <w:rsid w:val="00F64CAE"/>
    <w:rsid w:val="00F64F37"/>
    <w:rsid w:val="00F65258"/>
    <w:rsid w:val="00F6531D"/>
    <w:rsid w:val="00F65B99"/>
    <w:rsid w:val="00F663B7"/>
    <w:rsid w:val="00F6676D"/>
    <w:rsid w:val="00F67785"/>
    <w:rsid w:val="00F677C4"/>
    <w:rsid w:val="00F677FA"/>
    <w:rsid w:val="00F70786"/>
    <w:rsid w:val="00F7114A"/>
    <w:rsid w:val="00F73444"/>
    <w:rsid w:val="00F73A09"/>
    <w:rsid w:val="00F73EDF"/>
    <w:rsid w:val="00F74C2B"/>
    <w:rsid w:val="00F74D45"/>
    <w:rsid w:val="00F7527F"/>
    <w:rsid w:val="00F754A7"/>
    <w:rsid w:val="00F75C5A"/>
    <w:rsid w:val="00F762A6"/>
    <w:rsid w:val="00F768F2"/>
    <w:rsid w:val="00F769B5"/>
    <w:rsid w:val="00F76CC5"/>
    <w:rsid w:val="00F76CDA"/>
    <w:rsid w:val="00F77553"/>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95"/>
    <w:rsid w:val="00FA181D"/>
    <w:rsid w:val="00FA1C72"/>
    <w:rsid w:val="00FA49F7"/>
    <w:rsid w:val="00FA5348"/>
    <w:rsid w:val="00FA5CD5"/>
    <w:rsid w:val="00FB0592"/>
    <w:rsid w:val="00FB0808"/>
    <w:rsid w:val="00FB1198"/>
    <w:rsid w:val="00FB2619"/>
    <w:rsid w:val="00FB276C"/>
    <w:rsid w:val="00FB372D"/>
    <w:rsid w:val="00FB4032"/>
    <w:rsid w:val="00FB42E8"/>
    <w:rsid w:val="00FB449C"/>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56584612-ECAA-40D4-96B4-654CC3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46C2C-CB71-440C-BB4B-F71EE85B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16</cp:revision>
  <cp:lastPrinted>2018-07-19T20:29:00Z</cp:lastPrinted>
  <dcterms:created xsi:type="dcterms:W3CDTF">2018-07-18T12:47:00Z</dcterms:created>
  <dcterms:modified xsi:type="dcterms:W3CDTF">2018-08-21T13:15:00Z</dcterms:modified>
  <cp:category>Sala Laboral Tribunal Superior de Periera</cp:category>
</cp:coreProperties>
</file>