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35B5A">
        <w:rPr>
          <w:rFonts w:ascii="Tahoma" w:hAnsi="Tahoma" w:cs="Tahoma"/>
          <w:b w:val="0"/>
          <w:sz w:val="18"/>
          <w:szCs w:val="18"/>
        </w:rPr>
        <w:t xml:space="preserve">Sentencia </w:t>
      </w:r>
      <w:r w:rsidRPr="00095469">
        <w:rPr>
          <w:rFonts w:ascii="Tahoma" w:hAnsi="Tahoma" w:cs="Tahoma"/>
          <w:b w:val="0"/>
          <w:sz w:val="18"/>
          <w:szCs w:val="18"/>
        </w:rPr>
        <w:t xml:space="preserve">del </w:t>
      </w:r>
      <w:r w:rsidR="009F4481">
        <w:rPr>
          <w:rFonts w:ascii="Tahoma" w:hAnsi="Tahoma" w:cs="Tahoma"/>
          <w:b w:val="0"/>
          <w:sz w:val="18"/>
          <w:szCs w:val="18"/>
        </w:rPr>
        <w:t>23</w:t>
      </w:r>
      <w:r w:rsidR="00835B5A">
        <w:rPr>
          <w:rFonts w:ascii="Tahoma" w:hAnsi="Tahoma" w:cs="Tahoma"/>
          <w:b w:val="0"/>
          <w:sz w:val="18"/>
          <w:szCs w:val="18"/>
        </w:rPr>
        <w:t xml:space="preserve"> </w:t>
      </w:r>
      <w:r w:rsidR="00983416">
        <w:rPr>
          <w:rFonts w:ascii="Tahoma" w:hAnsi="Tahoma" w:cs="Tahoma"/>
          <w:b w:val="0"/>
          <w:sz w:val="18"/>
          <w:szCs w:val="18"/>
        </w:rPr>
        <w:t xml:space="preserve">de agosto </w:t>
      </w:r>
      <w:r w:rsidR="00560EF9">
        <w:rPr>
          <w:rFonts w:ascii="Tahoma" w:hAnsi="Tahoma" w:cs="Tahoma"/>
          <w:b w:val="0"/>
          <w:sz w:val="18"/>
          <w:szCs w:val="18"/>
        </w:rPr>
        <w:t xml:space="preserve">de </w:t>
      </w:r>
      <w:r w:rsidR="00F1356B">
        <w:rPr>
          <w:rFonts w:ascii="Tahoma" w:hAnsi="Tahoma" w:cs="Tahoma"/>
          <w:b w:val="0"/>
          <w:sz w:val="18"/>
          <w:szCs w:val="18"/>
        </w:rPr>
        <w:t>2018</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9F4481">
        <w:rPr>
          <w:rFonts w:ascii="Tahoma" w:hAnsi="Tahoma" w:cs="Tahoma"/>
          <w:b w:val="0"/>
          <w:sz w:val="18"/>
          <w:szCs w:val="18"/>
        </w:rPr>
        <w:t>1</w:t>
      </w:r>
      <w:r w:rsidRPr="00095469">
        <w:rPr>
          <w:rFonts w:ascii="Tahoma" w:hAnsi="Tahoma" w:cs="Tahoma"/>
          <w:b w:val="0"/>
          <w:sz w:val="18"/>
          <w:szCs w:val="18"/>
        </w:rPr>
        <w:t>-201</w:t>
      </w:r>
      <w:r w:rsidR="00835B5A">
        <w:rPr>
          <w:rFonts w:ascii="Tahoma" w:hAnsi="Tahoma" w:cs="Tahoma"/>
          <w:b w:val="0"/>
          <w:sz w:val="18"/>
          <w:szCs w:val="18"/>
        </w:rPr>
        <w:t>6</w:t>
      </w:r>
      <w:r w:rsidRPr="00095469">
        <w:rPr>
          <w:rFonts w:ascii="Tahoma" w:hAnsi="Tahoma" w:cs="Tahoma"/>
          <w:b w:val="0"/>
          <w:sz w:val="18"/>
          <w:szCs w:val="18"/>
        </w:rPr>
        <w:t>-00</w:t>
      </w:r>
      <w:r w:rsidR="009F4481">
        <w:rPr>
          <w:rFonts w:ascii="Tahoma" w:hAnsi="Tahoma" w:cs="Tahoma"/>
          <w:b w:val="0"/>
          <w:sz w:val="18"/>
          <w:szCs w:val="18"/>
        </w:rPr>
        <w:t>087</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9F4481">
        <w:rPr>
          <w:rFonts w:ascii="Tahoma" w:hAnsi="Tahoma" w:cs="Tahoma"/>
          <w:b w:val="0"/>
          <w:sz w:val="18"/>
          <w:szCs w:val="18"/>
        </w:rPr>
        <w:t>Ramiro Arango Pinzón</w:t>
      </w:r>
      <w:r w:rsidR="00983416">
        <w:rPr>
          <w:rFonts w:ascii="Tahoma" w:hAnsi="Tahoma" w:cs="Tahoma"/>
          <w:b w:val="0"/>
          <w:sz w:val="18"/>
          <w:szCs w:val="18"/>
        </w:rPr>
        <w:t xml:space="preserve"> </w:t>
      </w:r>
      <w:r w:rsidR="00560EF9">
        <w:rPr>
          <w:rFonts w:ascii="Tahoma" w:hAnsi="Tahoma" w:cs="Tahoma"/>
          <w:b w:val="0"/>
          <w:sz w:val="18"/>
          <w:szCs w:val="18"/>
        </w:rPr>
        <w:t xml:space="preserve"> </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9F4481">
        <w:rPr>
          <w:rFonts w:ascii="Tahoma" w:hAnsi="Tahoma" w:cs="Tahoma"/>
          <w:sz w:val="18"/>
          <w:szCs w:val="18"/>
        </w:rPr>
        <w:t>o</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F1356B">
        <w:rPr>
          <w:rFonts w:ascii="Tahoma" w:hAnsi="Tahoma" w:cs="Tahoma"/>
          <w:b w:val="0"/>
          <w:sz w:val="18"/>
          <w:szCs w:val="18"/>
        </w:rPr>
        <w:t xml:space="preserve">. </w:t>
      </w:r>
      <w:r w:rsidR="009F4481">
        <w:rPr>
          <w:rFonts w:ascii="Tahoma" w:hAnsi="Tahoma" w:cs="Tahoma"/>
          <w:b w:val="0"/>
          <w:sz w:val="18"/>
          <w:szCs w:val="18"/>
        </w:rPr>
        <w:t>Francisco Javier Tamayo Tabares</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095469">
      <w:pPr>
        <w:pStyle w:val="Puesto"/>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E83369">
      <w:pPr>
        <w:jc w:val="both"/>
        <w:rPr>
          <w:rFonts w:ascii="Tahoma" w:hAnsi="Tahoma" w:cs="Tahoma"/>
          <w:b/>
          <w:bCs/>
          <w:sz w:val="20"/>
          <w:szCs w:val="20"/>
        </w:rPr>
      </w:pPr>
    </w:p>
    <w:p w:rsidR="00095469" w:rsidRPr="008C7E59" w:rsidRDefault="00095469" w:rsidP="00E83369">
      <w:pPr>
        <w:ind w:firstLine="851"/>
        <w:jc w:val="both"/>
        <w:rPr>
          <w:rFonts w:ascii="Tahoma" w:hAnsi="Tahoma" w:cs="Tahoma"/>
          <w:sz w:val="22"/>
          <w:szCs w:val="22"/>
        </w:rPr>
      </w:pPr>
      <w:r w:rsidRPr="008C7E59">
        <w:rPr>
          <w:rFonts w:ascii="Tahoma" w:hAnsi="Tahoma" w:cs="Tahoma"/>
          <w:sz w:val="22"/>
          <w:szCs w:val="22"/>
        </w:rPr>
        <w:t xml:space="preserve">Con mi acostumbrado respeto, manifiesto mi inconformidad frente a la </w:t>
      </w:r>
      <w:r w:rsidR="00525C7B" w:rsidRPr="008C7E59">
        <w:rPr>
          <w:rFonts w:ascii="Tahoma" w:hAnsi="Tahoma" w:cs="Tahoma"/>
          <w:sz w:val="22"/>
          <w:szCs w:val="22"/>
        </w:rPr>
        <w:t>decisión</w:t>
      </w:r>
      <w:r w:rsidRPr="008C7E5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8C7E59" w:rsidRDefault="00095469" w:rsidP="00E83369">
      <w:pPr>
        <w:ind w:firstLine="851"/>
        <w:jc w:val="both"/>
        <w:rPr>
          <w:rFonts w:ascii="Tahoma" w:hAnsi="Tahoma" w:cs="Tahoma"/>
          <w:sz w:val="22"/>
          <w:szCs w:val="22"/>
        </w:rPr>
      </w:pPr>
    </w:p>
    <w:p w:rsidR="00E83369" w:rsidRPr="008C7E59" w:rsidRDefault="00E83369" w:rsidP="00E83369">
      <w:pPr>
        <w:pStyle w:val="Prrafodelista"/>
        <w:numPr>
          <w:ilvl w:val="0"/>
          <w:numId w:val="2"/>
        </w:numPr>
        <w:tabs>
          <w:tab w:val="left" w:pos="993"/>
        </w:tabs>
        <w:ind w:hanging="11"/>
        <w:jc w:val="both"/>
        <w:rPr>
          <w:rFonts w:ascii="Tahoma" w:hAnsi="Tahoma" w:cs="Tahoma"/>
          <w:b/>
          <w:sz w:val="22"/>
          <w:szCs w:val="22"/>
        </w:rPr>
      </w:pPr>
      <w:r w:rsidRPr="008C7E59">
        <w:rPr>
          <w:rFonts w:ascii="Tahoma" w:hAnsi="Tahoma" w:cs="Tahoma"/>
          <w:b/>
          <w:sz w:val="22"/>
          <w:szCs w:val="22"/>
        </w:rPr>
        <w:t>De los incrementos pensionales</w:t>
      </w:r>
    </w:p>
    <w:p w:rsidR="00E83369" w:rsidRPr="008C7E59" w:rsidRDefault="00E83369" w:rsidP="00E83369">
      <w:pPr>
        <w:pStyle w:val="Sinespaciado"/>
        <w:ind w:firstLine="709"/>
      </w:pPr>
    </w:p>
    <w:p w:rsidR="00E83369" w:rsidRPr="008C7E59" w:rsidRDefault="00E83369" w:rsidP="00E83369">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C7E59">
        <w:rPr>
          <w:rFonts w:ascii="Tahoma" w:hAnsi="Tahoma" w:cs="Tahoma"/>
          <w:bCs/>
          <w:sz w:val="22"/>
          <w:szCs w:val="22"/>
        </w:rPr>
        <w:t>Buelvas</w:t>
      </w:r>
      <w:proofErr w:type="spellEnd"/>
      <w:r w:rsidRPr="008C7E5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8C7E59" w:rsidRDefault="00E83369" w:rsidP="00E83369">
      <w:pPr>
        <w:pStyle w:val="Sinespaciado"/>
      </w:pPr>
    </w:p>
    <w:p w:rsidR="00E83369" w:rsidRPr="008C7E59" w:rsidRDefault="00E83369" w:rsidP="00E83369">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Por tanto, conforme lo establecido por el artículo 21 del Decreto 758 de 1990, para que surjan a la vida jurídica los incrementos adicionales por </w:t>
      </w:r>
      <w:r w:rsidR="00123EC5" w:rsidRPr="008C7E59">
        <w:rPr>
          <w:rFonts w:ascii="Tahoma" w:hAnsi="Tahoma" w:cs="Tahoma"/>
          <w:bCs/>
          <w:sz w:val="22"/>
          <w:szCs w:val="22"/>
        </w:rPr>
        <w:t>e</w:t>
      </w:r>
      <w:r w:rsidRPr="008C7E59">
        <w:rPr>
          <w:rFonts w:ascii="Tahoma" w:hAnsi="Tahoma" w:cs="Tahoma"/>
          <w:bCs/>
          <w:sz w:val="22"/>
          <w:szCs w:val="22"/>
        </w:rPr>
        <w:t>l o la cónyuge, es necesario que: i) la pensión de la cual se deriven surja de la aplicación del Decreto 758 de 1990; y, ii) que la o el cónyuge no tenga pensión propia y dependa económicamente del pensionado.</w:t>
      </w:r>
    </w:p>
    <w:p w:rsidR="00E83369" w:rsidRPr="008C7E59" w:rsidRDefault="00E83369" w:rsidP="00E83369">
      <w:pPr>
        <w:pStyle w:val="Textoindependiente"/>
        <w:ind w:left="1080" w:right="51"/>
        <w:rPr>
          <w:rFonts w:ascii="Tahoma" w:hAnsi="Tahoma" w:cs="Tahoma"/>
          <w:b/>
          <w:sz w:val="22"/>
          <w:szCs w:val="22"/>
        </w:rPr>
      </w:pPr>
    </w:p>
    <w:p w:rsidR="00E83369" w:rsidRPr="008C7E59" w:rsidRDefault="00E83369" w:rsidP="00BE0BE7">
      <w:pPr>
        <w:pStyle w:val="Textoindependiente"/>
        <w:numPr>
          <w:ilvl w:val="0"/>
          <w:numId w:val="2"/>
        </w:numPr>
        <w:tabs>
          <w:tab w:val="left" w:pos="993"/>
        </w:tabs>
        <w:autoSpaceDE/>
        <w:autoSpaceDN/>
        <w:adjustRightInd/>
        <w:ind w:right="51" w:hanging="11"/>
        <w:rPr>
          <w:rFonts w:ascii="Tahoma" w:hAnsi="Tahoma" w:cs="Tahoma"/>
          <w:b/>
          <w:sz w:val="22"/>
          <w:szCs w:val="22"/>
        </w:rPr>
      </w:pPr>
      <w:r w:rsidRPr="008C7E59">
        <w:rPr>
          <w:rFonts w:ascii="Tahoma" w:hAnsi="Tahoma" w:cs="Tahoma"/>
          <w:b/>
          <w:sz w:val="22"/>
          <w:szCs w:val="22"/>
        </w:rPr>
        <w:t>De la imprescriptibilidad del derecho al incremento pensional</w:t>
      </w:r>
    </w:p>
    <w:p w:rsidR="00E83369" w:rsidRPr="008C7E59" w:rsidRDefault="00E83369" w:rsidP="00E83369">
      <w:pPr>
        <w:pStyle w:val="Textoindependiente"/>
        <w:ind w:left="1080" w:right="51"/>
        <w:rPr>
          <w:rFonts w:ascii="Tahoma" w:hAnsi="Tahoma" w:cs="Tahoma"/>
          <w:b/>
          <w:sz w:val="22"/>
          <w:szCs w:val="22"/>
        </w:rPr>
      </w:pPr>
    </w:p>
    <w:p w:rsidR="007D7568" w:rsidRPr="008C7E59" w:rsidRDefault="007D7568" w:rsidP="00E83369">
      <w:pPr>
        <w:tabs>
          <w:tab w:val="left" w:pos="748"/>
        </w:tabs>
        <w:ind w:firstLine="709"/>
        <w:jc w:val="both"/>
        <w:rPr>
          <w:rFonts w:ascii="Tahoma" w:hAnsi="Tahoma" w:cs="Tahoma"/>
          <w:sz w:val="22"/>
          <w:szCs w:val="22"/>
        </w:rPr>
      </w:pPr>
      <w:r w:rsidRPr="008C7E59">
        <w:rPr>
          <w:rFonts w:ascii="Tahoma" w:hAnsi="Tahoma" w:cs="Tahoma"/>
          <w:sz w:val="22"/>
          <w:szCs w:val="22"/>
        </w:rPr>
        <w:t>Recientemente se han proferido tres providencias de especial trascendencia en lo que concierne a la imprescriptibilidad del derecho a los incrementos pensional, a saber, la SU-310 de</w:t>
      </w:r>
      <w:r w:rsidR="00E411A2" w:rsidRPr="008C7E59">
        <w:rPr>
          <w:rFonts w:ascii="Tahoma" w:hAnsi="Tahoma" w:cs="Tahoma"/>
          <w:sz w:val="22"/>
          <w:szCs w:val="22"/>
        </w:rPr>
        <w:t>l 10 de mayo de</w:t>
      </w:r>
      <w:r w:rsidRPr="008C7E59">
        <w:rPr>
          <w:rFonts w:ascii="Tahoma" w:hAnsi="Tahoma" w:cs="Tahoma"/>
          <w:sz w:val="22"/>
          <w:szCs w:val="22"/>
        </w:rPr>
        <w:t xml:space="preserve"> 2017</w:t>
      </w:r>
      <w:r w:rsidR="00E411A2" w:rsidRPr="008C7E59">
        <w:rPr>
          <w:rStyle w:val="Refdenotaalpie"/>
          <w:rFonts w:ascii="Tahoma" w:hAnsi="Tahoma" w:cs="Tahoma"/>
          <w:sz w:val="22"/>
          <w:szCs w:val="22"/>
        </w:rPr>
        <w:footnoteReference w:id="1"/>
      </w:r>
      <w:r w:rsidRPr="008C7E59">
        <w:rPr>
          <w:rFonts w:ascii="Tahoma" w:hAnsi="Tahoma" w:cs="Tahoma"/>
          <w:sz w:val="22"/>
          <w:szCs w:val="22"/>
        </w:rPr>
        <w:t>, por medio de la cual la Corte Constitucional determinó que el derecho como tal no prescribe</w:t>
      </w:r>
      <w:r w:rsidR="00866398" w:rsidRPr="008C7E59">
        <w:rPr>
          <w:rFonts w:ascii="Tahoma" w:hAnsi="Tahoma" w:cs="Tahoma"/>
          <w:sz w:val="22"/>
          <w:szCs w:val="22"/>
        </w:rPr>
        <w:t xml:space="preserve"> al no haber sido </w:t>
      </w:r>
      <w:r w:rsidR="00AC7A09" w:rsidRPr="008C7E59">
        <w:rPr>
          <w:rFonts w:ascii="Tahoma" w:hAnsi="Tahoma" w:cs="Tahoma"/>
          <w:sz w:val="22"/>
          <w:szCs w:val="22"/>
        </w:rPr>
        <w:t>reclamado</w:t>
      </w:r>
      <w:r w:rsidR="00866398" w:rsidRPr="008C7E59">
        <w:rPr>
          <w:rFonts w:ascii="Tahoma" w:hAnsi="Tahoma" w:cs="Tahoma"/>
          <w:sz w:val="22"/>
          <w:szCs w:val="22"/>
        </w:rPr>
        <w:t xml:space="preserve"> dentro de los 3 años siguientes a su causación</w:t>
      </w:r>
      <w:r w:rsidR="00FF2369" w:rsidRPr="008C7E59">
        <w:rPr>
          <w:rFonts w:ascii="Tahoma" w:hAnsi="Tahoma" w:cs="Tahoma"/>
          <w:sz w:val="22"/>
          <w:szCs w:val="22"/>
        </w:rPr>
        <w:t>, tal como lo pregona la Sala de Casación Laboral de la Corte Suprema de Justicia,</w:t>
      </w:r>
      <w:r w:rsidRPr="008C7E59">
        <w:rPr>
          <w:rFonts w:ascii="Tahoma" w:hAnsi="Tahoma" w:cs="Tahoma"/>
          <w:sz w:val="22"/>
          <w:szCs w:val="22"/>
        </w:rPr>
        <w:t xml:space="preserve"> sino la</w:t>
      </w:r>
      <w:r w:rsidR="00866398" w:rsidRPr="008C7E59">
        <w:rPr>
          <w:rFonts w:ascii="Tahoma" w:hAnsi="Tahoma" w:cs="Tahoma"/>
          <w:sz w:val="22"/>
          <w:szCs w:val="22"/>
        </w:rPr>
        <w:t xml:space="preserve">s </w:t>
      </w:r>
      <w:r w:rsidRPr="008C7E59">
        <w:rPr>
          <w:rFonts w:ascii="Tahoma" w:hAnsi="Tahoma" w:cs="Tahoma"/>
          <w:sz w:val="22"/>
          <w:szCs w:val="22"/>
        </w:rPr>
        <w:t>mes</w:t>
      </w:r>
      <w:r w:rsidR="00866398" w:rsidRPr="008C7E59">
        <w:rPr>
          <w:rFonts w:ascii="Tahoma" w:hAnsi="Tahoma" w:cs="Tahoma"/>
          <w:sz w:val="22"/>
          <w:szCs w:val="22"/>
        </w:rPr>
        <w:t xml:space="preserve">adas que no fueron cobradas </w:t>
      </w:r>
      <w:r w:rsidR="00AC7A09" w:rsidRPr="008C7E59">
        <w:rPr>
          <w:rFonts w:ascii="Tahoma" w:hAnsi="Tahoma" w:cs="Tahoma"/>
          <w:sz w:val="22"/>
          <w:szCs w:val="22"/>
        </w:rPr>
        <w:t xml:space="preserve">en el mismo término trienal, ello atendiendo el principio de </w:t>
      </w:r>
      <w:proofErr w:type="spellStart"/>
      <w:r w:rsidR="00AC7A09" w:rsidRPr="008C7E59">
        <w:rPr>
          <w:rFonts w:ascii="Tahoma" w:hAnsi="Tahoma" w:cs="Tahoma"/>
          <w:i/>
          <w:sz w:val="22"/>
          <w:szCs w:val="22"/>
        </w:rPr>
        <w:t>indubio</w:t>
      </w:r>
      <w:proofErr w:type="spellEnd"/>
      <w:r w:rsidR="00AC7A09" w:rsidRPr="008C7E59">
        <w:rPr>
          <w:rFonts w:ascii="Tahoma" w:hAnsi="Tahoma" w:cs="Tahoma"/>
          <w:i/>
          <w:sz w:val="22"/>
          <w:szCs w:val="22"/>
        </w:rPr>
        <w:t xml:space="preserve"> pro operario</w:t>
      </w:r>
      <w:r w:rsidR="00FF2369" w:rsidRPr="008C7E59">
        <w:rPr>
          <w:rFonts w:ascii="Tahoma" w:hAnsi="Tahoma" w:cs="Tahoma"/>
          <w:i/>
          <w:sz w:val="22"/>
          <w:szCs w:val="22"/>
        </w:rPr>
        <w:t xml:space="preserve">. </w:t>
      </w:r>
      <w:r w:rsidR="00FF2369" w:rsidRPr="008C7E59">
        <w:rPr>
          <w:rFonts w:ascii="Tahoma" w:hAnsi="Tahoma" w:cs="Tahoma"/>
          <w:sz w:val="22"/>
          <w:szCs w:val="22"/>
        </w:rPr>
        <w:t xml:space="preserve">Así se expuso en la aludida </w:t>
      </w:r>
      <w:r w:rsidR="00D42491" w:rsidRPr="008C7E59">
        <w:rPr>
          <w:rFonts w:ascii="Tahoma" w:hAnsi="Tahoma" w:cs="Tahoma"/>
          <w:sz w:val="22"/>
          <w:szCs w:val="22"/>
        </w:rPr>
        <w:t>sentencia de unificación</w:t>
      </w:r>
      <w:r w:rsidR="00FF2369" w:rsidRPr="008C7E59">
        <w:rPr>
          <w:rFonts w:ascii="Tahoma" w:hAnsi="Tahoma" w:cs="Tahoma"/>
          <w:sz w:val="22"/>
          <w:szCs w:val="22"/>
        </w:rPr>
        <w:t>:</w:t>
      </w:r>
    </w:p>
    <w:p w:rsidR="00FF2369" w:rsidRPr="008C7E59" w:rsidRDefault="00FF2369" w:rsidP="00E83369">
      <w:pPr>
        <w:tabs>
          <w:tab w:val="left" w:pos="748"/>
        </w:tabs>
        <w:ind w:firstLine="709"/>
        <w:jc w:val="both"/>
        <w:rPr>
          <w:rFonts w:ascii="Tahoma" w:hAnsi="Tahoma" w:cs="Tahoma"/>
          <w:sz w:val="22"/>
          <w:szCs w:val="22"/>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FF2369" w:rsidRPr="008C7E59" w:rsidRDefault="00FF2369" w:rsidP="00FF2369">
      <w:pPr>
        <w:ind w:left="709" w:right="616"/>
        <w:jc w:val="both"/>
        <w:rPr>
          <w:rFonts w:ascii="Arial Narrow" w:hAnsi="Arial Narrow"/>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 xml:space="preserve">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w:t>
      </w:r>
      <w:proofErr w:type="spellStart"/>
      <w:r w:rsidRPr="008C7E59">
        <w:rPr>
          <w:rFonts w:ascii="Arial Narrow" w:hAnsi="Arial Narrow"/>
          <w:i/>
          <w:color w:val="000000"/>
          <w:sz w:val="22"/>
          <w:szCs w:val="22"/>
          <w:lang w:val="es-CO" w:eastAsia="es-CO"/>
        </w:rPr>
        <w:t>procedibilidad</w:t>
      </w:r>
      <w:proofErr w:type="spellEnd"/>
      <w:r w:rsidRPr="008C7E59">
        <w:rPr>
          <w:rFonts w:ascii="Arial Narrow" w:hAnsi="Arial Narrow"/>
          <w:i/>
          <w:color w:val="000000"/>
          <w:sz w:val="22"/>
          <w:szCs w:val="22"/>
          <w:lang w:val="es-CO" w:eastAsia="es-CO"/>
        </w:rPr>
        <w:t xml:space="preserve"> de la acción de tutela contra providencia judicial, porque desconocieron el principio constitucional de in dubio pro operario.</w:t>
      </w:r>
    </w:p>
    <w:p w:rsidR="00FF2369" w:rsidRPr="008C7E59" w:rsidRDefault="00FF2369" w:rsidP="00FF2369">
      <w:pPr>
        <w:ind w:left="709" w:right="616"/>
        <w:jc w:val="both"/>
        <w:rPr>
          <w:rFonts w:ascii="Arial Narrow" w:hAnsi="Arial Narrow"/>
          <w:i/>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FF2369" w:rsidRPr="008C7E59" w:rsidRDefault="00FF2369" w:rsidP="00FF2369">
      <w:pPr>
        <w:ind w:left="709" w:right="616"/>
        <w:jc w:val="both"/>
        <w:rPr>
          <w:rFonts w:ascii="Arial Narrow" w:hAnsi="Arial Narrow"/>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lastRenderedPageBreak/>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8C7E59">
        <w:rPr>
          <w:rFonts w:ascii="Arial Narrow" w:hAnsi="Arial Narrow"/>
          <w:color w:val="000000"/>
          <w:sz w:val="22"/>
          <w:szCs w:val="22"/>
          <w:lang w:val="es-CO" w:eastAsia="es-CO"/>
        </w:rPr>
        <w:t xml:space="preserve"> </w:t>
      </w:r>
    </w:p>
    <w:p w:rsidR="00FF2369" w:rsidRPr="008C7E59" w:rsidRDefault="00FF2369" w:rsidP="00FF2369">
      <w:pPr>
        <w:rPr>
          <w:color w:val="000000"/>
          <w:sz w:val="22"/>
          <w:szCs w:val="22"/>
          <w:lang w:val="es-CO" w:eastAsia="es-CO"/>
        </w:rPr>
      </w:pPr>
    </w:p>
    <w:p w:rsidR="00FF2369" w:rsidRPr="008C7E59" w:rsidRDefault="00361A8B" w:rsidP="00FF2369">
      <w:pPr>
        <w:widowControl w:val="0"/>
        <w:ind w:left="709" w:right="15"/>
        <w:outlineLvl w:val="1"/>
        <w:rPr>
          <w:rFonts w:ascii="Tahoma" w:hAnsi="Tahoma" w:cs="Tahoma"/>
          <w:color w:val="000000"/>
          <w:sz w:val="22"/>
          <w:szCs w:val="22"/>
          <w:lang w:val="es-CO" w:eastAsia="es-CO"/>
        </w:rPr>
      </w:pPr>
      <w:r w:rsidRPr="008C7E59">
        <w:rPr>
          <w:rFonts w:ascii="Tahoma" w:hAnsi="Tahoma" w:cs="Tahoma"/>
          <w:color w:val="000000"/>
          <w:sz w:val="22"/>
          <w:szCs w:val="22"/>
          <w:lang w:val="es-CO" w:eastAsia="es-CO"/>
        </w:rPr>
        <w:t>Se concluyó en el fallo en mención:</w:t>
      </w:r>
    </w:p>
    <w:p w:rsidR="00FF2369" w:rsidRPr="008C7E59" w:rsidRDefault="00FF2369" w:rsidP="00FF2369">
      <w:pPr>
        <w:rPr>
          <w:color w:val="000000"/>
          <w:sz w:val="22"/>
          <w:szCs w:val="22"/>
          <w:lang w:val="es-CO" w:eastAsia="es-CO"/>
        </w:rPr>
      </w:pPr>
    </w:p>
    <w:p w:rsidR="00FF2369" w:rsidRPr="008C7E59" w:rsidRDefault="00FF2369" w:rsidP="00361A8B">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t>“Una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w:t>
      </w:r>
      <w:r w:rsidRPr="008C7E59">
        <w:rPr>
          <w:rFonts w:ascii="Arial Narrow" w:hAnsi="Arial Narrow"/>
          <w:color w:val="000000"/>
          <w:sz w:val="22"/>
          <w:szCs w:val="22"/>
          <w:lang w:val="es-CO" w:eastAsia="es-CO"/>
        </w:rPr>
        <w:t xml:space="preserve"> </w:t>
      </w:r>
    </w:p>
    <w:p w:rsidR="00FF2369" w:rsidRPr="008C7E59" w:rsidRDefault="00FF2369" w:rsidP="00E83369">
      <w:pPr>
        <w:tabs>
          <w:tab w:val="left" w:pos="748"/>
        </w:tabs>
        <w:ind w:firstLine="709"/>
        <w:jc w:val="both"/>
        <w:rPr>
          <w:rFonts w:ascii="Tahoma" w:hAnsi="Tahoma" w:cs="Tahoma"/>
          <w:sz w:val="22"/>
          <w:szCs w:val="22"/>
        </w:rPr>
      </w:pPr>
    </w:p>
    <w:p w:rsidR="000979F3" w:rsidRPr="008C7E59" w:rsidRDefault="00E411A2" w:rsidP="00E83369">
      <w:pPr>
        <w:tabs>
          <w:tab w:val="left" w:pos="748"/>
        </w:tabs>
        <w:ind w:firstLine="709"/>
        <w:jc w:val="both"/>
        <w:rPr>
          <w:rFonts w:ascii="Tahoma" w:hAnsi="Tahoma" w:cs="Tahoma"/>
          <w:sz w:val="22"/>
          <w:szCs w:val="22"/>
        </w:rPr>
      </w:pPr>
      <w:r w:rsidRPr="008C7E59">
        <w:rPr>
          <w:rFonts w:ascii="Tahoma" w:hAnsi="Tahoma" w:cs="Tahoma"/>
          <w:sz w:val="22"/>
          <w:szCs w:val="22"/>
        </w:rPr>
        <w:t>Posteriormente, la Sección Segunda - Subsección A de la Sala de lo Contencioso Administrativo del Consejo de Estado, mediante sentencia del 1</w:t>
      </w:r>
      <w:r w:rsidR="007B22F1" w:rsidRPr="008C7E59">
        <w:rPr>
          <w:rFonts w:ascii="Tahoma" w:hAnsi="Tahoma" w:cs="Tahoma"/>
          <w:sz w:val="22"/>
          <w:szCs w:val="22"/>
        </w:rPr>
        <w:t xml:space="preserve">6 de noviembre de </w:t>
      </w:r>
      <w:r w:rsidRPr="008C7E59">
        <w:rPr>
          <w:rFonts w:ascii="Tahoma" w:hAnsi="Tahoma" w:cs="Tahoma"/>
          <w:sz w:val="22"/>
          <w:szCs w:val="22"/>
        </w:rPr>
        <w:t>2017</w:t>
      </w:r>
      <w:r w:rsidRPr="008C7E59">
        <w:rPr>
          <w:rStyle w:val="Refdenotaalpie"/>
          <w:rFonts w:ascii="Tahoma" w:hAnsi="Tahoma" w:cs="Tahoma"/>
          <w:sz w:val="22"/>
          <w:szCs w:val="22"/>
        </w:rPr>
        <w:footnoteReference w:id="2"/>
      </w:r>
      <w:r w:rsidR="007B22F1" w:rsidRPr="008C7E59">
        <w:rPr>
          <w:rFonts w:ascii="Tahoma" w:hAnsi="Tahoma" w:cs="Tahoma"/>
          <w:sz w:val="22"/>
          <w:szCs w:val="22"/>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w:t>
      </w:r>
      <w:r w:rsidR="000979F3" w:rsidRPr="008C7E59">
        <w:rPr>
          <w:rFonts w:ascii="Tahoma" w:hAnsi="Tahoma" w:cs="Tahoma"/>
          <w:sz w:val="22"/>
          <w:szCs w:val="22"/>
        </w:rPr>
        <w:t xml:space="preserve">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desequilibrio pensional </w:t>
      </w:r>
      <w:r w:rsidR="008C7E59" w:rsidRPr="008C7E59">
        <w:rPr>
          <w:rFonts w:ascii="Tahoma" w:hAnsi="Tahoma" w:cs="Tahoma"/>
          <w:sz w:val="22"/>
          <w:szCs w:val="22"/>
        </w:rPr>
        <w:t xml:space="preserve">por cuanto los mismos fueron creados por el </w:t>
      </w:r>
      <w:r w:rsidR="004E5228">
        <w:rPr>
          <w:rFonts w:ascii="Tahoma" w:hAnsi="Tahoma" w:cs="Tahoma"/>
          <w:sz w:val="22"/>
          <w:szCs w:val="22"/>
        </w:rPr>
        <w:t>propio</w:t>
      </w:r>
      <w:r w:rsidR="008C7E59" w:rsidRPr="008C7E59">
        <w:rPr>
          <w:rFonts w:ascii="Tahoma" w:hAnsi="Tahoma" w:cs="Tahoma"/>
          <w:sz w:val="22"/>
          <w:szCs w:val="22"/>
        </w:rPr>
        <w:t xml:space="preserve"> I.S.S. y sólo se reconocen en la medida que se cumplan los requisitos </w:t>
      </w:r>
      <w:r w:rsidR="004E5228">
        <w:rPr>
          <w:rFonts w:ascii="Tahoma" w:hAnsi="Tahoma" w:cs="Tahoma"/>
          <w:sz w:val="22"/>
          <w:szCs w:val="22"/>
        </w:rPr>
        <w:t>establecidos p</w:t>
      </w:r>
      <w:r w:rsidR="008C7E59" w:rsidRPr="008C7E59">
        <w:rPr>
          <w:rFonts w:ascii="Tahoma" w:hAnsi="Tahoma" w:cs="Tahoma"/>
          <w:sz w:val="22"/>
          <w:szCs w:val="22"/>
        </w:rPr>
        <w:t>ara ello.</w:t>
      </w:r>
    </w:p>
    <w:p w:rsidR="000979F3" w:rsidRPr="008C7E59" w:rsidRDefault="000979F3" w:rsidP="00E83369">
      <w:pPr>
        <w:tabs>
          <w:tab w:val="left" w:pos="748"/>
        </w:tabs>
        <w:ind w:firstLine="709"/>
        <w:jc w:val="both"/>
        <w:rPr>
          <w:rFonts w:ascii="Tahoma" w:hAnsi="Tahoma" w:cs="Tahoma"/>
          <w:sz w:val="22"/>
          <w:szCs w:val="22"/>
        </w:rPr>
      </w:pPr>
    </w:p>
    <w:p w:rsidR="004E5228" w:rsidRDefault="008C7E59" w:rsidP="004E5228">
      <w:pPr>
        <w:tabs>
          <w:tab w:val="left" w:pos="748"/>
        </w:tabs>
        <w:ind w:firstLine="709"/>
        <w:jc w:val="both"/>
        <w:rPr>
          <w:rFonts w:ascii="Tahoma" w:hAnsi="Tahoma" w:cs="Tahoma"/>
          <w:sz w:val="22"/>
          <w:szCs w:val="22"/>
        </w:rPr>
      </w:pPr>
      <w:r w:rsidRPr="008C7E59">
        <w:rPr>
          <w:rFonts w:ascii="Tahoma" w:hAnsi="Tahoma" w:cs="Tahoma"/>
          <w:sz w:val="22"/>
          <w:szCs w:val="22"/>
        </w:rPr>
        <w:t>Finalmente, mediante el auto 320 del 23 de mayo de 2018</w:t>
      </w:r>
      <w:r>
        <w:rPr>
          <w:rStyle w:val="Refdenotaalpie"/>
          <w:rFonts w:ascii="Tahoma" w:hAnsi="Tahoma" w:cs="Tahoma"/>
          <w:sz w:val="22"/>
          <w:szCs w:val="22"/>
        </w:rPr>
        <w:footnoteReference w:id="3"/>
      </w:r>
      <w:r>
        <w:rPr>
          <w:rFonts w:ascii="Tahoma" w:hAnsi="Tahoma" w:cs="Tahoma"/>
          <w:sz w:val="22"/>
          <w:szCs w:val="22"/>
        </w:rPr>
        <w:t xml:space="preserve">, la Corte Constitucional declaró la nulidad de la sentencia 310 de 2017 </w:t>
      </w:r>
      <w:r w:rsidR="004E5228">
        <w:rPr>
          <w:rFonts w:ascii="Tahoma" w:hAnsi="Tahoma" w:cs="Tahoma"/>
          <w:sz w:val="22"/>
          <w:szCs w:val="22"/>
        </w:rPr>
        <w:t xml:space="preserve">bajo el argumento de que en la misma se vulneró el debido proceso al i) </w:t>
      </w:r>
      <w:r w:rsidR="004E5228" w:rsidRPr="004E5228">
        <w:rPr>
          <w:rFonts w:ascii="Tahoma" w:hAnsi="Tahoma" w:cs="Tahoma"/>
          <w:sz w:val="22"/>
          <w:szCs w:val="22"/>
        </w:rPr>
        <w:t>haber fundado su decisión en aplicación del principio in dubio pro operario sin haber analizado su compaginación con el artículo 48 de la Constitución Política, tal como el mismo quedó luego de proferido el Acto Legislativo 01 de 2005 y</w:t>
      </w:r>
      <w:r w:rsidR="004E5228">
        <w:rPr>
          <w:rFonts w:ascii="Tahoma" w:hAnsi="Tahoma" w:cs="Tahoma"/>
          <w:sz w:val="22"/>
          <w:szCs w:val="22"/>
        </w:rPr>
        <w:t>,</w:t>
      </w:r>
      <w:r w:rsidR="004E5228" w:rsidRPr="004E5228">
        <w:rPr>
          <w:rFonts w:ascii="Tahoma" w:hAnsi="Tahoma" w:cs="Tahoma"/>
          <w:sz w:val="22"/>
          <w:szCs w:val="22"/>
        </w:rPr>
        <w:t xml:space="preserve"> ii) haber omitido de su análisis los argumentos presentados por Colpensiones dentro del trámite de revisión de tutela de los expedientes acumulados para el efecto. </w:t>
      </w:r>
      <w:r w:rsidR="004E5228">
        <w:rPr>
          <w:rFonts w:ascii="Tahoma" w:hAnsi="Tahoma" w:cs="Tahoma"/>
          <w:sz w:val="22"/>
          <w:szCs w:val="22"/>
        </w:rPr>
        <w:t>En consecuencia</w:t>
      </w:r>
      <w:r w:rsidR="001B1BC7">
        <w:rPr>
          <w:rFonts w:ascii="Tahoma" w:hAnsi="Tahoma" w:cs="Tahoma"/>
          <w:sz w:val="22"/>
          <w:szCs w:val="22"/>
        </w:rPr>
        <w:t>,</w:t>
      </w:r>
      <w:r w:rsidR="004E5228">
        <w:rPr>
          <w:rFonts w:ascii="Tahoma" w:hAnsi="Tahoma" w:cs="Tahoma"/>
          <w:sz w:val="22"/>
          <w:szCs w:val="22"/>
        </w:rPr>
        <w:t xml:space="preserve"> ordenó que se emitiera una nueva sentencia que debería ser adoptada por la Sala Plena de esa Corporación.</w:t>
      </w:r>
    </w:p>
    <w:p w:rsidR="004E5228" w:rsidRDefault="004E5228" w:rsidP="004E5228">
      <w:pPr>
        <w:tabs>
          <w:tab w:val="left" w:pos="748"/>
        </w:tabs>
        <w:ind w:firstLine="709"/>
        <w:jc w:val="both"/>
        <w:rPr>
          <w:rFonts w:ascii="Tahoma" w:hAnsi="Tahoma" w:cs="Tahoma"/>
          <w:sz w:val="22"/>
          <w:szCs w:val="22"/>
        </w:rPr>
      </w:pPr>
    </w:p>
    <w:p w:rsidR="001B1BC7" w:rsidRDefault="001B1BC7" w:rsidP="004E5228">
      <w:pPr>
        <w:tabs>
          <w:tab w:val="left" w:pos="748"/>
        </w:tabs>
        <w:ind w:firstLine="709"/>
        <w:jc w:val="both"/>
        <w:rPr>
          <w:rFonts w:ascii="Tahoma" w:hAnsi="Tahoma" w:cs="Tahoma"/>
          <w:sz w:val="22"/>
          <w:szCs w:val="22"/>
        </w:rPr>
      </w:pPr>
      <w:r>
        <w:rPr>
          <w:rFonts w:ascii="Tahoma" w:hAnsi="Tahoma" w:cs="Tahoma"/>
          <w:sz w:val="22"/>
          <w:szCs w:val="22"/>
        </w:rPr>
        <w:t>En el boletín No. 19 del 23 y 24 de mayo de los cursantes, que diera a conocer el contenido del aludido auto, se resumieron los salvamentos de voto esgrimidos frente a la decisión en comento,</w:t>
      </w:r>
      <w:r w:rsidR="00F62068">
        <w:rPr>
          <w:rFonts w:ascii="Tahoma" w:hAnsi="Tahoma" w:cs="Tahoma"/>
          <w:sz w:val="22"/>
          <w:szCs w:val="22"/>
        </w:rPr>
        <w:t xml:space="preserve"> en el siguiente sentido:</w:t>
      </w:r>
    </w:p>
    <w:p w:rsidR="001B1BC7" w:rsidRDefault="001B1BC7" w:rsidP="004E5228">
      <w:pPr>
        <w:tabs>
          <w:tab w:val="left" w:pos="748"/>
        </w:tabs>
        <w:ind w:firstLine="709"/>
        <w:jc w:val="both"/>
        <w:rPr>
          <w:rFonts w:ascii="Tahoma" w:hAnsi="Tahoma" w:cs="Tahoma"/>
          <w:sz w:val="22"/>
          <w:szCs w:val="22"/>
        </w:rPr>
      </w:pPr>
    </w:p>
    <w:p w:rsidR="00F62068" w:rsidRDefault="00F62068"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w:t>
      </w:r>
      <w:r w:rsidR="001B1BC7" w:rsidRPr="00F62068">
        <w:rPr>
          <w:rFonts w:ascii="Arial Narrow" w:hAnsi="Arial Narrow" w:cs="Tahoma"/>
          <w:sz w:val="22"/>
          <w:szCs w:val="22"/>
        </w:rPr>
        <w:t xml:space="preserve">Las Magistradas </w:t>
      </w:r>
      <w:r w:rsidR="001B1BC7" w:rsidRPr="00F62068">
        <w:rPr>
          <w:rFonts w:ascii="Arial Narrow" w:hAnsi="Arial Narrow" w:cs="Tahoma"/>
          <w:b/>
          <w:sz w:val="22"/>
          <w:szCs w:val="22"/>
        </w:rPr>
        <w:t xml:space="preserve">Diana Fajardo Rivera </w:t>
      </w:r>
      <w:r w:rsidR="001B1BC7" w:rsidRPr="00F62068">
        <w:rPr>
          <w:rFonts w:ascii="Arial Narrow" w:hAnsi="Arial Narrow" w:cs="Tahoma"/>
          <w:sz w:val="22"/>
          <w:szCs w:val="22"/>
        </w:rPr>
        <w:t>y</w:t>
      </w:r>
      <w:r w:rsidR="001B1BC7" w:rsidRPr="00F62068">
        <w:rPr>
          <w:rFonts w:ascii="Arial Narrow" w:hAnsi="Arial Narrow" w:cs="Tahoma"/>
          <w:b/>
          <w:sz w:val="22"/>
          <w:szCs w:val="22"/>
        </w:rPr>
        <w:t xml:space="preserve"> Gloria Stella Ortiz Delgado</w:t>
      </w:r>
      <w:r w:rsidR="001B1BC7" w:rsidRPr="00F62068">
        <w:rPr>
          <w:rFonts w:ascii="Arial Narrow" w:hAnsi="Arial Narrow" w:cs="Tahoma"/>
          <w:sz w:val="22"/>
          <w:szCs w:val="22"/>
        </w:rPr>
        <w:t xml:space="preserve"> y los Magistrados </w:t>
      </w:r>
      <w:r w:rsidR="001B1BC7" w:rsidRPr="00F62068">
        <w:rPr>
          <w:rFonts w:ascii="Arial Narrow" w:hAnsi="Arial Narrow" w:cs="Tahoma"/>
          <w:b/>
          <w:sz w:val="22"/>
          <w:szCs w:val="22"/>
        </w:rPr>
        <w:t>José Fernando Reyes Cuartas</w:t>
      </w:r>
      <w:r w:rsidR="001B1BC7" w:rsidRPr="00F62068">
        <w:rPr>
          <w:rFonts w:ascii="Arial Narrow" w:hAnsi="Arial Narrow" w:cs="Tahoma"/>
          <w:sz w:val="22"/>
          <w:szCs w:val="22"/>
        </w:rPr>
        <w:t xml:space="preserve"> y </w:t>
      </w:r>
      <w:r w:rsidR="001B1BC7" w:rsidRPr="00F62068">
        <w:rPr>
          <w:rFonts w:ascii="Arial Narrow" w:hAnsi="Arial Narrow" w:cs="Tahoma"/>
          <w:b/>
          <w:sz w:val="22"/>
          <w:szCs w:val="22"/>
        </w:rPr>
        <w:t>Alberto Rojas Ríos</w:t>
      </w:r>
      <w:r w:rsidR="001B1BC7" w:rsidRPr="00F62068">
        <w:rPr>
          <w:rFonts w:ascii="Arial Narrow" w:hAnsi="Arial Narrow" w:cs="Tahoma"/>
          <w:sz w:val="22"/>
          <w:szCs w:val="22"/>
        </w:rPr>
        <w:t xml:space="preserve"> se apartaron de la decisión mayoritaria, toda vez que a su juicio no se configuraban los requisitos para declarar la nulidad de la sentencia SU-310 de 2017. En su criterio, no se demostró la vulneración al debido proceso por haberse eludido el análisis de cuestiones de relevancia constitucional. De manera concreta, no se argumentó cómo un estudio profundo del Acto Legislativo 01 de 2005, debía tener como resultado, una incidencia determinante en la decisión. </w:t>
      </w:r>
    </w:p>
    <w:p w:rsidR="00F62068" w:rsidRDefault="00F62068" w:rsidP="00F62068">
      <w:pPr>
        <w:tabs>
          <w:tab w:val="left" w:pos="748"/>
        </w:tabs>
        <w:ind w:left="709" w:right="618"/>
        <w:jc w:val="both"/>
        <w:rPr>
          <w:rFonts w:ascii="Arial Narrow" w:hAnsi="Arial Narrow" w:cs="Tahoma"/>
          <w:sz w:val="22"/>
          <w:szCs w:val="22"/>
        </w:rPr>
      </w:pPr>
    </w:p>
    <w:p w:rsid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Para la Magistrada </w:t>
      </w:r>
      <w:r w:rsidRPr="00F62068">
        <w:rPr>
          <w:rFonts w:ascii="Arial Narrow" w:hAnsi="Arial Narrow" w:cs="Tahoma"/>
          <w:b/>
          <w:sz w:val="22"/>
          <w:szCs w:val="22"/>
        </w:rPr>
        <w:t>Fajardo Rivera</w:t>
      </w:r>
      <w:r w:rsidRPr="00F62068">
        <w:rPr>
          <w:rFonts w:ascii="Arial Narrow" w:hAnsi="Arial Narrow" w:cs="Tahoma"/>
          <w:sz w:val="22"/>
          <w:szCs w:val="22"/>
        </w:rPr>
        <w:t xml:space="preserve">, no era tan claro que en ese fallo no se hubiera debatido acerca de la vigencia del incremento del 14% por cónyuge o compañero (a) permanente a cargo, pese a la reforma introducida por el citado Acto Legislativo al artículo 48 de la Constitución, como lo evidencian los dos salvamentos de voto anunciados. En su concepto, la Sala Plena, al decidir sobre la nulidad, toma partido sobre la cuestión de fondo que es propia de la decisión de revisión, lo cual es ajeno a la resolución de este incidente. Por su parte, la Magistrada </w:t>
      </w:r>
      <w:r w:rsidRPr="00F62068">
        <w:rPr>
          <w:rFonts w:ascii="Arial Narrow" w:hAnsi="Arial Narrow" w:cs="Tahoma"/>
          <w:b/>
          <w:sz w:val="22"/>
          <w:szCs w:val="22"/>
        </w:rPr>
        <w:t>Ortiz Delgado</w:t>
      </w:r>
      <w:r w:rsidRPr="00F62068">
        <w:rPr>
          <w:rFonts w:ascii="Arial Narrow" w:hAnsi="Arial Narrow" w:cs="Tahoma"/>
          <w:sz w:val="22"/>
          <w:szCs w:val="22"/>
        </w:rPr>
        <w:t xml:space="preserve"> observó que, como lo ha sostenido de manera constante la jurisprudencia, no es obligación de la Corte estudiar todos y cada uno de los argumentos expuestos por las partes, por lo que dejar de considerar alguno no constituye causal de nulidad de la sentencia, menos aún, cuando se aduce por un interviniente tardío, que no era parte en el proceso de tutela. En concepto de las Magistradas, en el presente caso no se plantea propiamente una causal de nulidad, sino una discrepancia de fondo sobre la interpretación hecha en la sentencia de unificación de jurisprudencia, lo cual no puede ser controvertido en sede de nulidad. </w:t>
      </w:r>
    </w:p>
    <w:p w:rsidR="00F62068" w:rsidRDefault="00F62068" w:rsidP="00F62068">
      <w:pPr>
        <w:tabs>
          <w:tab w:val="left" w:pos="748"/>
        </w:tabs>
        <w:ind w:left="709" w:right="618"/>
        <w:jc w:val="both"/>
        <w:rPr>
          <w:rFonts w:ascii="Arial Narrow" w:hAnsi="Arial Narrow" w:cs="Tahoma"/>
          <w:sz w:val="22"/>
          <w:szCs w:val="22"/>
        </w:rPr>
      </w:pPr>
    </w:p>
    <w:p w:rsid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lastRenderedPageBreak/>
        <w:t xml:space="preserve">Adicionalmente, el Magistrado </w:t>
      </w:r>
      <w:r w:rsidRPr="00F62068">
        <w:rPr>
          <w:rFonts w:ascii="Arial Narrow" w:hAnsi="Arial Narrow" w:cs="Tahoma"/>
          <w:b/>
          <w:sz w:val="22"/>
          <w:szCs w:val="22"/>
        </w:rPr>
        <w:t>Reyes Cuartas</w:t>
      </w:r>
      <w:r w:rsidRPr="00F62068">
        <w:rPr>
          <w:rFonts w:ascii="Arial Narrow" w:hAnsi="Arial Narrow" w:cs="Tahoma"/>
          <w:sz w:val="22"/>
          <w:szCs w:val="22"/>
        </w:rPr>
        <w:t xml:space="preserve"> advirtió que el punto concerniente al impacto fiscal de una orden de amaro</w:t>
      </w:r>
      <w:r w:rsidR="00891868">
        <w:rPr>
          <w:rFonts w:ascii="Arial Narrow" w:hAnsi="Arial Narrow" w:cs="Tahoma"/>
          <w:sz w:val="22"/>
          <w:szCs w:val="22"/>
        </w:rPr>
        <w:t xml:space="preserve"> (sic)</w:t>
      </w:r>
      <w:bookmarkStart w:id="0" w:name="_GoBack"/>
      <w:bookmarkEnd w:id="0"/>
      <w:r w:rsidRPr="00F62068">
        <w:rPr>
          <w:rFonts w:ascii="Arial Narrow" w:hAnsi="Arial Narrow" w:cs="Tahoma"/>
          <w:sz w:val="22"/>
          <w:szCs w:val="22"/>
        </w:rPr>
        <w:t xml:space="preserve"> de derechos fundamentales, por estar de por medio la sostenibilidad financiera del sistema de seguridad social en su componente pensional, no podía ser objeto de debate en la decisión de tutela, como lo establece el mismo Acto Legislativo 01 de 2005 y lo ha reafirmado la jurisprudencia. A su juicio, la declaración de nulidad implica que se asuma una postura regresiva en materia de derechos sociales ya definidos por la Corte Constitucional. </w:t>
      </w:r>
    </w:p>
    <w:p w:rsidR="00F62068" w:rsidRDefault="00F62068" w:rsidP="00F62068">
      <w:pPr>
        <w:tabs>
          <w:tab w:val="left" w:pos="748"/>
        </w:tabs>
        <w:ind w:left="709" w:right="618"/>
        <w:jc w:val="both"/>
        <w:rPr>
          <w:rFonts w:ascii="Arial Narrow" w:hAnsi="Arial Narrow" w:cs="Tahoma"/>
          <w:sz w:val="22"/>
          <w:szCs w:val="22"/>
        </w:rPr>
      </w:pPr>
    </w:p>
    <w:p w:rsidR="004E5228" w:rsidRP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De otro lado, el Magistrado </w:t>
      </w:r>
      <w:r w:rsidRPr="00F62068">
        <w:rPr>
          <w:rFonts w:ascii="Arial Narrow" w:hAnsi="Arial Narrow" w:cs="Tahoma"/>
          <w:b/>
          <w:sz w:val="22"/>
          <w:szCs w:val="22"/>
        </w:rPr>
        <w:t>Rojas Ríos</w:t>
      </w:r>
      <w:r w:rsidRPr="00F62068">
        <w:rPr>
          <w:rFonts w:ascii="Arial Narrow" w:hAnsi="Arial Narrow" w:cs="Tahoma"/>
          <w:sz w:val="22"/>
          <w:szCs w:val="22"/>
        </w:rPr>
        <w:t xml:space="preserve"> consideró que el derecho al incremento del catorce por ciento no podía derogarse en virtud del Acto Legislativo 1 de 2005, toda vez que esa norma, precisamente, tiene por objeto la protección de derechos adquiridos, entre los cuales se encuentra la prestación referida, la cual es imprescriptible de conformidad con las sentencias T-217 de 2013, T-831 de 2014, T-319 de 2015, T-369 del 2015, T-395 de 2016 y T-460 de 2016. En su concepto, la Corte no sólo realizó un estudio que acusa ausencia de rigor sobre las causales de nulidad, sino que adoptó una decisión regresiva que desconoce las reglas establecidas en la sentencia T-469 de 2013, relativas a las cargas argumentativas para adoptar decisiones de tal naturaleza y la obligación de progresividad en materia de derechos sociales. La decisión adoptada por la Corte Constitucional desconoce la seguridad jurídica que se desprende de sus decisiones, y en ese sentido lleva la impronta de retroceso en la defensa que había asumido a favor de los trabajadores, con lo cual se desconocen de manera abierta los principios de equidad y solidaridad, presupuestos básicos para lograr la igualdad material y la libertad que se concreta en la garantía de condiciones de vida digna de los adultos mayores que cumplieron cada uno de los requisitos para lograr el derecho a pensionarse y que con su esfuerzo contribuyeron a la construcción del Estado Social de Derecho.</w:t>
      </w:r>
      <w:r w:rsidR="00F62068" w:rsidRPr="00F62068">
        <w:rPr>
          <w:rFonts w:ascii="Arial Narrow" w:hAnsi="Arial Narrow" w:cs="Tahoma"/>
          <w:sz w:val="22"/>
          <w:szCs w:val="22"/>
        </w:rPr>
        <w:t>”</w:t>
      </w:r>
    </w:p>
    <w:p w:rsidR="004E5228" w:rsidRPr="004E5228" w:rsidRDefault="004E5228" w:rsidP="00E83369">
      <w:pPr>
        <w:tabs>
          <w:tab w:val="left" w:pos="748"/>
        </w:tabs>
        <w:ind w:firstLine="709"/>
        <w:jc w:val="both"/>
        <w:rPr>
          <w:rFonts w:ascii="Tahoma" w:hAnsi="Tahoma" w:cs="Tahoma"/>
          <w:sz w:val="22"/>
          <w:szCs w:val="22"/>
          <w:lang w:val="es-CO"/>
        </w:rPr>
      </w:pPr>
    </w:p>
    <w:p w:rsidR="00F62068" w:rsidRPr="00E83369" w:rsidRDefault="00F62068" w:rsidP="00BE0BE7">
      <w:pPr>
        <w:tabs>
          <w:tab w:val="left" w:pos="851"/>
        </w:tabs>
        <w:ind w:firstLine="709"/>
        <w:jc w:val="both"/>
        <w:rPr>
          <w:rFonts w:ascii="Tahoma" w:hAnsi="Tahoma" w:cs="Tahoma"/>
          <w:sz w:val="22"/>
          <w:szCs w:val="22"/>
        </w:rPr>
      </w:pPr>
      <w:r>
        <w:rPr>
          <w:rFonts w:ascii="Tahoma" w:hAnsi="Tahoma" w:cs="Tahoma"/>
          <w:sz w:val="22"/>
          <w:szCs w:val="22"/>
        </w:rPr>
        <w:t xml:space="preserve">Así las cosas, </w:t>
      </w:r>
      <w:r w:rsidR="00BE0BE7">
        <w:rPr>
          <w:rFonts w:ascii="Tahoma" w:hAnsi="Tahoma" w:cs="Tahoma"/>
          <w:sz w:val="22"/>
          <w:szCs w:val="22"/>
        </w:rPr>
        <w:t xml:space="preserve">frente a los acontecimientos expuestos previamente, la suscrita Magistrada se mantiene en la postura asumida de tiempo atrás, con apoyo en lo salvamentos de voto planteados en contra del auto </w:t>
      </w:r>
      <w:r w:rsidR="00BE0BE7" w:rsidRPr="008C7E59">
        <w:rPr>
          <w:rFonts w:ascii="Tahoma" w:hAnsi="Tahoma" w:cs="Tahoma"/>
          <w:sz w:val="22"/>
          <w:szCs w:val="22"/>
        </w:rPr>
        <w:t>320 del 23 de mayo de 2018</w:t>
      </w:r>
      <w:r w:rsidR="00BE0BE7">
        <w:rPr>
          <w:rFonts w:ascii="Tahoma" w:hAnsi="Tahoma" w:cs="Tahoma"/>
          <w:sz w:val="22"/>
          <w:szCs w:val="22"/>
        </w:rPr>
        <w:t xml:space="preserve">, particularmente en el del Magistrado Alberto Rojas Ríos, en el cual se hace referencia a la </w:t>
      </w:r>
      <w:r w:rsidRPr="00E83369">
        <w:rPr>
          <w:rFonts w:ascii="Tahoma" w:hAnsi="Tahoma" w:cs="Tahoma"/>
          <w:sz w:val="22"/>
          <w:szCs w:val="22"/>
        </w:rPr>
        <w:t xml:space="preserve">sentencia T-369 de 2015, </w:t>
      </w:r>
      <w:r w:rsidR="003E7E97">
        <w:rPr>
          <w:rFonts w:ascii="Tahoma" w:hAnsi="Tahoma" w:cs="Tahoma"/>
          <w:sz w:val="22"/>
          <w:szCs w:val="22"/>
        </w:rPr>
        <w:t>misma en la que se dispuso lo siguiente</w:t>
      </w:r>
      <w:r w:rsidRPr="00E83369">
        <w:rPr>
          <w:rFonts w:ascii="Tahoma" w:hAnsi="Tahoma" w:cs="Tahoma"/>
          <w:sz w:val="22"/>
          <w:szCs w:val="22"/>
        </w:rPr>
        <w:t>:</w:t>
      </w:r>
    </w:p>
    <w:p w:rsidR="00F62068" w:rsidRPr="00E83369" w:rsidRDefault="00F62068" w:rsidP="00F62068">
      <w:pPr>
        <w:pStyle w:val="Sinespaciado"/>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F62068" w:rsidRPr="00E83369" w:rsidRDefault="00F62068" w:rsidP="00F62068">
      <w:pPr>
        <w:tabs>
          <w:tab w:val="left" w:pos="748"/>
        </w:tabs>
        <w:ind w:left="709"/>
        <w:jc w:val="both"/>
        <w:rPr>
          <w:rFonts w:ascii="Arial Narrow" w:hAnsi="Arial Narrow" w:cs="Tahoma"/>
          <w:i/>
          <w:sz w:val="22"/>
          <w:szCs w:val="22"/>
        </w:rPr>
      </w:pPr>
    </w:p>
    <w:p w:rsidR="00F62068" w:rsidRPr="00E83369" w:rsidRDefault="00F62068" w:rsidP="00F62068">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F62068" w:rsidRPr="00E83369" w:rsidRDefault="00F62068" w:rsidP="00F62068">
      <w:pPr>
        <w:tabs>
          <w:tab w:val="left" w:pos="748"/>
        </w:tabs>
        <w:ind w:firstLine="709"/>
        <w:jc w:val="both"/>
        <w:rPr>
          <w:rFonts w:ascii="Tahoma" w:hAnsi="Tahoma" w:cs="Tahoma"/>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F62068" w:rsidRPr="00E83369" w:rsidRDefault="00F62068" w:rsidP="00F62068">
      <w:pPr>
        <w:tabs>
          <w:tab w:val="left" w:pos="748"/>
        </w:tabs>
        <w:ind w:left="709" w:right="476"/>
        <w:jc w:val="both"/>
        <w:rPr>
          <w:rFonts w:ascii="Arial Narrow" w:hAnsi="Arial Narrow" w:cs="Tahoma"/>
          <w:i/>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F62068" w:rsidRPr="00E83369" w:rsidRDefault="00F62068" w:rsidP="00F62068">
      <w:pPr>
        <w:tabs>
          <w:tab w:val="left" w:pos="748"/>
        </w:tabs>
        <w:ind w:left="709" w:right="476"/>
        <w:jc w:val="both"/>
        <w:rPr>
          <w:rFonts w:ascii="Arial Narrow" w:hAnsi="Arial Narrow" w:cs="Tahoma"/>
          <w:i/>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Default="00E83369" w:rsidP="00E83369">
      <w:pPr>
        <w:tabs>
          <w:tab w:val="left" w:pos="748"/>
        </w:tabs>
        <w:ind w:firstLine="709"/>
        <w:jc w:val="both"/>
        <w:rPr>
          <w:rFonts w:ascii="Tahoma" w:hAnsi="Tahoma" w:cs="Tahoma"/>
          <w:sz w:val="22"/>
          <w:szCs w:val="22"/>
        </w:rPr>
      </w:pPr>
    </w:p>
    <w:p w:rsidR="003E7E97" w:rsidRDefault="003E7E97" w:rsidP="00E83369">
      <w:pPr>
        <w:tabs>
          <w:tab w:val="left" w:pos="748"/>
        </w:tabs>
        <w:ind w:firstLine="709"/>
        <w:jc w:val="both"/>
        <w:rPr>
          <w:rFonts w:ascii="Tahoma" w:hAnsi="Tahoma" w:cs="Tahoma"/>
          <w:sz w:val="22"/>
          <w:szCs w:val="22"/>
        </w:rPr>
      </w:pPr>
    </w:p>
    <w:p w:rsidR="003E7E97" w:rsidRDefault="003E7E97" w:rsidP="00E83369">
      <w:pPr>
        <w:tabs>
          <w:tab w:val="left" w:pos="748"/>
        </w:tabs>
        <w:ind w:firstLine="709"/>
        <w:jc w:val="both"/>
        <w:rPr>
          <w:rFonts w:ascii="Tahoma" w:hAnsi="Tahoma" w:cs="Tahoma"/>
          <w:sz w:val="22"/>
          <w:szCs w:val="22"/>
        </w:rPr>
      </w:pPr>
    </w:p>
    <w:p w:rsidR="003E7E97" w:rsidRPr="00A80F5B" w:rsidRDefault="003E7E97" w:rsidP="00E83369">
      <w:pPr>
        <w:tabs>
          <w:tab w:val="left" w:pos="748"/>
        </w:tabs>
        <w:ind w:firstLine="709"/>
        <w:jc w:val="both"/>
        <w:rPr>
          <w:rFonts w:ascii="Tahoma" w:hAnsi="Tahoma" w:cs="Tahoma"/>
          <w:sz w:val="22"/>
          <w:szCs w:val="22"/>
        </w:rPr>
      </w:pPr>
    </w:p>
    <w:p w:rsidR="00835B5A" w:rsidRPr="00A80F5B" w:rsidRDefault="00835B5A" w:rsidP="00835B5A">
      <w:pPr>
        <w:pStyle w:val="Textoindependiente"/>
        <w:autoSpaceDE/>
        <w:autoSpaceDN/>
        <w:adjustRightInd/>
        <w:ind w:left="709" w:right="51"/>
        <w:rPr>
          <w:rFonts w:ascii="Tahoma" w:hAnsi="Tahoma" w:cs="Tahoma"/>
          <w:b/>
          <w:sz w:val="22"/>
          <w:szCs w:val="22"/>
        </w:rPr>
      </w:pPr>
      <w:r w:rsidRPr="00A80F5B">
        <w:rPr>
          <w:rFonts w:ascii="Tahoma" w:hAnsi="Tahoma" w:cs="Tahoma"/>
          <w:b/>
          <w:sz w:val="22"/>
          <w:szCs w:val="22"/>
        </w:rPr>
        <w:lastRenderedPageBreak/>
        <w:t>2. Caso concreto</w:t>
      </w:r>
    </w:p>
    <w:p w:rsidR="00835B5A" w:rsidRPr="00A80F5B" w:rsidRDefault="00835B5A" w:rsidP="00835B5A">
      <w:pPr>
        <w:pStyle w:val="Sinespaciado"/>
      </w:pPr>
    </w:p>
    <w:p w:rsidR="00835B5A" w:rsidRPr="00A80F5B" w:rsidRDefault="00835B5A" w:rsidP="004E12D0">
      <w:pPr>
        <w:widowControl w:val="0"/>
        <w:autoSpaceDE w:val="0"/>
        <w:autoSpaceDN w:val="0"/>
        <w:adjustRightInd w:val="0"/>
        <w:ind w:firstLine="709"/>
        <w:jc w:val="both"/>
        <w:rPr>
          <w:rFonts w:ascii="Tahoma" w:hAnsi="Tahoma" w:cs="Tahoma"/>
          <w:sz w:val="22"/>
          <w:szCs w:val="22"/>
        </w:rPr>
      </w:pPr>
      <w:r w:rsidRPr="00A80F5B">
        <w:rPr>
          <w:rFonts w:ascii="Tahoma" w:hAnsi="Tahoma" w:cs="Tahoma"/>
          <w:sz w:val="22"/>
          <w:szCs w:val="22"/>
        </w:rPr>
        <w:t>No siendo objeto de controversia en el caso de marras que a través de la Resolución 00</w:t>
      </w:r>
      <w:r w:rsidR="009F4481">
        <w:rPr>
          <w:rFonts w:ascii="Tahoma" w:hAnsi="Tahoma" w:cs="Tahoma"/>
          <w:sz w:val="22"/>
          <w:szCs w:val="22"/>
        </w:rPr>
        <w:t>2957</w:t>
      </w:r>
      <w:r w:rsidRPr="00A80F5B">
        <w:rPr>
          <w:rFonts w:ascii="Tahoma" w:hAnsi="Tahoma" w:cs="Tahoma"/>
          <w:sz w:val="22"/>
          <w:szCs w:val="22"/>
        </w:rPr>
        <w:t xml:space="preserve"> de</w:t>
      </w:r>
      <w:r>
        <w:rPr>
          <w:rFonts w:ascii="Tahoma" w:hAnsi="Tahoma" w:cs="Tahoma"/>
          <w:sz w:val="22"/>
          <w:szCs w:val="22"/>
        </w:rPr>
        <w:t xml:space="preserve"> </w:t>
      </w:r>
      <w:r w:rsidR="009F4481">
        <w:rPr>
          <w:rFonts w:ascii="Tahoma" w:hAnsi="Tahoma" w:cs="Tahoma"/>
          <w:sz w:val="22"/>
          <w:szCs w:val="22"/>
        </w:rPr>
        <w:t>2000</w:t>
      </w:r>
      <w:r w:rsidRPr="00A80F5B">
        <w:rPr>
          <w:rFonts w:ascii="Tahoma" w:hAnsi="Tahoma" w:cs="Tahoma"/>
          <w:sz w:val="22"/>
          <w:szCs w:val="22"/>
        </w:rPr>
        <w:t xml:space="preserve"> el entonces I.S.S. concedió al señor </w:t>
      </w:r>
      <w:r w:rsidR="004E12D0">
        <w:rPr>
          <w:rFonts w:ascii="Tahoma" w:hAnsi="Tahoma" w:cs="Tahoma"/>
          <w:sz w:val="22"/>
          <w:szCs w:val="22"/>
        </w:rPr>
        <w:t xml:space="preserve">Edgar González Serna </w:t>
      </w:r>
      <w:r w:rsidRPr="00A80F5B">
        <w:rPr>
          <w:rFonts w:ascii="Tahoma" w:hAnsi="Tahoma" w:cs="Tahoma"/>
          <w:sz w:val="22"/>
          <w:szCs w:val="22"/>
        </w:rPr>
        <w:t xml:space="preserve">la pensión de vejez a partir del </w:t>
      </w:r>
      <w:r w:rsidR="009F4481">
        <w:rPr>
          <w:rFonts w:ascii="Tahoma" w:hAnsi="Tahoma" w:cs="Tahoma"/>
          <w:sz w:val="22"/>
          <w:szCs w:val="22"/>
        </w:rPr>
        <w:t xml:space="preserve">1º </w:t>
      </w:r>
      <w:r w:rsidRPr="00A80F5B">
        <w:rPr>
          <w:rFonts w:ascii="Tahoma" w:hAnsi="Tahoma" w:cs="Tahoma"/>
          <w:sz w:val="22"/>
          <w:szCs w:val="22"/>
        </w:rPr>
        <w:t xml:space="preserve">de </w:t>
      </w:r>
      <w:r w:rsidR="004E12D0">
        <w:rPr>
          <w:rFonts w:ascii="Tahoma" w:hAnsi="Tahoma" w:cs="Tahoma"/>
          <w:sz w:val="22"/>
          <w:szCs w:val="22"/>
        </w:rPr>
        <w:t>diciem</w:t>
      </w:r>
      <w:r>
        <w:rPr>
          <w:rFonts w:ascii="Tahoma" w:hAnsi="Tahoma" w:cs="Tahoma"/>
          <w:sz w:val="22"/>
          <w:szCs w:val="22"/>
        </w:rPr>
        <w:t>bre de</w:t>
      </w:r>
      <w:r w:rsidR="004E12D0">
        <w:rPr>
          <w:rFonts w:ascii="Tahoma" w:hAnsi="Tahoma" w:cs="Tahoma"/>
          <w:sz w:val="22"/>
          <w:szCs w:val="22"/>
        </w:rPr>
        <w:t>l mismo año</w:t>
      </w:r>
      <w:r w:rsidRPr="00A80F5B">
        <w:rPr>
          <w:rFonts w:ascii="Tahoma" w:hAnsi="Tahoma" w:cs="Tahoma"/>
          <w:sz w:val="22"/>
          <w:szCs w:val="22"/>
        </w:rPr>
        <w:t>, con fundamento en el Decreto 758 de 1990,</w:t>
      </w:r>
      <w:r w:rsidRPr="00A80F5B">
        <w:rPr>
          <w:rFonts w:ascii="Tahoma" w:hAnsi="Tahoma" w:cs="Tahoma"/>
          <w:bCs/>
          <w:sz w:val="22"/>
          <w:szCs w:val="22"/>
        </w:rPr>
        <w:t xml:space="preserve"> normatividad que contempla en su artículo 21 literal b un incremento del 14% en la mesada pensional para aquellos beneficiarios que tienen a cargo a su cóny</w:t>
      </w:r>
      <w:r w:rsidR="004E12D0">
        <w:rPr>
          <w:rFonts w:ascii="Tahoma" w:hAnsi="Tahoma" w:cs="Tahoma"/>
          <w:bCs/>
          <w:sz w:val="22"/>
          <w:szCs w:val="22"/>
        </w:rPr>
        <w:t>uge, o compañera permanente, y que</w:t>
      </w:r>
      <w:r w:rsidR="009F4481">
        <w:rPr>
          <w:rFonts w:ascii="Tahoma" w:hAnsi="Tahoma" w:cs="Tahoma"/>
          <w:bCs/>
          <w:sz w:val="22"/>
          <w:szCs w:val="22"/>
        </w:rPr>
        <w:t xml:space="preserve"> se probó </w:t>
      </w:r>
      <w:r w:rsidR="00CB12C6">
        <w:rPr>
          <w:rFonts w:ascii="Tahoma" w:hAnsi="Tahoma" w:cs="Tahoma"/>
          <w:bCs/>
          <w:sz w:val="22"/>
          <w:szCs w:val="22"/>
        </w:rPr>
        <w:t xml:space="preserve">con el testimonio de María Melva Trujillo, Juan Guillermo Contreras e Iván Trujillo </w:t>
      </w:r>
      <w:r w:rsidR="009F4481">
        <w:rPr>
          <w:rFonts w:ascii="Tahoma" w:hAnsi="Tahoma" w:cs="Tahoma"/>
          <w:bCs/>
          <w:sz w:val="22"/>
          <w:szCs w:val="22"/>
        </w:rPr>
        <w:t xml:space="preserve">que </w:t>
      </w:r>
      <w:r w:rsidR="00CB12C6">
        <w:rPr>
          <w:rFonts w:ascii="Tahoma" w:hAnsi="Tahoma" w:cs="Tahoma"/>
          <w:bCs/>
          <w:sz w:val="22"/>
          <w:szCs w:val="22"/>
        </w:rPr>
        <w:t>aquel ha</w:t>
      </w:r>
      <w:r w:rsidRPr="00A80F5B">
        <w:rPr>
          <w:rFonts w:ascii="Tahoma" w:hAnsi="Tahoma" w:cs="Tahoma"/>
          <w:sz w:val="22"/>
          <w:szCs w:val="22"/>
        </w:rPr>
        <w:t xml:space="preserve"> velado por el sostenimiento económico de su </w:t>
      </w:r>
      <w:r>
        <w:rPr>
          <w:rFonts w:ascii="Tahoma" w:hAnsi="Tahoma" w:cs="Tahoma"/>
          <w:sz w:val="22"/>
          <w:szCs w:val="22"/>
        </w:rPr>
        <w:t xml:space="preserve">esposa, señora </w:t>
      </w:r>
      <w:r w:rsidR="00CB12C6">
        <w:rPr>
          <w:rFonts w:ascii="Tahoma" w:hAnsi="Tahoma" w:cs="Tahoma"/>
          <w:sz w:val="22"/>
          <w:szCs w:val="22"/>
        </w:rPr>
        <w:t xml:space="preserve">Lucy Trujillo, desde que contrajeron matrimonio </w:t>
      </w:r>
      <w:r w:rsidR="004E12D0" w:rsidRPr="004E12D0">
        <w:rPr>
          <w:rFonts w:ascii="Tahoma" w:hAnsi="Tahoma" w:cs="Tahoma"/>
          <w:i/>
          <w:sz w:val="22"/>
          <w:szCs w:val="22"/>
        </w:rPr>
        <w:t>-2</w:t>
      </w:r>
      <w:r w:rsidR="00CB12C6">
        <w:rPr>
          <w:rFonts w:ascii="Tahoma" w:hAnsi="Tahoma" w:cs="Tahoma"/>
          <w:i/>
          <w:sz w:val="22"/>
          <w:szCs w:val="22"/>
        </w:rPr>
        <w:t>2 de mayo de 1965</w:t>
      </w:r>
      <w:r w:rsidR="004E12D0" w:rsidRPr="004E12D0">
        <w:rPr>
          <w:rFonts w:ascii="Tahoma" w:hAnsi="Tahoma" w:cs="Tahoma"/>
          <w:i/>
          <w:sz w:val="22"/>
          <w:szCs w:val="22"/>
        </w:rPr>
        <w:t>-</w:t>
      </w:r>
      <w:r w:rsidR="00CB12C6">
        <w:rPr>
          <w:rFonts w:ascii="Tahoma" w:hAnsi="Tahoma" w:cs="Tahoma"/>
          <w:i/>
          <w:sz w:val="22"/>
          <w:szCs w:val="22"/>
        </w:rPr>
        <w:t xml:space="preserve"> </w:t>
      </w:r>
      <w:r w:rsidR="00CB12C6" w:rsidRPr="00CB12C6">
        <w:rPr>
          <w:rFonts w:ascii="Tahoma" w:hAnsi="Tahoma" w:cs="Tahoma"/>
          <w:sz w:val="22"/>
          <w:szCs w:val="22"/>
        </w:rPr>
        <w:t xml:space="preserve">hasta la fecha, era </w:t>
      </w:r>
      <w:r w:rsidR="004E12D0" w:rsidRPr="00CB12C6">
        <w:rPr>
          <w:rFonts w:ascii="Tahoma" w:hAnsi="Tahoma" w:cs="Tahoma"/>
          <w:sz w:val="22"/>
          <w:szCs w:val="22"/>
        </w:rPr>
        <w:t>e</w:t>
      </w:r>
      <w:r w:rsidR="004E12D0">
        <w:rPr>
          <w:rFonts w:ascii="Tahoma" w:hAnsi="Tahoma" w:cs="Tahoma"/>
          <w:sz w:val="22"/>
          <w:szCs w:val="22"/>
        </w:rPr>
        <w:t xml:space="preserve">vidente que aquel </w:t>
      </w:r>
      <w:r w:rsidRPr="00A80F5B">
        <w:rPr>
          <w:rFonts w:ascii="Tahoma" w:hAnsi="Tahoma" w:cs="Tahoma"/>
          <w:sz w:val="22"/>
          <w:szCs w:val="22"/>
        </w:rPr>
        <w:t>tenía derecho a que Colpensiones le pagara unas sumas mensuales adicionales a la mesada pensional</w:t>
      </w:r>
      <w:r w:rsidR="00D37AB8">
        <w:rPr>
          <w:rFonts w:ascii="Tahoma" w:hAnsi="Tahoma" w:cs="Tahoma"/>
          <w:sz w:val="22"/>
          <w:szCs w:val="22"/>
        </w:rPr>
        <w:t>,</w:t>
      </w:r>
      <w:r w:rsidRPr="00A80F5B">
        <w:rPr>
          <w:rFonts w:ascii="Tahoma" w:hAnsi="Tahoma" w:cs="Tahoma"/>
          <w:sz w:val="22"/>
          <w:szCs w:val="22"/>
        </w:rPr>
        <w:t xml:space="preserve"> equivalente al 14% del salario mínimo legal mensual vigente para cada anualidad</w:t>
      </w:r>
      <w:r w:rsidR="00D37AB8">
        <w:rPr>
          <w:rFonts w:ascii="Tahoma" w:hAnsi="Tahoma" w:cs="Tahoma"/>
          <w:sz w:val="22"/>
          <w:szCs w:val="22"/>
        </w:rPr>
        <w:t>,</w:t>
      </w:r>
      <w:r w:rsidRPr="00A80F5B">
        <w:rPr>
          <w:rFonts w:ascii="Tahoma" w:hAnsi="Tahoma" w:cs="Tahoma"/>
          <w:sz w:val="22"/>
          <w:szCs w:val="22"/>
        </w:rPr>
        <w:t xml:space="preserve"> a partir de la </w:t>
      </w:r>
      <w:r w:rsidR="00CB12C6">
        <w:rPr>
          <w:rFonts w:ascii="Tahoma" w:hAnsi="Tahoma" w:cs="Tahoma"/>
          <w:sz w:val="22"/>
          <w:szCs w:val="22"/>
        </w:rPr>
        <w:t>calenda</w:t>
      </w:r>
      <w:r w:rsidRPr="00A80F5B">
        <w:rPr>
          <w:rFonts w:ascii="Tahoma" w:hAnsi="Tahoma" w:cs="Tahoma"/>
          <w:sz w:val="22"/>
          <w:szCs w:val="22"/>
        </w:rPr>
        <w:t xml:space="preserve"> en la cual le fue reconocida su pensión.</w:t>
      </w:r>
    </w:p>
    <w:p w:rsidR="00835B5A" w:rsidRPr="00A80F5B" w:rsidRDefault="00835B5A" w:rsidP="00835B5A">
      <w:pPr>
        <w:ind w:firstLine="708"/>
        <w:jc w:val="both"/>
        <w:rPr>
          <w:rFonts w:ascii="Tahoma" w:hAnsi="Tahoma" w:cs="Tahoma"/>
          <w:sz w:val="22"/>
          <w:szCs w:val="22"/>
        </w:rPr>
      </w:pPr>
    </w:p>
    <w:p w:rsidR="00835B5A" w:rsidRPr="00A80F5B" w:rsidRDefault="00835B5A" w:rsidP="00835B5A">
      <w:pPr>
        <w:jc w:val="both"/>
        <w:rPr>
          <w:rFonts w:ascii="Tahoma" w:hAnsi="Tahoma" w:cs="Tahoma"/>
          <w:spacing w:val="-2"/>
          <w:sz w:val="22"/>
          <w:szCs w:val="22"/>
        </w:rPr>
      </w:pPr>
      <w:r w:rsidRPr="00A80F5B">
        <w:rPr>
          <w:rFonts w:ascii="Tahoma" w:hAnsi="Tahoma" w:cs="Tahoma"/>
          <w:spacing w:val="-2"/>
          <w:sz w:val="22"/>
          <w:szCs w:val="22"/>
        </w:rPr>
        <w:tab/>
        <w:t xml:space="preserve">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A80F5B">
        <w:rPr>
          <w:rFonts w:ascii="Tahoma" w:hAnsi="Tahoma" w:cs="Tahoma"/>
          <w:sz w:val="22"/>
          <w:szCs w:val="22"/>
        </w:rPr>
        <w:t xml:space="preserve">reclamación administrativa presentada el </w:t>
      </w:r>
      <w:r w:rsidR="00CB12C6">
        <w:rPr>
          <w:rFonts w:ascii="Tahoma" w:hAnsi="Tahoma" w:cs="Tahoma"/>
          <w:sz w:val="22"/>
          <w:szCs w:val="22"/>
        </w:rPr>
        <w:t xml:space="preserve">8 de noviembre </w:t>
      </w:r>
      <w:r>
        <w:rPr>
          <w:rFonts w:ascii="Tahoma" w:hAnsi="Tahoma" w:cs="Tahoma"/>
          <w:sz w:val="22"/>
          <w:szCs w:val="22"/>
        </w:rPr>
        <w:t>de 2016</w:t>
      </w:r>
      <w:r w:rsidRPr="00A80F5B">
        <w:rPr>
          <w:rFonts w:ascii="Tahoma" w:hAnsi="Tahoma" w:cs="Tahoma"/>
          <w:sz w:val="22"/>
          <w:szCs w:val="22"/>
        </w:rPr>
        <w:t>.</w:t>
      </w:r>
    </w:p>
    <w:p w:rsidR="00835B5A" w:rsidRPr="00A80F5B" w:rsidRDefault="00835B5A" w:rsidP="00835B5A">
      <w:pPr>
        <w:ind w:firstLine="708"/>
        <w:jc w:val="both"/>
        <w:rPr>
          <w:rFonts w:ascii="Tahoma" w:hAnsi="Tahoma" w:cs="Tahoma"/>
          <w:sz w:val="22"/>
          <w:szCs w:val="22"/>
        </w:rPr>
      </w:pPr>
      <w:r w:rsidRPr="00A80F5B">
        <w:rPr>
          <w:rFonts w:ascii="Tahoma" w:hAnsi="Tahoma" w:cs="Tahoma"/>
          <w:spacing w:val="-2"/>
          <w:sz w:val="22"/>
          <w:szCs w:val="22"/>
        </w:rPr>
        <w:tab/>
      </w:r>
    </w:p>
    <w:p w:rsidR="00835B5A" w:rsidRPr="00E83369" w:rsidRDefault="00835B5A" w:rsidP="00835B5A">
      <w:pPr>
        <w:pStyle w:val="Textoindependiente"/>
        <w:rPr>
          <w:rFonts w:ascii="Tahoma" w:hAnsi="Tahoma" w:cs="Tahoma"/>
          <w:sz w:val="22"/>
          <w:szCs w:val="22"/>
          <w:lang w:val="es-ES"/>
        </w:rPr>
      </w:pPr>
      <w:r w:rsidRPr="00A80F5B">
        <w:rPr>
          <w:rFonts w:ascii="Tahoma" w:hAnsi="Tahoma" w:cs="Tahoma"/>
          <w:sz w:val="22"/>
          <w:szCs w:val="22"/>
          <w:lang w:val="es-ES"/>
        </w:rPr>
        <w:tab/>
        <w:t>En estos términos sustento mi salvamento</w:t>
      </w:r>
      <w:r w:rsidRPr="00E83369">
        <w:rPr>
          <w:rFonts w:ascii="Tahoma" w:hAnsi="Tahoma" w:cs="Tahoma"/>
          <w:sz w:val="22"/>
          <w:szCs w:val="22"/>
          <w:lang w:val="es-ES"/>
        </w:rPr>
        <w:t xml:space="preserve"> de voto.</w:t>
      </w:r>
    </w:p>
    <w:p w:rsidR="00095469" w:rsidRPr="00E83369" w:rsidRDefault="00095469" w:rsidP="00E83369">
      <w:pPr>
        <w:pStyle w:val="Textoindependiente"/>
        <w:autoSpaceDE/>
        <w:autoSpaceDN/>
        <w:adjustRightInd/>
        <w:rPr>
          <w:rFonts w:ascii="Tahoma" w:hAnsi="Tahoma" w:cs="Tahoma"/>
          <w:sz w:val="22"/>
          <w:szCs w:val="22"/>
          <w:lang w:val="es-ES"/>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095469" w:rsidRPr="00E83369" w:rsidRDefault="00095469" w:rsidP="00E83369">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13" w:rsidRDefault="00DF1813">
      <w:r>
        <w:separator/>
      </w:r>
    </w:p>
  </w:endnote>
  <w:endnote w:type="continuationSeparator" w:id="0">
    <w:p w:rsidR="00DF1813" w:rsidRDefault="00D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F18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1868">
      <w:rPr>
        <w:rStyle w:val="Nmerodepgina"/>
        <w:noProof/>
      </w:rPr>
      <w:t>4</w:t>
    </w:r>
    <w:r>
      <w:rPr>
        <w:rStyle w:val="Nmerodepgina"/>
      </w:rPr>
      <w:fldChar w:fldCharType="end"/>
    </w:r>
  </w:p>
  <w:p w:rsidR="00F0306B" w:rsidRDefault="00DF1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13" w:rsidRDefault="00DF1813">
      <w:r>
        <w:separator/>
      </w:r>
    </w:p>
  </w:footnote>
  <w:footnote w:type="continuationSeparator" w:id="0">
    <w:p w:rsidR="00DF1813" w:rsidRDefault="00DF1813">
      <w:r>
        <w:continuationSeparator/>
      </w:r>
    </w:p>
  </w:footnote>
  <w:footnote w:id="1">
    <w:p w:rsidR="00E411A2" w:rsidRPr="00D73829" w:rsidRDefault="00E411A2" w:rsidP="00E411A2">
      <w:pPr>
        <w:keepNext/>
        <w:ind w:right="20"/>
        <w:jc w:val="both"/>
        <w:outlineLvl w:val="1"/>
        <w:rPr>
          <w:color w:val="000000"/>
          <w:szCs w:val="28"/>
          <w:lang w:val="es-CO"/>
        </w:rPr>
      </w:pPr>
      <w:r>
        <w:rPr>
          <w:rStyle w:val="Refdenotaalpie"/>
        </w:rPr>
        <w:footnoteRef/>
      </w:r>
      <w:r>
        <w:t xml:space="preserve"> </w:t>
      </w:r>
      <w:r w:rsidRPr="00E411A2">
        <w:rPr>
          <w:sz w:val="16"/>
          <w:szCs w:val="16"/>
        </w:rPr>
        <w:t xml:space="preserve">M.P. </w:t>
      </w:r>
      <w:r w:rsidRPr="00E411A2">
        <w:rPr>
          <w:color w:val="000000"/>
          <w:sz w:val="16"/>
          <w:szCs w:val="16"/>
          <w:lang w:val="es-CO"/>
        </w:rPr>
        <w:t>Aquiles Arrieta Gómez</w:t>
      </w:r>
    </w:p>
    <w:p w:rsidR="00E411A2" w:rsidRPr="00E411A2" w:rsidRDefault="00E411A2">
      <w:pPr>
        <w:pStyle w:val="Textonotapie"/>
        <w:rPr>
          <w:lang w:val="es-CO"/>
        </w:rPr>
      </w:pPr>
    </w:p>
  </w:footnote>
  <w:footnote w:id="2">
    <w:p w:rsidR="00E411A2" w:rsidRPr="008C7E59" w:rsidRDefault="00E411A2">
      <w:pPr>
        <w:pStyle w:val="Textonotapie"/>
        <w:rPr>
          <w:sz w:val="16"/>
          <w:szCs w:val="16"/>
          <w:lang w:val="es-CO"/>
        </w:rPr>
      </w:pPr>
      <w:r w:rsidRPr="008C7E59">
        <w:rPr>
          <w:rStyle w:val="Refdenotaalpie"/>
          <w:sz w:val="16"/>
          <w:szCs w:val="16"/>
        </w:rPr>
        <w:footnoteRef/>
      </w:r>
      <w:r w:rsidRPr="008C7E59">
        <w:rPr>
          <w:sz w:val="16"/>
          <w:szCs w:val="16"/>
        </w:rPr>
        <w:t xml:space="preserve"> </w:t>
      </w:r>
      <w:r w:rsidR="008C7E59">
        <w:rPr>
          <w:sz w:val="16"/>
          <w:szCs w:val="16"/>
        </w:rPr>
        <w:t>C</w:t>
      </w:r>
      <w:r w:rsidR="008C7E59" w:rsidRPr="008C7E59">
        <w:rPr>
          <w:sz w:val="16"/>
          <w:szCs w:val="16"/>
        </w:rPr>
        <w:t>.</w:t>
      </w:r>
      <w:r w:rsidRPr="008C7E59">
        <w:rPr>
          <w:sz w:val="16"/>
          <w:szCs w:val="16"/>
        </w:rPr>
        <w:t>P. Gabriel Valbuena Hernández</w:t>
      </w:r>
    </w:p>
  </w:footnote>
  <w:footnote w:id="3">
    <w:p w:rsidR="008C7E59" w:rsidRPr="008C7E59" w:rsidRDefault="008C7E59" w:rsidP="008C7E59">
      <w:pPr>
        <w:pStyle w:val="Textonotapie"/>
      </w:pPr>
      <w:r w:rsidRPr="008C7E59">
        <w:rPr>
          <w:rStyle w:val="Refdenotaalpie"/>
          <w:sz w:val="16"/>
          <w:szCs w:val="16"/>
        </w:rPr>
        <w:footnoteRef/>
      </w:r>
      <w:r w:rsidRPr="008C7E59">
        <w:rPr>
          <w:rStyle w:val="Refdenotaalpie"/>
          <w:sz w:val="16"/>
          <w:szCs w:val="16"/>
        </w:rPr>
        <w:t xml:space="preserve"> </w:t>
      </w:r>
      <w:r w:rsidRPr="008C7E59">
        <w:rPr>
          <w:sz w:val="16"/>
          <w:szCs w:val="16"/>
        </w:rPr>
        <w:t>M.P.</w:t>
      </w:r>
      <w:r>
        <w:rPr>
          <w:sz w:val="16"/>
          <w:szCs w:val="16"/>
        </w:rPr>
        <w:t xml:space="preserve"> </w:t>
      </w:r>
      <w:r w:rsidRPr="008C7E59">
        <w:rPr>
          <w:sz w:val="16"/>
          <w:szCs w:val="16"/>
        </w:rPr>
        <w:t xml:space="preserve">Cristina Pardo </w:t>
      </w:r>
      <w:proofErr w:type="spellStart"/>
      <w:r w:rsidRPr="008C7E59">
        <w:rPr>
          <w:sz w:val="16"/>
          <w:szCs w:val="16"/>
        </w:rPr>
        <w:t>Schlesinger</w:t>
      </w:r>
      <w:proofErr w:type="spellEnd"/>
    </w:p>
    <w:p w:rsidR="008C7E59" w:rsidRPr="008C7E59" w:rsidRDefault="008C7E5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821DE"/>
    <w:rsid w:val="00095469"/>
    <w:rsid w:val="000979F3"/>
    <w:rsid w:val="00123EC5"/>
    <w:rsid w:val="00135F8E"/>
    <w:rsid w:val="001B1BC7"/>
    <w:rsid w:val="00242E3A"/>
    <w:rsid w:val="00245F4F"/>
    <w:rsid w:val="00286342"/>
    <w:rsid w:val="00313046"/>
    <w:rsid w:val="0033475B"/>
    <w:rsid w:val="00361A8B"/>
    <w:rsid w:val="003E7E97"/>
    <w:rsid w:val="004E12D0"/>
    <w:rsid w:val="004E5228"/>
    <w:rsid w:val="00525C7B"/>
    <w:rsid w:val="00534B23"/>
    <w:rsid w:val="00543830"/>
    <w:rsid w:val="00560EF9"/>
    <w:rsid w:val="005F01A6"/>
    <w:rsid w:val="00670F22"/>
    <w:rsid w:val="007118CC"/>
    <w:rsid w:val="00772B45"/>
    <w:rsid w:val="007B22F1"/>
    <w:rsid w:val="007D3C09"/>
    <w:rsid w:val="007D68A4"/>
    <w:rsid w:val="007D7568"/>
    <w:rsid w:val="00813B8B"/>
    <w:rsid w:val="00835B5A"/>
    <w:rsid w:val="008579C3"/>
    <w:rsid w:val="00866398"/>
    <w:rsid w:val="00883EC2"/>
    <w:rsid w:val="00891612"/>
    <w:rsid w:val="00891868"/>
    <w:rsid w:val="008B4433"/>
    <w:rsid w:val="008C7E59"/>
    <w:rsid w:val="008E13A2"/>
    <w:rsid w:val="008F6CC3"/>
    <w:rsid w:val="00976774"/>
    <w:rsid w:val="00976BA6"/>
    <w:rsid w:val="00983416"/>
    <w:rsid w:val="009F4481"/>
    <w:rsid w:val="009F69A2"/>
    <w:rsid w:val="00A12F88"/>
    <w:rsid w:val="00A36B69"/>
    <w:rsid w:val="00A46826"/>
    <w:rsid w:val="00A75EEB"/>
    <w:rsid w:val="00A80F5B"/>
    <w:rsid w:val="00AC42D3"/>
    <w:rsid w:val="00AC7A09"/>
    <w:rsid w:val="00AF3269"/>
    <w:rsid w:val="00BB7A4D"/>
    <w:rsid w:val="00BE0BE7"/>
    <w:rsid w:val="00CB12C6"/>
    <w:rsid w:val="00D37AB8"/>
    <w:rsid w:val="00D42491"/>
    <w:rsid w:val="00D54533"/>
    <w:rsid w:val="00DB2FAE"/>
    <w:rsid w:val="00DB7EC3"/>
    <w:rsid w:val="00DF1813"/>
    <w:rsid w:val="00E06AE5"/>
    <w:rsid w:val="00E411A2"/>
    <w:rsid w:val="00E83369"/>
    <w:rsid w:val="00F053E2"/>
    <w:rsid w:val="00F1356B"/>
    <w:rsid w:val="00F16032"/>
    <w:rsid w:val="00F62068"/>
    <w:rsid w:val="00FE0B8E"/>
    <w:rsid w:val="00FF2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E411A2"/>
    <w:rPr>
      <w:sz w:val="20"/>
      <w:szCs w:val="20"/>
    </w:rPr>
  </w:style>
  <w:style w:type="character" w:customStyle="1" w:styleId="TextonotapieCar">
    <w:name w:val="Texto nota pie Car"/>
    <w:basedOn w:val="Fuentedeprrafopredeter"/>
    <w:link w:val="Textonotapie"/>
    <w:uiPriority w:val="99"/>
    <w:semiHidden/>
    <w:rsid w:val="00E411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4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3E6A-CB1A-442D-A9C5-00D38B12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2444</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26</cp:revision>
  <cp:lastPrinted>2018-09-04T18:13:00Z</cp:lastPrinted>
  <dcterms:created xsi:type="dcterms:W3CDTF">2017-07-31T19:21:00Z</dcterms:created>
  <dcterms:modified xsi:type="dcterms:W3CDTF">2018-09-05T15:57:00Z</dcterms:modified>
</cp:coreProperties>
</file>